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DD79" w14:textId="77777777" w:rsidR="00FF4807" w:rsidRPr="00CC21FE" w:rsidRDefault="00000000">
      <w:pPr>
        <w:spacing w:after="120"/>
        <w:jc w:val="center"/>
        <w:rPr>
          <w:rFonts w:ascii="Times New Roman" w:eastAsia="標楷體" w:hAnsi="Times New Roman"/>
          <w:lang w:eastAsia="zh-TW"/>
        </w:rPr>
      </w:pPr>
      <w:r>
        <w:rPr>
          <w:rFonts w:ascii="Times New Roman" w:eastAsia="標楷體" w:hAnsi="Times New Roman"/>
          <w:b/>
          <w:sz w:val="28"/>
          <w:lang w:eastAsia="zh-TW"/>
        </w:rPr>
        <w:t xml:space="preserve">Sobel-Guided Attention for Pix2Pix-Based Cross-Scene Single Image Reflection </w:t>
      </w:r>
      <w:proofErr w:type="gramStart"/>
      <w:r>
        <w:rPr>
          <w:rFonts w:ascii="Times New Roman" w:eastAsia="標楷體" w:hAnsi="Times New Roman"/>
          <w:b/>
          <w:sz w:val="28"/>
          <w:lang w:eastAsia="zh-TW"/>
        </w:rPr>
        <w:t>Removal :</w:t>
      </w:r>
      <w:proofErr w:type="gramEnd"/>
      <w:r>
        <w:rPr>
          <w:rFonts w:ascii="Times New Roman" w:eastAsia="標楷體" w:hAnsi="Times New Roman"/>
          <w:b/>
          <w:sz w:val="28"/>
          <w:lang w:eastAsia="zh-TW"/>
        </w:rPr>
        <w:t xml:space="preserve"> A Case Study on Museum Artifact Recognition</w:t>
      </w:r>
    </w:p>
    <w:p w14:paraId="35E56E15"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proofErr w:type="gramStart"/>
      <w:r w:rsidRPr="00CC21FE">
        <w:rPr>
          <w:rFonts w:ascii="Times New Roman" w:eastAsia="標楷體" w:hAnsi="Times New Roman"/>
          <w:sz w:val="24"/>
          <w:vertAlign w:val="superscript"/>
        </w:rPr>
        <w:t>1,*</w:t>
      </w:r>
      <w:proofErr w:type="spellStart"/>
      <w:proofErr w:type="gramEnd"/>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3DBCF0AC" w14:textId="77777777" w:rsidR="00FF4807" w:rsidRPr="00CC21FE" w:rsidRDefault="00000000">
      <w:pPr>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1469D68C"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3B586717"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14:paraId="4977B9F7" w14:textId="77777777" w:rsidR="008672B1" w:rsidRDefault="008672B1"/>
    <w:p w14:paraId="1126260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14:paraId="7F8E9B15" w14:textId="77777777" w:rsidR="008672B1" w:rsidRDefault="008672B1"/>
    <w:p w14:paraId="1CE0771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fundamental bottleneck of supervised single image reflection removal (SIRR) is that real-world scenes rarely allow pixel-aligned 'with/without reflection' paired data. This prevents models from being trained directly on the target scene. Motivated by cross-scene generalization, we propose a Sobel-Guided Attention (SGA) module integrated into the Pix2Pix architecture, enabling a model trained on public SIRR datasets to transfer to unseen scenes without fine-tuning. SGA uses fixed Sobel kernels to extract per-channel edge gradient magnitudes that drive CBAM-style channel-and-spatial dual-branch attention. Because the kernels are fixed, their computation does not depend on the training data's scene distribution, which provides a structural basis for cross-scene transfer. We validate this on museum artifact reflection removal, a real scenario where exhibits are immovable and glass enclosures are hard to dismantle, making paired data entirely unobtainable at scale. Experiments show SGA enables successful generalization to museum artifacts, raising downstream YOLOv8 recognition accuracy from 92.7% to 94.5% and demonstrating a measurable, if modest, practical benefit of cross-scene reflection removal.</w:t>
      </w:r>
    </w:p>
    <w:p w14:paraId="6A451D3E"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Keywords: Single image reflection removal, cross-scene generalization, Sobel structural prior, conditional generative adversarial network, Pix2Pix.</w:t>
      </w:r>
    </w:p>
    <w:p w14:paraId="787FD1B3" w14:textId="77777777" w:rsidR="008672B1" w:rsidRDefault="008672B1"/>
    <w:p w14:paraId="5A9CBBB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14:paraId="49DAF0F1" w14:textId="77777777" w:rsidR="008672B1" w:rsidRDefault="008672B1"/>
    <w:p w14:paraId="6F5A18A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Single image reflection removal (SIRR) is a persistently studied problem in computer vision, with applications spanning museum exhibit photography, automotive windshield imaging, and other real-world settings. Existing supervised deep-learning methods, however, face a fundamental training dilemma: they require pixel-aligned 'with/without reflection' paired images, which are nearly impossible to obtain at scale in most real deployments. Static aligned pairs remain out of reach whether due to the high glass-replacement and lighting-control costs of factory glass inspection, or the continuously changing ambient light of automotive scenes. This is a recognized limitation in current SIRR research: without datasets that comprehensively cover diverse real-world reflective surfaces and lighting conditions, model evaluation remains unreliable when deployed to new scenes [1].</w:t>
      </w:r>
    </w:p>
    <w:p w14:paraId="6E6FB27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a representative instance. Exhibits sit behind glass enclosures and cannot be moved, and ambient lighting is dictated by exhibition design and cannot be adjusted, so paired data are virtually unobtainable. Yet the application demand is real: when visitors photograph exhibits with smartphones, glass reflections markedly reduce AI recognition accuracy. In our experiments, YOLOv8 [2] reached only 92.7% accuracy on reflection-laden images. The museum setting thus offers an ideal case study with quantifiable downstream metrics for validating cross-scene SIRR generalization.</w:t>
      </w:r>
    </w:p>
    <w:p w14:paraId="4E1ED20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core research question of this paper is whether a model trained on public SIRR datasets can be deployed directly to entirely unseen target scenes without fine-tuning. The key insight is that if a model's feature representations are scene-agnostic, the reflection removal it learns should transfer across scenes naturally. Two gradient properties motivate our design: the SIRR literature widely treats the low-gradient nature of reflection layers as a common prior [6][8], while object edges produce high-gradient responses from material discontinuity, a basic edge cause recognized across the edge-detection literature [31]. We take these two properties as the starting point for designing a feature representation that captures this difference.</w:t>
      </w:r>
    </w:p>
    <w:p w14:paraId="0F6B488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Based on this, we propose using fixed Sobel gradients as the attention-driving signal. The Sobel kernels are fixed parameters whose gradient magnitudes reflect only local image structure, independent of the training data's scene distribution. Lu et al. [3] demonstrated Sobel-guided attention in medical image segmentation, and CBAM [4] established the complementary advantage of dual-branch channel-and-spatial attention; together, these motivate our Sobel-Guided Attention (SGA) module. SGA drives a CBAM-style dual-branch attention with fixed Sobel gradient magnitudes, performing edge-aware feature recalibration before the first encoder block of the Pix2Pix U-Net generator. This lets the network distinguish 'exhibit structure' from 'reflection interference' at the pixel level.</w:t>
      </w:r>
    </w:p>
    <w:p w14:paraId="21CB416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main contributions of this paper are as follows:</w:t>
      </w:r>
    </w:p>
    <w:p w14:paraId="0D991A1C"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(1) We propose the SGA module, which uses fixed Sobel edge gradients to guide CBAM-style channel-and-spatial dual-branch attention. Because the Sobel kernels are fixed, SGA provides a structural prior for Pix2Pix reflection removal without adding any trainable parameters.</w:t>
      </w:r>
    </w:p>
    <w:p w14:paraId="458B6A28"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We adopt a 'train on public SIRR datasets, deploy directly to the target scene' framework to study how fixed structural priors affect cross-scene SIRR generalization, offering a viable methodological path for real-world applications where paired data are hard to obtain.</w:t>
      </w:r>
    </w:p>
    <w:p w14:paraId="10744D0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(3) We conduct a museum artifact case study, training on public SIRR datasets and applying across scenes to museum images, with quantitative validation via YOLOv8 recognition accuracy (92.7% to 94.5%).</w:t>
      </w:r>
    </w:p>
    <w:p w14:paraId="58BC1734" w14:textId="77777777" w:rsidR="008672B1" w:rsidRDefault="008672B1"/>
    <w:p w14:paraId="42D303ED"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14:paraId="344A735D" w14:textId="77777777" w:rsidR="008672B1" w:rsidRDefault="008672B1"/>
    <w:p w14:paraId="27388F9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2.1. Single Image Reflection Removal</w:t>
      </w:r>
    </w:p>
    <w:p w14:paraId="3FE8DD9C" w14:textId="77777777" w:rsidR="008672B1" w:rsidRDefault="008672B1"/>
    <w:p w14:paraId="638A700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SIRR research has evolved from optimization-based methods to deep learning. Fan et al. [6] first introduced edge information into SIRR with CEILNet: an E-CNN estimates object edge maps, and an I-CNN uses them to recover the transmission layer. This established the 'edge-guided restoration' paradigm and is a key predecessor of our SGA module.</w:t>
      </w:r>
    </w:p>
    <w:p w14:paraId="50F8ABE3"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Li et al. [7] proposed IBCLN, which iteratively refines transmission and reflection layers via convolutional LSTM; it also provides a densely annotated real-scene paired dataset that we use as one of our training sets. Chi et al. [5] noted that downsampling-induced information loss increases decoder restoration difficulty, echoing our motivation for injecting edge attention before the encoder (§3.1). Dong et al. [8] regressed a reflection probability map via an explicit detection module to guide feature flow, demonstrating the value of explicit spatial location cues in SIRR.</w:t>
      </w:r>
    </w:p>
    <w:p w14:paraId="6EE6FA28"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Recent methods advance in different directions. DURRNet [9] adds interpretability through algorithm unrolling, while PromptRR [10] drives a Transformer with a diffusion model to reach the latest SOTA, albeit at high inference cost from multi-step sampling. Despite this benchmark progress, cross-scene generalization remains the core challenge for real-world deep-learning SIRR — the problem this paper targets.</w:t>
      </w:r>
    </w:p>
    <w:p w14:paraId="2E17B071" w14:textId="77777777" w:rsidR="008672B1" w:rsidRDefault="008672B1"/>
    <w:p w14:paraId="5DD8A5B5"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2.2. Image-to-Image Translation and Conditional Generative Adversarial Networks</w:t>
      </w:r>
    </w:p>
    <w:p w14:paraId="5B59F59B" w14:textId="77777777" w:rsidR="008672B1" w:rsidRDefault="008672B1"/>
    <w:p w14:paraId="253027E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Generative adversarial networks [11][15] learn data distributions via adversarial training between a generator and a discriminator, providing a powerful framework for image synthesis. Mirza and Osindero [12] added condition vectors to both networks with cGAN to learn deterministic mappings — the foundation of Pix2Pix. Isola et al. [13] instantiated this as Pix2Pix, pairing a U-Net generator with a PatchGAN discriminator and training with an L1+cGAN loss. This achieved breakthroughs on multiple paired translation tasks and established the effectiveness of paired supervision in image restoration.</w:t>
      </w:r>
    </w:p>
    <w:p w14:paraId="4376C42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CycleGAN [14] removes the paired-data requirement via cycle-consistency loss, which in principle suits scenarios where pairs are hard to obtain. Yet comparative experiments show Pix2Pix still outperforms CycleGAN and other unsupervised methods when sufficient paired data are available. We therefore train Pix2Pix on public paired SIRR datasets and deploy it cross-scene — using available paired data where we have it, without requiring paired data in the target scene.</w:t>
      </w:r>
    </w:p>
    <w:p w14:paraId="3E4F9E60" w14:textId="77777777" w:rsidR="008672B1" w:rsidRDefault="008672B1"/>
    <w:p w14:paraId="0F7BA80A" w14:textId="77777777" w:rsidR="00FF4807" w:rsidRPr="00CC21FE" w:rsidRDefault="00000000">
      <w:pPr>
        <w:jc w:val="both"/>
        <w:rPr>
          <w:rFonts w:ascii="Times New Roman" w:eastAsia="標楷體" w:hAnsi="Times New Roman"/>
        </w:rPr>
      </w:pPr>
      <w:r>
        <w:rPr>
          <w:rFonts w:ascii="Times New Roman" w:eastAsia="標楷體" w:hAnsi="Times New Roman"/>
          <w:b/>
          <w:sz w:val="20"/>
        </w:rPr>
        <w:t>2.3. Attention Mechanisms</w:t>
      </w:r>
    </w:p>
    <w:p w14:paraId="15EA2EF9" w14:textId="77777777" w:rsidR="008672B1" w:rsidRDefault="008672B1"/>
    <w:p w14:paraId="5418C7CB"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Hu et al. [16] proposed SENet, which re-weights channel features via global average pooling and fully connected layers, establishing channel attention in CNNs. Woo et al. [4] extended this with CBAM, inferring attention along both channel and spatial dimensions; CBAM outperformed SENet across extensive classification and detection experiments, demonstrating the value of combining the two. Our SGA's dual-branch design derives directly from CBAM, but replaces purely learned statistics with fixed Sobel gradients as the driving signal — a computation that does not depend on the training data's scene distribution.</w:t>
      </w:r>
    </w:p>
    <w:p w14:paraId="55B59F9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Lu et al. [3] proposed a Sobel-guided multi-scale attention network for medical image segmentation, using gradient magnitude as a structural prior to drive attention and significantly improving boundary precision. A sizeable domain gap also exists between medical and natural images, so that method's success within a single medical domain inspired us to extend the same principle to cross-scene validation. Separately, prior work shows that combining global context modeling with channel calibration outperforms either alone, further supporting our dual-branch design [17][18].</w:t>
      </w:r>
    </w:p>
    <w:p w14:paraId="33B7824D" w14:textId="77777777" w:rsidR="008672B1" w:rsidRDefault="008672B1"/>
    <w:p w14:paraId="220E8A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2.4. Edge-Guided Image Processing</w:t>
      </w:r>
    </w:p>
    <w:p w14:paraId="22EEE716" w14:textId="77777777" w:rsidR="008672B1" w:rsidRDefault="008672B1"/>
    <w:p w14:paraId="4223F4F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Using edge information to guide image restoration is a mature paradigm. Xie and Tu [19] proposed holistically nested edge detection, showing through multi-scale deep supervision that edge features at different levels carry complementary structural information — an important benchmark for later edge-guided methods. Ji et al. [20] proposed DGNet, which decouples texture and semantic features via object gradient supervision, an approach that directly inspired our gradient-guided feature refinement.</w:t>
      </w:r>
    </w:p>
    <w:p w14:paraId="78793D28" w14:textId="77777777" w:rsidR="00FF4807" w:rsidRDefault="00000000">
      <w:pPr>
        <w:ind w:firstLine="360"/>
        <w:jc w:val="both"/>
        <w:rPr>
          <w:rFonts w:ascii="Times New Roman" w:eastAsia="標楷體" w:hAnsi="Times New Roman"/>
          <w:sz w:val="20"/>
          <w:lang w:eastAsia="zh-TW"/>
        </w:rPr>
      </w:pPr>
      <w:r>
        <w:rPr>
          <w:rFonts w:ascii="Times New Roman" w:eastAsia="標楷體" w:hAnsi="Times New Roman"/>
          <w:sz w:val="20"/>
        </w:rPr>
        <w:t>Sharp U-Net [21] inserts sharpening kernels before a U-Net's skip connections to reduce the semantic gap between encoder and decoder features — a similar idea to our injection of Sobel structural guidance before the encoder. Li and Liu [22] introduced a gradient-map edge-quality loss in MRI super-resolution, showing that gradient-guided design also applies in the medical imaging domain.</w:t>
      </w:r>
    </w:p>
    <w:p w14:paraId="5EB26C68" w14:textId="77777777" w:rsidR="00FF4807" w:rsidRPr="00CC21FE" w:rsidRDefault="00000000" w:rsidP="00B947FC">
      <w:pPr>
        <w:jc w:val="center"/>
        <w:rPr>
          <w:rFonts w:ascii="Times New Roman" w:eastAsia="標楷體" w:hAnsi="Times New Roman"/>
        </w:rPr>
      </w:pPr>
      <w:r w:rsidRPr="00CC21FE">
        <w:rPr>
          <w:rFonts w:ascii="Times New Roman" w:eastAsia="標楷體" w:hAnsi="Times New Roman"/>
          <w:b/>
          <w:caps/>
          <w:sz w:val="20"/>
        </w:rPr>
        <w:lastRenderedPageBreak/>
        <w:t>3. Proposed Method</w:t>
      </w:r>
    </w:p>
    <w:p w14:paraId="7DF5AA31" w14:textId="77777777" w:rsidR="008672B1" w:rsidRDefault="008672B1"/>
    <w:p w14:paraId="548F26E4" w14:textId="77777777" w:rsidR="00FF4807" w:rsidRPr="00CC21FE" w:rsidRDefault="00000000">
      <w:pPr>
        <w:jc w:val="both"/>
        <w:rPr>
          <w:rFonts w:ascii="Times New Roman" w:eastAsia="標楷體" w:hAnsi="Times New Roman"/>
        </w:rPr>
      </w:pPr>
      <w:r>
        <w:rPr>
          <w:rFonts w:ascii="Times New Roman" w:eastAsia="標楷體" w:hAnsi="Times New Roman"/>
          <w:b/>
          <w:sz w:val="20"/>
        </w:rPr>
        <w:t>3.1. Overall Architecture</w:t>
      </w:r>
    </w:p>
    <w:p w14:paraId="12D3D3DE" w14:textId="77777777" w:rsidR="008672B1" w:rsidRDefault="008672B1"/>
    <w:p w14:paraId="6373B9B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This method uses Pix2Pix [13] as the backbone. Its core innovation is inserting the SGA module before the first encoder block of the U-Net generator (Fig. 1). Given a reflection-laden input Ir ∈ R(H×W×3), SGA first performs edge-aware feature recalibration to produce a structure-enhanced feature map x'; the U-Net then maps x' to a reflection-free output T̂ ∈ R(H×W×3). During training, a PatchGAN discriminator evaluates the authenticity of local patches, pushing the generator toward realistic high-frequency detail. SGA is placed at the very front rather than in a middle layer for two reasons: reflection interference already exists at the pixel level, so downsampling before remediation risks losing structural detail [5]; and middle-layer features may already carry semantic cues specific to the training data's scenes, which could hinder cross-scene transfer.</w:t>
      </w:r>
    </w:p>
    <w:p w14:paraId="69A8D26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0C9BF430" w14:textId="77777777" w:rsidR="008672B1" w:rsidRDefault="008672B1">
      <w:pPr>
        <w:sectPr w:rsidR="008672B1">
          <w:type w:val="continuous"/>
          <w:pgSz w:w="11906" w:h="16838"/>
          <w:pgMar w:top="1417" w:right="1298" w:bottom="1701" w:left="1077" w:header="720" w:footer="720" w:gutter="0"/>
          <w:cols w:num="2" w:space="454"/>
        </w:sectPr>
      </w:pPr>
    </w:p>
    <w:p w14:paraId="55F38F35" w14:textId="77777777" w:rsidR="00A83560" w:rsidRPr="00CC21FE" w:rsidRDefault="00A83560" w:rsidP="00A83560">
      <w:pPr>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02A70467">
            <wp:extent cx="4371826" cy="2025438"/>
            <wp:effectExtent l="0" t="0" r="0" b="0"/>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8165" cy="2025438"/>
                    </a:xfrm>
                    <a:prstGeom prst="rect">
                      <a:avLst/>
                    </a:prstGeom>
                    <a:noFill/>
                    <a:ln>
                      <a:noFill/>
                    </a:ln>
                  </pic:spPr>
                </pic:pic>
              </a:graphicData>
            </a:graphic>
          </wp:inline>
        </w:drawing>
      </w:r>
    </w:p>
    <w:p w14:paraId="7BC9BFD0" w14:textId="77777777" w:rsidR="00FF4807" w:rsidRPr="00CC21FE" w:rsidRDefault="00000000">
      <w:pPr>
        <w:jc w:val="center"/>
        <w:rPr>
          <w:rFonts w:ascii="Times New Roman" w:eastAsia="標楷體" w:hAnsi="Times New Roman"/>
        </w:rPr>
      </w:pPr>
      <w:r>
        <w:rPr>
          <w:rFonts w:ascii="Times New Roman" w:eastAsia="標楷體" w:hAnsi="Times New Roman"/>
          <w:sz w:val="20"/>
        </w:rPr>
        <w:t>Fig. 1. Overall architecture diagram. The input image x (with reflection) is recalibrated by the SGA module (structure detailed in Fig. 2) to x', then mapped by the U-Net generator G to the reflection-free output T̂. During training, the PatchGAN discriminator D compares (x, T̂) with (x, y) to compute the adversarial loss Ladv, and T̂ is compared with ground truth y to compute LL1, combined as Ltotal = Ladv + λ·LL1 (λ = 100); during inference, only the generator G is required.</w:t>
      </w:r>
    </w:p>
    <w:p w14:paraId="05D08D6C" w14:textId="77777777" w:rsidR="008672B1" w:rsidRDefault="008672B1">
      <w:pPr>
        <w:sectPr w:rsidR="008672B1">
          <w:type w:val="continuous"/>
          <w:pgSz w:w="11906" w:h="16838"/>
          <w:pgMar w:top="1417" w:right="1298" w:bottom="1701" w:left="1077" w:header="720" w:footer="720" w:gutter="0"/>
          <w:cols w:space="720"/>
        </w:sectPr>
      </w:pPr>
    </w:p>
    <w:p w14:paraId="2CCE0947"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746C69A" w14:textId="77777777" w:rsidR="008672B1" w:rsidRDefault="008672B1"/>
    <w:p w14:paraId="713DEBAB"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3.2. Sobel-Guided Attention Module (SGA)</w:t>
      </w:r>
    </w:p>
    <w:p w14:paraId="6F86E459" w14:textId="77777777" w:rsidR="008672B1" w:rsidRDefault="008672B1"/>
    <w:p w14:paraId="24F3137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SGA module accepts the raw input image x ∈ R(H×W×3) and outputs a recalibrated feature map x' of the same dimensions. It runs in three sequential stages: Sobel feature extraction, channel attention, and spatial attention. All of these computations use fixed parameters and introduce no additional trainable parameters, so the attention-guidance signal's behavior is fixed by construction and does not change with training.</w:t>
      </w:r>
    </w:p>
    <w:p w14:paraId="1C3E435A" w14:textId="77777777" w:rsidR="008672B1" w:rsidRDefault="008672B1"/>
    <w:p w14:paraId="1BAA90FD"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3.2.1. Sobel Feature Extraction</w:t>
      </w:r>
    </w:p>
    <w:p w14:paraId="798903B6"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Fixed 3×3 Sobel horizontal convolution kernel Kx and vertical convolution kernel Ky are applied separately to each of the three input image channels (R, G, B) to compute gradient components:</w:t>
      </w:r>
    </w:p>
    <w:p w14:paraId="18605A1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,c∈{R,G,B}</m:t>
          </m:r>
        </m:oMath>
      </m:oMathPara>
    </w:p>
    <w:p w14:paraId="436D4A0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where Kx and Ky are defined as follows:</w:t>
      </w:r>
    </w:p>
    <w:p w14:paraId="52BD92F5"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e>
          </m:d>
        </m:oMath>
      </m:oMathPara>
    </w:p>
    <w:p w14:paraId="4DBBA57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gradient magnitude is defined as:</w:t>
      </w:r>
    </w:p>
    <w:p w14:paraId="32C84FC7"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x,c</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y,c</m:t>
                  </m:r>
                </m:sub>
                <m:sup>
                  <m:r>
                    <w:rPr>
                      <w:rFonts w:ascii="Cambria Math" w:hAnsi="Cambria Math"/>
                    </w:rPr>
                    <m:t>2</m:t>
                  </m:r>
                </m:sup>
              </m:sSubSup>
            </m:e>
          </m:rad>
        </m:oMath>
      </m:oMathPara>
    </w:p>
    <w:p w14:paraId="49A954F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yields the Sobel feature map S ∈ R(H×W×3), capturing the per-channel edge intensity distribution. As noted in §1, reflection regions show low gradients [6][8] while object edges show high gradients [31]. S therefore captures the gradient difference between 'object structure' and 'reflection interference', which is the basis for SGA's attention design.</w:t>
      </w:r>
    </w:p>
    <w:p w14:paraId="002C7E9E" w14:textId="77777777" w:rsidR="008672B1" w:rsidRDefault="008672B1"/>
    <w:p w14:paraId="46021770" w14:textId="77777777" w:rsidR="00FF4807" w:rsidRPr="00CC21FE" w:rsidRDefault="00000000">
      <w:pPr>
        <w:jc w:val="both"/>
        <w:rPr>
          <w:rFonts w:ascii="Times New Roman" w:eastAsia="標楷體" w:hAnsi="Times New Roman"/>
        </w:rPr>
      </w:pPr>
      <w:r>
        <w:rPr>
          <w:rFonts w:ascii="Times New Roman" w:eastAsia="標楷體" w:hAnsi="Times New Roman"/>
          <w:i/>
          <w:sz w:val="20"/>
        </w:rPr>
        <w:t>3.2.2. Channel Attention Branch</w:t>
      </w:r>
    </w:p>
    <w:p w14:paraId="594A0BB0" w14:textId="77777777" w:rsidR="00FF4807" w:rsidRPr="00CC21FE" w:rsidRDefault="00000000">
      <w:pPr>
        <w:ind w:firstLine="360"/>
        <w:jc w:val="both"/>
        <w:rPr>
          <w:rFonts w:ascii="Times New Roman" w:eastAsia="標楷體" w:hAnsi="Times New Roman"/>
        </w:rPr>
      </w:pPr>
      <w:r>
        <w:rPr>
          <w:rFonts w:ascii="Times New Roman" w:eastAsia="標楷體" w:hAnsi="Times New Roman"/>
          <w:sz w:val="20"/>
        </w:rPr>
        <w:t>Global average pooling is applied to the Sobel feature map S to obtain a channel descriptor v ∈ R3. Channel attention weights are then generated via a 1×1 convolution and Sigmoid activation:</w:t>
      </w:r>
    </w:p>
    <w:p w14:paraId="08AF4BA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1×1</m:t>
                  </m:r>
                </m:sub>
              </m:sSub>
              <m:d>
                <m:dPr>
                  <m:ctrlPr>
                    <w:rPr>
                      <w:rFonts w:ascii="Cambria Math" w:hAnsi="Cambria Math"/>
                    </w:rPr>
                  </m:ctrlPr>
                </m:dPr>
                <m:e>
                  <m:r>
                    <m:rPr>
                      <m:sty m:val="p"/>
                    </m:rPr>
                    <w:rPr>
                      <w:rFonts w:ascii="Cambria Math" w:hAnsi="Cambria Math"/>
                    </w:rPr>
                    <m:t>GAP</m:t>
                  </m:r>
                  <m:r>
                    <w:rPr>
                      <w:rFonts w:ascii="Cambria Math" w:hAnsi="Cambria Math"/>
                    </w:rPr>
                    <m:t>(S)</m:t>
                  </m:r>
                </m:e>
              </m:d>
            </m:e>
          </m:d>
        </m:oMath>
      </m:oMathPara>
    </w:p>
    <w:p w14:paraId="47F65B6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channel-recalibrated feature map is Xc = x ⊙ wc, where ⊙ denotes element-wise multiplication broadcast along the spatial dimensions. This adaptively adjusts the R, G, B contribution ratios by the relative importance of each channel's edge intensity, giving higher weight to edge-rich channels.</w:t>
      </w:r>
    </w:p>
    <w:p w14:paraId="511C4891" w14:textId="77777777" w:rsidR="008672B1" w:rsidRDefault="008672B1"/>
    <w:p w14:paraId="4518C296"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3.2.3. Spatial Attention Branch</w:t>
      </w:r>
    </w:p>
    <w:p w14:paraId="61EDBB26"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Average pooling (AvgPool) and max pooling (MaxPool) are applied separately to the channel-recalibrated feature map Xc along the channel dimension. The two results are concatenated and passed through a 7×7 convolution with Sigmoid activation to generate a spatial attention map:</w:t>
      </w:r>
    </w:p>
    <w:p w14:paraId="783185A8"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AvgPool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r>
                        <m:rPr>
                          <m:sty m:val="p"/>
                        </m:rPr>
                        <w:rPr>
                          <w:rFonts w:ascii="Cambria Math" w:hAnsi="Cambria Math"/>
                        </w:rPr>
                        <m:t>MaxPool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e>
                  </m:d>
                </m:e>
              </m:d>
            </m:e>
          </m:d>
        </m:oMath>
      </m:oMathPara>
    </w:p>
    <w:p w14:paraId="1EE16A9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final output of the SGA module is:</w:t>
      </w:r>
    </w:p>
    <w:p w14:paraId="48C3776D" w14:textId="77777777" w:rsidR="00FF4807" w:rsidRPr="00CC21FE" w:rsidRDefault="00000000">
      <w:pPr>
        <w:jc w:val="center"/>
        <w:rPr>
          <w:rFonts w:ascii="Times New Roman" w:eastAsia="標楷體" w:hAnsi="Times New Roman"/>
          <w:lang w:eastAsia="zh-TW"/>
        </w:rPr>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oMath>
      </m:oMathPara>
    </w:p>
    <w:p w14:paraId="0DC9768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dual-branch design strengthens edge-rich feature regions along both channel and spatial dimensions, while blurry, diffuse reflection regions are suppressed by their weak Sobel response. Because both wc and ws are driven by fixed Sobel gradients, their computation does not depend on scene content — this is why we expect stable attention behavior across the cross-scene deployment we tested.</w:t>
      </w:r>
    </w:p>
    <w:p w14:paraId="04D3E78B"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50666735" w14:textId="77777777" w:rsidR="008672B1" w:rsidRDefault="008672B1">
      <w:pPr>
        <w:sectPr w:rsidR="008672B1">
          <w:type w:val="continuous"/>
          <w:pgSz w:w="11906" w:h="16838"/>
          <w:pgMar w:top="1417" w:right="1298" w:bottom="1701" w:left="1077" w:header="720" w:footer="720" w:gutter="0"/>
          <w:cols w:num="2" w:space="454"/>
        </w:sectPr>
      </w:pPr>
    </w:p>
    <w:p w14:paraId="03924070" w14:textId="77777777" w:rsidR="00DB5D4F" w:rsidRPr="00CC21FE" w:rsidRDefault="00000000">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inline distT="0" distB="0" distL="0" distR="0" wp14:anchorId="4BB9B234" wp14:editId="7D3B574C">
            <wp:extent cx="4786746" cy="1847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4823194" cy="1847066"/>
                    </a:xfrm>
                    <a:prstGeom prst="rect">
                      <a:avLst/>
                    </a:prstGeom>
                    <a:ln>
                      <a:noFill/>
                    </a:ln>
                    <a:extLst>
                      <a:ext uri="{53640926-AAD7-44D8-BBD7-CCE9431645EC}">
                        <a14:shadowObscured xmlns:a14="http://schemas.microsoft.com/office/drawing/2010/main"/>
                      </a:ext>
                    </a:extLst>
                  </pic:spPr>
                </pic:pic>
              </a:graphicData>
            </a:graphic>
          </wp:inline>
        </w:drawing>
      </w:r>
    </w:p>
    <w:p w14:paraId="1CBEB68C"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2. Detailed structure of the SGA module. Sobel features are sequentially recalibrated by channel attention (1×1 convolution) and spatial attention (7×7 convolution), then element-wise multiplied with the original input and fed into the first encoder block of the U-Net.</w:t>
      </w:r>
    </w:p>
    <w:p w14:paraId="5B6DD2A1" w14:textId="77777777" w:rsidR="008672B1" w:rsidRDefault="008672B1">
      <w:pPr>
        <w:sectPr w:rsidR="008672B1">
          <w:type w:val="continuous"/>
          <w:pgSz w:w="11906" w:h="16838"/>
          <w:pgMar w:top="1417" w:right="1298" w:bottom="1701" w:left="1077" w:header="720" w:footer="720" w:gutter="0"/>
          <w:cols w:space="720"/>
        </w:sectPr>
      </w:pPr>
    </w:p>
    <w:p w14:paraId="1F36460E"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002A3938" w14:textId="77777777" w:rsidR="008672B1" w:rsidRDefault="008672B1"/>
    <w:p w14:paraId="6EE1BA4F" w14:textId="77777777" w:rsidR="00FF4807" w:rsidRPr="00CC21FE" w:rsidRDefault="00000000">
      <w:pPr>
        <w:jc w:val="both"/>
        <w:rPr>
          <w:rFonts w:ascii="Times New Roman" w:eastAsia="標楷體" w:hAnsi="Times New Roman"/>
        </w:rPr>
      </w:pPr>
      <w:r>
        <w:rPr>
          <w:rFonts w:ascii="Times New Roman" w:eastAsia="標楷體" w:hAnsi="Times New Roman"/>
          <w:b/>
          <w:sz w:val="20"/>
        </w:rPr>
        <w:t>3.3. U-Net Generator Architecture</w:t>
      </w:r>
    </w:p>
    <w:p w14:paraId="64B565E7" w14:textId="77777777" w:rsidR="008672B1" w:rsidRDefault="008672B1"/>
    <w:p w14:paraId="1E134B3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The SGA module is followed by the standard Pix2Pix U-Net generator [13][23]. The encoder consists of 7 downsampling blocks and the decoder consists of 7 upsampling blocks, connected via skip connections that pass encoder feature maps at corresponding resolutions to preserve spatial details. The final layer outputs pixel values to [-1, 1] via tanh activation. All input and output images are normalized to [-1, 1] range via xnorm = x / 127.5 - 1.</w:t>
      </w:r>
    </w:p>
    <w:p w14:paraId="6539B0A8" w14:textId="77777777" w:rsidR="008672B1" w:rsidRDefault="008672B1"/>
    <w:p w14:paraId="713B0CE6"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3.4. PatchGAN Discriminator</w:t>
      </w:r>
    </w:p>
    <w:p w14:paraId="016AB4AA" w14:textId="77777777" w:rsidR="008672B1" w:rsidRDefault="008672B1"/>
    <w:p w14:paraId="75A1A0D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PatchGAN discriminator [13] judges the authenticity of overlapping N×N patches separately, rather than outputting a single scalar for the whole image. This focuses the discriminator on high-frequency local texture. Because reflections mainly affect local regions, patch-level judgment provides a more precise gradient signal, making it especially suitable for reflection removal. Our discriminator consists of 4 convolutional layers plus a 1×1 output layer.</w:t>
      </w:r>
    </w:p>
    <w:p w14:paraId="54A36192" w14:textId="77777777" w:rsidR="008672B1" w:rsidRDefault="008672B1"/>
    <w:p w14:paraId="1AE2F5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3.5. Loss Function</w:t>
      </w:r>
    </w:p>
    <w:p w14:paraId="0FFBC809" w14:textId="77777777" w:rsidR="008672B1" w:rsidRDefault="008672B1"/>
    <w:p w14:paraId="4935B498"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training objective combines adversarial loss with pixel reconstruction loss:</w:t>
      </w:r>
    </w:p>
    <w:p w14:paraId="2C5E1552"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L1</m:t>
              </m:r>
            </m:sub>
          </m:sSub>
        </m:oMath>
      </m:oMathPara>
    </w:p>
    <w:p w14:paraId="3064A60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adversarial loss Ladv uses mean squared error:</w:t>
      </w:r>
    </w:p>
    <w:p w14:paraId="20435AED"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=E</m:t>
          </m:r>
          <m:d>
            <m:dPr>
              <m:begChr m:val="["/>
              <m:endChr m:val="]"/>
              <m:ctrlPr>
                <w:rPr>
                  <w:rFonts w:ascii="Cambria Math" w:hAnsi="Cambria Math"/>
                </w:rPr>
              </m:ctrlPr>
            </m:dPr>
            <m:e>
              <m:r>
                <w:rPr>
                  <w:rFonts w:ascii="Cambria Math" w:hAnsi="Cambria Math"/>
                </w:rPr>
                <m:t>‖D(G(x))-1</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+E</m:t>
          </m:r>
          <m:d>
            <m:dPr>
              <m:begChr m:val="["/>
              <m:endChr m:val="]"/>
              <m:ctrlPr>
                <w:rPr>
                  <w:rFonts w:ascii="Cambria Math" w:hAnsi="Cambria Math"/>
                </w:rPr>
              </m:ctrlPr>
            </m:dPr>
            <m:e>
              <m:r>
                <w:rPr>
                  <w:rFonts w:ascii="Cambria Math" w:hAnsi="Cambria Math"/>
                </w:rPr>
                <m:t>‖D(y)-0</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530408E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L1 pixel reconstruction loss spatially constrains the difference between the generated image and the ground-truth reflection-free image:</w:t>
      </w:r>
    </w:p>
    <w:p w14:paraId="5CD60804"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L1</m:t>
              </m:r>
            </m:sub>
          </m:sSub>
          <m:r>
            <w:rPr>
              <w:rFonts w:ascii="Cambria Math" w:hAnsi="Cambria Math"/>
            </w:rPr>
            <m:t>=E</m:t>
          </m:r>
          <m:d>
            <m:dPr>
              <m:begChr m:val="["/>
              <m:endChr m:val="]"/>
              <m:ctrlPr>
                <w:rPr>
                  <w:rFonts w:ascii="Cambria Math" w:hAnsi="Cambria Math"/>
                </w:rPr>
              </m:ctrlPr>
            </m:dPr>
            <m:e>
              <m:r>
                <w:rPr>
                  <w:rFonts w:ascii="Cambria Math" w:hAnsi="Cambria Math"/>
                </w:rPr>
                <m:t>‖y-G(x)</m:t>
              </m:r>
              <m:sSub>
                <m:sSubPr>
                  <m:ctrlPr>
                    <w:rPr>
                      <w:rFonts w:ascii="Cambria Math" w:hAnsi="Cambria Math"/>
                    </w:rPr>
                  </m:ctrlPr>
                </m:sSubPr>
                <m:e>
                  <m:r>
                    <w:rPr>
                      <w:rFonts w:ascii="Cambria Math" w:hAnsi="Cambria Math"/>
                    </w:rPr>
                    <m:t>‖</m:t>
                  </m:r>
                </m:e>
                <m:sub>
                  <m:r>
                    <w:rPr>
                      <w:rFonts w:ascii="Cambria Math" w:hAnsi="Cambria Math"/>
                    </w:rPr>
                    <m:t>1</m:t>
                  </m:r>
                </m:sub>
              </m:sSub>
            </m:e>
          </m:d>
        </m:oMath>
      </m:oMathPara>
    </w:p>
    <w:p w14:paraId="19FE5E9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weight coefficient λ = 100 heavily favors the L1 term, ensuring pixel-level structural accuracy while the adversarial loss supplements perceptual realism. This configuration is consistent with the original Pix2Pix settings [13].</w:t>
      </w:r>
    </w:p>
    <w:p w14:paraId="4E7F983A" w14:textId="77777777" w:rsidR="008672B1" w:rsidRDefault="008672B1"/>
    <w:p w14:paraId="0FFFCCF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3.6. Training Configuration</w:t>
      </w:r>
    </w:p>
    <w:p w14:paraId="636664FC" w14:textId="77777777" w:rsidR="008672B1" w:rsidRDefault="008672B1"/>
    <w:p w14:paraId="6A3D082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Input and output images are uniformly resized to 256×256 pixels. The Adam optimizer is used with a learning rate of 5e-5, training for 500 epochs with a batch size of 8. Data augmentation employs random horizontal flipping applied synchronously to input-output pairs to maintain correct pixel correspondence.</w:t>
      </w:r>
    </w:p>
    <w:p w14:paraId="426F0D52" w14:textId="77777777" w:rsidR="008672B1" w:rsidRDefault="008672B1"/>
    <w:p w14:paraId="395EE95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14:paraId="092B882E" w14:textId="77777777" w:rsidR="008672B1" w:rsidRDefault="008672B1"/>
    <w:p w14:paraId="6613F5B2"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4.1. Experimental Design</w:t>
      </w:r>
    </w:p>
    <w:p w14:paraId="26C59538" w14:textId="77777777" w:rsidR="008672B1" w:rsidRDefault="008672B1"/>
    <w:p w14:paraId="04FA39D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Our model is trained entirely on public SIRR datasets, without any target-scene images. After training, it is deployed directly to the museum scene to evaluate reflection removal in this 'never-seen target domain'.</w:t>
      </w:r>
    </w:p>
    <w:p w14:paraId="0E8AE027" w14:textId="77777777" w:rsidR="008672B1" w:rsidRDefault="008672B1"/>
    <w:p w14:paraId="00C5FE3B"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4.1.1. Training Dataset (Public SIRR Datasets)</w:t>
      </w:r>
    </w:p>
    <w:p w14:paraId="46B6CA8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training data integrates four public SIRR datasets: SIR² [24] (large-scale real-scene pairs, diverse reflection types), IBCLN [7] (real-scene reflection image pairs across indoor environments), ERRNET [25] (varied materials and lighting, rich reflection-intensity variation), and RFC [26] (flash-assisted pairs covering multiple glass materials and indoor lighting).</w:t>
      </w:r>
    </w:p>
    <w:p w14:paraId="6D84F74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four datasets are merged and randomly split, with 80% as the training set (1951 pairs) and 20% as the test set (491 pairs). Splitting uses random sampling rather than dataset-based partitioning, ensuring that training and test sets have similar distributions of reflection types, scene diversity, and lighting conditions.</w:t>
      </w:r>
    </w:p>
    <w:p w14:paraId="21107B93" w14:textId="77777777" w:rsidR="00FF4807" w:rsidRPr="00CC21FE" w:rsidRDefault="00000000" w:rsidP="000F2453">
      <w:pPr>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10618335" w14:textId="77777777" w:rsidR="00DB5D4F" w:rsidRPr="00C7617A" w:rsidRDefault="00000000" w:rsidP="00C7617A">
      <w:pPr>
        <w:jc w:val="center"/>
        <w:rPr>
          <w:rFonts w:ascii="Times New Roman" w:eastAsia="標楷體" w:hAnsi="Times New Roman"/>
          <w:sz w:val="20"/>
          <w:lang w:eastAsia="zh-TW"/>
        </w:rPr>
      </w:pPr>
      <w:r>
        <w:rPr>
          <w:rFonts w:ascii="Times New Roman" w:eastAsia="標楷體" w:hAnsi="Times New Roman"/>
          <w:sz w:val="20"/>
          <w:lang w:eastAsia="zh-TW"/>
        </w:rPr>
        <w:t>Fig. 3. Sample examples from the training dataset (left: Original, source image with reflection; right: Generated, corresponding model output). The scenes involve ordinary architecture and vegetation, completely unrelated to museum artifacts, directly illustrating that the training data and evaluation scenes come from unrelated sources.</w:t>
      </w:r>
    </w:p>
    <w:p w14:paraId="07F342B4" w14:textId="77777777" w:rsidR="008672B1" w:rsidRDefault="008672B1"/>
    <w:p w14:paraId="1A529A95"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4.1.2. Case Study: Museum Collection Evaluation Set</w:t>
      </w:r>
    </w:p>
    <w:p w14:paraId="6E00F98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our chosen cross-scene case. It is a typical instance where target-scene paired data are entirely unobtainable at scale, yet it offers a quantifiable downstream recognition accuracy. The evaluation set contains 699 reflection-laden museum artifact images spanning 7 categories — ceramics, metal artifacts, and 3D sculptures. None of these images were used in training; they serve only to validate the cross-scene downstream benefit.</w:t>
      </w:r>
    </w:p>
    <w:p w14:paraId="3671A11C"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evaluation set provides only downstream recognition accuracy and cannot provide PSNR/SSIM/LPIPS quantitative metrics.</w:t>
      </w:r>
    </w:p>
    <w:p w14:paraId="403E8CC2" w14:textId="77777777" w:rsidR="008672B1" w:rsidRDefault="008672B1"/>
    <w:p w14:paraId="3AAAC34C"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4.2. Evaluation Metrics</w:t>
      </w:r>
    </w:p>
    <w:p w14:paraId="441305C3" w14:textId="77777777" w:rsidR="008672B1" w:rsidRDefault="008672B1"/>
    <w:p w14:paraId="28D0EACC" w14:textId="77777777" w:rsidR="00A83560" w:rsidRPr="00CC21FE"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This paper adopts a two-tier evaluation strategy:</w:t>
      </w:r>
    </w:p>
    <w:p w14:paraId="71CC6F98" w14:textId="77777777" w:rsidR="00A83560" w:rsidRPr="00CC21FE" w:rsidRDefault="00000000">
      <w:pPr>
        <w:jc w:val="both"/>
        <w:rPr>
          <w:rFonts w:ascii="Times New Roman" w:eastAsia="標楷體" w:hAnsi="Times New Roman"/>
          <w:sz w:val="20"/>
          <w:lang w:eastAsia="zh-TW"/>
        </w:rPr>
      </w:pPr>
      <w:r>
        <w:rPr>
          <w:rFonts w:ascii="Times New Roman" w:eastAsia="標楷體" w:hAnsi="Times New Roman"/>
          <w:sz w:val="20"/>
          <w:lang w:eastAsia="zh-TW"/>
        </w:rPr>
        <w:t>(1) Image restoration metrics (on the public SIRR test set): PSNR, SSIM [27], LPIPS [28];</w:t>
      </w:r>
    </w:p>
    <w:p w14:paraId="4AE2121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Cross-scene downstream benefit (museum evaluation set): YOLOv8 [2] exhibit classification accuracy, which directly reflects the impact of reflection removal on real recognition. Together, these two tiers quantify in-distribution restoration quality and target-domain practical benefit, giving a fuller picture of cross-scene generalization.</w:t>
      </w:r>
    </w:p>
    <w:p w14:paraId="5DDD6143" w14:textId="77777777" w:rsidR="008672B1" w:rsidRDefault="008672B1"/>
    <w:p w14:paraId="10E91DCF"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4.3. Ablation Study: Contribution of SGA to Generalization</w:t>
      </w:r>
    </w:p>
    <w:p w14:paraId="5A295933" w14:textId="77777777" w:rsidR="008672B1" w:rsidRDefault="008672B1"/>
    <w:p w14:paraId="7F4FF2E8" w14:textId="77777777" w:rsidR="00FF4807"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To verify SGA's effectiveness, we compare two configurations on the public SIRR test set: (a) baseline Pix2Pix (no attention module); (b) Pix2Pix+SGA (ours, with the full dual-branch Sobel-guided attention). Quantitative results are shown in Table 1.</w:t>
      </w:r>
    </w:p>
    <w:p w14:paraId="3926B860" w14:textId="77777777" w:rsidR="00831731" w:rsidRPr="00CC21FE" w:rsidRDefault="00831731">
      <w:pPr>
        <w:jc w:val="both"/>
        <w:rPr>
          <w:rFonts w:ascii="Times New Roman" w:eastAsia="標楷體" w:hAnsi="Times New Roman"/>
          <w:lang w:eastAsia="zh-TW"/>
        </w:rPr>
      </w:pPr>
    </w:p>
    <w:p w14:paraId="1D7C0BBA"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1. Ablation experiment results on the public SIRR test set (491 pairs).</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3E429B9" w14:textId="77777777">
        <w:trPr>
          <w:jc w:val="center"/>
        </w:trPr>
        <w:tc>
          <w:tcPr>
            <w:tcW w:w="2160" w:type="dxa"/>
            <w:tcBorders>
              <w:top w:val="single" w:sz="8" w:space="0" w:color="000000"/>
              <w:bottom w:val="single" w:sz="4" w:space="0" w:color="000000"/>
            </w:tcBorders>
          </w:tcPr>
          <w:p w14:paraId="3ADA91A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Method</w:t>
            </w:r>
            <w:proofErr w:type="spellEnd"/>
          </w:p>
        </w:tc>
        <w:tc>
          <w:tcPr>
            <w:tcW w:w="864" w:type="dxa"/>
            <w:tcBorders>
              <w:top w:val="single" w:sz="8" w:space="0" w:color="000000"/>
              <w:bottom w:val="single" w:sz="4" w:space="0" w:color="000000"/>
            </w:tcBorders>
          </w:tcPr>
          <w:p w14:paraId="6E1348A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74D802D7"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1DF1E4D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22E0911" w14:textId="77777777">
        <w:trPr>
          <w:jc w:val="center"/>
        </w:trPr>
        <w:tc>
          <w:tcPr>
            <w:tcW w:w="2160" w:type="dxa"/>
          </w:tcPr>
          <w:p w14:paraId="43218B74"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8EFB48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1EEDCBF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23B7185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79A0F1AA" w14:textId="77777777">
        <w:trPr>
          <w:jc w:val="center"/>
        </w:trPr>
        <w:tc>
          <w:tcPr>
            <w:tcW w:w="2160" w:type="dxa"/>
            <w:tcBorders>
              <w:bottom w:val="single" w:sz="8" w:space="0" w:color="000000"/>
            </w:tcBorders>
          </w:tcPr>
          <w:p w14:paraId="7B1E98E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864" w:type="dxa"/>
            <w:tcBorders>
              <w:bottom w:val="single" w:sz="8" w:space="0" w:color="000000"/>
            </w:tcBorders>
          </w:tcPr>
          <w:p w14:paraId="5FDBE9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1296AD7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3989E19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2E63F85A" w14:textId="77777777" w:rsidR="00831731" w:rsidRDefault="00831731">
      <w:pPr>
        <w:ind w:firstLine="360"/>
        <w:jc w:val="both"/>
        <w:rPr>
          <w:rFonts w:ascii="Times New Roman" w:eastAsia="標楷體" w:hAnsi="Times New Roman"/>
          <w:sz w:val="20"/>
          <w:lang w:eastAsia="zh-TW"/>
        </w:rPr>
      </w:pPr>
    </w:p>
    <w:p w14:paraId="4C3B564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Table 1 shows that adding SGA yields PSNR (22.682 dB) and SSIM (0.8192) slightly below baseline Pix2Pix (23.896 dB / 0.8706), while LPIPS (0.2178) is higher than baseline (0.1630). This does not necessarily indicate degraded reflection removal — it is a common trait of GAN-based methods under perception-oriented optimization. Blau and Michaeli [29] proved a fundamental trade-off between perceptual quality and distortion metrics, where higher perceptual quality tends to lower PSNR/SSIM. Ledig et al. [30] confirmed the same pattern in super-resolution: minimizing MSE encourages a model to output the pixel-wise mean of plausible solutions, which looks overly smooth. Our Pix2Pix L1 loss [13] shares this mechanism, and SGA's adversarial training pushes the model toward the perceptual boundary, so some drop in PSNR/SSIM is expected.</w:t>
      </w:r>
    </w:p>
    <w:p>
      <w:pPr>
        <w:ind w:firstLine="360"/>
        <w:jc w:val="both"/>
        <w:rPr>
          <w:rFonts w:ascii="Times New Roman" w:eastAsia="標楷體" w:hAnsi="Times New Roman"/>
          <w:lang w:eastAsia="zh-TW"/>
        </w:rPr>
      </w:pPr>
      <w:r>
        <w:rPr>
          <w:rFonts w:ascii="Times New Roman" w:hAnsi="Times New Roman"/>
          <w:sz w:val="20"/>
        </w:rPr>
        <w:t>A breakdown by reflection severity clarifies this pattern further. Using the per-pixel difference between each reflection image and its paired ground truth as a proxy for reflection severity, we split the 491 test pairs into quartiles. The PSNR gap between Pix2Pix+SGA and Baseline narrows sharply with increasing severity: from −2.494 dB in the lightest quartile, to −1.249 dB, to −0.475 dB in the third quartile — an overall five-fold narrowing — before ticking back up slightly to −0.650 dB in the heaviest quartile. SSIM shows the same direction but more weakly (−0.057 to −0.045), while LPIPS shows essentially no such trend (+0.056 to +0.053 across quartiles). Consistent with this, the average PSNR gap (−1.214 dB) is driven disproportionately by a tail of cases. The worst-performing 20% of images account for a −3.743 dB gap, while the remaining 80% average only −0.583 dB (median gap: −0.799 dB, also below the mean), and 59% of this worst-performing tail overlaps with the lightest-reflection quartile. We interpret this as evidence that SGA's fixed structural prior contributes least on images where reflection is already mild and the baseline reconstructs accurately without help, while its relative disadvantage shrinks substantially on more severely reflective cases — closer to the deployment scenarios this paper targets. This pattern is clearest for PSNR, weaker for SSIM, and not observed for LPIPS, so it should be read as a partial, metric-specific explanation rather than a complete account of the gap.</w:t>
      </w:r>
    </w:p>
    <w:p>
      <w:pPr>
        <w:ind w:firstLine="360"/>
        <w:jc w:val="both"/>
        <w:rPr>
          <w:rFonts w:ascii="Times New Roman" w:eastAsia="標楷體" w:hAnsi="Times New Roman"/>
          <w:lang w:eastAsia="zh-TW"/>
        </w:rPr>
      </w:pPr>
      <w:r>
        <w:rPr>
          <w:rFonts w:ascii="Times New Roman" w:hAnsi="Times New Roman"/>
          <w:sz w:val="20"/>
        </w:rPr>
        <w:t>We additionally tested whether limited input resolution (256×256) is the primary driver of the reconstruction gap by training a 512×512 variant (SGA-512, 360 epochs). Results showed only marginal PSNR/SSIM improvement (+0.14 dB / +0.02) and no LPIPS improvement (LPIPS increased from 0.217 to 0.238), while requiring a halved batch size (8→4) due to VRAM constraints. This suggests input resolution is not the primary bottleneck behind the observed gap, and we did not pursue this direction further given the increased training cost relative to the marginal benefit.</w:t>
      </w:r>
    </w:p>
    <w:p w14:paraId="1B68F958"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53276DE" w14:textId="77777777" w:rsidR="00DB5D4F" w:rsidRPr="00CC21FE" w:rsidRDefault="00DB5D4F">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1C06EA95" w14:textId="77777777" w:rsidR="008672B1" w:rsidRDefault="008672B1">
      <w:pPr>
        <w:sectPr w:rsidR="008672B1">
          <w:type w:val="continuous"/>
          <w:pgSz w:w="11906" w:h="16838"/>
          <w:pgMar w:top="1417" w:right="1298" w:bottom="1701" w:left="1077" w:header="720" w:footer="720" w:gutter="0"/>
          <w:cols w:num="2" w:space="454"/>
        </w:sectPr>
      </w:pPr>
    </w:p>
    <w:p w14:paraId="506217FD" w14:textId="77777777" w:rsidR="00DB5D4F" w:rsidRPr="00CC21FE" w:rsidRDefault="00DB5D4F" w:rsidP="00DB5D4F">
      <w:pPr>
        <w:jc w:val="center"/>
        <w:rPr>
          <w:rFonts w:ascii="Times New Roman" w:eastAsia="標楷體" w:hAnsi="Times New Roman"/>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3A59F195" w14:textId="38D57C37" w:rsidR="008672B1" w:rsidRPr="003F4C93" w:rsidRDefault="00000000" w:rsidP="003F4C93">
      <w:pPr>
        <w:jc w:val="center"/>
        <w:rPr>
          <w:rFonts w:ascii="Times New Roman" w:eastAsia="標楷體" w:hAnsi="Times New Roman"/>
          <w:lang w:eastAsia="zh-TW"/>
        </w:rPr>
        <w:sectPr w:rsidR="008672B1" w:rsidRPr="003F4C93">
          <w:type w:val="continuous"/>
          <w:pgSz w:w="11906" w:h="16838"/>
          <w:pgMar w:top="1417" w:right="1298" w:bottom="1701" w:left="1077" w:header="720" w:footer="720" w:gutter="0"/>
          <w:cols w:space="720"/>
        </w:sectPr>
      </w:pPr>
      <w:r>
        <w:rPr>
          <w:rFonts w:ascii="Times New Roman" w:eastAsia="標楷體" w:hAnsi="Times New Roman"/>
          <w:sz w:val="20"/>
        </w:rPr>
        <w:t>Fig. 4. Examples of reflection removal results on the training dataset (Original/Generated comparison). The reflection regions are visibly and substantially reduced, showing that the model has genuine reflection removal capability in its training domain. This should be interpreted together with the quantitative metrics in Table 1 (see the Perception-Distortion Tradeoff discussion above).</w:t>
      </w:r>
    </w:p>
    <w:p w14:paraId="2795AA8F"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638DB89"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lastRenderedPageBreak/>
        <w:t>4.4. Visual Comparison and Attention Map Analysis</w:t>
      </w:r>
    </w:p>
    <w:p w14:paraId="7E4B0609" w14:textId="77777777" w:rsidR="008672B1" w:rsidRDefault="008672B1"/>
    <w:p w14:paraId="1F337D6F" w14:textId="77777777" w:rsidR="00FF4807" w:rsidRPr="00CC21FE" w:rsidRDefault="00831731">
      <w:pPr>
        <w:ind w:firstLine="360"/>
        <w:jc w:val="both"/>
        <w:rPr>
          <w:rFonts w:ascii="Times New Roman" w:eastAsia="標楷體" w:hAnsi="Times New Roman"/>
          <w:lang w:eastAsia="zh-TW"/>
        </w:rPr>
      </w:pPr>
      <w:r>
        <w:rPr>
          <w:rFonts w:ascii="Times New Roman" w:eastAsia="標楷體" w:hAnsi="Times New Roman"/>
          <w:sz w:val="20"/>
          <w:lang w:eastAsia="zh-TW"/>
        </w:rPr>
        <w:t>Fig. 5 shows a before/after comparison of museum artifacts under Pix2Pix+SGA. Reflection regions are visibly weakened, providing qualitative evidence consistent with the Sobel prior's edge-aware attention transferring to the museum scene.</w:t>
      </w:r>
    </w:p>
    <w:p w14:paraId="155FD00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Fig. 6 visualizes the Sobel gradient magnitude that drives SGA's attention. High gradients concentrate on exhibit edges and material details, while diffuse reflection areas show clearly lower gradients — suggesting that SGA's attention continues to emphasize object structure over reflection regions in the museum domain.</w:t>
      </w:r>
    </w:p>
    <w:p w14:paraId="17BCB267" w14:textId="77777777" w:rsidR="004B5988" w:rsidRPr="00CC21FE" w:rsidRDefault="004B5988">
      <w:pPr>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14:paraId="3D14D7AF" w14:textId="77777777" w:rsidR="008672B1" w:rsidRDefault="008672B1">
      <w:pPr>
        <w:sectPr w:rsidR="008672B1">
          <w:type w:val="continuous"/>
          <w:pgSz w:w="11906" w:h="16838"/>
          <w:pgMar w:top="1417" w:right="1298" w:bottom="1701" w:left="1077" w:header="720" w:footer="720" w:gutter="0"/>
          <w:cols w:num="2" w:space="454"/>
        </w:sectPr>
      </w:pPr>
    </w:p>
    <w:p w14:paraId="63A32C3D" w14:textId="77777777" w:rsidR="004B5988" w:rsidRPr="00CC21FE" w:rsidRDefault="001B284F" w:rsidP="001B284F">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3950970" cy="1508913"/>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3950970" cy="1508913"/>
                    </a:xfrm>
                    <a:prstGeom prst="rect">
                      <a:avLst/>
                    </a:prstGeom>
                  </pic:spPr>
                </pic:pic>
              </a:graphicData>
            </a:graphic>
            <wp14:sizeRelH relativeFrom="margin">
              <wp14:pctWidth>0</wp14:pctWidth>
            </wp14:sizeRelH>
            <wp14:sizeRelV relativeFrom="margin">
              <wp14:pctHeight>0</wp14:pctHeight>
            </wp14:sizeRelV>
          </wp:anchor>
        </w:drawing>
      </w:r>
    </w:p>
    <w:p w14:paraId="05E50DEF" w14:textId="77777777" w:rsidR="00FF4807" w:rsidRPr="00CC21FE" w:rsidRDefault="00000000" w:rsidP="001B284F">
      <w:pPr>
        <w:jc w:val="center"/>
        <w:rPr>
          <w:rFonts w:ascii="Times New Roman" w:eastAsia="標楷體" w:hAnsi="Times New Roman"/>
          <w:lang w:eastAsia="zh-TW"/>
        </w:rPr>
      </w:pPr>
      <w:r>
        <w:rPr>
          <w:rFonts w:ascii="Times New Roman" w:eastAsia="標楷體" w:hAnsi="Times New Roman"/>
          <w:sz w:val="20"/>
          <w:lang w:eastAsia="zh-TW"/>
        </w:rPr>
        <w:t>Fig. 5. Cross-scene visual comparison on museum collection items.</w:t>
      </w:r>
    </w:p>
    <w:p w14:paraId="3F544146" w14:textId="77777777" w:rsidR="008672B1" w:rsidRDefault="008672B1">
      <w:pPr>
        <w:sectPr w:rsidR="008672B1">
          <w:type w:val="continuous"/>
          <w:pgSz w:w="11906" w:h="16838"/>
          <w:pgMar w:top="1417" w:right="1298" w:bottom="1701" w:left="1077" w:header="720" w:footer="720" w:gutter="0"/>
          <w:cols w:space="720"/>
        </w:sectPr>
      </w:pPr>
    </w:p>
    <w:p w14:paraId="1E58DDCB" w14:textId="77777777" w:rsidR="00FF4807" w:rsidRPr="00CC21FE" w:rsidRDefault="00000000" w:rsidP="001B284F">
      <w:pPr>
        <w:jc w:val="center"/>
        <w:rPr>
          <w:rFonts w:ascii="Times New Roman" w:eastAsia="標楷體" w:hAnsi="Times New Roman"/>
        </w:rPr>
      </w:pPr>
      <w:r>
        <w:rPr>
          <w:rFonts w:ascii="Times New Roman" w:eastAsia="標楷體" w:hAnsi="Times New Roman"/>
          <w:sz w:val="20"/>
        </w:rPr>
        <w:t>Top: originals with reflection (Original); middle: Baseline Pix2Pix results; bottom: Pix2Pix+SGA results (Ours).</w:t>
      </w:r>
    </w:p>
    <w:p w14:paraId="52417389" w14:textId="77777777" w:rsidR="004B5988" w:rsidRPr="00CC21FE" w:rsidRDefault="004B5988">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p>
    <w:p w14:paraId="33FA30DA" w14:textId="5ED8A586" w:rsidR="00FF4807" w:rsidRPr="00CC21FE" w:rsidRDefault="00B947FC">
      <w:pPr>
        <w:jc w:val="center"/>
        <w:rPr>
          <w:rFonts w:ascii="Times New Roman" w:eastAsia="標楷體" w:hAnsi="Times New Roman"/>
        </w:rPr>
      </w:pPr>
      <w:r>
        <w:rPr>
          <w:rFonts w:ascii="Times New Roman" w:eastAsia="標楷體" w:hAnsi="Times New Roman"/>
          <w:noProof/>
        </w:rPr>
        <mc:AlternateContent>
          <mc:Choice Requires="wps">
            <w:drawing>
              <wp:anchor distT="0" distB="0" distL="114300" distR="114300" simplePos="0" relativeHeight="251661312" behindDoc="0" locked="0" layoutInCell="1" allowOverlap="1" wp14:anchorId="3852E238" wp14:editId="620BC1CA">
                <wp:simplePos x="0" y="0"/>
                <wp:positionH relativeFrom="column">
                  <wp:posOffset>529706</wp:posOffset>
                </wp:positionH>
                <wp:positionV relativeFrom="paragraph">
                  <wp:posOffset>152458</wp:posOffset>
                </wp:positionV>
                <wp:extent cx="284018" cy="138546"/>
                <wp:effectExtent l="57150" t="19050" r="20955" b="90170"/>
                <wp:wrapNone/>
                <wp:docPr id="231088305"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51BDA6" id="橢圓 1" o:spid="_x0000_s1026" style="position:absolute;margin-left:41.7pt;margin-top:12pt;width:22.35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" filled="f" strokecolor="#e00">
                <v:shadow on="t" color="black" opacity="22937f" origin=",.5" offset="0,.63889mm"/>
              </v:oval>
            </w:pict>
          </mc:Fallback>
        </mc:AlternateContent>
      </w:r>
      <w:r>
        <w:rPr>
          <w:rFonts w:ascii="Times New Roman" w:eastAsia="標楷體" w:hAnsi="Times New Roman"/>
          <w:noProof/>
        </w:rPr>
        <mc:AlternateContent>
          <mc:Choice Requires="wps">
            <w:drawing>
              <wp:anchor distT="0" distB="0" distL="114300" distR="114300" simplePos="0" relativeHeight="251659264" behindDoc="0" locked="0" layoutInCell="1" allowOverlap="1" wp14:anchorId="4366E3BE" wp14:editId="4922FFE7">
                <wp:simplePos x="0" y="0"/>
                <wp:positionH relativeFrom="column">
                  <wp:posOffset>1685232</wp:posOffset>
                </wp:positionH>
                <wp:positionV relativeFrom="paragraph">
                  <wp:posOffset>161232</wp:posOffset>
                </wp:positionV>
                <wp:extent cx="284018" cy="138546"/>
                <wp:effectExtent l="57150" t="19050" r="20955" b="90170"/>
                <wp:wrapNone/>
                <wp:docPr id="513318448"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A123E9" id="橢圓 1" o:spid="_x0000_s1026" style="position:absolute;margin-left:132.7pt;margin-top:12.7pt;width:22.35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" filled="f" strokecolor="#e00">
                <v:shadow on="t" color="black" opacity="22937f" origin=",.5" offset="0,.63889mm"/>
              </v:oval>
            </w:pict>
          </mc:Fallback>
        </mc:AlternateContent>
      </w: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2030EC1F"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0FDF1B5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6. Sobel gradient magnitude visualization (left: original; right: gradient magnitude). Top: with reflection — high gradients only at the reflection boundary, low internally; bottom: without reflection — gradients concentrate on object structural edges. This contrast is the basis for SGA's attention-guidance signal.</w:t>
      </w:r>
    </w:p>
    <w:p w14:paraId="7D285CF3"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1082C4A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7. Training loss curves (blue: Generator loss; orange: Discriminator loss; x-axis: iterations).</w:t>
      </w:r>
    </w:p>
    <w:p w14:paraId="03BEDD37" w14:textId="77777777" w:rsidR="008672B1" w:rsidRDefault="008672B1"/>
    <w:p w14:paraId="4C393057"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4.6. Cross-Scene Downstream Validation</w:t>
      </w:r>
    </w:p>
    <w:p w14:paraId="49005DA2" w14:textId="77777777" w:rsidR="008672B1" w:rsidRDefault="008672B1"/>
    <w:p w14:paraId="2E14FC8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Fig. 8 shows YOLOv8 detection boxes and confidence values for the same exhibit images before and after reflection removal, demonstrating its direct gain on downstream recognition.</w:t>
      </w:r>
    </w:p>
    <w:p w14:paraId="76277C8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Quantitatively, YOLOv8 reached 92.7% accuracy on the original reflection-containing images in the museum evaluation set (40 of 699 unrecognized). After Pix2Pix+SGA, 10 of these 40 (25%) became recognized, raising overall accuracy to 94.5% (+1.8 pp).</w:t>
      </w:r>
    </w:p>
    <w:p w14:paraId="63E08867"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The overall accuracy improvement (+1.8 pp) is relatively modest, attributed primarily to two constraining factors:</w:t>
      </w:r>
    </w:p>
    <w:p w14:paraId="37DDB6F4"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(1) The correctable base is inherently small — the 40 of 699 failures (5.7%) cap the theoretical gain at 5.7 pp even if all were recovered; by failure-recovery rate we recovered 10/40 (25%), showing substantial benefit on edge cases.</w:t>
      </w:r>
    </w:p>
    <w:p w14:paraId="4FC078D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(2) The recognition model already achieves a high 92.7% baseline on the original images, so the room for improvement is inherently limited, and reflection removal's marginal contribution is hard to surface in the overall metric. Moreover, our evaluation set (699 images, 7 classes) is small relative to large benchmarks such as COCO, with few samples per class, which makes the overall accuracy sensitive to individual cases.</w:t>
      </w:r>
    </w:p>
    <w:p w14:paraId="3933A93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For comparison, we further applied Baseline Pix2Pix (without SGA) to the museum images before downstream recognition. Baseline removal not only fails to cleanly eliminate glass reflections, but also markedly reduces resolution and blurs the structural and material details of the artifacts (e.g., smeared object contours). As a result, even a detector retrained on baseline-removed images mostly fails to recognize them reliably, producing missed detections, misclassifications, or only low-confidence outputs. We attribute this to the following mechanism: downstream recognition relies primarily on the structural contours and edges of the artifacts as discriminative cues. Baseline Pix2Pix lacks a structural prior, so it indiscriminately smooths high-frequency edges and textures while suppressing reflections, consistent with the L1/adversarial over-smoothing discussed in §4.3. This contour blurring erases discriminative features, so the detector can no longer recognize the objects. This result, in turn, supports the motivation for our fixed Sobel edge prior, which guides attention to preserve object structure during reflection removal.</w:t>
      </w:r>
    </w:p>
    <w:p w14:paraId="25E7E363"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2. Cross-scene downstream recognition accuracy (museum evaluation set, 699 images, 7 exhibit categories).</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79F2036D" w14:textId="77777777">
        <w:trPr>
          <w:jc w:val="center"/>
        </w:trPr>
        <w:tc>
          <w:tcPr>
            <w:tcW w:w="1584" w:type="dxa"/>
            <w:tcBorders>
              <w:top w:val="single" w:sz="8" w:space="0" w:color="000000"/>
              <w:bottom w:val="single" w:sz="4" w:space="0" w:color="000000"/>
            </w:tcBorders>
          </w:tcPr>
          <w:p w14:paraId="4C0B114D"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Condition</w:t>
            </w:r>
            <w:proofErr w:type="spellEnd"/>
          </w:p>
        </w:tc>
        <w:tc>
          <w:tcPr>
            <w:tcW w:w="1008" w:type="dxa"/>
            <w:tcBorders>
              <w:top w:val="single" w:sz="8" w:space="0" w:color="000000"/>
              <w:bottom w:val="single" w:sz="4" w:space="0" w:color="000000"/>
            </w:tcBorders>
          </w:tcPr>
          <w:p w14:paraId="5FA3839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Accuracy (%)</w:t>
            </w:r>
            <w:proofErr w:type="spellEnd"/>
          </w:p>
        </w:tc>
        <w:tc>
          <w:tcPr>
            <w:tcW w:w="2016" w:type="dxa"/>
            <w:tcBorders>
              <w:top w:val="single" w:sz="8" w:space="0" w:color="000000"/>
              <w:bottom w:val="single" w:sz="4" w:space="0" w:color="000000"/>
            </w:tcBorders>
          </w:tcPr>
          <w:p w14:paraId="1EFD63F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Description</w:t>
            </w:r>
            <w:proofErr w:type="spellEnd"/>
          </w:p>
        </w:tc>
      </w:tr>
      <w:tr w:rsidR="00FF4807" w:rsidRPr="00CC21FE" w14:paraId="46411186" w14:textId="77777777">
        <w:trPr>
          <w:jc w:val="center"/>
        </w:trPr>
        <w:tc>
          <w:tcPr>
            <w:tcW w:w="1584" w:type="dxa"/>
          </w:tcPr>
          <w:p w14:paraId="547A6BFA"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Original image (with reflection)</w:t>
            </w:r>
            <w:proofErr w:type="spellEnd"/>
          </w:p>
        </w:tc>
        <w:tc>
          <w:tcPr>
            <w:tcW w:w="1008" w:type="dxa"/>
          </w:tcPr>
          <w:p w14:paraId="778D2790"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D33C6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40 of 699 not recognized</w:t>
            </w:r>
            <w:proofErr w:type="spellStart"/>
            <w:proofErr w:type="spellEnd"/>
            <w:proofErr w:type="spellStart"/>
            <w:proofErr w:type="spellEnd"/>
          </w:p>
        </w:tc>
      </w:tr>
      <w:tr w:rsidR="00FF4807" w:rsidRPr="00CC21FE" w14:paraId="21EFEE03" w14:textId="77777777">
        <w:trPr>
          <w:jc w:val="center"/>
        </w:trPr>
        <w:tc>
          <w:tcPr>
            <w:tcW w:w="1584" w:type="dxa"/>
            <w:tcBorders>
              <w:bottom w:val="single" w:sz="8" w:space="0" w:color="000000"/>
            </w:tcBorders>
          </w:tcPr>
          <w:p w14:paraId="494A1B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1008" w:type="dxa"/>
            <w:tcBorders>
              <w:bottom w:val="single" w:sz="8" w:space="0" w:color="000000"/>
            </w:tcBorders>
          </w:tcPr>
          <w:p w14:paraId="3B1A0E79"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1AA00DC"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 10 of 40 (25%) recovered</w:t>
            </w:r>
          </w:p>
        </w:tc>
      </w:tr>
    </w:tbl>
    <w:p w14:paraId="0C8AA6C2" w14:textId="77777777" w:rsidR="00FF4807" w:rsidRPr="00CC21FE" w:rsidRDefault="00FF4807">
      <w:pPr>
        <w:jc w:val="center"/>
        <w:rPr>
          <w:rFonts w:ascii="Times New Roman" w:eastAsia="標楷體" w:hAnsi="Times New Roman"/>
          <w:lang w:eastAsia="zh-TW"/>
        </w:rPr>
      </w:pPr>
    </w:p>
    <w:p w14:paraId="3E2C26C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tbl>
      <w:tblPr>
        <w:tblStyle w:val="af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0"/>
        <w:gridCol w:w="1340"/>
        <w:gridCol w:w="1340"/>
        <w:gridCol w:w="1340"/>
        <w:gridCol w:w="1340"/>
      </w:tblGrid>
      <w:tr w:rsidR="003F4C93" w14:paraId="2C3D7049" w14:textId="77777777" w:rsidTr="003F4C93">
        <w:tc>
          <w:tcPr>
            <w:tcW w:w="1340" w:type="dxa"/>
            <w:tcMar>
              <w:top w:w="0" w:type="dxa"/>
              <w:left w:w="30" w:type="dxa"/>
              <w:bottom w:w="0" w:type="dxa"/>
              <w:right w:w="30" w:type="dxa"/>
            </w:tcMar>
          </w:tcPr>
          <w:p w14:paraId="51ED1710" w14:textId="130F08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42BB3E4F" wp14:editId="08738DDF">
                  <wp:extent cx="810000" cy="1446429"/>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F9A915D" w14:textId="367990CC"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0B4B32E" wp14:editId="0B4F9C7B">
                  <wp:extent cx="810000" cy="1446429"/>
                  <wp:effectExtent l="0" t="0" r="4445" b="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37C75A61" w14:textId="4092C6F0"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9E6CE9C" wp14:editId="31F414A0">
                  <wp:extent cx="810000" cy="1446429"/>
                  <wp:effectExtent l="0" t="0" r="8255" b="0"/>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75E2FA8D" w14:textId="22B34215"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1FAF50C" wp14:editId="1189AA1C">
                  <wp:extent cx="810000" cy="1446429"/>
                  <wp:effectExtent l="0" t="0" r="508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FB2DFB9" w14:textId="0C45D1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6D783466" wp14:editId="258940C3">
                  <wp:extent cx="810000" cy="1446429"/>
                  <wp:effectExtent l="0" t="0" r="317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F4C93" w14:paraId="3B222192" w14:textId="77777777" w:rsidTr="003F4C93">
        <w:tc>
          <w:tcPr>
            <w:tcW w:w="1340" w:type="dxa"/>
            <w:tcMar>
              <w:top w:w="0" w:type="dxa"/>
              <w:left w:w="30" w:type="dxa"/>
              <w:bottom w:w="0" w:type="dxa"/>
              <w:right w:w="30" w:type="dxa"/>
            </w:tcMar>
          </w:tcPr>
          <w:p w14:paraId="4C095D36" w14:textId="065CE548"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4D4AD96" wp14:editId="641A2E40">
                  <wp:extent cx="810000" cy="1446429"/>
                  <wp:effectExtent l="0" t="0" r="8255" b="381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E49BF67" w14:textId="48B564E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1ED115D" wp14:editId="16961757">
                  <wp:extent cx="810000" cy="1446429"/>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E40A3A5" w14:textId="179459D7"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14739EA" wp14:editId="644FD44D">
                  <wp:extent cx="810000" cy="1446429"/>
                  <wp:effectExtent l="0" t="0" r="7620" b="889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60D2A085" w14:textId="28205DBC"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CB8CAC9" wp14:editId="11BE3C32">
                  <wp:extent cx="810000" cy="1446429"/>
                  <wp:effectExtent l="0" t="0" r="0" b="571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B64F545" w14:textId="71DE6468"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BBED959" wp14:editId="76686C23">
                  <wp:extent cx="810000" cy="1446429"/>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F059B1" w14:textId="77777777" w:rsidR="003F4C93" w:rsidRPr="00CC21FE" w:rsidRDefault="003F4C93" w:rsidP="003F4C93">
      <w:pPr>
        <w:jc w:val="center"/>
        <w:rPr>
          <w:rFonts w:ascii="Times New Roman" w:eastAsia="標楷體" w:hAnsi="Times New Roman"/>
          <w:lang w:eastAsia="zh-TW"/>
        </w:rPr>
      </w:pPr>
      <w:r>
        <w:rPr>
          <w:rFonts w:ascii="Times New Roman" w:eastAsia="標楷體" w:hAnsi="Times New Roman"/>
          <w:sz w:val="20"/>
          <w:lang w:eastAsia="zh-TW"/>
        </w:rPr>
        <w:t>Fig. 8. YOLOv8 recognition result examples: comparison of detection bounding boxes and confidence values between images with reflection (top) and images processed by Pix2Pix+SGA (bottom).</w:t>
      </w:r>
    </w:p>
    <w:p w14:paraId="2A882A39" w14:textId="59275058" w:rsidR="003F4C93" w:rsidRDefault="003F4C93" w:rsidP="00DB5D4F">
      <w:pPr>
        <w:jc w:val="center"/>
        <w:rPr>
          <w:rFonts w:ascii="Times New Roman" w:eastAsia="標楷體" w:hAnsi="Times New Roman"/>
        </w:rPr>
        <w:sectPr w:rsidR="003F4C93" w:rsidSect="003F4C93">
          <w:type w:val="continuous"/>
          <w:pgSz w:w="11906" w:h="16838"/>
          <w:pgMar w:top="1417" w:right="1298" w:bottom="1701" w:left="1077" w:header="720" w:footer="720" w:gutter="0"/>
          <w:cols w:space="454"/>
        </w:sectPr>
      </w:pPr>
    </w:p>
    <w:p w14:paraId="556EBA0A" w14:textId="66842BC5" w:rsidR="003F4C93" w:rsidRDefault="003F4C93" w:rsidP="003F4C93">
      <w:pPr>
        <w:rPr>
          <w:rFonts w:ascii="Times New Roman" w:eastAsia="標楷體" w:hAnsi="Times New Roman"/>
          <w:lang w:eastAsia="zh-TW"/>
        </w:rPr>
        <w:sectPr w:rsidR="003F4C93" w:rsidSect="003F4C93">
          <w:type w:val="continuous"/>
          <w:pgSz w:w="11906" w:h="16838"/>
          <w:pgMar w:top="1417" w:right="1298" w:bottom="1701" w:left="1077" w:header="720" w:footer="720" w:gutter="0"/>
          <w:cols w:space="454"/>
        </w:sectPr>
      </w:pPr>
    </w:p>
    <w:p w14:paraId="3766B811" w14:textId="77777777" w:rsidR="008672B1" w:rsidRPr="003F4C93" w:rsidRDefault="008672B1">
      <w:pPr>
        <w:rPr>
          <w:rFonts w:eastAsia="新細明體"/>
          <w:lang w:eastAsia="zh-TW"/>
        </w:rPr>
      </w:pPr>
    </w:p>
    <w:p w14:paraId="7AB02B6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14:paraId="537F1132" w14:textId="77777777" w:rsidR="008672B1" w:rsidRDefault="008672B1"/>
    <w:p w14:paraId="4CC39D4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5.1. Why a Fixed Sobel Prior Enables Cross-Scene Generalization</w:t>
      </w:r>
    </w:p>
    <w:p w14:paraId="07759F23" w14:textId="77777777" w:rsidR="008672B1" w:rsidRDefault="008672B1"/>
    <w:p w14:paraId="4666BC3C" w14:textId="77777777" w:rsidR="004B5988" w:rsidRPr="00CC21FE" w:rsidRDefault="00000000" w:rsidP="004B5988">
      <w:pPr>
        <w:ind w:firstLine="360"/>
        <w:jc w:val="both"/>
        <w:rPr>
          <w:rFonts w:ascii="Times New Roman" w:eastAsia="標楷體" w:hAnsi="Times New Roman"/>
          <w:lang w:eastAsia="zh-TW"/>
        </w:rPr>
      </w:pPr>
      <w:r>
        <w:rPr>
          <w:rFonts w:ascii="Times New Roman" w:eastAsia="標楷體" w:hAnsi="Times New Roman"/>
          <w:sz w:val="20"/>
          <w:lang w:eastAsia="zh-TW"/>
        </w:rPr>
        <w:t>The most central finding of this paper is that a model trained on a completely different domain, once equipped with SGA, generalizes directly to museum artifacts without any fine-tuning or domain adaptation (§4.6). The training dynamics in Fig. 7 also show that both D loss and G loss converge stably without obvious mode collapse, suggesting that incorporating SGA does not visibly destabilize adversarial training in this run.</w:t>
      </w:r>
    </w:p>
    <w:p w14:paraId="6E501E5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As described in §3.2.1, SGA uses fixed Sobel gradients as the attention-driving signal [6][8][31]. These gradients are computed solely from local pixel values of the input and are not adjusted to the training data's scene distribution. We conjecture this is one factor enabling the observed cross-scene transfer, since the attention-guidance signal does not undergo systematic shifts across scenes caused by differences in training distribution.</w:t>
      </w:r>
    </w:p>
    <w:p w14:paraId="12A7DF1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By contrast, if a learnable edge detector (such as HED [19]) were used as the driving signal, its weights would adjust to the training data's scene distribution and could produce semantic misjudgments of target-scene textures in cross-scene application.</w:t>
      </w:r>
    </w:p>
    <w:p>
      <w:pPr>
        <w:ind w:firstLine="360"/>
        <w:jc w:val="both"/>
        <w:rPr>
          <w:rFonts w:ascii="Times New Roman" w:eastAsia="標楷體" w:hAnsi="Times New Roman"/>
          <w:lang w:eastAsia="zh-TW"/>
        </w:rPr>
      </w:pPr>
      <w:r>
        <w:rPr>
          <w:rFonts w:ascii="Times New Roman" w:hAnsi="Times New Roman"/>
          <w:sz w:val="20"/>
        </w:rPr>
        <w:t>This severity-dependence (§4.3) is consistent with the mechanism described above. Because the attention-guidance signal is driven directly by the magnitude of the Sobel gradient, its contribution is naturally larger when the gradient contrast between reflection and object structure is more pronounced — that is, under more severe reflection.</w:t>
      </w:r>
    </w:p>
    <w:p w14:paraId="4D2580B1" w14:textId="77777777" w:rsidR="008672B1" w:rsidRDefault="008672B1"/>
    <w:p w14:paraId="32C6E742" w14:textId="77777777" w:rsidR="00FF4807" w:rsidRPr="00CC21FE" w:rsidRDefault="00000000">
      <w:pPr>
        <w:jc w:val="both"/>
        <w:rPr>
          <w:rFonts w:ascii="Times New Roman" w:eastAsia="標楷體" w:hAnsi="Times New Roman"/>
        </w:rPr>
      </w:pPr>
      <w:r>
        <w:rPr>
          <w:rFonts w:ascii="Times New Roman" w:eastAsia="標楷體" w:hAnsi="Times New Roman"/>
          <w:b/>
          <w:sz w:val="20"/>
        </w:rPr>
        <w:t>5.2. Limitation Analysis</w:t>
      </w:r>
    </w:p>
    <w:p w14:paraId="13A2AA78" w14:textId="77777777" w:rsidR="008672B1" w:rsidRDefault="008672B1"/>
    <w:p w14:paraId="627268C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This method has several limitations. First, when an object contains large uniform low-gradient regions (e.g., plain ceramics, solid-color backgrounds), the Sobel response is weak, SGA's edge guidance is limited, and the model degrades toward standard Pix2Pix. Second, as noted in §4.1.2, the museum evaluation set lacks reflection-free ground truth and must be interpreted together with the ablation results on the public SIRR test set. Third, we have not yet systematically validated removal of strong dynamic reflections (e.g., intense outdoor sunlight).</w:t>
      </w:r>
    </w:p>
    <w:p w14:paraId="5A297F9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Fourth, as described in §4.6, the +1.8 pp overall improvement is jointly constrained by the evaluation-set size and the recognition model's baseline accuracy, leaving limited theoretical room for improvement. In future work, we plan to build a larger, cross-scene (e.g., factory, automotive) downstream evaluation dataset to more comprehensively validate the generalization benefit of our method.</w:t>
      </w:r>
      <w:proofErr w:type="gramStart"/>
      <w:proofErr w:type="gramEnd"/>
    </w:p>
    <w:p>
      <w:pPr>
        <w:ind w:firstLine="360"/>
        <w:jc w:val="both"/>
        <w:rPr>
          <w:rFonts w:ascii="Times New Roman" w:eastAsia="標楷體" w:hAnsi="Times New Roman"/>
          <w:lang w:eastAsia="zh-TW"/>
        </w:rPr>
      </w:pPr>
      <w:r>
        <w:rPr>
          <w:rFonts w:ascii="Times New Roman" w:hAnsi="Times New Roman"/>
          <w:sz w:val="20"/>
        </w:rPr>
        <w:t>Fifth, the reflection-severity stratification in §4.3 is based on a coarse pixel-difference proxy rather than a validated reflection-strength annotation. The pattern is clear for PSNR but weak or absent for SSIM and LPIPS, respectively, so a more rigorous, region-specific evaluation is left to future work.</w:t>
      </w:r>
    </w:p>
    <w:p w14:paraId="050FB426" w14:textId="77777777" w:rsidR="008672B1" w:rsidRDefault="008672B1"/>
    <w:p w14:paraId="467EBA72"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14:paraId="06C37A70" w14:textId="77777777" w:rsidR="008672B1" w:rsidRDefault="008672B1"/>
    <w:p w14:paraId="143CD80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Supervised SIRR generally faces the difficulty of obtaining target-domain paired data in real deployment. Motivated by cross-scene generalization, we propose an SGA module integrated into Pix2Pix to study the role of fixed structural priors in cross-scene SIRR. SGA uses fixed Sobel kernels to extract edge gradients that drive CBAM-style channel-and-spatial dual-branch attention, distinguishing object structure from reflection interference at the pixel level without adding any trainable parameters. Using museum artifact reflection removal as a case study, our experiments show that a model trained on public SIRR datasets generalizes to museum artifacts without fine-tuning, raising downstream YOLOv8 recognition accuracy from 92.7% to 94.5% (+1.8 pp). This demonstrates a measurable, if modest, practical benefit of fixed Sobel structural priors in the cross-scene setting, with the largest reconstruction-quality benefit observed on more severely reflective cases (§4.3).</w:t>
      </w:r>
    </w:p>
    <w:p w14:paraId="7D3961DB" w14:textId="77777777" w:rsidR="008672B1" w:rsidRDefault="008672B1"/>
    <w:p w14:paraId="1D6C076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References</w:t>
      </w:r>
    </w:p>
    <w:p w14:paraId="54656D42" w14:textId="77777777" w:rsidR="008672B1" w:rsidRDefault="008672B1"/>
    <w:p w14:paraId="521D719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4E9A936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1B16AEF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50420E1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11229D1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77F01E1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51BF49CC"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327EF14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4AF9EB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70C9CA3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08600929"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674C278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6F96859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C90009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B73A21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5E1ECC6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5E93BEF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6512E59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20FFEC5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151993F4"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114DB7C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6D9039B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5102F4F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797BF59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238A014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006066E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0D5858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11452365"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246B9AB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4F1BC4E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775D00D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B484" w14:textId="77777777" w:rsidR="00B01A43" w:rsidRDefault="00B01A43" w:rsidP="00CC21FE">
      <w:r>
        <w:separator/>
      </w:r>
    </w:p>
  </w:endnote>
  <w:endnote w:type="continuationSeparator" w:id="0">
    <w:p w14:paraId="2DCF963C" w14:textId="77777777" w:rsidR="00B01A43" w:rsidRDefault="00B01A43" w:rsidP="00CC2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C53A" w14:textId="77777777" w:rsidR="00B01A43" w:rsidRDefault="00B01A43" w:rsidP="00CC21FE">
      <w:r>
        <w:separator/>
      </w:r>
    </w:p>
  </w:footnote>
  <w:footnote w:type="continuationSeparator" w:id="0">
    <w:p w14:paraId="7AC6069A" w14:textId="77777777" w:rsidR="00B01A43" w:rsidRDefault="00B01A43" w:rsidP="00CC2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75F58"/>
    <w:rsid w:val="001B111C"/>
    <w:rsid w:val="001B284F"/>
    <w:rsid w:val="0029639D"/>
    <w:rsid w:val="002C0D6A"/>
    <w:rsid w:val="00326F90"/>
    <w:rsid w:val="003F4C93"/>
    <w:rsid w:val="004B5988"/>
    <w:rsid w:val="006762E1"/>
    <w:rsid w:val="006B65FE"/>
    <w:rsid w:val="007C7F23"/>
    <w:rsid w:val="007D1201"/>
    <w:rsid w:val="00831731"/>
    <w:rsid w:val="008672B1"/>
    <w:rsid w:val="00A83560"/>
    <w:rsid w:val="00AA1D8D"/>
    <w:rsid w:val="00B01A43"/>
    <w:rsid w:val="00B47730"/>
    <w:rsid w:val="00B57D2A"/>
    <w:rsid w:val="00B947FC"/>
    <w:rsid w:val="00C7617A"/>
    <w:rsid w:val="00CB0664"/>
    <w:rsid w:val="00CC21FE"/>
    <w:rsid w:val="00CC3F6F"/>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24A67D"/>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F4C93"/>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4832</Words>
  <Characters>27548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7</cp:revision>
  <dcterms:created xsi:type="dcterms:W3CDTF">2013-12-23T23:15:00Z</dcterms:created>
  <dcterms:modified xsi:type="dcterms:W3CDTF">2026-06-16T18:49:00Z</dcterms:modified>
  <cp:category/>
</cp:coreProperties>
</file>