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DD79"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 xml:space="preserve">Sobel-Guided Attention for Pix2Pix-Based Cross-Scene Single Image Reflection </w:t>
      </w:r>
      <w:proofErr w:type="gramStart"/>
      <w:r>
        <w:rPr>
          <w:rFonts w:ascii="Times New Roman" w:eastAsia="標楷體" w:hAnsi="Times New Roman"/>
          <w:b/>
          <w:sz w:val="28"/>
          <w:lang w:eastAsia="zh-TW"/>
        </w:rPr>
        <w:t>Removal :</w:t>
      </w:r>
      <w:proofErr w:type="gramEnd"/>
      <w:r>
        <w:rPr>
          <w:rFonts w:ascii="Times New Roman" w:eastAsia="標楷體" w:hAnsi="Times New Roman"/>
          <w:b/>
          <w:sz w:val="28"/>
          <w:lang w:eastAsia="zh-TW"/>
        </w:rPr>
        <w:t xml:space="preserve"> A Case Study on Museum Artifact Recognition</w:t>
      </w:r>
    </w:p>
    <w:p w14:paraId="35E56E15"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proofErr w:type="gramStart"/>
      <w:r w:rsidRPr="00CC21FE">
        <w:rPr>
          <w:rFonts w:ascii="Times New Roman" w:eastAsia="標楷體" w:hAnsi="Times New Roman"/>
          <w:sz w:val="24"/>
          <w:vertAlign w:val="superscript"/>
        </w:rPr>
        <w:t>1,*</w:t>
      </w:r>
      <w:proofErr w:type="spellStart"/>
      <w:proofErr w:type="gramEnd"/>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3DBCF0AC" w14:textId="77777777" w:rsidR="00FF4807" w:rsidRPr="00CC21FE" w:rsidRDefault="00000000">
      <w:pPr>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1469D68C"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3B586717"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14:paraId="4977B9F7" w14:textId="77777777" w:rsidR="008672B1" w:rsidRDefault="008672B1"/>
    <w:p w14:paraId="1126260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14:paraId="7F8E9B15" w14:textId="77777777" w:rsidR="008672B1" w:rsidRDefault="008672B1"/>
    <w:p w14:paraId="1CE0771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is that real-world scenes rarely allow pixel-aligned 'with/without reflection' paired data, preventing models from being trained directly on the target scene. Motivated by cross-scene generalization, we propose a Sobel-Guided Attention (SGA) module integrated into the Pix2Pix architecture, enabling a model trained on public SIRR datasets to transfer to unseen scenes without fine-tuning. SGA uses fixed Sobel kernels to extract per-channel edge gradient magnitudes that drive CBAM-style channel-and-spatial dual-branch attention; because the kernels are fixed and their computation is independent of the training data's scene distribution, they provide a structural-guidance basis for cross-scene transfer. We validate on museum artifact reflection removal, where exhibits are immovable and glass enclosures hard to dismantle, a real scenario in which paired data are entirely unobtainable at scale. Experiments show SGA enables successful generalization to museum artifacts, raising downstream YOLOv8 recognition accuracy from 92.7% to 94.5% and demonstrating a measurable, if modest, practical benefit of cross-scene reflection removal.</w:t>
      </w:r>
    </w:p>
    <w:p w14:paraId="6A451D3E"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14:paraId="787FD1B3" w14:textId="77777777" w:rsidR="008672B1" w:rsidRDefault="008672B1"/>
    <w:p w14:paraId="5A9CBBB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14:paraId="49DAF0F1" w14:textId="77777777" w:rsidR="008672B1" w:rsidRDefault="008672B1"/>
    <w:p w14:paraId="6F5A18A0"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 xml:space="preserve">Single image reflection removal (SIRR) is a persistently studied problem in computer vision, with applications spanning museum exhibit photography, automotive windshield imaging, and other real-world settings. Yet existing supervised deep-learning methods face a fundamental training dilemma: they require pixel-aligned 'with/without reflection' paired images, which are nearly impossible to obtain at scale in most real deployments. Whether due to the high glass-replacement and lighting-control costs of factory glass inspection or the continuously changing ambient light of automotive scenes, static aligned pairs remain out of reach. This domain gap causes even models that </w:t>
      </w:r>
      <w:r>
        <w:rPr>
          <w:rFonts w:ascii="Times New Roman" w:eastAsia="標楷體" w:hAnsi="Times New Roman"/>
          <w:sz w:val="20"/>
          <w:lang w:eastAsia="zh-TW"/>
        </w:rPr>
        <w:t>perform well on public datasets to degrade substantially in target-scene deployment [1].</w:t>
      </w:r>
    </w:p>
    <w:p w14:paraId="6E6FB27A"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exhibits sit behind glass enclosures and cannot be moved, while ambient lighting is dictated by exhibition design and cannot be adjusted, making paired data virtually unobtainable. Yet the application demand is real: when visitors photograph exhibits with smartphones, glass reflections markedly reduce AI recognition accuracy (in our experiments, YOLOv8 [2] reached only 92.7% on reflection-laden images). The museum setting thus offers an ideal case study with quantifiable downstream metrics for validating cross-scene SIRR generalization.</w:t>
      </w:r>
    </w:p>
    <w:p w14:paraId="4E1ED20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can a model trained on public SIRR datasets be deployed directly to entirely unseen target scenes without fine-tuning? The key insight is that if a model's feature representations are scene-agnostic, the reflection removal it learns can transfer across scenes naturally. The SIRR literature widely treats the low-gradient nature of reflection layers as a common prior [6][8], while object edges produce high-gradient responses from material discontinuity, a foundational edge cause recognized across the edge-detection literature [31]. We take these two gradient properties as the starting point for designing feature representations that capture this difference.</w:t>
      </w:r>
    </w:p>
    <w:p w14:paraId="0F6B488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Based on this, we propose using fixed Sobel gradients as attention-driving signals: the Sobel kernels are fixed parameters whose gradient magnitudes reflect only local image structure, independent of the training data's scene distribution. Lu et al. [3] demonstrated Sobel-guided attention in medical image segmentation, and CBAM [4] established the complementary advantage of dual-branch channel-and-spatial attention, together grounding our Sobel-Guided Attention (SGA) module. SGA drives a CBAM-style dual-branch attention with fixed Sobel gradient magnitudes, performing edge-aware feature recalibration before the first encoder block of the Pix2Pix U-Net generator, enabling pixel-level distinction between 'exhibit structure' and 'reflection interference' [5].</w:t>
      </w:r>
    </w:p>
    <w:p w14:paraId="21CB416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0D991A1C"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providing domain-</w:t>
      </w:r>
      <w:r>
        <w:rPr>
          <w:rFonts w:ascii="Times New Roman" w:eastAsia="標楷體" w:hAnsi="Times New Roman"/>
          <w:sz w:val="20"/>
          <w:lang w:eastAsia="zh-TW"/>
        </w:rPr>
        <w:lastRenderedPageBreak/>
        <w:t>agnostic structural prior guidance for Pix2Pix reflection removal without adding any trainable parameters.</w:t>
      </w:r>
    </w:p>
    <w:p w14:paraId="458B6A28"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the target scene' framework to study the role of fixed structural priors in cross-scene SIRR generalization, offering a viable methodological path for real-world applications where paired data are hard to obtain.</w:t>
      </w:r>
    </w:p>
    <w:p w14:paraId="10744D0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(3) We conduct a museum artifact case study, training on public SIRR datasets and applying across scenes to museum images, with quantitative validation via YOLOv8 recognition accuracy (92.7% to 94.5%).</w:t>
      </w:r>
    </w:p>
    <w:p w14:paraId="58BC1734" w14:textId="77777777" w:rsidR="008672B1" w:rsidRDefault="008672B1"/>
    <w:p w14:paraId="42D303ED"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14:paraId="344A735D" w14:textId="77777777" w:rsidR="008672B1" w:rsidRDefault="008672B1"/>
    <w:p w14:paraId="27388F9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14:paraId="3FE8DD9C" w14:textId="77777777" w:rsidR="008672B1" w:rsidRDefault="008672B1"/>
    <w:p w14:paraId="638A7007"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SIRR research has evolved from optimization-based methods to deep learning. Fan et al. [6] first introduced edge information into SIRR with CEILNet, where an E-CNN estimates object edge maps and an I-CNN uses them to recover the transmission layer, establishing the 'edge-guided restoration' paradigm and serving as a key predecessor of our SGA module.</w:t>
      </w:r>
    </w:p>
    <w:p w14:paraId="50F8ABE3"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Li et al. [7] proposed IBCLN, which iteratively refines transmission and reflection layers via convolutional LSTM and provides a densely annotated real-scene paired dataset, one of our training datasets. Chi et al. [5] noted that downsampling-induced information loss increases decoder restoration difficulty, echoing our motivation for injecting edge attention before the encoder (see §3.1). Dong et al. [8] regressed a reflection probability map via an explicit detection module to guide feature flow, demonstrating the value of explicit spatial location cues in SIRR.</w:t>
      </w:r>
    </w:p>
    <w:p w14:paraId="6EE6FA28"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Recent methods advance in different directions: DURRNet [9] adds interpretability through algorithm unrolling, while PromptRR [10] drives a Transformer with a diffusion model to reach the latest SOTA, albeit at high inference cost from multi-step sampling. Despite strong benchmark progress, cross-scene generalization remains the core challenge for real-world deep-learning SIRR, the problem this paper targets.</w:t>
      </w:r>
    </w:p>
    <w:p w14:paraId="2E17B071" w14:textId="77777777" w:rsidR="008672B1" w:rsidRDefault="008672B1"/>
    <w:p w14:paraId="5DD8A5B5"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14:paraId="5B59F59B" w14:textId="77777777" w:rsidR="008672B1" w:rsidRDefault="008672B1"/>
    <w:p w14:paraId="253027E2"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Generative adversarial networks [11][15] learn data distributions via adversarial training between a generator and a discriminator, providing a powerful framework for image synthesis. Mirza and Osindero [12] added condition vectors to both networks with cGAN to learn deterministic mappings, the foundation of Pix2Pix; Isola et al. [13] instantiated this as Pix2Pix (a U-Net generator with a PatchGAN discriminator, trained with an L1+cGAN loss), achieving breakthroughs on multiple paired translation tasks and establishing the effectiveness of paired supervision in image restoration.</w:t>
      </w:r>
    </w:p>
    <w:p w14:paraId="4376C425"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CycleGAN [14] removes the paired-data requirement via cycle-consistency loss, in principle suiting scenarios where pairs are hard to obtain; yet comparative experiments show Pix2Pix still outperforms CycleGAN and other unsupervised methods when sufficient paired data are available. We therefore train Pix2Pix on public paired SIRR datasets and then deploy cross-scene, balancing the supervisory strength of available paired data against the absence of paired data in the target scene.</w:t>
      </w:r>
    </w:p>
    <w:p w14:paraId="3E4F9E60" w14:textId="77777777" w:rsidR="008672B1" w:rsidRDefault="008672B1"/>
    <w:p w14:paraId="0F7BA80A" w14:textId="77777777" w:rsidR="00FF4807" w:rsidRPr="00CC21FE" w:rsidRDefault="00000000">
      <w:pPr>
        <w:jc w:val="both"/>
        <w:rPr>
          <w:rFonts w:ascii="Times New Roman" w:eastAsia="標楷體" w:hAnsi="Times New Roman"/>
        </w:rPr>
      </w:pPr>
      <w:r>
        <w:rPr>
          <w:rFonts w:ascii="Times New Roman" w:eastAsia="標楷體" w:hAnsi="Times New Roman"/>
          <w:b/>
          <w:sz w:val="20"/>
        </w:rPr>
        <w:t>2.3. Attention Mechanisms</w:t>
      </w:r>
    </w:p>
    <w:p w14:paraId="15EA2EF9" w14:textId="77777777" w:rsidR="008672B1" w:rsidRDefault="008672B1"/>
    <w:p w14:paraId="5418C7C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Hu et al. [16] proposed SENet, which re-weights channel features via global average pooling and fully connected layers, establishing channel attention in CNNs. Woo et al. [4] extended this with CBAM, inferring attention along channel and spatial dimensions and outperforming SENet across extensive classification and detection experiments, demonstrating the complementarity of dual-branch attention. Our SGA's dual-branch design derives directly from CBAM, replacing purely learned statistics with fixed Sobel gradients as the driving signal, whose computation does not depend on the training data's scene distribution.</w:t>
      </w:r>
    </w:p>
    <w:p w14:paraId="55B59F9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Lu et al. [3] proposed a Sobel-guided multi-scale attention network for medical image segmentation, using gradient magnitude as a structural prior to drive attention and significantly improving boundary precision. Since a significant domain gap also exists between medical and natural images, that method's success within a single medical domain using fixed Sobel gradients inspired us to extend this principle to cross-scene validation. The combination of global context modeling and channel calibration outperforms either alone, further supporting our dual-branch design [17][18].</w:t>
      </w:r>
    </w:p>
    <w:p w14:paraId="33B7824D" w14:textId="77777777" w:rsidR="008672B1" w:rsidRDefault="008672B1"/>
    <w:p w14:paraId="220E8A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14:paraId="22EEE716" w14:textId="77777777" w:rsidR="008672B1" w:rsidRDefault="008672B1"/>
    <w:p w14:paraId="4223F4F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Using edge information to guide image restoration is a mature paradigm: Xie and Tu [19] proposed holistically nested edge detection, showing through multi-scale deep supervision that edge features at different levels carry complementary structural information, an important benchmark for later edge-guided methods; Ji et al. [20] proposed DGNet, which decouples texture and semantic features via object gradient supervision, an approach that deeply inspired our gradient-guided feature refinement.</w:t>
      </w:r>
    </w:p>
    <w:p w14:paraId="78793D28" w14:textId="77777777" w:rsidR="00FF4807" w:rsidRDefault="00000000">
      <w:pPr>
        <w:ind w:firstLine="360"/>
        <w:jc w:val="both"/>
        <w:rPr>
          <w:rFonts w:ascii="Times New Roman" w:eastAsia="標楷體" w:hAnsi="Times New Roman"/>
          <w:sz w:val="20"/>
          <w:lang w:eastAsia="zh-TW"/>
        </w:rPr>
      </w:pPr>
      <w:r>
        <w:rPr>
          <w:rFonts w:ascii="Times New Roman" w:eastAsia="標楷體" w:hAnsi="Times New Roman"/>
          <w:sz w:val="20"/>
        </w:rPr>
        <w:t>Sharp U-Net [21] inserts sharpening kernels before a U-Net's skip connections to reduce the semantic dissimilarity between encoder and decoder features, echoing our injection of Sobel structural guidance before skip connections. Li and Liu [22] introduced a gradient-map edge-quality loss in MRI super-resolution, forcing the model to learn edge structural details and showing that gradient-guided design also applies in the medical image domain.</w:t>
      </w:r>
    </w:p>
    <w:p w14:paraId="5EB26C68" w14:textId="77777777" w:rsidR="00FF4807" w:rsidRPr="00CC21FE" w:rsidRDefault="00000000" w:rsidP="00B947FC">
      <w:pPr>
        <w:jc w:val="center"/>
        <w:rPr>
          <w:rFonts w:ascii="Times New Roman" w:eastAsia="標楷體" w:hAnsi="Times New Roman"/>
        </w:rPr>
      </w:pPr>
      <w:r w:rsidRPr="00CC21FE">
        <w:rPr>
          <w:rFonts w:ascii="Times New Roman" w:eastAsia="標楷體" w:hAnsi="Times New Roman"/>
          <w:b/>
          <w:caps/>
          <w:sz w:val="20"/>
        </w:rPr>
        <w:lastRenderedPageBreak/>
        <w:t>3. Proposed Method</w:t>
      </w:r>
    </w:p>
    <w:p w14:paraId="7DF5AA31" w14:textId="77777777" w:rsidR="008672B1" w:rsidRDefault="008672B1"/>
    <w:p w14:paraId="548F26E4" w14:textId="77777777" w:rsidR="00FF4807" w:rsidRPr="00CC21FE" w:rsidRDefault="00000000">
      <w:pPr>
        <w:jc w:val="both"/>
        <w:rPr>
          <w:rFonts w:ascii="Times New Roman" w:eastAsia="標楷體" w:hAnsi="Times New Roman"/>
        </w:rPr>
      </w:pPr>
      <w:r>
        <w:rPr>
          <w:rFonts w:ascii="Times New Roman" w:eastAsia="標楷體" w:hAnsi="Times New Roman"/>
          <w:b/>
          <w:sz w:val="20"/>
        </w:rPr>
        <w:t>3.1. Overall Architecture</w:t>
      </w:r>
    </w:p>
    <w:p w14:paraId="12D3D3DE" w14:textId="77777777" w:rsidR="008672B1" w:rsidRDefault="008672B1"/>
    <w:p w14:paraId="6373B9B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rPr>
        <w:t>This method uses Pix2Pix [13] as the backbone, with the core innovation of inserting the SGA module before the first encoder block of the U-Net generator (Fig. 1): given a reflection-laden input Ir ∈ R(H×W×3), SGA first performs edge-aware feature recalibration to output a structure-enhanced feature map x', which the U-Net then maps to a reflection-free output T̂ ∈ R(H×W×3); during training, a PatchGAN discriminator evaluates the authenticity of local patches, pushing the generator toward realistic high-frequency detail. SGA is placed at the very front rather than a middle layer because reflection interference already exists at the pixel level: downsampling before remediation risks losing structural detail [5], and middle-layer features may already carry semantic cues specific to the training data's scenes, which could hinder cross-scene transfer.</w:t>
      </w:r>
    </w:p>
    <w:p w14:paraId="69A8D26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0C9BF430" w14:textId="77777777" w:rsidR="008672B1" w:rsidRDefault="008672B1">
      <w:pPr>
        <w:sectPr w:rsidR="008672B1">
          <w:type w:val="continuous"/>
          <w:pgSz w:w="11906" w:h="16838"/>
          <w:pgMar w:top="1417" w:right="1298" w:bottom="1701" w:left="1077" w:header="720" w:footer="720" w:gutter="0"/>
          <w:cols w:num="2" w:space="454"/>
        </w:sectPr>
      </w:pPr>
    </w:p>
    <w:p w14:paraId="55F38F35" w14:textId="77777777" w:rsidR="00A83560" w:rsidRPr="00CC21FE" w:rsidRDefault="00A83560" w:rsidP="00A83560">
      <w:pPr>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02A70467">
            <wp:extent cx="4371826" cy="2025438"/>
            <wp:effectExtent l="0" t="0" r="0" b="0"/>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8165" cy="2025438"/>
                    </a:xfrm>
                    <a:prstGeom prst="rect">
                      <a:avLst/>
                    </a:prstGeom>
                    <a:noFill/>
                    <a:ln>
                      <a:noFill/>
                    </a:ln>
                  </pic:spPr>
                </pic:pic>
              </a:graphicData>
            </a:graphic>
          </wp:inline>
        </w:drawing>
      </w:r>
    </w:p>
    <w:p w14:paraId="7BC9BFD0" w14:textId="77777777" w:rsidR="00FF4807" w:rsidRPr="00CC21FE" w:rsidRDefault="00000000">
      <w:pPr>
        <w:jc w:val="center"/>
        <w:rPr>
          <w:rFonts w:ascii="Times New Roman" w:eastAsia="標楷體" w:hAnsi="Times New Roman"/>
        </w:rPr>
      </w:pPr>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14:paraId="05D08D6C" w14:textId="77777777" w:rsidR="008672B1" w:rsidRDefault="008672B1">
      <w:pPr>
        <w:sectPr w:rsidR="008672B1">
          <w:type w:val="continuous"/>
          <w:pgSz w:w="11906" w:h="16838"/>
          <w:pgMar w:top="1417" w:right="1298" w:bottom="1701" w:left="1077" w:header="720" w:footer="720" w:gutter="0"/>
          <w:cols w:space="720"/>
        </w:sectPr>
      </w:pPr>
    </w:p>
    <w:p w14:paraId="2CCE0947"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746C69A" w14:textId="77777777" w:rsidR="008672B1" w:rsidRDefault="008672B1"/>
    <w:p w14:paraId="713DEBAB"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14:paraId="6F86E459" w14:textId="77777777" w:rsidR="008672B1" w:rsidRDefault="008672B1"/>
    <w:p w14:paraId="24F3137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comprising three sequentially executed stages: Sobel feature extraction, channel attention, and spatial attention. All computations in SGA are based on fixed parameters, introducing no additional trainable parameters, so the attention-guidance signal's behavior is fixed by construction and does not change with training dynamics.</w:t>
      </w:r>
    </w:p>
    <w:p w14:paraId="1C3E435A" w14:textId="77777777" w:rsidR="008672B1" w:rsidRDefault="008672B1"/>
    <w:p w14:paraId="1BAA90FD"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798903B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18605A1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,c∈{R,G,B}</m:t>
          </m:r>
        </m:oMath>
      </m:oMathPara>
    </w:p>
    <w:p w14:paraId="436D4A0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52BD92F5"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-2</m:t>
                    </m:r>
                  </m:e>
                  <m:e>
                    <m:r>
                      <w:rPr>
                        <w:rFonts w:ascii="Cambria Math" w:hAnsi="Cambria Math"/>
                      </w:rPr>
                      <m:t>0</m:t>
                    </m:r>
                  </m:e>
                  <m:e>
                    <m:r>
                      <w:rPr>
                        <w:rFonts w:ascii="Cambria Math" w:hAnsi="Cambria Math"/>
                      </w:rPr>
                      <m:t>+2</m:t>
                    </m:r>
                  </m:e>
                </m:mr>
                <m:mr>
                  <m:e>
                    <m:r>
                      <w:rPr>
                        <w:rFonts w:ascii="Cambria Math" w:hAnsi="Cambria Math"/>
                      </w:rPr>
                      <m:t>-1</m:t>
                    </m:r>
                  </m:e>
                  <m:e>
                    <m:r>
                      <w:rPr>
                        <w:rFonts w:ascii="Cambria Math" w:hAnsi="Cambria Math"/>
                      </w:rPr>
                      <m:t>0</m:t>
                    </m:r>
                  </m:e>
                  <m:e>
                    <m:r>
                      <w:rPr>
                        <w:rFonts w:ascii="Cambria Math" w:hAnsi="Cambria Math"/>
                      </w:rPr>
                      <m:t>+1</m:t>
                    </m:r>
                  </m:e>
                </m:mr>
              </m:m>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
            </m:e>
          </m:d>
        </m:oMath>
      </m:oMathPara>
    </w:p>
    <w:p w14:paraId="4DBBA57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2C84FC7"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x,c</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y,c</m:t>
                  </m:r>
                </m:sub>
                <m:sup>
                  <m:r>
                    <w:rPr>
                      <w:rFonts w:ascii="Cambria Math" w:hAnsi="Cambria Math"/>
                    </w:rPr>
                    <m:t>2</m:t>
                  </m:r>
                </m:sup>
              </m:sSubSup>
            </m:e>
          </m:rad>
        </m:oMath>
      </m:oMathPara>
    </w:p>
    <w:p w14:paraId="49A954F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per-channel edge intensity distribution. As noted in §1, reflection regions show low gradients [6][8] while object edges show high gradients [31], so S simultaneously reflects the gradient difference between 'object structure' and 'reflection interference', providing the basis for SGA's attention design.</w:t>
      </w:r>
    </w:p>
    <w:p w14:paraId="002C7E9E" w14:textId="77777777" w:rsidR="008672B1" w:rsidRDefault="008672B1"/>
    <w:p w14:paraId="46021770" w14:textId="77777777" w:rsidR="00FF4807" w:rsidRPr="00CC21FE" w:rsidRDefault="00000000">
      <w:pPr>
        <w:jc w:val="both"/>
        <w:rPr>
          <w:rFonts w:ascii="Times New Roman" w:eastAsia="標楷體" w:hAnsi="Times New Roman"/>
        </w:rPr>
      </w:pPr>
      <w:r>
        <w:rPr>
          <w:rFonts w:ascii="Times New Roman" w:eastAsia="標楷體" w:hAnsi="Times New Roman"/>
          <w:i/>
          <w:sz w:val="20"/>
        </w:rPr>
        <w:t>3.2.2. Channel Attention Branch</w:t>
      </w:r>
    </w:p>
    <w:p w14:paraId="594A0BB0" w14:textId="77777777" w:rsidR="00FF4807" w:rsidRPr="00CC21FE" w:rsidRDefault="00000000">
      <w:pPr>
        <w:jc w:val="both"/>
        <w:rPr>
          <w:rFonts w:ascii="Times New Roman" w:eastAsia="標楷體" w:hAnsi="Times New Roman"/>
        </w:rPr>
      </w:pPr>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08AF4BAA"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1×1</m:t>
                  </m:r>
                </m:sub>
              </m:sSub>
              <m:d>
                <m:dPr>
                  <m:ctrlPr>
                    <w:rPr>
                      <w:rFonts w:ascii="Cambria Math" w:hAnsi="Cambria Math"/>
                    </w:rPr>
                  </m:ctrlPr>
                </m:dPr>
                <m:e>
                  <m:r>
                    <m:rPr>
                      <m:sty m:val="p"/>
                    </m:rPr>
                    <w:rPr>
                      <w:rFonts w:ascii="Cambria Math" w:hAnsi="Cambria Math"/>
                    </w:rPr>
                    <m:t>GAP</m:t>
                  </m:r>
                  <m:r>
                    <w:rPr>
                      <w:rFonts w:ascii="Cambria Math" w:hAnsi="Cambria Math"/>
                    </w:rPr>
                    <m:t>(S)</m:t>
                  </m:r>
                </m:e>
              </m:d>
            </m:e>
          </m:d>
        </m:oMath>
      </m:oMathPara>
    </w:p>
    <w:p w14:paraId="47F65B6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the spatial dimensions. This adaptively adjusts the R, G, B contribution ratios by the relative importance of each channel's edge intensity, giving higher weight to edge-rich channels.</w:t>
      </w:r>
    </w:p>
    <w:p w14:paraId="511C4891" w14:textId="77777777" w:rsidR="008672B1" w:rsidRDefault="008672B1"/>
    <w:p w14:paraId="4518C296"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61EDBB26"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to the channel-recalibrated feature map Xc along the channel dimension separately, then concatenated and passed through a 7×7 convolution and Sigmoid activation to generate a spatial attention map:</w:t>
      </w:r>
    </w:p>
    <w:p w14:paraId="783185A8"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r>
            <m:rPr>
              <m:sty m:val="p"/>
            </m:rPr>
            <w:rPr>
              <w:rFonts w:ascii="Cambria Math" w:hAnsi="Cambria Math"/>
            </w:rPr>
            <m:t>sigmoid</m:t>
          </m:r>
          <m:d>
            <m:dPr>
              <m:ctrlPr>
                <w:rPr>
                  <w:rFonts w:ascii="Cambria Math" w:hAnsi="Cambria Math"/>
                </w:rPr>
              </m:ctrlPr>
            </m:dPr>
            <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AvgPool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r>
                        <m:rPr>
                          <m:sty m:val="p"/>
                        </m:rPr>
                        <w:rPr>
                          <w:rFonts w:ascii="Cambria Math" w:hAnsi="Cambria Math"/>
                        </w:rPr>
                        <m:t>MaxPool</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e>
                  </m:d>
                </m:e>
              </m:d>
            </m:e>
          </m:d>
        </m:oMath>
      </m:oMathPara>
    </w:p>
    <w:p w14:paraId="1EE16A9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48C3776D" w14:textId="77777777" w:rsidR="00FF4807" w:rsidRPr="00CC21FE" w:rsidRDefault="00000000">
      <w:pPr>
        <w:jc w:val="center"/>
        <w:rPr>
          <w:rFonts w:ascii="Times New Roman" w:eastAsia="標楷體" w:hAnsi="Times New Roman"/>
          <w:lang w:eastAsia="zh-TW"/>
        </w:rPr>
      </w:pPr>
      <m:oMathPara>
        <m:oMathParaPr>
          <m:jc m:val="center"/>
        </m:oMathParaP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oMath>
      </m:oMathPara>
    </w:p>
    <w:p w14:paraId="0DC9768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dual-branch design enhances edge-rich feature regions along both channel and spatial dimensions, while blurry, diffuse reflection regions are suppressed by their weak Sobel response. Since both wc and ws are driven by fixed Sobel gradients, their computation does not depend on scene content, which is why we expect stable attention behavior across the cross-scene deployment we tested.</w:t>
      </w:r>
    </w:p>
    <w:p w14:paraId="04D3E78B"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50666735" w14:textId="77777777" w:rsidR="008672B1" w:rsidRDefault="008672B1">
      <w:pPr>
        <w:sectPr w:rsidR="008672B1">
          <w:type w:val="continuous"/>
          <w:pgSz w:w="11906" w:h="16838"/>
          <w:pgMar w:top="1417" w:right="1298" w:bottom="1701" w:left="1077" w:header="720" w:footer="720" w:gutter="0"/>
          <w:cols w:num="2" w:space="454"/>
        </w:sectPr>
      </w:pPr>
    </w:p>
    <w:p w14:paraId="03924070" w14:textId="77777777" w:rsidR="00DB5D4F" w:rsidRPr="00CC21FE" w:rsidRDefault="00000000">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inline distT="0" distB="0" distL="0" distR="0" wp14:anchorId="4BB9B234" wp14:editId="7D3B574C">
            <wp:extent cx="4786746" cy="1847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4823194" cy="1847066"/>
                    </a:xfrm>
                    <a:prstGeom prst="rect">
                      <a:avLst/>
                    </a:prstGeom>
                    <a:ln>
                      <a:noFill/>
                    </a:ln>
                    <a:extLst>
                      <a:ext uri="{53640926-AAD7-44D8-BBD7-CCE9431645EC}">
                        <a14:shadowObscured xmlns:a14="http://schemas.microsoft.com/office/drawing/2010/main"/>
                      </a:ext>
                    </a:extLst>
                  </pic:spPr>
                </pic:pic>
              </a:graphicData>
            </a:graphic>
          </wp:inline>
        </w:drawing>
      </w:r>
    </w:p>
    <w:p w14:paraId="1CBEB68C"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14:paraId="5B6DD2A1" w14:textId="77777777" w:rsidR="008672B1" w:rsidRDefault="008672B1">
      <w:pPr>
        <w:sectPr w:rsidR="008672B1">
          <w:type w:val="continuous"/>
          <w:pgSz w:w="11906" w:h="16838"/>
          <w:pgMar w:top="1417" w:right="1298" w:bottom="1701" w:left="1077" w:header="720" w:footer="720" w:gutter="0"/>
          <w:cols w:space="720"/>
        </w:sectPr>
      </w:pPr>
    </w:p>
    <w:p w14:paraId="1F36460E"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002A3938" w14:textId="77777777" w:rsidR="008672B1" w:rsidRDefault="008672B1"/>
    <w:p w14:paraId="6EE1BA4F" w14:textId="77777777" w:rsidR="00FF4807" w:rsidRPr="00CC21FE" w:rsidRDefault="00000000">
      <w:pPr>
        <w:jc w:val="both"/>
        <w:rPr>
          <w:rFonts w:ascii="Times New Roman" w:eastAsia="標楷體" w:hAnsi="Times New Roman"/>
        </w:rPr>
      </w:pPr>
      <w:r>
        <w:rPr>
          <w:rFonts w:ascii="Times New Roman" w:eastAsia="標楷體" w:hAnsi="Times New Roman"/>
          <w:b/>
          <w:sz w:val="20"/>
        </w:rPr>
        <w:t>3.3. U-Net Generator Architecture</w:t>
      </w:r>
    </w:p>
    <w:p w14:paraId="64B565E7" w14:textId="77777777" w:rsidR="008672B1" w:rsidRDefault="008672B1"/>
    <w:p w14:paraId="1E134B3A"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14:paraId="6539B0A8" w14:textId="77777777" w:rsidR="008672B1" w:rsidRDefault="008672B1"/>
    <w:p w14:paraId="713B0CE6"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3.4. PatchGAN Discriminator</w:t>
      </w:r>
    </w:p>
    <w:p w14:paraId="016AB4AA" w14:textId="77777777" w:rsidR="008672B1" w:rsidRDefault="008672B1"/>
    <w:p w14:paraId="75A1A0D1"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PatchGAN discriminator [13] judges the authenticity of overlapping N×N patches separately rather than outputting a single scalar for the whole image, focusing the discriminator on high-frequency local texture; since reflections mainly affect local regions, patch-level judgment provides a more precise gradient signal, making it especially suitable for reflection removal. Our discriminator consists of 4 convolutional layers plus a 1×1 output layer.</w:t>
      </w:r>
    </w:p>
    <w:p w14:paraId="54A36192" w14:textId="77777777" w:rsidR="008672B1" w:rsidRDefault="008672B1"/>
    <w:p w14:paraId="1AE2F5C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3.5. Loss Function</w:t>
      </w:r>
    </w:p>
    <w:p w14:paraId="0FFBC809" w14:textId="77777777" w:rsidR="008672B1" w:rsidRDefault="008672B1"/>
    <w:p w14:paraId="4935B498"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2C5E1552"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L1</m:t>
              </m:r>
            </m:sub>
          </m:sSub>
        </m:oMath>
      </m:oMathPara>
    </w:p>
    <w:p w14:paraId="3064A60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adversarial loss Ladv uses mean squared error:</w:t>
      </w:r>
    </w:p>
    <w:p w14:paraId="20435AED" w14:textId="77777777" w:rsidR="00FF4807" w:rsidRPr="00CC21FE" w:rsidRDefault="00000000">
      <w:pPr>
        <w:jc w:val="center"/>
        <w:rPr>
          <w:rFonts w:ascii="Times New Roman" w:eastAsia="標楷體" w:hAnsi="Times New Roma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adv</m:t>
              </m:r>
            </m:sub>
          </m:sSub>
          <m:r>
            <w:rPr>
              <w:rFonts w:ascii="Cambria Math" w:hAnsi="Cambria Math"/>
            </w:rPr>
            <m:t>=E</m:t>
          </m:r>
          <m:d>
            <m:dPr>
              <m:begChr m:val="["/>
              <m:endChr m:val="]"/>
              <m:ctrlPr>
                <w:rPr>
                  <w:rFonts w:ascii="Cambria Math" w:hAnsi="Cambria Math"/>
                </w:rPr>
              </m:ctrlPr>
            </m:dPr>
            <m:e>
              <m:r>
                <w:rPr>
                  <w:rFonts w:ascii="Cambria Math" w:hAnsi="Cambria Math"/>
                </w:rPr>
                <m:t>‖D(G(x))-1</m:t>
              </m:r>
              <m:sSup>
                <m:sSupPr>
                  <m:ctrlPr>
                    <w:rPr>
                      <w:rFonts w:ascii="Cambria Math" w:hAnsi="Cambria Math"/>
                    </w:rPr>
                  </m:ctrlPr>
                </m:sSupPr>
                <m:e>
                  <m:r>
                    <w:rPr>
                      <w:rFonts w:ascii="Cambria Math" w:hAnsi="Cambria Math"/>
                    </w:rPr>
                    <m:t>‖</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‖D(y)-0</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530408E5"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5CD60804" w14:textId="77777777" w:rsidR="00FF4807" w:rsidRPr="00CC21FE" w:rsidRDefault="00000000">
      <w:pPr>
        <w:jc w:val="center"/>
        <w:rPr>
          <w:rFonts w:ascii="Times New Roman" w:eastAsia="標楷體" w:hAnsi="Times New Roman"/>
          <w:lang w:eastAsia="zh-TW"/>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L1</m:t>
              </m:r>
            </m:sub>
          </m:sSub>
          <m:r>
            <w:rPr>
              <w:rFonts w:ascii="Cambria Math" w:hAnsi="Cambria Math"/>
            </w:rPr>
            <m:t>=E</m:t>
          </m:r>
          <m:d>
            <m:dPr>
              <m:begChr m:val="["/>
              <m:endChr m:val="]"/>
              <m:ctrlPr>
                <w:rPr>
                  <w:rFonts w:ascii="Cambria Math" w:hAnsi="Cambria Math"/>
                </w:rPr>
              </m:ctrlPr>
            </m:dPr>
            <m:e>
              <m:r>
                <w:rPr>
                  <w:rFonts w:ascii="Cambria Math" w:hAnsi="Cambria Math"/>
                </w:rPr>
                <m:t>‖y-G(x)</m:t>
              </m:r>
              <m:sSub>
                <m:sSubPr>
                  <m:ctrlPr>
                    <w:rPr>
                      <w:rFonts w:ascii="Cambria Math" w:hAnsi="Cambria Math"/>
                    </w:rPr>
                  </m:ctrlPr>
                </m:sSubPr>
                <m:e>
                  <m:r>
                    <w:rPr>
                      <w:rFonts w:ascii="Cambria Math" w:hAnsi="Cambria Math"/>
                    </w:rPr>
                    <m:t>‖</m:t>
                  </m:r>
                </m:e>
                <m:sub>
                  <m:r>
                    <w:rPr>
                      <w:rFonts w:ascii="Cambria Math" w:hAnsi="Cambria Math"/>
                    </w:rPr>
                    <m:t>1</m:t>
                  </m:r>
                </m:sub>
              </m:sSub>
            </m:e>
          </m:d>
        </m:oMath>
      </m:oMathPara>
    </w:p>
    <w:p w14:paraId="19FE5E97"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14:paraId="4E7F983A" w14:textId="77777777" w:rsidR="008672B1" w:rsidRDefault="008672B1"/>
    <w:p w14:paraId="0FFFCCF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3.6. Training Configuration</w:t>
      </w:r>
    </w:p>
    <w:p w14:paraId="636664FC" w14:textId="77777777" w:rsidR="008672B1" w:rsidRDefault="008672B1"/>
    <w:p w14:paraId="6A3D0829"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14:paraId="426F0D52" w14:textId="77777777" w:rsidR="008672B1" w:rsidRDefault="008672B1"/>
    <w:p w14:paraId="395EE95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14:paraId="092B882E" w14:textId="77777777" w:rsidR="008672B1" w:rsidRDefault="008672B1"/>
    <w:p w14:paraId="6613F5B2"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4.1. Experimental Design</w:t>
      </w:r>
    </w:p>
    <w:p w14:paraId="26C59538" w14:textId="77777777" w:rsidR="008672B1" w:rsidRDefault="008672B1"/>
    <w:p w14:paraId="04FA39D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Our model is trained entirely on public SIRR datasets without any target-scene images; after training it is deployed directly to the museum scene to evaluate reflection removal in a 'never-seen target domain'.</w:t>
      </w:r>
    </w:p>
    <w:p w14:paraId="0E8AE027" w14:textId="77777777" w:rsidR="008672B1" w:rsidRDefault="008672B1"/>
    <w:p w14:paraId="00C5FE3B"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6B6CA8A"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SIRR datasets: SIR² [24] (large-scale real-scene pairs, diverse reflection types), IBCLN [7] (real-scene reflection image pairs across indoor environments), ERRNET [25] (varied materials and lighting, rich reflection-intensity variation), and RFC [26] (flash-assisted pairs covering multiple glass materials and indoor lighting).</w:t>
      </w:r>
    </w:p>
    <w:p w14:paraId="6D84F74F"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(1951 pairs) and 20% as the test set (491 pairs). Splitting uses random sampling rather than dataset-based partitioning, ensuring that training and test sets have similar distributions of reflection types, scene diversity, and lighting conditions.</w:t>
      </w:r>
    </w:p>
    <w:p w14:paraId="21107B93" w14:textId="77777777" w:rsidR="00FF4807" w:rsidRPr="00CC21FE" w:rsidRDefault="00000000" w:rsidP="000F2453">
      <w:pPr>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10618335" w14:textId="77777777" w:rsidR="00DB5D4F" w:rsidRPr="00C7617A" w:rsidRDefault="00000000" w:rsidP="00C7617A">
      <w:pPr>
        <w:jc w:val="center"/>
        <w:rPr>
          <w:rFonts w:ascii="Times New Roman" w:eastAsia="標楷體" w:hAnsi="Times New Roman"/>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that the training data and evaluation scenes come from unrelated sources.</w:t>
      </w:r>
    </w:p>
    <w:p w14:paraId="07F342B4" w14:textId="77777777" w:rsidR="008672B1" w:rsidRDefault="008672B1"/>
    <w:p w14:paraId="1A529A95"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6E00F987"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Museum artifact reflection removal is our chosen cross-scene case: it is a typical instance where target-scene paired data are entirely unobtainable at scale, yet it offers a quantifiable downstream recognition accuracy. The evaluation set collects reflection-laden museum artifact images spanning 7 categories — ceramics, metal artifacts, and 3D sculptures — totaling 699 images, none used in training and used only for cross-scene downstream-benefit validation.</w:t>
      </w:r>
    </w:p>
    <w:p w14:paraId="3671A11C"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This evaluation set provides only downstream recognition accuracy and cannot provide PSNR/SSIM/LPIPS quantitative metrics.</w:t>
      </w:r>
    </w:p>
    <w:p w14:paraId="403E8CC2" w14:textId="77777777" w:rsidR="008672B1" w:rsidRDefault="008672B1"/>
    <w:p w14:paraId="3AAAC34C"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4.2. Evaluation Metrics</w:t>
      </w:r>
    </w:p>
    <w:p w14:paraId="441305C3" w14:textId="77777777" w:rsidR="008672B1" w:rsidRDefault="008672B1"/>
    <w:p w14:paraId="28D0EACC" w14:textId="77777777" w:rsidR="00A83560" w:rsidRPr="00CC21FE" w:rsidRDefault="00000000">
      <w:pPr>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71CC6F98" w14:textId="77777777" w:rsidR="00A83560" w:rsidRPr="00CC21FE" w:rsidRDefault="00000000">
      <w:pPr>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4AE2121B"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 xml:space="preserve">(2) Cross-scene downstream benefit (museum evaluation set): YOLOv8 [2] exhibit classification </w:t>
      </w:r>
      <w:r>
        <w:rPr>
          <w:rFonts w:ascii="Times New Roman" w:eastAsia="標楷體" w:hAnsi="Times New Roman"/>
          <w:sz w:val="20"/>
          <w:lang w:eastAsia="zh-TW"/>
        </w:rPr>
        <w:t>accuracy, directly reflecting the impact of reflection removal on real recognition. The two tiers respectively quantify in-distribution restoration quality and target-domain practical benefit, fully depicting cross-scene generalization.</w:t>
      </w:r>
    </w:p>
    <w:p w14:paraId="5DDD6143" w14:textId="77777777" w:rsidR="008672B1" w:rsidRDefault="008672B1"/>
    <w:p w14:paraId="10E91DCF"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14:paraId="5A295933" w14:textId="77777777" w:rsidR="008672B1" w:rsidRDefault="008672B1"/>
    <w:p w14:paraId="7F4FF2E8" w14:textId="77777777" w:rsidR="00FF4807" w:rsidRDefault="00000000">
      <w:pPr>
        <w:jc w:val="both"/>
        <w:rPr>
          <w:rFonts w:ascii="Times New Roman" w:eastAsia="標楷體" w:hAnsi="Times New Roman"/>
          <w:sz w:val="20"/>
          <w:lang w:eastAsia="zh-TW"/>
        </w:rPr>
      </w:pPr>
      <w:r>
        <w:rPr>
          <w:rFonts w:ascii="Times New Roman" w:eastAsia="標楷體" w:hAnsi="Times New Roman"/>
          <w:sz w:val="20"/>
          <w:lang w:eastAsia="zh-TW"/>
        </w:rPr>
        <w:t>To verify SGA's effectiveness, we compare two configurations on the public SIRR test set: (a) baseline Pix2Pix (no attention module); (b) Pix2Pix+SGA (ours, with the full dual-branch Sobel-guided attention). Quantitative results are shown in Table 1.</w:t>
      </w:r>
    </w:p>
    <w:p w14:paraId="3926B860" w14:textId="77777777" w:rsidR="00831731" w:rsidRPr="00CC21FE" w:rsidRDefault="00831731">
      <w:pPr>
        <w:jc w:val="both"/>
        <w:rPr>
          <w:rFonts w:ascii="Times New Roman" w:eastAsia="標楷體" w:hAnsi="Times New Roman"/>
          <w:lang w:eastAsia="zh-TW"/>
        </w:rPr>
      </w:pPr>
    </w:p>
    <w:p w14:paraId="1D7C0BBA"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3E429B9" w14:textId="77777777">
        <w:trPr>
          <w:jc w:val="center"/>
        </w:trPr>
        <w:tc>
          <w:tcPr>
            <w:tcW w:w="2160" w:type="dxa"/>
            <w:tcBorders>
              <w:top w:val="single" w:sz="8" w:space="0" w:color="000000"/>
              <w:bottom w:val="single" w:sz="4" w:space="0" w:color="000000"/>
            </w:tcBorders>
          </w:tcPr>
          <w:p w14:paraId="3ADA91A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Method</w:t>
            </w:r>
            <w:proofErr w:type="spellEnd"/>
          </w:p>
        </w:tc>
        <w:tc>
          <w:tcPr>
            <w:tcW w:w="864" w:type="dxa"/>
            <w:tcBorders>
              <w:top w:val="single" w:sz="8" w:space="0" w:color="000000"/>
              <w:bottom w:val="single" w:sz="4" w:space="0" w:color="000000"/>
            </w:tcBorders>
          </w:tcPr>
          <w:p w14:paraId="6E1348A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74D802D7"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1DF1E4D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22E0911" w14:textId="77777777">
        <w:trPr>
          <w:jc w:val="center"/>
        </w:trPr>
        <w:tc>
          <w:tcPr>
            <w:tcW w:w="2160" w:type="dxa"/>
          </w:tcPr>
          <w:p w14:paraId="43218B74"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8EFB48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1EEDCBF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23B7185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79A0F1AA" w14:textId="77777777">
        <w:trPr>
          <w:jc w:val="center"/>
        </w:trPr>
        <w:tc>
          <w:tcPr>
            <w:tcW w:w="2160" w:type="dxa"/>
            <w:tcBorders>
              <w:bottom w:val="single" w:sz="8" w:space="0" w:color="000000"/>
            </w:tcBorders>
          </w:tcPr>
          <w:p w14:paraId="7B1E98E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864" w:type="dxa"/>
            <w:tcBorders>
              <w:bottom w:val="single" w:sz="8" w:space="0" w:color="000000"/>
            </w:tcBorders>
          </w:tcPr>
          <w:p w14:paraId="5FDBE9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1296AD7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3989E19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2E63F85A" w14:textId="77777777" w:rsidR="00831731" w:rsidRDefault="00831731">
      <w:pPr>
        <w:ind w:firstLine="360"/>
        <w:jc w:val="both"/>
        <w:rPr>
          <w:rFonts w:ascii="Times New Roman" w:eastAsia="標楷體" w:hAnsi="Times New Roman"/>
          <w:sz w:val="20"/>
          <w:lang w:eastAsia="zh-TW"/>
        </w:rPr>
      </w:pPr>
    </w:p>
    <w:p w14:paraId="4C3B564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Table 1 shows that adding SGA yields PSNR (22.682 dB) and SSIM (0.8192) slightly below the baseline Pix2Pix (23.896 dB / 0.8706), while LPIPS (0.2178) is higher than the baseline (0.1630). This does not indicate degraded reflection removal but is a common trait of GAN-based methods under perception-oriented optimization: Blau and Michaeli [29] proved a fundamental trade-off between perceptual quality and distortion metrics, where higher perceptual quality tends to lower PSNR/SSIM; Ledig et al. [30] likewise confirmed in super-resolution that 'minimizing MSE encourages the model to output the pixel-wise mean of plausible solutions, leading to overly smooth results.' Our Pix2Pix L1 loss [13] shares this mechanism, and SGA's adversarial training moves the model toward the perceptual boundary, so lower PSNR/SSIM is expected.</w:t>
      </w:r>
    </w:p>
    <w:p>
      <w:pPr>
        <w:ind w:firstLine="360"/>
        <w:jc w:val="both"/>
        <w:rPr>
          <w:rFonts w:ascii="Times New Roman" w:eastAsia="標楷體" w:hAnsi="Times New Roman"/>
          <w:lang w:eastAsia="zh-TW"/>
        </w:rPr>
      </w:pPr>
      <w:r>
        <w:rPr>
          <w:rFonts w:ascii="Times New Roman" w:hAnsi="Times New Roman"/>
          <w:sz w:val="20"/>
        </w:rPr>
        <w:t>A breakdown by reflection severity clarifies this pattern further. Using the per-pixel difference between each reflection image and its paired ground truth as a proxy for reflection severity, we split the 491 test pairs into quartiles. The PSNR gap between Pix2Pix+SGA and Baseline narrows sharply with increasing severity: −2.494 dB (lightest quartile) to −1.249 dB to −0.475 dB (third quartile), before ticking up slightly to −0.650 dB in the heaviest quartile — an overall five-fold narrowing from the lightest to the third quartile. The same direction holds for SSIM but more weakly (−0.057 to −0.045), while LPIPS shows essentially no such trend (+0.056 to +0.053 across quartiles). Consistent with this, the average PSNR gap (−1.214 dB) is driven disproportionately by a tail of cases: the worst-performing 20% of images account for a −3.743 dB gap, while the remaining 80% average only −0.583 dB (median gap: −0.799 dB, also below the mean); 59% of this worst-performing tail overlaps with the lightest-reflection quartile. We interpret this as evidence that SGA's fixed structural prior contributes least on images where reflection is already mild and the baseline reconstructs accurately without help, while its relative disadvantage shrinks substantially on more severely reflective cases — closer to the deployment scenarios this paper targets. We note this pattern is clearest for PSNR, weaker for SSIM, and not observed for LPIPS, so it should be read as a partial, metric-specific explanation rather than a complete account of the gap.</w:t>
      </w:r>
    </w:p>
    <w:p>
      <w:pPr>
        <w:ind w:firstLine="360"/>
        <w:jc w:val="both"/>
        <w:rPr>
          <w:rFonts w:ascii="Times New Roman" w:eastAsia="標楷體" w:hAnsi="Times New Roman"/>
          <w:lang w:eastAsia="zh-TW"/>
        </w:rPr>
      </w:pPr>
      <w:r>
        <w:rPr>
          <w:rFonts w:ascii="Times New Roman" w:hAnsi="Times New Roman"/>
          <w:sz w:val="20"/>
        </w:rPr>
        <w:t>We additionally tested whether limited input resolution (256×256) is the primary driver of the reconstruction gap by training a 512×512 variant (SGA-512, 360 epochs). Results showed only marginal PSNR/SSIM improvement (+0.14 dB / +0.02) and no LPIPS improvement (LPIPS increased from 0.217 to 0.238), while requiring a halved batch size (8→4) due to VRAM constraints. This suggests input resolution is not the primary bottleneck behind the observed gap, and we did not pursue this direction further given the increased training cost relative to the marginal benefit.</w:t>
      </w:r>
    </w:p>
    <w:p w14:paraId="1B68F958"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53276DE" w14:textId="77777777" w:rsidR="00DB5D4F" w:rsidRPr="00CC21FE" w:rsidRDefault="00DB5D4F">
      <w:pPr>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14:paraId="1C06EA95" w14:textId="77777777" w:rsidR="008672B1" w:rsidRDefault="008672B1">
      <w:pPr>
        <w:sectPr w:rsidR="008672B1">
          <w:type w:val="continuous"/>
          <w:pgSz w:w="11906" w:h="16838"/>
          <w:pgMar w:top="1417" w:right="1298" w:bottom="1701" w:left="1077" w:header="720" w:footer="720" w:gutter="0"/>
          <w:cols w:num="2" w:space="454"/>
        </w:sectPr>
      </w:pPr>
    </w:p>
    <w:p w14:paraId="506217FD" w14:textId="77777777" w:rsidR="00DB5D4F" w:rsidRPr="00CC21FE" w:rsidRDefault="00DB5D4F" w:rsidP="00DB5D4F">
      <w:pPr>
        <w:jc w:val="center"/>
        <w:rPr>
          <w:rFonts w:ascii="Times New Roman" w:eastAsia="標楷體" w:hAnsi="Times New Roman"/>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3A59F195" w14:textId="38D57C37" w:rsidR="008672B1" w:rsidRPr="003F4C93" w:rsidRDefault="00000000" w:rsidP="003F4C93">
      <w:pPr>
        <w:jc w:val="center"/>
        <w:rPr>
          <w:rFonts w:ascii="Times New Roman" w:eastAsia="標楷體" w:hAnsi="Times New Roman"/>
          <w:lang w:eastAsia="zh-TW"/>
        </w:rPr>
        <w:sectPr w:rsidR="008672B1" w:rsidRPr="003F4C93">
          <w:type w:val="continuous"/>
          <w:pgSz w:w="11906" w:h="16838"/>
          <w:pgMar w:top="1417" w:right="1298" w:bottom="1701" w:left="1077" w:header="720" w:footer="720" w:gutter="0"/>
          <w:cols w:space="720"/>
        </w:sectPr>
      </w:pPr>
      <w:r>
        <w:rPr>
          <w:rFonts w:ascii="Times New Roman" w:eastAsia="標楷體" w:hAnsi="Times New Roman"/>
          <w:sz w:val="20"/>
        </w:rPr>
        <w:t>Fig. 4. Examples of reflection removal results on the training dataset (Original/Generated comparison). The reflection regions are visibly and substantially reduced, corroborating that the model has genuine reflection removal capability in its training domain — should be interpreted together with the quantitative metrics in Table 1 (see Perception-Distortion Tradeoff discussion above)</w:t>
      </w:r>
    </w:p>
    <w:p w14:paraId="2795AA8F" w14:textId="77777777" w:rsidR="00DB5D4F" w:rsidRPr="00CC21FE" w:rsidRDefault="00DB5D4F">
      <w:pPr>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14:paraId="7638DB89"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lastRenderedPageBreak/>
        <w:t>4.4. Visual Comparison and Attention Map Analysis</w:t>
      </w:r>
    </w:p>
    <w:p w14:paraId="7E4B0609" w14:textId="77777777" w:rsidR="008672B1" w:rsidRDefault="008672B1"/>
    <w:p w14:paraId="1F337D6F" w14:textId="77777777" w:rsidR="00FF4807" w:rsidRPr="00CC21FE" w:rsidRDefault="00831731">
      <w:pPr>
        <w:jc w:val="both"/>
        <w:rPr>
          <w:rFonts w:ascii="Times New Roman" w:eastAsia="標楷體" w:hAnsi="Times New Roman"/>
          <w:lang w:eastAsia="zh-TW"/>
        </w:rPr>
      </w:pPr>
      <w:r>
        <w:rPr>
          <w:rFonts w:ascii="Times New Roman" w:eastAsia="標楷體" w:hAnsi="Times New Roman"/>
          <w:sz w:val="20"/>
          <w:lang w:eastAsia="zh-TW"/>
        </w:rPr>
        <w:t>Fig. 5 shows a before/after comparison of museum artifacts under Pix2Pix+SGA: reflection regions are markedly weakened — the most direct, visually intuitive evidence that the Sobel prior lets edge-aware attention transfer to the museum scene.</w:t>
      </w:r>
    </w:p>
    <w:p w14:paraId="155FD009"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Fig. 6 visualizes the Sobel gradient magnitude that drives SGA's attention: high gradients concentrate on exhibit edges and material details while diffuse reflection areas show clearly lower gradients, suggesting that SGA's attention continues to emphasize object structure over reflection regions in the museum domain.</w:t>
      </w:r>
    </w:p>
    <w:p w14:paraId="17BCB267" w14:textId="77777777" w:rsidR="004B5988" w:rsidRPr="00CC21FE" w:rsidRDefault="004B5988">
      <w:pPr>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14:paraId="3D14D7AF" w14:textId="77777777" w:rsidR="008672B1" w:rsidRDefault="008672B1">
      <w:pPr>
        <w:sectPr w:rsidR="008672B1">
          <w:type w:val="continuous"/>
          <w:pgSz w:w="11906" w:h="16838"/>
          <w:pgMar w:top="1417" w:right="1298" w:bottom="1701" w:left="1077" w:header="720" w:footer="720" w:gutter="0"/>
          <w:cols w:num="2" w:space="454"/>
        </w:sectPr>
      </w:pPr>
    </w:p>
    <w:p w14:paraId="63A32C3D" w14:textId="77777777" w:rsidR="004B5988" w:rsidRPr="00CC21FE" w:rsidRDefault="001B284F" w:rsidP="001B284F">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3950970" cy="186118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3950970" cy="1861185"/>
                    </a:xfrm>
                    <a:prstGeom prst="rect">
                      <a:avLst/>
                    </a:prstGeom>
                  </pic:spPr>
                </pic:pic>
              </a:graphicData>
            </a:graphic>
            <wp14:sizeRelH relativeFrom="margin">
              <wp14:pctWidth>0</wp14:pctWidth>
            </wp14:sizeRelH>
            <wp14:sizeRelV relativeFrom="margin">
              <wp14:pctHeight>0</wp14:pctHeight>
            </wp14:sizeRelV>
          </wp:anchor>
        </w:drawing>
      </w:r>
    </w:p>
    <w:p w14:paraId="05E50DEF" w14:textId="77777777" w:rsidR="00FF4807" w:rsidRPr="00CC21FE" w:rsidRDefault="00000000" w:rsidP="001B284F">
      <w:pPr>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14:paraId="3F544146" w14:textId="77777777" w:rsidR="008672B1" w:rsidRDefault="008672B1">
      <w:pPr>
        <w:sectPr w:rsidR="008672B1">
          <w:type w:val="continuous"/>
          <w:pgSz w:w="11906" w:h="16838"/>
          <w:pgMar w:top="1417" w:right="1298" w:bottom="1701" w:left="1077" w:header="720" w:footer="720" w:gutter="0"/>
          <w:cols w:space="720"/>
        </w:sectPr>
      </w:pPr>
    </w:p>
    <w:p w14:paraId="1E58DDCB" w14:textId="77777777" w:rsidR="00FF4807" w:rsidRPr="00CC21FE" w:rsidRDefault="00000000" w:rsidP="001B284F">
      <w:pPr>
        <w:jc w:val="center"/>
        <w:rPr>
          <w:rFonts w:ascii="Times New Roman" w:eastAsia="標楷體" w:hAnsi="Times New Roman"/>
        </w:rPr>
      </w:pPr>
      <w:r>
        <w:rPr>
          <w:rFonts w:ascii="Times New Roman" w:eastAsia="標楷體" w:hAnsi="Times New Roman"/>
          <w:sz w:val="20"/>
        </w:rPr>
        <w:t>Top: originals with reflection (Original); bottom: Pix2Pix+SGA results (Generated).</w:t>
      </w:r>
    </w:p>
    <w:p w14:paraId="52417389" w14:textId="77777777" w:rsidR="004B5988" w:rsidRPr="00CC21FE" w:rsidRDefault="004B5988">
      <w:pPr>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p>
    <w:p w14:paraId="33FA30DA" w14:textId="5ED8A586" w:rsidR="00FF4807" w:rsidRPr="00CC21FE" w:rsidRDefault="00B947FC">
      <w:pPr>
        <w:jc w:val="center"/>
        <w:rPr>
          <w:rFonts w:ascii="Times New Roman" w:eastAsia="標楷體" w:hAnsi="Times New Roman"/>
        </w:rPr>
      </w:pPr>
      <w:r>
        <w:rPr>
          <w:rFonts w:ascii="Times New Roman" w:eastAsia="標楷體" w:hAnsi="Times New Roman"/>
          <w:noProof/>
        </w:rPr>
        <mc:AlternateContent>
          <mc:Choice Requires="wps">
            <w:drawing>
              <wp:anchor distT="0" distB="0" distL="114300" distR="114300" simplePos="0" relativeHeight="251661312" behindDoc="0" locked="0" layoutInCell="1" allowOverlap="1" wp14:anchorId="3852E238" wp14:editId="620BC1CA">
                <wp:simplePos x="0" y="0"/>
                <wp:positionH relativeFrom="column">
                  <wp:posOffset>529706</wp:posOffset>
                </wp:positionH>
                <wp:positionV relativeFrom="paragraph">
                  <wp:posOffset>152458</wp:posOffset>
                </wp:positionV>
                <wp:extent cx="284018" cy="138546"/>
                <wp:effectExtent l="57150" t="19050" r="20955" b="90170"/>
                <wp:wrapNone/>
                <wp:docPr id="231088305"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1BDA6" id="橢圓 1" o:spid="_x0000_s1026" style="position:absolute;margin-left:41.7pt;margin-top:12pt;width:22.35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" filled="f" strokecolor="#e00">
                <v:shadow on="t" color="black" opacity="22937f" origin=",.5" offset="0,.63889mm"/>
              </v:oval>
            </w:pict>
          </mc:Fallback>
        </mc:AlternateContent>
      </w:r>
      <w:r>
        <w:rPr>
          <w:rFonts w:ascii="Times New Roman" w:eastAsia="標楷體" w:hAnsi="Times New Roman"/>
          <w:noProof/>
        </w:rPr>
        <mc:AlternateContent>
          <mc:Choice Requires="wps">
            <w:drawing>
              <wp:anchor distT="0" distB="0" distL="114300" distR="114300" simplePos="0" relativeHeight="251659264" behindDoc="0" locked="0" layoutInCell="1" allowOverlap="1" wp14:anchorId="4366E3BE" wp14:editId="4922FFE7">
                <wp:simplePos x="0" y="0"/>
                <wp:positionH relativeFrom="column">
                  <wp:posOffset>1685232</wp:posOffset>
                </wp:positionH>
                <wp:positionV relativeFrom="paragraph">
                  <wp:posOffset>161232</wp:posOffset>
                </wp:positionV>
                <wp:extent cx="284018" cy="138546"/>
                <wp:effectExtent l="57150" t="19050" r="20955" b="90170"/>
                <wp:wrapNone/>
                <wp:docPr id="513318448" name="橢圓 1"/>
                <wp:cNvGraphicFramePr/>
                <a:graphic xmlns:a="http://schemas.openxmlformats.org/drawingml/2006/main">
                  <a:graphicData uri="http://schemas.microsoft.com/office/word/2010/wordprocessingShape">
                    <wps:wsp>
                      <wps:cNvSpPr/>
                      <wps:spPr>
                        <a:xfrm>
                          <a:off x="0" y="0"/>
                          <a:ext cx="284018" cy="138546"/>
                        </a:xfrm>
                        <a:prstGeom prst="ellipse">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A123E9" id="橢圓 1" o:spid="_x0000_s1026" style="position:absolute;margin-left:132.7pt;margin-top:12.7pt;width:22.35pt;height:1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" filled="f" strokecolor="#e00">
                <v:shadow on="t" color="black" opacity="22937f" origin=",.5" offset="0,.63889mm"/>
              </v:oval>
            </w:pict>
          </mc:Fallback>
        </mc:AlternateContent>
      </w: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2030EC1F"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0FDF1B5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6. Sobel gradient magnitude visualization (left: original; right: gradient magnitude). Top: with reflection — high gradients only at the reflection boundary, low internally; bottom: without reflection — gradients concentrate on object structural edges. This contrast is the basis for SGA's attention-guidance signal.</w:t>
      </w:r>
    </w:p>
    <w:p w14:paraId="7D285CF3" w14:textId="77777777" w:rsidR="00FF4807" w:rsidRPr="00CC21FE" w:rsidRDefault="00000000">
      <w:pPr>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1082C4A6"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Fig. 7. Training loss curves (blue: Generator loss; orange: Discriminator loss; x-axis: iterations).</w:t>
      </w:r>
    </w:p>
    <w:p w14:paraId="03BEDD37" w14:textId="77777777" w:rsidR="008672B1" w:rsidRDefault="008672B1"/>
    <w:p w14:paraId="4C393057"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4.6. Cross-Scene Downstream Validation</w:t>
      </w:r>
    </w:p>
    <w:p w14:paraId="49005DA2" w14:textId="77777777" w:rsidR="008672B1" w:rsidRDefault="008672B1"/>
    <w:p w14:paraId="2E14FC80"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Fig. 8 shows YOLOv8 detection boxes and confidence values for the same exhibit images before and after reflection removal, demonstrating its direct gain on downstream recognition.</w:t>
      </w:r>
    </w:p>
    <w:p w14:paraId="76277C8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Quantitatively, on the museum evaluation set YOLOv8 reached 92.7% on the original reflection-containing images (40 of 699 unrecognized); after Pix2Pix+SGA, 10 of these 40 (25%) became recognized, raising overall accuracy to 94.5% (+1.8 pp).</w:t>
      </w:r>
    </w:p>
    <w:p w14:paraId="63E08867"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37DDB6F4" w14:textId="77777777" w:rsidR="001B284F" w:rsidRDefault="00000000">
      <w:pPr>
        <w:ind w:firstLine="360"/>
        <w:jc w:val="both"/>
        <w:rPr>
          <w:rFonts w:ascii="Times New Roman" w:eastAsia="標楷體" w:hAnsi="Times New Roman"/>
          <w:sz w:val="20"/>
          <w:lang w:eastAsia="zh-TW"/>
        </w:rPr>
      </w:pPr>
      <w:r>
        <w:rPr>
          <w:rFonts w:ascii="Times New Roman" w:eastAsia="標楷體" w:hAnsi="Times New Roman"/>
          <w:sz w:val="20"/>
          <w:lang w:eastAsia="zh-TW"/>
        </w:rPr>
        <w:t>(1) The correctable base is inherently small — the 40 of 699 failures (5.7%) cap the theoretical gain at 5.7 pp even if all were recovered; by failure-recovery rate we recovered 10/40 (25%), showing substantial benefit on edge cases.</w:t>
      </w:r>
    </w:p>
    <w:p w14:paraId="4FC078D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already achieves a high 92.7% baseline on the original images, so the room for improvement is inherently limited and the marginal contribution of reflection removal is hard to surface in the overall metric; moreover, our evaluation set (699 images, 7 classes) is small relative to large benchmarks such as COCO, with few samples per class, making the overall accuracy sensitive to individual cases.</w:t>
      </w:r>
    </w:p>
    <w:p w14:paraId="3933A93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 xml:space="preserve">For comparison, we further applied Baseline Pix2Pix (without SGA) to the museum images before downstream recognition. Baseline removal not only fails to cleanly eliminate glass reflections but also markedly reduces resolution and blurs the structural and material details of the artifacts (e.g., smeared object contours), so that even a detector retrained on baseline-removed images mostly fails to recognize them reliably (missed detections, misclassification, or only low-confidence outputs). We attribute this to the following: downstream recognition relies primarily on the structural contours and edges of the artifacts as discriminative cues, whereas Baseline Pix2Pix, lacking a structural prior, indiscriminately smooths high-frequency edges and textures while suppressing reflections (consistent with </w:t>
      </w:r>
      <w:r>
        <w:rPr>
          <w:rFonts w:ascii="Times New Roman" w:eastAsia="標楷體" w:hAnsi="Times New Roman"/>
          <w:sz w:val="20"/>
          <w:lang w:eastAsia="zh-TW"/>
        </w:rPr>
        <w:lastRenderedPageBreak/>
        <w:t>the L1/adversarial over-smoothing discussed in §4.3); the resulting contour blurring erases discriminative features, so the detector can no longer recognize the objects. This conversely corroborates the motivation for our fixed Sobel edge prior, which guides attention to preserve object structure during reflection removal.</w:t>
      </w:r>
    </w:p>
    <w:p w14:paraId="25E7E363" w14:textId="77777777" w:rsidR="00FF4807" w:rsidRPr="00CC21FE" w:rsidRDefault="00000000">
      <w:pPr>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79F2036D" w14:textId="77777777">
        <w:trPr>
          <w:jc w:val="center"/>
        </w:trPr>
        <w:tc>
          <w:tcPr>
            <w:tcW w:w="1584" w:type="dxa"/>
            <w:tcBorders>
              <w:top w:val="single" w:sz="8" w:space="0" w:color="000000"/>
              <w:bottom w:val="single" w:sz="4" w:space="0" w:color="000000"/>
            </w:tcBorders>
          </w:tcPr>
          <w:p w14:paraId="4C0B114D"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Condition</w:t>
            </w:r>
            <w:proofErr w:type="spellEnd"/>
          </w:p>
        </w:tc>
        <w:tc>
          <w:tcPr>
            <w:tcW w:w="1008" w:type="dxa"/>
            <w:tcBorders>
              <w:top w:val="single" w:sz="8" w:space="0" w:color="000000"/>
              <w:bottom w:val="single" w:sz="4" w:space="0" w:color="000000"/>
            </w:tcBorders>
          </w:tcPr>
          <w:p w14:paraId="5FA3839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Accuracy (%)</w:t>
            </w:r>
            <w:proofErr w:type="spellEnd"/>
          </w:p>
        </w:tc>
        <w:tc>
          <w:tcPr>
            <w:tcW w:w="2016" w:type="dxa"/>
            <w:tcBorders>
              <w:top w:val="single" w:sz="8" w:space="0" w:color="000000"/>
              <w:bottom w:val="single" w:sz="4" w:space="0" w:color="000000"/>
            </w:tcBorders>
          </w:tcPr>
          <w:p w14:paraId="1EFD63FF"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Description</w:t>
            </w:r>
            <w:proofErr w:type="spellEnd"/>
          </w:p>
        </w:tc>
      </w:tr>
      <w:tr w:rsidR="00FF4807" w:rsidRPr="00CC21FE" w14:paraId="46411186" w14:textId="77777777">
        <w:trPr>
          <w:jc w:val="center"/>
        </w:trPr>
        <w:tc>
          <w:tcPr>
            <w:tcW w:w="1584" w:type="dxa"/>
          </w:tcPr>
          <w:p w14:paraId="547A6BFA"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Original image (with reflection)</w:t>
            </w:r>
            <w:proofErr w:type="spellEnd"/>
          </w:p>
        </w:tc>
        <w:tc>
          <w:tcPr>
            <w:tcW w:w="1008" w:type="dxa"/>
          </w:tcPr>
          <w:p w14:paraId="778D2790"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D33C6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40 of 699 not recognized</w:t>
            </w:r>
            <w:proofErr w:type="spellStart"/>
            <w:proofErr w:type="spellEnd"/>
            <w:proofErr w:type="spellStart"/>
            <w:proofErr w:type="spellEnd"/>
          </w:p>
        </w:tc>
      </w:tr>
      <w:tr w:rsidR="00FF4807" w:rsidRPr="00CC21FE" w14:paraId="21EFEE03" w14:textId="77777777">
        <w:trPr>
          <w:jc w:val="center"/>
        </w:trPr>
        <w:tc>
          <w:tcPr>
            <w:tcW w:w="1584" w:type="dxa"/>
            <w:tcBorders>
              <w:bottom w:val="single" w:sz="8" w:space="0" w:color="000000"/>
            </w:tcBorders>
          </w:tcPr>
          <w:p w14:paraId="494A1B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Pix2Pix + SGA (Ours)</w:t>
            </w:r>
            <w:proofErr w:type="spellStart"/>
            <w:proofErr w:type="spellEnd"/>
          </w:p>
        </w:tc>
        <w:tc>
          <w:tcPr>
            <w:tcW w:w="1008" w:type="dxa"/>
            <w:tcBorders>
              <w:bottom w:val="single" w:sz="8" w:space="0" w:color="000000"/>
            </w:tcBorders>
          </w:tcPr>
          <w:p w14:paraId="3B1A0E79"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1AA00DC"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 10 of 40 (25%) recovered</w:t>
            </w:r>
          </w:p>
        </w:tc>
      </w:tr>
    </w:tbl>
    <w:p w14:paraId="0C8AA6C2" w14:textId="77777777" w:rsidR="00FF4807" w:rsidRPr="00CC21FE" w:rsidRDefault="00FF4807">
      <w:pPr>
        <w:jc w:val="center"/>
        <w:rPr>
          <w:rFonts w:ascii="Times New Roman" w:eastAsia="標楷體" w:hAnsi="Times New Roman"/>
          <w:lang w:eastAsia="zh-TW"/>
        </w:rPr>
      </w:pPr>
    </w:p>
    <w:p w14:paraId="3E2C26C2" w14:textId="77777777" w:rsidR="00DB5D4F" w:rsidRPr="00CC21FE" w:rsidRDefault="00DB5D4F">
      <w:pPr>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1340"/>
        <w:gridCol w:w="1340"/>
        <w:gridCol w:w="1340"/>
        <w:gridCol w:w="1340"/>
      </w:tblGrid>
      <w:tr w:rsidR="003F4C93" w14:paraId="2C3D7049" w14:textId="77777777" w:rsidTr="003F4C93">
        <w:tc>
          <w:tcPr>
            <w:tcW w:w="1340" w:type="dxa"/>
            <w:tcMar>
              <w:top w:w="0" w:type="dxa"/>
              <w:left w:w="30" w:type="dxa"/>
              <w:bottom w:w="0" w:type="dxa"/>
              <w:right w:w="30" w:type="dxa"/>
            </w:tcMar>
          </w:tcPr>
          <w:p w14:paraId="51ED1710" w14:textId="130F08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42BB3E4F" wp14:editId="08738DDF">
                  <wp:extent cx="810000" cy="1446429"/>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F9A915D" w14:textId="367990CC"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0B4B32E" wp14:editId="0B4F9C7B">
                  <wp:extent cx="810000" cy="1446429"/>
                  <wp:effectExtent l="0" t="0" r="4445" b="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37C75A61" w14:textId="4092C6F0"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9E6CE9C" wp14:editId="31F414A0">
                  <wp:extent cx="810000" cy="1446429"/>
                  <wp:effectExtent l="0" t="0" r="8255" b="0"/>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75E2FA8D" w14:textId="22B34215"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51FAF50C" wp14:editId="1189AA1C">
                  <wp:extent cx="810000" cy="1446429"/>
                  <wp:effectExtent l="0" t="0" r="508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FB2DFB9" w14:textId="0C45D13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6D783466" wp14:editId="258940C3">
                  <wp:extent cx="810000" cy="1446429"/>
                  <wp:effectExtent l="0" t="0" r="317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F4C93" w14:paraId="3B222192" w14:textId="77777777" w:rsidTr="003F4C93">
        <w:tc>
          <w:tcPr>
            <w:tcW w:w="1340" w:type="dxa"/>
            <w:tcMar>
              <w:top w:w="0" w:type="dxa"/>
              <w:left w:w="30" w:type="dxa"/>
              <w:bottom w:w="0" w:type="dxa"/>
              <w:right w:w="30" w:type="dxa"/>
            </w:tcMar>
          </w:tcPr>
          <w:p w14:paraId="4C095D36" w14:textId="065CE548"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4D4AD96" wp14:editId="641A2E40">
                  <wp:extent cx="810000" cy="1446429"/>
                  <wp:effectExtent l="0" t="0" r="8255" b="381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1E49BF67" w14:textId="48B564E9"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71ED115D" wp14:editId="16961757">
                  <wp:extent cx="810000" cy="1446429"/>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E40A3A5" w14:textId="179459D7" w:rsidR="003F4C93" w:rsidRDefault="003F4C93" w:rsidP="00DB5D4F">
            <w:pPr>
              <w:jc w:val="center"/>
              <w:rPr>
                <w:rFonts w:ascii="Times New Roman" w:eastAsia="標楷體" w:hAnsi="Times New Roman"/>
              </w:rPr>
            </w:pPr>
            <w:r w:rsidRPr="00CC21FE">
              <w:rPr>
                <w:rFonts w:ascii="Times New Roman" w:eastAsia="標楷體" w:hAnsi="Times New Roman"/>
                <w:noProof/>
              </w:rPr>
              <w:drawing>
                <wp:inline distT="0" distB="0" distL="0" distR="0" wp14:anchorId="314739EA" wp14:editId="644FD44D">
                  <wp:extent cx="810000" cy="1446429"/>
                  <wp:effectExtent l="0" t="0" r="7620" b="889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60D2A085" w14:textId="28205DBC"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CB8CAC9" wp14:editId="11BE3C32">
                  <wp:extent cx="810000" cy="1446429"/>
                  <wp:effectExtent l="0" t="0" r="0" b="571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40" w:type="dxa"/>
            <w:tcMar>
              <w:top w:w="0" w:type="dxa"/>
              <w:left w:w="30" w:type="dxa"/>
              <w:bottom w:w="0" w:type="dxa"/>
              <w:right w:w="30" w:type="dxa"/>
            </w:tcMar>
          </w:tcPr>
          <w:p w14:paraId="0B64F545" w14:textId="71DE6468" w:rsidR="003F4C93" w:rsidRDefault="003F4C93" w:rsidP="00DB5D4F">
            <w:pPr>
              <w:jc w:val="center"/>
              <w:rPr>
                <w:rFonts w:ascii="Times New Roman" w:eastAsia="標楷體" w:hAnsi="Times New Roman"/>
              </w:rPr>
            </w:pPr>
            <w:r w:rsidRPr="00CC21FE">
              <w:rPr>
                <w:rFonts w:ascii="Times New Roman" w:eastAsia="標楷體" w:hAnsi="Times New Roman"/>
                <w:noProof/>
                <w:lang w:eastAsia="zh-TW"/>
              </w:rPr>
              <w:drawing>
                <wp:inline distT="0" distB="0" distL="0" distR="0" wp14:anchorId="7BBED959" wp14:editId="76686C23">
                  <wp:extent cx="810000" cy="1446429"/>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2000" r="22000"/>
                          <a:stretch>
                            <a:fillRect/>
                          </a:stretch>
                        </pic:blipFill>
                        <pic:spPr bwMode="auto">
                          <a:xfrm>
                            <a:off x="0" y="0"/>
                            <a:ext cx="810000" cy="14464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F059B1" w14:textId="77777777" w:rsidR="003F4C93" w:rsidRPr="00CC21FE" w:rsidRDefault="003F4C93" w:rsidP="003F4C93">
      <w:pPr>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14:paraId="2A882A39" w14:textId="59275058" w:rsidR="003F4C93" w:rsidRDefault="003F4C93" w:rsidP="00DB5D4F">
      <w:pPr>
        <w:jc w:val="center"/>
        <w:rPr>
          <w:rFonts w:ascii="Times New Roman" w:eastAsia="標楷體" w:hAnsi="Times New Roman"/>
        </w:rPr>
        <w:sectPr w:rsidR="003F4C93" w:rsidSect="003F4C93">
          <w:type w:val="continuous"/>
          <w:pgSz w:w="11906" w:h="16838"/>
          <w:pgMar w:top="1417" w:right="1298" w:bottom="1701" w:left="1077" w:header="720" w:footer="720" w:gutter="0"/>
          <w:cols w:space="454"/>
        </w:sectPr>
      </w:pPr>
    </w:p>
    <w:p w14:paraId="556EBA0A" w14:textId="66842BC5" w:rsidR="003F4C93" w:rsidRDefault="003F4C93" w:rsidP="003F4C93">
      <w:pPr>
        <w:rPr>
          <w:rFonts w:ascii="Times New Roman" w:eastAsia="標楷體" w:hAnsi="Times New Roman"/>
          <w:lang w:eastAsia="zh-TW"/>
        </w:rPr>
        <w:sectPr w:rsidR="003F4C93" w:rsidSect="003F4C93">
          <w:type w:val="continuous"/>
          <w:pgSz w:w="11906" w:h="16838"/>
          <w:pgMar w:top="1417" w:right="1298" w:bottom="1701" w:left="1077" w:header="720" w:footer="720" w:gutter="0"/>
          <w:cols w:space="454"/>
        </w:sectPr>
      </w:pPr>
    </w:p>
    <w:p w14:paraId="3766B811" w14:textId="77777777" w:rsidR="008672B1" w:rsidRPr="003F4C93" w:rsidRDefault="008672B1">
      <w:pPr>
        <w:rPr>
          <w:rFonts w:eastAsia="新細明體"/>
          <w:lang w:eastAsia="zh-TW"/>
        </w:rPr>
      </w:pPr>
    </w:p>
    <w:p w14:paraId="7AB02B6E"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14:paraId="537F1132" w14:textId="77777777" w:rsidR="008672B1" w:rsidRDefault="008672B1"/>
    <w:p w14:paraId="4CC39D4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14:paraId="07759F23" w14:textId="77777777" w:rsidR="008672B1" w:rsidRDefault="008672B1"/>
    <w:p w14:paraId="4666BC3C" w14:textId="77777777" w:rsidR="004B5988" w:rsidRPr="00CC21FE" w:rsidRDefault="00000000" w:rsidP="004B5988">
      <w:pPr>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once equipped with SGA, generalizes directly to museum artifacts without any fine-tuning or domain adaptation (§4.6). Moreover, the training dynamics in Fig. 7 show that both D loss and G loss converge stably without obvious mode collapse, indicating that adding SGA does not affect the stability of adversarial training.</w:t>
      </w:r>
    </w:p>
    <w:p w14:paraId="6E501E5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the attention-driving signal [6][8][31], computed solely from local pixel values of the input and not adjusted to the training data's scene distribution. We conjecture this is one factor enabling the observed cross-scene transfer: its attention-guidance signal does not undergo systematic shifts across scenes due to differences in training distribution.</w:t>
      </w:r>
    </w:p>
    <w:p w14:paraId="12A7DF12"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were used as the driving signal, its weights would adjust to the training data's scene distribution and could produce semantic misjudgments of target-scene textures in cross-scene application.</w:t>
      </w:r>
    </w:p>
    <w:p>
      <w:pPr>
        <w:ind w:firstLine="360"/>
        <w:jc w:val="both"/>
        <w:rPr>
          <w:rFonts w:ascii="Times New Roman" w:eastAsia="標楷體" w:hAnsi="Times New Roman"/>
          <w:lang w:eastAsia="zh-TW"/>
        </w:rPr>
      </w:pPr>
      <w:r>
        <w:rPr>
          <w:rFonts w:ascii="Times New Roman" w:hAnsi="Times New Roman"/>
          <w:sz w:val="20"/>
        </w:rPr>
        <w:t>This severity-dependence (§4.3) is consistent with the mechanism described above: because the attention-guidance signal is driven directly by the magnitude of the Sobel gradient, its contribution is naturally larger when the gradient contrast between reflection and object structure is more pronounced, i.e., under more severe reflection.</w:t>
      </w:r>
    </w:p>
    <w:p w14:paraId="4D2580B1" w14:textId="77777777" w:rsidR="008672B1" w:rsidRDefault="008672B1"/>
    <w:p w14:paraId="32C6E742" w14:textId="77777777" w:rsidR="00FF4807" w:rsidRPr="00CC21FE" w:rsidRDefault="00000000">
      <w:pPr>
        <w:jc w:val="both"/>
        <w:rPr>
          <w:rFonts w:ascii="Times New Roman" w:eastAsia="標楷體" w:hAnsi="Times New Roman"/>
        </w:rPr>
      </w:pPr>
      <w:r>
        <w:rPr>
          <w:rFonts w:ascii="Times New Roman" w:eastAsia="標楷體" w:hAnsi="Times New Roman"/>
          <w:b/>
          <w:sz w:val="20"/>
        </w:rPr>
        <w:t>5.2. Limitation Analysis</w:t>
      </w:r>
    </w:p>
    <w:p w14:paraId="13A2AA78" w14:textId="77777777" w:rsidR="008672B1" w:rsidRDefault="008672B1"/>
    <w:p w14:paraId="627268C0"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rPr>
        <w:t>This method has several limitations. First, when an object contains large uniform low-gradient regions (e.g., plain ceramics, solid-color backgrounds), the Sobel response is weak, SGA's edge guidance is limited, and the model degrades toward standard Pix2Pix. Second, as noted in §4.1.2, the museum evaluation set lacks reflection-free ground truth and must be interpreted together with the ablation results on the public SIRR test set. Third, we have not yet systematically validated removal of strong dynamic reflections (e.g., intense outdoor sunlight).</w:t>
      </w:r>
    </w:p>
    <w:p w14:paraId="5A297F91" w14:textId="77777777" w:rsidR="00FF4807" w:rsidRPr="00CC21FE" w:rsidRDefault="00000000">
      <w:pPr>
        <w:ind w:firstLine="360"/>
        <w:jc w:val="both"/>
        <w:rPr>
          <w:rFonts w:ascii="Times New Roman" w:eastAsia="標楷體" w:hAnsi="Times New Roman"/>
          <w:lang w:eastAsia="zh-TW"/>
        </w:rPr>
      </w:pPr>
      <w:r>
        <w:rPr>
          <w:rFonts w:ascii="Times New Roman" w:eastAsia="標楷體" w:hAnsi="Times New Roman"/>
          <w:sz w:val="20"/>
          <w:lang w:eastAsia="zh-TW"/>
        </w:rPr>
        <w:t xml:space="preserve">Fourth, as described in §4.6, the </w:t>
      </w:r>
      <w:proofErr w:type="gramStart"/>
      <w:r>
        <w:rPr>
          <w:rFonts w:ascii="Times New Roman" w:eastAsia="標楷體" w:hAnsi="Times New Roman"/>
          <w:sz w:val="20"/>
          <w:lang w:eastAsia="zh-TW"/>
        </w:rPr>
        <w:t>+1.8 pp</w:t>
      </w:r>
      <w:proofErr w:type="gramEnd"/>
      <w:r>
        <w:rPr>
          <w:rFonts w:ascii="Times New Roman" w:eastAsia="標楷體" w:hAnsi="Times New Roman"/>
          <w:sz w:val="20"/>
          <w:lang w:eastAsia="zh-TW"/>
        </w:rPr>
        <w:t xml:space="preserve"> overall improvement is jointly constrained by the evaluation-set size and the recognition model's baseline accuracy, leaving limited theoretical room for improvement; in future we will build a larger, cross-scene (e.g., factory, automotive) downstream evaluation dataset to more comprehensively validate the generalization benefit of our method.</w:t>
      </w:r>
    </w:p>
    <w:p>
      <w:pPr>
        <w:ind w:firstLine="360"/>
        <w:jc w:val="both"/>
        <w:rPr>
          <w:rFonts w:ascii="Times New Roman" w:eastAsia="標楷體" w:hAnsi="Times New Roman"/>
          <w:lang w:eastAsia="zh-TW"/>
        </w:rPr>
      </w:pPr>
      <w:r>
        <w:rPr>
          <w:rFonts w:ascii="Times New Roman" w:hAnsi="Times New Roman"/>
          <w:sz w:val="20"/>
        </w:rPr>
        <w:t>Fifth, the reflection-severity stratification in §4.3 is based on a coarse pixel-difference proxy rather than a validated reflection-strength annotation, and the pattern is clear for PSNR but weak or absent for SSIM and LPIPS respectively; a more rigorous, region-specific evaluation is left to future work.</w:t>
      </w:r>
    </w:p>
    <w:p w14:paraId="050FB426" w14:textId="77777777" w:rsidR="008672B1" w:rsidRDefault="008672B1"/>
    <w:p w14:paraId="467EBA72"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14:paraId="06C37A70" w14:textId="77777777" w:rsidR="008672B1" w:rsidRDefault="008672B1"/>
    <w:p w14:paraId="143CD80F" w14:textId="77777777" w:rsidR="00FF4807" w:rsidRPr="00CC21FE" w:rsidRDefault="00000000">
      <w:pPr>
        <w:jc w:val="both"/>
        <w:rPr>
          <w:rFonts w:ascii="Times New Roman" w:eastAsia="標楷體" w:hAnsi="Times New Roman"/>
          <w:lang w:eastAsia="zh-TW"/>
        </w:rPr>
      </w:pPr>
      <w:r>
        <w:rPr>
          <w:rFonts w:ascii="Times New Roman" w:eastAsia="標楷體" w:hAnsi="Times New Roman"/>
          <w:sz w:val="20"/>
          <w:lang w:eastAsia="zh-TW"/>
        </w:rPr>
        <w:t>Supervised SIRR generally faces the difficulty of obtaining target-domain paired data in real deployment. Motivated by cross-scene generalization, we propose an SGA module integrated into Pix2Pix to study the role of fixed structural priors in cross-scene SIRR. SGA uses fixed Sobel kernels to extract edge gradients that drive CBAM-style channel-and-spatial dual-branch attention, distinguishing object structure from reflection interference at the pixel level without adding any trainable parameters. Using museum artifact reflection removal as a case study, experiments show that a model trained on public SIRR datasets generalizes to museum artifacts without fine-tuning, raising downstream YOLOv8 recognition accuracy from 92.7% to 94.5% (+1.8 pp), demonstrating a measurable, if modest, practical benefit of fixed Sobel structural priors in the cross-scene setting, with the largest reconstruction-quality benefit observed on more severely reflective cases (§4.3).</w:t>
      </w:r>
    </w:p>
    <w:p w14:paraId="7D3961DB" w14:textId="77777777" w:rsidR="008672B1" w:rsidRDefault="008672B1"/>
    <w:p w14:paraId="1D6C076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References</w:t>
      </w:r>
    </w:p>
    <w:p w14:paraId="54656D42" w14:textId="77777777" w:rsidR="008672B1" w:rsidRDefault="008672B1"/>
    <w:p w14:paraId="521D719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4E9A936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1B16AEF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50420E1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11229D1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77F01E1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51BF49CC"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327EF140"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4AF9EB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70C9CA3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08600929"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674C278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6F96859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C90009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B73A21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5E1ECC6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5E93BEFD"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6512E59F"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20FFEC51"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151993F4"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114DB7C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6D9039B6"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5102F4F3"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797BF59A"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238A014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006066E7"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0D58586E"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11452365"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246B9ABB"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4F1BC4E2"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775D00D8" w14:textId="77777777" w:rsidR="00FF4807" w:rsidRPr="00CC21FE" w:rsidRDefault="00000000">
      <w:pPr>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B484" w14:textId="77777777" w:rsidR="00B01A43" w:rsidRDefault="00B01A43" w:rsidP="00CC21FE">
      <w:r>
        <w:separator/>
      </w:r>
    </w:p>
  </w:endnote>
  <w:endnote w:type="continuationSeparator" w:id="0">
    <w:p w14:paraId="2DCF963C" w14:textId="77777777" w:rsidR="00B01A43" w:rsidRDefault="00B01A43" w:rsidP="00CC2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C53A" w14:textId="77777777" w:rsidR="00B01A43" w:rsidRDefault="00B01A43" w:rsidP="00CC21FE">
      <w:r>
        <w:separator/>
      </w:r>
    </w:p>
  </w:footnote>
  <w:footnote w:type="continuationSeparator" w:id="0">
    <w:p w14:paraId="7AC6069A" w14:textId="77777777" w:rsidR="00B01A43" w:rsidRDefault="00B01A43" w:rsidP="00CC2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75F58"/>
    <w:rsid w:val="001B111C"/>
    <w:rsid w:val="001B284F"/>
    <w:rsid w:val="0029639D"/>
    <w:rsid w:val="002C0D6A"/>
    <w:rsid w:val="00326F90"/>
    <w:rsid w:val="003F4C93"/>
    <w:rsid w:val="004B5988"/>
    <w:rsid w:val="006762E1"/>
    <w:rsid w:val="006B65FE"/>
    <w:rsid w:val="007C7F23"/>
    <w:rsid w:val="007D1201"/>
    <w:rsid w:val="00831731"/>
    <w:rsid w:val="008672B1"/>
    <w:rsid w:val="00A83560"/>
    <w:rsid w:val="00AA1D8D"/>
    <w:rsid w:val="00B01A43"/>
    <w:rsid w:val="00B47730"/>
    <w:rsid w:val="00B57D2A"/>
    <w:rsid w:val="00B947FC"/>
    <w:rsid w:val="00C7617A"/>
    <w:rsid w:val="00CB0664"/>
    <w:rsid w:val="00CC21FE"/>
    <w:rsid w:val="00CC3F6F"/>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24A67D"/>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F4C93"/>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頁尾 字元"/>
    <w:basedOn w:val="a2"/>
    <w:link w:val="a7"/>
    <w:uiPriority w:val="99"/>
    <w:rsid w:val="00E618BF"/>
  </w:style>
  <w:style w:type="paragraph" w:styleId="a9">
    <w:name w:val="No Spacing"/>
    <w:uiPriority w:val="1"/>
    <w:qFormat/>
    <w:rsid w:val="00FC693F"/>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4832</Words>
  <Characters>27548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7</cp:revision>
  <dcterms:created xsi:type="dcterms:W3CDTF">2013-12-23T23:15:00Z</dcterms:created>
  <dcterms:modified xsi:type="dcterms:W3CDTF">2026-06-16T18:49:00Z</dcterms:modified>
  <cp:category/>
</cp:coreProperties>
</file>