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7" w:after="120"/>
        <w:jc w:val="center"/>
      </w:pPr>
      <w:r>
        <w:rPr>
          <w:rFonts w:ascii="Times New Roman" w:hAnsi="Times New Roman"/>
          <w:b/>
          <w:sz w:val="28"/>
        </w:rPr>
        <w:t>基於 Sobel 引導注意力機制之 Pix2Pix 跨場景單張影像反光消除</w:t>
        <w:br/>
        <w:t>：以博物館文物辨識為案例</w:t>
      </w:r>
    </w:p>
    <w:p>
      <w:pPr>
        <w:spacing w:before="0" w:after="120"/>
        <w:jc w:val="center"/>
      </w:pPr>
      <w:r>
        <w:rPr>
          <w:rFonts w:ascii="Times New Roman" w:hAnsi="Times New Roman"/>
          <w:b w:val="0"/>
          <w:i w:val="0"/>
          <w:caps w:val="0"/>
          <w:sz w:val="20"/>
        </w:rPr>
        <w:t>1學生姓名（中文名），以及 1,*指導教授姓名（中文名）</w:t>
        <w:br/>
        <w:t>1 [系所名稱]，[學校名稱]，[城市]，臺灣</w:t>
        <w:br/>
        <w:t>E-mail：[email@university.edu.tw]</w:t>
      </w: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風格的通道—空間雙維注意力；固定 Sobel 先驗天然具備場景無關（domain-agnostic）特性，為跨場景遷移提供穩定的結構引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New Roman" w:hAnsi="Times New Roman"/>
          <w:b/>
          <w:i w:val="0"/>
          <w:sz w:val="20"/>
        </w:rPr>
        <w:t>Keywords：</w:t>
      </w:r>
      <w:r>
        <w:rPr>
          <w:rFonts w:ascii="Times New Roman" w:hAnsi="Times New Roman"/>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問題導致即便在公開資料集上訓練效果良好的模型，在目標場景的實際部署中往往大幅退化【9】。</w:t>
      </w:r>
    </w:p>
    <w:p>
      <w:pPr>
        <w:spacing w:before="0" w:after="60"/>
        <w:ind w:firstLine="283"/>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辨識系統識別率顯著下降——以本文實驗為例，YOLOv8【42】在含反光影像上的辨識準確率僅為 92.7%。博物館場景因此提供了一個具有量化下游指標的理想案例，適合用於驗證跨場景 SIRR 泛化方法的實用效益。</w:t>
      </w:r>
    </w:p>
    <w:p>
      <w:pPr>
        <w:spacing w:before="0" w:after="60"/>
        <w:ind w:firstLine="283"/>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任務恰好具備這樣的物理基礎——反光因光線擴散呈現低頻、低梯度特性，物件邊緣因材質突變呈現高頻、高梯度響應；這兩項區別特性是物理性質，與場景 domain 無關。</w:t>
      </w:r>
    </w:p>
    <w:p>
      <w:pPr>
        <w:spacing w:before="0" w:after="60"/>
        <w:ind w:firstLine="283"/>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卷積核為固定參數，其計算出的梯度幅度僅反映影像的局部結構特性，不受訓練資料的場景分佈影響，天然具備 domain-agnostic 特性。Lu 等人【23】在醫學影像分割中展示了 Sobel 引導注意力的有效性，而 CBAM【21】確立了通道—空間雙維注意力的互補優勢，共同為本文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生成器的第一個編碼器塊之前完成邊緣感知特徵重校準，使模型在像素層面即對「展品結構」與「反光干擾」進行空間上的區分【3】。</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94.5%）量化驗證，並獲 AI GO 2024 競賽最佳實作獎肯定。</w:t>
      </w:r>
    </w:p>
    <w:p>
      <w:pPr>
        <w:spacing w:before="120" w:after="60"/>
        <w:jc w:val="center"/>
      </w:pPr>
      <w:r>
        <w:rPr>
          <w:rFonts w:ascii="Times New Roman" w:hAnsi="Times New Roman"/>
          <w:b/>
          <w:i w:val="0"/>
          <w:caps/>
          <w:sz w:val="20"/>
        </w:rPr>
        <w:t>2. Related Work</w:t>
      </w:r>
    </w:p>
    <w:p>
      <w:pPr>
        <w:spacing w:before="80" w:after="40"/>
        <w:jc w:val="left"/>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等人【1】提出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283"/>
        <w:jc w:val="both"/>
      </w:pPr>
      <w:r>
        <w:rPr>
          <w:rFonts w:ascii="Times New Roman" w:hAnsi="Times New Roman"/>
          <w:b w:val="0"/>
          <w:i w:val="0"/>
          <w:caps w:val="0"/>
          <w:sz w:val="20"/>
        </w:rPr>
        <w:t>Li 等人【2】提出 IBCLN，以卷積 LSTM 實現迭代漸進式的傳輸層與反射層交替提煉，並建立具密集標註 ground truth 的真實場景配對資料集，是本文訓練所用資料集之一。Chi 等人【3】指出，下採樣（池化）操作所帶來的資訊損失會增加解碼器精確復原影像的難度（因此其網路選擇省略池化層），這一觀察呼應了本文將邊緣注意力前置於編碼器之前、避免結構資訊在下採樣過程中流失的設計動機。Dong 等人【4】提出位置感知反光消除（Location-aware SIRR），以顯式的反光位置偵測模組（reflection confidence map）回歸反光機率圖以引導特徵流，證明「顯式空間位置線索」在 SIRR 任務中的有效性。</w:t>
      </w:r>
    </w:p>
    <w:p>
      <w:pPr>
        <w:spacing w:before="0" w:after="60"/>
        <w:ind w:firstLine="283"/>
        <w:jc w:val="both"/>
      </w:pPr>
      <w:r>
        <w:rPr>
          <w:rFonts w:ascii="Times New Roman" w:hAnsi="Times New Roman"/>
          <w:b w:val="0"/>
          <w:i w:val="0"/>
          <w:caps w:val="0"/>
          <w:sz w:val="20"/>
        </w:rPr>
        <w:t>近期方法朝不同技術方向發展。DURRNet【6】採用演算法展開（algorithm unrolling）將迭代優化轉化為深度網路，具備理論可解釋性。PromptRR【8】以擴散模型作為頻域提示生成器驅動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left"/>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生成對抗網路（GAN）【19】以生成器與判別器的對抗訓練學習數據分佈，為圖像合成提供了強大框架。Mirza 與 Osindero【15】提出條件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283"/>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等人【17】對 GAN 圖像合成的全面綜述確立了對抗訓練的廣泛有效性。</w:t>
      </w:r>
    </w:p>
    <w:p>
      <w:pPr>
        <w:spacing w:before="80" w:after="40"/>
        <w:jc w:val="left"/>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等人【22】提出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283"/>
        <w:jc w:val="both"/>
      </w:pPr>
      <w:r>
        <w:rPr>
          <w:rFonts w:ascii="Times New Roman" w:hAnsi="Times New Roman"/>
          <w:b w:val="0"/>
          <w:i w:val="0"/>
          <w:caps w:val="0"/>
          <w:sz w:val="20"/>
        </w:rPr>
        <w:t>Woo 等人【21】在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283"/>
        <w:jc w:val="both"/>
      </w:pPr>
      <w:r>
        <w:rPr>
          <w:rFonts w:ascii="Times New Roman" w:hAnsi="Times New Roman"/>
          <w:b w:val="0"/>
          <w:i w:val="0"/>
          <w:caps w:val="0"/>
          <w:sz w:val="20"/>
        </w:rPr>
        <w:t>Lu 等人【23】在醫學影像分割任務中提出以 Sobel 算子引導的多尺度注意力網路，以梯度幅度作為結構先驗驅動注意力機制，顯著提升分割邊界精度。醫學影像與自然場景之間同樣存在顯著的 domain gap，該方法在單一 medical domain 內以固定 Sobel 梯度驅動注意力取得良好分割效果，啟發本文進一步將此設計思路延伸至跨場景情境進行驗證——惟【23】本身並未測試跨資料集／跨場景表現，本文的跨場景驗證（§4.4-4.6）屬於本文的新貢獻，而非對【23】既有結論的延伸確認。GCNet【26】統一 Non-local Networks【24】與 SENet 的結構分析，說明結合全局語境與通道校準優於任一單一機制，進一步支持本文雙分支設計。</w:t>
      </w:r>
    </w:p>
    <w:p>
      <w:pPr>
        <w:spacing w:before="80" w:after="40"/>
        <w:jc w:val="left"/>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Tu【29】提出整體嵌套邊緣偵測（HED），以多尺度深度監督邊緣學習展示不同層次的邊緣特徵攜帶互補結構資訊，成為後續邊緣引導方法的重要基準。Ji 等人【31】提出 DGNet，以物件梯度監督解耦紋理與語義特徵，其梯度引導特徵提煉的思路與本文類比。</w:t>
      </w:r>
    </w:p>
    <w:p>
      <w:pPr>
        <w:spacing w:before="0" w:after="60"/>
        <w:ind w:firstLine="283"/>
        <w:jc w:val="both"/>
      </w:pPr>
      <w:r>
        <w:rPr>
          <w:rFonts w:ascii="Times New Roman" w:hAnsi="Times New Roman"/>
          <w:b w:val="0"/>
          <w:i w:val="0"/>
          <w:caps w:val="0"/>
          <w:sz w:val="20"/>
        </w:rPr>
        <w:t>Sharp U-Net【37】在 U-Net 的 skip connection 前加入銳化核（depthwise convolution with sharpening kernel），減少編碼器與解碼器特徵的語義不相似性，與本文在 skip connection 前注入 Sobel 結構引導的設計理念相呼應。Li 與 Liu【33】在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left"/>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之前）而非中間層，原因在於反光干擾在像素層面即已存在，若讓網路先執行下採樣再補救，結構細節資訊可能在下採樣過程中流失【3】，且中間層特徵已摻雜 domain-specific 的語義信息，不利於跨場景遷移。</w:t>
      </w:r>
    </w:p>
    <w:p>
      <w:pPr>
        <w:spacing w:before="80" w:after="0"/>
        <w:jc w:val="center"/>
      </w:pPr>
      <w:r>
        <w:drawing>
          <wp:inline xmlns:a="http://schemas.openxmlformats.org/drawingml/2006/main" xmlns:pic="http://schemas.openxmlformats.org/drawingml/2006/picture">
            <wp:extent cx="2926080" cy="2287643"/>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9"/>
                    <a:stretch>
                      <a:fillRect/>
                    </a:stretch>
                  </pic:blipFill>
                  <pic:spPr>
                    <a:xfrm>
                      <a:off x="0" y="0"/>
                      <a:ext cx="2926080" cy="2287643"/>
                    </a:xfrm>
                    <a:prstGeom prst="rect"/>
                  </pic:spPr>
                </pic:pic>
              </a:graphicData>
            </a:graphic>
          </wp:inline>
        </w:drawing>
      </w:r>
    </w:p>
    <w:p>
      <w:pPr>
        <w:spacing w:before="40" w:after="80"/>
        <w:jc w:val="center"/>
      </w:pPr>
      <w:r>
        <w:rPr>
          <w:rFonts w:ascii="Times New Roman" w:hAnsi="Times New Roman"/>
          <w:b w:val="0"/>
          <w:i w:val="0"/>
          <w:caps w:val="0"/>
          <w:sz w:val="18"/>
        </w:rPr>
        <w:t>圖 1. 整體架構示意圖。輸入影像 x（含反光）經 SGA 模組（結構詳見圖 2）重校準為 x'，再由 U-Net 生成器 G（Encoder×7 / Decoder×7，含 skip connection，tanh 輸出）映射為去反光輸出 T^。訓練階段另以 PatchGAN 判別器 D 比較 (x, T^) 與 (x, y) 計算對抗損失 L_adv，並將 T^ 與 ground truth y 比較計算 L_L1，合併為 L_total = L_adv + λ·L_L1（λ = 100）；推論階段僅需生成器 G。</w:t>
      </w:r>
    </w:p>
    <w:p>
      <w:pPr>
        <w:spacing w:before="80" w:after="40"/>
        <w:jc w:val="left"/>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left"/>
      </w:pPr>
      <w:r>
        <w:rPr>
          <w:rFonts w:ascii="Times New Roman" w:hAnsi="Times New Roman"/>
          <w:b/>
          <w:i w:val="0"/>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283"/>
        <w:jc w:val="both"/>
      </w:pPr>
      <w:r>
        <w:rPr>
          <w:rFonts w:ascii="Times New Roman" w:hAnsi="Times New Roman"/>
          <w:b w:val="0"/>
          <w:i w:val="0"/>
          <w:caps w:val="0"/>
          <w:sz w:val="20"/>
        </w:rPr>
        <w:t>從而得到 Sobel 特徵圖 S ∈ R^(H×W×3)，捕捉各通道的邊緣強度分佈。反光區域因光線擴散呈現低頻、低梯度特性；展品邊緣因材質突變產生強梯度響應。此兩項區別在物理層面與場景 domain 無關，使 S 能在任意場景中自然區分「物件結構」與「反光干擾」——這正是 SGA 實現跨場景泛化的根本機制。</w:t>
      </w:r>
    </w:p>
    <w:p>
      <w:pPr>
        <w:spacing w:before="80" w:after="40"/>
        <w:jc w:val="left"/>
      </w:pPr>
      <w:r>
        <w:rPr>
          <w:rFonts w:ascii="Times New Roman" w:hAnsi="Times New Roman"/>
          <w:b/>
          <w:i w:val="0"/>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283"/>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left"/>
      </w:pPr>
      <w:r>
        <w:rPr>
          <w:rFonts w:ascii="Times New Roman" w:hAnsi="Times New Roman"/>
          <w:b/>
          <w:i w:val="0"/>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283"/>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80" w:after="0"/>
        <w:jc w:val="center"/>
      </w:pPr>
      <w:r>
        <w:drawing>
          <wp:inline xmlns:a="http://schemas.openxmlformats.org/drawingml/2006/main" xmlns:pic="http://schemas.openxmlformats.org/drawingml/2006/picture">
            <wp:extent cx="2926080" cy="1191840"/>
            <wp:docPr id="2" name="Picture 2"/>
            <wp:cNvGraphicFramePr>
              <a:graphicFrameLocks noChangeAspect="1"/>
            </wp:cNvGraphicFramePr>
            <a:graphic>
              <a:graphicData uri="http://schemas.openxmlformats.org/drawingml/2006/picture">
                <pic:pic>
                  <pic:nvPicPr>
                    <pic:cNvPr id="0" name="sga_module_architecture.png"/>
                    <pic:cNvPicPr/>
                  </pic:nvPicPr>
                  <pic:blipFill>
                    <a:blip r:embed="rId10"/>
                    <a:stretch>
                      <a:fillRect/>
                    </a:stretch>
                  </pic:blipFill>
                  <pic:spPr>
                    <a:xfrm>
                      <a:off x="0" y="0"/>
                      <a:ext cx="2926080" cy="1191840"/>
                    </a:xfrm>
                    <a:prstGeom prst="rect"/>
                  </pic:spPr>
                </pic:pic>
              </a:graphicData>
            </a:graphic>
          </wp:inline>
        </w:drawing>
      </w:r>
    </w:p>
    <w:p>
      <w:pPr>
        <w:spacing w:before="40" w:after="80"/>
        <w:jc w:val="center"/>
      </w:pPr>
      <w:r>
        <w:rPr>
          <w:rFonts w:ascii="Times New Roman" w:hAnsi="Times New Roman"/>
          <w:b w:val="0"/>
          <w:i w:val="0"/>
          <w:caps w:val="0"/>
          <w:sz w:val="18"/>
        </w:rPr>
        <w:t>圖 2. SGA 模組詳細結構。Sobel 特徵經通道注意力（1×1 卷積）與空間注意力（7×7 卷積）依序重校準後，與原始輸入逐元素相乘，送入 U-Net 第一個編碼器塊。</w:t>
      </w:r>
    </w:p>
    <w:p>
      <w:pPr>
        <w:spacing w:before="80" w:after="40"/>
        <w:jc w:val="left"/>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 B】。編碼器由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left"/>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left"/>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283"/>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left"/>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left"/>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left"/>
      </w:pPr>
      <w:r>
        <w:rPr>
          <w:rFonts w:ascii="Times New Roman" w:hAnsi="Times New Roman"/>
          <w:b/>
          <w:i w:val="0"/>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SIR²【GAP-E】：大規模真實場景配對反光資料集，涵蓋物件（Objects）、野外（Wild）與後處理合成（Postcard）三個子集，提供豐富的自然場景反光類型。</w:t>
      </w:r>
    </w:p>
    <w:p>
      <w:pPr>
        <w:spacing w:before="0" w:after="60"/>
        <w:ind w:firstLine="283"/>
        <w:jc w:val="both"/>
      </w:pPr>
      <w:r>
        <w:rPr>
          <w:rFonts w:ascii="Times New Roman" w:hAnsi="Times New Roman"/>
          <w:b w:val="0"/>
          <w:i w:val="0"/>
          <w:caps w:val="0"/>
          <w:sz w:val="20"/>
        </w:rPr>
        <w:t>IBCLN【2】：Li 等人為訓練迭代式漸進消除網路所提供的配對資料集，包含多種室內環境下的真實場景反光影像對。</w:t>
      </w:r>
    </w:p>
    <w:p>
      <w:pPr>
        <w:spacing w:before="0" w:after="60"/>
        <w:ind w:firstLine="283"/>
        <w:jc w:val="both"/>
      </w:pPr>
      <w:r>
        <w:rPr>
          <w:rFonts w:ascii="Times New Roman" w:hAnsi="Times New Roman"/>
          <w:b w:val="0"/>
          <w:i w:val="0"/>
          <w:caps w:val="0"/>
          <w:sz w:val="20"/>
        </w:rPr>
        <w:t>ERRNET【ERRNET】：Wei 等人提出的配對資料集，資料涵蓋多種材質表面與光線條件下的反光場景，提供豐富的反光強度梯度變化。</w:t>
      </w:r>
    </w:p>
    <w:p>
      <w:pPr>
        <w:spacing w:before="0" w:after="60"/>
        <w:ind w:firstLine="283"/>
        <w:jc w:val="both"/>
      </w:pPr>
      <w:r>
        <w:rPr>
          <w:rFonts w:ascii="Times New Roman" w:hAnsi="Times New Roman"/>
          <w:b w:val="0"/>
          <w:i w:val="0"/>
          <w:caps w:val="0"/>
          <w:sz w:val="20"/>
        </w:rPr>
        <w:t>RFC（Flash Reflection Removal）【RFC】：Lei 與 Chen 所提供的以閃光燈輔助拍攝的配對資料集，每對影像分別為一般曝光（含反光）與閃光燈曝光（抑制反光），提供多種玻璃材質與室內光線下的反光配對。</w:t>
      </w:r>
    </w:p>
    <w:p>
      <w:pPr>
        <w:spacing w:before="0" w:after="60"/>
        <w:ind w:firstLine="283"/>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0"/>
        <w:jc w:val="center"/>
      </w:pPr>
      <w:r>
        <w:drawing>
          <wp:inline xmlns:a="http://schemas.openxmlformats.org/drawingml/2006/main" xmlns:pic="http://schemas.openxmlformats.org/drawingml/2006/picture">
            <wp:extent cx="2926080" cy="2167096"/>
            <wp:docPr id="3" name="Picture 3"/>
            <wp:cNvGraphicFramePr>
              <a:graphicFrameLocks noChangeAspect="1"/>
            </wp:cNvGraphicFramePr>
            <a:graphic>
              <a:graphicData uri="http://schemas.openxmlformats.org/drawingml/2006/picture">
                <pic:pic>
                  <pic:nvPicPr>
                    <pic:cNvPr id="0" name="compare_original1.jpg"/>
                    <pic:cNvPicPr/>
                  </pic:nvPicPr>
                  <pic:blipFill>
                    <a:blip r:embed="rId11"/>
                    <a:stretch>
                      <a:fillRect/>
                    </a:stretch>
                  </pic:blipFill>
                  <pic:spPr>
                    <a:xfrm>
                      <a:off x="0" y="0"/>
                      <a:ext cx="2926080" cy="2167096"/>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168177"/>
            <wp:docPr id="4" name="Picture 4"/>
            <wp:cNvGraphicFramePr>
              <a:graphicFrameLocks noChangeAspect="1"/>
            </wp:cNvGraphicFramePr>
            <a:graphic>
              <a:graphicData uri="http://schemas.openxmlformats.org/drawingml/2006/picture">
                <pic:pic>
                  <pic:nvPicPr>
                    <pic:cNvPr id="0" name="compare_generate1.jpg"/>
                    <pic:cNvPicPr/>
                  </pic:nvPicPr>
                  <pic:blipFill>
                    <a:blip r:embed="rId12"/>
                    <a:stretch>
                      <a:fillRect/>
                    </a:stretch>
                  </pic:blipFill>
                  <pic:spPr>
                    <a:xfrm>
                      <a:off x="0" y="0"/>
                      <a:ext cx="2926080" cy="2168177"/>
                    </a:xfrm>
                    <a:prstGeom prst="rect"/>
                  </pic:spPr>
                </pic:pic>
              </a:graphicData>
            </a:graphic>
          </wp:inline>
        </w:drawing>
      </w:r>
    </w:p>
    <w:p>
      <w:pPr>
        <w:spacing w:before="40" w:after="80"/>
        <w:jc w:val="center"/>
      </w:pPr>
      <w:r>
        <w:rPr>
          <w:rFonts w:ascii="Times New Roman" w:hAnsi="Times New Roman"/>
          <w:b w:val="0"/>
          <w:i w:val="0"/>
          <w:caps w:val="0"/>
          <w:sz w:val="18"/>
        </w:rPr>
        <w:t>訓練資料集樣本範例（上：Original，含反光原圖；下：Generated，對應之模型生成輸出）。場景為一般建築與植栽，與博物館展品完全無關，直觀呈現訓練資料與評估場景之間不存在 domain 重疊。</w:t>
      </w:r>
    </w:p>
    <w:p>
      <w:pPr>
        <w:spacing w:before="80" w:after="40"/>
        <w:jc w:val="left"/>
      </w:pPr>
      <w:r>
        <w:rPr>
          <w:rFonts w:ascii="Times New Roman" w:hAnsi="Times New Roman"/>
          <w:b/>
          <w:i w:val="0"/>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283"/>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left"/>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truth）：PSNR（峰值信噪比，越高越好）、SSIM【A】（結構相似性，越高越好）、LPIPS【36】（學習感知距離，以預訓練 VGG 特徵計算，越低越好）；（2）跨場景下游效益（在博物館評估集上，699 張）：YOLOv8【42】展品分類準確率，直接反映反光消除對實際辨識任務的影響。兩層次評估分別量化模型在訓練分佈內的復原品質，以及在目標 domain 上的實用效益，完整呈現跨場景泛化的全貌。</w:t>
      </w:r>
    </w:p>
    <w:p>
      <w:pPr>
        <w:spacing w:before="80" w:after="40"/>
        <w:jc w:val="left"/>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18"/>
        </w:rPr>
        <w:t>表 1. 公開 SIRR 測試集（491 對）消融實驗結果。</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2160"/>
            <w:tcBorders>
              <w:top w:sz="8" w:val="single" w:color="000000"/>
              <w:bottom w:sz="4" w:val="single" w:color="000000"/>
            </w:tcBorders>
          </w:tcPr>
          <w:p>
            <w:pPr>
              <w:spacing w:before="40" w:after="40"/>
              <w:jc w:val="center"/>
            </w:pPr>
            <w:r>
              <w:rPr>
                <w:rFonts w:ascii="Times New Roman" w:hAnsi="Times New Roman"/>
                <w:b/>
                <w:sz w:val="18"/>
              </w:rPr>
              <w:t>方法</w:t>
            </w:r>
          </w:p>
        </w:tc>
        <w:tc>
          <w:tcPr>
            <w:tcW w:type="dxa" w:w="864"/>
            <w:tcBorders>
              <w:top w:sz="8" w:val="single" w:color="000000"/>
              <w:bottom w:sz="4" w:val="single" w:color="000000"/>
            </w:tcBorders>
          </w:tcPr>
          <w:p>
            <w:pPr>
              <w:spacing w:before="40" w:after="40"/>
              <w:jc w:val="center"/>
            </w:pPr>
            <w:r>
              <w:rPr>
                <w:rFonts w:ascii="Times New Roman" w:hAnsi="Times New Roman"/>
                <w:b/>
                <w:sz w:val="18"/>
              </w:rPr>
              <w:t>PSNR (dB)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SSIM ↑</w:t>
            </w:r>
          </w:p>
        </w:tc>
        <w:tc>
          <w:tcPr>
            <w:tcW w:type="dxa" w:w="792"/>
            <w:tcBorders>
              <w:top w:sz="8" w:val="single" w:color="000000"/>
              <w:bottom w:sz="4" w:val="single" w:color="000000"/>
            </w:tcBorders>
          </w:tcPr>
          <w:p>
            <w:pPr>
              <w:spacing w:before="40" w:after="40"/>
              <w:jc w:val="center"/>
            </w:pPr>
            <w:r>
              <w:rPr>
                <w:rFonts w:ascii="Times New Roman" w:hAnsi="Times New Roman"/>
                <w:b/>
                <w:sz w:val="18"/>
              </w:rPr>
              <w:t>LPIPS ↓</w:t>
            </w:r>
          </w:p>
        </w:tc>
      </w:tr>
      <w:tr>
        <w:tc>
          <w:tcPr>
            <w:tcW w:type="dxa" w:w="2160"/>
          </w:tcPr>
          <w:p>
            <w:pPr>
              <w:spacing w:before="40" w:after="40"/>
              <w:jc w:val="center"/>
            </w:pPr>
            <w:r>
              <w:rPr>
                <w:rFonts w:ascii="Times New Roman" w:hAnsi="Times New Roman"/>
                <w:b w:val="0"/>
                <w:sz w:val="18"/>
              </w:rPr>
              <w:t>Baseline Pix2Pix [13]</w:t>
            </w:r>
          </w:p>
        </w:tc>
        <w:tc>
          <w:tcPr>
            <w:tcW w:type="dxa" w:w="864"/>
          </w:tcPr>
          <w:p>
            <w:pPr>
              <w:spacing w:before="40" w:after="40"/>
              <w:jc w:val="center"/>
            </w:pPr>
            <w:r>
              <w:rPr>
                <w:rFonts w:ascii="Times New Roman" w:hAnsi="Times New Roman"/>
                <w:b w:val="0"/>
                <w:sz w:val="18"/>
              </w:rPr>
              <w:t>23.896</w:t>
            </w:r>
          </w:p>
        </w:tc>
        <w:tc>
          <w:tcPr>
            <w:tcW w:type="dxa" w:w="792"/>
          </w:tcPr>
          <w:p>
            <w:pPr>
              <w:spacing w:before="40" w:after="40"/>
              <w:jc w:val="center"/>
            </w:pPr>
            <w:r>
              <w:rPr>
                <w:rFonts w:ascii="Times New Roman" w:hAnsi="Times New Roman"/>
                <w:b w:val="0"/>
                <w:sz w:val="18"/>
              </w:rPr>
              <w:t>0.8706</w:t>
            </w:r>
          </w:p>
        </w:tc>
        <w:tc>
          <w:tcPr>
            <w:tcW w:type="dxa" w:w="792"/>
          </w:tcPr>
          <w:p>
            <w:pPr>
              <w:spacing w:before="40" w:after="40"/>
              <w:jc w:val="center"/>
            </w:pPr>
            <w:r>
              <w:rPr>
                <w:rFonts w:ascii="Times New Roman" w:hAnsi="Times New Roman"/>
                <w:b w:val="0"/>
                <w:sz w:val="18"/>
              </w:rPr>
              <w:t>0.1630</w:t>
            </w:r>
          </w:p>
        </w:tc>
      </w:tr>
      <w:tr>
        <w:tc>
          <w:tcPr>
            <w:tcW w:type="dxa" w:w="2160"/>
            <w:tcBorders>
              <w:bottom w:sz="8" w:val="single" w:color="000000"/>
            </w:tcBorders>
          </w:tcPr>
          <w:p>
            <w:pPr>
              <w:spacing w:before="40" w:after="40"/>
              <w:jc w:val="center"/>
            </w:pPr>
            <w:r>
              <w:rPr>
                <w:rFonts w:ascii="Times New Roman" w:hAnsi="Times New Roman"/>
                <w:b w:val="0"/>
                <w:sz w:val="18"/>
              </w:rPr>
              <w:t>Pix2Pix + SGA（本文）</w:t>
            </w:r>
          </w:p>
        </w:tc>
        <w:tc>
          <w:tcPr>
            <w:tcW w:type="dxa" w:w="864"/>
            <w:tcBorders>
              <w:bottom w:sz="8" w:val="single" w:color="000000"/>
            </w:tcBorders>
          </w:tcPr>
          <w:p>
            <w:pPr>
              <w:spacing w:before="40" w:after="40"/>
              <w:jc w:val="center"/>
            </w:pPr>
            <w:r>
              <w:rPr>
                <w:rFonts w:ascii="Times New Roman" w:hAnsi="Times New Roman"/>
                <w:b w:val="0"/>
                <w:sz w:val="18"/>
              </w:rPr>
              <w:t>22.682</w:t>
            </w:r>
          </w:p>
        </w:tc>
        <w:tc>
          <w:tcPr>
            <w:tcW w:type="dxa" w:w="792"/>
            <w:tcBorders>
              <w:bottom w:sz="8" w:val="single" w:color="000000"/>
            </w:tcBorders>
          </w:tcPr>
          <w:p>
            <w:pPr>
              <w:spacing w:before="40" w:after="40"/>
              <w:jc w:val="center"/>
            </w:pPr>
            <w:r>
              <w:rPr>
                <w:rFonts w:ascii="Times New Roman" w:hAnsi="Times New Roman"/>
                <w:b w:val="0"/>
                <w:sz w:val="18"/>
              </w:rPr>
              <w:t>0.8192</w:t>
            </w:r>
          </w:p>
        </w:tc>
        <w:tc>
          <w:tcPr>
            <w:tcW w:type="dxa" w:w="792"/>
            <w:tcBorders>
              <w:bottom w:sz="8" w:val="single" w:color="000000"/>
            </w:tcBorders>
          </w:tcPr>
          <w:p>
            <w:pPr>
              <w:spacing w:before="40" w:after="40"/>
              <w:jc w:val="center"/>
            </w:pPr>
            <w:r>
              <w:rPr>
                <w:rFonts w:ascii="Times New Roman" w:hAnsi="Times New Roman"/>
                <w:b w:val="0"/>
                <w:sz w:val="18"/>
              </w:rPr>
              <w:t>0.2178</w:t>
            </w:r>
          </w:p>
        </w:tc>
      </w:tr>
    </w:tbl>
    <w:p>
      <w:pPr>
        <w:spacing w:before="0" w:after="60"/>
        <w:ind w:firstLine="283"/>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Michaeli【Blau18】從理論層面證明，感知品質與失真指標之間存在根本性的取捨關係（perception-distortion tradeoff）——感知品質越高的方法，PSNR/SSIM 往往越低，且此現象不因指標選擇而消失。Ledig 等人【Ledig17】在影像超解析度任務中也實驗確認：「最小化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0"/>
        <w:jc w:val="center"/>
      </w:pPr>
      <w:r>
        <w:drawing>
          <wp:inline xmlns:a="http://schemas.openxmlformats.org/drawingml/2006/main" xmlns:pic="http://schemas.openxmlformats.org/drawingml/2006/picture">
            <wp:extent cx="2926080" cy="1843050"/>
            <wp:docPr id="5" name="Picture 5"/>
            <wp:cNvGraphicFramePr>
              <a:graphicFrameLocks noChangeAspect="1"/>
            </wp:cNvGraphicFramePr>
            <a:graphic>
              <a:graphicData uri="http://schemas.openxmlformats.org/drawingml/2006/picture">
                <pic:pic>
                  <pic:nvPicPr>
                    <pic:cNvPr id="0" name="show.png"/>
                    <pic:cNvPicPr/>
                  </pic:nvPicPr>
                  <pic:blipFill>
                    <a:blip r:embed="rId13"/>
                    <a:stretch>
                      <a:fillRect/>
                    </a:stretch>
                  </pic:blipFill>
                  <pic:spPr>
                    <a:xfrm>
                      <a:off x="0" y="0"/>
                      <a:ext cx="2926080" cy="1843050"/>
                    </a:xfrm>
                    <a:prstGeom prst="rect"/>
                  </pic:spPr>
                </pic:pic>
              </a:graphicData>
            </a:graphic>
          </wp:inline>
        </w:drawing>
      </w:r>
    </w:p>
    <w:p>
      <w:pPr>
        <w:spacing w:before="40" w:after="80"/>
        <w:jc w:val="center"/>
      </w:pPr>
      <w:r>
        <w:rPr>
          <w:rFonts w:ascii="Times New Roman" w:hAnsi="Times New Roman"/>
          <w:b w:val="0"/>
          <w:i w:val="0"/>
          <w:caps w:val="0"/>
          <w:sz w:val="18"/>
        </w:rPr>
        <w:t>訓練資料集上的反光消除效果範例（3 組 Original/Generated 對比）。可見反光區域在視覺上明顯減弱，佐證模型在其訓練 domain 上具備真實的反光消除能力，與表 1 之量化指標應合併解讀（見上文Perception-Distortion Tradeoff 說明）。</w:t>
      </w:r>
    </w:p>
    <w:p>
      <w:pPr>
        <w:spacing w:before="80" w:after="40"/>
        <w:jc w:val="left"/>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3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283"/>
        <w:jc w:val="both"/>
      </w:pPr>
      <w:r>
        <w:rPr>
          <w:rFonts w:ascii="Times New Roman" w:hAnsi="Times New Roman"/>
          <w:b w:val="0"/>
          <w:i w:val="0"/>
          <w:caps w:val="0"/>
          <w:sz w:val="20"/>
        </w:rPr>
        <w:t>圖 4 呈現 Sobel Attention Map 視覺化：注意力高度集中於展品邊緣與材質細節區域，反光擴散區域的注意力權重明顯偏低，直觀驗證 SGA 在博物館 domain 中仍能正確識別「物件結構」與「反光干擾」的空間分佈。</w:t>
      </w:r>
    </w:p>
    <w:p>
      <w:pPr>
        <w:spacing w:before="80" w:after="0"/>
        <w:jc w:val="center"/>
      </w:pPr>
      <w:r>
        <w:drawing>
          <wp:inline xmlns:a="http://schemas.openxmlformats.org/drawingml/2006/main" xmlns:pic="http://schemas.openxmlformats.org/drawingml/2006/picture">
            <wp:extent cx="2926080" cy="1379368"/>
            <wp:docPr id="6" name="Picture 6"/>
            <wp:cNvGraphicFramePr>
              <a:graphicFrameLocks noChangeAspect="1"/>
            </wp:cNvGraphicFramePr>
            <a:graphic>
              <a:graphicData uri="http://schemas.openxmlformats.org/drawingml/2006/picture">
                <pic:pic>
                  <pic:nvPicPr>
                    <pic:cNvPr id="0" name="visual_comparison.png"/>
                    <pic:cNvPicPr/>
                  </pic:nvPicPr>
                  <pic:blipFill>
                    <a:blip r:embed="rId14"/>
                    <a:stretch>
                      <a:fillRect/>
                    </a:stretch>
                  </pic:blipFill>
                  <pic:spPr>
                    <a:xfrm>
                      <a:off x="0" y="0"/>
                      <a:ext cx="2926080" cy="1379368"/>
                    </a:xfrm>
                    <a:prstGeom prst="rect"/>
                  </pic:spPr>
                </pic:pic>
              </a:graphicData>
            </a:graphic>
          </wp:inline>
        </w:drawing>
      </w:r>
    </w:p>
    <w:p>
      <w:pPr>
        <w:spacing w:before="40" w:after="80"/>
        <w:jc w:val="center"/>
      </w:pPr>
      <w:r>
        <w:rPr>
          <w:rFonts w:ascii="Times New Roman" w:hAnsi="Times New Roman"/>
          <w:b w:val="0"/>
          <w:i w:val="0"/>
          <w:caps w:val="0"/>
          <w:sz w:val="18"/>
        </w:rPr>
        <w:t>圖 3. 博物館藏品跨場景視覺比較（5 組展品）。上排：含反光原始影像（Original）；下排：Pix2Pix+SGA 反光消除結果（Generated）。</w:t>
      </w:r>
    </w:p>
    <w:p>
      <w:pPr>
        <w:spacing w:before="80" w:after="0"/>
        <w:jc w:val="center"/>
      </w:pPr>
      <w:r>
        <w:drawing>
          <wp:inline xmlns:a="http://schemas.openxmlformats.org/drawingml/2006/main" xmlns:pic="http://schemas.openxmlformats.org/drawingml/2006/picture">
            <wp:extent cx="2926080" cy="1463040"/>
            <wp:docPr id="7" name="Picture 7"/>
            <wp:cNvGraphicFramePr>
              <a:graphicFrameLocks noChangeAspect="1"/>
            </wp:cNvGraphicFramePr>
            <a:graphic>
              <a:graphicData uri="http://schemas.openxmlformats.org/drawingml/2006/picture">
                <pic:pic>
                  <pic:nvPicPr>
                    <pic:cNvPr id="0" name="reflection_sobel_feature.png"/>
                    <pic:cNvPicPr/>
                  </pic:nvPicPr>
                  <pic:blipFill>
                    <a:blip r:embed="rId15"/>
                    <a:stretch>
                      <a:fillRect/>
                    </a:stretch>
                  </pic:blipFill>
                  <pic:spPr>
                    <a:xfrm>
                      <a:off x="0" y="0"/>
                      <a:ext cx="2926080" cy="146304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1463040"/>
            <wp:docPr id="8" name="Picture 8"/>
            <wp:cNvGraphicFramePr>
              <a:graphicFrameLocks noChangeAspect="1"/>
            </wp:cNvGraphicFramePr>
            <a:graphic>
              <a:graphicData uri="http://schemas.openxmlformats.org/drawingml/2006/picture">
                <pic:pic>
                  <pic:nvPicPr>
                    <pic:cNvPr id="0" name="nonreflection_sobel_feature.png"/>
                    <pic:cNvPicPr/>
                  </pic:nvPicPr>
                  <pic:blipFill>
                    <a:blip r:embed="rId16"/>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4. Sobel 梯度幅度視覺化（左：原始影像；右：梯度幅度圖）。上：含反光場景——反光區僅在邊界產生高梯度、內部梯度低；下：無反光場景——梯度集中於物件結構邊緣。此對比即 SGA 注意力引導信號的 domain-agnostic 物理基礎。</w:t>
      </w:r>
    </w:p>
    <w:p>
      <w:pPr>
        <w:spacing w:before="80" w:after="40"/>
        <w:jc w:val="left"/>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5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80" w:after="0"/>
        <w:jc w:val="center"/>
      </w:pPr>
      <w:r>
        <w:drawing>
          <wp:inline xmlns:a="http://schemas.openxmlformats.org/drawingml/2006/main" xmlns:pic="http://schemas.openxmlformats.org/drawingml/2006/picture">
            <wp:extent cx="2926080" cy="1463040"/>
            <wp:docPr id="9" name="Picture 9"/>
            <wp:cNvGraphicFramePr>
              <a:graphicFrameLocks noChangeAspect="1"/>
            </wp:cNvGraphicFramePr>
            <a:graphic>
              <a:graphicData uri="http://schemas.openxmlformats.org/drawingml/2006/picture">
                <pic:pic>
                  <pic:nvPicPr>
                    <pic:cNvPr id="0" name="loss_function.png"/>
                    <pic:cNvPicPr/>
                  </pic:nvPicPr>
                  <pic:blipFill>
                    <a:blip r:embed="rId17"/>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5. 訓練 Loss 曲線。藍線為 Generator loss，橘線為 Discriminator loss，橫軸為訓練迭代次數。</w:t>
      </w:r>
    </w:p>
    <w:p>
      <w:pPr>
        <w:spacing w:before="80" w:after="40"/>
        <w:jc w:val="left"/>
      </w:pPr>
      <w:r>
        <w:rPr>
          <w:rFonts w:ascii="Times New Roman" w:hAnsi="Times New Roman"/>
          <w:b/>
          <w:i w:val="0"/>
          <w:caps w:val="0"/>
          <w:sz w:val="20"/>
        </w:rPr>
        <w:t>4.6. 跨場景下游效益：視覺證據與辨識準確率</w:t>
      </w:r>
    </w:p>
    <w:p>
      <w:pPr>
        <w:spacing w:before="0" w:after="60"/>
        <w:jc w:val="both"/>
      </w:pPr>
      <w:r>
        <w:rPr>
          <w:rFonts w:ascii="Times New Roman" w:hAnsi="Times New Roman"/>
          <w:b w:val="0"/>
          <w:i w:val="0"/>
          <w:caps w:val="0"/>
          <w:sz w:val="20"/>
        </w:rPr>
        <w:t>圖 3（§4.4）已呈現博物館藏品在 Pix2Pix+SGA 處理前後的視覺比較：反光區域明顯減弱，展品表面材質紋理與邊緣細節的可辨識度提升，此差異對人眼而言相當直觀，是本文最直接的效果證據。圖 6 進一步以 YOLOv8 辨識結果為例，呈現同一展品影像在反光消除前後的偵測框與信心值變化：三個物件的辨識信心值分別由 0.76、0.48、0.64 提升至 0.93、0.85、0.81，顯示反光消除對下游辨識任務的直接增益。</w:t>
      </w:r>
    </w:p>
    <w:p>
      <w:pPr>
        <w:spacing w:before="0" w:after="60"/>
        <w:jc w:val="both"/>
      </w:pPr>
      <w:r>
        <w:rPr>
          <w:rFonts w:ascii="Times New Roman" w:hAnsi="Times New Roman"/>
          <w:b w:val="0"/>
          <w:i w:val="0"/>
          <w:caps w:val="0"/>
          <w:sz w:val="20"/>
        </w:rPr>
        <w:t>在量化層面，本文以博物館評估集（699 張，涵蓋陶瓷器、書法畫作、金屬文物及立體雕塑等 7 類展品）測試 YOLOv8 辨識結果：原始含反光影像的辨識準確率為 92.7%（699 張中 40 張未能成功辨識）；經 Pix2Pix+SGA 反光消除後，此 40 張中有 10 張（25%）轉為成功辨識，整體準確率提升至 94.5%（+1.8 pp）。</w:t>
      </w:r>
    </w:p>
    <w:p>
      <w:pPr>
        <w:spacing w:before="0" w:after="60"/>
        <w:ind w:firstLine="283"/>
        <w:jc w:val="both"/>
      </w:pPr>
      <w:r>
        <w:rPr>
          <w:rFonts w:ascii="Times New Roman" w:hAnsi="Times New Roman"/>
          <w:b w:val="0"/>
          <w:i w:val="0"/>
          <w:caps w:val="0"/>
          <w:sz w:val="20"/>
        </w:rPr>
        <w:t>整體準確率提升幅度（+1.8 pp）相對有限，我們推測主要受兩項因素制約：（1）可改善的失敗樣本基數本身有限——699 張中僅 40 張（5.7%）原始辨識失敗，理論上即使全部救回，準確率上限亦僅能提升至 5.7 個百分點（即 100%）；以「失敗案例救回率」衡量，本文實際救回 10/40（25%），顯示反光消除對「邊緣案例」具有實質助益。（2）辨識模型本身在原始影像上已達 92.7% 的高基準準確率，可改善空間天生受限，使反光消除的邊際貢獻不易在整體指標中充分顯現。此外，本文博物館評估集規模（699 張、7 類）相較於大型通用偵測基準（如 COCO）偏小，單一類別樣本數有限，使整體準確率對個別案例的敏感度較高。這些限制將於 §5.4 進一步討論，並列為未來工作方向（更大規模、更多類別、原始準確率較低之跨場景下游評估）。</w:t>
      </w:r>
    </w:p>
    <w:p>
      <w:pPr>
        <w:spacing w:before="40" w:after="80"/>
        <w:jc w:val="center"/>
      </w:pPr>
      <w:r>
        <w:rPr>
          <w:rFonts w:ascii="Times New Roman" w:hAnsi="Times New Roman"/>
          <w:b w:val="0"/>
          <w:i w:val="0"/>
          <w:caps w:val="0"/>
          <w:sz w:val="18"/>
        </w:rPr>
        <w:t>表 2. 跨場景下游辨識準確率（博物館評估集，699 張，7 類展品）。</w:t>
      </w:r>
    </w:p>
    <w:tbl>
      <w:tblPr>
        <w:tblW w:type="auto" w:w="0"/>
        <w:jc w:val="center"/>
        <w:tblLayout w:type="fixed"/>
        <w:tblLook w:firstColumn="1" w:firstRow="1" w:lastColumn="0" w:lastRow="0" w:noHBand="0" w:noVBand="1" w:val="04A0"/>
      </w:tblPr>
      <w:tblGrid>
        <w:gridCol w:w="3307"/>
        <w:gridCol w:w="3307"/>
        <w:gridCol w:w="3307"/>
      </w:tblGrid>
      <w:tr>
        <w:tc>
          <w:tcPr>
            <w:tcW w:type="dxa" w:w="1584"/>
            <w:tcBorders>
              <w:top w:sz="8" w:val="single" w:color="000000"/>
              <w:bottom w:sz="4" w:val="single" w:color="000000"/>
            </w:tcBorders>
          </w:tcPr>
          <w:p>
            <w:pPr>
              <w:spacing w:before="40" w:after="40"/>
              <w:jc w:val="center"/>
            </w:pPr>
            <w:r>
              <w:rPr>
                <w:rFonts w:ascii="Times New Roman" w:hAnsi="Times New Roman"/>
                <w:b/>
                <w:sz w:val="18"/>
              </w:rPr>
              <w:t>條件</w:t>
            </w:r>
          </w:p>
        </w:tc>
        <w:tc>
          <w:tcPr>
            <w:tcW w:type="dxa" w:w="1008"/>
            <w:tcBorders>
              <w:top w:sz="8" w:val="single" w:color="000000"/>
              <w:bottom w:sz="4" w:val="single" w:color="000000"/>
            </w:tcBorders>
          </w:tcPr>
          <w:p>
            <w:pPr>
              <w:spacing w:before="40" w:after="40"/>
              <w:jc w:val="center"/>
            </w:pPr>
            <w:r>
              <w:rPr>
                <w:rFonts w:ascii="Times New Roman" w:hAnsi="Times New Roman"/>
                <w:b/>
                <w:sz w:val="18"/>
              </w:rPr>
              <w:t>準確率 (%)</w:t>
            </w:r>
          </w:p>
        </w:tc>
        <w:tc>
          <w:tcPr>
            <w:tcW w:type="dxa" w:w="2016"/>
            <w:tcBorders>
              <w:top w:sz="8" w:val="single" w:color="000000"/>
              <w:bottom w:sz="4" w:val="single" w:color="000000"/>
            </w:tcBorders>
          </w:tcPr>
          <w:p>
            <w:pPr>
              <w:spacing w:before="40" w:after="40"/>
              <w:jc w:val="center"/>
            </w:pPr>
            <w:r>
              <w:rPr>
                <w:rFonts w:ascii="Times New Roman" w:hAnsi="Times New Roman"/>
                <w:b/>
                <w:sz w:val="18"/>
              </w:rPr>
              <w:t>說明</w:t>
            </w:r>
          </w:p>
        </w:tc>
      </w:tr>
      <w:tr>
        <w:tc>
          <w:tcPr>
            <w:tcW w:type="dxa" w:w="1584"/>
          </w:tcPr>
          <w:p>
            <w:pPr>
              <w:spacing w:before="40" w:after="40"/>
              <w:jc w:val="center"/>
            </w:pPr>
            <w:r>
              <w:rPr>
                <w:rFonts w:ascii="Times New Roman" w:hAnsi="Times New Roman"/>
                <w:b w:val="0"/>
                <w:sz w:val="18"/>
              </w:rPr>
              <w:t>原始影像（含反光）</w:t>
            </w:r>
          </w:p>
        </w:tc>
        <w:tc>
          <w:tcPr>
            <w:tcW w:type="dxa" w:w="1008"/>
          </w:tcPr>
          <w:p>
            <w:pPr>
              <w:spacing w:before="40" w:after="40"/>
              <w:jc w:val="center"/>
            </w:pPr>
            <w:r>
              <w:rPr>
                <w:rFonts w:ascii="Times New Roman" w:hAnsi="Times New Roman"/>
                <w:b w:val="0"/>
                <w:sz w:val="18"/>
              </w:rPr>
              <w:t>92.7</w:t>
            </w:r>
          </w:p>
        </w:tc>
        <w:tc>
          <w:tcPr>
            <w:tcW w:type="dxa" w:w="2016"/>
          </w:tcPr>
          <w:p>
            <w:pPr>
              <w:spacing w:before="40" w:after="40"/>
              <w:jc w:val="center"/>
            </w:pPr>
            <w:r>
              <w:rPr>
                <w:rFonts w:ascii="Times New Roman" w:hAnsi="Times New Roman"/>
                <w:b w:val="0"/>
                <w:sz w:val="18"/>
              </w:rPr>
              <w:t>699 張中 40 張未能成功辨識</w:t>
            </w:r>
          </w:p>
        </w:tc>
      </w:tr>
      <w:tr>
        <w:tc>
          <w:tcPr>
            <w:tcW w:type="dxa" w:w="1584"/>
            <w:tcBorders>
              <w:bottom w:sz="8" w:val="single" w:color="000000"/>
            </w:tcBorders>
          </w:tcPr>
          <w:p>
            <w:pPr>
              <w:spacing w:before="40" w:after="40"/>
              <w:jc w:val="center"/>
            </w:pPr>
            <w:r>
              <w:rPr>
                <w:rFonts w:ascii="Times New Roman" w:hAnsi="Times New Roman"/>
                <w:b w:val="0"/>
                <w:sz w:val="18"/>
              </w:rPr>
              <w:t>Pix2Pix + SGA（本文）</w:t>
            </w:r>
          </w:p>
        </w:tc>
        <w:tc>
          <w:tcPr>
            <w:tcW w:type="dxa" w:w="1008"/>
            <w:tcBorders>
              <w:bottom w:sz="8" w:val="single" w:color="000000"/>
            </w:tcBorders>
          </w:tcPr>
          <w:p>
            <w:pPr>
              <w:spacing w:before="40" w:after="40"/>
              <w:jc w:val="center"/>
            </w:pPr>
            <w:r>
              <w:rPr>
                <w:rFonts w:ascii="Times New Roman" w:hAnsi="Times New Roman"/>
                <w:b w:val="0"/>
                <w:sz w:val="18"/>
              </w:rPr>
              <w:t>94.5</w:t>
            </w:r>
          </w:p>
        </w:tc>
        <w:tc>
          <w:tcPr>
            <w:tcW w:type="dxa" w:w="2016"/>
            <w:tcBorders>
              <w:bottom w:sz="8" w:val="single" w:color="000000"/>
            </w:tcBorders>
          </w:tcPr>
          <w:p>
            <w:pPr>
              <w:spacing w:before="40" w:after="40"/>
              <w:jc w:val="center"/>
            </w:pPr>
            <w:r>
              <w:rPr>
                <w:rFonts w:ascii="Times New Roman" w:hAnsi="Times New Roman"/>
                <w:b w:val="0"/>
                <w:sz w:val="18"/>
              </w:rPr>
              <w:t>+1.8 pp；40 張中 10 張（25%）救回</w:t>
            </w:r>
          </w:p>
        </w:tc>
      </w:tr>
    </w:tbl>
    <w:p>
      <w:pPr>
        <w:spacing w:before="80" w:after="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原跑原7.jpg"/>
                    <pic:cNvPicPr/>
                  </pic:nvPicPr>
                  <pic:blipFill>
                    <a:blip r:embed="rId18"/>
                    <a:stretch>
                      <a:fillRect/>
                    </a:stretch>
                  </pic:blipFill>
                  <pic:spPr>
                    <a:xfrm>
                      <a:off x="0" y="0"/>
                      <a:ext cx="2926080" cy="292608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消跑原7.jpg"/>
                    <pic:cNvPicPr/>
                  </pic:nvPicPr>
                  <pic:blipFill>
                    <a:blip r:embed="rId19"/>
                    <a:stretch>
                      <a:fillRect/>
                    </a:stretch>
                  </pic:blipFill>
                  <pic:spPr>
                    <a:xfrm>
                      <a:off x="0" y="0"/>
                      <a:ext cx="2926080" cy="2926080"/>
                    </a:xfrm>
                    <a:prstGeom prst="rect"/>
                  </pic:spPr>
                </pic:pic>
              </a:graphicData>
            </a:graphic>
          </wp:inline>
        </w:drawing>
      </w:r>
    </w:p>
    <w:p>
      <w:pPr>
        <w:spacing w:before="40" w:after="80"/>
        <w:jc w:val="center"/>
      </w:pPr>
      <w:r>
        <w:rPr>
          <w:rFonts w:ascii="Times New Roman" w:hAnsi="Times New Roman"/>
          <w:b w:val="0"/>
          <w:i w:val="0"/>
          <w:caps w:val="0"/>
          <w:sz w:val="18"/>
        </w:rPr>
        <w:t>圖 6. YOLOv8 辨識結果範例：原始含反光影像（上）與 Pix2Pix+SGA 處理後影像（下）之偵測框與信心值比較。三個物件的辨識信心值分別由0.76、0.48、0.64 提升至 0.93、0.85、0.81。</w:t>
      </w:r>
    </w:p>
    <w:p>
      <w:pPr>
        <w:spacing w:before="120" w:after="60"/>
        <w:jc w:val="center"/>
      </w:pPr>
      <w:r>
        <w:rPr>
          <w:rFonts w:ascii="Times New Roman" w:hAnsi="Times New Roman"/>
          <w:b/>
          <w:i w:val="0"/>
          <w:caps/>
          <w:sz w:val="20"/>
        </w:rPr>
        <w:t>5. Discussion</w:t>
      </w:r>
    </w:p>
    <w:p>
      <w:pPr>
        <w:spacing w:before="80" w:after="40"/>
        <w:jc w:val="left"/>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後能直接泛化至博物館藏品，無需任何形式的微調或域適應。此現象的根本原因在於 SIRR 任務的物理結構特性：反光的低頻擴散特性與物件邊緣的高頻梯度特性，是由光學物理決定的，與拍攝場景無關。固定 Sobel 梯度恰好是提取此種場景無關結構信息的最直接工具——它不學習任何場景統計，只計算局部梯度幅度，因此其輸出在自然場景與博物館場景中具有完全相同的物理語義，使基於此引導的注意力機制能穩定跨場景遷移。</w:t>
      </w:r>
    </w:p>
    <w:p>
      <w:pPr>
        <w:spacing w:before="0" w:after="60"/>
        <w:ind w:firstLine="283"/>
        <w:jc w:val="both"/>
      </w:pPr>
      <w:r>
        <w:rPr>
          <w:rFonts w:ascii="Times New Roman" w:hAnsi="Times New Roman"/>
          <w:b w:val="0"/>
          <w:i w:val="0"/>
          <w:caps w:val="0"/>
          <w:sz w:val="20"/>
        </w:rPr>
        <w:t>相較之下，若採用可學習的邊緣偵測器（如 HED【29】）作為注意力驅動信號，其權重會根據訓練資料的場景分佈進行調整，在跨場景應用時可能出現邊緣偵測器對目標場景紋理的語義誤判。固定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left"/>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left"/>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left"/>
      </w:pPr>
      <w:r>
        <w:rPr>
          <w:rFonts w:ascii="Times New Roman" w:hAnsi="Times New Roman"/>
          <w:b/>
          <w:i w:val="0"/>
          <w:caps w:val="0"/>
          <w:sz w:val="20"/>
        </w:rPr>
        <w:t>5.4. 限制分析</w:t>
      </w:r>
    </w:p>
    <w:p>
      <w:pPr>
        <w:spacing w:before="0" w:after="60"/>
        <w:ind w:firstLine="283"/>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w:t>
      </w:r>
    </w:p>
    <w:p>
      <w:pPr>
        <w:spacing w:before="0" w:after="60"/>
        <w:ind w:firstLine="283"/>
        <w:jc w:val="both"/>
      </w:pPr>
      <w:r>
        <w:rPr>
          <w:rFonts w:ascii="Times New Roman" w:hAnsi="Times New Roman"/>
          <w:b w:val="0"/>
          <w:i w:val="0"/>
          <w:caps w:val="0"/>
          <w:sz w:val="20"/>
        </w:rPr>
        <w:t>第四，§4.6 的下游辨識效益（92.7%→94.5%，+1.8pp）之整體幅度受評估集規模與辨識模型基準準確率共同制約：699 張、7 類的評估集中僅 40 張（5.7%）原始辨識失敗，理論改善上限本身有限；同時辨識模型在原始影像上已具備 92.7% 的高基準準確率，使反光消除的邊際貢獻不易在整體指標中充分顯現。更大規模、更多類別、且原始辨識準確率較低（改善空間較大）的跨場景下游評估資料集，將是後續驗證本方法效益的重要方向。</w:t>
      </w:r>
    </w:p>
    <w:p>
      <w:pPr>
        <w:spacing w:before="80" w:after="40"/>
        <w:jc w:val="left"/>
      </w:pPr>
      <w:r>
        <w:rPr>
          <w:rFonts w:ascii="Times New Roman" w:hAnsi="Times New Roman"/>
          <w:b/>
          <w:i w:val="0"/>
          <w:caps w:val="0"/>
          <w:sz w:val="20"/>
        </w:rPr>
        <w:t>5.5. 未來工作</w:t>
      </w:r>
    </w:p>
    <w:p>
      <w:pPr>
        <w:spacing w:before="0" w:after="60"/>
        <w:ind w:firstLine="283"/>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HED【29】）在多尺度補充固定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PromptRR【8】），結合全局注意力與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架構的方法，系統性地探討固定結構先驗在跨場景 SIRR 中的作用機制。SGA 模組以固定 Sobel 卷積核萃取 domain-agnostic 的邊緣梯度信號，驅動 CBAM 風格的通道—空間雙維注意力，在不引入任何額外可訓練參數的前提下，實現像素層面對物件結構與反光干擾的有效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結構先驗在跨場景設定下的實際效益，並獲 AI GO 2024 競賽最佳實作獎肯定。</w:t>
      </w:r>
    </w:p>
    <w:p>
      <w:pPr>
        <w:spacing w:before="120" w:after="60"/>
        <w:jc w:val="center"/>
      </w:pPr>
      <w:r>
        <w:rPr>
          <w:rFonts w:ascii="Times New Roman" w:hAnsi="Times New Roman"/>
          <w:b/>
          <w:i w:val="0"/>
          <w:caps/>
          <w:sz w:val="20"/>
        </w:rPr>
        <w:t>Acknowledgement</w:t>
      </w:r>
    </w:p>
    <w:p>
      <w:pPr>
        <w:spacing w:before="0" w:after="60"/>
        <w:jc w:val="both"/>
      </w:pPr>
      <w:r>
        <w:rPr>
          <w:rFonts w:ascii="Times New Roman" w:hAnsi="Times New Roman"/>
          <w:b w:val="0"/>
          <w:i w:val="0"/>
          <w:caps w:val="0"/>
          <w:sz w:val="20"/>
        </w:rPr>
        <w:t>感謝【博物館/合作單位名稱】提供展品影像供跨場景評估使用。本研究於 AI GO 2024 競賽期間完成，獲競賽評審委員會最佳實作獎肯定。</w:t>
      </w:r>
    </w:p>
    <w:p>
      <w:pPr>
        <w:spacing w:before="120" w:after="60"/>
        <w:jc w:val="center"/>
      </w:pPr>
      <w:r>
        <w:rPr>
          <w:rFonts w:ascii="Times New Roman" w:hAnsi="Times New Roman"/>
          <w:b/>
          <w:i w:val="0"/>
          <w:caps/>
          <w:sz w:val="20"/>
        </w:rPr>
        <w:t>References</w:t>
      </w:r>
    </w:p>
    <w:p>
      <w:pPr>
        <w:spacing w:after="40"/>
        <w:ind w:left="283" w:hanging="283"/>
        <w:jc w:val="both"/>
      </w:pPr>
      <w:r>
        <w:rPr>
          <w:rFonts w:ascii="Times New Roman" w:hAnsi="Times New Roman"/>
          <w:sz w:val="18"/>
        </w:rPr>
        <w:t>[1] Q. Fan, J. Yang, G. Hua, B. Chen, and D. Wipf, "A Generic Deep Architecture for Single Image Reflection Removal and Image Smoothing," in Proc. IEEE ICCV, 2017, pp. 3238-3247.</w:t>
      </w:r>
    </w:p>
    <w:p>
      <w:pPr>
        <w:spacing w:after="40"/>
        <w:ind w:left="283" w:hanging="283"/>
        <w:jc w:val="both"/>
      </w:pPr>
      <w:r>
        <w:rPr>
          <w:rFonts w:ascii="Times New Roman" w:hAnsi="Times New Roman"/>
          <w:sz w:val="18"/>
        </w:rPr>
        <w:t>[2] C. Li, Y. Yang, K. He, S. Lin, and J. E. Hopcroft, "Single Image Reflection Removal through Cascaded Refinement," in Proc. IEEE/CVF CVPR, 2020, pp. 3566-3574.</w:t>
      </w:r>
    </w:p>
    <w:p>
      <w:pPr>
        <w:spacing w:after="40"/>
        <w:ind w:left="283" w:hanging="283"/>
        <w:jc w:val="both"/>
      </w:pPr>
      <w:r>
        <w:rPr>
          <w:rFonts w:ascii="Times New Roman" w:hAnsi="Times New Roman"/>
          <w:sz w:val="18"/>
        </w:rPr>
        <w:t>[3] Z. Chi, X. Wu, X. Shu, and J. Gu, "Single Image Reflection Removal Using Deep Encoder-Decoder Network," arXiv:1802.00094, 2018.</w:t>
      </w:r>
    </w:p>
    <w:p>
      <w:pPr>
        <w:spacing w:after="40"/>
        <w:ind w:left="283" w:hanging="283"/>
        <w:jc w:val="both"/>
      </w:pPr>
      <w:r>
        <w:rPr>
          <w:rFonts w:ascii="Times New Roman" w:hAnsi="Times New Roman"/>
          <w:sz w:val="18"/>
        </w:rPr>
        <w:t>[4] Z. Dong, K. Xu, Y. Yang, H. Bao, W. Xu, and R. W. H. Lau, "Location-aware Single Image Reflection Removal," in Proc. IEEE/CVF ICCV, 2021, pp. 5017-5026.</w:t>
      </w:r>
    </w:p>
    <w:p>
      <w:pPr>
        <w:spacing w:after="40"/>
        <w:ind w:left="283" w:hanging="283"/>
        <w:jc w:val="both"/>
      </w:pPr>
      <w:r>
        <w:rPr>
          <w:rFonts w:ascii="Times New Roman" w:hAnsi="Times New Roman"/>
          <w:sz w:val="18"/>
        </w:rPr>
        <w:t>[6] J.-J. Huang, T. Liu, Z. Yang, S. Fu, W. Zhao, and P. L. Dragotti, "DURRNet: Deep Unfolded Single Image Reflection Removal Network," arXiv:2203.06306, 2022.</w:t>
      </w:r>
    </w:p>
    <w:p>
      <w:pPr>
        <w:spacing w:after="40"/>
        <w:ind w:left="283" w:hanging="283"/>
        <w:jc w:val="both"/>
      </w:pPr>
      <w:r>
        <w:rPr>
          <w:rFonts w:ascii="Times New Roman" w:hAnsi="Times New Roman"/>
          <w:sz w:val="18"/>
        </w:rPr>
        <w:t>[8] T. Wang, W. Lu, K. Zhang, T. Lu, and M.-H. Yang, "PromptRR: Diffusion Models as Prompt Generators for Single Image Reflection Removal," arXiv:2402.02374, 2024.</w:t>
      </w:r>
    </w:p>
    <w:p>
      <w:pPr>
        <w:spacing w:after="40"/>
        <w:ind w:left="283" w:hanging="283"/>
        <w:jc w:val="both"/>
      </w:pPr>
      <w:r>
        <w:rPr>
          <w:rFonts w:ascii="Times New Roman" w:hAnsi="Times New Roman"/>
          <w:sz w:val="18"/>
        </w:rPr>
        <w:t>[9] K. Yang et al., "A Comprehensive Survey on Single Image Reflection Removal Using Deep Learning," arXiv:2502.08836, 2025.</w:t>
      </w:r>
    </w:p>
    <w:p>
      <w:pPr>
        <w:spacing w:after="40"/>
        <w:ind w:left="283" w:hanging="283"/>
        <w:jc w:val="both"/>
      </w:pPr>
      <w:r>
        <w:rPr>
          <w:rFonts w:ascii="Times New Roman" w:hAnsi="Times New Roman"/>
          <w:sz w:val="18"/>
        </w:rPr>
        <w:t>[13] P. Isola, J.-Y. Zhu, T. Zhou, and A. A. Efros, "Image-to-Image Translation with Conditional Adversarial Networks," in Proc. IEEE CVPR, 2017, pp. 1125-1134.</w:t>
      </w:r>
    </w:p>
    <w:p>
      <w:pPr>
        <w:spacing w:after="40"/>
        <w:ind w:left="283" w:hanging="283"/>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83" w:hanging="283"/>
        <w:jc w:val="both"/>
      </w:pPr>
      <w:r>
        <w:rPr>
          <w:rFonts w:ascii="Times New Roman" w:hAnsi="Times New Roman"/>
          <w:sz w:val="18"/>
        </w:rPr>
        <w:t>[15] M. Mirza and S. Osindero, "Conditional Generative Adversarial Nets," arXiv:1411.1784, 2014.</w:t>
      </w:r>
    </w:p>
    <w:p>
      <w:pPr>
        <w:spacing w:after="40"/>
        <w:ind w:left="283" w:hanging="283"/>
        <w:jc w:val="both"/>
      </w:pPr>
      <w:r>
        <w:rPr>
          <w:rFonts w:ascii="Times New Roman" w:hAnsi="Times New Roman"/>
          <w:sz w:val="18"/>
        </w:rPr>
        <w:t>[17] M.-Y. Liu et al., "Generative Adversarial Networks for Image and Video Synthesis: Algorithms and Applications," Proc. IEEE, vol. 109, no. 5, pp. 839-862, 2021.</w:t>
      </w:r>
    </w:p>
    <w:p>
      <w:pPr>
        <w:spacing w:after="40"/>
        <w:ind w:left="283" w:hanging="283"/>
        <w:jc w:val="both"/>
      </w:pPr>
      <w:r>
        <w:rPr>
          <w:rFonts w:ascii="Times New Roman" w:hAnsi="Times New Roman"/>
          <w:sz w:val="18"/>
        </w:rPr>
        <w:t>[19] I. Goodfellow et al., "Generative Adversarial Nets," in Adv. Neural Inf. Process. Syst. (NeurIPS), 2014, pp. 2672-2680.</w:t>
      </w:r>
    </w:p>
    <w:p>
      <w:pPr>
        <w:spacing w:after="40"/>
        <w:ind w:left="283" w:hanging="283"/>
        <w:jc w:val="both"/>
      </w:pPr>
      <w:r>
        <w:rPr>
          <w:rFonts w:ascii="Times New Roman" w:hAnsi="Times New Roman"/>
          <w:sz w:val="18"/>
        </w:rPr>
        <w:t>[21] S. Woo, J. Park, J.-Y. Lee, and I. S. Kweon, "CBAM: Convolutional Block Attention Module," in Proc. ECCV, 2018, pp. 3-19.</w:t>
      </w:r>
    </w:p>
    <w:p>
      <w:pPr>
        <w:spacing w:after="40"/>
        <w:ind w:left="283" w:hanging="283"/>
        <w:jc w:val="both"/>
      </w:pPr>
      <w:r>
        <w:rPr>
          <w:rFonts w:ascii="Times New Roman" w:hAnsi="Times New Roman"/>
          <w:sz w:val="18"/>
        </w:rPr>
        <w:t>[22] J. Hu, L. Shen, S. Albanie, G. Sun, and E. Wu, "Squeeze-and-Excitation Networks," IEEE Trans. Pattern Anal. Mach. Intell., vol. 42, no. 8, pp. 2011-2023, 2020.</w:t>
      </w:r>
    </w:p>
    <w:p>
      <w:pPr>
        <w:spacing w:after="40"/>
        <w:ind w:left="283" w:hanging="283"/>
        <w:jc w:val="both"/>
      </w:pPr>
      <w:r>
        <w:rPr>
          <w:rFonts w:ascii="Times New Roman" w:hAnsi="Times New Roman"/>
          <w:sz w:val="18"/>
        </w:rPr>
        <w:t>[23] F. Lu, C. Tang, T. Liu, Z. Zhang, and L. Li, "Multi-Attention Segmentation Networks Combined with the Sobel Operator for Medical Images," Sensors, vol. 23, no. 5, p. 2546, 2023. doi: 10.3390/s23052546.</w:t>
      </w:r>
    </w:p>
    <w:p>
      <w:pPr>
        <w:spacing w:after="40"/>
        <w:ind w:left="283" w:hanging="283"/>
        <w:jc w:val="both"/>
      </w:pPr>
      <w:r>
        <w:rPr>
          <w:rFonts w:ascii="Times New Roman" w:hAnsi="Times New Roman"/>
          <w:sz w:val="18"/>
        </w:rPr>
        <w:t>[24] X. Wang, R. Girshick, A. Gupta, and K. He, "Non-local Neural Networks," in Proc. IEEE/CVF CVPR, 2018, pp. 7794-7803.</w:t>
      </w:r>
    </w:p>
    <w:p>
      <w:pPr>
        <w:spacing w:after="40"/>
        <w:ind w:left="283" w:hanging="283"/>
        <w:jc w:val="both"/>
      </w:pPr>
      <w:r>
        <w:rPr>
          <w:rFonts w:ascii="Times New Roman" w:hAnsi="Times New Roman"/>
          <w:sz w:val="18"/>
        </w:rPr>
        <w:t>[26] Y. Cao, J. Xu, S. Lin, F. Wei, and H. Hu, "GCNet: Non-local Networks Meet Squeeze-Excitation Networks and Beyond," in Proc. IEEE ICCVW, 2019, pp. 1971-1980.</w:t>
      </w:r>
    </w:p>
    <w:p>
      <w:pPr>
        <w:spacing w:after="40"/>
        <w:ind w:left="283" w:hanging="283"/>
        <w:jc w:val="both"/>
      </w:pPr>
      <w:r>
        <w:rPr>
          <w:rFonts w:ascii="Times New Roman" w:hAnsi="Times New Roman"/>
          <w:sz w:val="18"/>
        </w:rPr>
        <w:t>[29] S. Xie and Z. Tu, "Holistically-Nested Edge Detection," in Proc. IEEE ICCV, 2015, pp. 1395-1403.</w:t>
      </w:r>
    </w:p>
    <w:p>
      <w:pPr>
        <w:spacing w:after="40"/>
        <w:ind w:left="283" w:hanging="283"/>
        <w:jc w:val="both"/>
      </w:pPr>
      <w:r>
        <w:rPr>
          <w:rFonts w:ascii="Times New Roman" w:hAnsi="Times New Roman"/>
          <w:sz w:val="18"/>
        </w:rPr>
        <w:t>[31] G. Ji, D.-P. Fan, Y.-C. Chou, D. Dai, A. Liniger, and L. Van Gool, "Deep Gradient Learning for Efficient Camouflaged Object Detection," Mach. Intell. Res., vol. 20, no. 1, pp. 92-108, 2023.</w:t>
      </w:r>
    </w:p>
    <w:p>
      <w:pPr>
        <w:spacing w:after="40"/>
        <w:ind w:left="283" w:hanging="283"/>
        <w:jc w:val="both"/>
      </w:pPr>
      <w:r>
        <w:rPr>
          <w:rFonts w:ascii="Times New Roman" w:hAnsi="Times New Roman"/>
          <w:sz w:val="18"/>
        </w:rPr>
        <w:t>[33] H. Li and J. Liu, "Edge, Structure and Texture Refinement for Retrospective High Quality MRI Restoration using Deep Learning," in Proc. IEEE ISBI, 2021.</w:t>
      </w:r>
    </w:p>
    <w:p>
      <w:pPr>
        <w:spacing w:after="40"/>
        <w:ind w:left="283" w:hanging="283"/>
        <w:jc w:val="both"/>
      </w:pPr>
      <w:r>
        <w:rPr>
          <w:rFonts w:ascii="Times New Roman" w:hAnsi="Times New Roman"/>
          <w:sz w:val="18"/>
        </w:rPr>
        <w:t>[36] R. Zhang, P. Isola, A. A. Efros, E. Shechtman, and O. Wang, "The Unreasonable Effectiveness of Deep Features as a Perceptual Metric," in Proc. IEEE/CVF CVPR, 2018, pp. 586-595.</w:t>
      </w:r>
    </w:p>
    <w:p>
      <w:pPr>
        <w:spacing w:after="40"/>
        <w:ind w:left="283" w:hanging="283"/>
        <w:jc w:val="both"/>
      </w:pPr>
      <w:r>
        <w:rPr>
          <w:rFonts w:ascii="Times New Roman" w:hAnsi="Times New Roman"/>
          <w:sz w:val="18"/>
        </w:rPr>
        <w:t>[37] H. Zunair and A. B. Hamza, "Sharp U-Net: Depthwise Convolutional Network for Biomedical Image Segmentation," Comput. Biol. Med., vol. 139, p. 104941, 2021.</w:t>
      </w:r>
    </w:p>
    <w:p>
      <w:pPr>
        <w:spacing w:after="40"/>
        <w:ind w:left="283" w:hanging="283"/>
        <w:jc w:val="both"/>
      </w:pPr>
      <w:r>
        <w:rPr>
          <w:rFonts w:ascii="Times New Roman" w:hAnsi="Times New Roman"/>
          <w:sz w:val="18"/>
        </w:rPr>
        <w:t>[42] D. Reis, J. Hong, J. Kupec, and A. Daoudi, "Real-Time Flying Object Detection with YOLOv8," arXiv:2305.09972, 2023.</w:t>
      </w:r>
    </w:p>
    <w:p>
      <w:pPr>
        <w:spacing w:after="40"/>
        <w:ind w:left="283" w:hanging="283"/>
        <w:jc w:val="both"/>
      </w:pPr>
      <w:r>
        <w:rPr>
          <w:rFonts w:ascii="Times New Roman" w:hAnsi="Times New Roman"/>
          <w:sz w:val="18"/>
        </w:rPr>
        <w:t>[A]  Z. Wang, A. C. Bovik, H. R. Sheikh, and E. P. Simoncelli, "Image Quality Assessment: From Error Visibility to Structural Similarity," IEEE Trans. Image Process., vol. 13, no. 4, pp. 600-612, Apr. 2004.</w:t>
      </w:r>
    </w:p>
    <w:p>
      <w:pPr>
        <w:spacing w:after="40"/>
        <w:ind w:left="283" w:hanging="283"/>
        <w:jc w:val="both"/>
      </w:pPr>
      <w:r>
        <w:rPr>
          <w:rFonts w:ascii="Times New Roman" w:hAnsi="Times New Roman"/>
          <w:sz w:val="18"/>
        </w:rPr>
        <w:t>[B]  O. Ronneberger, P. Fischer, and T. Brox, "U-Net: Convolutional Networks for Biomedical Image Segmentation," in Proc. MICCAI, 2015, pp. 234-241.</w:t>
      </w:r>
    </w:p>
    <w:p>
      <w:pPr>
        <w:spacing w:after="40"/>
        <w:ind w:left="283" w:hanging="283"/>
        <w:jc w:val="both"/>
      </w:pPr>
      <w:r>
        <w:rPr>
          <w:rFonts w:ascii="Times New Roman" w:hAnsi="Times New Roman"/>
          <w:sz w:val="18"/>
        </w:rPr>
        <w:t>[GAP-E] R. Wan, B. Shi, L.-Y. Duan, A.-H. Tan, and A. C. Kot, "Benchmarking Single-Image Reflection Removal Algorithms," in Proc. IEEE ICCV, 2017, pp. 3942-3950.</w:t>
      </w:r>
    </w:p>
    <w:p>
      <w:pPr>
        <w:spacing w:after="40"/>
        <w:ind w:left="283" w:hanging="283"/>
        <w:jc w:val="both"/>
      </w:pPr>
      <w:r>
        <w:rPr>
          <w:rFonts w:ascii="Times New Roman" w:hAnsi="Times New Roman"/>
          <w:sz w:val="18"/>
        </w:rPr>
        <w:t>[RFC] C. Lei and Q. Chen, "Robust Reflection Removal with Reflection-free Flash-only Cues," in Proc. IEEE/CVF CVPR, 2021, pp. 14811-14820.</w:t>
      </w:r>
    </w:p>
    <w:p>
      <w:pPr>
        <w:spacing w:after="40"/>
        <w:ind w:left="283" w:hanging="283"/>
        <w:jc w:val="both"/>
      </w:pPr>
      <w:r>
        <w:rPr>
          <w:rFonts w:ascii="Times New Roman" w:hAnsi="Times New Roman"/>
          <w:sz w:val="18"/>
        </w:rPr>
        <w:t>[ERRNET] K. Wei, J. Yang, Y. Fu, D. Wipf, and H. Huang, "Single Image Reflection Removal Exploiting Misaligned Training Data and Network Enhancements," in Proc. IEEE/CVF CVPR, 2019.</w:t>
      </w:r>
    </w:p>
    <w:p>
      <w:pPr>
        <w:spacing w:after="40"/>
        <w:ind w:left="283" w:hanging="283"/>
        <w:jc w:val="both"/>
      </w:pPr>
      <w:r>
        <w:rPr>
          <w:rFonts w:ascii="Times New Roman" w:hAnsi="Times New Roman"/>
          <w:sz w:val="18"/>
        </w:rPr>
        <w:t>[Blau18] Y. Blau and T. Michaeli, "The Perception-Distortion Tradeoff," in Proc. IEEE/CVF CVPR, 2018, pp. 6228-6237.</w:t>
      </w:r>
    </w:p>
    <w:p>
      <w:pPr>
        <w:spacing w:after="40"/>
        <w:ind w:left="283" w:hanging="283"/>
        <w:jc w:val="both"/>
      </w:pPr>
      <w:r>
        <w:rPr>
          <w:rFonts w:ascii="Times New Roman" w:hAnsi="Times New Roman"/>
          <w:sz w:val="18"/>
        </w:rPr>
        <w:t>[Ledig17] C. Ledig et al., "Photo-Realistic Single Image Super-Resolution Using a Generative Adversarial Network," in Proc. IEEE/CVF CVPR, 2017, pp. 4681-4690.</w:t>
      </w:r>
    </w:p>
    <w:sectPr w:rsidR="00FC693F" w:rsidRPr="0006063C" w:rsidSect="00034616">
      <w:pgSz w:w="11906" w:h="16838"/>
      <w:pgMar w:top="1417" w:right="907" w:bottom="1134" w:left="1077"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