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89A4" w14:textId="77777777" w:rsidR="00FF4807" w:rsidRPr="00CC21FE" w:rsidRDefault="00000000">
      <w:pPr>
        <w:spacing w:after="120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8"/>
          <w:lang w:eastAsia="zh-TW"/>
        </w:rPr>
        <w:t>基於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引導注意力機制之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跨場景單張影像反光消除</w:t>
      </w:r>
      <w:r w:rsidRPr="00CC21FE">
        <w:rPr>
          <w:rFonts w:ascii="Times New Roman" w:eastAsia="標楷體" w:hAnsi="Times New Roman"/>
          <w:b/>
          <w:sz w:val="28"/>
          <w:lang w:eastAsia="zh-TW"/>
        </w:rPr>
        <w:br/>
      </w:r>
      <w:r w:rsidRPr="00CC21FE">
        <w:rPr>
          <w:rFonts w:ascii="Times New Roman" w:eastAsia="標楷體" w:hAnsi="Times New Roman"/>
          <w:b/>
          <w:sz w:val="28"/>
          <w:lang w:eastAsia="zh-TW"/>
        </w:rPr>
        <w:t>：以博物館文物辨識為案例</w:t>
      </w:r>
    </w:p>
    <w:p w14:paraId="59FA4D9D" w14:textId="77777777" w:rsidR="00FF4807" w:rsidRPr="00CC21FE" w:rsidRDefault="00000000">
      <w:pPr>
        <w:spacing w:after="240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i/>
          <w:sz w:val="24"/>
        </w:rPr>
        <w:t>Zi-Xian Zhuang</w:t>
      </w:r>
      <w:r w:rsidRPr="00CC21FE">
        <w:rPr>
          <w:rFonts w:ascii="Times New Roman" w:eastAsia="標楷體" w:hAnsi="Times New Roman"/>
          <w:sz w:val="24"/>
        </w:rPr>
        <w:t xml:space="preserve"> (</w:t>
      </w:r>
      <w:r w:rsidRPr="00CC21FE">
        <w:rPr>
          <w:rFonts w:ascii="Times New Roman" w:eastAsia="標楷體" w:hAnsi="Times New Roman"/>
          <w:sz w:val="24"/>
        </w:rPr>
        <w:t>莊子賢</w:t>
      </w:r>
      <w:r w:rsidRPr="00CC21FE">
        <w:rPr>
          <w:rFonts w:ascii="Times New Roman" w:eastAsia="標楷體" w:hAnsi="Times New Roman"/>
          <w:sz w:val="24"/>
        </w:rPr>
        <w:t xml:space="preserve">), </w:t>
      </w:r>
      <w:r w:rsidRPr="00CC21FE">
        <w:rPr>
          <w:rFonts w:ascii="Times New Roman" w:eastAsia="標楷體" w:hAnsi="Times New Roman"/>
          <w:sz w:val="24"/>
          <w:vertAlign w:val="superscript"/>
        </w:rPr>
        <w:t>1,*</w:t>
      </w:r>
      <w:proofErr w:type="spellStart"/>
      <w:r w:rsidRPr="00CC21FE">
        <w:rPr>
          <w:rFonts w:ascii="Times New Roman" w:eastAsia="標楷體" w:hAnsi="Times New Roman"/>
          <w:i/>
          <w:sz w:val="24"/>
        </w:rPr>
        <w:t>Jiann</w:t>
      </w:r>
      <w:proofErr w:type="spellEnd"/>
      <w:r w:rsidRPr="00CC21FE">
        <w:rPr>
          <w:rFonts w:ascii="Times New Roman" w:eastAsia="標楷體" w:hAnsi="Times New Roman"/>
          <w:i/>
          <w:sz w:val="24"/>
        </w:rPr>
        <w:t>-Shu Lee</w:t>
      </w:r>
      <w:r w:rsidRPr="00CC21FE">
        <w:rPr>
          <w:rFonts w:ascii="Times New Roman" w:eastAsia="標楷體" w:hAnsi="Times New Roman"/>
          <w:sz w:val="24"/>
        </w:rPr>
        <w:t xml:space="preserve"> (</w:t>
      </w:r>
      <w:proofErr w:type="spellStart"/>
      <w:r w:rsidRPr="00CC21FE">
        <w:rPr>
          <w:rFonts w:ascii="Times New Roman" w:eastAsia="標楷體" w:hAnsi="Times New Roman"/>
          <w:sz w:val="24"/>
        </w:rPr>
        <w:t>李建樹</w:t>
      </w:r>
      <w:proofErr w:type="spellEnd"/>
      <w:r w:rsidRPr="00CC21FE">
        <w:rPr>
          <w:rFonts w:ascii="Times New Roman" w:eastAsia="標楷體" w:hAnsi="Times New Roman"/>
          <w:sz w:val="24"/>
        </w:rPr>
        <w:t>)</w:t>
      </w:r>
    </w:p>
    <w:p w14:paraId="728075BF" w14:textId="77777777" w:rsidR="00FF4807" w:rsidRPr="00CC21FE" w:rsidRDefault="00000000">
      <w:pPr>
        <w:spacing w:after="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sz w:val="24"/>
        </w:rPr>
        <w:t xml:space="preserve"> Department of Computer Science and Information Engineering, National University of Tainan, Tainan City, Taiwan</w:t>
      </w:r>
    </w:p>
    <w:p w14:paraId="453207F0" w14:textId="77777777" w:rsidR="00FF4807" w:rsidRPr="00CC21FE" w:rsidRDefault="00000000">
      <w:pPr>
        <w:spacing w:after="12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</w:rPr>
        <w:t>E-mail: s11159030@gm2.nutn.edu.tw</w:t>
      </w:r>
    </w:p>
    <w:p w14:paraId="2B675D3A" w14:textId="77777777" w:rsidR="00FF4807" w:rsidRPr="00CC21FE" w:rsidRDefault="00FF4807">
      <w:pPr>
        <w:rPr>
          <w:rFonts w:ascii="Times New Roman" w:eastAsia="標楷體" w:hAnsi="Times New Roman"/>
        </w:rPr>
        <w:sectPr w:rsidR="00FF4807" w:rsidRPr="00CC21FE">
          <w:pgSz w:w="11906" w:h="16838"/>
          <w:pgMar w:top="1984" w:right="1077" w:bottom="1701" w:left="1077" w:header="720" w:footer="720" w:gutter="0"/>
          <w:cols w:space="720"/>
          <w:docGrid w:linePitch="360"/>
        </w:sectPr>
      </w:pPr>
    </w:p>
    <w:p/>
    <w:p w14:paraId="3770482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Abstract</w:t>
      </w:r>
    </w:p>
    <w:p/>
    <w:p w14:paraId="698C979E" w14:textId="194FA70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監督式單張影像反光消除（SIRR）的根本瓶頸在於真實場景普遍難以取得像素對齊的「含反光／無反光」配對資料。這使模型無法直接於目標場景訓練。本文以跨場景泛化為核心動機，提出 Sobel 引導注意力（SGA）模組並整合至 Pix2Pix 架構，使模型於公開 SIRR 資料集訓練後無需微調即可遷移至未見場景。SGA 以固定 Sobel 卷積核萃取各通道邊緣梯度幅度，驅動 CBAM 風格的通道—空間雙維注意力。由於卷積核為固定參數，其運算不依賴訓練資料的場景分佈，因而為跨場景遷移提供結構引導基礎。本文以博物館藏品反光消除為案例：展品不可移動、玻璃罩難以拆裝，屬配對資料完全無法取得的真實場景。實驗顯示 SGA 使模型成功泛化至博物館藏品，下游 YOLOv8 辨識準確率由 92.7% 提升至 94.5%，顯示跨場景反光消除具有可衡量（但幅度有限）的實用效益。</w:t>
      </w:r>
    </w:p>
    <w:p w14:paraId="51A182FB" w14:textId="3E8D4095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Keywords: </w:t>
      </w:r>
      <w:r w:rsidRPr="00CC21FE">
        <w:rPr>
          <w:rFonts w:ascii="Times New Roman" w:eastAsia="標楷體" w:hAnsi="Times New Roman"/>
          <w:sz w:val="20"/>
          <w:lang w:eastAsia="zh-TW"/>
        </w:rPr>
        <w:t>單張影像反光消除、跨場景泛化、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結構先驗、條件生成對抗網路、</w:t>
      </w:r>
      <w:r w:rsidRPr="00CC21FE">
        <w:rPr>
          <w:rFonts w:ascii="Times New Roman" w:eastAsia="標楷體" w:hAnsi="Times New Roman"/>
          <w:sz w:val="20"/>
          <w:lang w:eastAsia="zh-TW"/>
        </w:rPr>
        <w:t>Pix2Pix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</w:p>
    <w:p/>
    <w:p w14:paraId="3C2AB75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1. Introduction</w:t>
      </w:r>
    </w:p>
    <w:p/>
    <w:p w14:paraId="4DC779FD" w14:textId="053E333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單張影像反光消除（SIRR）是電腦視覺中持續受關注的問題，應用涵蓋博物館展品拍攝、車載前擋風玻璃等真實情境。然而，現有監督式深度學習方法面臨一個根本性的訓練困境：模型需要像素對齊的「含反光／無反光」配對影像，而這類資料在絕大多數真實部署場景中幾乎無法大規模取得。無論是工廠玻璃檢測的高更換／控光成本，或車載場景持續變化的環境光，皆難以取得靜態配對。這是當前 SIRR 研究公認的限制：若缺乏能全面涵蓋真實世界多樣反光表面與光線條件的資料集，模型在新場景部署時的評估結果便難以可靠【1】。</w:t>
      </w:r>
    </w:p>
    <w:p w14:paraId="789FB766" w14:textId="36FD2AC2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此困境的代表案例。展品受玻璃罩保護而不可移動，環境燈光由展覽需求決定而不可調整，配對資料因此幾乎無從取得。然而其應用需求真實存在：訪客以手機拍攝展品時，玻璃反光顯著降低 AI 辨識率。本文實驗中，YOLOv8【2】於含反光影像上僅達 92.7% 準確率。博物館場景因此成為一個具量化下游指標、適合驗證跨場景 SIRR 泛化的理想案例。</w:t>
      </w:r>
    </w:p>
    <w:p w14:paraId="224BB1C0" w14:textId="295E1E5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本文的核心研究問題是：能否以公開 SIRR 資料集訓練模型，使其在完全未見的目標場景中無需微調即可直接部署？關鍵在於：若模型所依賴的特徵表示具場景無關性，反光消除能力便能跨場景自然遷移。本文設計的出發點是兩項梯度特性：SIRR 文獻普遍將反光層的低梯度特性視為廣泛使用的先驗【6】【8】；而物件邊緣因材質不連續產生高梯度響應，則是邊緣偵測文獻公認的基本邊緣成因之一【31】。本文以此兩項特性為基礎，設計能反映此差異的特徵表示。</w:t>
      </w:r>
    </w:p>
    <w:p w14:paraId="4CEEE997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基於此，本文提出以固定 Sobel 梯度作為注意力驅動信號。Sobel 卷積核為固定參數，其梯度幅度僅反映影像局部結構，與訓練資料的場景分佈無關。Lu 等人【3】已在醫學影像分割中驗證 Sobel 引導注意力的有效性，CBAM【4】則確立通道—空間雙維注意力的互補優勢，二者共同支撐本文 Sobel 引導注意力（SGA）模組。SGA 以固定 Sobel 梯度驅動 CBAM 風格的雙維注意力，於 Pix2Pix U-Net 生成器第一個編碼器塊之前完成邊緣感知特徵重校準，使模型能在像素層面區分「展品結構」與「反光干擾」。</w:t>
      </w:r>
    </w:p>
    <w:p w14:paraId="048433B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本文的主要貢獻如下：</w:t>
      </w:r>
    </w:p>
    <w:p w14:paraId="5EC03ECE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（1）提出 SGA 模組，以固定 Sobel 邊緣梯度引導 CBAM 風格的通道—空間雙維注意力。由於 Sobel 卷積核為固定參數，SGA 在不增加任何可訓練參數下，為 Pix2Pix 反光消除提供結構性先驗。</w:t>
      </w:r>
    </w:p>
    <w:p w14:paraId="10364A71" w14:textId="6EFED1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（2）以「公開 SIRR 資料集訓練、目標場景直接部署」為研究框架，探討固定結構先驗在跨場景 SIRR 泛化中的作用，為配對資料難以取得的真實場景提供可行的方法論路徑。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0DD29038" w14:textId="23938FC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（3）以博物館藏品反光消除為案例，從公開 SIRR 資料集訓練、跨場景應用於博物館影像，並以 YOLOv8 辨識準確率量化驗證。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61F36C8A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2. Related Work</w:t>
      </w:r>
    </w:p>
    <w:p/>
    <w:p w14:paraId="5297CCD0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單張影像反光消除</w:t>
      </w:r>
    </w:p>
    <w:p/>
    <w:p w14:paraId="249929DF" w14:textId="7475659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SIRR 已從基於優化的傳統方法演進至深度學習。Fan 等人【6】的 CEILNet 首次以級聯 CNN 將邊緣資訊引入 SIRR：E-CNN 先估計物件邊緣圖，I-CNN 再據以恢復傳輸層。此設計奠定了「以邊緣引導復原」的路線，是本文 SGA 模組的重要先驅。</w:t>
      </w:r>
      <w:proofErr w:type="spellStart"/>
      <w:proofErr w:type="spellEnd"/>
    </w:p>
    <w:p w14:paraId="22E80F7A" w14:textId="5AB3CD9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Li 等人【7】的 IBCLN 以卷積 LSTM 迭代交替提煉傳輸層與反射層；該研究同時建立了具密集標註 ground truth 的真實場景配對資料集，為本文訓練資料集之一。Chi 等人【5】指出下採樣的資訊損失會增加解碼器復原難度，呼應本文於編碼器前注入邊緣注意力的動機（詳見§3.1）。Dong 等人【8】以顯式偵測模組回歸反光機率圖引導特徵流，證明顯式空間位置線索在 SIRR 中的有效性。</w:t>
      </w:r>
    </w:p>
    <w:p w14:paraId="3BA68F64" w14:textId="2477DC28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近期方法朝不同方向發展：DURRNet【9】以演算法展開賦予理論可解釋性；PromptRR【10】以擴散模型驅動 Transformer 達最新 SOTA，但多步採樣使即時部署代價較高。儘管在公開基準上進展顯著，跨場景泛化仍是深度學習 SIRR 真實部署的核心挑戰，亦為本文聚焦的問題。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FD7C185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圖像轉換與條件生成對抗網路</w:t>
      </w:r>
    </w:p>
    <w:p/>
    <w:p w14:paraId="1328157D" w14:textId="756E737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生成對抗網路【11】【15】以生成器與判別器的對抗訓練學習數據分佈，為影像合成提供強大框架。Mirza 與 Osindero【12】的 cGAN 加入條件向量學習確定性映射，奠定了 Pix2Pix 的基礎。Isola 等人【13】據此提出 Pix2Pix——U-Net 生成器搭配 PatchGAN 判別器，以 L1+cGAN 損失訓練。此方法於多項配對翻譯任務取得突破，並確立配對監督在影像復原中的有效性。</w:t>
      </w:r>
      <w:proofErr w:type="spellStart"/>
      <w:proofErr w:type="spellEnd"/>
      <w:proofErr w:type="spellStart"/>
      <w:proofErr w:type="spellEnd"/>
    </w:p>
    <w:p w14:paraId="03CD0DCB" w14:textId="0B9DAE6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CycleGAN【14】以循環一致性損失免去配對需求，理論上適合配對資料難取得的場景。但比較實驗顯示，配對資料充足時 Pix2Pix 仍優於 CycleGAN 等無監督方法。本文據此以公開配對 SIRR 資料集訓練 Pix2Pix、再跨場景部署，藉此在「既有配對資料的監督強度」與「目標場景零配對資料」之間取得平衡。</w:t>
      </w:r>
      <w:proofErr w:type="spellEnd"/>
    </w:p>
    <w:p/>
    <w:p w14:paraId="6C96CCC1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2.3.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注意力機制</w:t>
      </w:r>
      <w:proofErr w:type="spellEnd"/>
    </w:p>
    <w:p/>
    <w:p w14:paraId="7D581D6E" w14:textId="64E9B26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Hu 等人【16】的 SENet 以全局平均池化＋全連接層重加權通道特徵，奠定通道注意力在 CNN 中的地位。Woo 等人【4】的 CBAM 進一步沿通道與空間兩維推斷注意力圖，於分類與偵測的廣泛實驗中均優於 SENet，說明結合兩維注意力的價值。本文 SGA 的雙分支設計直接源自 CBAM 框架，但以固定 Sobel 梯度取代純學習統計作為驅動信號——此替換使驅動信號的計算不依賴訓練資料的場景分佈。</w:t>
      </w:r>
      <w:proofErr w:type="spellStart"/>
      <w:proofErr w:type="spellEnd"/>
      <w:proofErr w:type="spellStart"/>
      <w:proofErr w:type="spellEnd"/>
    </w:p>
    <w:p w14:paraId="386DEDA3" w14:textId="28860C01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Lu 等人【3】在醫學影像分割中以 Sobel 算子引導多尺度注意力、以梯度幅度作結構先驗，顯著提升分割邊界精度。醫學與自然場景間同樣存在顯著 domain gap，該方法能在單一 medical domain 內以固定 Sobel 梯度取得良好效果，這啟發本文將此思路延伸至跨場景驗證。另一方面，既有研究顯示全局語境建模與通道校準的結合優於單一機制，進一步支持本文的雙分支設計【17】【18】。</w:t>
      </w:r>
    </w:p>
    <w:p/>
    <w:p w14:paraId="6C42569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邊緣引導影像處理</w:t>
      </w:r>
    </w:p>
    <w:p/>
    <w:p w14:paraId="48019B0D" w14:textId="7FE5BA6B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以邊緣資訊引導影像復原是一條成熟路線。Xie 與 Tu【19】的整體嵌套邊緣偵測以多尺度深度監督顯示，不同層次的邊緣特徵攜帶互補結構資訊，成為後續邊緣引導方法的重要基準。Ji 等人【20】的 DGNet 以物件梯度監督解耦紋理與語義特徵，本文深受其梯度引導特徵提煉思路啟發。</w:t>
      </w:r>
      <w:proofErr w:type="spellStart"/>
      <w:proofErr w:type="spellEnd"/>
    </w:p>
    <w:p w14:paraId="00A62FA6" w14:textId="1FC84729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Sharp U-Net【21】在 U-Net 的 skip connection 前加入銳化核，降低編解碼器特徵的語義差異，與本文在 skip connection 前注入 Sobel 結構引導的理念相呼應。Li 與 Liu【22】在 MRI 超解析中引入梯度圖邊緣品質損失，迫使模型學習邊緣結構細節，顯示梯度引導設計在醫學影像 domain 同樣適用。</w:t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proofErr w:type="spellStart"/>
      <w:r w:rsidRPr="00CC21FE">
        <w:rPr>
          <w:rFonts w:ascii="Times New Roman" w:eastAsia="標楷體" w:hAnsi="Times New Roman"/>
          <w:sz w:val="20"/>
        </w:rPr>
      </w:r>
      <w:proofErr w:type="spellEnd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BD19CC3" w14:textId="77777777" w:rsidR="00B57D2A" w:rsidRPr="00CC21FE" w:rsidRDefault="00B57D2A">
      <w:pPr>
        <w:ind w:firstLine="360"/>
        <w:jc w:val="both"/>
        <w:rPr>
          <w:rFonts w:ascii="Times New Roman" w:eastAsia="標楷體" w:hAnsi="Times New Roman" w:hint="eastAsia"/>
          <w:lang w:eastAsia="zh-TW"/>
        </w:rPr>
      </w:pPr>
    </w:p>
    <w:p w14:paraId="027E9254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caps/>
          <w:sz w:val="20"/>
        </w:rPr>
        <w:lastRenderedPageBreak/>
        <w:t>3. Proposed Method</w:t>
      </w:r>
    </w:p>
    <w:p/>
    <w:p w14:paraId="4CC05BA3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3.1.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整體架構</w:t>
      </w:r>
      <w:proofErr w:type="spellEnd"/>
    </w:p>
    <w:p/>
    <w:p w14:paraId="0A884742" w14:textId="398750D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本文以 Pix2Pix【13】為骨幹。核心創新是在 U-Net 生成器的首個編碼器塊前插入 SGA 模組（圖 1）。給定含反光輸入 Ir ∈ R(H×W×3)，SGA 先執行邊緣感知特徵重校準、輸出結構增強特徵圖 x'；U-Net 再將 x' 映射至無反光輸出 T̂ ∈ R(H×W×3)。訓練期間，PatchGAN 判別器評估局部圖像塊真實性，迫使生成器產生逼真高頻細節。SGA 置於最前端而非中間層，原因有二：反光干擾在像素層面即存在，若先下採樣再補救，結構細節易流失【5】；且中間層特徵可能已摻雜訓練資料特定場景的語義線索，較不利於跨場景遷移。</w:t>
      </w:r>
      <w:proofErr w:type="spellStart"/>
      <w:proofErr w:type="spellEnd"/>
    </w:p>
    <w:p w14:paraId="5D95EE7A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093063" w14:textId="760B4EF2" w:rsidR="00A83560" w:rsidRPr="00CC21FE" w:rsidRDefault="00A83560" w:rsidP="00A8356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7282FBF7" wp14:editId="5229CC0E">
            <wp:extent cx="3930650" cy="1768813"/>
            <wp:effectExtent l="0" t="0" r="0" b="3175"/>
            <wp:docPr id="11932700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57" cy="17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32C" w14:textId="5DE06619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5382BB8E" w14:textId="77777777" w:rsidR="00DB5D4F" w:rsidRPr="00CC21FE" w:rsidRDefault="00DB5D4F" w:rsidP="00DB5D4F">
      <w:pPr>
        <w:rPr>
          <w:rFonts w:ascii="Times New Roman" w:eastAsia="標楷體" w:hAnsi="Times New Roman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16BA1A" w14:textId="7377AFFD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圖</w:t>
      </w:r>
      <w:r w:rsidRPr="00CC21FE">
        <w:rPr>
          <w:rFonts w:ascii="Times New Roman" w:eastAsia="標楷體" w:hAnsi="Times New Roman"/>
          <w:sz w:val="20"/>
        </w:rPr>
        <w:t xml:space="preserve"> 1. </w:t>
      </w:r>
      <w:proofErr w:type="spellStart"/>
      <w:r w:rsidRPr="00CC21FE">
        <w:rPr>
          <w:rFonts w:ascii="Times New Roman" w:eastAsia="標楷體" w:hAnsi="Times New Roman"/>
          <w:sz w:val="20"/>
        </w:rPr>
        <w:t>整體架構示意圖</w:t>
      </w:r>
      <w:proofErr w:type="spellEnd"/>
      <w:r w:rsidRPr="00CC21FE">
        <w:rPr>
          <w:rFonts w:ascii="Times New Roman" w:eastAsia="標楷體" w:hAnsi="Times New Roman"/>
          <w:sz w:val="20"/>
        </w:rPr>
        <w:t>。</w:t>
      </w:r>
      <w:r w:rsidRPr="00CC21FE">
        <w:rPr>
          <w:rFonts w:ascii="Times New Roman" w:eastAsia="標楷體" w:hAnsi="Times New Roman"/>
          <w:sz w:val="20"/>
          <w:lang w:eastAsia="zh-TW"/>
        </w:rPr>
        <w:t>輸入影像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</w:t>
      </w:r>
      <w:r w:rsidRPr="00CC21FE">
        <w:rPr>
          <w:rFonts w:ascii="Times New Roman" w:eastAsia="標楷體" w:hAnsi="Times New Roman"/>
          <w:sz w:val="20"/>
          <w:lang w:eastAsia="zh-TW"/>
        </w:rPr>
        <w:t>（含反光）經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模組（結構詳見圖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</w:t>
      </w:r>
      <w:r w:rsidRPr="00CC21FE">
        <w:rPr>
          <w:rFonts w:ascii="Times New Roman" w:eastAsia="標楷體" w:hAnsi="Times New Roman"/>
          <w:sz w:val="20"/>
          <w:lang w:eastAsia="zh-TW"/>
        </w:rPr>
        <w:t>）重校準為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x'</w:t>
      </w:r>
      <w:r w:rsidRPr="00CC21FE">
        <w:rPr>
          <w:rFonts w:ascii="Times New Roman" w:eastAsia="標楷體" w:hAnsi="Times New Roman"/>
          <w:sz w:val="20"/>
          <w:lang w:eastAsia="zh-TW"/>
        </w:rPr>
        <w:t>，再由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生成器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G</w:t>
      </w:r>
      <w:r w:rsidRPr="00CC21FE">
        <w:rPr>
          <w:rFonts w:ascii="Times New Roman" w:eastAsia="標楷體" w:hAnsi="Times New Roman"/>
          <w:sz w:val="20"/>
          <w:lang w:eastAsia="zh-TW"/>
        </w:rPr>
        <w:t>映射為去反光輸出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T̂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  <w:proofErr w:type="spellStart"/>
      <w:r w:rsidRPr="00CC21FE">
        <w:rPr>
          <w:rFonts w:ascii="Times New Roman" w:eastAsia="標楷體" w:hAnsi="Times New Roman"/>
          <w:sz w:val="20"/>
        </w:rPr>
        <w:t>訓練階段另以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PatchGAN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判別器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D </w:t>
      </w:r>
      <w:r w:rsidRPr="00CC21FE">
        <w:rPr>
          <w:rFonts w:ascii="Times New Roman" w:eastAsia="標楷體" w:hAnsi="Times New Roman"/>
          <w:sz w:val="20"/>
        </w:rPr>
        <w:t>比較</w:t>
      </w:r>
      <w:r w:rsidRPr="00CC21FE">
        <w:rPr>
          <w:rFonts w:ascii="Times New Roman" w:eastAsia="標楷體" w:hAnsi="Times New Roman"/>
          <w:sz w:val="20"/>
        </w:rPr>
        <w:t xml:space="preserve"> (x, T̂)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(x, y) </w:t>
      </w:r>
      <w:r w:rsidRPr="00CC21FE">
        <w:rPr>
          <w:rFonts w:ascii="Times New Roman" w:eastAsia="標楷體" w:hAnsi="Times New Roman"/>
          <w:sz w:val="20"/>
        </w:rPr>
        <w:t>計算對抗損失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>，並將</w:t>
      </w:r>
      <w:r w:rsidRPr="00CC21FE">
        <w:rPr>
          <w:rFonts w:ascii="Times New Roman" w:eastAsia="標楷體" w:hAnsi="Times New Roman"/>
          <w:sz w:val="20"/>
        </w:rPr>
        <w:t xml:space="preserve"> T̂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ground truth y </w:t>
      </w:r>
      <w:r w:rsidRPr="00CC21FE">
        <w:rPr>
          <w:rFonts w:ascii="Times New Roman" w:eastAsia="標楷體" w:hAnsi="Times New Roman"/>
          <w:sz w:val="20"/>
        </w:rPr>
        <w:t>比較計算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，合併為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total</w:t>
      </w:r>
      <w:r w:rsidRPr="00CC21FE">
        <w:rPr>
          <w:rFonts w:ascii="Times New Roman" w:eastAsia="標楷體" w:hAnsi="Times New Roman"/>
          <w:sz w:val="20"/>
        </w:rPr>
        <w:t xml:space="preserve"> =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 xml:space="preserve"> + λ·L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（</w:t>
      </w:r>
      <w:r w:rsidRPr="00CC21FE">
        <w:rPr>
          <w:rFonts w:ascii="Times New Roman" w:eastAsia="標楷體" w:hAnsi="Times New Roman"/>
          <w:sz w:val="20"/>
        </w:rPr>
        <w:t>λ = 100</w:t>
      </w:r>
      <w:r w:rsidRPr="00CC21FE">
        <w:rPr>
          <w:rFonts w:ascii="Times New Roman" w:eastAsia="標楷體" w:hAnsi="Times New Roman"/>
          <w:sz w:val="20"/>
        </w:rPr>
        <w:t>）；推論階段僅需生成器</w:t>
      </w:r>
      <w:r w:rsidRPr="00CC21FE">
        <w:rPr>
          <w:rFonts w:ascii="Times New Roman" w:eastAsia="標楷體" w:hAnsi="Times New Roman"/>
          <w:sz w:val="20"/>
        </w:rPr>
        <w:t xml:space="preserve"> G</w:t>
      </w:r>
      <w:r w:rsidRPr="00CC21FE">
        <w:rPr>
          <w:rFonts w:ascii="Times New Roman" w:eastAsia="標楷體" w:hAnsi="Times New Roman"/>
          <w:sz w:val="20"/>
        </w:rPr>
        <w:t>。</w:t>
      </w:r>
    </w:p>
    <w:p w14:paraId="596217FE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50EE3257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3.2.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引導注意力模組（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SGA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）</w:t>
      </w:r>
    </w:p>
    <w:p/>
    <w:p w14:paraId="5D0E049A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SGA 模組接受原始輸入影像 x ∈ R(H×W×3)，輸出與其同維的重校準特徵圖 x'。其運作包含三個依序執行的階段：Sobel 特徵萃取、通道注意力、空間注意力。由於全部計算均基於固定參數、不引入任何額外可訓練參數，注意力引導信號的行為由設計決定，不隨訓練動態改變。</w:t>
      </w:r>
    </w:p>
    <w:p/>
    <w:p w14:paraId="7DD36F5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3.2.1. Sobel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特徵萃取</w:t>
      </w:r>
    </w:p>
    <w:p w14:paraId="33637649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對輸入影像的三個通道（</w:t>
      </w:r>
      <w:r w:rsidRPr="00CC21FE">
        <w:rPr>
          <w:rFonts w:ascii="Times New Roman" w:eastAsia="標楷體" w:hAnsi="Times New Roman"/>
          <w:sz w:val="20"/>
          <w:lang w:eastAsia="zh-TW"/>
        </w:rPr>
        <w:t>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G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B</w:t>
      </w:r>
      <w:r w:rsidRPr="00CC21FE">
        <w:rPr>
          <w:rFonts w:ascii="Times New Roman" w:eastAsia="標楷體" w:hAnsi="Times New Roman"/>
          <w:sz w:val="20"/>
          <w:lang w:eastAsia="zh-TW"/>
        </w:rPr>
        <w:t>）分別應用固定的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3×3 Sobel </w:t>
      </w:r>
      <w:r w:rsidRPr="00CC21FE">
        <w:rPr>
          <w:rFonts w:ascii="Times New Roman" w:eastAsia="標楷體" w:hAnsi="Times New Roman"/>
          <w:sz w:val="20"/>
          <w:lang w:eastAsia="zh-TW"/>
        </w:rPr>
        <w:t>水平卷積核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與垂直卷積核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計算梯度分量：</w:t>
      </w:r>
    </w:p>
    <w:p w14:paraId="09BD96FB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y,c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,</m:t>
          </m:r>
          <m:r>
            <m:t>c∈{R,G,B}</m:t>
          </m:r>
        </m:oMath>
      </m:oMathPara>
    </w:p>
    <w:p w14:paraId="4955C11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其中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定義如下：</w:t>
      </w:r>
    </w:p>
    <w:p w14:paraId="79DDB27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  <m:mr>
                  <m:e>
                    <m:r>
                      <m:t>−2</m:t>
                    </m:r>
                  </m:e>
                  <m:e>
                    <m:r>
                      <m:t>0</m:t>
                    </m:r>
                  </m:e>
                  <m:e>
                    <m:r>
                      <m:t>+2</m:t>
                    </m:r>
                  </m:e>
                </m:m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  <m: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−2</m:t>
                    </m:r>
                  </m:e>
                  <m:e>
                    <m:r>
                      <m:t>−1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+1</m:t>
                    </m:r>
                  </m:e>
                  <m:e>
                    <m:r>
                      <m:t>+2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</m:oMath>
      </m:oMathPara>
    </w:p>
    <w:p w14:paraId="4914B65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梯度幅度定義為：</w:t>
      </w:r>
    </w:p>
    <w:p w14:paraId="3AA49833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G</m:t>
                  </m:r>
                </m:e>
                <m:sub>
                  <m:r>
                    <m:t>x,c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y,c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 w14:paraId="576FBFE2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由此得到 Sobel 特徵圖 S ∈ R(H×W×3)，捕捉各通道邊緣強度分佈。如 §1 所述，反光區呈低梯度【6】【8】、展品邊緣呈高梯度【31】，故 S 同時反映「物件結構」與「反光干擾」的梯度差異，為 SGA 注意力設計提供依據。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per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5211565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i/>
          <w:sz w:val="20"/>
        </w:rPr>
        <w:t xml:space="preserve">3.2.2. </w:t>
      </w:r>
      <w:proofErr w:type="spellStart"/>
      <w:r w:rsidRPr="00CC21FE">
        <w:rPr>
          <w:rFonts w:ascii="Times New Roman" w:eastAsia="標楷體" w:hAnsi="Times New Roman"/>
          <w:i/>
          <w:sz w:val="20"/>
        </w:rPr>
        <w:t>通道注意力分支</w:t>
      </w:r>
      <w:proofErr w:type="spellEnd"/>
    </w:p>
    <w:p w14:paraId="113EAACC" w14:textId="51A7843B" w:rsidR="00FF4807" w:rsidRPr="00CC21FE" w:rsidRDefault="00000000">
      <w:pPr>
        <w:ind w:firstLine="360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對</w:t>
      </w:r>
      <w:r w:rsidRPr="00CC21FE">
        <w:rPr>
          <w:rFonts w:ascii="Times New Roman" w:eastAsia="標楷體" w:hAnsi="Times New Roman"/>
          <w:sz w:val="20"/>
        </w:rPr>
        <w:t xml:space="preserve"> Sobel </w:t>
      </w:r>
      <w:proofErr w:type="spellStart"/>
      <w:r w:rsidRPr="00CC21FE">
        <w:rPr>
          <w:rFonts w:ascii="Times New Roman" w:eastAsia="標楷體" w:hAnsi="Times New Roman"/>
          <w:sz w:val="20"/>
        </w:rPr>
        <w:t>特徵圖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S </w:t>
      </w:r>
      <w:proofErr w:type="spellStart"/>
      <w:r w:rsidRPr="00CC21FE">
        <w:rPr>
          <w:rFonts w:ascii="Times New Roman" w:eastAsia="標楷體" w:hAnsi="Times New Roman"/>
          <w:sz w:val="20"/>
        </w:rPr>
        <w:t>執行全局平均池化得到通道描述符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v </w:t>
      </w:r>
      <w:r w:rsidRPr="00CC21FE">
        <w:rPr>
          <w:rFonts w:ascii="Cambria Math" w:eastAsia="標楷體" w:hAnsi="Cambria Math" w:cs="Cambria Math"/>
          <w:sz w:val="20"/>
        </w:rPr>
        <w:t>∈</w:t>
      </w:r>
      <w:r w:rsidRPr="00CC21FE">
        <w:rPr>
          <w:rFonts w:ascii="Times New Roman" w:eastAsia="標楷體" w:hAnsi="Times New Roman"/>
          <w:sz w:val="20"/>
        </w:rPr>
        <w:t xml:space="preserve"> R</w:t>
      </w:r>
      <w:r w:rsidRPr="00CC21FE">
        <w:rPr>
          <w:rFonts w:ascii="Times New Roman" w:eastAsia="標楷體" w:hAnsi="Times New Roman"/>
          <w:sz w:val="20"/>
          <w:vertAlign w:val="superscript"/>
        </w:rPr>
        <w:t>3</w:t>
      </w:r>
      <w:r w:rsidRPr="00CC21FE">
        <w:rPr>
          <w:rFonts w:ascii="Times New Roman" w:eastAsia="標楷體" w:hAnsi="Times New Roman"/>
          <w:sz w:val="20"/>
        </w:rPr>
        <w:t>。再以</w:t>
      </w:r>
      <w:r w:rsidRPr="00CC21FE">
        <w:rPr>
          <w:rFonts w:ascii="Times New Roman" w:eastAsia="標楷體" w:hAnsi="Times New Roman"/>
          <w:sz w:val="20"/>
        </w:rPr>
        <w:t xml:space="preserve"> 1×1 </w:t>
      </w:r>
      <w:r w:rsidRPr="00CC21FE">
        <w:rPr>
          <w:rFonts w:ascii="Times New Roman" w:eastAsia="標楷體" w:hAnsi="Times New Roman"/>
          <w:sz w:val="20"/>
        </w:rPr>
        <w:t>卷積與</w:t>
      </w:r>
      <w:r w:rsidRPr="00CC21FE">
        <w:rPr>
          <w:rFonts w:ascii="Times New Roman" w:eastAsia="標楷體" w:hAnsi="Times New Roman"/>
          <w:sz w:val="20"/>
        </w:rPr>
        <w:t xml:space="preserve"> Sigmoid </w:t>
      </w:r>
      <w:r w:rsidRPr="00CC21FE">
        <w:rPr>
          <w:rFonts w:ascii="Times New Roman" w:eastAsia="標楷體" w:hAnsi="Times New Roman"/>
          <w:sz w:val="20"/>
        </w:rPr>
        <w:t>激活函數生成通道注意力權重：</w:t>
      </w:r>
    </w:p>
    <w:p w14:paraId="2C2B053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1×1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GAP</m:t>
                  </m:r>
                  <m:r>
                    <m:t>(</m:t>
                  </m:r>
                  <m:r>
                    <m:t>S</m:t>
                  </m:r>
                  <m:r>
                    <m:t>)</m:t>
                  </m:r>
                </m:e>
              </m:d>
            </m:e>
          </m:d>
        </m:oMath>
      </m:oMathPara>
    </w:p>
    <w:p w14:paraId="0972DB4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通道重校準後特徵圖為 Xc = x ⊙ wc（⊙ 為沿空間維度廣播的逐元素相乘）。此操作依各通道邊緣強度的相對重要性自適應調整 R、G、B 貢獻比例，對邊緣豐富的通道給予更高權重。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6540326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3.2.3.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空間注意力分支</w:t>
      </w:r>
    </w:p>
    <w:p w14:paraId="30098B0B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對通道重校準特徵圖 Xc，沿通道維度分別執行平均池化（AvgPool）與最大池化（MaxPool）。將兩者拼接後，以 7×7 卷積與 Sigmoid 激活函數生成空間注意力圖：</w:t>
      </w:r>
    </w:p>
    <w:p w14:paraId="7927EE59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7×7</m:t>
                  </m:r>
                </m:sub>
              </m:sSub>
              <m:d>
                <m:dPr>
                  <m:sepChr m:val=""/>
                </m:dPr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AvgPool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  <m:r>
                        <m:t>;</m:t>
                      </m:r>
                      <m:r>
                        <m:rPr>
                          <m:sty m:val="p"/>
                        </m:rPr>
                        <m:t>MaxPool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</m:e>
                  </m:d>
                </m:e>
              </m:d>
            </m:e>
          </m:d>
        </m:oMath>
      </m:oMathPara>
    </w:p>
    <w:p w14:paraId="0BEFC5DF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最終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模組的輸出為：</w:t>
      </w:r>
    </w:p>
    <w:p w14:paraId="0886A11B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=x⊙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⊙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 w14:paraId="2FDF38EA" w14:textId="03EE811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此雙分支設計使物件邊緣豐富的區域在通道與空間兩維均被強化，模糊擴散的反光區因 Sobel 響應微弱被抑制。由於 wc、ws 皆由固定 Sobel 梯度驅動，其計算不依賴場景內容，這是我們在所測試的跨場景部署中觀察到注意力穩定的原因之一。</w:t>
      </w:r>
      <w:proofErr w:type="spellStart"/>
      <w:proofErr w:type="spellEnd"/>
      <w:proofErr w:type="spellStart"/>
      <w:proofErr w:type="spellEnd"/>
    </w:p>
    <w:p w14:paraId="2FBC0455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5AFF0672" w14:textId="77777777" w:rsidR="00DB5D4F" w:rsidRPr="00CC21FE" w:rsidRDefault="00000000">
      <w:pPr>
        <w:jc w:val="center"/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B9B234" wp14:editId="4403B9C2">
            <wp:extent cx="5165272" cy="1856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a_module_architecture.png"/>
                    <pic:cNvPicPr/>
                  </pic:nvPicPr>
                  <pic:blipFill rotWithShape="1">
                    <a:blip r:embed="rId9"/>
                    <a:srcRect b="1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02" cy="186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72DE4" w14:textId="77777777" w:rsidR="00DB5D4F" w:rsidRPr="00CC21FE" w:rsidRDefault="00DB5D4F" w:rsidP="00831731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40B32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SGA </w:t>
      </w:r>
      <w:r w:rsidRPr="00CC21FE">
        <w:rPr>
          <w:rFonts w:ascii="Times New Roman" w:eastAsia="標楷體" w:hAnsi="Times New Roman"/>
          <w:sz w:val="20"/>
          <w:lang w:eastAsia="zh-TW"/>
        </w:rPr>
        <w:t>模組詳細結構。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特徵經通道注意力（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1×1 </w:t>
      </w:r>
      <w:r w:rsidRPr="00CC21FE">
        <w:rPr>
          <w:rFonts w:ascii="Times New Roman" w:eastAsia="標楷體" w:hAnsi="Times New Roman"/>
          <w:sz w:val="20"/>
          <w:lang w:eastAsia="zh-TW"/>
        </w:rPr>
        <w:t>卷積）與空間注意力（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7×7 </w:t>
      </w:r>
      <w:r w:rsidRPr="00CC21FE">
        <w:rPr>
          <w:rFonts w:ascii="Times New Roman" w:eastAsia="標楷體" w:hAnsi="Times New Roman"/>
          <w:sz w:val="20"/>
          <w:lang w:eastAsia="zh-TW"/>
        </w:rPr>
        <w:t>卷積）依序重校準後，與原始輸入逐元素相乘，送入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第一個編碼器塊。</w:t>
      </w:r>
    </w:p>
    <w:p w14:paraId="1C983B94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346357E7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3.3. U-Net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生成器架構</w:t>
      </w:r>
      <w:proofErr w:type="spellEnd"/>
    </w:p>
    <w:p/>
    <w:p w14:paraId="623009B0" w14:textId="2D5D5C84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 xml:space="preserve">SGA </w:t>
      </w:r>
      <w:r w:rsidRPr="00CC21FE">
        <w:rPr>
          <w:rFonts w:ascii="Times New Roman" w:eastAsia="標楷體" w:hAnsi="Times New Roman"/>
          <w:sz w:val="20"/>
        </w:rPr>
        <w:t>模組之後接標準</w:t>
      </w:r>
      <w:r w:rsidRPr="00CC21FE">
        <w:rPr>
          <w:rFonts w:ascii="Times New Roman" w:eastAsia="標楷體" w:hAnsi="Times New Roman"/>
          <w:sz w:val="20"/>
        </w:rPr>
        <w:t xml:space="preserve"> Pix2Pix U-Net </w:t>
      </w:r>
      <w:r w:rsidRPr="00CC21FE">
        <w:rPr>
          <w:rFonts w:ascii="Times New Roman" w:eastAsia="標楷體" w:hAnsi="Times New Roman"/>
          <w:sz w:val="20"/>
        </w:rPr>
        <w:t>生成器【</w:t>
      </w:r>
      <w:r w:rsidRPr="00CC21FE">
        <w:rPr>
          <w:rFonts w:ascii="Times New Roman" w:eastAsia="標楷體" w:hAnsi="Times New Roman"/>
          <w:sz w:val="20"/>
        </w:rPr>
        <w:t>13</w:t>
      </w:r>
      <w:r w:rsidRPr="00CC21FE">
        <w:rPr>
          <w:rFonts w:ascii="Times New Roman" w:eastAsia="標楷體" w:hAnsi="Times New Roman"/>
          <w:sz w:val="20"/>
        </w:rPr>
        <w:t>】【</w:t>
      </w:r>
      <w:r w:rsidRPr="00CC21FE">
        <w:rPr>
          <w:rFonts w:ascii="Times New Roman" w:eastAsia="標楷體" w:hAnsi="Times New Roman"/>
          <w:sz w:val="20"/>
        </w:rPr>
        <w:t>23</w:t>
      </w:r>
      <w:r w:rsidRPr="00CC21FE">
        <w:rPr>
          <w:rFonts w:ascii="Times New Roman" w:eastAsia="標楷體" w:hAnsi="Times New Roman"/>
          <w:sz w:val="20"/>
        </w:rPr>
        <w:t>】。</w:t>
      </w:r>
      <w:r w:rsidRPr="00CC21FE">
        <w:rPr>
          <w:rFonts w:ascii="Times New Roman" w:eastAsia="標楷體" w:hAnsi="Times New Roman"/>
          <w:sz w:val="20"/>
          <w:lang w:eastAsia="zh-TW"/>
        </w:rPr>
        <w:t>編碼器由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個下採樣塊組成，解碼器由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個上採樣塊組成，並以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skip connection </w:t>
      </w:r>
      <w:r w:rsidRPr="00CC21FE">
        <w:rPr>
          <w:rFonts w:ascii="Times New Roman" w:eastAsia="標楷體" w:hAnsi="Times New Roman"/>
          <w:sz w:val="20"/>
          <w:lang w:eastAsia="zh-TW"/>
        </w:rPr>
        <w:t>串接對應解析度的編碼器特徵圖以保留空間細節。最後一層以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tanh </w:t>
      </w:r>
      <w:r w:rsidRPr="00CC21FE">
        <w:rPr>
          <w:rFonts w:ascii="Times New Roman" w:eastAsia="標楷體" w:hAnsi="Times New Roman"/>
          <w:sz w:val="20"/>
          <w:lang w:eastAsia="zh-TW"/>
        </w:rPr>
        <w:t>激活輸出像素值至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</w:t>
      </w:r>
      <w:r w:rsidRPr="00CC21FE">
        <w:rPr>
          <w:rFonts w:ascii="Times New Roman" w:eastAsia="標楷體" w:hAnsi="Times New Roman"/>
          <w:sz w:val="20"/>
          <w:lang w:eastAsia="zh-TW"/>
        </w:rPr>
        <w:t>。所有輸入輸出影像以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norm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= x / 127.5 - 1 </w:t>
      </w:r>
      <w:r w:rsidRPr="00CC21FE">
        <w:rPr>
          <w:rFonts w:ascii="Times New Roman" w:eastAsia="標楷體" w:hAnsi="Times New Roman"/>
          <w:sz w:val="20"/>
          <w:lang w:eastAsia="zh-TW"/>
        </w:rPr>
        <w:t>正規化至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 </w:t>
      </w:r>
      <w:r w:rsidRPr="00CC21FE">
        <w:rPr>
          <w:rFonts w:ascii="Times New Roman" w:eastAsia="標楷體" w:hAnsi="Times New Roman"/>
          <w:sz w:val="20"/>
          <w:lang w:eastAsia="zh-TW"/>
        </w:rPr>
        <w:t>範圍。</w:t>
      </w:r>
    </w:p>
    <w:p/>
    <w:p w14:paraId="67F09DC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3.4. </w:t>
      </w:r>
      <w:proofErr w:type="spellStart"/>
      <w:r w:rsidRPr="00CC21FE">
        <w:rPr>
          <w:rFonts w:ascii="Times New Roman" w:eastAsia="標楷體" w:hAnsi="Times New Roman"/>
          <w:b/>
          <w:sz w:val="20"/>
          <w:lang w:eastAsia="zh-TW"/>
        </w:rPr>
        <w:t>PatchGAN</w:t>
      </w:r>
      <w:proofErr w:type="spellEnd"/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判別器</w:t>
      </w:r>
    </w:p>
    <w:p/>
    <w:p w14:paraId="14E2746D" w14:textId="2F257F3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PatchGAN 判別器【13】對重疊的 N×N 圖像塊分別判真偽，而非對整張影像輸出單一標量，使判別器專注於高頻局部紋理。由於反光主要影響局部區域，塊級判斷能提供更精確的梯度信號，對反光消除尤為適合。本文判別器由 4 個卷積層加一個 1×1 輸出層構成。</w:t>
      </w:r>
      <w:proofErr w:type="spellEnd"/>
    </w:p>
    <w:p/>
    <w:p w14:paraId="4E9940D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3.5.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損失函數</w:t>
      </w:r>
    </w:p>
    <w:p/>
    <w:p w14:paraId="6859E16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訓練目標結合對抗損失與像素重建損失：</w:t>
      </w:r>
    </w:p>
    <w:p w14:paraId="5B2A2AED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+λ·</m:t>
          </m:r>
          <m:sSub>
            <m:e>
              <m:r>
                <m:t>L</m:t>
              </m:r>
            </m:e>
            <m:sub>
              <m:r>
                <m:t>L1</m:t>
              </m:r>
            </m:sub>
          </m:sSub>
        </m:oMath>
      </m:oMathPara>
    </w:p>
    <w:p w14:paraId="7BBDAA80" w14:textId="28BEC346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對抗損失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L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adv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採用均方誤差：</w:t>
      </w:r>
    </w:p>
    <w:p w14:paraId="3642D9A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r>
                <m:t>)</m:t>
              </m:r>
              <m:r>
                <m:t>−</m:t>
              </m:r>
              <m:r>
                <m:t>1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  <m:r>
            <m:t>+E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y</m:t>
              </m:r>
              <m:r>
                <m:t>)</m:t>
              </m:r>
              <m:r>
                <m:t>−</m:t>
              </m:r>
              <m:r>
                <m:t>0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3DA3A2F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 xml:space="preserve">L1 </w:t>
      </w:r>
      <w:r w:rsidRPr="00CC21FE">
        <w:rPr>
          <w:rFonts w:ascii="Times New Roman" w:eastAsia="標楷體" w:hAnsi="Times New Roman"/>
          <w:sz w:val="20"/>
          <w:lang w:eastAsia="zh-TW"/>
        </w:rPr>
        <w:t>像素重建損失在空間上全面約束生成影像與真實無反光影像的差異：</w:t>
      </w:r>
    </w:p>
    <w:p w14:paraId="49AFE7C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L1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y</m:t>
              </m:r>
              <m:r>
                <m:t>−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sSub>
                <m:e>
                  <m:r>
                    <m:t>‖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 w14:paraId="7C5A7A8D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權重係數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λ = 100 </w:t>
      </w:r>
      <w:r w:rsidRPr="00CC21FE">
        <w:rPr>
          <w:rFonts w:ascii="Times New Roman" w:eastAsia="標楷體" w:hAnsi="Times New Roman"/>
          <w:sz w:val="20"/>
          <w:lang w:eastAsia="zh-TW"/>
        </w:rPr>
        <w:t>大幅偏重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L1 </w:t>
      </w:r>
      <w:r w:rsidRPr="00CC21FE">
        <w:rPr>
          <w:rFonts w:ascii="Times New Roman" w:eastAsia="標楷體" w:hAnsi="Times New Roman"/>
          <w:sz w:val="20"/>
          <w:lang w:eastAsia="zh-TW"/>
        </w:rPr>
        <w:t>項，確保像素級結構準確性，同時對抗損失補充感知真實性。此配置與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sz w:val="20"/>
          <w:lang w:eastAsia="zh-TW"/>
        </w:rPr>
        <w:t>原始設定一致【</w:t>
      </w:r>
      <w:r w:rsidRPr="00CC21FE">
        <w:rPr>
          <w:rFonts w:ascii="Times New Roman" w:eastAsia="標楷體" w:hAnsi="Times New Roman"/>
          <w:sz w:val="20"/>
          <w:lang w:eastAsia="zh-TW"/>
        </w:rPr>
        <w:t>13</w:t>
      </w:r>
      <w:r w:rsidRPr="00CC21FE">
        <w:rPr>
          <w:rFonts w:ascii="Times New Roman" w:eastAsia="標楷體" w:hAnsi="Times New Roman"/>
          <w:sz w:val="20"/>
          <w:lang w:eastAsia="zh-TW"/>
        </w:rPr>
        <w:t>】。</w:t>
      </w:r>
    </w:p>
    <w:p/>
    <w:p w14:paraId="361C703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訓練設定</w:t>
      </w:r>
    </w:p>
    <w:p/>
    <w:p w14:paraId="7C0953D4" w14:textId="5BF121C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輸入與輸出影像統一調整為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256×256 </w:t>
      </w:r>
      <w:r w:rsidRPr="00CC21FE">
        <w:rPr>
          <w:rFonts w:ascii="Times New Roman" w:eastAsia="標楷體" w:hAnsi="Times New Roman"/>
          <w:sz w:val="20"/>
          <w:lang w:eastAsia="zh-TW"/>
        </w:rPr>
        <w:t>像素。採用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Adam </w:t>
      </w:r>
      <w:r w:rsidRPr="00CC21FE">
        <w:rPr>
          <w:rFonts w:ascii="Times New Roman" w:eastAsia="標楷體" w:hAnsi="Times New Roman"/>
          <w:sz w:val="20"/>
          <w:lang w:eastAsia="zh-TW"/>
        </w:rPr>
        <w:t>優化器，學習率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5e-5</w:t>
      </w:r>
      <w:r w:rsidRPr="00CC21FE">
        <w:rPr>
          <w:rFonts w:ascii="Times New Roman" w:eastAsia="標楷體" w:hAnsi="Times New Roman"/>
          <w:sz w:val="20"/>
          <w:lang w:eastAsia="zh-TW"/>
        </w:rPr>
        <w:t>，訓練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500 </w:t>
      </w:r>
      <w:r w:rsidRPr="00CC21FE">
        <w:rPr>
          <w:rFonts w:ascii="Times New Roman" w:eastAsia="標楷體" w:hAnsi="Times New Roman"/>
          <w:sz w:val="20"/>
          <w:lang w:eastAsia="zh-TW"/>
        </w:rPr>
        <w:t>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epoch</w:t>
      </w:r>
      <w:r w:rsidRPr="00CC21FE">
        <w:rPr>
          <w:rFonts w:ascii="Times New Roman" w:eastAsia="標楷體" w:hAnsi="Times New Roman"/>
          <w:sz w:val="20"/>
          <w:lang w:eastAsia="zh-TW"/>
        </w:rPr>
        <w:t>，批</w:t>
      </w:r>
      <w:r w:rsidRPr="00CC21FE">
        <w:rPr>
          <w:rFonts w:ascii="Times New Roman" w:eastAsia="標楷體" w:hAnsi="Times New Roman"/>
          <w:sz w:val="20"/>
          <w:lang w:eastAsia="zh-TW"/>
        </w:rPr>
        <w:t>次大小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</w:t>
      </w:r>
      <w:r w:rsidRPr="00CC21FE">
        <w:rPr>
          <w:rFonts w:ascii="Times New Roman" w:eastAsia="標楷體" w:hAnsi="Times New Roman"/>
          <w:sz w:val="20"/>
          <w:lang w:eastAsia="zh-TW"/>
        </w:rPr>
        <w:t>。資料增強採用隨機水平翻轉，且對輸入</w:t>
      </w:r>
      <w:r w:rsidR="000F2453">
        <w:rPr>
          <w:rFonts w:ascii="Times New Roman" w:eastAsia="標楷體" w:hAnsi="Times New Roman" w:hint="eastAsia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輸出配對同步施加，維持像素對應關係的正確性。</w:t>
      </w:r>
    </w:p>
    <w:p/>
    <w:p w14:paraId="0CE1DD2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4. Experiments</w:t>
      </w:r>
    </w:p>
    <w:p/>
    <w:p w14:paraId="4FEE2C2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實驗設計</w:t>
      </w:r>
    </w:p>
    <w:p/>
    <w:p w14:paraId="7F20F88F" w14:textId="42F0FF4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本文模型完全在公開 SIRR 資料集上訓練，不使用任何目標場景影像。訓練後直接部署於博物館場景，評估其在這個「從未見過的目標 domain」中的反光消除效果。</w:t>
      </w:r>
    </w:p>
    <w:p/>
    <w:p w14:paraId="2EEC73B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4.1.1.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訓練資料集（公開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資料集）</w:t>
      </w:r>
    </w:p>
    <w:p w14:paraId="402037BB" w14:textId="17751EC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訓練資料整合四個公開 SIRR 資料集：SIR²【24】（大規模真實場景配對、反光類型多樣）、IBCLN【7】（多種室內真實場景反光影像對）、ERRNET【25】（多材質與光線條件、反光強度變化豐富）、RFC【26】（閃光燈輔助拍攝，涵蓋多種玻璃材質與室內光線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="00831731">
        <w:rPr>
          <w:rFonts w:ascii="Times New Roman" w:eastAsia="標楷體" w:hAnsi="Times New Roman" w:hint="eastAsia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6A46EF7" w14:textId="3E511BF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本文將四個資料集合併後進行隨機分割，80% 作為訓練集（1951 對），20% 作為測試集（491 對）。分割採隨機抽樣而非按資料集劃分，確保訓練集與測試集在反光類型、場景多樣性與光線條件上具有相似分佈。</w:t>
      </w:r>
    </w:p>
    <w:p w14:paraId="4055E59C" w14:textId="5DFA2583" w:rsidR="00FF4807" w:rsidRPr="00CC21FE" w:rsidRDefault="00000000" w:rsidP="000F2453">
      <w:pPr>
        <w:jc w:val="center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FFA4DCA" wp14:editId="7C762A3D">
            <wp:extent cx="1371600" cy="1015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original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767" cy="1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CAA" w:rsidRPr="00CC21FE">
        <w:rPr>
          <w:rFonts w:ascii="Times New Roman" w:eastAsia="標楷體" w:hAnsi="Times New Roman"/>
          <w:noProof/>
        </w:rPr>
        <w:drawing>
          <wp:inline distT="0" distB="0" distL="0" distR="0" wp14:anchorId="30785C60" wp14:editId="147CA0ED">
            <wp:extent cx="1384300" cy="1025743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generat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639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A13" w14:textId="48ABA0C3" w:rsidR="00DB5D4F" w:rsidRPr="00C7617A" w:rsidRDefault="00000000" w:rsidP="00C7617A">
      <w:pPr>
        <w:jc w:val="center"/>
        <w:rPr>
          <w:rFonts w:ascii="Times New Roman" w:eastAsia="標楷體" w:hAnsi="Times New Roman" w:hint="eastAsia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3. 訓練資料集樣本範例（左：Original，含反光原圖；右：Generated，對應之模型生成輸出）。場景為一般建築與植栽，與博物館展品完全無關，直觀呈現訓練資料與評估場景來自完全不相關的來源。</w:t>
      </w:r>
    </w:p>
    <w:p/>
    <w:p w14:paraId="1FA99ACD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lastRenderedPageBreak/>
        <w:t xml:space="preserve">4.1.2.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案例驗證：博物館藏品評估集</w:t>
      </w:r>
    </w:p>
    <w:p w14:paraId="48A460F2" w14:textId="7691E48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本文選定的跨場景案例。它屬於「目標場景配對資料完全無法大規模取得」的典型情形，且具有可量化的下游辨識準確率。評估集收集了含反光博物館藏品影像，涵蓋陶瓷器、金屬文物、立體雕塑等 7 類共 699 張。這些影像完全未用於訓練，僅用於下游辨識的跨場景效益驗證。</w:t>
      </w:r>
    </w:p>
    <w:p w14:paraId="6527FFC6" w14:textId="2D06FDA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此評估集僅提供下游辨識準確率，而無法提供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PSNR/SSIM/LPIPS </w:t>
      </w:r>
      <w:r w:rsidRPr="00CC21FE">
        <w:rPr>
          <w:rFonts w:ascii="Times New Roman" w:eastAsia="標楷體" w:hAnsi="Times New Roman"/>
          <w:sz w:val="20"/>
          <w:lang w:eastAsia="zh-TW"/>
        </w:rPr>
        <w:t>量化指標。</w:t>
      </w:r>
    </w:p>
    <w:p/>
    <w:p w14:paraId="4A8C434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評估指標</w:t>
      </w:r>
    </w:p>
    <w:p/>
    <w:p w14:paraId="270DF799" w14:textId="77777777" w:rsidR="00A83560" w:rsidRPr="00CC21FE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本文採用兩層次評估策略：</w:t>
      </w:r>
    </w:p>
    <w:p w14:paraId="3997C372" w14:textId="4F21A75D" w:rsidR="00A83560" w:rsidRPr="00CC21FE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</w:t>
      </w:r>
      <w:r w:rsidRPr="00CC21FE">
        <w:rPr>
          <w:rFonts w:ascii="Times New Roman" w:eastAsia="標楷體" w:hAnsi="Times New Roman"/>
          <w:sz w:val="20"/>
          <w:lang w:eastAsia="zh-TW"/>
        </w:rPr>
        <w:t>1</w:t>
      </w:r>
      <w:r w:rsidRPr="00CC21FE">
        <w:rPr>
          <w:rFonts w:ascii="Times New Roman" w:eastAsia="標楷體" w:hAnsi="Times New Roman"/>
          <w:sz w:val="20"/>
          <w:lang w:eastAsia="zh-TW"/>
        </w:rPr>
        <w:t>）影像復原指標（在公開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測試集上）：</w:t>
      </w:r>
      <w:r w:rsidRPr="00CC21FE">
        <w:rPr>
          <w:rFonts w:ascii="Times New Roman" w:eastAsia="標楷體" w:hAnsi="Times New Roman"/>
          <w:sz w:val="20"/>
          <w:lang w:eastAsia="zh-TW"/>
        </w:rPr>
        <w:t>PSNR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SSIM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27</w:t>
      </w:r>
      <w:r w:rsidRPr="00CC21FE">
        <w:rPr>
          <w:rFonts w:ascii="Times New Roman" w:eastAsia="標楷體" w:hAnsi="Times New Roman"/>
          <w:sz w:val="20"/>
          <w:lang w:eastAsia="zh-TW"/>
        </w:rPr>
        <w:t>】、</w:t>
      </w:r>
      <w:r w:rsidRPr="00CC21FE">
        <w:rPr>
          <w:rFonts w:ascii="Times New Roman" w:eastAsia="標楷體" w:hAnsi="Times New Roman"/>
          <w:sz w:val="20"/>
          <w:lang w:eastAsia="zh-TW"/>
        </w:rPr>
        <w:t>LPIPS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28</w:t>
      </w:r>
      <w:r w:rsidRPr="00CC21FE">
        <w:rPr>
          <w:rFonts w:ascii="Times New Roman" w:eastAsia="標楷體" w:hAnsi="Times New Roman"/>
          <w:sz w:val="20"/>
          <w:lang w:eastAsia="zh-TW"/>
        </w:rPr>
        <w:t>】；</w:t>
      </w:r>
    </w:p>
    <w:p w14:paraId="01FE7176" w14:textId="3019BBBB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（2）跨場景下游效益（博物館評估集）：YOLOv8【2】展品分類準確率，直接反映反光消除對實際辨識的影響。這兩個層次分別量化訓練分佈內的復原品質與目標 domain 的實用效益，合在一起呈現跨場景泛化的完整面貌。</w:t>
      </w:r>
    </w:p>
    <w:p/>
    <w:p w14:paraId="19536DD9" w14:textId="3F9AC2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4.3.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消融實驗：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SGA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對泛化能力的貢獻</w:t>
      </w:r>
    </w:p>
    <w:p/>
    <w:p w14:paraId="30A9D73B" w14:textId="03297841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為驗證 SGA 有效性，本文在公開 SIRR 測試集上比較兩種設定：（a）基準 Pix2Pix（不含注意力模組）；（b）Pix2Pix+SGA（本文，含完整雙分支 Sobel 引導注意力）。量化結果如表 1。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61A6CD36" w14:textId="77777777" w:rsidR="00831731" w:rsidRPr="00CC21FE" w:rsidRDefault="00831731">
      <w:pPr>
        <w:jc w:val="both"/>
        <w:rPr>
          <w:rFonts w:ascii="Times New Roman" w:eastAsia="標楷體" w:hAnsi="Times New Roman" w:hint="eastAsia"/>
          <w:lang w:eastAsia="zh-TW"/>
        </w:rPr>
      </w:pPr>
    </w:p>
    <w:p w14:paraId="7EB2C227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1. </w:t>
      </w:r>
      <w:r w:rsidRPr="00CC21FE">
        <w:rPr>
          <w:rFonts w:ascii="Times New Roman" w:eastAsia="標楷體" w:hAnsi="Times New Roman"/>
          <w:sz w:val="20"/>
          <w:lang w:eastAsia="zh-TW"/>
        </w:rPr>
        <w:t>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491 </w:t>
      </w:r>
      <w:r w:rsidRPr="00CC21FE">
        <w:rPr>
          <w:rFonts w:ascii="Times New Roman" w:eastAsia="標楷體" w:hAnsi="Times New Roman"/>
          <w:sz w:val="20"/>
          <w:lang w:eastAsia="zh-TW"/>
        </w:rPr>
        <w:t>對）消融實驗結果。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64"/>
        <w:gridCol w:w="792"/>
        <w:gridCol w:w="792"/>
      </w:tblGrid>
      <w:tr w:rsidR="00FF4807" w:rsidRPr="00CC21FE" w14:paraId="69DF4162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4" w:space="0" w:color="000000"/>
            </w:tcBorders>
          </w:tcPr>
          <w:p w14:paraId="2ACF5C9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方法</w:t>
            </w:r>
            <w:proofErr w:type="spellEnd"/>
          </w:p>
        </w:tc>
        <w:tc>
          <w:tcPr>
            <w:tcW w:w="864" w:type="dxa"/>
            <w:tcBorders>
              <w:top w:val="single" w:sz="8" w:space="0" w:color="000000"/>
              <w:bottom w:val="single" w:sz="4" w:space="0" w:color="000000"/>
            </w:tcBorders>
          </w:tcPr>
          <w:p w14:paraId="701EC6A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PSNR (dB)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67B87D7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SSIM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2BB2151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LPIPS ↓</w:t>
            </w:r>
          </w:p>
        </w:tc>
      </w:tr>
      <w:tr w:rsidR="00FF4807" w:rsidRPr="00CC21FE" w14:paraId="41E4DBB2" w14:textId="77777777">
        <w:trPr>
          <w:jc w:val="center"/>
        </w:trPr>
        <w:tc>
          <w:tcPr>
            <w:tcW w:w="2160" w:type="dxa"/>
          </w:tcPr>
          <w:p w14:paraId="34DC316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Baseline Pix2Pix [13]</w:t>
            </w:r>
          </w:p>
        </w:tc>
        <w:tc>
          <w:tcPr>
            <w:tcW w:w="864" w:type="dxa"/>
          </w:tcPr>
          <w:p w14:paraId="7E5F3BD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23.896</w:t>
            </w:r>
          </w:p>
        </w:tc>
        <w:tc>
          <w:tcPr>
            <w:tcW w:w="792" w:type="dxa"/>
          </w:tcPr>
          <w:p w14:paraId="26878CA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0.8706</w:t>
            </w:r>
          </w:p>
        </w:tc>
        <w:tc>
          <w:tcPr>
            <w:tcW w:w="792" w:type="dxa"/>
          </w:tcPr>
          <w:p w14:paraId="392B017D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0.1630</w:t>
            </w:r>
          </w:p>
        </w:tc>
      </w:tr>
      <w:tr w:rsidR="00FF4807" w:rsidRPr="00CC21FE" w14:paraId="477D6F49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3CD19D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864" w:type="dxa"/>
            <w:tcBorders>
              <w:bottom w:val="single" w:sz="8" w:space="0" w:color="000000"/>
            </w:tcBorders>
          </w:tcPr>
          <w:p w14:paraId="6E658008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22.682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46EDA9D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0.8192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26989AF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0.2178</w:t>
            </w:r>
          </w:p>
        </w:tc>
      </w:tr>
    </w:tbl>
    <w:p w14:paraId="0C238AD7" w14:textId="77777777" w:rsidR="00831731" w:rsidRDefault="00831731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</w:p>
    <w:p w14:paraId="32232BE5" w14:textId="003C9B2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表 1 顯示，加入 SGA 後 PSNR（22.682 dB）與 SSIM（0.8192）略低於基準 Pix2Pix（23.896 dB／0.8706），LPIPS（0.2178）則高於基準（0.1630）。這未必代表反光消除能力退化，而可能是 GAN-based 方法在感知導向優化下的常見特性。Blau 與 Michaeli【29】證明感知品質與失真指標間存在根本取捨：感知品質越高，PSNR/SSIM 往往越低。Ledig 等人【30】在超解析任務中也確認了同樣的現象——最小化 MSE 會鼓勵模型輸出所有合理解的像素均值，使結果趨於過度平滑。本文採用的 Pix2Pix L1 損失【13】具有相同機制，而 SGA 的對抗訓練使模型向感知邊界移動，因此 PSNR/SSIM 略低屬預期現象。</w:t>
      </w:r>
      <w:proofErr w:type="spellStart"/>
      <w:proofErr w:type="spellEnd"/>
      <w:proofErr w:type="spellStart"/>
      <w:proofErr w:type="spellEnd"/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進一步按反光強度分層可以更清楚地說明此現象。以每張反光影像與其配對 ground truth 的逐像素差異作為反光嚴重程度的代理指標，將 491 對測試樣本分為四個等分。Pix2Pix+SGA 與 Baseline 的 PSNR 差距隨嚴重程度增加而明顯縮小：最輕反光的四分之一為 −2.494 dB，第二組 −1.249 dB，第三組縮小至 −0.475 dB（最輕反光組到第三組縮小約 5 倍），最重反光組則略回升至 −0.650 dB。SSIM 呈現同方向但較弱的趨勢（−0.057 縮小至 −0.045），LPIPS 則幾乎沒有此趨勢（四組維持在 +0.053 至 +0.057 之間）。與此一致的是，PSNR 平均差距（−1.214 dB）主要由一小群尾端案例所驅動：表現最差的 20% 影像平均差距達 −3.743 dB，其餘 80% 僅 −0.583 dB（中位數差距為 −0.799 dB，同樣低於平均值），且此尾端中有 59% 與反光最輕的四分之一重疊。我們將此解讀為：當反光本身已經很輕微、Baseline 即可準確重建時，SGA 的固定結構先驗貢獻有限；而在反光較嚴重、更貼近本文目標應用情境的案例中，其相對劣勢明顯縮小。此模式在 PSNR 上最為清晰，在 SSIM 上較弱，在 LPIPS 上則未觀察到，因此應視為部分、特定指標的解釋，而非此差距的完整說明。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本文亦嘗試將輸入解析度提升至 512×512（SGA-512，訓練 360 epoch），測試是否輸入解析度（256×256）為重建差距的主要成因。結果顯示 PSNR/SSIM 僅小幅改善（+0.14 dB／+0.02），LPIPS 則未改善（由 0.217 上升至 0.238），且因 VRAM 限制須將 batch size 減半（8→4）。此結果顯示輸入解析度並非此差距的主要瓶頸，考量訓練成本增加而效益有限，本文未進一步採用此方向。</w:t>
      </w:r>
    </w:p>
    <w:p w14:paraId="4207681F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31324DFF" w14:textId="4B8ED7DC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6176814" w14:textId="77777777" w:rsidR="00DB5D4F" w:rsidRPr="00CC21FE" w:rsidRDefault="00DB5D4F" w:rsidP="00DB5D4F">
      <w:pPr>
        <w:jc w:val="both"/>
        <w:rPr>
          <w:rFonts w:ascii="Times New Roman" w:eastAsia="標楷體" w:hAnsi="Times New Roman" w:hint="eastAsia"/>
          <w:noProof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1B009186" wp14:editId="7FDB7560">
            <wp:extent cx="807720" cy="1813560"/>
            <wp:effectExtent l="0" t="0" r="0" b="0"/>
            <wp:docPr id="1369695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16394" t="5994" r="55576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132F0D1" wp14:editId="3A4D4F07">
            <wp:extent cx="784860" cy="1805940"/>
            <wp:effectExtent l="0" t="0" r="0" b="3810"/>
            <wp:docPr id="49884148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1485" name="圖片 498841485"/>
                    <pic:cNvPicPr/>
                  </pic:nvPicPr>
                  <pic:blipFill rotWithShape="1">
                    <a:blip r:embed="rId13"/>
                    <a:srcRect l="16659" t="6346" r="56105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42DD95DC" wp14:editId="49CAFC5A">
            <wp:extent cx="815340" cy="1813560"/>
            <wp:effectExtent l="0" t="0" r="3810" b="0"/>
            <wp:docPr id="62764501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58440" t="5640" r="13265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0B3FE3F6" wp14:editId="2D1910FC">
            <wp:extent cx="800100" cy="1813560"/>
            <wp:effectExtent l="0" t="0" r="0" b="0"/>
            <wp:docPr id="271305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58703" t="5994" r="13530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35AD6B5D" wp14:editId="58FCA421">
            <wp:extent cx="784860" cy="1813560"/>
            <wp:effectExtent l="0" t="0" r="0" b="0"/>
            <wp:docPr id="146501295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2954" name="圖片 1465012954"/>
                    <pic:cNvPicPr/>
                  </pic:nvPicPr>
                  <pic:blipFill rotWithShape="1">
                    <a:blip r:embed="rId15"/>
                    <a:srcRect l="16395" t="5993" r="56369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6F315B8E" wp14:editId="5392410F">
            <wp:extent cx="807720" cy="1783080"/>
            <wp:effectExtent l="0" t="0" r="0" b="7620"/>
            <wp:docPr id="11326288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7254" name="圖片 1710237254"/>
                    <pic:cNvPicPr/>
                  </pic:nvPicPr>
                  <pic:blipFill rotWithShape="1">
                    <a:blip r:embed="rId16"/>
                    <a:srcRect l="58175" t="6698" r="13795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CD6BAA3" wp14:editId="44C2BF0E">
            <wp:extent cx="830580" cy="1813560"/>
            <wp:effectExtent l="0" t="0" r="7620" b="0"/>
            <wp:docPr id="27835097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15866" t="5640" r="55310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7CB02" w14:textId="6C1FAC07" w:rsidR="00FF4807" w:rsidRPr="00CC21FE" w:rsidRDefault="00FF4807">
      <w:pPr>
        <w:jc w:val="center"/>
        <w:rPr>
          <w:rFonts w:ascii="Times New Roman" w:eastAsia="標楷體" w:hAnsi="Times New Roman"/>
        </w:rPr>
      </w:pPr>
    </w:p>
    <w:p w14:paraId="2857DB4E" w14:textId="77777777" w:rsidR="00DB5D4F" w:rsidRPr="00CC21FE" w:rsidRDefault="00DB5D4F">
      <w:pPr>
        <w:jc w:val="center"/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6513C4E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圖 4. 訓練資料集上的反光消除效果範例（Original/Generated 對比）。反光區域在視覺上明顯減弱，顯示模型在其訓練 domain 上具備真實的反光消除能力。此結果應與表 1 之量化指標合併解讀（見上文 Perception-Distortion Tradeoff 說明）。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D85028C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427575B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視覺比較與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Attention Map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分析</w:t>
      </w:r>
    </w:p>
    <w:p/>
    <w:p w14:paraId="2F328065" w14:textId="039A1030" w:rsidR="00FF4807" w:rsidRPr="00CC21FE" w:rsidRDefault="00831731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5 比較博物館藏品在三種條件下的結果：原始含反光影像、Baseline Pix2Pix，以及 Pix2Pix+SGA。Baseline 雖然同樣嘗試抑制反光，但效果有限，仍可見明顯殘留反光，且整體解析度與細節亦有明顯下降。相較之下，加入 SGA 後反光區明顯減弱，物件結構也保留得更完整。這提供了與「Sobel 先驗使邊緣感知注意力遷移至博物館場景」這一論點相符的直觀證據。</w:t>
      </w:r>
    </w:p>
    <w:p w14:paraId="3F746707" w14:textId="70DC23AF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 視覺化驅動 SGA 注意力的 Sobel 梯度幅度。高梯度集中於展品邊緣與材質細節，反光擴散區梯度則明顯偏低，顯示 SGA 的注意力在博物館 domain 中持續著重於物件結構而非反光區域。</w:t>
      </w:r>
    </w:p>
    <w:p w14:paraId="11982B22" w14:textId="77777777" w:rsidR="004B5988" w:rsidRPr="00CC21FE" w:rsidRDefault="004B5988">
      <w:pPr>
        <w:jc w:val="center"/>
        <w:rPr>
          <w:rFonts w:ascii="Times New Roman" w:eastAsia="標楷體" w:hAnsi="Times New Roman"/>
          <w:lang w:eastAsia="zh-TW"/>
        </w:rPr>
        <w:sectPr w:rsidR="004B5988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15BB64FC" w14:textId="6E593F3E" w:rsidR="004B5988" w:rsidRPr="00CC21FE" w:rsidRDefault="001B284F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22332" wp14:editId="78EC5C0B">
            <wp:simplePos x="0" y="0"/>
            <wp:positionH relativeFrom="column">
              <wp:posOffset>1052376</wp:posOffset>
            </wp:positionH>
            <wp:positionV relativeFrom="paragraph">
              <wp:posOffset>2540</wp:posOffset>
            </wp:positionV>
            <wp:extent cx="5136261" cy="1961587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261" cy="196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B43FE" w14:textId="77777777" w:rsidR="004B5988" w:rsidRPr="00CC21FE" w:rsidRDefault="004B5988" w:rsidP="001B284F">
      <w:pPr>
        <w:spacing w:line="240" w:lineRule="auto"/>
        <w:rPr>
          <w:rFonts w:ascii="Times New Roman" w:eastAsia="標楷體" w:hAnsi="Times New Roman" w:hint="eastAsia"/>
          <w:sz w:val="20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8C2050A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5. </w:t>
      </w:r>
      <w:r w:rsidRPr="00CC21FE">
        <w:rPr>
          <w:rFonts w:ascii="Times New Roman" w:eastAsia="標楷體" w:hAnsi="Times New Roman"/>
          <w:sz w:val="20"/>
          <w:lang w:eastAsia="zh-TW"/>
        </w:rPr>
        <w:t>博物館藏品跨場景視覺比較。</w:t>
      </w:r>
    </w:p>
    <w:p w14:paraId="66480036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上排：含反光原圖（Original）；中排：Baseline Pix2Pix 結果；下排：Pix2Pix+SGA 結果（本文）。</w:t>
      </w:r>
      <w:proofErr w:type="spellEnd"/>
      <w:proofErr w:type="spellStart"/>
      <w:proofErr w:type="spellEnd"/>
    </w:p>
    <w:p w14:paraId="55DC4AED" w14:textId="77777777" w:rsidR="004B5988" w:rsidRPr="00CC21FE" w:rsidRDefault="004B5988">
      <w:pPr>
        <w:jc w:val="center"/>
        <w:rPr>
          <w:rFonts w:ascii="Times New Roman" w:eastAsia="標楷體" w:hAnsi="Times New Roman" w:hint="eastAsia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33CFE91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B084AE7" wp14:editId="5E8E18A7">
            <wp:extent cx="2367643" cy="942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ion_sobel_feature.png"/>
                    <pic:cNvPicPr/>
                  </pic:nvPicPr>
                  <pic:blipFill rotWithShape="1">
                    <a:blip r:embed="rId18"/>
                    <a:srcRect t="8259" b="12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643" cy="94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F08C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A469EF8" wp14:editId="7DE5A07F">
            <wp:extent cx="2383972" cy="9388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reflection_sobel_feature.png"/>
                    <pic:cNvPicPr/>
                  </pic:nvPicPr>
                  <pic:blipFill rotWithShape="1">
                    <a:blip r:embed="rId19"/>
                    <a:srcRect t="8871" b="1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72" cy="95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EE5AE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6. Sobel 梯度幅度視覺化（左：原圖；右：梯度幅度）。上：含反光——高梯度僅出現在反光邊界、內部偏低；下：無反光——梯度集中於物件結構邊緣。此對比即 SGA 注意力引導信號的基礎。</w:t>
      </w:r>
    </w:p>
    <w:p w14:paraId="21D3773A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418ABC4" wp14:editId="073B1173">
            <wp:extent cx="2171700" cy="1085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EF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7. 訓練 Loss 曲線（藍：Generator loss；橘：Discriminator loss；橫軸：迭代次數）。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A56F959" w14:textId="76EC83B0" w:rsidR="00FF4807" w:rsidRPr="00CC21FE" w:rsidRDefault="00000000">
      <w:pPr>
        <w:jc w:val="both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跨場景下游</w:t>
      </w:r>
      <w:r w:rsidR="00831731">
        <w:rPr>
          <w:rFonts w:ascii="Times New Roman" w:eastAsia="標楷體" w:hAnsi="Times New Roman" w:hint="eastAsia"/>
          <w:b/>
          <w:sz w:val="20"/>
          <w:lang w:eastAsia="zh-TW"/>
        </w:rPr>
        <w:t>驗證</w:t>
      </w:r>
    </w:p>
    <w:p/>
    <w:p w14:paraId="15A87DFD" w14:textId="4F21893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8 呈現同一展品影像在反光消除前後的 YOLOv8 偵測框與信心值變化，顯示反光消除對下游辨識的直接增益。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7BF5FE4A" w14:textId="549AB88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在量化層面，YOLOv8 於博物館評估集上對原始含反光影像的準確率為 92.7%（699 張中 40 張未能辨識）。經 Pix2Pix+SGA 處理後，這 40 張中有 10 張（25%）轉為成功辨識，整體準確率提升至 94.5%（+1.8 pp）。</w:t>
      </w:r>
    </w:p>
    <w:p w14:paraId="50CF2E36" w14:textId="01C045AB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整體準確率提升幅度（</w:t>
      </w:r>
      <w:r w:rsidRPr="00CC21FE">
        <w:rPr>
          <w:rFonts w:ascii="Times New Roman" w:eastAsia="標楷體" w:hAnsi="Times New Roman"/>
          <w:sz w:val="20"/>
          <w:lang w:eastAsia="zh-TW"/>
        </w:rPr>
        <w:t>+1.8 pp</w:t>
      </w:r>
      <w:r w:rsidRPr="00CC21FE">
        <w:rPr>
          <w:rFonts w:ascii="Times New Roman" w:eastAsia="標楷體" w:hAnsi="Times New Roman"/>
          <w:sz w:val="20"/>
          <w:lang w:eastAsia="zh-TW"/>
        </w:rPr>
        <w:t>）相對有限，推測主要受兩項因素制約：</w:t>
      </w:r>
    </w:p>
    <w:p w14:paraId="49E9E51A" w14:textId="77777777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（1）可改善的失敗基數本身有限——699 張中僅 40 張（5.7%）原始辨識失敗，即使全部救回，理論準確率上限亦僅提升 5.7 個百分點；以失敗救回率衡量，本文救回 10/40（25%），顯示對邊緣案例具實質助益。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（2）辨識模型本身在原始影像上已達 92.7% 的高基準，可改善空間天生受限，使反光消除的邊際貢獻不易在整體指標中顯現。此外，本文評估集規模（699 張、7 類）相較 COCO 等大型基準偏小、單類樣本有限，使整體準確率對個別案例較敏感。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為對照，本文進一步以 Baseline Pix2Pix（無 SGA）對博物館影像去反光後再行下游辨識。觀察顯示，Baseline 去反光不僅未能乾淨消除玻璃反光，反而顯著降低影像解析度、模糊了藏品的結構與材質細節（例如器物輪廓糊化）。即便重新訓練偵測模型，多數情況下仍無法可靠辨識，出現偵測缺失、誤判為他類，或僅得偏低信心等問題。我們將此歸因於以下機制：下游辨識主要依賴藏品的結構輪廓與邊緣作為判別特徵。Baseline Pix2Pix 缺乏結構性先驗，在抑制反光的同時，無差別地平滑了高頻邊緣與紋理，這與 §4.3 所述 L1／對抗訓練的過度平滑特性一致。輪廓糊化使判別特徵流失，偵測模型因而難以辨識。這個現象反向印證了本文以固定 Sobel 邊緣先驗引導注意力、於去反光過程中保護物件結構的設計動機。</w:t>
      </w:r>
    </w:p>
    <w:p w14:paraId="79DEFB8F" w14:textId="62601F9F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</w:t>
      </w:r>
      <w:r w:rsidRPr="00CC21FE">
        <w:rPr>
          <w:rFonts w:ascii="Times New Roman" w:eastAsia="標楷體" w:hAnsi="Times New Roman"/>
          <w:sz w:val="20"/>
          <w:lang w:eastAsia="zh-TW"/>
        </w:rPr>
        <w:t>跨場景下游辨識準確率。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016"/>
      </w:tblGrid>
      <w:tr w:rsidR="00FF4807" w:rsidRPr="00CC21FE" w14:paraId="5E89699F" w14:textId="77777777">
        <w:trPr>
          <w:jc w:val="center"/>
        </w:trPr>
        <w:tc>
          <w:tcPr>
            <w:tcW w:w="1584" w:type="dxa"/>
            <w:tcBorders>
              <w:top w:val="single" w:sz="8" w:space="0" w:color="000000"/>
              <w:bottom w:val="single" w:sz="4" w:space="0" w:color="000000"/>
            </w:tcBorders>
          </w:tcPr>
          <w:p w14:paraId="7A659D6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條件</w:t>
            </w:r>
            <w:proofErr w:type="spellEnd"/>
          </w:p>
        </w:tc>
        <w:tc>
          <w:tcPr>
            <w:tcW w:w="1008" w:type="dxa"/>
            <w:tcBorders>
              <w:top w:val="single" w:sz="8" w:space="0" w:color="000000"/>
              <w:bottom w:val="single" w:sz="4" w:space="0" w:color="000000"/>
            </w:tcBorders>
          </w:tcPr>
          <w:p w14:paraId="2753529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準確率</w:t>
            </w:r>
            <w:proofErr w:type="spellEnd"/>
            <w:r w:rsidRPr="00CC21FE">
              <w:rPr>
                <w:rFonts w:ascii="Times New Roman" w:eastAsia="標楷體" w:hAnsi="Times New Roman"/>
                <w:b/>
                <w:sz w:val="18"/>
              </w:rPr>
              <w:t xml:space="preserve"> (%)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4" w:space="0" w:color="000000"/>
            </w:tcBorders>
          </w:tcPr>
          <w:p w14:paraId="4294B8F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說明</w:t>
            </w:r>
            <w:proofErr w:type="spellEnd"/>
          </w:p>
        </w:tc>
      </w:tr>
      <w:tr w:rsidR="00FF4807" w:rsidRPr="00CC21FE" w14:paraId="3203E4AA" w14:textId="77777777">
        <w:trPr>
          <w:jc w:val="center"/>
        </w:trPr>
        <w:tc>
          <w:tcPr>
            <w:tcW w:w="1584" w:type="dxa"/>
          </w:tcPr>
          <w:p w14:paraId="58A5DCF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原始影像（含反光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</w:tcPr>
          <w:p w14:paraId="6E19DDC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92.7</w:t>
            </w:r>
          </w:p>
        </w:tc>
        <w:tc>
          <w:tcPr>
            <w:tcW w:w="2016" w:type="dxa"/>
          </w:tcPr>
          <w:p w14:paraId="715DAEB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699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張中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 xml:space="preserve"> 40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張未能成功辨識</w:t>
            </w:r>
            <w:proofErr w:type="spellEnd"/>
          </w:p>
        </w:tc>
      </w:tr>
      <w:tr w:rsidR="00FF4807" w:rsidRPr="00CC21FE" w14:paraId="42E85900" w14:textId="77777777">
        <w:trPr>
          <w:jc w:val="center"/>
        </w:trPr>
        <w:tc>
          <w:tcPr>
            <w:tcW w:w="1584" w:type="dxa"/>
            <w:tcBorders>
              <w:bottom w:val="single" w:sz="8" w:space="0" w:color="000000"/>
            </w:tcBorders>
          </w:tcPr>
          <w:p w14:paraId="5A682D4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 w14:paraId="699E606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94.5</w:t>
            </w:r>
          </w:p>
        </w:tc>
        <w:tc>
          <w:tcPr>
            <w:tcW w:w="2016" w:type="dxa"/>
            <w:tcBorders>
              <w:bottom w:val="single" w:sz="8" w:space="0" w:color="000000"/>
            </w:tcBorders>
          </w:tcPr>
          <w:p w14:paraId="7BE608B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+1.8 pp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；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40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張中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 10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張（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25%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）救回</w:t>
            </w:r>
          </w:p>
        </w:tc>
      </w:tr>
    </w:tbl>
    <w:p w14:paraId="66AB21A6" w14:textId="6AFF70EB" w:rsidR="00FF4807" w:rsidRPr="00CC21FE" w:rsidRDefault="00FF4807">
      <w:pPr>
        <w:jc w:val="center"/>
        <w:rPr>
          <w:rFonts w:ascii="Times New Roman" w:eastAsia="標楷體" w:hAnsi="Times New Roman"/>
          <w:lang w:eastAsia="zh-TW"/>
        </w:rPr>
      </w:pPr>
    </w:p>
    <w:p w14:paraId="7CF93976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97BD214" w14:textId="2E1B5E5A" w:rsidR="00DB5D4F" w:rsidRPr="00CC21FE" w:rsidRDefault="00DB5D4F" w:rsidP="00DB5D4F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AF9DF55" wp14:editId="362A193E">
            <wp:extent cx="896110" cy="1606062"/>
            <wp:effectExtent l="0" t="0" r="0" b="0"/>
            <wp:docPr id="157529308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3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0" cy="160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54C3EE4" wp14:editId="756D5ACD">
            <wp:extent cx="907905" cy="1611923"/>
            <wp:effectExtent l="0" t="0" r="6985" b="7620"/>
            <wp:docPr id="144352483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1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905" cy="16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AA67198" wp14:editId="716AD710">
            <wp:extent cx="916787" cy="1635369"/>
            <wp:effectExtent l="0" t="0" r="0" b="3175"/>
            <wp:docPr id="7633458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5" r="2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87" cy="16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EF0DC64" wp14:editId="44B19E22">
            <wp:extent cx="924902" cy="1643407"/>
            <wp:effectExtent l="0" t="0" r="8890" b="0"/>
            <wp:docPr id="77908249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02" cy="164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2275AB9" wp14:editId="1286A524">
            <wp:extent cx="925743" cy="1641231"/>
            <wp:effectExtent l="0" t="0" r="8255" b="0"/>
            <wp:docPr id="131568523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81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743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23A2" w14:textId="77777777" w:rsidR="00DB5D4F" w:rsidRPr="00CC21FE" w:rsidRDefault="00DB5D4F" w:rsidP="00DB5D4F">
      <w:pPr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45EC1F5" w14:textId="202D8E4B" w:rsidR="00DB5D4F" w:rsidRPr="00CC21FE" w:rsidRDefault="00DB5D4F" w:rsidP="00DB5D4F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309CE21" wp14:editId="2D4D6DF6">
            <wp:extent cx="872706" cy="1594338"/>
            <wp:effectExtent l="0" t="0" r="3810" b="6350"/>
            <wp:docPr id="11142830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9" t="-264" r="21993"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706" cy="159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22A2642" wp14:editId="495AD831">
            <wp:extent cx="920072" cy="1641231"/>
            <wp:effectExtent l="0" t="0" r="0" b="0"/>
            <wp:docPr id="151199378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9" r="2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072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07D48576" wp14:editId="47BA4906">
            <wp:extent cx="914647" cy="1647092"/>
            <wp:effectExtent l="0" t="0" r="0" b="0"/>
            <wp:docPr id="161665506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647" cy="16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1C525B9" wp14:editId="761989AB">
            <wp:extent cx="928166" cy="1652905"/>
            <wp:effectExtent l="0" t="0" r="5715" b="4445"/>
            <wp:docPr id="488301825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166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9A21311" wp14:editId="371BA9EA">
            <wp:extent cx="933573" cy="1658815"/>
            <wp:effectExtent l="0" t="0" r="0" b="0"/>
            <wp:docPr id="6631017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73" cy="16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E67AC" w14:textId="2FD49F8E" w:rsidR="00DB5D4F" w:rsidRPr="00CC21FE" w:rsidRDefault="00DB5D4F" w:rsidP="00DB5D4F">
      <w:pPr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4E36D68A" w14:textId="43825AE5" w:rsidR="00FF4807" w:rsidRPr="00CC21FE" w:rsidRDefault="00FF4807" w:rsidP="00DB5D4F">
      <w:pPr>
        <w:rPr>
          <w:rFonts w:ascii="Times New Roman" w:eastAsia="標楷體" w:hAnsi="Times New Roman"/>
          <w:lang w:eastAsia="zh-TW"/>
        </w:rPr>
      </w:pPr>
    </w:p>
    <w:p w14:paraId="3274D0DD" w14:textId="77777777" w:rsidR="00DB5D4F" w:rsidRPr="00CC21FE" w:rsidRDefault="00DB5D4F" w:rsidP="000F2453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8D141ED" w14:textId="26D98ECD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8. YOLOv8 </w:t>
      </w:r>
      <w:r w:rsidRPr="00CC21FE">
        <w:rPr>
          <w:rFonts w:ascii="Times New Roman" w:eastAsia="標楷體" w:hAnsi="Times New Roman"/>
          <w:sz w:val="20"/>
          <w:lang w:eastAsia="zh-TW"/>
        </w:rPr>
        <w:t>辨識結果範例：含反光影像（上）與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Pix2Pix+SGA </w:t>
      </w:r>
      <w:r w:rsidRPr="00CC21FE">
        <w:rPr>
          <w:rFonts w:ascii="Times New Roman" w:eastAsia="標楷體" w:hAnsi="Times New Roman"/>
          <w:sz w:val="20"/>
          <w:lang w:eastAsia="zh-TW"/>
        </w:rPr>
        <w:t>處理後影像（下）之偵測框與信心值比較。</w:t>
      </w:r>
    </w:p>
    <w:p w14:paraId="467D8D85" w14:textId="77777777" w:rsidR="00DB5D4F" w:rsidRPr="00CC21FE" w:rsidRDefault="00DB5D4F">
      <w:pPr>
        <w:jc w:val="center"/>
        <w:rPr>
          <w:rFonts w:ascii="Times New Roman" w:eastAsia="標楷體" w:hAnsi="Times New Roman"/>
          <w:b/>
          <w:caps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7EDAF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5. Discussion</w:t>
      </w:r>
    </w:p>
    <w:p/>
    <w:p w14:paraId="31B9FC4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5.1.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為何固定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先驗能實現跨場景泛化</w:t>
      </w:r>
    </w:p>
    <w:p/>
    <w:p w14:paraId="42423E7F" w14:textId="16AAA001" w:rsidR="004B5988" w:rsidRPr="00CC21FE" w:rsidRDefault="00000000" w:rsidP="004B5988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本文最核心的發現是：在完全不同 domain 上訓練的模型，加入 SGA 後無需任何微調或域適應即可直接泛化至博物館藏品（§4.6）。圖 7 的訓練動態也顯示，D loss 與 G loss 均穩定收斂、無明顯模式崩潰，這提示在本次訓練中，加入 SGA 並未明顯破壞對抗訓練的穩定性。</w:t>
      </w:r>
    </w:p>
    <w:p w14:paraId="47103697" w14:textId="37903BDC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如 §3.2.1 所述，SGA 以固定 Sobel 梯度作為注意力驅動信號【6】【8】【31】。這些梯度僅依輸入影像的局部像素值計算，不隨訓練資料的場景分佈調整。我們推測這是跨場景遷移的促成因素之一：其注意力引導信號不致因訓練分佈差異，而在不同場景間出現系統性偏移。</w:t>
      </w:r>
    </w:p>
    <w:p w14:paraId="540B0FED" w14:textId="79E4C5B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相較之下，若以可學習的邊緣偵測器（如 HED【19】）作為驅動信號，其權重會隨訓練資料的場景分佈調整，跨場景應用時可能對目標場景紋理產生語義誤判。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此嚴重程度依賴性（§4.3）與上述機制論證一致。由於注意力引導信號直接由 Sobel 梯度幅度驅動，當反光與物件結構之間的梯度對比越明顯——也就是反光越嚴重——其貢獻便自然越大。</w:t>
      </w:r>
    </w:p>
    <w:p/>
    <w:p w14:paraId="3603F5BE" w14:textId="1484B5E1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>5.</w:t>
      </w:r>
      <w:r w:rsidR="004B5988" w:rsidRPr="00CC21FE">
        <w:rPr>
          <w:rFonts w:ascii="Times New Roman" w:eastAsia="標楷體" w:hAnsi="Times New Roman" w:hint="eastAsia"/>
          <w:b/>
          <w:sz w:val="20"/>
          <w:lang w:eastAsia="zh-TW"/>
        </w:rPr>
        <w:t>2</w:t>
      </w:r>
      <w:r w:rsidRPr="00CC21FE">
        <w:rPr>
          <w:rFonts w:ascii="Times New Roman" w:eastAsia="標楷體" w:hAnsi="Times New Roman"/>
          <w:b/>
          <w:sz w:val="20"/>
        </w:rPr>
        <w:t xml:space="preserve">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限制分析</w:t>
      </w:r>
      <w:proofErr w:type="spellEnd"/>
    </w:p>
    <w:p/>
    <w:p w14:paraId="50F73F8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本方法有若干限制。其一，當物件含大面積均勻低梯度區（如素色瓷器、純色背景）時，Sobel 響應微弱、SGA 邊緣引導有限，模型退化至近似標準 Pix2Pix。其二，如 §4.1.2 所述，博物館評估集缺乏無反光 ground truth，須與公開 SIRR 測試集的消融結果合併解讀。其三，尚未系統驗證強烈動態反光（如戶外強日照）的消除效果。</w:t>
      </w:r>
      <w:proofErr w:type="spellEnd"/>
      <w:r w:rsidRPr="00CC21FE">
        <w:rPr>
          <w:rFonts w:ascii="Times New Roman" w:eastAsia="標楷體" w:hAnsi="Times New Roman"/>
          <w:sz w:val="20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384E1A01" w14:textId="19B26E4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第四，如 §4.6 所述，+1.8pp 的整體提升受評估集規模與辨識模型基準準確率共同制約，理論改善空間有限。未來計劃建立更大規模、跨場景（如工廠、車載）的下游評估資料集，以更全面驗證本方法的泛化效益。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第五，§4.3 的反光嚴重程度分層分析是以像素差異作為粗略代理指標，並非經驗證的反光強度標註。此模式在 PSNR 上明確，在 SSIM 上較弱，在 LPIPS 上則未觀察到，因此更嚴謹的、區域層級的評估留待未來工作。</w:t>
      </w:r>
    </w:p>
    <w:p/>
    <w:p w14:paraId="5AD9B42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6. Conclusion</w:t>
      </w:r>
    </w:p>
    <w:p/>
    <w:p w14:paraId="6CE010F4" w14:textId="0678318A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 SIRR 在真實部署中普遍面臨目標 domain 配對資料難以取得的困境。本文以跨場景泛化為核心動機，提出整合至 Pix2Pix 的 SGA 模組，探討固定結構先驗在跨場景 SIRR 中的作用機制。SGA 以固定 Sobel 卷積核萃取邊緣梯度，驅動 CBAM 風格的通道—空間雙維注意力，在不增加任何可訓練參數下，於像素層面區分物件結構與反光干擾。以博物館藏品反光消除為案例，實驗顯示：以公開 SIRR 資料集訓練的模型無需微調即可泛化至博物館藏品，下游 YOLOv8 辨識準確率由 92.7% 提升至 94.5%（+1.8pp）。這量化呈現了固定 Sobel 結構先驗在跨場景設定下可衡量但幅度有限的實際效益（詳見 §5.2 限制分析），其中重建品質的提升又以反光較嚴重的案例最為明顯（§4.3）。</w:t>
      </w:r>
    </w:p>
    <w:p/>
    <w:p w14:paraId="6AF75EF8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lastRenderedPageBreak/>
        <w:t>References</w:t>
      </w:r>
    </w:p>
    <w:p/>
    <w:p w14:paraId="2F03338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[1] K. Yang et al., "A Comprehensive Survey on Single Image Reflection Removal Using Deep Learning," arXiv:2502.08836, 2025.</w:t>
      </w:r>
    </w:p>
    <w:p w14:paraId="28DC77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[2] D. Reis, J. Hong, J. Kupec, and A. Daoudi, "Real-Time Flying Object Detection with YOLOv8," arXiv:2305.09972, 2023.</w:t>
      </w:r>
    </w:p>
    <w:p w14:paraId="2CCEBE6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[3] F. Lu, C. Tang, T. Liu, Z. Zhang, and L. Li, "Multi-Attention Segmentation Networks Combined with the Sobel Operator for Medical Images," Sensors, vol. 23, no. 5, p. 2546, 2023. </w:t>
      </w:r>
      <w:proofErr w:type="spellStart"/>
      <w:r w:rsidRPr="00CC21FE">
        <w:rPr>
          <w:rFonts w:ascii="Times New Roman" w:eastAsia="標楷體" w:hAnsi="Times New Roman"/>
          <w:sz w:val="18"/>
        </w:rPr>
        <w:t>doi</w:t>
      </w:r>
      <w:proofErr w:type="spellEnd"/>
      <w:r w:rsidRPr="00CC21FE">
        <w:rPr>
          <w:rFonts w:ascii="Times New Roman" w:eastAsia="標楷體" w:hAnsi="Times New Roman"/>
          <w:sz w:val="18"/>
        </w:rPr>
        <w:t>: 10.3390/s23052546.</w:t>
      </w:r>
    </w:p>
    <w:p w14:paraId="126B491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[4] S. Woo, J. Park, J.-Y. Lee, and I. S. Kweon, "CBAM: Convolutional Block Attention Module," in Proc. ECCV, 2018, pp. 3-19.</w:t>
      </w:r>
    </w:p>
    <w:p w14:paraId="38E0B34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[5] Z. Chi, X. Wu, X. Shu, and J. Gu, "Single Image Reflection Removal Using Deep Encoder-Decoder Network," arXiv:1802.00094, 2018.</w:t>
      </w:r>
    </w:p>
    <w:p w14:paraId="1F4996A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[6] Q. Fan, J. Yang, G. Hua, B. Chen, and D. Wipf, "A Generic Deep Architecture for Single Image Reflection Removal and Image Smoothing," in Proc. IEEE ICCV, 2017, pp. 3238-3247.</w:t>
      </w:r>
    </w:p>
    <w:p w14:paraId="6525A74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[7] C. Li, Y. Yang, K. He, S. Lin, and J. E. Hopcroft, "Single Image Reflection Removal through Cascaded Refinement," in Proc. IEEE/CVF CVPR, 2020, pp. 3566-3574.</w:t>
      </w:r>
    </w:p>
    <w:p w14:paraId="708E9552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[8] Z. Dong, K. Xu, Y. Yang, H. Bao, W. Xu, and R. W. H. Lau, "Location-aware Single Image Reflection Removal," in Proc. IEEE/CVF ICCV, 2021, pp. 5017-5026.</w:t>
      </w:r>
    </w:p>
    <w:p w14:paraId="29035EC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[9] J.-J. Huang, T. Liu, Z. Yang, S. Fu, W. Zhao, and P. L. Dragotti, "DURRNet: Deep Unfolded Single Image Reflection Removal Network," arXiv:2203.06306, 2022.</w:t>
      </w:r>
    </w:p>
    <w:p w14:paraId="0157D90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[10] T. Wang, W. Lu, K. Zhang, T. Lu, and M.-H. Yang, "</w:t>
      </w:r>
      <w:proofErr w:type="spellStart"/>
      <w:r w:rsidRPr="00CC21FE">
        <w:rPr>
          <w:rFonts w:ascii="Times New Roman" w:eastAsia="標楷體" w:hAnsi="Times New Roman"/>
          <w:sz w:val="18"/>
        </w:rPr>
        <w:t>PromptRR</w:t>
      </w:r>
      <w:proofErr w:type="spellEnd"/>
      <w:r w:rsidRPr="00CC21FE">
        <w:rPr>
          <w:rFonts w:ascii="Times New Roman" w:eastAsia="標楷體" w:hAnsi="Times New Roman"/>
          <w:sz w:val="18"/>
        </w:rPr>
        <w:t>: Diffusion Models as Prompt Generators for Single Image Reflection Removal," arXiv:2402.02374, 2024.</w:t>
      </w:r>
    </w:p>
    <w:p w14:paraId="222DA82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[11] I. Goodfellow et al., "Generative Adversarial Nets," in Adv. Neural Inf. Process. Syst. (</w:t>
      </w:r>
      <w:proofErr w:type="spellStart"/>
      <w:r w:rsidRPr="00CC21FE">
        <w:rPr>
          <w:rFonts w:ascii="Times New Roman" w:eastAsia="標楷體" w:hAnsi="Times New Roman"/>
          <w:sz w:val="18"/>
        </w:rPr>
        <w:t>NeurIPS</w:t>
      </w:r>
      <w:proofErr w:type="spellEnd"/>
      <w:r w:rsidRPr="00CC21FE">
        <w:rPr>
          <w:rFonts w:ascii="Times New Roman" w:eastAsia="標楷體" w:hAnsi="Times New Roman"/>
          <w:sz w:val="18"/>
        </w:rPr>
        <w:t>), 2014, pp. 2672-2680.</w:t>
      </w:r>
    </w:p>
    <w:p w14:paraId="4C97B1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[12] M. Mirza and S. </w:t>
      </w:r>
      <w:proofErr w:type="spellStart"/>
      <w:r w:rsidRPr="00CC21FE">
        <w:rPr>
          <w:rFonts w:ascii="Times New Roman" w:eastAsia="標楷體" w:hAnsi="Times New Roman"/>
          <w:sz w:val="18"/>
        </w:rPr>
        <w:t>Osindero</w:t>
      </w:r>
      <w:proofErr w:type="spellEnd"/>
      <w:r w:rsidRPr="00CC21FE">
        <w:rPr>
          <w:rFonts w:ascii="Times New Roman" w:eastAsia="標楷體" w:hAnsi="Times New Roman"/>
          <w:sz w:val="18"/>
        </w:rPr>
        <w:t>, "Conditional Generative Adversarial Nets," arXiv:1411.1784, 2014.</w:t>
      </w:r>
    </w:p>
    <w:p w14:paraId="7281C46B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[13] P. Isola, J.-Y. Zhu, T. Zhou, and A. A. Efros, "Image-to-Image Translation with Conditional Adversarial Networks," in Proc. IEEE CVPR, 2017, pp. 1125-1134.</w:t>
      </w:r>
    </w:p>
    <w:p w14:paraId="77592C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[14] J.-Y. Zhu, T. Park, P. Isola, and A. A. Efros, "Unpaired Image-to-Image Translation using Cycle-Consistent Adversarial Networks," in Proc. IEEE ICCV, 2017, pp. 2223-2232.</w:t>
      </w:r>
    </w:p>
    <w:p w14:paraId="330D904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[15] M.-Y. Liu et al., "Generative Adversarial Networks for Image and Video Synthesis: Algorithms and Applications," Proc. IEEE, vol. 109, no. 5, pp. 839-862, 2021.</w:t>
      </w:r>
    </w:p>
    <w:p w14:paraId="2A65DDC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[16] J. Hu, L. Shen, S. Albanie, G. Sun, and E. Wu, "Squeeze-and-Excitation Networks," IEEE Trans. Pattern Anal. Mach. Intell., vol. 42, no. 8, pp. 2011-2023, 2020.</w:t>
      </w:r>
    </w:p>
    <w:p w14:paraId="20F9BBD0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[17] Y. Cao, J. Xu, S. Lin, F. Wei, and H. Hu, "</w:t>
      </w:r>
      <w:proofErr w:type="spellStart"/>
      <w:r w:rsidRPr="00CC21FE">
        <w:rPr>
          <w:rFonts w:ascii="Times New Roman" w:eastAsia="標楷體" w:hAnsi="Times New Roman"/>
          <w:sz w:val="18"/>
        </w:rPr>
        <w:t>GCNet</w:t>
      </w:r>
      <w:proofErr w:type="spellEnd"/>
      <w:r w:rsidRPr="00CC21FE">
        <w:rPr>
          <w:rFonts w:ascii="Times New Roman" w:eastAsia="標楷體" w:hAnsi="Times New Roman"/>
          <w:sz w:val="18"/>
        </w:rPr>
        <w:t>: Non-local Networks Meet Squeeze-Excitation Networks and Beyond," in Proc. IEEE ICCVW, 2019, pp. 1971-1980.</w:t>
      </w:r>
    </w:p>
    <w:p w14:paraId="27A6EDF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[18] X. Wang, R. </w:t>
      </w:r>
      <w:proofErr w:type="spellStart"/>
      <w:r w:rsidRPr="00CC21FE">
        <w:rPr>
          <w:rFonts w:ascii="Times New Roman" w:eastAsia="標楷體" w:hAnsi="Times New Roman"/>
          <w:sz w:val="18"/>
        </w:rPr>
        <w:t>Girshick</w:t>
      </w:r>
      <w:proofErr w:type="spellEnd"/>
      <w:r w:rsidRPr="00CC21FE">
        <w:rPr>
          <w:rFonts w:ascii="Times New Roman" w:eastAsia="標楷體" w:hAnsi="Times New Roman"/>
          <w:sz w:val="18"/>
        </w:rPr>
        <w:t>, A. Gupta, and K. He, "Non-local Neural Networks," in Proc. IEEE/CVF CVPR, 2018, pp. 7794-7803.</w:t>
      </w:r>
    </w:p>
    <w:p w14:paraId="4A03B03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[19] S. Xie and Z. Tu, "Holistically-Nested Edge Detection," in Proc. IEEE ICCV, 2015, pp. 1395-1403.</w:t>
      </w:r>
    </w:p>
    <w:p w14:paraId="0A8BEA2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[20] G. Ji, D.-P. Fan, Y.-C. Chou, D. Dai, A. Liniger, and L. Van Gool, "Deep Gradient Learning for Efficient Camouflaged Object Detection," Mach. Intell. Res., vol. 20, no. 1, pp. 92-108, 2023.</w:t>
      </w:r>
    </w:p>
    <w:p w14:paraId="34A2882D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[21] H. Zunair and A. B. Hamza, "Sharp U-Net: </w:t>
      </w:r>
      <w:proofErr w:type="spellStart"/>
      <w:r w:rsidRPr="00CC21FE">
        <w:rPr>
          <w:rFonts w:ascii="Times New Roman" w:eastAsia="標楷體" w:hAnsi="Times New Roman"/>
          <w:sz w:val="18"/>
        </w:rPr>
        <w:t>Depthwise</w:t>
      </w:r>
      <w:proofErr w:type="spellEnd"/>
      <w:r w:rsidRPr="00CC21FE">
        <w:rPr>
          <w:rFonts w:ascii="Times New Roman" w:eastAsia="標楷體" w:hAnsi="Times New Roman"/>
          <w:sz w:val="18"/>
        </w:rPr>
        <w:t xml:space="preserve"> Convolutional Network for Biomedical Image Segmentation," </w:t>
      </w:r>
      <w:proofErr w:type="spellStart"/>
      <w:r w:rsidRPr="00CC21FE">
        <w:rPr>
          <w:rFonts w:ascii="Times New Roman" w:eastAsia="標楷體" w:hAnsi="Times New Roman"/>
          <w:sz w:val="18"/>
        </w:rPr>
        <w:t>Comput</w:t>
      </w:r>
      <w:proofErr w:type="spellEnd"/>
      <w:r w:rsidRPr="00CC21FE">
        <w:rPr>
          <w:rFonts w:ascii="Times New Roman" w:eastAsia="標楷體" w:hAnsi="Times New Roman"/>
          <w:sz w:val="18"/>
        </w:rPr>
        <w:t>. Biol. Med., vol. 139, p. 104941, 2021.</w:t>
      </w:r>
    </w:p>
    <w:p w14:paraId="5A4EEE0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[22] H. Li and J. Liu, "Edge, Structure and Texture Refinement for Retrospective High Quality MRI Restoration using Deep Learning," in Proc. IEEE ISBI, 2021.</w:t>
      </w:r>
    </w:p>
    <w:p w14:paraId="210F626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[23] O. Ronneberger, P. Fischer, and T. Brox, "U-Net: Convolutional Networks for Biomedical Image Segmentation," in Proc. MICCAI, 2015, pp. 234-241.</w:t>
      </w:r>
    </w:p>
    <w:p w14:paraId="663F09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[24] R. Wan, B. Shi, L.-Y. Duan, A.-H. Tan, and A. C. Kot, "Benchmarking Single-Image Reflection Removal Algorithms," in Proc. IEEE ICCV, 2017, pp. 3942-3950.</w:t>
      </w:r>
    </w:p>
    <w:p w14:paraId="1B49EB7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[25] K. Wei, J. Yang, Y. Fu, D. Wipf, and H. Huang, "Single Image Reflection Removal Exploiting Misaligned Training Data and Network Enhancements," in Proc. IEEE/CVF CVPR, 2019.</w:t>
      </w:r>
    </w:p>
    <w:p w14:paraId="7DDB2E9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[26] C. Lei and Q. Chen, "Robust Reflection Removal with Reflection-free Flash-only Cues," in Proc. IEEE/CVF CVPR, 2021, pp. 14811-14820.</w:t>
      </w:r>
    </w:p>
    <w:p w14:paraId="5C97221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[27] Z. Wang, A. C. </w:t>
      </w:r>
      <w:proofErr w:type="spellStart"/>
      <w:r w:rsidRPr="00CC21FE">
        <w:rPr>
          <w:rFonts w:ascii="Times New Roman" w:eastAsia="標楷體" w:hAnsi="Times New Roman"/>
          <w:sz w:val="18"/>
        </w:rPr>
        <w:t>Bovik</w:t>
      </w:r>
      <w:proofErr w:type="spellEnd"/>
      <w:r w:rsidRPr="00CC21FE">
        <w:rPr>
          <w:rFonts w:ascii="Times New Roman" w:eastAsia="標楷體" w:hAnsi="Times New Roman"/>
          <w:sz w:val="18"/>
        </w:rPr>
        <w:t>, H. R. Sheikh, and E. P. Simoncelli, "Image Quality Assessment: From Error Visibility to Structural Similarity," IEEE Trans. Image Process., vol. 13, no. 4, pp. 600-612, Apr. 2004.</w:t>
      </w:r>
    </w:p>
    <w:p w14:paraId="2D03678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[28] R. Zhang, P. Isola, A. A. Efros, E. Shechtman, and O. Wang, "The Unreasonable Effectiveness of Deep Features as a Perceptual Metric," in Proc. IEEE/CVF CVPR, 2018, pp. 586-595.</w:t>
      </w:r>
    </w:p>
    <w:p w14:paraId="76A889F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[29] Y. Blau and T. Michaeli, "The Perception-Distortion Tradeoff," in Proc. IEEE/CVF CVPR, 2018, pp. 6228-6237.</w:t>
      </w:r>
    </w:p>
    <w:p w14:paraId="3AC1278A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[30] C. Ledig et al., "Photo-Realistic Single Image Super-Resolution Using a Generative Adversarial Network," in Proc. IEEE/CVF CVPR, 2017, pp. 4681-4690.</w:t>
      </w:r>
    </w:p>
    <w:p w14:paraId="1F16A124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[31] M. Pu, Y. Huang, Q. Guan, and H. Ling, "</w:t>
      </w:r>
      <w:proofErr w:type="spellStart"/>
      <w:r w:rsidRPr="00CC21FE">
        <w:rPr>
          <w:rFonts w:ascii="Times New Roman" w:eastAsia="標楷體" w:hAnsi="Times New Roman"/>
          <w:sz w:val="18"/>
        </w:rPr>
        <w:t>RINDNet</w:t>
      </w:r>
      <w:proofErr w:type="spellEnd"/>
      <w:r w:rsidRPr="00CC21FE">
        <w:rPr>
          <w:rFonts w:ascii="Times New Roman" w:eastAsia="標楷體" w:hAnsi="Times New Roman"/>
          <w:sz w:val="18"/>
        </w:rPr>
        <w:t>: Edge Detection for Discontinuity in Reflectance, Illumination, Normal and Depth," in Proc. IEEE/CVF ICCV, 2021, pp. 6879-6888.</w:t>
      </w:r>
    </w:p>
    <w:sectPr w:rsidR="00FF4807" w:rsidRPr="00CC21FE" w:rsidSect="00034616">
      <w:type w:val="continuous"/>
      <w:pgSz w:w="11906" w:h="16838"/>
      <w:pgMar w:top="1417" w:right="1298" w:bottom="1701" w:left="1077" w:header="720" w:footer="720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0173" w14:textId="77777777" w:rsidR="007C7F23" w:rsidRDefault="007C7F23" w:rsidP="00CC21FE">
      <w:pPr>
        <w:spacing w:after="0" w:line="240" w:lineRule="auto"/>
      </w:pPr>
      <w:r>
        <w:separator/>
      </w:r>
    </w:p>
  </w:endnote>
  <w:endnote w:type="continuationSeparator" w:id="0">
    <w:p w14:paraId="3B0DC1C1" w14:textId="77777777" w:rsidR="007C7F23" w:rsidRDefault="007C7F23" w:rsidP="00CC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1CC" w14:textId="77777777" w:rsidR="007C7F23" w:rsidRDefault="007C7F23" w:rsidP="00CC21FE">
      <w:pPr>
        <w:spacing w:after="0" w:line="240" w:lineRule="auto"/>
      </w:pPr>
      <w:r>
        <w:separator/>
      </w:r>
    </w:p>
  </w:footnote>
  <w:footnote w:type="continuationSeparator" w:id="0">
    <w:p w14:paraId="2844407A" w14:textId="77777777" w:rsidR="007C7F23" w:rsidRDefault="007C7F23" w:rsidP="00CC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630248">
    <w:abstractNumId w:val="8"/>
  </w:num>
  <w:num w:numId="2" w16cid:durableId="411587558">
    <w:abstractNumId w:val="6"/>
  </w:num>
  <w:num w:numId="3" w16cid:durableId="1538620955">
    <w:abstractNumId w:val="5"/>
  </w:num>
  <w:num w:numId="4" w16cid:durableId="376442560">
    <w:abstractNumId w:val="4"/>
  </w:num>
  <w:num w:numId="5" w16cid:durableId="920288146">
    <w:abstractNumId w:val="7"/>
  </w:num>
  <w:num w:numId="6" w16cid:durableId="343166769">
    <w:abstractNumId w:val="3"/>
  </w:num>
  <w:num w:numId="7" w16cid:durableId="1440030163">
    <w:abstractNumId w:val="2"/>
  </w:num>
  <w:num w:numId="8" w16cid:durableId="463235600">
    <w:abstractNumId w:val="1"/>
  </w:num>
  <w:num w:numId="9" w16cid:durableId="1947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AA"/>
    <w:rsid w:val="00034616"/>
    <w:rsid w:val="0006063C"/>
    <w:rsid w:val="000F2453"/>
    <w:rsid w:val="0015074B"/>
    <w:rsid w:val="001B284F"/>
    <w:rsid w:val="0029639D"/>
    <w:rsid w:val="002C0D6A"/>
    <w:rsid w:val="00326F90"/>
    <w:rsid w:val="004B5988"/>
    <w:rsid w:val="006762E1"/>
    <w:rsid w:val="006B65FE"/>
    <w:rsid w:val="007C7F23"/>
    <w:rsid w:val="00831731"/>
    <w:rsid w:val="00A83560"/>
    <w:rsid w:val="00AA1D8D"/>
    <w:rsid w:val="00B47730"/>
    <w:rsid w:val="00B57D2A"/>
    <w:rsid w:val="00C7617A"/>
    <w:rsid w:val="00CB0664"/>
    <w:rsid w:val="00CC21FE"/>
    <w:rsid w:val="00DB5D4F"/>
    <w:rsid w:val="00DF0E8F"/>
    <w:rsid w:val="00FC693F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344B7"/>
  <w14:defaultImageDpi w14:val="300"/>
  <w15:docId w15:val="{2758908B-C545-4861-A2AE-1EEB6F90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0F24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莊子賢</cp:lastModifiedBy>
  <cp:revision>4</cp:revision>
  <dcterms:created xsi:type="dcterms:W3CDTF">2013-12-23T23:15:00Z</dcterms:created>
  <dcterms:modified xsi:type="dcterms:W3CDTF">2026-06-15T14:52:00Z</dcterms:modified>
  <cp:category/>
</cp:coreProperties>
</file>