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基於 Sobel 引導注意力機制之 Pix2Pix 跨場景單張影像反光消除</w:t>
        <w:br/>
        <w:t>：以博物館文物辨識為案例</w:t>
      </w:r>
    </w:p>
    <w:p>
      <w:pPr>
        <w:spacing w:after="240"/>
        <w:jc w:val="center"/>
      </w:pPr>
      <w:r>
        <w:rPr>
          <w:rFonts w:ascii="Times New Roman" w:hAnsi="Times New Roman"/>
          <w:i w:val="0"/>
          <w:sz w:val="24"/>
          <w:vertAlign w:val="superscript"/>
        </w:rPr>
        <w:t>1</w:t>
      </w:r>
      <w:r>
        <w:rPr>
          <w:rFonts w:ascii="Times New Roman" w:hAnsi="Times New Roman"/>
          <w:i/>
          <w:sz w:val="24"/>
        </w:rPr>
        <w:t>Zi-Xian Zhuang</w:t>
      </w:r>
      <w:r>
        <w:rPr>
          <w:rFonts w:ascii="Times New Roman" w:hAnsi="Times New Roman"/>
          <w:i w:val="0"/>
          <w:sz w:val="24"/>
        </w:rPr>
        <w:t xml:space="preserve"> (莊子賢), </w:t>
      </w:r>
      <w:r>
        <w:rPr>
          <w:rFonts w:ascii="Times New Roman" w:hAnsi="Times New Roman"/>
          <w:i w:val="0"/>
          <w:sz w:val="24"/>
          <w:vertAlign w:val="superscript"/>
        </w:rPr>
        <w:t>1,*</w:t>
      </w:r>
      <w:r>
        <w:rPr>
          <w:rFonts w:ascii="Times New Roman" w:hAnsi="Times New Roman"/>
          <w:i/>
          <w:sz w:val="24"/>
        </w:rPr>
        <w:t>Jiann-Shu Lee</w:t>
      </w:r>
      <w:r>
        <w:rPr>
          <w:rFonts w:ascii="Times New Roman" w:hAnsi="Times New Roman"/>
          <w:i w:val="0"/>
          <w:sz w:val="24"/>
        </w:rPr>
        <w:t xml:space="preserve"> (李建樹)</w:t>
      </w:r>
    </w:p>
    <w:p>
      <w:pPr>
        <w:spacing w:after="0"/>
        <w:ind w:firstLine="227"/>
        <w:jc w:val="center"/>
      </w:pPr>
      <w:r>
        <w:rPr>
          <w:rFonts w:ascii="Times New Roman" w:hAnsi="Times New Roman"/>
          <w:i w:val="0"/>
          <w:sz w:val="24"/>
          <w:vertAlign w:val="superscript"/>
        </w:rPr>
        <w:t>1</w:t>
      </w:r>
      <w:r>
        <w:rPr>
          <w:rFonts w:ascii="Times New Roman" w:hAnsi="Times New Roman"/>
          <w:i w:val="0"/>
          <w:sz w:val="24"/>
        </w:rPr>
        <w:t xml:space="preserve"> Department of Computer Science and Information Engineering, National University of Tainan, Tainan City, Taiwan</w:t>
      </w:r>
    </w:p>
    <w:p>
      <w:pPr>
        <w:spacing w:after="120"/>
        <w:ind w:firstLine="227"/>
        <w:jc w:val="center"/>
      </w:pPr>
      <w:r>
        <w:rPr>
          <w:rFonts w:ascii="Times New Roman" w:hAnsi="Times New Roman"/>
          <w:i w:val="0"/>
          <w:sz w:val="24"/>
        </w:rPr>
        <w:t>E-mail: s11159030@gm2.nutn.edu.tw</w:t>
      </w:r>
    </w:p>
    <w:p>
      <w:pPr>
        <w:sectPr>
          <w:pgSz w:w="11906" w:h="16838"/>
          <w:pgMar w:top="1984" w:right="1077" w:bottom="1701" w:left="1077" w:header="720" w:footer="720" w:gutter="0"/>
          <w:cols w:space="720"/>
          <w:docGrid w:linePitch="360"/>
        </w:sectPr>
      </w:pPr>
    </w:p>
    <w:p>
      <w:pPr>
        <w:spacing w:before="120" w:after="60"/>
        <w:jc w:val="center"/>
      </w:pPr>
      <w:r>
        <w:rPr>
          <w:rFonts w:ascii="Times New Roman" w:hAnsi="Times New Roman"/>
          <w:b/>
          <w:i w:val="0"/>
          <w:caps/>
          <w:sz w:val="20"/>
        </w:rPr>
        <w:t>Abstract</w:t>
      </w:r>
    </w:p>
    <w:p>
      <w:pPr>
        <w:spacing w:before="0" w:after="60"/>
        <w:jc w:val="both"/>
      </w:pPr>
      <w:r>
        <w:rPr>
          <w:rFonts w:ascii="Times New Roman" w:hAnsi="Times New Roman"/>
          <w:b w:val="0"/>
          <w:i w:val="0"/>
          <w:caps w:val="0"/>
          <w:sz w:val="20"/>
        </w:rPr>
        <w:t>監督式單張影像反光消除（SIRR）的根本瓶頸在於：真實應用場景普遍難以取得像素對齊的「含反光/無反光」配對訓練資料，使模型無法直接在目標場景上訓練。本文以「跨場景泛化」為核心研究動機，提出 Sobel 引導注意力（Sobel-Guided Attention，SGA）模組，整合至 Pix2Pix 圖像轉換架構，探討如何使模型在公開 SIRR 資料集（810 對訓練樣本）上訓練後，無需微調即可遷移至未見過的目標場景。SGA 模組以固定 Sobel 卷積核萃取各通道邊緣梯度幅度，驅動 CBAM 風格的通道—空間雙維注意力；固定 Sobel 先驗天然具備場景無關（domain-agnostic）特性，為跨場景遷移提供穩定的結構引導。本文以博物館藏品反光消除作為案例驗證：博物館因展品不可移動、玻璃防護罩難以拆裝，是配對資料完全無法大規模取得的典型真實場景。實驗顯示，SGA 使模型成功跨場景泛化至博物館藏品，下游 YOLOv8 展品辨識準確率由 92.7% 提升至 94.5%，驗證跨場景反光消除的實用效益。</w:t>
      </w:r>
    </w:p>
    <w:p>
      <w:pPr>
        <w:spacing w:before="0" w:after="60"/>
        <w:jc w:val="both"/>
      </w:pPr>
      <w:r>
        <w:rPr>
          <w:rFonts w:ascii="Times" w:hAnsi="Times"/>
          <w:b/>
          <w:i w:val="0"/>
          <w:sz w:val="20"/>
        </w:rPr>
        <w:t xml:space="preserve">Keywords: </w:t>
      </w:r>
      <w:r>
        <w:rPr>
          <w:rFonts w:ascii="Times" w:hAnsi="Times"/>
          <w:b w:val="0"/>
          <w:i w:val="0"/>
          <w:sz w:val="20"/>
        </w:rPr>
        <w:t>單張影像反光消除、跨場景泛化、Sobel 結構先驗、條件生成對抗網路、Pix2Pix、博物館文物辨識。</w:t>
      </w:r>
    </w:p>
    <w:p>
      <w:pPr>
        <w:spacing w:before="120" w:after="60"/>
        <w:jc w:val="center"/>
      </w:pPr>
      <w:r>
        <w:rPr>
          <w:rFonts w:ascii="Times New Roman" w:hAnsi="Times New Roman"/>
          <w:b/>
          <w:i w:val="0"/>
          <w:caps/>
          <w:sz w:val="20"/>
        </w:rPr>
        <w:t>1. Introduction</w:t>
      </w:r>
    </w:p>
    <w:p>
      <w:pPr>
        <w:spacing w:before="0" w:after="60"/>
        <w:jc w:val="both"/>
      </w:pPr>
      <w:r>
        <w:rPr>
          <w:rFonts w:ascii="Times New Roman" w:hAnsi="Times New Roman"/>
          <w:b w:val="0"/>
          <w:i w:val="0"/>
          <w:caps w:val="0"/>
          <w:sz w:val="20"/>
        </w:rPr>
        <w:t>單張影像反光消除（SIRR）在電腦視覺中是一個持續受到關注的研究問題，其應用場景涵蓋博物館展品拍攝、建築玻璃帷幕、車載前擋風玻璃等多種真實情境。然而，現有監督式深度學習方法面臨一個根本性的訓練困境：模型需要像素對齊的「含反光/無反光」配對影像進行訓練，而在絕大多數真實部署場景中，這樣的配對資料幾乎無法大規模取得。以工廠玻璃檢測為例，更換玻璃或控制光源的成本極高；車載場景中環境光線持續變化，無法取得靜態配對；醫療設備的螢幕反光同樣難以在受控條件下系統性採集。此一 domain gap 問題導致即便在公開資料集上訓練效果良好的模型，在目標場景的實際部署中往往大幅退化【1】。</w:t>
      </w:r>
    </w:p>
    <w:p>
      <w:pPr>
        <w:spacing w:before="0" w:after="60"/>
        <w:ind w:firstLine="360"/>
        <w:jc w:val="both"/>
      </w:pPr>
      <w:r>
        <w:rPr>
          <w:rFonts w:ascii="Times New Roman" w:hAnsi="Times New Roman"/>
          <w:b w:val="0"/>
          <w:i w:val="0"/>
          <w:caps w:val="0"/>
          <w:sz w:val="20"/>
        </w:rPr>
        <w:t>博物館藏品反光消除是上述困境的極端代表性案例。展品受玻璃防護罩保護，不可移動亦不可隨意拆卸保護設備，環境燈光由展覽需求決定無法任意調整，使得像素對齊的配對資料在現實中幾乎完全無法大規模取得。然而博物館智慧導覽系統的需求真實存在：訪客透過手機拍攝展品時，玻璃反光導致 AI 辨識系統識別率顯著下降——以本文實驗為例，YOLOv8【2】在含反光影像上的辨識準確率僅為 92.7%。博物館場景因此提供了一個具有量化下游指標的理想案例，適合用於驗證跨場景 SIRR 泛化方法的實用效益。</w:t>
      </w:r>
    </w:p>
    <w:p>
      <w:pPr>
        <w:spacing w:before="0" w:after="60"/>
        <w:ind w:firstLine="360"/>
        <w:jc w:val="both"/>
      </w:pPr>
      <w:r>
        <w:rPr>
          <w:rFonts w:ascii="Times New Roman" w:hAnsi="Times New Roman"/>
          <w:b w:val="0"/>
          <w:i w:val="0"/>
          <w:caps w:val="0"/>
          <w:sz w:val="20"/>
        </w:rPr>
        <w:t>本文的核心研究問題是：能否以公開 SIRR 資料集訓練模型，使其在完全未見過的目標場景中無需任何微調即可直接部署？什麼樣的架構設計能支撐這種跨場景遷移？此問題的關鍵在於：若模型所依賴的特徵表示具有場景無關性，則在任意場景上學習到的反光消除能力便可自然遷移。SIRR 任務恰好具備這樣的物理基礎——反光因光線擴散呈現低頻、低梯度特性，物件邊緣因材質突變呈現高頻、高梯度響應；這兩項區別特性是物理性質，與場景 domain 無關。</w:t>
      </w:r>
    </w:p>
    <w:p>
      <w:pPr>
        <w:spacing w:before="0" w:after="60"/>
        <w:ind w:firstLine="360"/>
        <w:jc w:val="both"/>
      </w:pPr>
      <w:r>
        <w:rPr>
          <w:rFonts w:ascii="Times New Roman" w:hAnsi="Times New Roman"/>
          <w:b w:val="0"/>
          <w:i w:val="0"/>
          <w:caps w:val="0"/>
          <w:sz w:val="20"/>
        </w:rPr>
        <w:t>基於此觀察，本文提出以固定 Sobel 梯度作為注意力驅動信號的設計路線。Sobel 卷積核為固定參數，其計算出的梯度幅度僅反映影像的局部結構特性，不受訓練資料的場景分佈影響，天然具備 domain-agnostic 特性。Lu 等人【3】在醫學影像分割中展示了 Sobel 引導注意力的有效性，而 CBAM【4】確立了通道—空間雙維注意力的互補優勢，共同為本文 Sobel 引導注意力（SGA）模組的設計提供理論依據。SGA 以固定 Sobel 梯度幅度驅動 CBAM 風格的雙維注意力，在 Pix2Pix U-Net 生成器的第一個編碼器塊之前完成邊緣感知特徵重校準，使模型在像素層面即對「展品結構」與「反光干擾」進行空間上的區分【5】。</w:t>
      </w:r>
    </w:p>
    <w:p>
      <w:pPr>
        <w:spacing w:before="0" w:after="60"/>
        <w:jc w:val="both"/>
      </w:pPr>
      <w:r>
        <w:rPr>
          <w:rFonts w:ascii="Times New Roman" w:hAnsi="Times New Roman"/>
          <w:b w:val="0"/>
          <w:i w:val="0"/>
          <w:caps w:val="0"/>
          <w:sz w:val="20"/>
        </w:rPr>
        <w:t>本文的主要貢獻如下：</w:t>
      </w:r>
    </w:p>
    <w:p>
      <w:pPr>
        <w:spacing w:before="0" w:after="60"/>
        <w:jc w:val="both"/>
      </w:pPr>
      <w:r>
        <w:rPr>
          <w:rFonts w:ascii="Times New Roman" w:hAnsi="Times New Roman"/>
          <w:b w:val="0"/>
          <w:i w:val="0"/>
          <w:caps w:val="0"/>
          <w:sz w:val="20"/>
        </w:rPr>
        <w:t>（1）提出 SGA 模組，以固定 Sobel 邊緣梯度引導 CBAM 風格的通道—空間雙維注意力，在不引入任何額外可訓練參數的前提下，為 Pix2Pix 反光消除提供domain-agnostic 的結構性先驗引導。</w:t>
      </w:r>
    </w:p>
    <w:p>
      <w:pPr>
        <w:spacing w:before="0" w:after="60"/>
        <w:jc w:val="both"/>
      </w:pPr>
      <w:r>
        <w:rPr>
          <w:rFonts w:ascii="Times New Roman" w:hAnsi="Times New Roman"/>
          <w:b w:val="0"/>
          <w:i w:val="0"/>
          <w:caps w:val="0"/>
          <w:sz w:val="20"/>
        </w:rPr>
        <w:t>（2）以「公開 SIRR 資料集訓練、目標場景直接部署」為研究框架，系統性地探討固定結構先驗在跨場景 SIRR 泛化中的作用，為配對資料難以取得的真實應用場景提供可行的方法論路徑。</w:t>
      </w:r>
    </w:p>
    <w:p>
      <w:pPr>
        <w:spacing w:before="0" w:after="60"/>
        <w:jc w:val="both"/>
      </w:pPr>
      <w:r>
        <w:rPr>
          <w:rFonts w:ascii="Times New Roman" w:hAnsi="Times New Roman"/>
          <w:b w:val="0"/>
          <w:i w:val="0"/>
          <w:caps w:val="0"/>
          <w:sz w:val="20"/>
        </w:rPr>
        <w:t>（3）以博物館藏品反光消除作為案例實驗，建立端對端評估流程：從公開 SIRR 資料集訓練，跨場景應用於博物館影像，以 YOLOv8 辨識準確率（92.7% → 94.5%）量化驗證。</w:t>
      </w:r>
    </w:p>
    <w:p>
      <w:pPr>
        <w:spacing w:before="120" w:after="60"/>
        <w:jc w:val="center"/>
      </w:pPr>
      <w:r>
        <w:rPr>
          <w:rFonts w:ascii="Times New Roman" w:hAnsi="Times New Roman"/>
          <w:b/>
          <w:i w:val="0"/>
          <w:caps/>
          <w:sz w:val="20"/>
        </w:rPr>
        <w:t>2. Related Work</w:t>
      </w:r>
    </w:p>
    <w:p>
      <w:pPr>
        <w:spacing w:before="80" w:after="40"/>
        <w:jc w:val="both"/>
      </w:pPr>
      <w:r>
        <w:rPr>
          <w:rFonts w:ascii="Times New Roman" w:hAnsi="Times New Roman"/>
          <w:b/>
          <w:i w:val="0"/>
          <w:caps w:val="0"/>
          <w:sz w:val="20"/>
        </w:rPr>
        <w:t>2.1. 單張影像反光消除</w:t>
      </w:r>
    </w:p>
    <w:p>
      <w:pPr>
        <w:spacing w:before="0" w:after="60"/>
        <w:jc w:val="both"/>
      </w:pPr>
      <w:r>
        <w:rPr>
          <w:rFonts w:ascii="Times New Roman" w:hAnsi="Times New Roman"/>
          <w:b w:val="0"/>
          <w:i w:val="0"/>
          <w:caps w:val="0"/>
          <w:sz w:val="20"/>
        </w:rPr>
        <w:t>SIRR 研究歷程從基於優化的傳統方法演進至深度學習路線。Fan 等人【6】提出 CEILNet，首次以級聯 CNN 架構在 SIRR 中引入邊緣資訊：邊緣預測網路（E-CNN）先估計物件邊緣圖，再由重建網路（I-CNN）以邊緣圖為輔助恢復傳輸層。此一設計奠定了「以邊緣引導復原」的技術路線，是本文 SGA 模組設計的重要先驅。</w:t>
      </w:r>
    </w:p>
    <w:p>
      <w:pPr>
        <w:spacing w:before="0" w:after="60"/>
        <w:ind w:firstLine="360"/>
        <w:jc w:val="both"/>
      </w:pPr>
      <w:r>
        <w:rPr>
          <w:rFonts w:ascii="Times New Roman" w:hAnsi="Times New Roman"/>
          <w:b w:val="0"/>
          <w:i w:val="0"/>
          <w:caps w:val="0"/>
          <w:sz w:val="20"/>
        </w:rPr>
        <w:t>Li 等人【7】提出 IBCLN，以卷積 LSTM 實現迭代漸進式的傳輸層與反射層交替提煉，並建立具密集標註 ground truth 的真實場景配對資料集，是本文訓練所用資料集之一。Chi 等人【5】指出，下採樣（池化）操作所帶來的資訊損失會增加解碼器精確復原影像的難度（因此其網路選擇省略池化層），這一觀察呼應了本文將邊緣注意力前置於編碼器之前、避免結構資訊在下採樣過程中流失的設計動機。Dong 等人【8】提出位置感知反光消除（Location-aware SIRR），以顯式的反光位置偵測模組（reflection confidence map）回歸反光機率圖以引導特徵流，證明「顯式空間位置線索」在 SIRR 任務中的有效性。</w:t>
      </w:r>
    </w:p>
    <w:p>
      <w:pPr>
        <w:spacing w:before="0" w:after="60"/>
        <w:ind w:firstLine="360"/>
        <w:jc w:val="both"/>
      </w:pPr>
      <w:r>
        <w:rPr>
          <w:rFonts w:ascii="Times New Roman" w:hAnsi="Times New Roman"/>
          <w:b w:val="0"/>
          <w:i w:val="0"/>
          <w:caps w:val="0"/>
          <w:sz w:val="20"/>
        </w:rPr>
        <w:t>近期方法朝不同技術方向發展。DURRNet【9】採用演算法展開（algorithm unrolling）將迭代優化轉化為深度網路，具備理論可解釋性。PromptRR【10】以擴散模型作為頻域提示生成器驅動 Transformer 網路，達最新 SOTA 水準，但擴散模型本身的多步採樣特性使即時部署的計算代價較高。儘管上述方法在公開基準資料集上取得顯著進展，跨場景泛化能力仍是深度學習 SIRR 在真實場景部署中的核心挑戰，直接呼應了本文的研究動機。</w:t>
      </w:r>
    </w:p>
    <w:p>
      <w:pPr>
        <w:spacing w:before="80" w:after="40"/>
        <w:jc w:val="both"/>
      </w:pPr>
      <w:r>
        <w:rPr>
          <w:rFonts w:ascii="Times New Roman" w:hAnsi="Times New Roman"/>
          <w:b/>
          <w:i w:val="0"/>
          <w:caps w:val="0"/>
          <w:sz w:val="20"/>
        </w:rPr>
        <w:t>2.2. 圖像轉換與條件生成對抗網路</w:t>
      </w:r>
    </w:p>
    <w:p>
      <w:pPr>
        <w:spacing w:before="0" w:after="60"/>
        <w:jc w:val="both"/>
      </w:pPr>
      <w:r>
        <w:rPr>
          <w:rFonts w:ascii="Times New Roman" w:hAnsi="Times New Roman"/>
          <w:b w:val="0"/>
          <w:i w:val="0"/>
          <w:caps w:val="0"/>
          <w:sz w:val="20"/>
        </w:rPr>
        <w:t>生成對抗網路（GAN）【11】以生成器與判別器的對抗訓練學習數據分佈，為圖像合成提供了強大框架。Mirza 與 Osindero【12】提出條件 GAN（cGAN），在生成器與判別器中同時加入條件向量，使網路能學習輸入到輸出的確定性映射，奠定 Pix2Pix 的理論基礎。Isola 等人【13】實例化此範式為 Pix2Pix：U-Net 生成器搭配 PatchGAN 判別器，以 L1+cGAN 損失組合訓練，在多項配對翻譯任務上取得突破性成果，並確立了配對監督訓練在圖像復原任務中的有效性。</w:t>
      </w:r>
    </w:p>
    <w:p>
      <w:pPr>
        <w:spacing w:before="0" w:after="60"/>
        <w:ind w:firstLine="360"/>
        <w:jc w:val="both"/>
      </w:pPr>
      <w:r>
        <w:rPr>
          <w:rFonts w:ascii="Times New Roman" w:hAnsi="Times New Roman"/>
          <w:b w:val="0"/>
          <w:i w:val="0"/>
          <w:caps w:val="0"/>
          <w:sz w:val="20"/>
        </w:rPr>
        <w:t>CycleGAN【14】引入循環一致性損失，無需配對資料即可學習域間映射，理論上適合配對資料難以取得的場景。然而 Zhu 等人【14】的原始比較實驗顯示，在配對資料充足的條件下，Pix2Pix 優於 CycleGAN 及其他無監督方法。本文選擇以公開配對 SIRR 資料集訓練 Pix2Pix，再跨場景部署，是在「利用現有配對資料的監督強度」與「目標場景零配對資料」之間取得平衡的設計策略。Liu 等人【15】對 GAN 圖像合成的全面綜述確立了對抗訓練的廣泛有效性。</w:t>
      </w:r>
    </w:p>
    <w:p>
      <w:pPr>
        <w:spacing w:before="80" w:after="40"/>
        <w:jc w:val="both"/>
      </w:pPr>
      <w:r>
        <w:rPr>
          <w:rFonts w:ascii="Times New Roman" w:hAnsi="Times New Roman"/>
          <w:b/>
          <w:i w:val="0"/>
          <w:caps w:val="0"/>
          <w:sz w:val="20"/>
        </w:rPr>
        <w:t>2.3. 注意力機制</w:t>
      </w:r>
    </w:p>
    <w:p>
      <w:pPr>
        <w:spacing w:before="0" w:after="60"/>
        <w:jc w:val="both"/>
      </w:pPr>
      <w:r>
        <w:rPr>
          <w:rFonts w:ascii="Times New Roman" w:hAnsi="Times New Roman"/>
          <w:b w:val="0"/>
          <w:i w:val="0"/>
          <w:caps w:val="0"/>
          <w:sz w:val="20"/>
        </w:rPr>
        <w:t>Hu 等人【16】提出 Squeeze-and-Excitation Network（SENet），以全局平均池化壓縮空間維度後，通過全連接層學習通道間相互依賴性，進行通道特徵重加權。SENet 以極小的計算代價在 ImageNet 分類上取得顯著提升，奠定了通道注意力在 CNN 中的地位。</w:t>
      </w:r>
    </w:p>
    <w:p>
      <w:pPr>
        <w:spacing w:before="0" w:after="60"/>
        <w:ind w:firstLine="360"/>
        <w:jc w:val="both"/>
      </w:pPr>
      <w:r>
        <w:rPr>
          <w:rFonts w:ascii="Times New Roman" w:hAnsi="Times New Roman"/>
          <w:b w:val="0"/>
          <w:i w:val="0"/>
          <w:caps w:val="0"/>
          <w:sz w:val="20"/>
        </w:rPr>
        <w:t>Woo 等人【4】在 SENet 的基礎上提出卷積塊注意力模組（CBAM），依序在通道和空間兩個維度推斷注意力圖，在分類與偵測任務的廣泛實驗中均優於 SENet，說明雙維注意力的互補性。本文 SGA 模組的雙分支設計直接源自 CBAM 框架，並以固定 Sobel 梯度取代純學習統計作為驅動信號——此替換是實現 domain-agnostic 特性的關鍵。</w:t>
      </w:r>
    </w:p>
    <w:p>
      <w:pPr>
        <w:spacing w:before="0" w:after="60"/>
        <w:ind w:firstLine="360"/>
        <w:jc w:val="both"/>
      </w:pPr>
      <w:r>
        <w:rPr>
          <w:rFonts w:ascii="Times New Roman" w:hAnsi="Times New Roman"/>
          <w:b w:val="0"/>
          <w:i w:val="0"/>
          <w:caps w:val="0"/>
          <w:sz w:val="20"/>
        </w:rPr>
        <w:t>Lu 等人【3】在醫學影像分割任務中提出以 Sobel 算子引導的多尺度注意力網路，以梯度幅度作為結構先驗驅動注意力機制，顯著提升分割邊界精度。醫學影像與自然場景之間同樣存在顯著的 domain gap，該方法在單一 medical domain 內以固定 Sobel 梯度驅動注意力取得良好分割效果，啟發本文進一步將此設計思路延伸至跨場景情境進行驗證——惟【3】本身並未測試跨資料集／跨場景表現，本文的跨場景驗證（§4.4-4.6）屬於本文的新貢獻，而非對【3】既有結論的延伸確認。GCNet【17】統一 Non-local Networks【18】與 SENet 的結構分析，說明結合全局語境與通道校準優於任一單一機制，進一步支持本文雙分支設計。</w:t>
      </w:r>
    </w:p>
    <w:p>
      <w:pPr>
        <w:spacing w:before="80" w:after="40"/>
        <w:jc w:val="both"/>
      </w:pPr>
      <w:r>
        <w:rPr>
          <w:rFonts w:ascii="Times New Roman" w:hAnsi="Times New Roman"/>
          <w:b/>
          <w:i w:val="0"/>
          <w:caps w:val="0"/>
          <w:sz w:val="20"/>
        </w:rPr>
        <w:t>2.4. 邊緣引導影像處理</w:t>
      </w:r>
    </w:p>
    <w:p>
      <w:pPr>
        <w:spacing w:before="0" w:after="60"/>
        <w:jc w:val="both"/>
      </w:pPr>
      <w:r>
        <w:rPr>
          <w:rFonts w:ascii="Times New Roman" w:hAnsi="Times New Roman"/>
          <w:b w:val="0"/>
          <w:i w:val="0"/>
          <w:caps w:val="0"/>
          <w:sz w:val="20"/>
        </w:rPr>
        <w:t>以邊緣資訊引導影像復原是一條成熟的技術路線。Xie 與 Tu【19】提出整體嵌套邊緣偵測（HED），以多尺度深度監督邊緣學習展示不同層次的邊緣特徵攜帶互補結構資訊，成為後續邊緣引導方法的重要基準。Ji 等人【20】提出 DGNet，以物件梯度監督解耦紋理與語義特徵，其梯度引導特徵提煉的思路與本文類比。</w:t>
      </w:r>
    </w:p>
    <w:p>
      <w:pPr>
        <w:spacing w:before="0" w:after="60"/>
        <w:ind w:firstLine="360"/>
        <w:jc w:val="both"/>
      </w:pPr>
      <w:r>
        <w:rPr>
          <w:rFonts w:ascii="Times New Roman" w:hAnsi="Times New Roman"/>
          <w:b w:val="0"/>
          <w:i w:val="0"/>
          <w:caps w:val="0"/>
          <w:sz w:val="20"/>
        </w:rPr>
        <w:t>Sharp U-Net【21】在 U-Net 的 skip connection 前加入銳化核（depthwise convolution with sharpening kernel），減少編碼器與解碼器特徵的語義不相似性，與本文在 skip connection 前注入 Sobel 結構引導的設計理念相呼應。Li 與 Liu【22】在 MRI 超解析任務中引入梯度圖邊緣品質損失，強制模型學習邊緣結構細節——此類邊緣引導設計在醫學影像這一特殊 domain 中的成功，進一步支持本文以固定梯度先驗跨場景遷移的假設。</w:t>
      </w:r>
    </w:p>
    <w:p>
      <w:pPr>
        <w:spacing w:before="120" w:after="60"/>
        <w:jc w:val="center"/>
      </w:pPr>
      <w:r>
        <w:rPr>
          <w:rFonts w:ascii="Times New Roman" w:hAnsi="Times New Roman"/>
          <w:b/>
          <w:i w:val="0"/>
          <w:caps/>
          <w:sz w:val="20"/>
        </w:rPr>
        <w:t>3. Proposed Method</w:t>
      </w:r>
    </w:p>
    <w:p>
      <w:pPr>
        <w:spacing w:before="80" w:after="40"/>
        <w:jc w:val="both"/>
      </w:pPr>
      <w:r>
        <w:rPr>
          <w:rFonts w:ascii="Times New Roman" w:hAnsi="Times New Roman"/>
          <w:b/>
          <w:i w:val="0"/>
          <w:caps w:val="0"/>
          <w:sz w:val="20"/>
        </w:rPr>
        <w:t>3.1. 整體架構</w:t>
      </w:r>
    </w:p>
    <w:p>
      <w:pPr>
        <w:spacing w:before="0" w:after="60"/>
        <w:jc w:val="both"/>
      </w:pPr>
      <w:r>
        <w:rPr>
          <w:rFonts w:ascii="Times New Roman" w:hAnsi="Times New Roman"/>
          <w:b w:val="0"/>
          <w:i w:val="0"/>
          <w:caps w:val="0"/>
          <w:sz w:val="20"/>
        </w:rPr>
        <w:t>本文方法以 Pix2Pix【13】為骨幹架構，核心創新為在 U-Net 生成器的首個編碼器塊前插入 SGA 模組。整體流程如圖 1 所示：給定含反光的輸入影像 Ir ∈ R^(H×W×3)，SGA 模組首先執行邊緣感知特徵重校準，輸出結構增強的特徵圖 x'，再由 U-Net 生成器映射至無反光的輸出 T^ ∈ R^(H×W×3)。PatchGAN 判別器在訓練期間評估局部圖像塊的真實性，迫使生成器產生高頻細節逼真的輸出。SGA 插入於最前端（Encoder Block 0 之前）而非中間層，原因在於反光干擾在像素層面即已存在，若讓網路先執行下採樣再補救，結構細節資訊可能在下採樣過程中流失【5】，且中間層特徵已摻雜 domain-specific 的語義信息，不利於跨場景遷移。</w:t>
      </w:r>
    </w:p>
    <w:p>
      <w:pPr>
        <w:spacing w:before="80" w:after="0"/>
        <w:jc w:val="center"/>
      </w:pPr>
      <w:r>
        <w:drawing>
          <wp:inline xmlns:a="http://schemas.openxmlformats.org/drawingml/2006/main" xmlns:pic="http://schemas.openxmlformats.org/drawingml/2006/picture">
            <wp:extent cx="2834640" cy="1275802"/>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9"/>
                    <a:stretch>
                      <a:fillRect/>
                    </a:stretch>
                  </pic:blipFill>
                  <pic:spPr>
                    <a:xfrm>
                      <a:off x="0" y="0"/>
                      <a:ext cx="2834640" cy="1275802"/>
                    </a:xfrm>
                    <a:prstGeom prst="rect"/>
                  </pic:spPr>
                </pic:pic>
              </a:graphicData>
            </a:graphic>
          </wp:inline>
        </w:drawing>
      </w:r>
    </w:p>
    <w:p>
      <w:pPr>
        <w:spacing w:before="40" w:after="80"/>
        <w:jc w:val="center"/>
      </w:pPr>
      <w:r>
        <w:rPr>
          <w:rFonts w:ascii="Times New Roman" w:hAnsi="Times New Roman"/>
          <w:b w:val="0"/>
          <w:i w:val="0"/>
          <w:caps w:val="0"/>
          <w:sz w:val="20"/>
        </w:rPr>
        <w:t>圖 1. 整體架構示意圖。輸入影像 x（含反光）經 SGA 模組（結構詳見圖 2）重校準為 x'，再由 U-Net 生成器 G（Encoder×7 / Decoder×7，含 skip connection，tanh 輸出）映射為去反光輸出 T^。訓練階段另以 PatchGAN 判別器 D 比較 (x, T^) 與 (x, y) 計算對抗損失 L_adv，並將 T^ 與 ground truth y 比較計算 L_L1，合併為 L_total = L_adv + λ·L_L1（λ = 100）；推論階段僅需生成器 G。</w:t>
      </w:r>
    </w:p>
    <w:p>
      <w:pPr>
        <w:spacing w:before="80" w:after="40"/>
        <w:jc w:val="both"/>
      </w:pPr>
      <w:r>
        <w:rPr>
          <w:rFonts w:ascii="Times New Roman" w:hAnsi="Times New Roman"/>
          <w:b/>
          <w:i w:val="0"/>
          <w:caps w:val="0"/>
          <w:sz w:val="20"/>
        </w:rPr>
        <w:t>3.2. Sobel 引導注意力模組（SGA）</w:t>
      </w:r>
    </w:p>
    <w:p>
      <w:pPr>
        <w:spacing w:before="0" w:after="60"/>
        <w:jc w:val="both"/>
      </w:pPr>
      <w:r>
        <w:rPr>
          <w:rFonts w:ascii="Times New Roman" w:hAnsi="Times New Roman"/>
          <w:b w:val="0"/>
          <w:i w:val="0"/>
          <w:caps w:val="0"/>
          <w:sz w:val="20"/>
        </w:rPr>
        <w:t>SGA 模組接受原始輸入影像 x ∈ R^(H×W×3)，輸出與其同維的重校準特徵圖 x'，包含三個依序執行的階段：Sobel 特徵萃取、通道注意力、空間注意力。SGA 的全部計算均基於固定參數，不引入任何額外可訓練參數，確保注意力引導信號的 domain-agnostic 特性不因訓練動態而退化。</w:t>
      </w:r>
    </w:p>
    <w:p>
      <w:pPr>
        <w:spacing w:before="80" w:after="40"/>
        <w:jc w:val="both"/>
      </w:pPr>
      <w:r>
        <w:rPr>
          <w:rFonts w:ascii="Times New Roman" w:hAnsi="Times New Roman"/>
          <w:b w:val="0"/>
          <w:i/>
          <w:caps w:val="0"/>
          <w:sz w:val="20"/>
        </w:rPr>
        <w:t>3.2.1. Sobel 特徵萃取</w:t>
      </w:r>
    </w:p>
    <w:p>
      <w:pPr>
        <w:spacing w:before="0" w:after="60"/>
        <w:jc w:val="both"/>
      </w:pPr>
      <w:r>
        <w:rPr>
          <w:rFonts w:ascii="Times New Roman" w:hAnsi="Times New Roman"/>
          <w:b w:val="0"/>
          <w:i w:val="0"/>
          <w:caps w:val="0"/>
          <w:sz w:val="20"/>
        </w:rPr>
        <w:t>對輸入影像的三個通道（R、G、B）分別應用固定的 3×3 Sobel 水平卷積核 Kx 與垂直卷積核 Ky 計算梯度分量：</w:t>
      </w:r>
    </w:p>
    <w:p>
      <w:pPr>
        <w:spacing w:before="0" w:after="60"/>
        <w:jc w:val="center"/>
      </w:pPr>
      <w:r>
        <w:rPr>
          <w:rFonts w:ascii="Times New Roman" w:hAnsi="Times New Roman"/>
          <w:b w:val="0"/>
          <w:i/>
          <w:caps w:val="0"/>
          <w:sz w:val="20"/>
        </w:rPr>
        <w:t xml:space="preserve">    Gx,c = x_c * Kx,    Gy,c = x_c * Ky,    c ∈ {R, G, B}</w:t>
      </w:r>
    </w:p>
    <w:p>
      <w:pPr>
        <w:spacing w:before="0" w:after="60"/>
        <w:jc w:val="both"/>
      </w:pPr>
      <w:r>
        <w:rPr>
          <w:rFonts w:ascii="Times New Roman" w:hAnsi="Times New Roman"/>
          <w:b w:val="0"/>
          <w:i w:val="0"/>
          <w:caps w:val="0"/>
          <w:sz w:val="20"/>
        </w:rPr>
        <w:t>其中 Kx 與 Ky 定義如下：</w:t>
      </w:r>
    </w:p>
    <w:p>
      <w:pPr>
        <w:spacing w:before="0" w:after="60"/>
        <w:jc w:val="center"/>
      </w:pPr>
      <w:r>
        <w:rPr>
          <w:rFonts w:ascii="Times New Roman" w:hAnsi="Times New Roman"/>
          <w:b w:val="0"/>
          <w:i/>
          <w:caps w:val="0"/>
          <w:sz w:val="18"/>
        </w:rPr>
        <w:t xml:space="preserve">         [-1  0  +1]              [-1  -2  -1]</w:t>
        <w:br/>
        <w:t xml:space="preserve">    Kx = [-2  0  +2]    ,    Ky = [ 0   0   0]</w:t>
        <w:br/>
        <w:t xml:space="preserve">         [-1  0  +1]              [+1  +2  +1]</w:t>
      </w:r>
    </w:p>
    <w:p>
      <w:pPr>
        <w:spacing w:before="0" w:after="60"/>
        <w:jc w:val="both"/>
      </w:pPr>
      <w:r>
        <w:rPr>
          <w:rFonts w:ascii="Times New Roman" w:hAnsi="Times New Roman"/>
          <w:b w:val="0"/>
          <w:i w:val="0"/>
          <w:caps w:val="0"/>
          <w:sz w:val="20"/>
        </w:rPr>
        <w:t>梯度幅度定義為：</w:t>
      </w:r>
    </w:p>
    <w:p>
      <w:pPr>
        <w:spacing w:before="0" w:after="60"/>
        <w:jc w:val="center"/>
      </w:pPr>
      <w:r>
        <w:rPr>
          <w:rFonts w:ascii="Times New Roman" w:hAnsi="Times New Roman"/>
          <w:b w:val="0"/>
          <w:i/>
          <w:caps w:val="0"/>
          <w:sz w:val="20"/>
        </w:rPr>
        <w:t xml:space="preserve">    Mc = sqrt( Gx,c^2 + Gy,c^2 )</w:t>
      </w:r>
    </w:p>
    <w:p>
      <w:pPr>
        <w:spacing w:before="0" w:after="60"/>
        <w:ind w:firstLine="360"/>
        <w:jc w:val="both"/>
      </w:pPr>
      <w:r>
        <w:rPr>
          <w:rFonts w:ascii="Times New Roman" w:hAnsi="Times New Roman"/>
          <w:b w:val="0"/>
          <w:i w:val="0"/>
          <w:caps w:val="0"/>
          <w:sz w:val="20"/>
        </w:rPr>
        <w:t>從而得到 Sobel 特徵圖 S ∈ R^(H×W×3)，捕捉各通道的邊緣強度分佈。反光區域因光線擴散呈現低頻、低梯度特性；展品邊緣因材質突變產生強梯度響應。此兩項區別在物理層面與場景 domain 無關，使 S 能在任意場景中自然區分「物件結構」與「反光干擾」——這正是 SGA 實現跨場景泛化的根本機制。</w:t>
      </w:r>
    </w:p>
    <w:p>
      <w:pPr>
        <w:spacing w:before="80" w:after="40"/>
        <w:jc w:val="both"/>
      </w:pPr>
      <w:r>
        <w:rPr>
          <w:rFonts w:ascii="Times New Roman" w:hAnsi="Times New Roman"/>
          <w:b w:val="0"/>
          <w:i/>
          <w:caps w:val="0"/>
          <w:sz w:val="20"/>
        </w:rPr>
        <w:t>3.2.2. 通道注意力分支</w:t>
      </w:r>
    </w:p>
    <w:p>
      <w:pPr>
        <w:spacing w:before="0" w:after="60"/>
        <w:jc w:val="both"/>
      </w:pPr>
      <w:r>
        <w:rPr>
          <w:rFonts w:ascii="Times New Roman" w:hAnsi="Times New Roman"/>
          <w:b w:val="0"/>
          <w:i w:val="0"/>
          <w:caps w:val="0"/>
          <w:sz w:val="20"/>
        </w:rPr>
        <w:t>對 Sobel 特徵圖 S 執行全局平均池化（GAP）得到通道描述符 v ∈ R^3。再以 1×1 卷積與 Sigmoid 激活函數生成通道注意力權重：</w:t>
      </w:r>
    </w:p>
    <w:p>
      <w:pPr>
        <w:spacing w:before="0" w:after="60"/>
        <w:jc w:val="center"/>
      </w:pPr>
      <w:r>
        <w:rPr>
          <w:rFonts w:ascii="Times New Roman" w:hAnsi="Times New Roman"/>
          <w:b w:val="0"/>
          <w:i/>
          <w:caps w:val="0"/>
          <w:sz w:val="20"/>
        </w:rPr>
        <w:t xml:space="preserve">    wc = sigmoid( Conv_1x1( GAP(S) ) )</w:t>
      </w:r>
    </w:p>
    <w:p>
      <w:pPr>
        <w:spacing w:before="0" w:after="60"/>
        <w:ind w:firstLine="360"/>
        <w:jc w:val="both"/>
      </w:pPr>
      <w:r>
        <w:rPr>
          <w:rFonts w:ascii="Times New Roman" w:hAnsi="Times New Roman"/>
          <w:b w:val="0"/>
          <w:i w:val="0"/>
          <w:caps w:val="0"/>
          <w:sz w:val="20"/>
        </w:rPr>
        <w:t>通道重校準後的特徵圖為 Xc = x ⊙ wc，其中 ⊙ 表示沿空間維度廣播的逐元素相乘。此操作依據各通道邊緣強度的相對重要性，自適應地調整 R、G、B 三通道的貢獻比例，對邊緣資訊豐富的通道給予更高權重。</w:t>
      </w:r>
    </w:p>
    <w:p>
      <w:pPr>
        <w:spacing w:before="80" w:after="40"/>
        <w:jc w:val="both"/>
      </w:pPr>
      <w:r>
        <w:rPr>
          <w:rFonts w:ascii="Times New Roman" w:hAnsi="Times New Roman"/>
          <w:b w:val="0"/>
          <w:i/>
          <w:caps w:val="0"/>
          <w:sz w:val="20"/>
        </w:rPr>
        <w:t>3.2.3. 空間注意力分支</w:t>
      </w:r>
    </w:p>
    <w:p>
      <w:pPr>
        <w:spacing w:before="0" w:after="60"/>
        <w:jc w:val="both"/>
      </w:pPr>
      <w:r>
        <w:rPr>
          <w:rFonts w:ascii="Times New Roman" w:hAnsi="Times New Roman"/>
          <w:b w:val="0"/>
          <w:i w:val="0"/>
          <w:caps w:val="0"/>
          <w:sz w:val="20"/>
        </w:rPr>
        <w:t>對通道重校準特徵圖 Xc 沿通道維度分別執行平均池化（AvgPool）與最大池化（MaxPool），拼接後以 7×7 卷積與 Sigmoid 激活函數生成空間注意力圖：</w:t>
      </w:r>
    </w:p>
    <w:p>
      <w:pPr>
        <w:spacing w:before="0" w:after="60"/>
        <w:jc w:val="center"/>
      </w:pPr>
      <w:r>
        <w:rPr>
          <w:rFonts w:ascii="Times New Roman" w:hAnsi="Times New Roman"/>
          <w:b w:val="0"/>
          <w:i/>
          <w:caps w:val="0"/>
          <w:sz w:val="20"/>
        </w:rPr>
        <w:t xml:space="preserve">    ws = sigmoid( Conv_7x7( [AvgPool(Xc) ; MaxPool(Xc)] ) )</w:t>
      </w:r>
    </w:p>
    <w:p>
      <w:pPr>
        <w:spacing w:before="0" w:after="60"/>
        <w:jc w:val="both"/>
      </w:pPr>
      <w:r>
        <w:rPr>
          <w:rFonts w:ascii="Times New Roman" w:hAnsi="Times New Roman"/>
          <w:b w:val="0"/>
          <w:i w:val="0"/>
          <w:caps w:val="0"/>
          <w:sz w:val="20"/>
        </w:rPr>
        <w:t>最終 SGA 模組的輸出為：</w:t>
      </w:r>
    </w:p>
    <w:p>
      <w:pPr>
        <w:spacing w:before="0" w:after="60"/>
        <w:jc w:val="center"/>
      </w:pPr>
      <w:r>
        <w:rPr>
          <w:rFonts w:ascii="Times New Roman" w:hAnsi="Times New Roman"/>
          <w:b w:val="0"/>
          <w:i/>
          <w:caps w:val="0"/>
          <w:sz w:val="20"/>
        </w:rPr>
        <w:t xml:space="preserve">    x' = x ⊙ wc ⊙ ws</w:t>
      </w:r>
    </w:p>
    <w:p>
      <w:pPr>
        <w:spacing w:before="0" w:after="60"/>
        <w:ind w:firstLine="360"/>
        <w:jc w:val="both"/>
      </w:pPr>
      <w:r>
        <w:rPr>
          <w:rFonts w:ascii="Times New Roman" w:hAnsi="Times New Roman"/>
          <w:b w:val="0"/>
          <w:i w:val="0"/>
          <w:caps w:val="0"/>
          <w:sz w:val="20"/>
        </w:rPr>
        <w:t>此雙分支設計確保物件邊緣豐富的特徵區域在通道（哪些通道更重要）與空間（哪些位置更重要）兩個維度均被強化，而模糊擴散的反光區域因 Sobel 響應微弱而受到抑制。由於 wc 與 ws 均由固定 Sobel 梯度驅動，其計算邏輯在任意場景中保持一致，確保跨場景部署時注意力行為的穩定性。</w:t>
      </w:r>
    </w:p>
    <w:p>
      <w:pPr>
        <w:spacing w:before="80" w:after="0"/>
        <w:jc w:val="center"/>
      </w:pPr>
      <w:r>
        <w:drawing>
          <wp:inline xmlns:a="http://schemas.openxmlformats.org/drawingml/2006/main" xmlns:pic="http://schemas.openxmlformats.org/drawingml/2006/picture">
            <wp:extent cx="2834640" cy="1154595"/>
            <wp:docPr id="2" name="Picture 2"/>
            <wp:cNvGraphicFramePr>
              <a:graphicFrameLocks noChangeAspect="1"/>
            </wp:cNvGraphicFramePr>
            <a:graphic>
              <a:graphicData uri="http://schemas.openxmlformats.org/drawingml/2006/picture">
                <pic:pic>
                  <pic:nvPicPr>
                    <pic:cNvPr id="0" name="sga_module_architecture.png"/>
                    <pic:cNvPicPr/>
                  </pic:nvPicPr>
                  <pic:blipFill>
                    <a:blip r:embed="rId10"/>
                    <a:stretch>
                      <a:fillRect/>
                    </a:stretch>
                  </pic:blipFill>
                  <pic:spPr>
                    <a:xfrm>
                      <a:off x="0" y="0"/>
                      <a:ext cx="2834640" cy="1154595"/>
                    </a:xfrm>
                    <a:prstGeom prst="rect"/>
                  </pic:spPr>
                </pic:pic>
              </a:graphicData>
            </a:graphic>
          </wp:inline>
        </w:drawing>
      </w:r>
    </w:p>
    <w:p>
      <w:pPr>
        <w:spacing w:before="40" w:after="80"/>
        <w:jc w:val="center"/>
      </w:pPr>
      <w:r>
        <w:rPr>
          <w:rFonts w:ascii="Times New Roman" w:hAnsi="Times New Roman"/>
          <w:b w:val="0"/>
          <w:i w:val="0"/>
          <w:caps w:val="0"/>
          <w:sz w:val="20"/>
        </w:rPr>
        <w:t>圖 2. SGA 模組詳細結構。Sobel 特徵經通道注意力（1×1 卷積）與空間注意力（7×7 卷積）依序重校準後，與原始輸入逐元素相乘，送入 U-Net 第一個編碼器塊。</w:t>
      </w:r>
    </w:p>
    <w:p>
      <w:pPr>
        <w:spacing w:before="80" w:after="40"/>
        <w:jc w:val="both"/>
      </w:pPr>
      <w:r>
        <w:rPr>
          <w:rFonts w:ascii="Times New Roman" w:hAnsi="Times New Roman"/>
          <w:b/>
          <w:i w:val="0"/>
          <w:caps w:val="0"/>
          <w:sz w:val="20"/>
        </w:rPr>
        <w:t>3.3. U-Net 生成器架構</w:t>
      </w:r>
    </w:p>
    <w:p>
      <w:pPr>
        <w:spacing w:before="0" w:after="60"/>
        <w:jc w:val="both"/>
      </w:pPr>
      <w:r>
        <w:rPr>
          <w:rFonts w:ascii="Times New Roman" w:hAnsi="Times New Roman"/>
          <w:b w:val="0"/>
          <w:i w:val="0"/>
          <w:caps w:val="0"/>
          <w:sz w:val="20"/>
        </w:rPr>
        <w:t>SGA 模組之後接標準 Pix2Pix U-Net 生成器【13】【23】。編碼器由 7 個下採樣塊（Conv-BN-LeakyReLU）組成，濾波器數量依次為 [64, 128, 256, 512, 512, 512, 512]；解碼器由 7 個上採樣塊（ConvTranspose-BN-Dropout-ReLU）組成，並以 skip connection 串接對應解析度的編碼器特徵圖以保留空間細節。最後一層以 tanh 激活輸出像素值至 [-1, 1]。所有輸入輸出影像以 x_norm = x / 127.5 - 1 正規化至 [-1, 1] 範圍。</w:t>
      </w:r>
    </w:p>
    <w:p>
      <w:pPr>
        <w:spacing w:before="80" w:after="40"/>
        <w:jc w:val="both"/>
      </w:pPr>
      <w:r>
        <w:rPr>
          <w:rFonts w:ascii="Times New Roman" w:hAnsi="Times New Roman"/>
          <w:b/>
          <w:i w:val="0"/>
          <w:caps w:val="0"/>
          <w:sz w:val="20"/>
        </w:rPr>
        <w:t>3.4. PatchGAN 判別器</w:t>
      </w:r>
    </w:p>
    <w:p>
      <w:pPr>
        <w:spacing w:before="0" w:after="60"/>
        <w:jc w:val="both"/>
      </w:pPr>
      <w:r>
        <w:rPr>
          <w:rFonts w:ascii="Times New Roman" w:hAnsi="Times New Roman"/>
          <w:b w:val="0"/>
          <w:i w:val="0"/>
          <w:caps w:val="0"/>
          <w:sz w:val="20"/>
        </w:rPr>
        <w:t>PatchGAN 判別器【13】對影像中的重疊 N×N 圖像塊分別判斷真偽，而非對整張影像輸出單一標量。此設計使判別器專注於高頻局部紋理的真實性，對反光消除任務尤為適合——反光主要影響局部區域，局部塊級判斷能提供更精確的梯度信號。本文判別器由 4 個卷積層（[64, 128, 256, 512]）加一個 1×1 輸出層構成。</w:t>
      </w:r>
    </w:p>
    <w:p>
      <w:pPr>
        <w:spacing w:before="80" w:after="40"/>
        <w:jc w:val="both"/>
      </w:pPr>
      <w:r>
        <w:rPr>
          <w:rFonts w:ascii="Times New Roman" w:hAnsi="Times New Roman"/>
          <w:b/>
          <w:i w:val="0"/>
          <w:caps w:val="0"/>
          <w:sz w:val="20"/>
        </w:rPr>
        <w:t>3.5. 損失函數</w:t>
      </w:r>
    </w:p>
    <w:p>
      <w:pPr>
        <w:spacing w:before="0" w:after="60"/>
        <w:jc w:val="both"/>
      </w:pPr>
      <w:r>
        <w:rPr>
          <w:rFonts w:ascii="Times New Roman" w:hAnsi="Times New Roman"/>
          <w:b w:val="0"/>
          <w:i w:val="0"/>
          <w:caps w:val="0"/>
          <w:sz w:val="20"/>
        </w:rPr>
        <w:t>訓練目標結合對抗損失與像素重建損失：</w:t>
      </w:r>
    </w:p>
    <w:p>
      <w:pPr>
        <w:spacing w:before="0" w:after="60"/>
        <w:jc w:val="center"/>
      </w:pPr>
      <w:r>
        <w:rPr>
          <w:rFonts w:ascii="Times New Roman" w:hAnsi="Times New Roman"/>
          <w:b w:val="0"/>
          <w:i/>
          <w:caps w:val="0"/>
          <w:sz w:val="20"/>
        </w:rPr>
        <w:t xml:space="preserve">    L_total = L_adv + lambda * L_L1</w:t>
      </w:r>
    </w:p>
    <w:p>
      <w:pPr>
        <w:spacing w:before="0" w:after="60"/>
        <w:jc w:val="both"/>
      </w:pPr>
      <w:r>
        <w:rPr>
          <w:rFonts w:ascii="Times New Roman" w:hAnsi="Times New Roman"/>
          <w:b w:val="0"/>
          <w:i w:val="0"/>
          <w:caps w:val="0"/>
          <w:sz w:val="20"/>
        </w:rPr>
        <w:t>對抗損失 L_adv 採用均方誤差（MSE）：</w:t>
      </w:r>
    </w:p>
    <w:p>
      <w:pPr>
        <w:spacing w:before="0" w:after="60"/>
        <w:jc w:val="center"/>
      </w:pPr>
      <w:r>
        <w:rPr>
          <w:rFonts w:ascii="Times New Roman" w:hAnsi="Times New Roman"/>
          <w:b w:val="0"/>
          <w:i/>
          <w:caps w:val="0"/>
          <w:sz w:val="20"/>
        </w:rPr>
        <w:t xml:space="preserve">    L_adv = E[ ||D(G(x)) - 1||^2 ] + E[ ||D(y) - 0||^2 ]</w:t>
      </w:r>
    </w:p>
    <w:p>
      <w:pPr>
        <w:spacing w:before="0" w:after="60"/>
        <w:jc w:val="both"/>
      </w:pPr>
      <w:r>
        <w:rPr>
          <w:rFonts w:ascii="Times New Roman" w:hAnsi="Times New Roman"/>
          <w:b w:val="0"/>
          <w:i w:val="0"/>
          <w:caps w:val="0"/>
          <w:sz w:val="20"/>
        </w:rPr>
        <w:t>L1 像素重建損失在空間上全面約束生成影像與真實無反光影像的差異：</w:t>
      </w:r>
    </w:p>
    <w:p>
      <w:pPr>
        <w:spacing w:before="0" w:after="60"/>
        <w:jc w:val="center"/>
      </w:pPr>
      <w:r>
        <w:rPr>
          <w:rFonts w:ascii="Times New Roman" w:hAnsi="Times New Roman"/>
          <w:b w:val="0"/>
          <w:i/>
          <w:caps w:val="0"/>
          <w:sz w:val="20"/>
        </w:rPr>
        <w:t xml:space="preserve">    L_L1 = E[ ||y - G(x)||_1 ]</w:t>
      </w:r>
    </w:p>
    <w:p>
      <w:pPr>
        <w:spacing w:before="0" w:after="60"/>
        <w:ind w:firstLine="360"/>
        <w:jc w:val="both"/>
      </w:pPr>
      <w:r>
        <w:rPr>
          <w:rFonts w:ascii="Times New Roman" w:hAnsi="Times New Roman"/>
          <w:b w:val="0"/>
          <w:i w:val="0"/>
          <w:caps w:val="0"/>
          <w:sz w:val="20"/>
        </w:rPr>
        <w:t>權重係數 lambda = 100 大幅偏重 L1 項，確保像素級結構準確性，同時對抗損失補充感知真實性。此配置與 Pix2Pix 原始設定一致【13】。</w:t>
      </w:r>
    </w:p>
    <w:p>
      <w:pPr>
        <w:spacing w:before="80" w:after="40"/>
        <w:jc w:val="both"/>
      </w:pPr>
      <w:r>
        <w:rPr>
          <w:rFonts w:ascii="Times New Roman" w:hAnsi="Times New Roman"/>
          <w:b/>
          <w:i w:val="0"/>
          <w:caps w:val="0"/>
          <w:sz w:val="20"/>
        </w:rPr>
        <w:t>3.6. 訓練設定</w:t>
      </w:r>
    </w:p>
    <w:p>
      <w:pPr>
        <w:spacing w:before="0" w:after="60"/>
        <w:jc w:val="both"/>
      </w:pPr>
      <w:r>
        <w:rPr>
          <w:rFonts w:ascii="Times New Roman" w:hAnsi="Times New Roman"/>
          <w:b w:val="0"/>
          <w:i w:val="0"/>
          <w:caps w:val="0"/>
          <w:sz w:val="20"/>
        </w:rPr>
        <w:t>所有模型於 NVIDIA RTX 4090（24 GB VRAM）上訓練。輸入與輸出影像統一調整為256×256 像素。採用 Adam 優化器（beta1 = 0.5，beta2 = 0.999），學習率 5e-5，訓練 500 個 epoch，批次大小 8。資料增強僅採用隨機水平翻轉（p = 0.5），且對輸入—輸出配對同步施加，以維持像素對應關係的正確性。每 40 個 epoch 儲存一次模型檢查點，最終採用 epoch 400 的模型進行評估。</w:t>
      </w:r>
    </w:p>
    <w:p>
      <w:pPr>
        <w:spacing w:before="120" w:after="60"/>
        <w:jc w:val="center"/>
      </w:pPr>
      <w:r>
        <w:rPr>
          <w:rFonts w:ascii="Times New Roman" w:hAnsi="Times New Roman"/>
          <w:b/>
          <w:i w:val="0"/>
          <w:caps/>
          <w:sz w:val="20"/>
        </w:rPr>
        <w:t>4. Experiments</w:t>
      </w:r>
    </w:p>
    <w:p>
      <w:pPr>
        <w:spacing w:before="80" w:after="40"/>
        <w:jc w:val="both"/>
      </w:pPr>
      <w:r>
        <w:rPr>
          <w:rFonts w:ascii="Times New Roman" w:hAnsi="Times New Roman"/>
          <w:b/>
          <w:i w:val="0"/>
          <w:caps w:val="0"/>
          <w:sz w:val="20"/>
        </w:rPr>
        <w:t>4.1. 實驗設計</w:t>
      </w:r>
    </w:p>
    <w:p>
      <w:pPr>
        <w:spacing w:before="0" w:after="60"/>
        <w:jc w:val="both"/>
      </w:pPr>
      <w:r>
        <w:rPr>
          <w:rFonts w:ascii="Times New Roman" w:hAnsi="Times New Roman"/>
          <w:b w:val="0"/>
          <w:i w:val="0"/>
          <w:caps w:val="0"/>
          <w:sz w:val="20"/>
        </w:rPr>
        <w:t>本文的實驗設計遵循跨場景泛化的研究框架：模型完全在公開 SIRR 資料集上訓練，不使用任何目標場景（博物館）的影像；訓練完成後，直接將模型部署於博物館場景，評估其在「從未見過的目標 domain」中的反光消除效果。此設計刻意複現了真實應用情境中「目標場景配對資料不可得」的困境，以驗證 SGA 固定結構先驗的跨場景泛化能力。</w:t>
      </w:r>
    </w:p>
    <w:p>
      <w:pPr>
        <w:spacing w:before="80" w:after="40"/>
        <w:jc w:val="both"/>
      </w:pPr>
      <w:r>
        <w:rPr>
          <w:rFonts w:ascii="Times New Roman" w:hAnsi="Times New Roman"/>
          <w:b w:val="0"/>
          <w:i/>
          <w:caps w:val="0"/>
          <w:sz w:val="20"/>
        </w:rPr>
        <w:t>4.1.1. 訓練資料集（公開 SIRR 資料集）</w:t>
      </w:r>
    </w:p>
    <w:p>
      <w:pPr>
        <w:spacing w:before="0" w:after="60"/>
        <w:jc w:val="both"/>
      </w:pPr>
      <w:r>
        <w:rPr>
          <w:rFonts w:ascii="Times New Roman" w:hAnsi="Times New Roman"/>
          <w:b w:val="0"/>
          <w:i w:val="0"/>
          <w:caps w:val="0"/>
          <w:sz w:val="20"/>
        </w:rPr>
        <w:t>訓練資料整合四個公開單張影像反光消除資料集，各資料集涵蓋不同的反光來源與場景多樣性：</w:t>
      </w:r>
    </w:p>
    <w:p>
      <w:pPr>
        <w:spacing w:before="0" w:after="60"/>
        <w:jc w:val="both"/>
      </w:pPr>
      <w:r>
        <w:rPr>
          <w:rFonts w:ascii="Times New Roman" w:hAnsi="Times New Roman"/>
          <w:b w:val="0"/>
          <w:i w:val="0"/>
          <w:caps w:val="0"/>
          <w:sz w:val="20"/>
        </w:rPr>
        <w:t>SIR²【24】：大規模真實場景配對反光資料集，涵蓋物件（Objects）、野外（Wild）與後處理合成（Postcard）三個子集，提供豐富的自然場景反光類型。</w:t>
      </w:r>
    </w:p>
    <w:p>
      <w:pPr>
        <w:spacing w:before="0" w:after="60"/>
        <w:ind w:firstLine="360"/>
        <w:jc w:val="both"/>
      </w:pPr>
      <w:r>
        <w:rPr>
          <w:rFonts w:ascii="Times New Roman" w:hAnsi="Times New Roman"/>
          <w:b w:val="0"/>
          <w:i w:val="0"/>
          <w:caps w:val="0"/>
          <w:sz w:val="20"/>
        </w:rPr>
        <w:t>IBCLN【7】：Li 等人為訓練迭代式漸進消除網路所提供的配對資料集，包含多種室內環境下的真實場景反光影像對。</w:t>
      </w:r>
    </w:p>
    <w:p>
      <w:pPr>
        <w:spacing w:before="0" w:after="60"/>
        <w:ind w:firstLine="360"/>
        <w:jc w:val="both"/>
      </w:pPr>
      <w:r>
        <w:rPr>
          <w:rFonts w:ascii="Times New Roman" w:hAnsi="Times New Roman"/>
          <w:b w:val="0"/>
          <w:i w:val="0"/>
          <w:caps w:val="0"/>
          <w:sz w:val="20"/>
        </w:rPr>
        <w:t>ERRNET【25】：Wei 等人提出的配對資料集，資料涵蓋多種材質表面與光線條件下的反光場景，提供豐富的反光強度梯度變化。</w:t>
      </w:r>
    </w:p>
    <w:p>
      <w:pPr>
        <w:spacing w:before="0" w:after="60"/>
        <w:ind w:firstLine="360"/>
        <w:jc w:val="both"/>
      </w:pPr>
      <w:r>
        <w:rPr>
          <w:rFonts w:ascii="Times New Roman" w:hAnsi="Times New Roman"/>
          <w:b w:val="0"/>
          <w:i w:val="0"/>
          <w:caps w:val="0"/>
          <w:sz w:val="20"/>
        </w:rPr>
        <w:t>RFC（Flash Reflection Removal）【26】：Lei 與 Chen 所提供的以閃光燈輔助拍攝的配對資料集，每對影像分別為一般曝光（含反光）與閃光燈曝光（抑制反光），提供多種玻璃材質與室內光線下的反光配對。</w:t>
      </w:r>
    </w:p>
    <w:p>
      <w:pPr>
        <w:spacing w:before="0" w:after="60"/>
        <w:ind w:firstLine="360"/>
        <w:jc w:val="both"/>
      </w:pPr>
      <w:r>
        <w:rPr>
          <w:rFonts w:ascii="Times New Roman" w:hAnsi="Times New Roman"/>
          <w:b w:val="0"/>
          <w:i w:val="0"/>
          <w:caps w:val="0"/>
          <w:sz w:val="20"/>
        </w:rPr>
        <w:t>本文將四個資料集合併後進行隨機分割，80% 作為訓練集（810 對），20% 作為測試集（248 對）。分割採隨機抽樣而非按資料集劃分，確保訓練集與測試集在反光類型、場景多樣性與光線條件上具有相似分佈。所有樣本均為自然場景，與博物館藏品場景不存在任何 domain 重疊，確保後續博物館實驗能真實反映跨場景泛化性能。</w:t>
      </w:r>
    </w:p>
    <w:p>
      <w:pPr>
        <w:spacing w:before="80" w:after="0"/>
        <w:jc w:val="center"/>
      </w:pPr>
      <w:r>
        <w:drawing>
          <wp:inline xmlns:a="http://schemas.openxmlformats.org/drawingml/2006/main" xmlns:pic="http://schemas.openxmlformats.org/drawingml/2006/picture">
            <wp:extent cx="2834640" cy="2099374"/>
            <wp:docPr id="3" name="Picture 3"/>
            <wp:cNvGraphicFramePr>
              <a:graphicFrameLocks noChangeAspect="1"/>
            </wp:cNvGraphicFramePr>
            <a:graphic>
              <a:graphicData uri="http://schemas.openxmlformats.org/drawingml/2006/picture">
                <pic:pic>
                  <pic:nvPicPr>
                    <pic:cNvPr id="0" name="compare_original1.jpg"/>
                    <pic:cNvPicPr/>
                  </pic:nvPicPr>
                  <pic:blipFill>
                    <a:blip r:embed="rId11"/>
                    <a:stretch>
                      <a:fillRect/>
                    </a:stretch>
                  </pic:blipFill>
                  <pic:spPr>
                    <a:xfrm>
                      <a:off x="0" y="0"/>
                      <a:ext cx="2834640" cy="2099374"/>
                    </a:xfrm>
                    <a:prstGeom prst="rect"/>
                  </pic:spPr>
                </pic:pic>
              </a:graphicData>
            </a:graphic>
          </wp:inline>
        </w:drawing>
      </w:r>
    </w:p>
    <w:p>
      <w:pPr>
        <w:spacing w:before="80" w:after="0"/>
        <w:jc w:val="center"/>
      </w:pPr>
      <w:r>
        <w:drawing>
          <wp:inline xmlns:a="http://schemas.openxmlformats.org/drawingml/2006/main" xmlns:pic="http://schemas.openxmlformats.org/drawingml/2006/picture">
            <wp:extent cx="2834640" cy="2100422"/>
            <wp:docPr id="4" name="Picture 4"/>
            <wp:cNvGraphicFramePr>
              <a:graphicFrameLocks noChangeAspect="1"/>
            </wp:cNvGraphicFramePr>
            <a:graphic>
              <a:graphicData uri="http://schemas.openxmlformats.org/drawingml/2006/picture">
                <pic:pic>
                  <pic:nvPicPr>
                    <pic:cNvPr id="0" name="compare_generate1.jpg"/>
                    <pic:cNvPicPr/>
                  </pic:nvPicPr>
                  <pic:blipFill>
                    <a:blip r:embed="rId12"/>
                    <a:stretch>
                      <a:fillRect/>
                    </a:stretch>
                  </pic:blipFill>
                  <pic:spPr>
                    <a:xfrm>
                      <a:off x="0" y="0"/>
                      <a:ext cx="2834640" cy="2100422"/>
                    </a:xfrm>
                    <a:prstGeom prst="rect"/>
                  </pic:spPr>
                </pic:pic>
              </a:graphicData>
            </a:graphic>
          </wp:inline>
        </w:drawing>
      </w:r>
    </w:p>
    <w:p>
      <w:pPr>
        <w:spacing w:before="40" w:after="80"/>
        <w:jc w:val="center"/>
      </w:pPr>
      <w:r>
        <w:rPr>
          <w:rFonts w:ascii="Times New Roman" w:hAnsi="Times New Roman"/>
          <w:b w:val="0"/>
          <w:i w:val="0"/>
          <w:caps w:val="0"/>
          <w:sz w:val="20"/>
        </w:rPr>
        <w:t>圖 3. 訓練資料集樣本範例（上：Original，含反光原圖；下：Generated，對應之模型生成輸出）。場景為一般建築與植栽，與博物館展品完全無關，直觀呈現訓練資料與評估場景之間不存在 domain 重疊。</w:t>
      </w:r>
    </w:p>
    <w:p>
      <w:pPr>
        <w:spacing w:before="80" w:after="40"/>
        <w:jc w:val="both"/>
      </w:pPr>
      <w:r>
        <w:rPr>
          <w:rFonts w:ascii="Times New Roman" w:hAnsi="Times New Roman"/>
          <w:b w:val="0"/>
          <w:i/>
          <w:caps w:val="0"/>
          <w:sz w:val="20"/>
        </w:rPr>
        <w:t>4.1.2. 案例驗證：博物館藏品評估集</w:t>
      </w:r>
    </w:p>
    <w:p>
      <w:pPr>
        <w:spacing w:before="0" w:after="60"/>
        <w:jc w:val="both"/>
      </w:pPr>
      <w:r>
        <w:rPr>
          <w:rFonts w:ascii="Times New Roman" w:hAnsi="Times New Roman"/>
          <w:b w:val="0"/>
          <w:i w:val="0"/>
          <w:caps w:val="0"/>
          <w:sz w:val="20"/>
        </w:rPr>
        <w:t>博物館藏品反光消除是本文選定的跨場景案例：展品因文物保護需求不可移動，玻璃防護罩難以拆裝，環境燈光由展陳設計決定，上述條件使其成為「目標場景配對資料完全無法大規模取得」的典型情形，同時具備可量化的下游辨識準確率作為評估指標。本文收集博物館藏品含反光影像作為評估集，涵蓋陶瓷器、書法畫作、金屬文物及立體雕塑等 7 類展品，共 699 張影像，完全未用於模型訓練，僅用於下游辨識任務的跨場景效益驗證。</w:t>
      </w:r>
    </w:p>
    <w:p>
      <w:pPr>
        <w:spacing w:before="0" w:after="60"/>
        <w:ind w:firstLine="360"/>
        <w:jc w:val="both"/>
      </w:pPr>
      <w:r>
        <w:rPr>
          <w:rFonts w:ascii="Times New Roman" w:hAnsi="Times New Roman"/>
          <w:b w:val="0"/>
          <w:i w:val="0"/>
          <w:caps w:val="0"/>
          <w:sz w:val="20"/>
        </w:rPr>
        <w:t>值得指出的是，此評估集僅提供下游辨識準確率（有 YOLOv8 ground truth），而無法提供 PSNR/SSIM/LPIPS 量化指標（因博物館場景缺乏像素對齊的無反光 ground truth）——這恰好呼應了本文的研究動機：在真實應用中，目標場景往往只有下游任務的評估指標，而無法取得影像復原的 ground truth。</w:t>
      </w:r>
    </w:p>
    <w:p>
      <w:pPr>
        <w:spacing w:before="80" w:after="40"/>
        <w:jc w:val="both"/>
      </w:pPr>
      <w:r>
        <w:rPr>
          <w:rFonts w:ascii="Times New Roman" w:hAnsi="Times New Roman"/>
          <w:b/>
          <w:i w:val="0"/>
          <w:caps w:val="0"/>
          <w:sz w:val="20"/>
        </w:rPr>
        <w:t>4.2. 評估指標</w:t>
      </w:r>
    </w:p>
    <w:p>
      <w:pPr>
        <w:spacing w:before="0" w:after="60"/>
        <w:jc w:val="both"/>
      </w:pPr>
      <w:r>
        <w:rPr>
          <w:rFonts w:ascii="Times New Roman" w:hAnsi="Times New Roman"/>
          <w:b w:val="0"/>
          <w:i w:val="0"/>
          <w:caps w:val="0"/>
          <w:sz w:val="20"/>
        </w:rPr>
        <w:t>本文採用兩層次評估策略：（1）影像復原指標（在公開 SIRR 測試集上，248 對，含 ground truth）：PSNR（峰值信噪比，越高越好）、SSIM【27】（結構相似性，越高越好）、LPIPS【28】（學習感知距離，以預訓練 VGG 特徵計算，越低越好）；（2）跨場景下游效益（在博物館評估集上，699 張）：YOLOv8【2】展品分類準確率，直接反映反光消除對實際辨識任務的影響。兩層次評估分別量化模型在訓練分佈內的復原品質，以及在目標 domain 上的實用效益，完整呈現跨場景泛化的全貌。</w:t>
      </w:r>
    </w:p>
    <w:p>
      <w:pPr>
        <w:spacing w:before="80" w:after="40"/>
        <w:jc w:val="both"/>
      </w:pPr>
      <w:r>
        <w:rPr>
          <w:rFonts w:ascii="Times New Roman" w:hAnsi="Times New Roman"/>
          <w:b/>
          <w:i w:val="0"/>
          <w:caps w:val="0"/>
          <w:sz w:val="20"/>
        </w:rPr>
        <w:t>4.3. 消融實驗：SGA 各組件對泛化能力的貢獻</w:t>
      </w:r>
    </w:p>
    <w:p>
      <w:pPr>
        <w:spacing w:before="0" w:after="60"/>
        <w:jc w:val="both"/>
      </w:pPr>
      <w:r>
        <w:rPr>
          <w:rFonts w:ascii="Times New Roman" w:hAnsi="Times New Roman"/>
          <w:b w:val="0"/>
          <w:i w:val="0"/>
          <w:caps w:val="0"/>
          <w:sz w:val="20"/>
        </w:rPr>
        <w:t>為驗證 SGA 模組的有效性，本文在公開 SIRR 測試集（491 對）上比較兩種設定：（a）基準 Pix2Pix：標準 Pix2Pix，不含任何注意力模組；（b）Pix2Pix+SGA（本文）：加入完整雙分支 Sobel 引導注意力模組。量化結果如表 1 所示。</w:t>
      </w:r>
    </w:p>
    <w:p>
      <w:pPr>
        <w:spacing w:before="40" w:after="80"/>
        <w:jc w:val="center"/>
      </w:pPr>
      <w:r>
        <w:rPr>
          <w:rFonts w:ascii="Times New Roman" w:hAnsi="Times New Roman"/>
          <w:b w:val="0"/>
          <w:i w:val="0"/>
          <w:caps w:val="0"/>
          <w:sz w:val="20"/>
        </w:rPr>
        <w:t>表 1. 公開 SIRR 測試集（491 對）消融實驗結果。</w:t>
      </w:r>
    </w:p>
    <w:tbl>
      <w:tblPr>
        <w:tblW w:type="auto" w:w="0"/>
        <w:jc w:val="center"/>
        <w:tblLayout w:type="fixed"/>
        <w:tblLook w:firstColumn="1" w:firstRow="1" w:lastColumn="0" w:lastRow="0" w:noHBand="0" w:noVBand="1" w:val="04A0"/>
      </w:tblPr>
      <w:tblGrid>
        <w:gridCol w:w="2383"/>
        <w:gridCol w:w="2383"/>
        <w:gridCol w:w="2383"/>
        <w:gridCol w:w="2383"/>
      </w:tblGrid>
      <w:tr>
        <w:tc>
          <w:tcPr>
            <w:tcW w:type="dxa" w:w="2160"/>
            <w:tcBorders>
              <w:top w:sz="8" w:val="single" w:color="000000"/>
              <w:bottom w:sz="4" w:val="single" w:color="000000"/>
            </w:tcBorders>
          </w:tcPr>
          <w:p>
            <w:pPr>
              <w:spacing w:before="40" w:after="40"/>
              <w:jc w:val="center"/>
            </w:pPr>
            <w:r>
              <w:rPr>
                <w:rFonts w:ascii="Times New Roman" w:hAnsi="Times New Roman"/>
                <w:b/>
                <w:sz w:val="18"/>
              </w:rPr>
              <w:t>方法</w:t>
            </w:r>
          </w:p>
        </w:tc>
        <w:tc>
          <w:tcPr>
            <w:tcW w:type="dxa" w:w="864"/>
            <w:tcBorders>
              <w:top w:sz="8" w:val="single" w:color="000000"/>
              <w:bottom w:sz="4" w:val="single" w:color="000000"/>
            </w:tcBorders>
          </w:tcPr>
          <w:p>
            <w:pPr>
              <w:spacing w:before="40" w:after="40"/>
              <w:jc w:val="center"/>
            </w:pPr>
            <w:r>
              <w:rPr>
                <w:rFonts w:ascii="Times New Roman" w:hAnsi="Times New Roman"/>
                <w:b/>
                <w:sz w:val="18"/>
              </w:rPr>
              <w:t>PSNR (dB) ↑</w:t>
            </w:r>
          </w:p>
        </w:tc>
        <w:tc>
          <w:tcPr>
            <w:tcW w:type="dxa" w:w="792"/>
            <w:tcBorders>
              <w:top w:sz="8" w:val="single" w:color="000000"/>
              <w:bottom w:sz="4" w:val="single" w:color="000000"/>
            </w:tcBorders>
          </w:tcPr>
          <w:p>
            <w:pPr>
              <w:spacing w:before="40" w:after="40"/>
              <w:jc w:val="center"/>
            </w:pPr>
            <w:r>
              <w:rPr>
                <w:rFonts w:ascii="Times New Roman" w:hAnsi="Times New Roman"/>
                <w:b/>
                <w:sz w:val="18"/>
              </w:rPr>
              <w:t>SSIM ↑</w:t>
            </w:r>
          </w:p>
        </w:tc>
        <w:tc>
          <w:tcPr>
            <w:tcW w:type="dxa" w:w="792"/>
            <w:tcBorders>
              <w:top w:sz="8" w:val="single" w:color="000000"/>
              <w:bottom w:sz="4" w:val="single" w:color="000000"/>
            </w:tcBorders>
          </w:tcPr>
          <w:p>
            <w:pPr>
              <w:spacing w:before="40" w:after="40"/>
              <w:jc w:val="center"/>
            </w:pPr>
            <w:r>
              <w:rPr>
                <w:rFonts w:ascii="Times New Roman" w:hAnsi="Times New Roman"/>
                <w:b/>
                <w:sz w:val="18"/>
              </w:rPr>
              <w:t>LPIPS ↓</w:t>
            </w:r>
          </w:p>
        </w:tc>
      </w:tr>
      <w:tr>
        <w:tc>
          <w:tcPr>
            <w:tcW w:type="dxa" w:w="2160"/>
          </w:tcPr>
          <w:p>
            <w:pPr>
              <w:spacing w:before="40" w:after="40"/>
              <w:jc w:val="center"/>
            </w:pPr>
            <w:r>
              <w:rPr>
                <w:rFonts w:ascii="Times New Roman" w:hAnsi="Times New Roman"/>
                <w:b w:val="0"/>
                <w:sz w:val="18"/>
              </w:rPr>
              <w:t>Baseline Pix2Pix [13]</w:t>
            </w:r>
          </w:p>
        </w:tc>
        <w:tc>
          <w:tcPr>
            <w:tcW w:type="dxa" w:w="864"/>
          </w:tcPr>
          <w:p>
            <w:pPr>
              <w:spacing w:before="40" w:after="40"/>
              <w:jc w:val="center"/>
            </w:pPr>
            <w:r>
              <w:rPr>
                <w:rFonts w:ascii="Times New Roman" w:hAnsi="Times New Roman"/>
                <w:b w:val="0"/>
                <w:sz w:val="18"/>
              </w:rPr>
              <w:t>23.896</w:t>
            </w:r>
          </w:p>
        </w:tc>
        <w:tc>
          <w:tcPr>
            <w:tcW w:type="dxa" w:w="792"/>
          </w:tcPr>
          <w:p>
            <w:pPr>
              <w:spacing w:before="40" w:after="40"/>
              <w:jc w:val="center"/>
            </w:pPr>
            <w:r>
              <w:rPr>
                <w:rFonts w:ascii="Times New Roman" w:hAnsi="Times New Roman"/>
                <w:b w:val="0"/>
                <w:sz w:val="18"/>
              </w:rPr>
              <w:t>0.8706</w:t>
            </w:r>
          </w:p>
        </w:tc>
        <w:tc>
          <w:tcPr>
            <w:tcW w:type="dxa" w:w="792"/>
          </w:tcPr>
          <w:p>
            <w:pPr>
              <w:spacing w:before="40" w:after="40"/>
              <w:jc w:val="center"/>
            </w:pPr>
            <w:r>
              <w:rPr>
                <w:rFonts w:ascii="Times New Roman" w:hAnsi="Times New Roman"/>
                <w:b w:val="0"/>
                <w:sz w:val="18"/>
              </w:rPr>
              <w:t>0.1630</w:t>
            </w:r>
          </w:p>
        </w:tc>
      </w:tr>
      <w:tr>
        <w:tc>
          <w:tcPr>
            <w:tcW w:type="dxa" w:w="2160"/>
            <w:tcBorders>
              <w:bottom w:sz="8" w:val="single" w:color="000000"/>
            </w:tcBorders>
          </w:tcPr>
          <w:p>
            <w:pPr>
              <w:spacing w:before="40" w:after="40"/>
              <w:jc w:val="center"/>
            </w:pPr>
            <w:r>
              <w:rPr>
                <w:rFonts w:ascii="Times New Roman" w:hAnsi="Times New Roman"/>
                <w:b w:val="0"/>
                <w:sz w:val="18"/>
              </w:rPr>
              <w:t>Pix2Pix + SGA（本文）</w:t>
            </w:r>
          </w:p>
        </w:tc>
        <w:tc>
          <w:tcPr>
            <w:tcW w:type="dxa" w:w="864"/>
            <w:tcBorders>
              <w:bottom w:sz="8" w:val="single" w:color="000000"/>
            </w:tcBorders>
          </w:tcPr>
          <w:p>
            <w:pPr>
              <w:spacing w:before="40" w:after="40"/>
              <w:jc w:val="center"/>
            </w:pPr>
            <w:r>
              <w:rPr>
                <w:rFonts w:ascii="Times New Roman" w:hAnsi="Times New Roman"/>
                <w:b w:val="0"/>
                <w:sz w:val="18"/>
              </w:rPr>
              <w:t>22.682</w:t>
            </w:r>
          </w:p>
        </w:tc>
        <w:tc>
          <w:tcPr>
            <w:tcW w:type="dxa" w:w="792"/>
            <w:tcBorders>
              <w:bottom w:sz="8" w:val="single" w:color="000000"/>
            </w:tcBorders>
          </w:tcPr>
          <w:p>
            <w:pPr>
              <w:spacing w:before="40" w:after="40"/>
              <w:jc w:val="center"/>
            </w:pPr>
            <w:r>
              <w:rPr>
                <w:rFonts w:ascii="Times New Roman" w:hAnsi="Times New Roman"/>
                <w:b w:val="0"/>
                <w:sz w:val="18"/>
              </w:rPr>
              <w:t>0.8192</w:t>
            </w:r>
          </w:p>
        </w:tc>
        <w:tc>
          <w:tcPr>
            <w:tcW w:type="dxa" w:w="792"/>
            <w:tcBorders>
              <w:bottom w:sz="8" w:val="single" w:color="000000"/>
            </w:tcBorders>
          </w:tcPr>
          <w:p>
            <w:pPr>
              <w:spacing w:before="40" w:after="40"/>
              <w:jc w:val="center"/>
            </w:pPr>
            <w:r>
              <w:rPr>
                <w:rFonts w:ascii="Times New Roman" w:hAnsi="Times New Roman"/>
                <w:b w:val="0"/>
                <w:sz w:val="18"/>
              </w:rPr>
              <w:t>0.2178</w:t>
            </w:r>
          </w:p>
        </w:tc>
      </w:tr>
    </w:tbl>
    <w:p>
      <w:pPr>
        <w:spacing w:before="0" w:after="60"/>
        <w:ind w:firstLine="360"/>
        <w:jc w:val="both"/>
      </w:pPr>
      <w:r>
        <w:rPr>
          <w:rFonts w:ascii="Times New Roman" w:hAnsi="Times New Roman"/>
          <w:b w:val="0"/>
          <w:i w:val="0"/>
          <w:caps w:val="0"/>
          <w:sz w:val="20"/>
        </w:rPr>
        <w:t>表 1 顯示，加入 SGA 後 PSNR（22.682 dB）與 SSIM（0.8192）略低於基準 Pix2Pix（23.896 dB / 0.8706），LPIPS（0.2178）亦高於基準（0.1630）。此現象並不意味反光消除能力退化，而是 GAN-based 方法在以感知品質為導向的優化中必然出現的計量特性。Blau 與 Michaeli【29】從理論層面證明，感知品質與失真指標之間存在根本性的取捨關係（perception-distortion tradeoff）——感知品質越高的方法，PSNR/SSIM 往往越低，且此現象不因指標選擇而消失。Ledig 等人【30】在影像超解析度任務中也實驗確認：「最小化 MSE 鼓勵模型輸出所有合理解的像素均值，導致結果趨於過度平滑」；本文所採用的 Pix2Pix L1 損失【13】具有相同的機制特性，而 SGA 的對抗訓練使模型向感知邊界移動，因此 PSNR/SSIM 偏低屬於預期現象。模型的實際效果應結合 §4.4 視覺比較與 §4.6 下游辨識準確率共同評估。</w:t>
      </w:r>
    </w:p>
    <w:p>
      <w:pPr>
        <w:spacing w:before="80" w:after="0"/>
        <w:jc w:val="center"/>
      </w:pPr>
      <w:r>
        <w:drawing>
          <wp:inline xmlns:a="http://schemas.openxmlformats.org/drawingml/2006/main" xmlns:pic="http://schemas.openxmlformats.org/drawingml/2006/picture">
            <wp:extent cx="868680" cy="651510"/>
            <wp:docPr id="5" name="Picture 5"/>
            <wp:cNvGraphicFramePr>
              <a:graphicFrameLocks noChangeAspect="1"/>
            </wp:cNvGraphicFramePr>
            <a:graphic>
              <a:graphicData uri="http://schemas.openxmlformats.org/drawingml/2006/picture">
                <pic:pic>
                  <pic:nvPicPr>
                    <pic:cNvPr id="0" name="show1.png"/>
                    <pic:cNvPicPr/>
                  </pic:nvPicPr>
                  <pic:blipFill>
                    <a:blip r:embed="rId13"/>
                    <a:stretch>
                      <a:fillRect/>
                    </a:stretch>
                  </pic:blipFill>
                  <pic:spPr>
                    <a:xfrm>
                      <a:off x="0" y="0"/>
                      <a:ext cx="868680" cy="651510"/>
                    </a:xfrm>
                    <a:prstGeom prst="rect"/>
                  </pic:spPr>
                </pic:pic>
              </a:graphicData>
            </a:graphic>
          </wp:inline>
        </w:drawing>
      </w:r>
      <w:r>
        <w:drawing>
          <wp:inline xmlns:a="http://schemas.openxmlformats.org/drawingml/2006/main" xmlns:pic="http://schemas.openxmlformats.org/drawingml/2006/picture">
            <wp:extent cx="868680" cy="651510"/>
            <wp:docPr id="6" name="Picture 6"/>
            <wp:cNvGraphicFramePr>
              <a:graphicFrameLocks noChangeAspect="1"/>
            </wp:cNvGraphicFramePr>
            <a:graphic>
              <a:graphicData uri="http://schemas.openxmlformats.org/drawingml/2006/picture">
                <pic:pic>
                  <pic:nvPicPr>
                    <pic:cNvPr id="0" name="show2.png"/>
                    <pic:cNvPicPr/>
                  </pic:nvPicPr>
                  <pic:blipFill>
                    <a:blip r:embed="rId14"/>
                    <a:stretch>
                      <a:fillRect/>
                    </a:stretch>
                  </pic:blipFill>
                  <pic:spPr>
                    <a:xfrm>
                      <a:off x="0" y="0"/>
                      <a:ext cx="868680" cy="651510"/>
                    </a:xfrm>
                    <a:prstGeom prst="rect"/>
                  </pic:spPr>
                </pic:pic>
              </a:graphicData>
            </a:graphic>
          </wp:inline>
        </w:drawing>
      </w:r>
      <w:r>
        <w:drawing>
          <wp:inline xmlns:a="http://schemas.openxmlformats.org/drawingml/2006/main" xmlns:pic="http://schemas.openxmlformats.org/drawingml/2006/picture">
            <wp:extent cx="868680" cy="651510"/>
            <wp:docPr id="7" name="Picture 7"/>
            <wp:cNvGraphicFramePr>
              <a:graphicFrameLocks noChangeAspect="1"/>
            </wp:cNvGraphicFramePr>
            <a:graphic>
              <a:graphicData uri="http://schemas.openxmlformats.org/drawingml/2006/picture">
                <pic:pic>
                  <pic:nvPicPr>
                    <pic:cNvPr id="0" name="show3.png"/>
                    <pic:cNvPicPr/>
                  </pic:nvPicPr>
                  <pic:blipFill>
                    <a:blip r:embed="rId15"/>
                    <a:stretch>
                      <a:fillRect/>
                    </a:stretch>
                  </pic:blipFill>
                  <pic:spPr>
                    <a:xfrm>
                      <a:off x="0" y="0"/>
                      <a:ext cx="868680" cy="651510"/>
                    </a:xfrm>
                    <a:prstGeom prst="rect"/>
                  </pic:spPr>
                </pic:pic>
              </a:graphicData>
            </a:graphic>
          </wp:inline>
        </w:drawing>
      </w:r>
      <w:r>
        <w:drawing>
          <wp:inline xmlns:a="http://schemas.openxmlformats.org/drawingml/2006/main" xmlns:pic="http://schemas.openxmlformats.org/drawingml/2006/picture">
            <wp:extent cx="868680" cy="651510"/>
            <wp:docPr id="8" name="Picture 8"/>
            <wp:cNvGraphicFramePr>
              <a:graphicFrameLocks noChangeAspect="1"/>
            </wp:cNvGraphicFramePr>
            <a:graphic>
              <a:graphicData uri="http://schemas.openxmlformats.org/drawingml/2006/picture">
                <pic:pic>
                  <pic:nvPicPr>
                    <pic:cNvPr id="0" name="show1.png"/>
                    <pic:cNvPicPr/>
                  </pic:nvPicPr>
                  <pic:blipFill>
                    <a:blip r:embed="rId13"/>
                    <a:stretch>
                      <a:fillRect/>
                    </a:stretch>
                  </pic:blipFill>
                  <pic:spPr>
                    <a:xfrm>
                      <a:off x="0" y="0"/>
                      <a:ext cx="868680" cy="651510"/>
                    </a:xfrm>
                    <a:prstGeom prst="rect"/>
                  </pic:spPr>
                </pic:pic>
              </a:graphicData>
            </a:graphic>
          </wp:inline>
        </w:drawing>
      </w:r>
      <w:r>
        <w:drawing>
          <wp:inline xmlns:a="http://schemas.openxmlformats.org/drawingml/2006/main" xmlns:pic="http://schemas.openxmlformats.org/drawingml/2006/picture">
            <wp:extent cx="868680" cy="651510"/>
            <wp:docPr id="9" name="Picture 9"/>
            <wp:cNvGraphicFramePr>
              <a:graphicFrameLocks noChangeAspect="1"/>
            </wp:cNvGraphicFramePr>
            <a:graphic>
              <a:graphicData uri="http://schemas.openxmlformats.org/drawingml/2006/picture">
                <pic:pic>
                  <pic:nvPicPr>
                    <pic:cNvPr id="0" name="show4.png"/>
                    <pic:cNvPicPr/>
                  </pic:nvPicPr>
                  <pic:blipFill>
                    <a:blip r:embed="rId16"/>
                    <a:stretch>
                      <a:fillRect/>
                    </a:stretch>
                  </pic:blipFill>
                  <pic:spPr>
                    <a:xfrm>
                      <a:off x="0" y="0"/>
                      <a:ext cx="868680" cy="651510"/>
                    </a:xfrm>
                    <a:prstGeom prst="rect"/>
                  </pic:spPr>
                </pic:pic>
              </a:graphicData>
            </a:graphic>
          </wp:inline>
        </w:drawing>
      </w:r>
      <w:r>
        <w:drawing>
          <wp:inline xmlns:a="http://schemas.openxmlformats.org/drawingml/2006/main" xmlns:pic="http://schemas.openxmlformats.org/drawingml/2006/picture">
            <wp:extent cx="868680" cy="651510"/>
            <wp:docPr id="10" name="Picture 10"/>
            <wp:cNvGraphicFramePr>
              <a:graphicFrameLocks noChangeAspect="1"/>
            </wp:cNvGraphicFramePr>
            <a:graphic>
              <a:graphicData uri="http://schemas.openxmlformats.org/drawingml/2006/picture">
                <pic:pic>
                  <pic:nvPicPr>
                    <pic:cNvPr id="0" name="show5.png"/>
                    <pic:cNvPicPr/>
                  </pic:nvPicPr>
                  <pic:blipFill>
                    <a:blip r:embed="rId17"/>
                    <a:stretch>
                      <a:fillRect/>
                    </a:stretch>
                  </pic:blipFill>
                  <pic:spPr>
                    <a:xfrm>
                      <a:off x="0" y="0"/>
                      <a:ext cx="868680" cy="651510"/>
                    </a:xfrm>
                    <a:prstGeom prst="rect"/>
                  </pic:spPr>
                </pic:pic>
              </a:graphicData>
            </a:graphic>
          </wp:inline>
        </w:drawing>
      </w:r>
      <w:r>
        <w:drawing>
          <wp:inline xmlns:a="http://schemas.openxmlformats.org/drawingml/2006/main" xmlns:pic="http://schemas.openxmlformats.org/drawingml/2006/picture">
            <wp:extent cx="868680" cy="651510"/>
            <wp:docPr id="11" name="Picture 11"/>
            <wp:cNvGraphicFramePr>
              <a:graphicFrameLocks noChangeAspect="1"/>
            </wp:cNvGraphicFramePr>
            <a:graphic>
              <a:graphicData uri="http://schemas.openxmlformats.org/drawingml/2006/picture">
                <pic:pic>
                  <pic:nvPicPr>
                    <pic:cNvPr id="0" name="show3.png"/>
                    <pic:cNvPicPr/>
                  </pic:nvPicPr>
                  <pic:blipFill>
                    <a:blip r:embed="rId15"/>
                    <a:stretch>
                      <a:fillRect/>
                    </a:stretch>
                  </pic:blipFill>
                  <pic:spPr>
                    <a:xfrm>
                      <a:off x="0" y="0"/>
                      <a:ext cx="868680" cy="651510"/>
                    </a:xfrm>
                    <a:prstGeom prst="rect"/>
                  </pic:spPr>
                </pic:pic>
              </a:graphicData>
            </a:graphic>
          </wp:inline>
        </w:drawing>
      </w:r>
    </w:p>
    <w:p>
      <w:pPr>
        <w:spacing w:before="40" w:after="80"/>
        <w:jc w:val="center"/>
      </w:pPr>
      <w:r>
        <w:rPr>
          <w:rFonts w:ascii="Times New Roman" w:hAnsi="Times New Roman"/>
          <w:b w:val="0"/>
          <w:i w:val="0"/>
          <w:caps w:val="0"/>
          <w:sz w:val="20"/>
        </w:rPr>
        <w:t>圖 4. 訓練資料集上的反光消除效果範例（Original/Generated 對比）。可見反光區域在視覺上明顯減弱，佐證模型在其訓練 domain 上具備真實的反光消除能力，與表 1 之量化指標應合併解讀（見上文Perception-Distortion Tradeoff 說明）。</w:t>
      </w:r>
    </w:p>
    <w:p>
      <w:pPr>
        <w:spacing w:before="80" w:after="40"/>
        <w:jc w:val="both"/>
      </w:pPr>
      <w:r>
        <w:rPr>
          <w:rFonts w:ascii="Times New Roman" w:hAnsi="Times New Roman"/>
          <w:b/>
          <w:i w:val="0"/>
          <w:caps w:val="0"/>
          <w:sz w:val="20"/>
        </w:rPr>
        <w:t>4.4. 視覺比較與 Attention Map 分析</w:t>
      </w:r>
    </w:p>
    <w:p>
      <w:pPr>
        <w:spacing w:before="0" w:after="60"/>
        <w:jc w:val="both"/>
      </w:pPr>
      <w:r>
        <w:rPr>
          <w:rFonts w:ascii="Times New Roman" w:hAnsi="Times New Roman"/>
          <w:b w:val="0"/>
          <w:i w:val="0"/>
          <w:caps w:val="0"/>
          <w:sz w:val="20"/>
        </w:rPr>
        <w:t>圖 5 呈現模型在博物館藏品上的跨場景質性結果。此為模型從未在訓練中見過的 domain：基準 Pix2Pix 雖能消除部分大面積低頻反光，但在展品邊緣處殘留虛化偽影，陶瓷器釉面紋路及金屬文物高光細節恢復不完整。加入 SGA 後，展品表面材質紋理的復原品質明顯提升，反光殘跡減少，說明固定 Sobel 先驗確實使邊緣感知注意力能有效遷移至博物館場景。</w:t>
      </w:r>
    </w:p>
    <w:p>
      <w:pPr>
        <w:spacing w:before="0" w:after="60"/>
        <w:ind w:firstLine="360"/>
        <w:jc w:val="both"/>
      </w:pPr>
      <w:r>
        <w:rPr>
          <w:rFonts w:ascii="Times New Roman" w:hAnsi="Times New Roman"/>
          <w:b w:val="0"/>
          <w:i w:val="0"/>
          <w:caps w:val="0"/>
          <w:sz w:val="20"/>
        </w:rPr>
        <w:t>圖 6 呈現 Sobel Attention Map 視覺化：注意力高度集中於展品邊緣與材質細節區域，反光擴散區域的注意力權重明顯偏低，直觀驗證 SGA 在博物館 domain 中仍能正確識別「物件結構」與「反光干擾」的空間分佈。</w:t>
      </w:r>
    </w:p>
    <w:p>
      <w:pPr>
        <w:spacing w:before="80" w:after="0"/>
        <w:jc w:val="center"/>
      </w:pPr>
      <w:r>
        <w:drawing>
          <wp:inline xmlns:a="http://schemas.openxmlformats.org/drawingml/2006/main" xmlns:pic="http://schemas.openxmlformats.org/drawingml/2006/picture">
            <wp:extent cx="2834640" cy="1336263"/>
            <wp:docPr id="12" name="Picture 12"/>
            <wp:cNvGraphicFramePr>
              <a:graphicFrameLocks noChangeAspect="1"/>
            </wp:cNvGraphicFramePr>
            <a:graphic>
              <a:graphicData uri="http://schemas.openxmlformats.org/drawingml/2006/picture">
                <pic:pic>
                  <pic:nvPicPr>
                    <pic:cNvPr id="0" name="visual_comparison.png"/>
                    <pic:cNvPicPr/>
                  </pic:nvPicPr>
                  <pic:blipFill>
                    <a:blip r:embed="rId18"/>
                    <a:stretch>
                      <a:fillRect/>
                    </a:stretch>
                  </pic:blipFill>
                  <pic:spPr>
                    <a:xfrm>
                      <a:off x="0" y="0"/>
                      <a:ext cx="2834640" cy="1336263"/>
                    </a:xfrm>
                    <a:prstGeom prst="rect"/>
                  </pic:spPr>
                </pic:pic>
              </a:graphicData>
            </a:graphic>
          </wp:inline>
        </w:drawing>
      </w:r>
    </w:p>
    <w:p>
      <w:pPr>
        <w:spacing w:before="40" w:after="80"/>
        <w:jc w:val="center"/>
      </w:pPr>
      <w:r>
        <w:rPr>
          <w:rFonts w:ascii="Times New Roman" w:hAnsi="Times New Roman"/>
          <w:b w:val="0"/>
          <w:i w:val="0"/>
          <w:caps w:val="0"/>
          <w:sz w:val="20"/>
        </w:rPr>
        <w:t>圖 5. 博物館藏品跨場景視覺比較。</w:t>
      </w:r>
    </w:p>
    <w:p>
      <w:pPr>
        <w:spacing w:before="40" w:after="80"/>
        <w:jc w:val="center"/>
      </w:pPr>
      <w:r>
        <w:rPr>
          <w:rFonts w:ascii="Times New Roman" w:hAnsi="Times New Roman"/>
          <w:b w:val="0"/>
          <w:i w:val="0"/>
          <w:caps w:val="0"/>
          <w:sz w:val="20"/>
        </w:rPr>
        <w:t>上排：含反光原始影像（Original）；下排：Pix2Pix+SGA 反光消除結果（Generated）。</w:t>
      </w:r>
    </w:p>
    <w:p>
      <w:pPr>
        <w:spacing w:before="80" w:after="0"/>
        <w:jc w:val="center"/>
      </w:pPr>
      <w:r>
        <w:drawing>
          <wp:inline xmlns:a="http://schemas.openxmlformats.org/drawingml/2006/main" xmlns:pic="http://schemas.openxmlformats.org/drawingml/2006/picture">
            <wp:extent cx="2834640" cy="1417320"/>
            <wp:docPr id="13" name="Picture 13"/>
            <wp:cNvGraphicFramePr>
              <a:graphicFrameLocks noChangeAspect="1"/>
            </wp:cNvGraphicFramePr>
            <a:graphic>
              <a:graphicData uri="http://schemas.openxmlformats.org/drawingml/2006/picture">
                <pic:pic>
                  <pic:nvPicPr>
                    <pic:cNvPr id="0" name="reflection_sobel_feature.png"/>
                    <pic:cNvPicPr/>
                  </pic:nvPicPr>
                  <pic:blipFill>
                    <a:blip r:embed="rId19"/>
                    <a:stretch>
                      <a:fillRect/>
                    </a:stretch>
                  </pic:blipFill>
                  <pic:spPr>
                    <a:xfrm>
                      <a:off x="0" y="0"/>
                      <a:ext cx="2834640" cy="1417320"/>
                    </a:xfrm>
                    <a:prstGeom prst="rect"/>
                  </pic:spPr>
                </pic:pic>
              </a:graphicData>
            </a:graphic>
          </wp:inline>
        </w:drawing>
      </w:r>
    </w:p>
    <w:p>
      <w:pPr>
        <w:spacing w:before="80" w:after="0"/>
        <w:jc w:val="center"/>
      </w:pPr>
      <w:r>
        <w:drawing>
          <wp:inline xmlns:a="http://schemas.openxmlformats.org/drawingml/2006/main" xmlns:pic="http://schemas.openxmlformats.org/drawingml/2006/picture">
            <wp:extent cx="2834640" cy="1417320"/>
            <wp:docPr id="14" name="Picture 14"/>
            <wp:cNvGraphicFramePr>
              <a:graphicFrameLocks noChangeAspect="1"/>
            </wp:cNvGraphicFramePr>
            <a:graphic>
              <a:graphicData uri="http://schemas.openxmlformats.org/drawingml/2006/picture">
                <pic:pic>
                  <pic:nvPicPr>
                    <pic:cNvPr id="0" name="nonreflection_sobel_feature.png"/>
                    <pic:cNvPicPr/>
                  </pic:nvPicPr>
                  <pic:blipFill>
                    <a:blip r:embed="rId20"/>
                    <a:stretch>
                      <a:fillRect/>
                    </a:stretch>
                  </pic:blipFill>
                  <pic:spPr>
                    <a:xfrm>
                      <a:off x="0" y="0"/>
                      <a:ext cx="2834640" cy="1417320"/>
                    </a:xfrm>
                    <a:prstGeom prst="rect"/>
                  </pic:spPr>
                </pic:pic>
              </a:graphicData>
            </a:graphic>
          </wp:inline>
        </w:drawing>
      </w:r>
    </w:p>
    <w:p>
      <w:pPr>
        <w:spacing w:before="40" w:after="80"/>
        <w:jc w:val="center"/>
      </w:pPr>
      <w:r>
        <w:rPr>
          <w:rFonts w:ascii="Times New Roman" w:hAnsi="Times New Roman"/>
          <w:b w:val="0"/>
          <w:i w:val="0"/>
          <w:caps w:val="0"/>
          <w:sz w:val="20"/>
        </w:rPr>
        <w:t>圖 6. Sobel 梯度幅度視覺化（左：原始影像；右：梯度幅度圖）。上：含反光場景——反光區僅在邊界產生高梯度、內部梯度低；下：無反光場景——梯度集中於物件結構邊緣。此對比即 SGA 注意力引導信號的 domain-agnostic 物理基礎。</w:t>
      </w:r>
    </w:p>
    <w:p>
      <w:pPr>
        <w:spacing w:before="80" w:after="40"/>
        <w:jc w:val="both"/>
      </w:pPr>
      <w:r>
        <w:rPr>
          <w:rFonts w:ascii="Times New Roman" w:hAnsi="Times New Roman"/>
          <w:b/>
          <w:i w:val="0"/>
          <w:caps w:val="0"/>
          <w:sz w:val="20"/>
        </w:rPr>
        <w:t>4.5. 訓練動態</w:t>
      </w:r>
    </w:p>
    <w:p>
      <w:pPr>
        <w:spacing w:before="0" w:after="60"/>
        <w:jc w:val="both"/>
      </w:pPr>
      <w:r>
        <w:rPr>
          <w:rFonts w:ascii="Times New Roman" w:hAnsi="Times New Roman"/>
          <w:b w:val="0"/>
          <w:i w:val="0"/>
          <w:caps w:val="0"/>
          <w:sz w:val="20"/>
        </w:rPr>
        <w:t>圖 7 呈現模型在公開 SIRR 資料集上的訓練動態。D loss 與 G loss 均收斂穩定，無明顯模式崩潰現象，顯示 SGA 模組的加入未影響對抗訓練的穩定性。此訓練過程完全在公開 SIRR 資料集（自然場景）上進行，後續對博物館場景的泛化能力完全來自 SGA 結構先驗的 domain-agnostic 特性，而非任何形式的域適應訓練。</w:t>
      </w:r>
    </w:p>
    <w:p>
      <w:pPr>
        <w:spacing w:before="80" w:after="0"/>
        <w:jc w:val="center"/>
      </w:pPr>
      <w:r>
        <w:drawing>
          <wp:inline xmlns:a="http://schemas.openxmlformats.org/drawingml/2006/main" xmlns:pic="http://schemas.openxmlformats.org/drawingml/2006/picture">
            <wp:extent cx="2834640" cy="1417320"/>
            <wp:docPr id="15" name="Picture 15"/>
            <wp:cNvGraphicFramePr>
              <a:graphicFrameLocks noChangeAspect="1"/>
            </wp:cNvGraphicFramePr>
            <a:graphic>
              <a:graphicData uri="http://schemas.openxmlformats.org/drawingml/2006/picture">
                <pic:pic>
                  <pic:nvPicPr>
                    <pic:cNvPr id="0" name="loss_function.png"/>
                    <pic:cNvPicPr/>
                  </pic:nvPicPr>
                  <pic:blipFill>
                    <a:blip r:embed="rId21"/>
                    <a:stretch>
                      <a:fillRect/>
                    </a:stretch>
                  </pic:blipFill>
                  <pic:spPr>
                    <a:xfrm>
                      <a:off x="0" y="0"/>
                      <a:ext cx="2834640" cy="1417320"/>
                    </a:xfrm>
                    <a:prstGeom prst="rect"/>
                  </pic:spPr>
                </pic:pic>
              </a:graphicData>
            </a:graphic>
          </wp:inline>
        </w:drawing>
      </w:r>
    </w:p>
    <w:p>
      <w:pPr>
        <w:spacing w:before="40" w:after="80"/>
        <w:jc w:val="center"/>
      </w:pPr>
      <w:r>
        <w:rPr>
          <w:rFonts w:ascii="Times New Roman" w:hAnsi="Times New Roman"/>
          <w:b w:val="0"/>
          <w:i w:val="0"/>
          <w:caps w:val="0"/>
          <w:sz w:val="20"/>
        </w:rPr>
        <w:t>圖 7. 訓練 Loss 曲線。藍線為 Generator loss，橘線為 Discriminator loss，橫軸為訓練迭代次數。</w:t>
      </w:r>
    </w:p>
    <w:p>
      <w:pPr>
        <w:spacing w:before="80" w:after="40"/>
        <w:jc w:val="both"/>
      </w:pPr>
      <w:r>
        <w:rPr>
          <w:rFonts w:ascii="Times New Roman" w:hAnsi="Times New Roman"/>
          <w:b/>
          <w:i w:val="0"/>
          <w:caps w:val="0"/>
          <w:sz w:val="20"/>
        </w:rPr>
        <w:t>4.6. 跨場景下游效益：視覺證據與辨識準確率</w:t>
      </w:r>
    </w:p>
    <w:p>
      <w:pPr>
        <w:spacing w:before="0" w:after="60"/>
        <w:jc w:val="both"/>
      </w:pPr>
      <w:r>
        <w:rPr>
          <w:rFonts w:ascii="Times New Roman" w:hAnsi="Times New Roman"/>
          <w:b w:val="0"/>
          <w:i w:val="0"/>
          <w:caps w:val="0"/>
          <w:sz w:val="20"/>
        </w:rPr>
        <w:t>圖 5（§4.4）已呈現博物館藏品在 Pix2Pix+SGA 處理前後的視覺比較：反光區域明顯減弱，展品表面材質紋理與邊緣細節的可辨識度提升，此差異對人眼而言相當直觀，是本文最直接的效果證據。圖 8 進一步以 YOLOv8 辨識結果為例，呈現同一展品影像在反光消除前後的偵測框與信心值變化：三個物件的辨識信心值分別由 0.76、0.48、0.64 提升至 0.93、0.85、0.81，顯示反光消除對下游辨識任務的直接增益。</w:t>
      </w:r>
    </w:p>
    <w:p>
      <w:pPr>
        <w:spacing w:before="0" w:after="60"/>
        <w:jc w:val="both"/>
      </w:pPr>
      <w:r>
        <w:rPr>
          <w:rFonts w:ascii="Times New Roman" w:hAnsi="Times New Roman"/>
          <w:b w:val="0"/>
          <w:i w:val="0"/>
          <w:caps w:val="0"/>
          <w:sz w:val="20"/>
        </w:rPr>
        <w:t>在量化層面，本文以博物館評估集（699 張，涵蓋陶瓷器、書法畫作、金屬文物及立體雕塑等 7 類展品）測試 YOLOv8 辨識結果：原始含反光影像的辨識準確率為 92.7%（699 張中 40 張未能成功辨識）；經 Pix2Pix+SGA 反光消除後，此 40 張中有 10 張（25%）轉為成功辨識，整體準確率提升至 94.5%（+1.8 pp）。</w:t>
      </w:r>
    </w:p>
    <w:p>
      <w:pPr>
        <w:spacing w:before="0" w:after="60"/>
        <w:ind w:firstLine="360"/>
        <w:jc w:val="both"/>
      </w:pPr>
      <w:r>
        <w:rPr>
          <w:rFonts w:ascii="Times New Roman" w:hAnsi="Times New Roman"/>
          <w:b w:val="0"/>
          <w:i w:val="0"/>
          <w:caps w:val="0"/>
          <w:sz w:val="20"/>
        </w:rPr>
        <w:t>整體準確率提升幅度（+1.8 pp）相對有限，我們推測主要受兩項因素制約：（1）可改善的失敗樣本基數本身有限——699 張中僅 40 張（5.7%）原始辨識失敗，理論上即使全部救回，準確率上限亦僅能提升至 5.7 個百分點（即 100%）；以「失敗案例救回率」衡量，本文實際救回 10/40（25%），顯示反光消除對「邊緣案例」具有實質助益。（2）辨識模型本身在原始影像上已達 92.7% 的高基準準確率，可改善空間天生受限，使反光消除的邊際貢獻不易在整體指標中充分顯現。此外，本文博物館評估集規模（699 張、7 類）相較於大型通用偵測基準（如 COCO）偏小，單一類別樣本數有限，使整體準確率對個別案例的敏感度較高。這些限制將於 §5.4 進一步討論，並列為未來工作方向（更大規模、更多類別、原始準確率較低之跨場景下游評估）。</w:t>
      </w:r>
    </w:p>
    <w:p>
      <w:pPr>
        <w:spacing w:before="40" w:after="80"/>
        <w:jc w:val="center"/>
      </w:pPr>
      <w:r>
        <w:rPr>
          <w:rFonts w:ascii="Times New Roman" w:hAnsi="Times New Roman"/>
          <w:b w:val="0"/>
          <w:i w:val="0"/>
          <w:caps w:val="0"/>
          <w:sz w:val="20"/>
        </w:rPr>
        <w:t>表 2. 跨場景下游辨識準確率（博物館評估集，699 張，7 類展品）。</w:t>
      </w:r>
    </w:p>
    <w:tbl>
      <w:tblPr>
        <w:tblW w:type="auto" w:w="0"/>
        <w:jc w:val="center"/>
        <w:tblLayout w:type="fixed"/>
        <w:tblLook w:firstColumn="1" w:firstRow="1" w:lastColumn="0" w:lastRow="0" w:noHBand="0" w:noVBand="1" w:val="04A0"/>
      </w:tblPr>
      <w:tblGrid>
        <w:gridCol w:w="3177"/>
        <w:gridCol w:w="3177"/>
        <w:gridCol w:w="3177"/>
      </w:tblGrid>
      <w:tr>
        <w:tc>
          <w:tcPr>
            <w:tcW w:type="dxa" w:w="1584"/>
            <w:tcBorders>
              <w:top w:sz="8" w:val="single" w:color="000000"/>
              <w:bottom w:sz="4" w:val="single" w:color="000000"/>
            </w:tcBorders>
          </w:tcPr>
          <w:p>
            <w:pPr>
              <w:spacing w:before="40" w:after="40"/>
              <w:jc w:val="center"/>
            </w:pPr>
            <w:r>
              <w:rPr>
                <w:rFonts w:ascii="Times New Roman" w:hAnsi="Times New Roman"/>
                <w:b/>
                <w:sz w:val="18"/>
              </w:rPr>
              <w:t>條件</w:t>
            </w:r>
          </w:p>
        </w:tc>
        <w:tc>
          <w:tcPr>
            <w:tcW w:type="dxa" w:w="1008"/>
            <w:tcBorders>
              <w:top w:sz="8" w:val="single" w:color="000000"/>
              <w:bottom w:sz="4" w:val="single" w:color="000000"/>
            </w:tcBorders>
          </w:tcPr>
          <w:p>
            <w:pPr>
              <w:spacing w:before="40" w:after="40"/>
              <w:jc w:val="center"/>
            </w:pPr>
            <w:r>
              <w:rPr>
                <w:rFonts w:ascii="Times New Roman" w:hAnsi="Times New Roman"/>
                <w:b/>
                <w:sz w:val="18"/>
              </w:rPr>
              <w:t>準確率 (%)</w:t>
            </w:r>
          </w:p>
        </w:tc>
        <w:tc>
          <w:tcPr>
            <w:tcW w:type="dxa" w:w="2016"/>
            <w:tcBorders>
              <w:top w:sz="8" w:val="single" w:color="000000"/>
              <w:bottom w:sz="4" w:val="single" w:color="000000"/>
            </w:tcBorders>
          </w:tcPr>
          <w:p>
            <w:pPr>
              <w:spacing w:before="40" w:after="40"/>
              <w:jc w:val="center"/>
            </w:pPr>
            <w:r>
              <w:rPr>
                <w:rFonts w:ascii="Times New Roman" w:hAnsi="Times New Roman"/>
                <w:b/>
                <w:sz w:val="18"/>
              </w:rPr>
              <w:t>說明</w:t>
            </w:r>
          </w:p>
        </w:tc>
      </w:tr>
      <w:tr>
        <w:tc>
          <w:tcPr>
            <w:tcW w:type="dxa" w:w="1584"/>
          </w:tcPr>
          <w:p>
            <w:pPr>
              <w:spacing w:before="40" w:after="40"/>
              <w:jc w:val="center"/>
            </w:pPr>
            <w:r>
              <w:rPr>
                <w:rFonts w:ascii="Times New Roman" w:hAnsi="Times New Roman"/>
                <w:b w:val="0"/>
                <w:sz w:val="18"/>
              </w:rPr>
              <w:t>原始影像（含反光）</w:t>
            </w:r>
          </w:p>
        </w:tc>
        <w:tc>
          <w:tcPr>
            <w:tcW w:type="dxa" w:w="1008"/>
          </w:tcPr>
          <w:p>
            <w:pPr>
              <w:spacing w:before="40" w:after="40"/>
              <w:jc w:val="center"/>
            </w:pPr>
            <w:r>
              <w:rPr>
                <w:rFonts w:ascii="Times New Roman" w:hAnsi="Times New Roman"/>
                <w:b w:val="0"/>
                <w:sz w:val="18"/>
              </w:rPr>
              <w:t>92.7</w:t>
            </w:r>
          </w:p>
        </w:tc>
        <w:tc>
          <w:tcPr>
            <w:tcW w:type="dxa" w:w="2016"/>
          </w:tcPr>
          <w:p>
            <w:pPr>
              <w:spacing w:before="40" w:after="40"/>
              <w:jc w:val="center"/>
            </w:pPr>
            <w:r>
              <w:rPr>
                <w:rFonts w:ascii="Times New Roman" w:hAnsi="Times New Roman"/>
                <w:b w:val="0"/>
                <w:sz w:val="18"/>
              </w:rPr>
              <w:t>699 張中 40 張未能成功辨識</w:t>
            </w:r>
          </w:p>
        </w:tc>
      </w:tr>
      <w:tr>
        <w:tc>
          <w:tcPr>
            <w:tcW w:type="dxa" w:w="1584"/>
            <w:tcBorders>
              <w:bottom w:sz="8" w:val="single" w:color="000000"/>
            </w:tcBorders>
          </w:tcPr>
          <w:p>
            <w:pPr>
              <w:spacing w:before="40" w:after="40"/>
              <w:jc w:val="center"/>
            </w:pPr>
            <w:r>
              <w:rPr>
                <w:rFonts w:ascii="Times New Roman" w:hAnsi="Times New Roman"/>
                <w:b w:val="0"/>
                <w:sz w:val="18"/>
              </w:rPr>
              <w:t>Pix2Pix + SGA（本文）</w:t>
            </w:r>
          </w:p>
        </w:tc>
        <w:tc>
          <w:tcPr>
            <w:tcW w:type="dxa" w:w="1008"/>
            <w:tcBorders>
              <w:bottom w:sz="8" w:val="single" w:color="000000"/>
            </w:tcBorders>
          </w:tcPr>
          <w:p>
            <w:pPr>
              <w:spacing w:before="40" w:after="40"/>
              <w:jc w:val="center"/>
            </w:pPr>
            <w:r>
              <w:rPr>
                <w:rFonts w:ascii="Times New Roman" w:hAnsi="Times New Roman"/>
                <w:b w:val="0"/>
                <w:sz w:val="18"/>
              </w:rPr>
              <w:t>94.5</w:t>
            </w:r>
          </w:p>
        </w:tc>
        <w:tc>
          <w:tcPr>
            <w:tcW w:type="dxa" w:w="2016"/>
            <w:tcBorders>
              <w:bottom w:sz="8" w:val="single" w:color="000000"/>
            </w:tcBorders>
          </w:tcPr>
          <w:p>
            <w:pPr>
              <w:spacing w:before="40" w:after="40"/>
              <w:jc w:val="center"/>
            </w:pPr>
            <w:r>
              <w:rPr>
                <w:rFonts w:ascii="Times New Roman" w:hAnsi="Times New Roman"/>
                <w:b w:val="0"/>
                <w:sz w:val="18"/>
              </w:rPr>
              <w:t>+1.8 pp；40 張中 10 張（25%）救回</w:t>
            </w:r>
          </w:p>
        </w:tc>
      </w:tr>
    </w:tbl>
    <w:p>
      <w:pPr>
        <w:spacing w:before="80" w:after="0"/>
        <w:jc w:val="center"/>
      </w:pPr>
      <w:r>
        <w:drawing>
          <wp:inline xmlns:a="http://schemas.openxmlformats.org/drawingml/2006/main" xmlns:pic="http://schemas.openxmlformats.org/drawingml/2006/picture">
            <wp:extent cx="868680" cy="868680"/>
            <wp:docPr id="16" name="Picture 16"/>
            <wp:cNvGraphicFramePr>
              <a:graphicFrameLocks noChangeAspect="1"/>
            </wp:cNvGraphicFramePr>
            <a:graphic>
              <a:graphicData uri="http://schemas.openxmlformats.org/drawingml/2006/picture">
                <pic:pic>
                  <pic:nvPicPr>
                    <pic:cNvPr id="0" name="原跑原7_1.jpg"/>
                    <pic:cNvPicPr/>
                  </pic:nvPicPr>
                  <pic:blipFill>
                    <a:blip r:embed="rId22"/>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17" name="Picture 17"/>
            <wp:cNvGraphicFramePr>
              <a:graphicFrameLocks noChangeAspect="1"/>
            </wp:cNvGraphicFramePr>
            <a:graphic>
              <a:graphicData uri="http://schemas.openxmlformats.org/drawingml/2006/picture">
                <pic:pic>
                  <pic:nvPicPr>
                    <pic:cNvPr id="0" name="原跑原7_2.jpg"/>
                    <pic:cNvPicPr/>
                  </pic:nvPicPr>
                  <pic:blipFill>
                    <a:blip r:embed="rId23"/>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18" name="Picture 18"/>
            <wp:cNvGraphicFramePr>
              <a:graphicFrameLocks noChangeAspect="1"/>
            </wp:cNvGraphicFramePr>
            <a:graphic>
              <a:graphicData uri="http://schemas.openxmlformats.org/drawingml/2006/picture">
                <pic:pic>
                  <pic:nvPicPr>
                    <pic:cNvPr id="0" name="原跑原7_3.jpg"/>
                    <pic:cNvPicPr/>
                  </pic:nvPicPr>
                  <pic:blipFill>
                    <a:blip r:embed="rId24"/>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19" name="Picture 19"/>
            <wp:cNvGraphicFramePr>
              <a:graphicFrameLocks noChangeAspect="1"/>
            </wp:cNvGraphicFramePr>
            <a:graphic>
              <a:graphicData uri="http://schemas.openxmlformats.org/drawingml/2006/picture">
                <pic:pic>
                  <pic:nvPicPr>
                    <pic:cNvPr id="0" name="原跑原7_4.jpg"/>
                    <pic:cNvPicPr/>
                  </pic:nvPicPr>
                  <pic:blipFill>
                    <a:blip r:embed="rId25"/>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20" name="Picture 20"/>
            <wp:cNvGraphicFramePr>
              <a:graphicFrameLocks noChangeAspect="1"/>
            </wp:cNvGraphicFramePr>
            <a:graphic>
              <a:graphicData uri="http://schemas.openxmlformats.org/drawingml/2006/picture">
                <pic:pic>
                  <pic:nvPicPr>
                    <pic:cNvPr id="0" name="原跑原7_5.jpg"/>
                    <pic:cNvPicPr/>
                  </pic:nvPicPr>
                  <pic:blipFill>
                    <a:blip r:embed="rId26"/>
                    <a:stretch>
                      <a:fillRect/>
                    </a:stretch>
                  </pic:blipFill>
                  <pic:spPr>
                    <a:xfrm>
                      <a:off x="0" y="0"/>
                      <a:ext cx="868680" cy="868680"/>
                    </a:xfrm>
                    <a:prstGeom prst="rect"/>
                  </pic:spPr>
                </pic:pic>
              </a:graphicData>
            </a:graphic>
          </wp:inline>
        </w:drawing>
      </w:r>
    </w:p>
    <w:p>
      <w:pPr>
        <w:spacing w:before="80" w:after="0"/>
        <w:jc w:val="center"/>
      </w:pPr>
      <w:r>
        <w:drawing>
          <wp:inline xmlns:a="http://schemas.openxmlformats.org/drawingml/2006/main" xmlns:pic="http://schemas.openxmlformats.org/drawingml/2006/picture">
            <wp:extent cx="868680" cy="868680"/>
            <wp:docPr id="21" name="Picture 21"/>
            <wp:cNvGraphicFramePr>
              <a:graphicFrameLocks noChangeAspect="1"/>
            </wp:cNvGraphicFramePr>
            <a:graphic>
              <a:graphicData uri="http://schemas.openxmlformats.org/drawingml/2006/picture">
                <pic:pic>
                  <pic:nvPicPr>
                    <pic:cNvPr id="0" name="消跑原7_1.jpg"/>
                    <pic:cNvPicPr/>
                  </pic:nvPicPr>
                  <pic:blipFill>
                    <a:blip r:embed="rId27"/>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22" name="Picture 22"/>
            <wp:cNvGraphicFramePr>
              <a:graphicFrameLocks noChangeAspect="1"/>
            </wp:cNvGraphicFramePr>
            <a:graphic>
              <a:graphicData uri="http://schemas.openxmlformats.org/drawingml/2006/picture">
                <pic:pic>
                  <pic:nvPicPr>
                    <pic:cNvPr id="0" name="消跑原7_2.jpg"/>
                    <pic:cNvPicPr/>
                  </pic:nvPicPr>
                  <pic:blipFill>
                    <a:blip r:embed="rId28"/>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23" name="Picture 23"/>
            <wp:cNvGraphicFramePr>
              <a:graphicFrameLocks noChangeAspect="1"/>
            </wp:cNvGraphicFramePr>
            <a:graphic>
              <a:graphicData uri="http://schemas.openxmlformats.org/drawingml/2006/picture">
                <pic:pic>
                  <pic:nvPicPr>
                    <pic:cNvPr id="0" name="消跑原7_3.jpg"/>
                    <pic:cNvPicPr/>
                  </pic:nvPicPr>
                  <pic:blipFill>
                    <a:blip r:embed="rId29"/>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24" name="Picture 24"/>
            <wp:cNvGraphicFramePr>
              <a:graphicFrameLocks noChangeAspect="1"/>
            </wp:cNvGraphicFramePr>
            <a:graphic>
              <a:graphicData uri="http://schemas.openxmlformats.org/drawingml/2006/picture">
                <pic:pic>
                  <pic:nvPicPr>
                    <pic:cNvPr id="0" name="消跑原7_4.jpg"/>
                    <pic:cNvPicPr/>
                  </pic:nvPicPr>
                  <pic:blipFill>
                    <a:blip r:embed="rId30"/>
                    <a:stretch>
                      <a:fillRect/>
                    </a:stretch>
                  </pic:blipFill>
                  <pic:spPr>
                    <a:xfrm>
                      <a:off x="0" y="0"/>
                      <a:ext cx="868680" cy="868680"/>
                    </a:xfrm>
                    <a:prstGeom prst="rect"/>
                  </pic:spPr>
                </pic:pic>
              </a:graphicData>
            </a:graphic>
          </wp:inline>
        </w:drawing>
      </w:r>
      <w:r>
        <w:drawing>
          <wp:inline xmlns:a="http://schemas.openxmlformats.org/drawingml/2006/main" xmlns:pic="http://schemas.openxmlformats.org/drawingml/2006/picture">
            <wp:extent cx="868680" cy="868680"/>
            <wp:docPr id="25" name="Picture 25"/>
            <wp:cNvGraphicFramePr>
              <a:graphicFrameLocks noChangeAspect="1"/>
            </wp:cNvGraphicFramePr>
            <a:graphic>
              <a:graphicData uri="http://schemas.openxmlformats.org/drawingml/2006/picture">
                <pic:pic>
                  <pic:nvPicPr>
                    <pic:cNvPr id="0" name="消跑原7_5.jpg"/>
                    <pic:cNvPicPr/>
                  </pic:nvPicPr>
                  <pic:blipFill>
                    <a:blip r:embed="rId31"/>
                    <a:stretch>
                      <a:fillRect/>
                    </a:stretch>
                  </pic:blipFill>
                  <pic:spPr>
                    <a:xfrm>
                      <a:off x="0" y="0"/>
                      <a:ext cx="868680" cy="868680"/>
                    </a:xfrm>
                    <a:prstGeom prst="rect"/>
                  </pic:spPr>
                </pic:pic>
              </a:graphicData>
            </a:graphic>
          </wp:inline>
        </w:drawing>
      </w:r>
    </w:p>
    <w:p>
      <w:pPr>
        <w:spacing w:before="40" w:after="80"/>
        <w:jc w:val="center"/>
      </w:pPr>
      <w:r>
        <w:rPr>
          <w:rFonts w:ascii="Times New Roman" w:hAnsi="Times New Roman"/>
          <w:b w:val="0"/>
          <w:i w:val="0"/>
          <w:caps w:val="0"/>
          <w:sz w:val="20"/>
        </w:rPr>
        <w:t>圖 8. YOLOv8 辨識結果範例：原始含反光影像（上）與 Pix2Pix+SGA 處理後影像（下）之偵測框與信心值比較。</w:t>
      </w:r>
    </w:p>
    <w:p>
      <w:pPr>
        <w:spacing w:before="120" w:after="60"/>
        <w:jc w:val="center"/>
      </w:pPr>
      <w:r>
        <w:rPr>
          <w:rFonts w:ascii="Times New Roman" w:hAnsi="Times New Roman"/>
          <w:b/>
          <w:i w:val="0"/>
          <w:caps/>
          <w:sz w:val="20"/>
        </w:rPr>
        <w:t>5. Discussion</w:t>
      </w:r>
    </w:p>
    <w:p>
      <w:pPr>
        <w:spacing w:before="80" w:after="40"/>
        <w:jc w:val="both"/>
      </w:pPr>
      <w:r>
        <w:rPr>
          <w:rFonts w:ascii="Times New Roman" w:hAnsi="Times New Roman"/>
          <w:b/>
          <w:i w:val="0"/>
          <w:caps w:val="0"/>
          <w:sz w:val="20"/>
        </w:rPr>
        <w:t>5.1. 為何固定 Sobel 先驗能實現跨場景泛化</w:t>
      </w:r>
    </w:p>
    <w:p>
      <w:pPr>
        <w:spacing w:before="0" w:after="60"/>
        <w:jc w:val="both"/>
      </w:pPr>
      <w:r>
        <w:rPr>
          <w:rFonts w:ascii="Times New Roman" w:hAnsi="Times New Roman"/>
          <w:b w:val="0"/>
          <w:i w:val="0"/>
          <w:caps w:val="0"/>
          <w:sz w:val="20"/>
        </w:rPr>
        <w:t>本文最核心的發現是：在完全不同的 domain（自然場景 SIRR 資料集）上訓練的模型，加入 SGA 後能直接泛化至博物館藏品，無需任何形式的微調或域適應。此現象的根本原因在於 SIRR 任務的物理結構特性：反光的低頻擴散特性與物件邊緣的高頻梯度特性，是由光學物理決定的，與拍攝場景無關。固定 Sobel 梯度恰好是提取此種場景無關結構信息的最直接工具——它不學習任何場景統計，只計算局部梯度幅度，因此其輸出在自然場景與博物館場景中具有完全相同的物理語義，使基於此引導的注意力機制能穩定跨場景遷移。</w:t>
      </w:r>
    </w:p>
    <w:p>
      <w:pPr>
        <w:spacing w:before="0" w:after="60"/>
        <w:ind w:firstLine="360"/>
        <w:jc w:val="both"/>
      </w:pPr>
      <w:r>
        <w:rPr>
          <w:rFonts w:ascii="Times New Roman" w:hAnsi="Times New Roman"/>
          <w:b w:val="0"/>
          <w:i w:val="0"/>
          <w:caps w:val="0"/>
          <w:sz w:val="20"/>
        </w:rPr>
        <w:t>相較之下，若採用可學習的邊緣偵測器（如 HED【19】）作為注意力驅動信號，其權重會根據訓練資料的場景分佈進行調整，在跨場景應用時可能出現邊緣偵測器對目標場景紋理的語義誤判。固定 Sobel 核的設計以犧牲語義邊緣的敏感性為代價，換取了跨場景部署的穩定性，這一取捨在「目標場景完全無法提供訓練資料」的條件下是合理的設計選擇。</w:t>
      </w:r>
    </w:p>
    <w:p>
      <w:pPr>
        <w:spacing w:before="80" w:after="40"/>
        <w:jc w:val="both"/>
      </w:pPr>
      <w:r>
        <w:rPr>
          <w:rFonts w:ascii="Times New Roman" w:hAnsi="Times New Roman"/>
          <w:b/>
          <w:i w:val="0"/>
          <w:caps w:val="0"/>
          <w:sz w:val="20"/>
        </w:rPr>
        <w:t>5.2. 方法論的適用範圍</w:t>
      </w:r>
    </w:p>
    <w:p>
      <w:pPr>
        <w:spacing w:before="0" w:after="60"/>
        <w:jc w:val="both"/>
      </w:pPr>
      <w:r>
        <w:rPr>
          <w:rFonts w:ascii="Times New Roman" w:hAnsi="Times New Roman"/>
          <w:b w:val="0"/>
          <w:i w:val="0"/>
          <w:caps w:val="0"/>
          <w:sz w:val="20"/>
        </w:rPr>
        <w:t>本文以博物館場景作為案例，但所提出的方法論具有更廣泛的適用性。任何滿足以下條件的 SIRR 應用場景，均可採用本文的跨場景設計策略：（a）目標場景難以大規模取得配對訓練資料；（b）目標場景的反光物理特性（低梯度擴散）與自然場景相似；（c）存在可量化的下游任務指標作為評估依據。潛在應用包括：工廠玻璃檢測、建築立面攝影、文件掃描螢幕反光消除、展演記錄等。博物館案例提供了一個具有完整端對端評估框架的可複現基準，為後續研究在其他 domain 中的驗證奠定基礎。</w:t>
      </w:r>
    </w:p>
    <w:p>
      <w:pPr>
        <w:spacing w:before="80" w:after="40"/>
        <w:jc w:val="both"/>
      </w:pPr>
      <w:r>
        <w:rPr>
          <w:rFonts w:ascii="Times New Roman" w:hAnsi="Times New Roman"/>
          <w:b/>
          <w:i w:val="0"/>
          <w:caps w:val="0"/>
          <w:sz w:val="20"/>
        </w:rPr>
        <w:t>5.3. 計算效率分析</w:t>
      </w:r>
    </w:p>
    <w:p>
      <w:pPr>
        <w:spacing w:before="0" w:after="60"/>
        <w:jc w:val="both"/>
      </w:pPr>
      <w:r>
        <w:rPr>
          <w:rFonts w:ascii="Times New Roman" w:hAnsi="Times New Roman"/>
          <w:b w:val="0"/>
          <w:i w:val="0"/>
          <w:caps w:val="0"/>
          <w:sz w:val="20"/>
        </w:rPr>
        <w:t>SGA 模組以固定 Sobel 卷積核計算梯度，不引入任何額外可訓練參數。唯一的學習組件——通道注意力的 1×1 卷積與空間注意力的 7×7 卷積——參數量遠低於 SENet 或 Non-local Networks，使整體模型在保持輕量化的同時獲得結構先驗引導。在訓練資料規模受限（810 對）的情境下，固定先驗無需大量樣本即可在任意 domain 發揮作用，優於需要大量資料才能有效學習的純學習式注意力機制。</w:t>
      </w:r>
    </w:p>
    <w:p>
      <w:pPr>
        <w:spacing w:before="80" w:after="40"/>
        <w:jc w:val="both"/>
      </w:pPr>
      <w:r>
        <w:rPr>
          <w:rFonts w:ascii="Times New Roman" w:hAnsi="Times New Roman"/>
          <w:b/>
          <w:i w:val="0"/>
          <w:caps w:val="0"/>
          <w:sz w:val="20"/>
        </w:rPr>
        <w:t>5.4. 限制分析</w:t>
      </w:r>
    </w:p>
    <w:p>
      <w:pPr>
        <w:spacing w:before="0" w:after="60"/>
        <w:ind w:firstLine="360"/>
        <w:jc w:val="both"/>
      </w:pPr>
      <w:r>
        <w:rPr>
          <w:rFonts w:ascii="Times New Roman" w:hAnsi="Times New Roman"/>
          <w:b w:val="0"/>
          <w:i w:val="0"/>
          <w:caps w:val="0"/>
          <w:sz w:val="20"/>
        </w:rPr>
        <w:t>本方法存在若干限制。首先，當物件本身包含大面積均勻低梯度區域（如素色瓷器、純色背景）時，Sobel 響應微弱，SGA 的邊緣引導有限，模型退化至近似標準 Pix2Pix 的行為。其次，本文博物館評估集僅提供下游辨識準確率，無法進行 PSNR/SSIM/LPIPS 量化評估（缺乏無反光 ground truth）；在公開 SIRR 測試集上的量化結果則代表訓練分佈內的消融比較，兩者合併才能完整呈現跨場景泛化的全貌。第三，本文尚未系統驗證強烈動態反光（如戶外強日照）的消除效果。</w:t>
      </w:r>
    </w:p>
    <w:p>
      <w:pPr>
        <w:spacing w:before="0" w:after="60"/>
        <w:ind w:firstLine="360"/>
        <w:jc w:val="both"/>
      </w:pPr>
      <w:r>
        <w:rPr>
          <w:rFonts w:ascii="Times New Roman" w:hAnsi="Times New Roman"/>
          <w:b w:val="0"/>
          <w:i w:val="0"/>
          <w:caps w:val="0"/>
          <w:sz w:val="20"/>
        </w:rPr>
        <w:t>第四，§4.6 的下游辨識效益（92.7%→94.5%，+1.8pp）之整體幅度受評估集規模與辨識模型基準準確率共同制約：699 張、7 類的評估集中僅 40 張（5.7%）原始辨識失敗，理論改善上限本身有限；同時辨識模型在原始影像上已具備 92.7% 的高基準準確率，使反光消除的邊際貢獻不易在整體指標中充分顯現。更大規模、更多類別、且原始辨識準確率較低（改善空間較大）的跨場景下游評估資料集，將是後續驗證本方法效益的重要方向。</w:t>
      </w:r>
    </w:p>
    <w:p>
      <w:pPr>
        <w:spacing w:before="80" w:after="40"/>
        <w:jc w:val="both"/>
      </w:pPr>
      <w:r>
        <w:rPr>
          <w:rFonts w:ascii="Times New Roman" w:hAnsi="Times New Roman"/>
          <w:b/>
          <w:i w:val="0"/>
          <w:caps w:val="0"/>
          <w:sz w:val="20"/>
        </w:rPr>
        <w:t>5.5. 未來工作</w:t>
      </w:r>
    </w:p>
    <w:p>
      <w:pPr>
        <w:spacing w:before="0" w:after="60"/>
        <w:ind w:firstLine="360"/>
        <w:jc w:val="both"/>
      </w:pPr>
      <w:r>
        <w:rPr>
          <w:rFonts w:ascii="Times New Roman" w:hAnsi="Times New Roman"/>
          <w:b w:val="0"/>
          <w:i w:val="0"/>
          <w:caps w:val="0"/>
          <w:sz w:val="20"/>
        </w:rPr>
        <w:t>未來研究方向包括：（1）建立多場景的跨 domain SIRR 基準（博物館、工廠、車載），系統評估不同結構先驗設計在各 domain 的泛化性能；（2）以可學習邊緣偵測器（如 HED【19】）在多尺度補充固定 Sobel 核，研究其對跨場景泛化的影響與取捨；（3）探索以半監督或對比學習框架，利用目標場景的無標注含反光影像進一步縮小 domain gap，在無需配對資料的前提下提升泛化性能；（4）將 SGA 整合至 Transformer 架構（如 PromptRR【10】），結合全局注意力與 Sobel 局部先驗的互補優勢。</w:t>
      </w:r>
    </w:p>
    <w:p>
      <w:pPr>
        <w:spacing w:before="120" w:after="60"/>
        <w:jc w:val="center"/>
      </w:pPr>
      <w:r>
        <w:rPr>
          <w:rFonts w:ascii="Times New Roman" w:hAnsi="Times New Roman"/>
          <w:b/>
          <w:i w:val="0"/>
          <w:caps/>
          <w:sz w:val="20"/>
        </w:rPr>
        <w:t>6. Conclusion</w:t>
      </w:r>
    </w:p>
    <w:p>
      <w:pPr>
        <w:spacing w:before="0" w:after="60"/>
        <w:jc w:val="both"/>
      </w:pPr>
      <w:r>
        <w:rPr>
          <w:rFonts w:ascii="Times New Roman" w:hAnsi="Times New Roman"/>
          <w:b w:val="0"/>
          <w:i w:val="0"/>
          <w:caps w:val="0"/>
          <w:sz w:val="20"/>
        </w:rPr>
        <w:t>監督式 SIRR 在真實部署場景中普遍面臨目標 domain 配對資料難以取得的困境。本文以「跨場景泛化」為核心研究動機，提出 Sobel 引導注意力（SGA）模組整合至 Pix2Pix 架構的方法，探討固定結構先驗在跨場景 SIRR 中的作用機制。SGA 模組以固定 Sobel 卷積核萃取 domain-agnostic 的邊緣梯度信號，驅動 CBAM 風格的通道—空間雙維注意力，在不引入任何額外可訓練參數的前提下，實現像素層面對物件結構與反光干擾的有效區分。本文以博物館藏品反光消除作為案例實驗——此場景因文物保護需求，配對訓練資料完全無法大規模取得，是跨場景泛化需求最為迫切的典型情形。實驗結果顯示，以公開 SIRR 資料集（810 對）訓練的模型，無需任何微調即能泛化至博物館藏品，下游 YOLOv8 展品辨識準確率由 92.7% 提升至 94.5%（+1.8pp），量化驗證了固定 Sobel 結構先驗在跨場景設定下的實際效益。</w:t>
      </w:r>
    </w:p>
    <w:p>
      <w:pPr>
        <w:spacing w:before="120" w:after="60"/>
        <w:jc w:val="center"/>
      </w:pPr>
      <w:r>
        <w:rPr>
          <w:rFonts w:ascii="Times New Roman" w:hAnsi="Times New Roman"/>
          <w:b/>
          <w:i w:val="0"/>
          <w:caps/>
          <w:sz w:val="20"/>
        </w:rPr>
        <w:t>References</w:t>
      </w:r>
    </w:p>
    <w:p>
      <w:pPr>
        <w:spacing w:after="40"/>
        <w:ind w:left="265" w:hanging="265"/>
        <w:jc w:val="both"/>
      </w:pPr>
      <w:r>
        <w:rPr>
          <w:rFonts w:ascii="Times New Roman" w:hAnsi="Times New Roman"/>
          <w:sz w:val="18"/>
        </w:rPr>
        <w:t>[1] K. Yang et al., "A Comprehensive Survey on Single Image Reflection Removal Using Deep Learning," arXiv:2502.08836, 2025.</w:t>
      </w:r>
    </w:p>
    <w:p>
      <w:pPr>
        <w:spacing w:after="40"/>
        <w:ind w:left="265" w:hanging="265"/>
        <w:jc w:val="both"/>
      </w:pPr>
      <w:r>
        <w:rPr>
          <w:rFonts w:ascii="Times New Roman" w:hAnsi="Times New Roman"/>
          <w:sz w:val="18"/>
        </w:rPr>
        <w:t>[2] D. Reis, J. Hong, J. Kupec, and A. Daoudi, "Real-Time Flying Object Detection with YOLOv8," arXiv:2305.09972, 2023.</w:t>
      </w:r>
    </w:p>
    <w:p>
      <w:pPr>
        <w:spacing w:after="40"/>
        <w:ind w:left="265" w:hanging="265"/>
        <w:jc w:val="both"/>
      </w:pPr>
      <w:r>
        <w:rPr>
          <w:rFonts w:ascii="Times New Roman" w:hAnsi="Times New Roman"/>
          <w:sz w:val="18"/>
        </w:rPr>
        <w:t>[3] F. Lu, C. Tang, T. Liu, Z. Zhang, and L. Li, "Multi-Attention Segmentation Networks Combined with the Sobel Operator for Medical Images," Sensors, vol. 23, no. 5, p. 2546, 2023. doi: 10.3390/s23052546.</w:t>
      </w:r>
    </w:p>
    <w:p>
      <w:pPr>
        <w:spacing w:after="40"/>
        <w:ind w:left="265" w:hanging="265"/>
        <w:jc w:val="both"/>
      </w:pPr>
      <w:r>
        <w:rPr>
          <w:rFonts w:ascii="Times New Roman" w:hAnsi="Times New Roman"/>
          <w:sz w:val="18"/>
        </w:rPr>
        <w:t>[4] S. Woo, J. Park, J.-Y. Lee, and I. S. Kweon, "CBAM: Convolutional Block Attention Module," in Proc. ECCV, 2018, pp. 3-19.</w:t>
      </w:r>
    </w:p>
    <w:p>
      <w:pPr>
        <w:spacing w:after="40"/>
        <w:ind w:left="265" w:hanging="265"/>
        <w:jc w:val="both"/>
      </w:pPr>
      <w:r>
        <w:rPr>
          <w:rFonts w:ascii="Times New Roman" w:hAnsi="Times New Roman"/>
          <w:sz w:val="18"/>
        </w:rPr>
        <w:t>[5] Z. Chi, X. Wu, X. Shu, and J. Gu, "Single Image Reflection Removal Using Deep Encoder-Decoder Network," arXiv:1802.00094, 2018.</w:t>
      </w:r>
    </w:p>
    <w:p>
      <w:pPr>
        <w:spacing w:after="40"/>
        <w:ind w:left="265" w:hanging="265"/>
        <w:jc w:val="both"/>
      </w:pPr>
      <w:r>
        <w:rPr>
          <w:rFonts w:ascii="Times New Roman" w:hAnsi="Times New Roman"/>
          <w:sz w:val="18"/>
        </w:rPr>
        <w:t>[6] Q. Fan, J. Yang, G. Hua, B. Chen, and D. Wipf, "A Generic Deep Architecture for Single Image Reflection Removal and Image Smoothing," in Proc. IEEE ICCV, 2017, pp. 3238-3247.</w:t>
      </w:r>
    </w:p>
    <w:p>
      <w:pPr>
        <w:spacing w:after="40"/>
        <w:ind w:left="265" w:hanging="265"/>
        <w:jc w:val="both"/>
      </w:pPr>
      <w:r>
        <w:rPr>
          <w:rFonts w:ascii="Times New Roman" w:hAnsi="Times New Roman"/>
          <w:sz w:val="18"/>
        </w:rPr>
        <w:t>[7] C. Li, Y. Yang, K. He, S. Lin, and J. E. Hopcroft, "Single Image Reflection Removal through Cascaded Refinement," in Proc. IEEE/CVF CVPR, 2020, pp. 3566-3574.</w:t>
      </w:r>
    </w:p>
    <w:p>
      <w:pPr>
        <w:spacing w:after="40"/>
        <w:ind w:left="265" w:hanging="265"/>
        <w:jc w:val="both"/>
      </w:pPr>
      <w:r>
        <w:rPr>
          <w:rFonts w:ascii="Times New Roman" w:hAnsi="Times New Roman"/>
          <w:sz w:val="18"/>
        </w:rPr>
        <w:t>[8] Z. Dong, K. Xu, Y. Yang, H. Bao, W. Xu, and R. W. H. Lau, "Location-aware Single Image Reflection Removal," in Proc. IEEE/CVF ICCV, 2021, pp. 5017-5026.</w:t>
      </w:r>
    </w:p>
    <w:p>
      <w:pPr>
        <w:spacing w:after="40"/>
        <w:ind w:left="265" w:hanging="265"/>
        <w:jc w:val="both"/>
      </w:pPr>
      <w:r>
        <w:rPr>
          <w:rFonts w:ascii="Times New Roman" w:hAnsi="Times New Roman"/>
          <w:sz w:val="18"/>
        </w:rPr>
        <w:t>[9] J.-J. Huang, T. Liu, Z. Yang, S. Fu, W. Zhao, and P. L. Dragotti, "DURRNet: Deep Unfolded Single Image Reflection Removal Network," arXiv:2203.06306, 2022.</w:t>
      </w:r>
    </w:p>
    <w:p>
      <w:pPr>
        <w:spacing w:after="40"/>
        <w:ind w:left="265" w:hanging="265"/>
        <w:jc w:val="both"/>
      </w:pPr>
      <w:r>
        <w:rPr>
          <w:rFonts w:ascii="Times New Roman" w:hAnsi="Times New Roman"/>
          <w:sz w:val="18"/>
        </w:rPr>
        <w:t>[10] T. Wang, W. Lu, K. Zhang, T. Lu, and M.-H. Yang, "PromptRR: Diffusion Models as Prompt Generators for Single Image Reflection Removal," arXiv:2402.02374, 2024.</w:t>
      </w:r>
    </w:p>
    <w:p>
      <w:pPr>
        <w:spacing w:after="40"/>
        <w:ind w:left="265" w:hanging="265"/>
        <w:jc w:val="both"/>
      </w:pPr>
      <w:r>
        <w:rPr>
          <w:rFonts w:ascii="Times New Roman" w:hAnsi="Times New Roman"/>
          <w:sz w:val="18"/>
        </w:rPr>
        <w:t>[11] I. Goodfellow et al., "Generative Adversarial Nets," in Adv. Neural Inf. Process. Syst. (NeurIPS), 2014, pp. 2672-2680.</w:t>
      </w:r>
    </w:p>
    <w:p>
      <w:pPr>
        <w:spacing w:after="40"/>
        <w:ind w:left="265" w:hanging="265"/>
        <w:jc w:val="both"/>
      </w:pPr>
      <w:r>
        <w:rPr>
          <w:rFonts w:ascii="Times New Roman" w:hAnsi="Times New Roman"/>
          <w:sz w:val="18"/>
        </w:rPr>
        <w:t>[12] M. Mirza and S. Osindero, "Conditional Generative Adversarial Nets," arXiv:1411.1784, 2014.</w:t>
      </w:r>
    </w:p>
    <w:p>
      <w:pPr>
        <w:spacing w:after="40"/>
        <w:ind w:left="265" w:hanging="265"/>
        <w:jc w:val="both"/>
      </w:pPr>
      <w:r>
        <w:rPr>
          <w:rFonts w:ascii="Times New Roman" w:hAnsi="Times New Roman"/>
          <w:sz w:val="18"/>
        </w:rPr>
        <w:t>[13] P. Isola, J.-Y. Zhu, T. Zhou, and A. A. Efros, "Image-to-Image Translation with Conditional Adversarial Networks," in Proc. IEEE CVPR, 2017, pp. 1125-1134.</w:t>
      </w:r>
    </w:p>
    <w:p>
      <w:pPr>
        <w:spacing w:after="40"/>
        <w:ind w:left="265" w:hanging="265"/>
        <w:jc w:val="both"/>
      </w:pPr>
      <w:r>
        <w:rPr>
          <w:rFonts w:ascii="Times New Roman" w:hAnsi="Times New Roman"/>
          <w:sz w:val="18"/>
        </w:rPr>
        <w:t>[14] J.-Y. Zhu, T. Park, P. Isola, and A. A. Efros, "Unpaired Image-to-Image Translation using Cycle-Consistent Adversarial Networks," in Proc. IEEE ICCV, 2017, pp. 2223-2232.</w:t>
      </w:r>
    </w:p>
    <w:p>
      <w:pPr>
        <w:spacing w:after="40"/>
        <w:ind w:left="265" w:hanging="265"/>
        <w:jc w:val="both"/>
      </w:pPr>
      <w:r>
        <w:rPr>
          <w:rFonts w:ascii="Times New Roman" w:hAnsi="Times New Roman"/>
          <w:sz w:val="18"/>
        </w:rPr>
        <w:t>[15] M.-Y. Liu et al., "Generative Adversarial Networks for Image and Video Synthesis: Algorithms and Applications," Proc. IEEE, vol. 109, no. 5, pp. 839-862, 2021.</w:t>
      </w:r>
    </w:p>
    <w:p>
      <w:pPr>
        <w:spacing w:after="40"/>
        <w:ind w:left="265" w:hanging="265"/>
        <w:jc w:val="both"/>
      </w:pPr>
      <w:r>
        <w:rPr>
          <w:rFonts w:ascii="Times New Roman" w:hAnsi="Times New Roman"/>
          <w:sz w:val="18"/>
        </w:rPr>
        <w:t>[16] J. Hu, L. Shen, S. Albanie, G. Sun, and E. Wu, "Squeeze-and-Excitation Networks," IEEE Trans. Pattern Anal. Mach. Intell., vol. 42, no. 8, pp. 2011-2023, 2020.</w:t>
      </w:r>
    </w:p>
    <w:p>
      <w:pPr>
        <w:spacing w:after="40"/>
        <w:ind w:left="265" w:hanging="265"/>
        <w:jc w:val="both"/>
      </w:pPr>
      <w:r>
        <w:rPr>
          <w:rFonts w:ascii="Times New Roman" w:hAnsi="Times New Roman"/>
          <w:sz w:val="18"/>
        </w:rPr>
        <w:t>[17] Y. Cao, J. Xu, S. Lin, F. Wei, and H. Hu, "GCNet: Non-local Networks Meet Squeeze-Excitation Networks and Beyond," in Proc. IEEE ICCVW, 2019, pp. 1971-1980.</w:t>
      </w:r>
    </w:p>
    <w:p>
      <w:pPr>
        <w:spacing w:after="40"/>
        <w:ind w:left="265" w:hanging="265"/>
        <w:jc w:val="both"/>
      </w:pPr>
      <w:r>
        <w:rPr>
          <w:rFonts w:ascii="Times New Roman" w:hAnsi="Times New Roman"/>
          <w:sz w:val="18"/>
        </w:rPr>
        <w:t>[18] X. Wang, R. Girshick, A. Gupta, and K. He, "Non-local Neural Networks," in Proc. IEEE/CVF CVPR, 2018, pp. 7794-7803.</w:t>
      </w:r>
    </w:p>
    <w:p>
      <w:pPr>
        <w:spacing w:after="40"/>
        <w:ind w:left="265" w:hanging="265"/>
        <w:jc w:val="both"/>
      </w:pPr>
      <w:r>
        <w:rPr>
          <w:rFonts w:ascii="Times New Roman" w:hAnsi="Times New Roman"/>
          <w:sz w:val="18"/>
        </w:rPr>
        <w:t>[19] S. Xie and Z. Tu, "Holistically-Nested Edge Detection," in Proc. IEEE ICCV, 2015, pp. 1395-1403.</w:t>
      </w:r>
    </w:p>
    <w:p>
      <w:pPr>
        <w:spacing w:after="40"/>
        <w:ind w:left="265" w:hanging="265"/>
        <w:jc w:val="both"/>
      </w:pPr>
      <w:r>
        <w:rPr>
          <w:rFonts w:ascii="Times New Roman" w:hAnsi="Times New Roman"/>
          <w:sz w:val="18"/>
        </w:rPr>
        <w:t>[20] G. Ji, D.-P. Fan, Y.-C. Chou, D. Dai, A. Liniger, and L. Van Gool, "Deep Gradient Learning for Efficient Camouflaged Object Detection," Mach. Intell. Res., vol. 20, no. 1, pp. 92-108, 2023.</w:t>
      </w:r>
    </w:p>
    <w:p>
      <w:pPr>
        <w:spacing w:after="40"/>
        <w:ind w:left="265" w:hanging="265"/>
        <w:jc w:val="both"/>
      </w:pPr>
      <w:r>
        <w:rPr>
          <w:rFonts w:ascii="Times New Roman" w:hAnsi="Times New Roman"/>
          <w:sz w:val="18"/>
        </w:rPr>
        <w:t>[21] H. Zunair and A. B. Hamza, "Sharp U-Net: Depthwise Convolutional Network for Biomedical Image Segmentation," Comput. Biol. Med., vol. 139, p. 104941, 2021.</w:t>
      </w:r>
    </w:p>
    <w:p>
      <w:pPr>
        <w:spacing w:after="40"/>
        <w:ind w:left="265" w:hanging="265"/>
        <w:jc w:val="both"/>
      </w:pPr>
      <w:r>
        <w:rPr>
          <w:rFonts w:ascii="Times New Roman" w:hAnsi="Times New Roman"/>
          <w:sz w:val="18"/>
        </w:rPr>
        <w:t>[22] H. Li and J. Liu, "Edge, Structure and Texture Refinement for Retrospective High Quality MRI Restoration using Deep Learning," in Proc. IEEE ISBI, 2021.</w:t>
      </w:r>
    </w:p>
    <w:p>
      <w:pPr>
        <w:spacing w:after="40"/>
        <w:ind w:left="265" w:hanging="265"/>
        <w:jc w:val="both"/>
      </w:pPr>
      <w:r>
        <w:rPr>
          <w:rFonts w:ascii="Times New Roman" w:hAnsi="Times New Roman"/>
          <w:sz w:val="18"/>
        </w:rPr>
        <w:t>[23] O. Ronneberger, P. Fischer, and T. Brox, "U-Net: Convolutional Networks for Biomedical Image Segmentation," in Proc. MICCAI, 2015, pp. 234-241.</w:t>
      </w:r>
    </w:p>
    <w:p>
      <w:pPr>
        <w:spacing w:after="40"/>
        <w:ind w:left="265" w:hanging="265"/>
        <w:jc w:val="both"/>
      </w:pPr>
      <w:r>
        <w:rPr>
          <w:rFonts w:ascii="Times New Roman" w:hAnsi="Times New Roman"/>
          <w:sz w:val="18"/>
        </w:rPr>
        <w:t>[24] R. Wan, B. Shi, L.-Y. Duan, A.-H. Tan, and A. C. Kot, "Benchmarking Single-Image Reflection Removal Algorithms," in Proc. IEEE ICCV, 2017, pp. 3942-3950.</w:t>
      </w:r>
    </w:p>
    <w:p>
      <w:pPr>
        <w:spacing w:after="40"/>
        <w:ind w:left="265" w:hanging="265"/>
        <w:jc w:val="both"/>
      </w:pPr>
      <w:r>
        <w:rPr>
          <w:rFonts w:ascii="Times New Roman" w:hAnsi="Times New Roman"/>
          <w:sz w:val="18"/>
        </w:rPr>
        <w:t>[25] K. Wei, J. Yang, Y. Fu, D. Wipf, and H. Huang, "Single Image Reflection Removal Exploiting Misaligned Training Data and Network Enhancements," in Proc. IEEE/CVF CVPR, 2019.</w:t>
      </w:r>
    </w:p>
    <w:p>
      <w:pPr>
        <w:spacing w:after="40"/>
        <w:ind w:left="265" w:hanging="265"/>
        <w:jc w:val="both"/>
      </w:pPr>
      <w:r>
        <w:rPr>
          <w:rFonts w:ascii="Times New Roman" w:hAnsi="Times New Roman"/>
          <w:sz w:val="18"/>
        </w:rPr>
        <w:t>[26] C. Lei and Q. Chen, "Robust Reflection Removal with Reflection-free Flash-only Cues," in Proc. IEEE/CVF CVPR, 2021, pp. 14811-14820.</w:t>
      </w:r>
    </w:p>
    <w:p>
      <w:pPr>
        <w:spacing w:after="40"/>
        <w:ind w:left="265" w:hanging="265"/>
        <w:jc w:val="both"/>
      </w:pPr>
      <w:r>
        <w:rPr>
          <w:rFonts w:ascii="Times New Roman" w:hAnsi="Times New Roman"/>
          <w:sz w:val="18"/>
        </w:rPr>
        <w:t>[27] Z. Wang, A. C. Bovik, H. R. Sheikh, and E. P. Simoncelli, "Image Quality Assessment: From Error Visibility to Structural Similarity," IEEE Trans. Image Process., vol. 13, no. 4, pp. 600-612, Apr. 2004.</w:t>
      </w:r>
    </w:p>
    <w:p>
      <w:pPr>
        <w:spacing w:after="40"/>
        <w:ind w:left="265" w:hanging="265"/>
        <w:jc w:val="both"/>
      </w:pPr>
      <w:r>
        <w:rPr>
          <w:rFonts w:ascii="Times New Roman" w:hAnsi="Times New Roman"/>
          <w:sz w:val="18"/>
        </w:rPr>
        <w:t>[28] R. Zhang, P. Isola, A. A. Efros, E. Shechtman, and O. Wang, "The Unreasonable Effectiveness of Deep Features as a Perceptual Metric," in Proc. IEEE/CVF CVPR, 2018, pp. 586-595.</w:t>
      </w:r>
    </w:p>
    <w:p>
      <w:pPr>
        <w:spacing w:after="40"/>
        <w:ind w:left="265" w:hanging="265"/>
        <w:jc w:val="both"/>
      </w:pPr>
      <w:r>
        <w:rPr>
          <w:rFonts w:ascii="Times New Roman" w:hAnsi="Times New Roman"/>
          <w:sz w:val="18"/>
        </w:rPr>
        <w:t>[29] Y. Blau and T. Michaeli, "The Perception-Distortion Tradeoff," in Proc. IEEE/CVF CVPR, 2018, pp. 6228-6237.</w:t>
      </w:r>
    </w:p>
    <w:p>
      <w:pPr>
        <w:spacing w:after="40"/>
        <w:ind w:left="265" w:hanging="265"/>
        <w:jc w:val="both"/>
      </w:pPr>
      <w:r>
        <w:rPr>
          <w:rFonts w:ascii="Times New Roman" w:hAnsi="Times New Roman"/>
          <w:sz w:val="18"/>
        </w:rPr>
        <w:t>[30] C. Ledig et al., "Photo-Realistic Single Image Super-Resolution Using a Generative Adversarial Network," in Proc. IEEE/CVF CVPR, 2017, pp. 4681-4690.</w:t>
      </w:r>
    </w:p>
    <w:sectPr w:rsidR="00FC693F" w:rsidRPr="0006063C" w:rsidSect="00034616">
      <w:type w:val="continuous"/>
      <w:pgSz w:w="11906" w:h="16838"/>
      <w:pgMar w:top="1417" w:right="1298" w:bottom="1701" w:left="1077" w:header="720" w:footer="72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