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44"/>
        </w:rPr>
        <w:t>采购合同</w:t>
      </w:r>
    </w:p>
    <w:p>
      <w:pPr>
        <w:spacing w:after="200"/>
        <w:jc w:val="center"/>
      </w:pPr>
      <w:r>
        <w:rPr>
          <w:rFonts w:ascii="黑体" w:hAnsi="黑体" w:eastAsia="黑体"/>
          <w:b w:val="0"/>
          <w:sz w:val="28"/>
        </w:rPr>
        <w:t>（办公IT设备采购）</w:t>
      </w:r>
    </w:p>
    <w:p>
      <w:pPr>
        <w:spacing w:after="40"/>
        <w:jc w:val="right"/>
      </w:pPr>
      <w:r>
        <w:rPr>
          <w:rFonts w:ascii="宋体" w:hAnsi="宋体" w:eastAsia="宋体"/>
          <w:b w:val="0"/>
          <w:sz w:val="22"/>
        </w:rPr>
        <w:t>合同编号：CG-2026-0312</w:t>
      </w:r>
    </w:p>
    <w:p>
      <w:pPr>
        <w:spacing w:after="200"/>
        <w:jc w:val="right"/>
      </w:pPr>
      <w:r>
        <w:rPr>
          <w:rFonts w:ascii="宋体" w:hAnsi="宋体" w:eastAsia="宋体"/>
          <w:b w:val="0"/>
          <w:sz w:val="22"/>
        </w:rPr>
        <w:t>签订地点：安徽省合肥市蜀山区</w:t>
      </w:r>
    </w:p>
    <w:p>
      <w:pPr>
        <w:spacing w:after="40"/>
        <w:jc w:val="left"/>
      </w:pPr>
      <w:r>
        <w:rPr>
          <w:rFonts w:ascii="宋体" w:hAnsi="宋体" w:eastAsia="宋体"/>
          <w:b w:val="0"/>
          <w:sz w:val="24"/>
        </w:rPr>
        <w:t>甲方（买方）：合肥智联嘉合科技有限公司</w:t>
      </w:r>
    </w:p>
    <w:p>
      <w:pPr>
        <w:spacing w:after="160"/>
        <w:jc w:val="left"/>
      </w:pPr>
      <w:r>
        <w:rPr>
          <w:rFonts w:ascii="宋体" w:hAnsi="宋体" w:eastAsia="宋体"/>
          <w:b w:val="0"/>
          <w:sz w:val="24"/>
        </w:rPr>
        <w:t>乙方（卖方）：深圳市锐讯电子科技有限公司</w:t>
      </w:r>
    </w:p>
    <w:p>
      <w:pPr>
        <w:spacing w:after="160"/>
        <w:ind w:firstLine="420"/>
        <w:jc w:val="both"/>
      </w:pPr>
      <w:r>
        <w:rPr>
          <w:rFonts w:ascii="宋体" w:hAnsi="宋体" w:eastAsia="宋体"/>
          <w:b w:val="0"/>
          <w:sz w:val="24"/>
        </w:rPr>
        <w:t>甲乙双方本着平等、自愿、公平和诚实信用的原则，依据《中华人民共和国民法典》及有关法律法规的规定，就甲方向乙方采购办公IT设备事宜，经友好协商，达成如下协议，以资共同遵守。</w:t>
      </w:r>
    </w:p>
    <w:p>
      <w:pPr>
        <w:spacing w:before="200" w:after="80"/>
        <w:jc w:val="left"/>
      </w:pPr>
      <w:r>
        <w:rPr>
          <w:rFonts w:ascii="黑体" w:hAnsi="黑体" w:eastAsia="黑体"/>
          <w:b/>
          <w:sz w:val="28"/>
        </w:rPr>
        <w:t>一、合同标的及货物内容</w:t>
      </w:r>
    </w:p>
    <w:p>
      <w:pPr>
        <w:spacing w:after="80"/>
        <w:ind w:firstLine="420"/>
        <w:jc w:val="both"/>
      </w:pPr>
      <w:r>
        <w:rPr>
          <w:rFonts w:ascii="宋体" w:hAnsi="宋体" w:eastAsia="宋体"/>
          <w:b w:val="0"/>
          <w:sz w:val="24"/>
        </w:rPr>
        <w:t>1.1 甲方向乙方采购办公IT设备一批，具体设备名称、品牌型号、规格参数、数量、单价及金额详见本合同《附件一：货物清单》（以下简称“货物清单”）。货物清单作为本合同不可分割的组成部分，与本合同具有同等法律效力。</w:t>
      </w:r>
    </w:p>
    <w:p>
      <w:pPr>
        <w:spacing w:after="120"/>
        <w:ind w:firstLine="420"/>
        <w:jc w:val="both"/>
      </w:pPr>
      <w:r>
        <w:rPr>
          <w:rFonts w:ascii="宋体" w:hAnsi="宋体" w:eastAsia="宋体"/>
          <w:b w:val="0"/>
          <w:sz w:val="24"/>
        </w:rPr>
        <w:t>1.2 乙方应保证所交付的货物为原厂全新正品，未使用、未拆封，且配置与货物清单及国家相关标准一致。</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黑体" w:hAnsi="黑体" w:eastAsia="黑体"/>
                <w:b/>
                <w:sz w:val="21"/>
              </w:rPr>
              <w:t>序号</w:t>
            </w:r>
          </w:p>
        </w:tc>
        <w:tc>
          <w:tcPr>
            <w:tcW w:type="dxa" w:w="1176"/>
          </w:tcPr>
          <w:p>
            <w:pPr>
              <w:jc w:val="center"/>
            </w:pPr>
            <w:r/>
            <w:r>
              <w:rPr>
                <w:rFonts w:ascii="黑体" w:hAnsi="黑体" w:eastAsia="黑体"/>
                <w:b/>
                <w:sz w:val="21"/>
              </w:rPr>
              <w:t>设备名称</w:t>
            </w:r>
          </w:p>
        </w:tc>
        <w:tc>
          <w:tcPr>
            <w:tcW w:type="dxa" w:w="1176"/>
          </w:tcPr>
          <w:p>
            <w:pPr>
              <w:jc w:val="center"/>
            </w:pPr>
            <w:r/>
            <w:r>
              <w:rPr>
                <w:rFonts w:ascii="黑体" w:hAnsi="黑体" w:eastAsia="黑体"/>
                <w:b/>
                <w:sz w:val="21"/>
              </w:rPr>
              <w:t>品牌型号</w:t>
            </w:r>
          </w:p>
        </w:tc>
        <w:tc>
          <w:tcPr>
            <w:tcW w:type="dxa" w:w="1176"/>
          </w:tcPr>
          <w:p>
            <w:pPr>
              <w:jc w:val="center"/>
            </w:pPr>
            <w:r/>
            <w:r>
              <w:rPr>
                <w:rFonts w:ascii="黑体" w:hAnsi="黑体" w:eastAsia="黑体"/>
                <w:b/>
                <w:sz w:val="21"/>
              </w:rPr>
              <w:t>规格参数</w:t>
            </w:r>
          </w:p>
        </w:tc>
        <w:tc>
          <w:tcPr>
            <w:tcW w:type="dxa" w:w="1176"/>
          </w:tcPr>
          <w:p>
            <w:pPr>
              <w:jc w:val="center"/>
            </w:pPr>
            <w:r/>
            <w:r>
              <w:rPr>
                <w:rFonts w:ascii="黑体" w:hAnsi="黑体" w:eastAsia="黑体"/>
                <w:b/>
                <w:sz w:val="21"/>
              </w:rPr>
              <w:t>单位</w:t>
            </w:r>
          </w:p>
        </w:tc>
        <w:tc>
          <w:tcPr>
            <w:tcW w:type="dxa" w:w="1176"/>
          </w:tcPr>
          <w:p>
            <w:pPr>
              <w:jc w:val="center"/>
            </w:pPr>
            <w:r/>
            <w:r>
              <w:rPr>
                <w:rFonts w:ascii="黑体" w:hAnsi="黑体" w:eastAsia="黑体"/>
                <w:b/>
                <w:sz w:val="21"/>
              </w:rPr>
              <w:t>数量</w:t>
            </w:r>
          </w:p>
        </w:tc>
        <w:tc>
          <w:tcPr>
            <w:tcW w:type="dxa" w:w="1176"/>
          </w:tcPr>
          <w:p>
            <w:pPr>
              <w:jc w:val="center"/>
            </w:pPr>
            <w:r/>
            <w:r>
              <w:rPr>
                <w:rFonts w:ascii="黑体" w:hAnsi="黑体" w:eastAsia="黑体"/>
                <w:b/>
                <w:sz w:val="21"/>
              </w:rPr>
              <w:t>单价(元)</w:t>
            </w:r>
          </w:p>
        </w:tc>
        <w:tc>
          <w:tcPr>
            <w:tcW w:type="dxa" w:w="1176"/>
          </w:tcPr>
          <w:p>
            <w:pPr>
              <w:jc w:val="center"/>
            </w:pPr>
            <w:r/>
            <w:r>
              <w:rPr>
                <w:rFonts w:ascii="黑体" w:hAnsi="黑体" w:eastAsia="黑体"/>
                <w:b/>
                <w:sz w:val="21"/>
              </w:rPr>
              <w:t>金额(元)</w:t>
            </w:r>
          </w:p>
        </w:tc>
      </w:tr>
      <w:tr>
        <w:tc>
          <w:tcPr>
            <w:tcW w:type="dxa" w:w="1176"/>
          </w:tcPr>
          <w:p>
            <w:pPr>
              <w:jc w:val="center"/>
            </w:pPr>
            <w:r/>
            <w:r>
              <w:rPr>
                <w:rFonts w:ascii="宋体" w:hAnsi="宋体" w:eastAsia="宋体"/>
                <w:sz w:val="21"/>
              </w:rPr>
              <w:t>1</w:t>
            </w:r>
          </w:p>
        </w:tc>
        <w:tc>
          <w:tcPr>
            <w:tcW w:type="dxa" w:w="1176"/>
          </w:tcPr>
          <w:p>
            <w:pPr>
              <w:jc w:val="left"/>
            </w:pPr>
            <w:r/>
            <w:r>
              <w:rPr>
                <w:rFonts w:ascii="宋体" w:hAnsi="宋体" w:eastAsia="宋体"/>
                <w:sz w:val="21"/>
              </w:rPr>
              <w:t>联想 ThinkPad X1 Carbon 笔记本电脑</w:t>
            </w:r>
          </w:p>
        </w:tc>
        <w:tc>
          <w:tcPr>
            <w:tcW w:type="dxa" w:w="1176"/>
          </w:tcPr>
          <w:p>
            <w:pPr>
              <w:jc w:val="left"/>
            </w:pPr>
            <w:r/>
            <w:r>
              <w:rPr>
                <w:rFonts w:ascii="宋体" w:hAnsi="宋体" w:eastAsia="宋体"/>
                <w:sz w:val="21"/>
              </w:rPr>
              <w:t>21HES0RK00</w:t>
            </w:r>
          </w:p>
        </w:tc>
        <w:tc>
          <w:tcPr>
            <w:tcW w:type="dxa" w:w="1176"/>
          </w:tcPr>
          <w:p>
            <w:pPr>
              <w:jc w:val="left"/>
            </w:pPr>
            <w:r/>
            <w:r>
              <w:rPr>
                <w:rFonts w:ascii="宋体" w:hAnsi="宋体" w:eastAsia="宋体"/>
                <w:sz w:val="21"/>
              </w:rPr>
              <w:t>i7-1355U / 32GB / 1TB SSD / 14″ 2.8K</w:t>
            </w:r>
          </w:p>
        </w:tc>
        <w:tc>
          <w:tcPr>
            <w:tcW w:type="dxa" w:w="1176"/>
          </w:tcPr>
          <w:p>
            <w:pPr>
              <w:jc w:val="center"/>
            </w:pPr>
            <w:r/>
            <w:r>
              <w:rPr>
                <w:rFonts w:ascii="宋体" w:hAnsi="宋体" w:eastAsia="宋体"/>
                <w:sz w:val="21"/>
              </w:rPr>
              <w:t>台</w:t>
            </w:r>
          </w:p>
        </w:tc>
        <w:tc>
          <w:tcPr>
            <w:tcW w:type="dxa" w:w="1176"/>
          </w:tcPr>
          <w:p>
            <w:pPr>
              <w:jc w:val="center"/>
            </w:pPr>
            <w:r/>
            <w:r>
              <w:rPr>
                <w:rFonts w:ascii="宋体" w:hAnsi="宋体" w:eastAsia="宋体"/>
                <w:sz w:val="21"/>
              </w:rPr>
              <w:t>40</w:t>
            </w:r>
          </w:p>
        </w:tc>
        <w:tc>
          <w:tcPr>
            <w:tcW w:type="dxa" w:w="1176"/>
          </w:tcPr>
          <w:p>
            <w:pPr>
              <w:jc w:val="center"/>
            </w:pPr>
            <w:r/>
            <w:r>
              <w:rPr>
                <w:rFonts w:ascii="宋体" w:hAnsi="宋体" w:eastAsia="宋体"/>
                <w:sz w:val="21"/>
              </w:rPr>
              <w:t>9,800.00</w:t>
            </w:r>
          </w:p>
        </w:tc>
        <w:tc>
          <w:tcPr>
            <w:tcW w:type="dxa" w:w="1176"/>
          </w:tcPr>
          <w:p>
            <w:pPr>
              <w:jc w:val="center"/>
            </w:pPr>
            <w:r/>
            <w:r>
              <w:rPr>
                <w:rFonts w:ascii="宋体" w:hAnsi="宋体" w:eastAsia="宋体"/>
                <w:sz w:val="21"/>
              </w:rPr>
              <w:t>392,000.00</w:t>
            </w:r>
          </w:p>
        </w:tc>
      </w:tr>
      <w:tr>
        <w:tc>
          <w:tcPr>
            <w:tcW w:type="dxa" w:w="1176"/>
          </w:tcPr>
          <w:p>
            <w:pPr>
              <w:jc w:val="center"/>
            </w:pPr>
            <w:r/>
            <w:r>
              <w:rPr>
                <w:rFonts w:ascii="宋体" w:hAnsi="宋体" w:eastAsia="宋体"/>
                <w:sz w:val="21"/>
              </w:rPr>
              <w:t>2</w:t>
            </w:r>
          </w:p>
        </w:tc>
        <w:tc>
          <w:tcPr>
            <w:tcW w:type="dxa" w:w="1176"/>
          </w:tcPr>
          <w:p>
            <w:pPr>
              <w:jc w:val="left"/>
            </w:pPr>
            <w:r/>
            <w:r>
              <w:rPr>
                <w:rFonts w:ascii="宋体" w:hAnsi="宋体" w:eastAsia="宋体"/>
                <w:sz w:val="21"/>
              </w:rPr>
              <w:t>惠普 LaserJet Pro 多功能激光一体机</w:t>
            </w:r>
          </w:p>
        </w:tc>
        <w:tc>
          <w:tcPr>
            <w:tcW w:type="dxa" w:w="1176"/>
          </w:tcPr>
          <w:p>
            <w:pPr>
              <w:jc w:val="left"/>
            </w:pPr>
            <w:r/>
            <w:r>
              <w:rPr>
                <w:rFonts w:ascii="宋体" w:hAnsi="宋体" w:eastAsia="宋体"/>
                <w:sz w:val="21"/>
              </w:rPr>
              <w:t>M428fdw</w:t>
            </w:r>
          </w:p>
        </w:tc>
        <w:tc>
          <w:tcPr>
            <w:tcW w:type="dxa" w:w="1176"/>
          </w:tcPr>
          <w:p>
            <w:pPr>
              <w:jc w:val="left"/>
            </w:pPr>
            <w:r/>
            <w:r>
              <w:rPr>
                <w:rFonts w:ascii="宋体" w:hAnsi="宋体" w:eastAsia="宋体"/>
                <w:sz w:val="21"/>
              </w:rPr>
              <w:t>打印/复印/扫描/传真 A4 自动双面</w:t>
            </w:r>
          </w:p>
        </w:tc>
        <w:tc>
          <w:tcPr>
            <w:tcW w:type="dxa" w:w="1176"/>
          </w:tcPr>
          <w:p>
            <w:pPr>
              <w:jc w:val="center"/>
            </w:pPr>
            <w:r/>
            <w:r>
              <w:rPr>
                <w:rFonts w:ascii="宋体" w:hAnsi="宋体" w:eastAsia="宋体"/>
                <w:sz w:val="21"/>
              </w:rPr>
              <w:t>台</w:t>
            </w:r>
          </w:p>
        </w:tc>
        <w:tc>
          <w:tcPr>
            <w:tcW w:type="dxa" w:w="1176"/>
          </w:tcPr>
          <w:p>
            <w:pPr>
              <w:jc w:val="center"/>
            </w:pPr>
            <w:r/>
            <w:r>
              <w:rPr>
                <w:rFonts w:ascii="宋体" w:hAnsi="宋体" w:eastAsia="宋体"/>
                <w:sz w:val="21"/>
              </w:rPr>
              <w:t>10</w:t>
            </w:r>
          </w:p>
        </w:tc>
        <w:tc>
          <w:tcPr>
            <w:tcW w:type="dxa" w:w="1176"/>
          </w:tcPr>
          <w:p>
            <w:pPr>
              <w:jc w:val="center"/>
            </w:pPr>
            <w:r/>
            <w:r>
              <w:rPr>
                <w:rFonts w:ascii="宋体" w:hAnsi="宋体" w:eastAsia="宋体"/>
                <w:sz w:val="21"/>
              </w:rPr>
              <w:t>3,200.00</w:t>
            </w:r>
          </w:p>
        </w:tc>
        <w:tc>
          <w:tcPr>
            <w:tcW w:type="dxa" w:w="1176"/>
          </w:tcPr>
          <w:p>
            <w:pPr>
              <w:jc w:val="center"/>
            </w:pPr>
            <w:r/>
            <w:r>
              <w:rPr>
                <w:rFonts w:ascii="宋体" w:hAnsi="宋体" w:eastAsia="宋体"/>
                <w:sz w:val="21"/>
              </w:rPr>
              <w:t>32,000.00</w:t>
            </w:r>
          </w:p>
        </w:tc>
      </w:tr>
      <w:tr>
        <w:tc>
          <w:tcPr>
            <w:tcW w:type="dxa" w:w="1176"/>
          </w:tcPr>
          <w:p>
            <w:pPr>
              <w:jc w:val="center"/>
            </w:pPr>
            <w:r/>
            <w:r>
              <w:rPr>
                <w:rFonts w:ascii="宋体" w:hAnsi="宋体" w:eastAsia="宋体"/>
                <w:sz w:val="21"/>
              </w:rPr>
              <w:t>3</w:t>
            </w:r>
          </w:p>
        </w:tc>
        <w:tc>
          <w:tcPr>
            <w:tcW w:type="dxa" w:w="1176"/>
          </w:tcPr>
          <w:p>
            <w:pPr>
              <w:jc w:val="left"/>
            </w:pPr>
            <w:r/>
            <w:r>
              <w:rPr>
                <w:rFonts w:ascii="宋体" w:hAnsi="宋体" w:eastAsia="宋体"/>
                <w:sz w:val="21"/>
              </w:rPr>
              <w:t>戴尔 PowerEdge 机架式服务器</w:t>
            </w:r>
          </w:p>
        </w:tc>
        <w:tc>
          <w:tcPr>
            <w:tcW w:type="dxa" w:w="1176"/>
          </w:tcPr>
          <w:p>
            <w:pPr>
              <w:jc w:val="left"/>
            </w:pPr>
            <w:r/>
            <w:r>
              <w:rPr>
                <w:rFonts w:ascii="宋体" w:hAnsi="宋体" w:eastAsia="宋体"/>
                <w:sz w:val="21"/>
              </w:rPr>
              <w:t>R750</w:t>
            </w:r>
          </w:p>
        </w:tc>
        <w:tc>
          <w:tcPr>
            <w:tcW w:type="dxa" w:w="1176"/>
          </w:tcPr>
          <w:p>
            <w:pPr>
              <w:jc w:val="left"/>
            </w:pPr>
            <w:r/>
            <w:r>
              <w:rPr>
                <w:rFonts w:ascii="宋体" w:hAnsi="宋体" w:eastAsia="宋体"/>
                <w:sz w:val="21"/>
              </w:rPr>
              <w:t>2×Xeon 4310 / 64GB / 2×960GB SSD / 双电</w:t>
            </w:r>
          </w:p>
        </w:tc>
        <w:tc>
          <w:tcPr>
            <w:tcW w:type="dxa" w:w="1176"/>
          </w:tcPr>
          <w:p>
            <w:pPr>
              <w:jc w:val="center"/>
            </w:pPr>
            <w:r/>
            <w:r>
              <w:rPr>
                <w:rFonts w:ascii="宋体" w:hAnsi="宋体" w:eastAsia="宋体"/>
                <w:sz w:val="21"/>
              </w:rPr>
              <w:t>台</w:t>
            </w:r>
          </w:p>
        </w:tc>
        <w:tc>
          <w:tcPr>
            <w:tcW w:type="dxa" w:w="1176"/>
          </w:tcPr>
          <w:p>
            <w:pPr>
              <w:jc w:val="center"/>
            </w:pPr>
            <w:r/>
            <w:r>
              <w:rPr>
                <w:rFonts w:ascii="宋体" w:hAnsi="宋体" w:eastAsia="宋体"/>
                <w:sz w:val="21"/>
              </w:rPr>
              <w:t>2</w:t>
            </w:r>
          </w:p>
        </w:tc>
        <w:tc>
          <w:tcPr>
            <w:tcW w:type="dxa" w:w="1176"/>
          </w:tcPr>
          <w:p>
            <w:pPr>
              <w:jc w:val="center"/>
            </w:pPr>
            <w:r/>
            <w:r>
              <w:rPr>
                <w:rFonts w:ascii="宋体" w:hAnsi="宋体" w:eastAsia="宋体"/>
                <w:sz w:val="21"/>
              </w:rPr>
              <w:t>28,400.00</w:t>
            </w:r>
          </w:p>
        </w:tc>
        <w:tc>
          <w:tcPr>
            <w:tcW w:type="dxa" w:w="1176"/>
          </w:tcPr>
          <w:p>
            <w:pPr>
              <w:jc w:val="center"/>
            </w:pPr>
            <w:r/>
            <w:r>
              <w:rPr>
                <w:rFonts w:ascii="宋体" w:hAnsi="宋体" w:eastAsia="宋体"/>
                <w:sz w:val="21"/>
              </w:rPr>
              <w:t>56,800.00</w:t>
            </w:r>
          </w:p>
        </w:tc>
      </w:tr>
      <w:tr>
        <w:tc>
          <w:tcPr>
            <w:tcW w:type="dxa" w:w="1176"/>
          </w:tcPr>
          <w:p>
            <w:pPr>
              <w:jc w:val="center"/>
            </w:pPr>
            <w:r/>
            <w:r>
              <w:rPr>
                <w:rFonts w:ascii="宋体" w:hAnsi="宋体" w:eastAsia="宋体"/>
                <w:sz w:val="21"/>
              </w:rPr>
              <w:t>4</w:t>
            </w:r>
          </w:p>
        </w:tc>
        <w:tc>
          <w:tcPr>
            <w:tcW w:type="dxa" w:w="1176"/>
          </w:tcPr>
          <w:p>
            <w:pPr>
              <w:jc w:val="left"/>
            </w:pPr>
            <w:r/>
            <w:r>
              <w:rPr>
                <w:rFonts w:ascii="宋体" w:hAnsi="宋体" w:eastAsia="宋体"/>
                <w:sz w:val="21"/>
              </w:rPr>
              <w:t>华为 千兆以太网交换机</w:t>
            </w:r>
          </w:p>
        </w:tc>
        <w:tc>
          <w:tcPr>
            <w:tcW w:type="dxa" w:w="1176"/>
          </w:tcPr>
          <w:p>
            <w:pPr>
              <w:jc w:val="left"/>
            </w:pPr>
            <w:r/>
            <w:r>
              <w:rPr>
                <w:rFonts w:ascii="宋体" w:hAnsi="宋体" w:eastAsia="宋体"/>
                <w:sz w:val="21"/>
              </w:rPr>
              <w:t>S5735-S24T4X</w:t>
            </w:r>
          </w:p>
        </w:tc>
        <w:tc>
          <w:tcPr>
            <w:tcW w:type="dxa" w:w="1176"/>
          </w:tcPr>
          <w:p>
            <w:pPr>
              <w:jc w:val="left"/>
            </w:pPr>
            <w:r/>
            <w:r>
              <w:rPr>
                <w:rFonts w:ascii="宋体" w:hAnsi="宋体" w:eastAsia="宋体"/>
                <w:sz w:val="21"/>
              </w:rPr>
              <w:t>24×GE + 4×10GE SFP+ 三层交换</w:t>
            </w:r>
          </w:p>
        </w:tc>
        <w:tc>
          <w:tcPr>
            <w:tcW w:type="dxa" w:w="1176"/>
          </w:tcPr>
          <w:p>
            <w:pPr>
              <w:jc w:val="center"/>
            </w:pPr>
            <w:r/>
            <w:r>
              <w:rPr>
                <w:rFonts w:ascii="宋体" w:hAnsi="宋体" w:eastAsia="宋体"/>
                <w:sz w:val="21"/>
              </w:rPr>
              <w:t>台</w:t>
            </w:r>
          </w:p>
        </w:tc>
        <w:tc>
          <w:tcPr>
            <w:tcW w:type="dxa" w:w="1176"/>
          </w:tcPr>
          <w:p>
            <w:pPr>
              <w:jc w:val="center"/>
            </w:pPr>
            <w:r/>
            <w:r>
              <w:rPr>
                <w:rFonts w:ascii="宋体" w:hAnsi="宋体" w:eastAsia="宋体"/>
                <w:sz w:val="21"/>
              </w:rPr>
              <w:t>4</w:t>
            </w:r>
          </w:p>
        </w:tc>
        <w:tc>
          <w:tcPr>
            <w:tcW w:type="dxa" w:w="1176"/>
          </w:tcPr>
          <w:p>
            <w:pPr>
              <w:jc w:val="center"/>
            </w:pPr>
            <w:r/>
            <w:r>
              <w:rPr>
                <w:rFonts w:ascii="宋体" w:hAnsi="宋体" w:eastAsia="宋体"/>
                <w:sz w:val="21"/>
              </w:rPr>
              <w:t>1,500.00</w:t>
            </w:r>
          </w:p>
        </w:tc>
        <w:tc>
          <w:tcPr>
            <w:tcW w:type="dxa" w:w="1176"/>
          </w:tcPr>
          <w:p>
            <w:pPr>
              <w:jc w:val="center"/>
            </w:pPr>
            <w:r/>
            <w:r>
              <w:rPr>
                <w:rFonts w:ascii="宋体" w:hAnsi="宋体" w:eastAsia="宋体"/>
                <w:sz w:val="21"/>
              </w:rPr>
              <w:t>6,000.00</w:t>
            </w:r>
          </w:p>
        </w:tc>
      </w:tr>
      <w:tr>
        <w:tc>
          <w:tcPr>
            <w:tcW w:type="dxa" w:w="7056"/>
            <w:gridSpan w:val="6"/>
          </w:tcPr>
          <w:p>
            <w:pPr>
              <w:jc w:val="right"/>
            </w:pPr>
            <w:r/>
            <w:r>
              <w:rPr>
                <w:rFonts w:ascii="黑体" w:hAnsi="黑体" w:eastAsia="黑体"/>
                <w:b/>
                <w:sz w:val="21"/>
              </w:rPr>
              <w:t>合  计</w:t>
            </w:r>
          </w:p>
        </w:tc>
        <w:tc>
          <w:tcPr>
            <w:tcW w:type="dxa" w:w="1176"/>
          </w:tcPr>
          <w:p>
            <w:pPr>
              <w:jc w:val="center"/>
            </w:pPr>
            <w:r/>
            <w:r>
              <w:rPr>
                <w:rFonts w:ascii="宋体" w:hAnsi="宋体" w:eastAsia="宋体"/>
                <w:sz w:val="21"/>
              </w:rPr>
              <w:t>—</w:t>
            </w:r>
          </w:p>
        </w:tc>
        <w:tc>
          <w:tcPr>
            <w:tcW w:type="dxa" w:w="1176"/>
          </w:tcPr>
          <w:p>
            <w:pPr>
              <w:jc w:val="center"/>
            </w:pPr>
            <w:r/>
            <w:r>
              <w:rPr>
                <w:rFonts w:ascii="黑体" w:hAnsi="黑体" w:eastAsia="黑体"/>
                <w:b/>
                <w:sz w:val="21"/>
              </w:rPr>
              <w:t>486,800.00</w:t>
            </w:r>
          </w:p>
        </w:tc>
      </w:tr>
    </w:tbl>
    <w:p>
      <w:pPr>
        <w:spacing w:after="160"/>
        <w:jc w:val="right"/>
      </w:pPr>
      <w:r>
        <w:rPr>
          <w:rFonts w:ascii="宋体" w:hAnsi="宋体" w:eastAsia="宋体"/>
          <w:b w:val="0"/>
          <w:sz w:val="20"/>
        </w:rPr>
        <w:t>（附件一：货物清单 共 4 项，合同总金额含税人民币 486,800.00 元）</w:t>
      </w:r>
    </w:p>
    <w:p>
      <w:pPr>
        <w:spacing w:before="200" w:after="80"/>
        <w:jc w:val="left"/>
      </w:pPr>
      <w:r>
        <w:rPr>
          <w:rFonts w:ascii="黑体" w:hAnsi="黑体" w:eastAsia="黑体"/>
          <w:b/>
          <w:sz w:val="28"/>
        </w:rPr>
        <w:t>二、合同金额</w:t>
      </w:r>
    </w:p>
    <w:p>
      <w:pPr>
        <w:spacing w:after="60"/>
        <w:ind w:firstLine="420"/>
        <w:jc w:val="both"/>
      </w:pPr>
      <w:r>
        <w:rPr>
          <w:rFonts w:ascii="宋体" w:hAnsi="宋体" w:eastAsia="宋体"/>
          <w:b w:val="0"/>
          <w:sz w:val="24"/>
        </w:rPr>
        <w:t>2.1 本合同含税总金额为人民币（大写）肆拾捌万陆仟捌佰元整（小写：¥486,800.00），含增值税专用票价款、包装费、运输费及安装调试费用。</w:t>
      </w:r>
    </w:p>
    <w:p>
      <w:pPr>
        <w:spacing w:after="160"/>
        <w:ind w:firstLine="420"/>
        <w:jc w:val="both"/>
      </w:pPr>
      <w:r>
        <w:rPr>
          <w:rFonts w:ascii="宋体" w:hAnsi="宋体" w:eastAsia="宋体"/>
          <w:b w:val="0"/>
          <w:sz w:val="24"/>
        </w:rPr>
        <w:t>2.2 除本合同另有约定或经双方书面确认的工程（货物）变更外，合同总金额不予调整。</w:t>
      </w:r>
    </w:p>
    <w:p>
      <w:pPr>
        <w:spacing w:before="200" w:after="80"/>
        <w:jc w:val="left"/>
      </w:pPr>
      <w:r>
        <w:rPr>
          <w:rFonts w:ascii="黑体" w:hAnsi="黑体" w:eastAsia="黑体"/>
          <w:b/>
          <w:sz w:val="28"/>
        </w:rPr>
        <w:t>三、技术资料与知识产权</w:t>
      </w:r>
    </w:p>
    <w:p>
      <w:pPr>
        <w:spacing w:after="60"/>
        <w:ind w:firstLine="420"/>
        <w:jc w:val="both"/>
      </w:pPr>
      <w:r>
        <w:rPr>
          <w:rFonts w:ascii="宋体" w:hAnsi="宋体" w:eastAsia="宋体"/>
          <w:b w:val="0"/>
          <w:sz w:val="24"/>
        </w:rPr>
        <w:t>3.1 乙方应在交货时向甲方提供货物正常使用所需的全部技术资料，包括但不限于产品说明书、合格证明、保修卡、出厂检测报告及操作手册。</w:t>
      </w:r>
    </w:p>
    <w:p>
      <w:pPr>
        <w:spacing w:after="160"/>
        <w:ind w:firstLine="420"/>
        <w:jc w:val="both"/>
      </w:pPr>
      <w:r>
        <w:rPr>
          <w:rFonts w:ascii="宋体" w:hAnsi="宋体" w:eastAsia="宋体"/>
          <w:b w:val="0"/>
          <w:sz w:val="24"/>
        </w:rPr>
        <w:t>3.2 乙方保证所提供的货物及其任何组成部分均不侵犯任何第三方的专利权、商标权、著作权或其他知识产权；如因知识产权瑕疵导致甲方被追责，乙方应承担全部赔偿责任。</w:t>
      </w:r>
    </w:p>
    <w:p>
      <w:pPr>
        <w:spacing w:before="200" w:after="80"/>
        <w:jc w:val="left"/>
      </w:pPr>
      <w:r>
        <w:rPr>
          <w:rFonts w:ascii="黑体" w:hAnsi="黑体" w:eastAsia="黑体"/>
          <w:b/>
          <w:sz w:val="28"/>
        </w:rPr>
        <w:t>四、质量标准与包装</w:t>
      </w:r>
    </w:p>
    <w:p>
      <w:pPr>
        <w:spacing w:after="60"/>
        <w:ind w:firstLine="420"/>
        <w:jc w:val="both"/>
      </w:pPr>
      <w:r>
        <w:rPr>
          <w:rFonts w:ascii="宋体" w:hAnsi="宋体" w:eastAsia="宋体"/>
          <w:b w:val="0"/>
          <w:sz w:val="24"/>
        </w:rPr>
        <w:t>4.1 货物质量应符合国家、行业现行标准及生产厂家的出厂技术标准，并满足甲方在采购文件中的技术规格要求。</w:t>
      </w:r>
    </w:p>
    <w:p>
      <w:pPr>
        <w:spacing w:after="160"/>
        <w:ind w:firstLine="420"/>
        <w:jc w:val="both"/>
      </w:pPr>
      <w:r>
        <w:rPr>
          <w:rFonts w:ascii="宋体" w:hAnsi="宋体" w:eastAsia="宋体"/>
          <w:b w:val="0"/>
          <w:sz w:val="24"/>
        </w:rPr>
        <w:t>4.2 乙方应按适于长途运输、防潮、防震、防锈的要求对货物进行包装，因包装不善导致的毁损、灭失由乙方负责。</w:t>
      </w:r>
    </w:p>
    <w:p>
      <w:pPr>
        <w:spacing w:before="200" w:after="80"/>
        <w:jc w:val="left"/>
      </w:pPr>
      <w:r>
        <w:rPr>
          <w:rFonts w:ascii="黑体" w:hAnsi="黑体" w:eastAsia="黑体"/>
          <w:b/>
          <w:sz w:val="28"/>
        </w:rPr>
        <w:t>五、交货期、交货方式及交货地点</w:t>
      </w:r>
    </w:p>
    <w:p>
      <w:pPr>
        <w:spacing w:after="60"/>
        <w:ind w:firstLine="420"/>
        <w:jc w:val="both"/>
      </w:pPr>
      <w:r>
        <w:rPr>
          <w:rFonts w:ascii="宋体" w:hAnsi="宋体" w:eastAsia="宋体"/>
          <w:b w:val="0"/>
          <w:sz w:val="24"/>
        </w:rPr>
        <w:t>5.1 交货期：本合同自双方签字盖章且甲方支付预付款之日起 15 日内（即 2026 年 3 月 27 日前）交付完毕。</w:t>
      </w:r>
    </w:p>
    <w:p>
      <w:pPr>
        <w:spacing w:after="60"/>
        <w:ind w:firstLine="420"/>
        <w:jc w:val="both"/>
      </w:pPr>
      <w:r>
        <w:rPr>
          <w:rFonts w:ascii="宋体" w:hAnsi="宋体" w:eastAsia="宋体"/>
          <w:b w:val="0"/>
          <w:sz w:val="24"/>
        </w:rPr>
        <w:t>5.2 交货方式：由乙方负责送货至甲方指定地点，运输工具及运费由乙方承担，运输途中货物风险由乙方负担。</w:t>
      </w:r>
    </w:p>
    <w:p>
      <w:pPr>
        <w:spacing w:after="160"/>
        <w:ind w:firstLine="420"/>
        <w:jc w:val="both"/>
      </w:pPr>
      <w:r>
        <w:rPr>
          <w:rFonts w:ascii="宋体" w:hAnsi="宋体" w:eastAsia="宋体"/>
          <w:b w:val="0"/>
          <w:sz w:val="24"/>
        </w:rPr>
        <w:t>5.3 交货地点：安徽省合肥市蜀山区望江西路 666 号创新产业园 B 座 12 层 甲方库房。</w:t>
      </w:r>
    </w:p>
    <w:p>
      <w:pPr>
        <w:spacing w:before="200" w:after="80"/>
        <w:jc w:val="left"/>
      </w:pPr>
      <w:r>
        <w:rPr>
          <w:rFonts w:ascii="黑体" w:hAnsi="黑体" w:eastAsia="黑体"/>
          <w:b/>
          <w:sz w:val="28"/>
        </w:rPr>
        <w:t>六、验收与调试</w:t>
      </w:r>
    </w:p>
    <w:p>
      <w:pPr>
        <w:spacing w:after="60"/>
        <w:ind w:firstLine="420"/>
        <w:jc w:val="both"/>
      </w:pPr>
      <w:r>
        <w:rPr>
          <w:rFonts w:ascii="宋体" w:hAnsi="宋体" w:eastAsia="宋体"/>
          <w:b w:val="0"/>
          <w:sz w:val="24"/>
        </w:rPr>
        <w:t>6.1 甲方在收到货物后依据货物清单及技术规格进行到货初验，对外观、数量、型号相符者予以签收；初验不合格的有权拒收。</w:t>
      </w:r>
    </w:p>
    <w:p>
      <w:pPr>
        <w:spacing w:after="60"/>
        <w:ind w:firstLine="420"/>
        <w:jc w:val="both"/>
      </w:pPr>
      <w:r>
        <w:rPr>
          <w:rFonts w:ascii="宋体" w:hAnsi="宋体" w:eastAsia="宋体"/>
          <w:b w:val="0"/>
          <w:sz w:val="24"/>
        </w:rPr>
        <w:t>6.2 乙方负责现场安装、调试，并对甲方操作人员进行使用培训，直至设备正常运行、符合技术要求后，由甲方组织最终验收并签署验收报告。</w:t>
      </w:r>
    </w:p>
    <w:p>
      <w:pPr>
        <w:spacing w:after="160"/>
        <w:ind w:firstLine="420"/>
        <w:jc w:val="both"/>
      </w:pPr>
      <w:r>
        <w:rPr>
          <w:rFonts w:ascii="宋体" w:hAnsi="宋体" w:eastAsia="宋体"/>
          <w:b w:val="0"/>
          <w:sz w:val="24"/>
        </w:rPr>
        <w:t>6.3 对技术复杂的设备，甲方可邀请第三方专业检测机构参与验收，费用由乙方承担。</w:t>
      </w:r>
    </w:p>
    <w:p>
      <w:pPr>
        <w:spacing w:before="200" w:after="80"/>
        <w:jc w:val="left"/>
      </w:pPr>
      <w:r>
        <w:rPr>
          <w:rFonts w:ascii="黑体" w:hAnsi="黑体" w:eastAsia="黑体"/>
          <w:b/>
          <w:sz w:val="28"/>
        </w:rPr>
        <w:t>七、货款支付</w:t>
      </w:r>
    </w:p>
    <w:p>
      <w:pPr>
        <w:spacing w:after="60"/>
        <w:ind w:firstLine="420"/>
        <w:jc w:val="both"/>
      </w:pPr>
      <w:r>
        <w:rPr>
          <w:rFonts w:ascii="宋体" w:hAnsi="宋体" w:eastAsia="宋体"/>
          <w:b w:val="0"/>
          <w:sz w:val="24"/>
        </w:rPr>
        <w:t>7.1 本合同以银行转账（人民币）结算，款项分四期支付：</w:t>
      </w:r>
    </w:p>
    <w:p>
      <w:pPr>
        <w:spacing w:after="60"/>
        <w:ind w:left="510"/>
        <w:jc w:val="both"/>
      </w:pPr>
      <w:r>
        <w:rPr>
          <w:rFonts w:ascii="宋体" w:hAnsi="宋体" w:eastAsia="宋体"/>
          <w:sz w:val="24"/>
        </w:rPr>
        <w:t>第一期（预付款）：合同签订并生效后 5 个工作日内，甲方向乙方支付合同总价 30%，计人民币 146,040.00 元；</w:t>
      </w:r>
    </w:p>
    <w:p>
      <w:pPr>
        <w:spacing w:after="60"/>
        <w:ind w:left="510"/>
        <w:jc w:val="both"/>
      </w:pPr>
      <w:r>
        <w:rPr>
          <w:rFonts w:ascii="宋体" w:hAnsi="宋体" w:eastAsia="宋体"/>
          <w:sz w:val="24"/>
        </w:rPr>
        <w:t>第二期（到货款）：货物送达甲方指定地点并经初验点数无误后 5 个工作日内，支付合同总价 25%，计人民币 121,700.00 元；</w:t>
      </w:r>
    </w:p>
    <w:p>
      <w:pPr>
        <w:spacing w:after="60"/>
        <w:ind w:left="510"/>
        <w:jc w:val="both"/>
      </w:pPr>
      <w:r>
        <w:rPr>
          <w:rFonts w:ascii="宋体" w:hAnsi="宋体" w:eastAsia="宋体"/>
          <w:sz w:val="24"/>
        </w:rPr>
        <w:t>第三期（验收款）：设备安装调试完成、最终验收合格后 5 个工作日内，支付合同总价 35%，计人民币 170,380.00 元；</w:t>
      </w:r>
    </w:p>
    <w:p>
      <w:pPr>
        <w:spacing w:after="60"/>
        <w:ind w:left="510"/>
        <w:jc w:val="both"/>
      </w:pPr>
      <w:r>
        <w:rPr>
          <w:rFonts w:ascii="宋体" w:hAnsi="宋体" w:eastAsia="宋体"/>
          <w:sz w:val="24"/>
        </w:rPr>
        <w:t>第四期（质保金）：合同总价 10% 计人民币 48,680.00 元作为质量保证金，质保期满无质量问题后 10 个工作日内无息付清。</w:t>
      </w:r>
    </w:p>
    <w:p>
      <w:pPr>
        <w:spacing w:after="160"/>
        <w:ind w:firstLine="420"/>
        <w:jc w:val="both"/>
      </w:pPr>
      <w:r>
        <w:rPr>
          <w:rFonts w:ascii="宋体" w:hAnsi="宋体" w:eastAsia="宋体"/>
          <w:b w:val="0"/>
          <w:sz w:val="24"/>
        </w:rPr>
        <w:t>7.2 乙方应在每次付款前开具等额、合法、有效的增值税专用发票，否则甲方有权顺延付款且不承担违约责任。</w:t>
      </w:r>
    </w:p>
    <w:p>
      <w:pPr>
        <w:spacing w:before="200" w:after="80"/>
        <w:jc w:val="left"/>
      </w:pPr>
      <w:r>
        <w:rPr>
          <w:rFonts w:ascii="黑体" w:hAnsi="黑体" w:eastAsia="黑体"/>
          <w:b/>
          <w:sz w:val="28"/>
        </w:rPr>
        <w:t>八、质量保证及售后服务</w:t>
      </w:r>
    </w:p>
    <w:p>
      <w:pPr>
        <w:spacing w:after="60"/>
        <w:ind w:firstLine="420"/>
        <w:jc w:val="both"/>
      </w:pPr>
      <w:r>
        <w:rPr>
          <w:rFonts w:ascii="宋体" w:hAnsi="宋体" w:eastAsia="宋体"/>
          <w:b w:val="0"/>
          <w:sz w:val="24"/>
        </w:rPr>
        <w:t>8.1 乙方提供自最终验收合格之日起不少于 12 个月的质量保证期。质保期内因货物本身质量问题发生故障的，乙方负责免费维修或更换。</w:t>
      </w:r>
    </w:p>
    <w:p>
      <w:pPr>
        <w:spacing w:after="60"/>
        <w:ind w:firstLine="420"/>
        <w:jc w:val="both"/>
      </w:pPr>
      <w:r>
        <w:rPr>
          <w:rFonts w:ascii="宋体" w:hAnsi="宋体" w:eastAsia="宋体"/>
          <w:b w:val="0"/>
          <w:sz w:val="24"/>
        </w:rPr>
        <w:t>8.2 质保期内乙方提供 7×24 小时响应，接到甲方故障通知后 4 小时内做出响应，24 小时内到达现场处理。</w:t>
      </w:r>
    </w:p>
    <w:p>
      <w:pPr>
        <w:spacing w:after="160"/>
        <w:ind w:firstLine="420"/>
        <w:jc w:val="both"/>
      </w:pPr>
      <w:r>
        <w:rPr>
          <w:rFonts w:ascii="宋体" w:hAnsi="宋体" w:eastAsia="宋体"/>
          <w:b w:val="0"/>
          <w:sz w:val="24"/>
        </w:rPr>
        <w:t>8.3 超过质保期的设备，乙方提供终身维修服务，仅收取零部件成本费。</w:t>
      </w:r>
    </w:p>
    <w:p>
      <w:pPr>
        <w:spacing w:before="200" w:after="80"/>
        <w:jc w:val="left"/>
      </w:pPr>
      <w:r>
        <w:rPr>
          <w:rFonts w:ascii="黑体" w:hAnsi="黑体" w:eastAsia="黑体"/>
          <w:b/>
          <w:sz w:val="28"/>
        </w:rPr>
        <w:t>九、所有权与风险转移</w:t>
      </w:r>
    </w:p>
    <w:p>
      <w:pPr>
        <w:spacing w:after="60"/>
        <w:ind w:firstLine="420"/>
        <w:jc w:val="both"/>
      </w:pPr>
      <w:r>
        <w:rPr>
          <w:rFonts w:ascii="宋体" w:hAnsi="宋体" w:eastAsia="宋体"/>
          <w:b w:val="0"/>
          <w:sz w:val="24"/>
        </w:rPr>
        <w:t>9.1 货物交付并经甲方签收前，毁损、灭失的风险由乙方承担；交付签收后风险转移至甲方。</w:t>
      </w:r>
    </w:p>
    <w:p>
      <w:pPr>
        <w:spacing w:after="160"/>
        <w:ind w:firstLine="420"/>
        <w:jc w:val="both"/>
      </w:pPr>
      <w:r>
        <w:rPr>
          <w:rFonts w:ascii="宋体" w:hAnsi="宋体" w:eastAsia="宋体"/>
          <w:b w:val="0"/>
          <w:sz w:val="24"/>
        </w:rPr>
        <w:t>9.2 在甲方付清全部货款前，货物的所有权归乙方所有；甲方付清全部货款后所有权转移至甲方。</w:t>
      </w:r>
    </w:p>
    <w:p>
      <w:pPr>
        <w:spacing w:before="200" w:after="80"/>
        <w:jc w:val="left"/>
      </w:pPr>
      <w:r>
        <w:rPr>
          <w:rFonts w:ascii="黑体" w:hAnsi="黑体" w:eastAsia="黑体"/>
          <w:b/>
          <w:sz w:val="28"/>
        </w:rPr>
        <w:t>十、违约责任</w:t>
      </w:r>
    </w:p>
    <w:p>
      <w:pPr>
        <w:spacing w:after="60"/>
        <w:ind w:firstLine="420"/>
        <w:jc w:val="both"/>
      </w:pPr>
      <w:r>
        <w:rPr>
          <w:rFonts w:ascii="宋体" w:hAnsi="宋体" w:eastAsia="宋体"/>
          <w:b w:val="0"/>
          <w:sz w:val="24"/>
        </w:rPr>
        <w:t>10.1 乙方逾期交货的，应按逾期交货总额每日千分之六向甲方支付违约金；逾期超过 10 个工作日仍不能交货的，甲方有权解除合同，乙方应退还已收款并支付合同总价 5% 的违约金。</w:t>
      </w:r>
    </w:p>
    <w:p>
      <w:pPr>
        <w:spacing w:after="60"/>
        <w:ind w:firstLine="420"/>
        <w:jc w:val="both"/>
      </w:pPr>
      <w:r>
        <w:rPr>
          <w:rFonts w:ascii="宋体" w:hAnsi="宋体" w:eastAsia="宋体"/>
          <w:b w:val="0"/>
          <w:sz w:val="24"/>
        </w:rPr>
        <w:t>10.2 乙方交付货物不符合约定质量、规格的，甲方有权拒收或要求更换、修理；因此给甲方造成损失的，乙方应全额赔偿。</w:t>
      </w:r>
    </w:p>
    <w:p>
      <w:pPr>
        <w:spacing w:after="160"/>
        <w:ind w:firstLine="420"/>
        <w:jc w:val="both"/>
      </w:pPr>
      <w:r>
        <w:rPr>
          <w:rFonts w:ascii="宋体" w:hAnsi="宋体" w:eastAsia="宋体"/>
          <w:b w:val="0"/>
          <w:sz w:val="24"/>
        </w:rPr>
        <w:t>10.3 甲方逾期付款的，应按逾期付款金额每日万分之五向乙方支付违约金；逾期超过 30 日的，乙方可暂停供货。</w:t>
      </w:r>
    </w:p>
    <w:p>
      <w:pPr>
        <w:spacing w:before="200" w:after="80"/>
        <w:jc w:val="left"/>
      </w:pPr>
      <w:r>
        <w:rPr>
          <w:rFonts w:ascii="黑体" w:hAnsi="黑体" w:eastAsia="黑体"/>
          <w:b/>
          <w:sz w:val="28"/>
        </w:rPr>
        <w:t>十一、不可抗力</w:t>
      </w:r>
    </w:p>
    <w:p>
      <w:pPr>
        <w:spacing w:after="60"/>
        <w:ind w:firstLine="420"/>
        <w:jc w:val="both"/>
      </w:pPr>
      <w:r>
        <w:rPr>
          <w:rFonts w:ascii="宋体" w:hAnsi="宋体" w:eastAsia="宋体"/>
          <w:b w:val="0"/>
          <w:sz w:val="24"/>
        </w:rPr>
        <w:t>11.1 因地震、台风、洪水、战争、政府行为等不可抗力导致不能履行合同的，受影响方应及时通知对方并提供证明，可据实延期或部分免除责任。</w:t>
      </w:r>
    </w:p>
    <w:p>
      <w:pPr>
        <w:spacing w:after="160"/>
        <w:ind w:firstLine="420"/>
        <w:jc w:val="both"/>
      </w:pPr>
      <w:r>
        <w:rPr>
          <w:rFonts w:ascii="宋体" w:hAnsi="宋体" w:eastAsia="宋体"/>
          <w:b w:val="0"/>
          <w:sz w:val="24"/>
        </w:rPr>
        <w:t>11.2 不可抗力影响持续 120 天以上的，双方应友好协商是否继续履行合同。</w:t>
      </w:r>
    </w:p>
    <w:p>
      <w:pPr>
        <w:spacing w:before="200" w:after="80"/>
        <w:jc w:val="left"/>
      </w:pPr>
      <w:r>
        <w:rPr>
          <w:rFonts w:ascii="黑体" w:hAnsi="黑体" w:eastAsia="黑体"/>
          <w:b/>
          <w:sz w:val="28"/>
        </w:rPr>
        <w:t>十二、保密条款</w:t>
      </w:r>
    </w:p>
    <w:p>
      <w:pPr>
        <w:spacing w:after="160"/>
        <w:ind w:firstLine="420"/>
        <w:jc w:val="both"/>
      </w:pPr>
      <w:r>
        <w:rPr>
          <w:rFonts w:ascii="宋体" w:hAnsi="宋体" w:eastAsia="宋体"/>
          <w:b w:val="0"/>
          <w:sz w:val="24"/>
        </w:rPr>
        <w:t>12.1 双方对在履约过程中知悉的对方商业秘密、技术资料负有保密义务，未经对方书面同意不得向第三方披露；该义务在合同终止后继续有效。</w:t>
      </w:r>
    </w:p>
    <w:p>
      <w:pPr>
        <w:spacing w:before="200" w:after="80"/>
        <w:jc w:val="left"/>
      </w:pPr>
      <w:r>
        <w:rPr>
          <w:rFonts w:ascii="黑体" w:hAnsi="黑体" w:eastAsia="黑体"/>
          <w:b/>
          <w:sz w:val="28"/>
        </w:rPr>
        <w:t>十三、争议解决</w:t>
      </w:r>
    </w:p>
    <w:p>
      <w:pPr>
        <w:spacing w:after="160"/>
        <w:ind w:firstLine="420"/>
        <w:jc w:val="both"/>
      </w:pPr>
      <w:r>
        <w:rPr>
          <w:rFonts w:ascii="宋体" w:hAnsi="宋体" w:eastAsia="宋体"/>
          <w:b w:val="0"/>
          <w:sz w:val="24"/>
        </w:rPr>
        <w:t>13.1 本合同履行中发生争议，双方应协商解决；协商不成的，任何一方均可向甲方所在地（安徽省合肥市）有管辖权的人民法院提起诉讼。</w:t>
      </w:r>
    </w:p>
    <w:p>
      <w:pPr>
        <w:spacing w:before="200" w:after="80"/>
        <w:jc w:val="left"/>
      </w:pPr>
      <w:r>
        <w:rPr>
          <w:rFonts w:ascii="黑体" w:hAnsi="黑体" w:eastAsia="黑体"/>
          <w:b/>
          <w:sz w:val="28"/>
        </w:rPr>
        <w:t>十四、合同生效及其他</w:t>
      </w:r>
    </w:p>
    <w:p>
      <w:pPr>
        <w:spacing w:after="60"/>
        <w:ind w:firstLine="420"/>
        <w:jc w:val="both"/>
      </w:pPr>
      <w:r>
        <w:rPr>
          <w:rFonts w:ascii="宋体" w:hAnsi="宋体" w:eastAsia="宋体"/>
          <w:b w:val="0"/>
          <w:sz w:val="24"/>
        </w:rPr>
        <w:t>14.1 本合同经双方法定代表人或授权代理人签字并加盖单位公章（或合同专用章）后生效。</w:t>
      </w:r>
    </w:p>
    <w:p>
      <w:pPr>
        <w:spacing w:after="60"/>
        <w:ind w:firstLine="420"/>
        <w:jc w:val="both"/>
      </w:pPr>
      <w:r>
        <w:rPr>
          <w:rFonts w:ascii="宋体" w:hAnsi="宋体" w:eastAsia="宋体"/>
          <w:b w:val="0"/>
          <w:sz w:val="24"/>
        </w:rPr>
        <w:t>14.2 本合同一式肆份，甲乙双方各执贰份，具有同等法律效力。</w:t>
      </w:r>
    </w:p>
    <w:p>
      <w:pPr>
        <w:spacing w:after="160"/>
        <w:ind w:firstLine="420"/>
        <w:jc w:val="both"/>
      </w:pPr>
      <w:r>
        <w:rPr>
          <w:rFonts w:ascii="宋体" w:hAnsi="宋体" w:eastAsia="宋体"/>
          <w:b w:val="0"/>
          <w:sz w:val="24"/>
        </w:rPr>
        <w:t>14.3 本合同未尽事宜，由双方另行签订书面补充协议，补充协议与本合同具有同等法律效力。</w:t>
      </w:r>
    </w:p>
    <w:p>
      <w:pPr>
        <w:spacing w:before="200" w:after="80"/>
        <w:jc w:val="left"/>
      </w:pPr>
      <w:r>
        <w:rPr>
          <w:rFonts w:ascii="黑体" w:hAnsi="黑体" w:eastAsia="黑体"/>
          <w:b/>
          <w:sz w:val="26"/>
        </w:rPr>
        <w:t>十五、签署信息</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黑体" w:hAnsi="黑体" w:eastAsia="黑体"/>
                <w:b/>
                <w:sz w:val="22"/>
              </w:rPr>
              <w:t>项　目</w:t>
            </w:r>
          </w:p>
        </w:tc>
        <w:tc>
          <w:tcPr>
            <w:tcW w:type="dxa" w:w="3135"/>
          </w:tcPr>
          <w:p>
            <w:pPr>
              <w:jc w:val="center"/>
            </w:pPr>
            <w:r/>
            <w:r>
              <w:rPr>
                <w:rFonts w:ascii="黑体" w:hAnsi="黑体" w:eastAsia="黑体"/>
                <w:b/>
                <w:sz w:val="22"/>
              </w:rPr>
              <w:t>甲方（买方）</w:t>
            </w:r>
          </w:p>
        </w:tc>
        <w:tc>
          <w:tcPr>
            <w:tcW w:type="dxa" w:w="3135"/>
          </w:tcPr>
          <w:p>
            <w:pPr>
              <w:jc w:val="center"/>
            </w:pPr>
            <w:r/>
            <w:r>
              <w:rPr>
                <w:rFonts w:ascii="黑体" w:hAnsi="黑体" w:eastAsia="黑体"/>
                <w:b/>
                <w:sz w:val="22"/>
              </w:rPr>
              <w:t>乙方（卖方）</w:t>
            </w:r>
          </w:p>
        </w:tc>
      </w:tr>
      <w:tr>
        <w:tc>
          <w:tcPr>
            <w:tcW w:type="dxa" w:w="3135"/>
          </w:tcPr>
          <w:p>
            <w:pPr>
              <w:jc w:val="center"/>
            </w:pPr>
            <w:r/>
            <w:r>
              <w:rPr>
                <w:rFonts w:ascii="黑体" w:hAnsi="黑体" w:eastAsia="黑体"/>
                <w:b/>
                <w:sz w:val="21"/>
              </w:rPr>
              <w:t>单位名称</w:t>
            </w:r>
          </w:p>
        </w:tc>
        <w:tc>
          <w:tcPr>
            <w:tcW w:type="dxa" w:w="3135"/>
          </w:tcPr>
          <w:p>
            <w:pPr>
              <w:jc w:val="left"/>
            </w:pPr>
            <w:r/>
            <w:r>
              <w:rPr>
                <w:rFonts w:ascii="宋体" w:hAnsi="宋体" w:eastAsia="宋体"/>
                <w:sz w:val="21"/>
              </w:rPr>
              <w:t>合肥智联嘉合科技有限公司</w:t>
            </w:r>
          </w:p>
        </w:tc>
        <w:tc>
          <w:tcPr>
            <w:tcW w:type="dxa" w:w="3135"/>
          </w:tcPr>
          <w:p>
            <w:pPr>
              <w:jc w:val="left"/>
            </w:pPr>
            <w:r/>
            <w:r>
              <w:rPr>
                <w:rFonts w:ascii="宋体" w:hAnsi="宋体" w:eastAsia="宋体"/>
                <w:sz w:val="21"/>
              </w:rPr>
              <w:t>深圳市锐讯电子科技有限公司</w:t>
            </w:r>
          </w:p>
        </w:tc>
      </w:tr>
      <w:tr>
        <w:tc>
          <w:tcPr>
            <w:tcW w:type="dxa" w:w="3135"/>
          </w:tcPr>
          <w:p>
            <w:pPr>
              <w:jc w:val="center"/>
            </w:pPr>
            <w:r/>
            <w:r>
              <w:rPr>
                <w:rFonts w:ascii="黑体" w:hAnsi="黑体" w:eastAsia="黑体"/>
                <w:b/>
                <w:sz w:val="21"/>
              </w:rPr>
              <w:t>住　　所</w:t>
            </w:r>
          </w:p>
        </w:tc>
        <w:tc>
          <w:tcPr>
            <w:tcW w:type="dxa" w:w="3135"/>
          </w:tcPr>
          <w:p>
            <w:pPr>
              <w:jc w:val="left"/>
            </w:pPr>
            <w:r/>
            <w:r>
              <w:rPr>
                <w:rFonts w:ascii="宋体" w:hAnsi="宋体" w:eastAsia="宋体"/>
                <w:sz w:val="21"/>
              </w:rPr>
              <w:t>安徽省合肥市蜀山区望江西路 666 号创新产业园 B 座 12 层</w:t>
            </w:r>
          </w:p>
        </w:tc>
        <w:tc>
          <w:tcPr>
            <w:tcW w:type="dxa" w:w="3135"/>
          </w:tcPr>
          <w:p>
            <w:pPr>
              <w:jc w:val="left"/>
            </w:pPr>
            <w:r/>
            <w:r>
              <w:rPr>
                <w:rFonts w:ascii="宋体" w:hAnsi="宋体" w:eastAsia="宋体"/>
                <w:sz w:val="21"/>
              </w:rPr>
              <w:t>广东省深圳市南山区科技中一路 3 号软件大厦 8 楼</w:t>
            </w:r>
          </w:p>
        </w:tc>
      </w:tr>
      <w:tr>
        <w:tc>
          <w:tcPr>
            <w:tcW w:type="dxa" w:w="3135"/>
          </w:tcPr>
          <w:p>
            <w:pPr>
              <w:jc w:val="center"/>
            </w:pPr>
            <w:r/>
            <w:r>
              <w:rPr>
                <w:rFonts w:ascii="黑体" w:hAnsi="黑体" w:eastAsia="黑体"/>
                <w:b/>
                <w:sz w:val="21"/>
              </w:rPr>
              <w:t>法定代表人</w:t>
            </w:r>
          </w:p>
        </w:tc>
        <w:tc>
          <w:tcPr>
            <w:tcW w:type="dxa" w:w="3135"/>
          </w:tcPr>
          <w:p>
            <w:pPr>
              <w:jc w:val="left"/>
            </w:pPr>
            <w:r/>
            <w:r>
              <w:rPr>
                <w:rFonts w:ascii="宋体" w:hAnsi="宋体" w:eastAsia="宋体"/>
                <w:sz w:val="21"/>
              </w:rPr>
              <w:t>陈志远</w:t>
            </w:r>
          </w:p>
        </w:tc>
        <w:tc>
          <w:tcPr>
            <w:tcW w:type="dxa" w:w="3135"/>
          </w:tcPr>
          <w:p>
            <w:pPr>
              <w:jc w:val="left"/>
            </w:pPr>
            <w:r/>
            <w:r>
              <w:rPr>
                <w:rFonts w:ascii="宋体" w:hAnsi="宋体" w:eastAsia="宋体"/>
                <w:sz w:val="21"/>
              </w:rPr>
              <w:t>林　浩</w:t>
            </w:r>
          </w:p>
        </w:tc>
      </w:tr>
      <w:tr>
        <w:tc>
          <w:tcPr>
            <w:tcW w:type="dxa" w:w="3135"/>
          </w:tcPr>
          <w:p>
            <w:pPr>
              <w:jc w:val="center"/>
            </w:pPr>
            <w:r/>
            <w:r>
              <w:rPr>
                <w:rFonts w:ascii="黑体" w:hAnsi="黑体" w:eastAsia="黑体"/>
                <w:b/>
                <w:sz w:val="21"/>
              </w:rPr>
              <w:t>授权代理人</w:t>
            </w:r>
          </w:p>
        </w:tc>
        <w:tc>
          <w:tcPr>
            <w:tcW w:type="dxa" w:w="3135"/>
          </w:tcPr>
          <w:p>
            <w:pPr>
              <w:jc w:val="left"/>
            </w:pPr>
            <w:r/>
            <w:r>
              <w:rPr>
                <w:rFonts w:ascii="宋体" w:hAnsi="宋体" w:eastAsia="宋体"/>
                <w:sz w:val="21"/>
              </w:rPr>
              <w:t>王　琳</w:t>
            </w:r>
          </w:p>
        </w:tc>
        <w:tc>
          <w:tcPr>
            <w:tcW w:type="dxa" w:w="3135"/>
          </w:tcPr>
          <w:p>
            <w:pPr>
              <w:jc w:val="left"/>
            </w:pPr>
            <w:r/>
            <w:r>
              <w:rPr>
                <w:rFonts w:ascii="宋体" w:hAnsi="宋体" w:eastAsia="宋体"/>
                <w:sz w:val="21"/>
              </w:rPr>
              <w:t>周　敏</w:t>
            </w:r>
          </w:p>
        </w:tc>
      </w:tr>
      <w:tr>
        <w:tc>
          <w:tcPr>
            <w:tcW w:type="dxa" w:w="3135"/>
          </w:tcPr>
          <w:p>
            <w:pPr>
              <w:jc w:val="center"/>
            </w:pPr>
            <w:r/>
            <w:r>
              <w:rPr>
                <w:rFonts w:ascii="黑体" w:hAnsi="黑体" w:eastAsia="黑体"/>
                <w:b/>
                <w:sz w:val="21"/>
              </w:rPr>
              <w:t>开户银行</w:t>
            </w:r>
          </w:p>
        </w:tc>
        <w:tc>
          <w:tcPr>
            <w:tcW w:type="dxa" w:w="3135"/>
          </w:tcPr>
          <w:p>
            <w:pPr>
              <w:jc w:val="left"/>
            </w:pPr>
            <w:r/>
            <w:r>
              <w:rPr>
                <w:rFonts w:ascii="宋体" w:hAnsi="宋体" w:eastAsia="宋体"/>
                <w:sz w:val="21"/>
              </w:rPr>
              <w:t>招商银行合肥分行高新支行</w:t>
            </w:r>
          </w:p>
        </w:tc>
        <w:tc>
          <w:tcPr>
            <w:tcW w:type="dxa" w:w="3135"/>
          </w:tcPr>
          <w:p>
            <w:pPr>
              <w:jc w:val="left"/>
            </w:pPr>
            <w:r/>
            <w:r>
              <w:rPr>
                <w:rFonts w:ascii="宋体" w:hAnsi="宋体" w:eastAsia="宋体"/>
                <w:sz w:val="21"/>
              </w:rPr>
              <w:t>中国工商银行深圳分行科技园支行</w:t>
            </w:r>
          </w:p>
        </w:tc>
      </w:tr>
      <w:tr>
        <w:tc>
          <w:tcPr>
            <w:tcW w:type="dxa" w:w="3135"/>
          </w:tcPr>
          <w:p>
            <w:pPr>
              <w:jc w:val="center"/>
            </w:pPr>
            <w:r/>
            <w:r>
              <w:rPr>
                <w:rFonts w:ascii="黑体" w:hAnsi="黑体" w:eastAsia="黑体"/>
                <w:b/>
                <w:sz w:val="21"/>
              </w:rPr>
              <w:t>银行账号</w:t>
            </w:r>
          </w:p>
        </w:tc>
        <w:tc>
          <w:tcPr>
            <w:tcW w:type="dxa" w:w="3135"/>
          </w:tcPr>
          <w:p>
            <w:pPr>
              <w:jc w:val="left"/>
            </w:pPr>
            <w:r/>
            <w:r>
              <w:rPr>
                <w:rFonts w:ascii="宋体" w:hAnsi="宋体" w:eastAsia="宋体"/>
                <w:sz w:val="21"/>
              </w:rPr>
              <w:t>5519 0288 6610 001</w:t>
            </w:r>
          </w:p>
        </w:tc>
        <w:tc>
          <w:tcPr>
            <w:tcW w:type="dxa" w:w="3135"/>
          </w:tcPr>
          <w:p>
            <w:pPr>
              <w:jc w:val="left"/>
            </w:pPr>
            <w:r/>
            <w:r>
              <w:rPr>
                <w:rFonts w:ascii="宋体" w:hAnsi="宋体" w:eastAsia="宋体"/>
                <w:sz w:val="21"/>
              </w:rPr>
              <w:t>4000 0238 0920 0518 866</w:t>
            </w:r>
          </w:p>
        </w:tc>
      </w:tr>
      <w:tr>
        <w:tc>
          <w:tcPr>
            <w:tcW w:type="dxa" w:w="3135"/>
          </w:tcPr>
          <w:p>
            <w:pPr>
              <w:jc w:val="center"/>
            </w:pPr>
            <w:r/>
            <w:r>
              <w:rPr>
                <w:rFonts w:ascii="黑体" w:hAnsi="黑体" w:eastAsia="黑体"/>
                <w:b/>
                <w:sz w:val="21"/>
              </w:rPr>
              <w:t>联系电话</w:t>
            </w:r>
          </w:p>
        </w:tc>
        <w:tc>
          <w:tcPr>
            <w:tcW w:type="dxa" w:w="3135"/>
          </w:tcPr>
          <w:p>
            <w:pPr>
              <w:jc w:val="left"/>
            </w:pPr>
            <w:r/>
            <w:r>
              <w:rPr>
                <w:rFonts w:ascii="宋体" w:hAnsi="宋体" w:eastAsia="宋体"/>
                <w:sz w:val="21"/>
              </w:rPr>
              <w:t>0551-6588 7700</w:t>
            </w:r>
          </w:p>
        </w:tc>
        <w:tc>
          <w:tcPr>
            <w:tcW w:type="dxa" w:w="3135"/>
          </w:tcPr>
          <w:p>
            <w:pPr>
              <w:jc w:val="left"/>
            </w:pPr>
            <w:r/>
            <w:r>
              <w:rPr>
                <w:rFonts w:ascii="宋体" w:hAnsi="宋体" w:eastAsia="宋体"/>
                <w:sz w:val="21"/>
              </w:rPr>
              <w:t>0755-2660 8899</w:t>
            </w:r>
          </w:p>
        </w:tc>
      </w:tr>
      <w:tr>
        <w:tc>
          <w:tcPr>
            <w:tcW w:type="dxa" w:w="3135"/>
          </w:tcPr>
          <w:p>
            <w:pPr>
              <w:jc w:val="center"/>
            </w:pPr>
            <w:r/>
            <w:r>
              <w:rPr>
                <w:rFonts w:ascii="黑体" w:hAnsi="黑体" w:eastAsia="黑体"/>
                <w:b/>
                <w:sz w:val="21"/>
              </w:rPr>
              <w:t>签订日期</w:t>
            </w:r>
          </w:p>
        </w:tc>
        <w:tc>
          <w:tcPr>
            <w:tcW w:type="dxa" w:w="3135"/>
          </w:tcPr>
          <w:p>
            <w:pPr>
              <w:jc w:val="left"/>
            </w:pPr>
            <w:r/>
            <w:r>
              <w:rPr>
                <w:rFonts w:ascii="宋体" w:hAnsi="宋体" w:eastAsia="宋体"/>
                <w:sz w:val="21"/>
              </w:rPr>
              <w:t>2026 年 3 月 12 日</w:t>
            </w:r>
          </w:p>
        </w:tc>
        <w:tc>
          <w:tcPr>
            <w:tcW w:type="dxa" w:w="3135"/>
          </w:tcPr>
          <w:p>
            <w:pPr>
              <w:jc w:val="left"/>
            </w:pPr>
            <w:r/>
            <w:r>
              <w:rPr>
                <w:rFonts w:ascii="宋体" w:hAnsi="宋体" w:eastAsia="宋体"/>
                <w:sz w:val="21"/>
              </w:rPr>
              <w:t>2026 年 3 月 12 日</w:t>
            </w:r>
          </w:p>
        </w:tc>
      </w:tr>
    </w:tbl>
    <w:p>
      <w:pPr>
        <w:spacing w:after="120"/>
      </w:pPr>
    </w:p>
    <w:p>
      <w:pPr>
        <w:spacing w:after="160"/>
        <w:jc w:val="center"/>
      </w:pPr>
      <w:r>
        <w:rPr>
          <w:rFonts w:ascii="宋体" w:hAnsi="宋体" w:eastAsia="宋体"/>
          <w:b w:val="0"/>
          <w:sz w:val="21"/>
        </w:rPr>
        <w:t>（以下无正文，为合同签署页）</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left"/>
            </w:pPr>
            <w:r/>
            <w:r>
              <w:rPr>
                <w:rFonts w:ascii="宋体" w:hAnsi="宋体" w:eastAsia="宋体"/>
                <w:sz w:val="22"/>
              </w:rPr>
              <w:t>甲方（盖章）：合肥智联嘉合科技有限公司</w:t>
            </w:r>
          </w:p>
        </w:tc>
        <w:tc>
          <w:tcPr>
            <w:tcW w:type="dxa" w:w="4703"/>
          </w:tcPr>
          <w:p>
            <w:pPr>
              <w:jc w:val="left"/>
            </w:pPr>
            <w:r/>
            <w:r>
              <w:rPr>
                <w:rFonts w:ascii="宋体" w:hAnsi="宋体" w:eastAsia="宋体"/>
                <w:sz w:val="22"/>
              </w:rPr>
              <w:t>乙方（盖章）：深圳市锐讯电子科技有限公司</w:t>
            </w:r>
          </w:p>
        </w:tc>
      </w:tr>
      <w:tr>
        <w:tc>
          <w:tcPr>
            <w:tcW w:type="dxa" w:w="4703"/>
          </w:tcPr>
          <w:p>
            <w:pPr>
              <w:jc w:val="left"/>
            </w:pPr>
            <w:r/>
            <w:r>
              <w:rPr>
                <w:rFonts w:ascii="宋体" w:hAnsi="宋体" w:eastAsia="宋体"/>
                <w:sz w:val="22"/>
              </w:rPr>
              <w:t>法定代表人/授权代表（签字）：＿＿＿＿</w:t>
            </w:r>
          </w:p>
        </w:tc>
        <w:tc>
          <w:tcPr>
            <w:tcW w:type="dxa" w:w="4703"/>
          </w:tcPr>
          <w:p>
            <w:pPr>
              <w:jc w:val="left"/>
            </w:pPr>
            <w:r/>
            <w:r>
              <w:rPr>
                <w:rFonts w:ascii="宋体" w:hAnsi="宋体" w:eastAsia="宋体"/>
                <w:sz w:val="22"/>
              </w:rPr>
              <w:t>法定代表人/授权代表（签字）：＿＿＿＿</w:t>
            </w:r>
          </w:p>
        </w:tc>
      </w:tr>
      <w:tr>
        <w:tc>
          <w:tcPr>
            <w:tcW w:type="dxa" w:w="4703"/>
          </w:tcPr>
          <w:p>
            <w:pPr>
              <w:jc w:val="left"/>
            </w:pPr>
            <w:r/>
            <w:r>
              <w:rPr>
                <w:rFonts w:ascii="宋体" w:hAnsi="宋体" w:eastAsia="宋体"/>
                <w:sz w:val="22"/>
              </w:rPr>
              <w:t>签订日期：2026 年 3 月 12 日</w:t>
            </w:r>
          </w:p>
        </w:tc>
        <w:tc>
          <w:tcPr>
            <w:tcW w:type="dxa" w:w="4703"/>
          </w:tcPr>
          <w:p>
            <w:pPr>
              <w:jc w:val="left"/>
            </w:pPr>
            <w:r/>
            <w:r>
              <w:rPr>
                <w:rFonts w:ascii="宋体" w:hAnsi="宋体" w:eastAsia="宋体"/>
                <w:sz w:val="22"/>
              </w:rPr>
              <w:t>签订日期：2026 年 3 月 12 日</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