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AIA 公司信息安全管理制度</w:t>
      </w:r>
    </w:p>
    <w:p>
      <w:pPr>
        <w:pStyle w:val="Heading2"/>
      </w:pPr>
      <w:r>
        <w:t>第一章 总则</w:t>
      </w:r>
    </w:p>
    <w:p>
      <w:r>
        <w:t>为规范公司信息安全管理，保障公司信息系统及数据资产的安全，根据《中华人民共和国网络安全法》《中华人民共和国数据安全法》及公司相关规定，制定本制度。</w:t>
      </w:r>
    </w:p>
    <w:p>
      <w:r>
        <w:t>本制度适用于公司全体员工、实习生、外包人员以及任何接触公司信息资产的第三方。违反本制度者将依据《员工手册》§5给予相应处分，构成犯罪的移送司法机关。</w:t>
      </w:r>
    </w:p>
    <w:p>
      <w:pPr>
        <w:pStyle w:val="Heading2"/>
      </w:pPr>
      <w:r>
        <w:t>第二章 账号与密码</w:t>
      </w:r>
    </w:p>
    <w:p>
      <w:r>
        <w:t>所有员工须使用不少于 12 位的强密码，包含大小写字母、数字及特殊字符。密码须每 90 天更换一次。员工不得将账号借给他人使用，不得在公共场合输入密码。</w:t>
      </w:r>
    </w:p>
    <w:p>
      <w:pPr>
        <w:pStyle w:val="Heading2"/>
      </w:pPr>
      <w:r>
        <w:t>第三章 数据分级</w:t>
      </w:r>
    </w:p>
    <w:p>
      <w:r>
        <w:t>公司数据分为公开、内部、机密、绝密四级。绝密数据包括未公开的财务数据、客户名单、核心算法源码、战略规划文档。绝密数据仅限经授权的核心岗位访问，访问须登记备案。</w:t>
      </w:r>
    </w:p>
    <w:p>
      <w:r>
        <w:t>关键要求：</w:t>
      </w:r>
    </w:p>
    <w:p>
      <w:pPr>
        <w:pStyle w:val="ListBullet"/>
      </w:pPr>
      <w:r>
        <w:t>所有员工须在入职后一周内完成账号激活</w:t>
      </w:r>
    </w:p>
    <w:p>
      <w:pPr>
        <w:pStyle w:val="ListBullet"/>
      </w:pPr>
      <w:r>
        <w:t>密码须符合《员工手册》§6 的强度要求</w:t>
      </w:r>
    </w:p>
    <w:p>
      <w:pPr>
        <w:pStyle w:val="ListBullet"/>
      </w:pPr>
      <w:r>
        <w:t>可疑邮件须在 24 小时内上报信息安全部</w:t>
      </w:r>
    </w:p>
    <w:p>
      <w:pPr>
        <w:pStyle w:val="Heading2"/>
      </w:pPr>
      <w:r>
        <w:t>第四章 终端与办公环境</w:t>
      </w:r>
    </w:p>
    <w:p>
      <w:r>
        <w:t>公司电脑须安装指定的杀毒软件、终端管理系统、磁盘加密软件。员工离开工位时须锁屏，长时间离开须关机。敏感数据严禁存储在个人设备上。</w:t>
      </w:r>
    </w:p>
    <w:p>
      <w:r>
        <w:t>违规处置流程：</w:t>
      </w:r>
    </w:p>
    <w:p>
      <w:pPr>
        <w:pStyle w:val="ListNumber"/>
      </w:pPr>
      <w:r>
        <w:t>信息安全部受理举报</w:t>
      </w:r>
    </w:p>
    <w:p>
      <w:pPr>
        <w:pStyle w:val="ListNumber"/>
      </w:pPr>
      <w:r>
        <w:t>技术团队 24 小时内完成取证</w:t>
      </w:r>
    </w:p>
    <w:p>
      <w:pPr>
        <w:pStyle w:val="ListNumber"/>
      </w:pPr>
      <w:r>
        <w:t>人力资源部与法务部联合研判</w:t>
      </w:r>
    </w:p>
    <w:p>
      <w:pPr>
        <w:pStyle w:val="ListNumber"/>
      </w:pPr>
      <w:r>
        <w:t>依据《员工手册》§5 给出处分建议</w:t>
      </w:r>
    </w:p>
    <w:p>
      <w:pPr>
        <w:pStyle w:val="Heading2"/>
      </w:pPr>
      <w:r>
        <w:t>第五章 事件响应</w:t>
      </w:r>
    </w:p>
    <w:p>
      <w:r>
        <w:t>如发现安全事件，须在 24 小时内向信息安全部报告。重大事件须在 1 小时内报告。信息安全部接到报告后须立即启动应急预案，必要时通知法务部与公关部。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