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sz w:val="28"/>
          <w:szCs w:val="28"/>
          <w:rFonts w:ascii="Times New Roman" w:cs="Times New Roman" w:eastAsia="Times New Roman" w:hAnsi="Times New Roman"/>
        </w:rPr>
        <w:t xml:space="preserve">UNDERGRADUATE RESEARCH OPPORTUNITY PROGRAMME</w:t>
      </w:r>
    </w:p>
    <w:p>
      <w:pPr>
        <w:spacing w:after="1200"/>
        <w:jc w:val="center"/>
      </w:pPr>
      <w:r>
        <w:rPr>
          <w:b/>
          <w:bCs/>
          <w:sz w:val="28"/>
          <w:szCs w:val="28"/>
          <w:rFonts w:ascii="Times New Roman" w:cs="Times New Roman" w:eastAsia="Times New Roman" w:hAnsi="Times New Roman"/>
        </w:rPr>
        <w:t xml:space="preserve">(UROP) PROJECT REPORT</w:t>
      </w:r>
    </w:p>
    <w:p>
      <w:pPr>
        <w:spacing w:after="1200"/>
        <w:jc w:val="center"/>
      </w:pPr>
      <w:r>
        <w:rPr>
          <w:b/>
          <w:bCs/>
          <w:sz w:val="36"/>
          <w:szCs w:val="36"/>
          <w:rFonts w:ascii="Times New Roman" w:cs="Times New Roman" w:eastAsia="Times New Roman" w:hAnsi="Times New Roman"/>
        </w:rPr>
        <w:t xml:space="preserve">Leakage-Safe Forecasting of Prediction-Market Repricing: News Signals and a Replicated Quote-Change Forecaster</w:t>
      </w:r>
    </w:p>
    <w:p>
      <w:pPr>
        <w:spacing w:after="120"/>
        <w:jc w:val="center"/>
      </w:pPr>
      <w:r>
        <w:rPr>
          <w:b w:val="false"/>
          <w:bCs w:val="false"/>
          <w:sz w:val="24"/>
          <w:szCs w:val="24"/>
          <w:rFonts w:ascii="Times New Roman" w:cs="Times New Roman" w:eastAsia="Times New Roman" w:hAnsi="Times New Roman"/>
        </w:rPr>
        <w:t xml:space="preserve">By</w:t>
      </w:r>
    </w:p>
    <w:p>
      <w:pPr>
        <w:spacing w:after="1600"/>
        <w:jc w:val="center"/>
      </w:pPr>
      <w:r>
        <w:rPr>
          <w:b/>
          <w:bCs/>
          <w:sz w:val="28"/>
          <w:szCs w:val="28"/>
          <w:rFonts w:ascii="Times New Roman" w:cs="Times New Roman" w:eastAsia="Times New Roman" w:hAnsi="Times New Roman"/>
        </w:rPr>
        <w:t xml:space="preserve">Zhu Rong</w:t>
      </w:r>
    </w:p>
    <w:p>
      <w:pPr>
        <w:spacing w:after="80"/>
        <w:jc w:val="center"/>
      </w:pPr>
      <w:r>
        <w:rPr>
          <w:b w:val="false"/>
          <w:bCs w:val="false"/>
          <w:sz w:val="24"/>
          <w:szCs w:val="24"/>
          <w:rFonts w:ascii="Times New Roman" w:cs="Times New Roman" w:eastAsia="Times New Roman" w:hAnsi="Times New Roman"/>
        </w:rPr>
        <w:t xml:space="preserve">[Department of Computer Science]</w:t>
      </w:r>
    </w:p>
    <w:p>
      <w:pPr>
        <w:spacing w:after="80"/>
        <w:jc w:val="center"/>
      </w:pPr>
      <w:r>
        <w:rPr>
          <w:b w:val="false"/>
          <w:bCs w:val="false"/>
          <w:sz w:val="24"/>
          <w:szCs w:val="24"/>
          <w:rFonts w:ascii="Times New Roman" w:cs="Times New Roman" w:eastAsia="Times New Roman" w:hAnsi="Times New Roman"/>
        </w:rPr>
        <w:t xml:space="preserve">School of Computing</w:t>
      </w:r>
    </w:p>
    <w:p>
      <w:pPr>
        <w:spacing w:after="600"/>
        <w:jc w:val="center"/>
      </w:pPr>
      <w:r>
        <w:rPr>
          <w:b w:val="false"/>
          <w:bCs w:val="false"/>
          <w:sz w:val="24"/>
          <w:szCs w:val="24"/>
          <w:rFonts w:ascii="Times New Roman" w:cs="Times New Roman" w:eastAsia="Times New Roman" w:hAnsi="Times New Roman"/>
        </w:rPr>
        <w:t xml:space="preserve">National University of Singapore</w:t>
      </w:r>
    </w:p>
    <w:p>
      <w:pPr>
        <w:spacing w:after="0"/>
        <w:jc w:val="center"/>
      </w:pPr>
      <w:r>
        <w:rPr>
          <w:b w:val="false"/>
          <w:bCs w:val="false"/>
          <w:sz w:val="24"/>
          <w:szCs w:val="24"/>
          <w:rFonts w:ascii="Times New Roman" w:cs="Times New Roman" w:eastAsia="Times New Roman" w:hAnsi="Times New Roman"/>
        </w:rPr>
        <w:t xml:space="preserve">2026/2027</w:t>
      </w:r>
    </w:p>
    <w:p>
      <w:pPr>
        <w:pageBreakBefore/>
        <w:spacing w:before="1200"/>
      </w:pPr>
    </w:p>
    <w:p>
      <w:pPr>
        <w:spacing w:after="80"/>
        <w:jc w:val="center"/>
      </w:pPr>
      <w:r>
        <w:rPr>
          <w:b/>
          <w:bCs/>
          <w:sz w:val="26"/>
          <w:szCs w:val="26"/>
          <w:rFonts w:ascii="Times New Roman" w:cs="Times New Roman" w:eastAsia="Times New Roman" w:hAnsi="Times New Roman"/>
        </w:rPr>
        <w:t xml:space="preserve">UNDERGRADUATE RESEARCH OPPORTUNITY PROGRAMME</w:t>
      </w:r>
    </w:p>
    <w:p>
      <w:pPr>
        <w:spacing w:after="800"/>
        <w:jc w:val="center"/>
      </w:pPr>
      <w:r>
        <w:rPr>
          <w:b/>
          <w:bCs/>
          <w:sz w:val="26"/>
          <w:szCs w:val="26"/>
          <w:rFonts w:ascii="Times New Roman" w:cs="Times New Roman" w:eastAsia="Times New Roman" w:hAnsi="Times New Roman"/>
        </w:rPr>
        <w:t xml:space="preserve">(UROP) PROJECT REPORT</w:t>
      </w:r>
    </w:p>
    <w:p>
      <w:pPr>
        <w:spacing w:after="800"/>
        <w:jc w:val="center"/>
      </w:pPr>
      <w:r>
        <w:rPr>
          <w:b/>
          <w:bCs/>
          <w:sz w:val="30"/>
          <w:szCs w:val="30"/>
          <w:rFonts w:ascii="Times New Roman" w:cs="Times New Roman" w:eastAsia="Times New Roman" w:hAnsi="Times New Roman"/>
        </w:rPr>
        <w:t xml:space="preserve">Leakage-Safe Forecasting of Prediction-Market Repricing: News Signals and a Replicated Quote-Change Forecaster</w:t>
      </w:r>
    </w:p>
    <w:p>
      <w:pPr>
        <w:spacing w:after="120"/>
        <w:jc w:val="center"/>
      </w:pPr>
      <w:r>
        <w:rPr>
          <w:b w:val="false"/>
          <w:bCs w:val="false"/>
          <w:sz w:val="24"/>
          <w:szCs w:val="24"/>
          <w:rFonts w:ascii="Times New Roman" w:cs="Times New Roman" w:eastAsia="Times New Roman" w:hAnsi="Times New Roman"/>
        </w:rPr>
        <w:t xml:space="preserve">By</w:t>
      </w:r>
    </w:p>
    <w:p>
      <w:pPr>
        <w:spacing w:after="800"/>
        <w:jc w:val="center"/>
      </w:pPr>
      <w:r>
        <w:rPr>
          <w:b/>
          <w:bCs/>
          <w:sz w:val="26"/>
          <w:szCs w:val="26"/>
          <w:rFonts w:ascii="Times New Roman" w:cs="Times New Roman" w:eastAsia="Times New Roman" w:hAnsi="Times New Roman"/>
        </w:rPr>
        <w:t xml:space="preserve">Zhu Rong</w:t>
      </w:r>
    </w:p>
    <w:p>
      <w:pPr>
        <w:spacing w:after="80"/>
        <w:jc w:val="center"/>
      </w:pPr>
      <w:r>
        <w:rPr>
          <w:b w:val="false"/>
          <w:bCs w:val="false"/>
          <w:sz w:val="24"/>
          <w:szCs w:val="24"/>
          <w:rFonts w:ascii="Times New Roman" w:cs="Times New Roman" w:eastAsia="Times New Roman" w:hAnsi="Times New Roman"/>
        </w:rPr>
        <w:t xml:space="preserve">[Department of Computer Science]</w:t>
      </w:r>
    </w:p>
    <w:p>
      <w:pPr>
        <w:spacing w:after="80"/>
        <w:jc w:val="center"/>
      </w:pPr>
      <w:r>
        <w:rPr>
          <w:b w:val="false"/>
          <w:bCs w:val="false"/>
          <w:sz w:val="24"/>
          <w:szCs w:val="24"/>
          <w:rFonts w:ascii="Times New Roman" w:cs="Times New Roman" w:eastAsia="Times New Roman" w:hAnsi="Times New Roman"/>
        </w:rPr>
        <w:t xml:space="preserve">School of Computing</w:t>
      </w:r>
    </w:p>
    <w:p>
      <w:pPr>
        <w:spacing w:after="80"/>
        <w:jc w:val="center"/>
      </w:pPr>
      <w:r>
        <w:rPr>
          <w:b w:val="false"/>
          <w:bCs w:val="false"/>
          <w:sz w:val="24"/>
          <w:szCs w:val="24"/>
          <w:rFonts w:ascii="Times New Roman" w:cs="Times New Roman" w:eastAsia="Times New Roman" w:hAnsi="Times New Roman"/>
        </w:rPr>
        <w:t xml:space="preserve">National University of Singapore</w:t>
      </w:r>
    </w:p>
    <w:p>
      <w:pPr>
        <w:spacing w:after="900"/>
        <w:jc w:val="center"/>
      </w:pPr>
      <w:r>
        <w:rPr>
          <w:b w:val="false"/>
          <w:bCs w:val="false"/>
          <w:sz w:val="24"/>
          <w:szCs w:val="24"/>
          <w:rFonts w:ascii="Times New Roman" w:cs="Times New Roman" w:eastAsia="Times New Roman" w:hAnsi="Times New Roman"/>
        </w:rPr>
        <w:t xml:space="preserve">2026/2027</w:t>
      </w:r>
    </w:p>
    <w:p>
      <w:pPr>
        <w:spacing w:after="80"/>
      </w:pPr>
      <w:r>
        <w:rPr>
          <w:sz w:val="24"/>
          <w:szCs w:val="24"/>
          <w:rFonts w:ascii="Times New Roman" w:cs="Times New Roman" w:eastAsia="Times New Roman" w:hAnsi="Times New Roman"/>
        </w:rPr>
        <w:t xml:space="preserve">Project No: </w:t>
      </w:r>
      <w:r>
        <w:rPr>
          <w:b/>
          <w:bCs/>
          <w:sz w:val="24"/>
          <w:szCs w:val="24"/>
          <w:rFonts w:ascii="Times New Roman" w:cs="Times New Roman" w:eastAsia="Times New Roman" w:hAnsi="Times New Roman"/>
          <w:highlight w:val="yellow"/>
          <w:highlightCs w:val="yellow"/>
        </w:rPr>
        <w:t xml:space="preserve">project number</w:t>
      </w:r>
    </w:p>
    <w:p>
      <w:pPr>
        <w:spacing w:after="240"/>
      </w:pPr>
      <w:r>
        <w:rPr>
          <w:sz w:val="24"/>
          <w:szCs w:val="24"/>
          <w:rFonts w:ascii="Times New Roman" w:cs="Times New Roman" w:eastAsia="Times New Roman" w:hAnsi="Times New Roman"/>
        </w:rPr>
        <w:t xml:space="preserve">Advisor: Lu Yao</w:t>
      </w:r>
    </w:p>
    <w:p>
      <w:pPr>
        <w:spacing w:after="80"/>
      </w:pPr>
      <w:r>
        <w:rPr>
          <w:b/>
          <w:bCs/>
          <w:sz w:val="24"/>
          <w:szCs w:val="24"/>
          <w:rFonts w:ascii="Times New Roman" w:cs="Times New Roman" w:eastAsia="Times New Roman" w:hAnsi="Times New Roman"/>
        </w:rPr>
        <w:t xml:space="preserve">Deliverables:</w:t>
      </w:r>
    </w:p>
    <w:p>
      <w:pPr>
        <w:spacing w:after="40"/>
      </w:pPr>
      <w:r>
        <w:rPr>
          <w:sz w:val="24"/>
          <w:szCs w:val="24"/>
          <w:rFonts w:ascii="Times New Roman" w:cs="Times New Roman" w:eastAsia="Times New Roman" w:hAnsi="Times New Roman"/>
        </w:rPr>
        <w:t xml:space="preserve">Report: 1 Volume</w:t>
      </w:r>
    </w:p>
    <w:p>
      <w:pPr>
        <w:spacing w:after="40"/>
      </w:pPr>
      <w:r>
        <w:rPr>
          <w:sz w:val="24"/>
          <w:szCs w:val="24"/>
          <w:rFonts w:ascii="Times New Roman" w:cs="Times New Roman" w:eastAsia="Times New Roman" w:hAnsi="Times New Roman"/>
        </w:rPr>
        <w:t xml:space="preserve">Program: EventX source repository (Python), frozen release manifests and evaluation scripts</w:t>
      </w:r>
    </w:p>
    <w:p>
      <w:pPr>
        <w:spacing w:after="40"/>
      </w:pPr>
      <w:r>
        <w:rPr>
          <w:sz w:val="24"/>
          <w:szCs w:val="24"/>
          <w:rFonts w:ascii="Times New Roman" w:cs="Times New Roman" w:eastAsia="Times New Roman" w:hAnsi="Times New Roman"/>
        </w:rPr>
        <w:t xml:space="preserve">Data: hash-locked evaluation outputs and receipts (data/ directory)</w:t>
      </w:r>
    </w:p>
    <w:p>
      <w:pPr>
        <w:sectPr>
          <w:pgSz w:w="11906" w:h="16838" w:orient="portrait"/>
          <w:pgMar w:top="1440" w:right="1440" w:bottom="1440" w:left="1440" w:header="708" w:footer="708" w:gutter="0"/>
          <w:pgNumType/>
          <w:docGrid w:linePitch="360"/>
        </w:sectPr>
      </w:pPr>
    </w:p>
    <w:p>
      <w:pPr>
        <w:pStyle w:val="Heading1"/>
        <w:spacing w:after="240"/>
        <w:jc w:val="center"/>
      </w:pPr>
      <w:r>
        <w:rPr>
          <w:b/>
          <w:bCs/>
          <w:color w:val="000000"/>
          <w:sz w:val="32"/>
          <w:szCs w:val="32"/>
          <w:rFonts w:ascii="Times New Roman" w:cs="Times New Roman" w:eastAsia="Times New Roman" w:hAnsi="Times New Roman"/>
        </w:rPr>
        <w:t xml:space="preserve">Abstract</w:t>
      </w:r>
    </w:p>
    <w:p>
      <w:pPr>
        <w:spacing w:line="360" w:after="120"/>
        <w:jc w:val="both"/>
      </w:pPr>
      <w:r>
        <w:rPr>
          <w:sz w:val="24"/>
          <w:szCs w:val="24"/>
          <w:rFonts w:ascii="Times New Roman" w:cs="Times New Roman" w:eastAsia="Times New Roman" w:hAnsi="Times New Roman"/>
        </w:rPr>
        <w:t xml:space="preserve">EventX asks whether information available at a decision time predicts short-horizon repricing in prediction markets, under strict point-in-time and evaluate-once rules. In a frozen historical study of 4,651 Kalshi and Polymarket markets, adding counts of conservatively available news articles to a market-history model lowered average precision and worsened the Brier score on 1.46 million out-of-fold rows, failing all five prespecified promotion gates. We then defined a narrower target: the probability that a contract’s quoted midpoint changes within 30 minutes. A gradient-boosted classifier on 18 point-in-time quote features, frozen before testing, reduced log loss against a logistic baseline by 16.8% on an unopened week and by 14.9% on 35 never-used contracts. Contract-clustered bootstrap intervals excluded zero, and the gain held in every market category. We also built a live forecasting runtime with validated network-time correction and tamper-evident journals, and ran a three-day prospective test on 30 new contracts. </w:t>
      </w:r>
      <w:r>
        <w:rPr>
          <w:b/>
          <w:bCs/>
          <w:sz w:val="24"/>
          <w:szCs w:val="24"/>
          <w:rFonts w:ascii="Times New Roman" w:cs="Times New Roman" w:eastAsia="Times New Roman" w:hAnsi="Times New Roman"/>
          <w:highlight w:val="yellow"/>
          <w:highlightCs w:val="yellow"/>
        </w:rPr>
        <w:t xml:space="preserve">PENDING: one-sentence live result.</w:t>
      </w:r>
      <w:r>
        <w:rPr>
          <w:sz w:val="24"/>
          <w:szCs w:val="24"/>
          <w:rFonts w:ascii="Times New Roman" w:cs="Times New Roman" w:eastAsia="Times New Roman" w:hAnsi="Times New Roman"/>
        </w:rPr>
        <w:t xml:space="preserve"> Short-horizon quote activity is predictable from market state; simple news counts added no measurable value.</w:t>
      </w:r>
    </w:p>
    <w:p>
      <w:pPr>
        <w:spacing w:before="240" w:after="80"/>
      </w:pPr>
      <w:r>
        <w:rPr>
          <w:b/>
          <w:bCs/>
          <w:sz w:val="24"/>
          <w:szCs w:val="24"/>
          <w:rFonts w:ascii="Times New Roman" w:cs="Times New Roman" w:eastAsia="Times New Roman" w:hAnsi="Times New Roman"/>
        </w:rPr>
        <w:t xml:space="preserve">Subject Descriptors:</w:t>
      </w:r>
    </w:p>
    <w:p>
      <w:pPr>
        <w:spacing w:after="20"/>
        <w:ind w:left="720"/>
      </w:pPr>
      <w:r>
        <w:rPr>
          <w:sz w:val="24"/>
          <w:szCs w:val="24"/>
          <w:rFonts w:ascii="Times New Roman" w:cs="Times New Roman" w:eastAsia="Times New Roman" w:hAnsi="Times New Roman"/>
        </w:rPr>
        <w:t xml:space="preserve">G.3 Probability and Statistics</w:t>
      </w:r>
    </w:p>
    <w:p>
      <w:pPr>
        <w:spacing w:after="20"/>
        <w:ind w:left="720"/>
      </w:pPr>
      <w:r>
        <w:rPr>
          <w:sz w:val="24"/>
          <w:szCs w:val="24"/>
          <w:rFonts w:ascii="Times New Roman" w:cs="Times New Roman" w:eastAsia="Times New Roman" w:hAnsi="Times New Roman"/>
        </w:rPr>
        <w:t xml:space="preserve">I.2.6 Learning</w:t>
      </w:r>
    </w:p>
    <w:p>
      <w:pPr>
        <w:spacing w:after="20"/>
        <w:ind w:left="720"/>
      </w:pPr>
      <w:r>
        <w:rPr>
          <w:sz w:val="24"/>
          <w:szCs w:val="24"/>
          <w:rFonts w:ascii="Times New Roman" w:cs="Times New Roman" w:eastAsia="Times New Roman" w:hAnsi="Times New Roman"/>
        </w:rPr>
        <w:t xml:space="preserve">H.2.8 Database Applications (Data mining)</w:t>
      </w:r>
    </w:p>
    <w:p>
      <w:pPr>
        <w:spacing w:after="20"/>
        <w:ind w:left="720"/>
      </w:pPr>
      <w:r>
        <w:rPr>
          <w:sz w:val="24"/>
          <w:szCs w:val="24"/>
          <w:rFonts w:ascii="Times New Roman" w:cs="Times New Roman" w:eastAsia="Times New Roman" w:hAnsi="Times New Roman"/>
        </w:rPr>
        <w:t xml:space="preserve">J.4 Social and Behavioral Sciences (Economics)</w:t>
      </w:r>
    </w:p>
    <w:p>
      <w:pPr>
        <w:spacing w:before="200" w:after="80"/>
      </w:pPr>
      <w:r>
        <w:rPr>
          <w:b/>
          <w:bCs/>
          <w:sz w:val="24"/>
          <w:szCs w:val="24"/>
          <w:rFonts w:ascii="Times New Roman" w:cs="Times New Roman" w:eastAsia="Times New Roman" w:hAnsi="Times New Roman"/>
        </w:rPr>
        <w:t xml:space="preserve">Keywords:</w:t>
      </w:r>
    </w:p>
    <w:p>
      <w:pPr>
        <w:ind w:left="720"/>
      </w:pPr>
      <w:r>
        <w:rPr>
          <w:sz w:val="24"/>
          <w:szCs w:val="24"/>
          <w:rFonts w:ascii="Times New Roman" w:cs="Times New Roman" w:eastAsia="Times New Roman" w:hAnsi="Times New Roman"/>
        </w:rPr>
        <w:t xml:space="preserve">Prediction markets, probabilistic forecasting, market microstructure, gradient boosting, leakage-safe evaluation</w:t>
      </w:r>
    </w:p>
    <w:p>
      <w:pPr>
        <w:spacing w:before="200" w:after="80"/>
      </w:pPr>
      <w:r>
        <w:rPr>
          <w:b/>
          <w:bCs/>
          <w:sz w:val="24"/>
          <w:szCs w:val="24"/>
          <w:rFonts w:ascii="Times New Roman" w:cs="Times New Roman" w:eastAsia="Times New Roman" w:hAnsi="Times New Roman"/>
        </w:rPr>
        <w:t xml:space="preserve">Implementation Software and Hardware:</w:t>
      </w:r>
    </w:p>
    <w:p>
      <w:pPr>
        <w:ind w:left="720"/>
      </w:pPr>
      <w:r>
        <w:rPr>
          <w:sz w:val="24"/>
          <w:szCs w:val="24"/>
          <w:rFonts w:ascii="Times New Roman" w:cs="Times New Roman" w:eastAsia="Times New Roman" w:hAnsi="Times New Roman"/>
        </w:rPr>
        <w:t xml:space="preserve">Python 3.12, scikit-learn, PyArrow, NumPy, httpx; Polymarket CLOB WebSocket and Gamma API; pmxt hourly order-book archive; Lumid FinData; Apple macOS laptop (17 GB RAM)</w:t>
      </w:r>
    </w:p>
    <w:p>
      <w:pPr>
        <w:pStyle w:val="Heading1"/>
        <w:pageBreakBefore/>
        <w:spacing w:after="240"/>
        <w:jc w:val="center"/>
      </w:pPr>
      <w:r>
        <w:rPr>
          <w:b/>
          <w:bCs/>
          <w:color w:val="000000"/>
          <w:sz w:val="32"/>
          <w:szCs w:val="32"/>
          <w:rFonts w:ascii="Times New Roman" w:cs="Times New Roman" w:eastAsia="Times New Roman" w:hAnsi="Times New Roman"/>
        </w:rPr>
        <w:t xml:space="preserve">Acknowledgement</w:t>
      </w:r>
    </w:p>
    <w:p>
      <w:pPr>
        <w:spacing w:line="480"/>
        <w:jc w:val="both"/>
      </w:pPr>
      <w:r>
        <w:rPr>
          <w:sz w:val="24"/>
          <w:szCs w:val="24"/>
          <w:rFonts w:ascii="Times New Roman" w:cs="Times New Roman" w:eastAsia="Times New Roman" w:hAnsi="Times New Roman"/>
        </w:rPr>
        <w:t xml:space="preserve">I thank my advisor, Lu Yao, for guidance on research design and for insisting on honest, preregistered evaluation. I also thank the providers of the data used in this project: Lumid FinData for historical trades and news, the pmxt project for the public Polymarket order-book archive, and Polymarket for its public market-data interfaces. </w:t>
      </w:r>
      <w:r>
        <w:rPr>
          <w:b/>
          <w:bCs/>
          <w:sz w:val="24"/>
          <w:szCs w:val="24"/>
          <w:rFonts w:ascii="Times New Roman" w:cs="Times New Roman" w:eastAsia="Times New Roman" w:hAnsi="Times New Roman"/>
          <w:highlight w:val="yellow"/>
          <w:highlightCs w:val="yellow"/>
        </w:rPr>
        <w:t xml:space="preserve">Add further acknowledgements if any.</w:t>
      </w:r>
    </w:p>
    <w:p>
      <w:pPr>
        <w:pageBreakBefore/>
        <w:spacing w:after="240"/>
        <w:jc w:val="center"/>
      </w:pPr>
      <w:r>
        <w:rPr>
          <w:b/>
          <w:bCs/>
          <w:color w:val="000000"/>
          <w:sz w:val="32"/>
          <w:szCs w:val="32"/>
          <w:rFonts w:ascii="Times New Roman" w:cs="Times New Roman" w:eastAsia="Times New Roman" w:hAnsi="Times New Roman"/>
        </w:rPr>
        <w:t xml:space="preserve">Table of Contents</w:t>
      </w:r>
    </w:p>
    <w:p>
      <w:pPr>
        <w:tabs>
          <w:tab w:val="right" w:pos="9026" w:leader="dot"/>
        </w:tabs>
        <w:spacing w:line="300" w:after="60" w:before="100"/>
        <w:ind w:left="0"/>
      </w:pPr>
      <w:r>
        <w:rPr>
          <w:b/>
          <w:bCs/>
          <w:sz w:val="24"/>
          <w:szCs w:val="24"/>
          <w:rFonts w:ascii="Times New Roman" w:cs="Times New Roman" w:eastAsia="Times New Roman" w:hAnsi="Times New Roman"/>
        </w:rPr>
        <w:t xml:space="preserve">Abstract</w:t>
      </w:r>
      <w:r>
        <w:rPr>
          <w:sz w:val="24"/>
          <w:szCs w:val="24"/>
          <w:rFonts w:ascii="Times New Roman" w:cs="Times New Roman" w:eastAsia="Times New Roman" w:hAnsi="Times New Roman"/>
        </w:rPr>
        <w:t xml:space="preserve">	i</w:t>
      </w:r>
    </w:p>
    <w:p>
      <w:pPr>
        <w:tabs>
          <w:tab w:val="right" w:pos="9026" w:leader="dot"/>
        </w:tabs>
        <w:spacing w:line="300" w:after="60" w:before="100"/>
        <w:ind w:left="0"/>
      </w:pPr>
      <w:r>
        <w:rPr>
          <w:b/>
          <w:bCs/>
          <w:sz w:val="24"/>
          <w:szCs w:val="24"/>
          <w:rFonts w:ascii="Times New Roman" w:cs="Times New Roman" w:eastAsia="Times New Roman" w:hAnsi="Times New Roman"/>
        </w:rPr>
        <w:t xml:space="preserve">Acknowledgement</w:t>
      </w:r>
      <w:r>
        <w:rPr>
          <w:sz w:val="24"/>
          <w:szCs w:val="24"/>
          <w:rFonts w:ascii="Times New Roman" w:cs="Times New Roman" w:eastAsia="Times New Roman" w:hAnsi="Times New Roman"/>
        </w:rPr>
        <w:t xml:space="preserve">	ii</w:t>
      </w:r>
    </w:p>
    <w:p>
      <w:pPr>
        <w:tabs>
          <w:tab w:val="right" w:pos="9026" w:leader="dot"/>
        </w:tabs>
        <w:spacing w:line="300" w:after="60" w:before="100"/>
        <w:ind w:left="0"/>
      </w:pPr>
      <w:r>
        <w:rPr>
          <w:b/>
          <w:bCs/>
          <w:sz w:val="24"/>
          <w:szCs w:val="24"/>
          <w:rFonts w:ascii="Times New Roman" w:cs="Times New Roman" w:eastAsia="Times New Roman" w:hAnsi="Times New Roman"/>
        </w:rPr>
        <w:t xml:space="preserve">List of Figures</w:t>
      </w:r>
      <w:r>
        <w:rPr>
          <w:sz w:val="24"/>
          <w:szCs w:val="24"/>
          <w:rFonts w:ascii="Times New Roman" w:cs="Times New Roman" w:eastAsia="Times New Roman" w:hAnsi="Times New Roman"/>
        </w:rPr>
        <w:t xml:space="preserve">	v</w:t>
      </w:r>
    </w:p>
    <w:p>
      <w:pPr>
        <w:tabs>
          <w:tab w:val="right" w:pos="9026" w:leader="dot"/>
        </w:tabs>
        <w:spacing w:line="300" w:after="60" w:before="100"/>
        <w:ind w:left="0"/>
      </w:pPr>
      <w:r>
        <w:rPr>
          <w:b/>
          <w:bCs/>
          <w:sz w:val="24"/>
          <w:szCs w:val="24"/>
          <w:rFonts w:ascii="Times New Roman" w:cs="Times New Roman" w:eastAsia="Times New Roman" w:hAnsi="Times New Roman"/>
        </w:rPr>
        <w:t xml:space="preserve">List of Tables</w:t>
      </w:r>
      <w:r>
        <w:rPr>
          <w:sz w:val="24"/>
          <w:szCs w:val="24"/>
          <w:rFonts w:ascii="Times New Roman" w:cs="Times New Roman" w:eastAsia="Times New Roman" w:hAnsi="Times New Roman"/>
        </w:rPr>
        <w:t xml:space="preserve">	vi</w:t>
      </w:r>
    </w:p>
    <w:p>
      <w:pPr>
        <w:tabs>
          <w:tab w:val="right" w:pos="9026" w:leader="dot"/>
        </w:tabs>
        <w:spacing w:line="300" w:after="60" w:before="100"/>
        <w:ind w:left="0"/>
      </w:pPr>
      <w:r>
        <w:rPr>
          <w:b/>
          <w:bCs/>
          <w:sz w:val="24"/>
          <w:szCs w:val="24"/>
          <w:rFonts w:ascii="Times New Roman" w:cs="Times New Roman" w:eastAsia="Times New Roman" w:hAnsi="Times New Roman"/>
        </w:rPr>
        <w:t xml:space="preserve">1 Introduction</w:t>
      </w:r>
      <w:r>
        <w:rPr>
          <w:sz w:val="24"/>
          <w:szCs w:val="24"/>
          <w:rFonts w:ascii="Times New Roman" w:cs="Times New Roman" w:eastAsia="Times New Roman" w:hAnsi="Times New Roman"/>
        </w:rPr>
        <w:t xml:space="preserve">	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1.1 Background and motivation</w:t>
      </w:r>
      <w:r>
        <w:rPr>
          <w:sz w:val="24"/>
          <w:szCs w:val="24"/>
          <w:rFonts w:ascii="Times New Roman" w:cs="Times New Roman" w:eastAsia="Times New Roman" w:hAnsi="Times New Roman"/>
        </w:rPr>
        <w:t xml:space="preserve">	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1.2 Research questions</w:t>
      </w:r>
      <w:r>
        <w:rPr>
          <w:sz w:val="24"/>
          <w:szCs w:val="24"/>
          <w:rFonts w:ascii="Times New Roman" w:cs="Times New Roman" w:eastAsia="Times New Roman" w:hAnsi="Times New Roman"/>
        </w:rPr>
        <w:t xml:space="preserve">	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1.3 Summary of contributions</w:t>
      </w:r>
      <w:r>
        <w:rPr>
          <w:sz w:val="24"/>
          <w:szCs w:val="24"/>
          <w:rFonts w:ascii="Times New Roman" w:cs="Times New Roman" w:eastAsia="Times New Roman" w:hAnsi="Times New Roman"/>
        </w:rPr>
        <w:t xml:space="preserve">	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1.4 Organisation of the report</w:t>
      </w:r>
      <w:r>
        <w:rPr>
          <w:sz w:val="24"/>
          <w:szCs w:val="24"/>
          <w:rFonts w:ascii="Times New Roman" w:cs="Times New Roman" w:eastAsia="Times New Roman" w:hAnsi="Times New Roman"/>
        </w:rPr>
        <w:t xml:space="preserve">	2</w:t>
      </w:r>
    </w:p>
    <w:p>
      <w:pPr>
        <w:tabs>
          <w:tab w:val="right" w:pos="9026" w:leader="dot"/>
        </w:tabs>
        <w:spacing w:line="300" w:after="60" w:before="100"/>
        <w:ind w:left="0"/>
      </w:pPr>
      <w:r>
        <w:rPr>
          <w:b/>
          <w:bCs/>
          <w:sz w:val="24"/>
          <w:szCs w:val="24"/>
          <w:rFonts w:ascii="Times New Roman" w:cs="Times New Roman" w:eastAsia="Times New Roman" w:hAnsi="Times New Roman"/>
        </w:rPr>
        <w:t xml:space="preserve">2 Background and Related Work</w:t>
      </w:r>
      <w:r>
        <w:rPr>
          <w:sz w:val="24"/>
          <w:szCs w:val="24"/>
          <w:rFonts w:ascii="Times New Roman" w:cs="Times New Roman" w:eastAsia="Times New Roman" w:hAnsi="Times New Roman"/>
        </w:rPr>
        <w:t xml:space="preserve">	3</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2.1 Prediction markets as forecasts</w:t>
      </w:r>
      <w:r>
        <w:rPr>
          <w:sz w:val="24"/>
          <w:szCs w:val="24"/>
          <w:rFonts w:ascii="Times New Roman" w:cs="Times New Roman" w:eastAsia="Times New Roman" w:hAnsi="Times New Roman"/>
        </w:rPr>
        <w:t xml:space="preserve">	3</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2.2 News, attention and asset prices</w:t>
      </w:r>
      <w:r>
        <w:rPr>
          <w:sz w:val="24"/>
          <w:szCs w:val="24"/>
          <w:rFonts w:ascii="Times New Roman" w:cs="Times New Roman" w:eastAsia="Times New Roman" w:hAnsi="Times New Roman"/>
        </w:rPr>
        <w:t xml:space="preserve">	3</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2.3 Market microstructure</w:t>
      </w:r>
      <w:r>
        <w:rPr>
          <w:sz w:val="24"/>
          <w:szCs w:val="24"/>
          <w:rFonts w:ascii="Times New Roman" w:cs="Times New Roman" w:eastAsia="Times New Roman" w:hAnsi="Times New Roman"/>
        </w:rPr>
        <w:t xml:space="preserve">	3</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2.4 Forecast evaluation and leakage</w:t>
      </w:r>
      <w:r>
        <w:rPr>
          <w:sz w:val="24"/>
          <w:szCs w:val="24"/>
          <w:rFonts w:ascii="Times New Roman" w:cs="Times New Roman" w:eastAsia="Times New Roman" w:hAnsi="Times New Roman"/>
        </w:rPr>
        <w:t xml:space="preserve">	3</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2.5 Learning method</w:t>
      </w:r>
      <w:r>
        <w:rPr>
          <w:sz w:val="24"/>
          <w:szCs w:val="24"/>
          <w:rFonts w:ascii="Times New Roman" w:cs="Times New Roman" w:eastAsia="Times New Roman" w:hAnsi="Times New Roman"/>
        </w:rPr>
        <w:t xml:space="preserve">	4</w:t>
      </w:r>
    </w:p>
    <w:p>
      <w:pPr>
        <w:tabs>
          <w:tab w:val="right" w:pos="9026" w:leader="dot"/>
        </w:tabs>
        <w:spacing w:line="300" w:after="60" w:before="100"/>
        <w:ind w:left="0"/>
      </w:pPr>
      <w:r>
        <w:rPr>
          <w:b/>
          <w:bCs/>
          <w:sz w:val="24"/>
          <w:szCs w:val="24"/>
          <w:rFonts w:ascii="Times New Roman" w:cs="Times New Roman" w:eastAsia="Times New Roman" w:hAnsi="Times New Roman"/>
        </w:rPr>
        <w:t xml:space="preserve">3 Data and Leakage Safeguards</w:t>
      </w:r>
      <w:r>
        <w:rPr>
          <w:sz w:val="24"/>
          <w:szCs w:val="24"/>
          <w:rFonts w:ascii="Times New Roman" w:cs="Times New Roman" w:eastAsia="Times New Roman" w:hAnsi="Times New Roman"/>
        </w:rPr>
        <w:t xml:space="preserve">	5</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3.1 Data sources</w:t>
      </w:r>
      <w:r>
        <w:rPr>
          <w:sz w:val="24"/>
          <w:szCs w:val="24"/>
          <w:rFonts w:ascii="Times New Roman" w:cs="Times New Roman" w:eastAsia="Times New Roman" w:hAnsi="Times New Roman"/>
        </w:rPr>
        <w:t xml:space="preserve">	5</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3.2 Safeguards common to all studies</w:t>
      </w:r>
      <w:r>
        <w:rPr>
          <w:sz w:val="24"/>
          <w:szCs w:val="24"/>
          <w:rFonts w:ascii="Times New Roman" w:cs="Times New Roman" w:eastAsia="Times New Roman" w:hAnsi="Times New Roman"/>
        </w:rPr>
        <w:t xml:space="preserve">	5</w:t>
      </w:r>
    </w:p>
    <w:p>
      <w:pPr>
        <w:tabs>
          <w:tab w:val="right" w:pos="9026" w:leader="dot"/>
        </w:tabs>
        <w:spacing w:line="300" w:after="60" w:before="100"/>
        <w:ind w:left="0"/>
      </w:pPr>
      <w:r>
        <w:rPr>
          <w:b/>
          <w:bCs/>
          <w:sz w:val="24"/>
          <w:szCs w:val="24"/>
          <w:rFonts w:ascii="Times New Roman" w:cs="Times New Roman" w:eastAsia="Times New Roman" w:hAnsi="Times New Roman"/>
        </w:rPr>
        <w:t xml:space="preserve">4 Track A: Incremental Value of News</w:t>
      </w:r>
      <w:r>
        <w:rPr>
          <w:sz w:val="24"/>
          <w:szCs w:val="24"/>
          <w:rFonts w:ascii="Times New Roman" w:cs="Times New Roman" w:eastAsia="Times New Roman" w:hAnsi="Times New Roman"/>
        </w:rPr>
        <w:t xml:space="preserve">	7</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4.1 Design of the historical primary study (V3.1)</w:t>
      </w:r>
      <w:r>
        <w:rPr>
          <w:sz w:val="24"/>
          <w:szCs w:val="24"/>
          <w:rFonts w:ascii="Times New Roman" w:cs="Times New Roman" w:eastAsia="Times New Roman" w:hAnsi="Times New Roman"/>
        </w:rPr>
        <w:t xml:space="preserve">	7</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4.2 Results</w:t>
      </w:r>
      <w:r>
        <w:rPr>
          <w:sz w:val="24"/>
          <w:szCs w:val="24"/>
          <w:rFonts w:ascii="Times New Roman" w:cs="Times New Roman" w:eastAsia="Times New Roman" w:hAnsi="Times New Roman"/>
        </w:rPr>
        <w:t xml:space="preserve">	7</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4.3 Richer news features (V4) and diagnostics (V5, V6)</w:t>
      </w:r>
      <w:r>
        <w:rPr>
          <w:sz w:val="24"/>
          <w:szCs w:val="24"/>
          <w:rFonts w:ascii="Times New Roman" w:cs="Times New Roman" w:eastAsia="Times New Roman" w:hAnsi="Times New Roman"/>
        </w:rPr>
        <w:t xml:space="preserve">	8</w:t>
      </w:r>
    </w:p>
    <w:p>
      <w:pPr>
        <w:tabs>
          <w:tab w:val="right" w:pos="9026" w:leader="dot"/>
        </w:tabs>
        <w:spacing w:line="300" w:after="60" w:before="100"/>
        <w:ind w:left="0"/>
      </w:pPr>
      <w:r>
        <w:rPr>
          <w:b/>
          <w:bCs/>
          <w:sz w:val="24"/>
          <w:szCs w:val="24"/>
          <w:rFonts w:ascii="Times New Roman" w:cs="Times New Roman" w:eastAsia="Times New Roman" w:hAnsi="Times New Roman"/>
        </w:rPr>
        <w:t xml:space="preserve">5 Track B: Quote-Change Forecasting Method</w:t>
      </w:r>
      <w:r>
        <w:rPr>
          <w:sz w:val="24"/>
          <w:szCs w:val="24"/>
          <w:rFonts w:ascii="Times New Roman" w:cs="Times New Roman" w:eastAsia="Times New Roman" w:hAnsi="Times New Roman"/>
        </w:rPr>
        <w:t xml:space="preserve">	9</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5.1 Why the target changed</w:t>
      </w:r>
      <w:r>
        <w:rPr>
          <w:sz w:val="24"/>
          <w:szCs w:val="24"/>
          <w:rFonts w:ascii="Times New Roman" w:cs="Times New Roman" w:eastAsia="Times New Roman" w:hAnsi="Times New Roman"/>
        </w:rPr>
        <w:t xml:space="preserve">	9</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5.2 Target and eligibility</w:t>
      </w:r>
      <w:r>
        <w:rPr>
          <w:sz w:val="24"/>
          <w:szCs w:val="24"/>
          <w:rFonts w:ascii="Times New Roman" w:cs="Times New Roman" w:eastAsia="Times New Roman" w:hAnsi="Times New Roman"/>
        </w:rPr>
        <w:t xml:space="preserve">	9</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5.3 Features</w:t>
      </w:r>
      <w:r>
        <w:rPr>
          <w:sz w:val="24"/>
          <w:szCs w:val="24"/>
          <w:rFonts w:ascii="Times New Roman" w:cs="Times New Roman" w:eastAsia="Times New Roman" w:hAnsi="Times New Roman"/>
        </w:rPr>
        <w:t xml:space="preserve">	9</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5.4 Models and baselines</w:t>
      </w:r>
      <w:r>
        <w:rPr>
          <w:sz w:val="24"/>
          <w:szCs w:val="24"/>
          <w:rFonts w:ascii="Times New Roman" w:cs="Times New Roman" w:eastAsia="Times New Roman" w:hAnsi="Times New Roman"/>
        </w:rPr>
        <w:t xml:space="preserve">	10</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5.5 Evaluation protocol</w:t>
      </w:r>
      <w:r>
        <w:rPr>
          <w:sz w:val="24"/>
          <w:szCs w:val="24"/>
          <w:rFonts w:ascii="Times New Roman" w:cs="Times New Roman" w:eastAsia="Times New Roman" w:hAnsi="Times New Roman"/>
        </w:rPr>
        <w:t xml:space="preserve">	10</w:t>
      </w:r>
    </w:p>
    <w:p>
      <w:pPr>
        <w:tabs>
          <w:tab w:val="right" w:pos="9026" w:leader="dot"/>
        </w:tabs>
        <w:spacing w:line="300" w:after="60" w:before="100"/>
        <w:ind w:left="0"/>
      </w:pPr>
      <w:r>
        <w:rPr>
          <w:b/>
          <w:bCs/>
          <w:sz w:val="24"/>
          <w:szCs w:val="24"/>
          <w:rFonts w:ascii="Times New Roman" w:cs="Times New Roman" w:eastAsia="Times New Roman" w:hAnsi="Times New Roman"/>
        </w:rPr>
        <w:t xml:space="preserve">6 Track B: Historical Results</w:t>
      </w:r>
      <w:r>
        <w:rPr>
          <w:sz w:val="24"/>
          <w:szCs w:val="24"/>
          <w:rFonts w:ascii="Times New Roman" w:cs="Times New Roman" w:eastAsia="Times New Roman" w:hAnsi="Times New Roman"/>
        </w:rPr>
        <w:t xml:space="preserve">	11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6.1 Development and early replications</w:t>
      </w:r>
      <w:r>
        <w:rPr>
          <w:sz w:val="24"/>
          <w:szCs w:val="24"/>
          <w:rFonts w:ascii="Times New Roman" w:cs="Times New Roman" w:eastAsia="Times New Roman" w:hAnsi="Times New Roman"/>
        </w:rPr>
        <w:t xml:space="preserve">	11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6.2 Unopened week, same cohort: 1–7 June</w:t>
      </w:r>
      <w:r>
        <w:rPr>
          <w:sz w:val="24"/>
          <w:szCs w:val="24"/>
          <w:rFonts w:ascii="Times New Roman" w:cs="Times New Roman" w:eastAsia="Times New Roman" w:hAnsi="Times New Roman"/>
        </w:rPr>
        <w:t xml:space="preserve">	11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6.3 Never-used contracts: 8–14 June</w:t>
      </w:r>
      <w:r>
        <w:rPr>
          <w:sz w:val="24"/>
          <w:szCs w:val="24"/>
          <w:rFonts w:ascii="Times New Roman" w:cs="Times New Roman" w:eastAsia="Times New Roman" w:hAnsi="Times New Roman"/>
        </w:rPr>
        <w:t xml:space="preserve">	11</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6.4 Calibration and category breakdown</w:t>
      </w:r>
      <w:r>
        <w:rPr>
          <w:sz w:val="24"/>
          <w:szCs w:val="24"/>
          <w:rFonts w:ascii="Times New Roman" w:cs="Times New Roman" w:eastAsia="Times New Roman" w:hAnsi="Times New Roman"/>
        </w:rPr>
        <w:t xml:space="preserve">	12</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6.5 A further unopened fortnight: 15–28 June</w:t>
      </w:r>
      <w:r>
        <w:rPr>
          <w:sz w:val="24"/>
          <w:szCs w:val="24"/>
          <w:rFonts w:ascii="Times New Roman" w:cs="Times New Roman" w:eastAsia="Times New Roman" w:hAnsi="Times New Roman"/>
        </w:rPr>
        <w:t xml:space="preserve">	14</w:t>
      </w:r>
    </w:p>
    <w:p>
      <w:pPr>
        <w:tabs>
          <w:tab w:val="right" w:pos="9026" w:leader="dot"/>
        </w:tabs>
        <w:spacing w:line="300" w:after="60" w:before="100"/>
        <w:ind w:left="0"/>
      </w:pPr>
      <w:r>
        <w:rPr>
          <w:b/>
          <w:bCs/>
          <w:sz w:val="24"/>
          <w:szCs w:val="24"/>
          <w:rFonts w:ascii="Times New Roman" w:cs="Times New Roman" w:eastAsia="Times New Roman" w:hAnsi="Times New Roman"/>
        </w:rPr>
        <w:t xml:space="preserve">7 Prospective Live Test</w:t>
      </w:r>
      <w:r>
        <w:rPr>
          <w:sz w:val="24"/>
          <w:szCs w:val="24"/>
          <w:rFonts w:ascii="Times New Roman" w:cs="Times New Roman" w:eastAsia="Times New Roman" w:hAnsi="Times New Roman"/>
        </w:rPr>
        <w:t xml:space="preserve">	15</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7.1 Design</w:t>
      </w:r>
      <w:r>
        <w:rPr>
          <w:sz w:val="24"/>
          <w:szCs w:val="24"/>
          <w:rFonts w:ascii="Times New Roman" w:cs="Times New Roman" w:eastAsia="Times New Roman" w:hAnsi="Times New Roman"/>
        </w:rPr>
        <w:t xml:space="preserve">	15</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7.2 Engineering problems and their solutions</w:t>
      </w:r>
      <w:r>
        <w:rPr>
          <w:sz w:val="24"/>
          <w:szCs w:val="24"/>
          <w:rFonts w:ascii="Times New Roman" w:cs="Times New Roman" w:eastAsia="Times New Roman" w:hAnsi="Times New Roman"/>
        </w:rPr>
        <w:t xml:space="preserve">	15</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7.3 Operation</w:t>
      </w:r>
      <w:r>
        <w:rPr>
          <w:sz w:val="24"/>
          <w:szCs w:val="24"/>
          <w:rFonts w:ascii="Times New Roman" w:cs="Times New Roman" w:eastAsia="Times New Roman" w:hAnsi="Times New Roman"/>
        </w:rPr>
        <w:t xml:space="preserve">	16</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7.4 Results</w:t>
      </w:r>
      <w:r>
        <w:rPr>
          <w:sz w:val="24"/>
          <w:szCs w:val="24"/>
          <w:rFonts w:ascii="Times New Roman" w:cs="Times New Roman" w:eastAsia="Times New Roman" w:hAnsi="Times New Roman"/>
        </w:rPr>
        <w:t xml:space="preserve">	16</w:t>
      </w:r>
    </w:p>
    <w:p>
      <w:pPr>
        <w:tabs>
          <w:tab w:val="right" w:pos="9026" w:leader="dot"/>
        </w:tabs>
        <w:spacing w:line="300" w:after="60" w:before="100"/>
        <w:ind w:left="0"/>
      </w:pPr>
      <w:r>
        <w:rPr>
          <w:b/>
          <w:bCs/>
          <w:sz w:val="24"/>
          <w:szCs w:val="24"/>
          <w:rFonts w:ascii="Times New Roman" w:cs="Times New Roman" w:eastAsia="Times New Roman" w:hAnsi="Times New Roman"/>
        </w:rPr>
        <w:t xml:space="preserve">8 Discussion</w:t>
      </w:r>
      <w:r>
        <w:rPr>
          <w:sz w:val="24"/>
          <w:szCs w:val="24"/>
          <w:rFonts w:ascii="Times New Roman" w:cs="Times New Roman" w:eastAsia="Times New Roman" w:hAnsi="Times New Roman"/>
        </w:rPr>
        <w:t xml:space="preserve">	17</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8.1 What the evidence supports</w:t>
      </w:r>
      <w:r>
        <w:rPr>
          <w:sz w:val="24"/>
          <w:szCs w:val="24"/>
          <w:rFonts w:ascii="Times New Roman" w:cs="Times New Roman" w:eastAsia="Times New Roman" w:hAnsi="Times New Roman"/>
        </w:rPr>
        <w:t xml:space="preserve">	17</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8.2 Threats to validity</w:t>
      </w:r>
      <w:r>
        <w:rPr>
          <w:sz w:val="24"/>
          <w:szCs w:val="24"/>
          <w:rFonts w:ascii="Times New Roman" w:cs="Times New Roman" w:eastAsia="Times New Roman" w:hAnsi="Times New Roman"/>
        </w:rPr>
        <w:t xml:space="preserve">	17</w:t>
      </w:r>
    </w:p>
    <w:p>
      <w:pPr>
        <w:tabs>
          <w:tab w:val="right" w:pos="9026" w:leader="dot"/>
        </w:tabs>
        <w:spacing w:line="300" w:after="60" w:before="100"/>
        <w:ind w:left="0"/>
      </w:pPr>
      <w:r>
        <w:rPr>
          <w:b/>
          <w:bCs/>
          <w:sz w:val="24"/>
          <w:szCs w:val="24"/>
          <w:rFonts w:ascii="Times New Roman" w:cs="Times New Roman" w:eastAsia="Times New Roman" w:hAnsi="Times New Roman"/>
        </w:rPr>
        <w:t xml:space="preserve">9 Conclusions</w:t>
      </w:r>
      <w:r>
        <w:rPr>
          <w:sz w:val="24"/>
          <w:szCs w:val="24"/>
          <w:rFonts w:ascii="Times New Roman" w:cs="Times New Roman" w:eastAsia="Times New Roman" w:hAnsi="Times New Roman"/>
        </w:rPr>
        <w:t xml:space="preserve">	18</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9.1 Summary</w:t>
      </w:r>
      <w:r>
        <w:rPr>
          <w:sz w:val="24"/>
          <w:szCs w:val="24"/>
          <w:rFonts w:ascii="Times New Roman" w:cs="Times New Roman" w:eastAsia="Times New Roman" w:hAnsi="Times New Roman"/>
        </w:rPr>
        <w:t xml:space="preserve">	18</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9.2 Limitations</w:t>
      </w:r>
      <w:r>
        <w:rPr>
          <w:sz w:val="24"/>
          <w:szCs w:val="24"/>
          <w:rFonts w:ascii="Times New Roman" w:cs="Times New Roman" w:eastAsia="Times New Roman" w:hAnsi="Times New Roman"/>
        </w:rPr>
        <w:t xml:space="preserve">	18</w:t>
      </w:r>
    </w:p>
    <w:p>
      <w:pPr>
        <w:tabs>
          <w:tab w:val="right" w:pos="9026" w:leader="dot"/>
        </w:tabs>
        <w:spacing w:line="300" w:after="20" w:before="0"/>
        <w:ind w:left="480"/>
      </w:pPr>
      <w:r>
        <w:rPr>
          <w:b w:val="false"/>
          <w:bCs w:val="false"/>
          <w:sz w:val="24"/>
          <w:szCs w:val="24"/>
          <w:rFonts w:ascii="Times New Roman" w:cs="Times New Roman" w:eastAsia="Times New Roman" w:hAnsi="Times New Roman"/>
        </w:rPr>
        <w:t xml:space="preserve">9.3 Recommendations for further work</w:t>
      </w:r>
      <w:r>
        <w:rPr>
          <w:sz w:val="24"/>
          <w:szCs w:val="24"/>
          <w:rFonts w:ascii="Times New Roman" w:cs="Times New Roman" w:eastAsia="Times New Roman" w:hAnsi="Times New Roman"/>
        </w:rPr>
        <w:t xml:space="preserve">	18</w:t>
      </w:r>
    </w:p>
    <w:p>
      <w:pPr>
        <w:tabs>
          <w:tab w:val="right" w:pos="9026" w:leader="dot"/>
        </w:tabs>
        <w:spacing w:line="300" w:after="60" w:before="100"/>
        <w:ind w:left="0"/>
      </w:pPr>
      <w:r>
        <w:rPr>
          <w:b/>
          <w:bCs/>
          <w:sz w:val="24"/>
          <w:szCs w:val="24"/>
          <w:rFonts w:ascii="Times New Roman" w:cs="Times New Roman" w:eastAsia="Times New Roman" w:hAnsi="Times New Roman"/>
        </w:rPr>
        <w:t xml:space="preserve">References</w:t>
      </w:r>
      <w:r>
        <w:rPr>
          <w:sz w:val="24"/>
          <w:szCs w:val="24"/>
          <w:rFonts w:ascii="Times New Roman" w:cs="Times New Roman" w:eastAsia="Times New Roman" w:hAnsi="Times New Roman"/>
        </w:rPr>
        <w:t xml:space="preserve">	19</w:t>
      </w:r>
    </w:p>
    <w:p>
      <w:pPr>
        <w:tabs>
          <w:tab w:val="right" w:pos="9026" w:leader="dot"/>
        </w:tabs>
        <w:spacing w:line="300" w:after="60" w:before="100"/>
        <w:ind w:left="0"/>
      </w:pPr>
      <w:r>
        <w:rPr>
          <w:b/>
          <w:bCs/>
          <w:sz w:val="24"/>
          <w:szCs w:val="24"/>
          <w:rFonts w:ascii="Times New Roman" w:cs="Times New Roman" w:eastAsia="Times New Roman" w:hAnsi="Times New Roman"/>
        </w:rPr>
        <w:t xml:space="preserve">Appendix A – Feature Definitions</w:t>
      </w:r>
      <w:r>
        <w:rPr>
          <w:sz w:val="24"/>
          <w:szCs w:val="24"/>
          <w:rFonts w:ascii="Times New Roman" w:cs="Times New Roman" w:eastAsia="Times New Roman" w:hAnsi="Times New Roman"/>
        </w:rPr>
        <w:t xml:space="preserve">	A-1</w:t>
      </w:r>
    </w:p>
    <w:p>
      <w:pPr>
        <w:tabs>
          <w:tab w:val="right" w:pos="9026" w:leader="dot"/>
        </w:tabs>
        <w:spacing w:line="300" w:after="60" w:before="100"/>
        <w:ind w:left="0"/>
      </w:pPr>
      <w:r>
        <w:rPr>
          <w:b/>
          <w:bCs/>
          <w:sz w:val="24"/>
          <w:szCs w:val="24"/>
          <w:rFonts w:ascii="Times New Roman" w:cs="Times New Roman" w:eastAsia="Times New Roman" w:hAnsi="Times New Roman"/>
        </w:rPr>
        <w:t xml:space="preserve">Appendix B – Protocol Deviations and Failed Attempts</w:t>
      </w:r>
      <w:r>
        <w:rPr>
          <w:sz w:val="24"/>
          <w:szCs w:val="24"/>
          <w:rFonts w:ascii="Times New Roman" w:cs="Times New Roman" w:eastAsia="Times New Roman" w:hAnsi="Times New Roman"/>
        </w:rPr>
        <w:t xml:space="preserve">	B-1</w:t>
      </w:r>
    </w:p>
    <w:p>
      <w:pPr>
        <w:tabs>
          <w:tab w:val="right" w:pos="9026" w:leader="dot"/>
        </w:tabs>
        <w:spacing w:line="300" w:after="60" w:before="100"/>
        <w:ind w:left="0"/>
      </w:pPr>
      <w:r>
        <w:rPr>
          <w:b/>
          <w:bCs/>
          <w:sz w:val="24"/>
          <w:szCs w:val="24"/>
          <w:rFonts w:ascii="Times New Roman" w:cs="Times New Roman" w:eastAsia="Times New Roman" w:hAnsi="Times New Roman"/>
        </w:rPr>
        <w:t xml:space="preserve">Appendix C – Reproducibility</w:t>
      </w:r>
      <w:r>
        <w:rPr>
          <w:sz w:val="24"/>
          <w:szCs w:val="24"/>
          <w:rFonts w:ascii="Times New Roman" w:cs="Times New Roman" w:eastAsia="Times New Roman" w:hAnsi="Times New Roman"/>
        </w:rPr>
        <w:t xml:space="preserve">	C-1</w:t>
      </w:r>
    </w:p>
    <w:p>
      <w:pPr>
        <w:pageBreakBefore/>
        <w:spacing w:after="240"/>
        <w:jc w:val="center"/>
      </w:pPr>
      <w:r>
        <w:rPr>
          <w:b/>
          <w:bCs/>
          <w:color w:val="000000"/>
          <w:sz w:val="32"/>
          <w:szCs w:val="32"/>
          <w:rFonts w:ascii="Times New Roman" w:cs="Times New Roman" w:eastAsia="Times New Roman" w:hAnsi="Times New Roman"/>
        </w:rPr>
        <w:t xml:space="preserve">List of Figures</w:t>
      </w:r>
    </w:p>
    <w:p>
      <w:pPr>
        <w:spacing w:line="360" w:after="60"/>
      </w:pPr>
      <w:r>
        <w:rPr>
          <w:sz w:val="24"/>
          <w:szCs w:val="24"/>
          <w:rFonts w:ascii="Times New Roman" w:cs="Times New Roman" w:eastAsia="Times New Roman" w:hAnsi="Times New Roman"/>
        </w:rPr>
        <w:t xml:space="preserve">Figure 1. Log-loss gain of the frozen booster over logistic regression on the two unopened June blocks, with 95% contract-clustered bootstrap intervals. Contributing contracts are given in parentheses.</w:t>
      </w:r>
    </w:p>
    <w:p>
      <w:pPr>
        <w:spacing w:line="360" w:after="60"/>
      </w:pPr>
      <w:r>
        <w:rPr>
          <w:sz w:val="24"/>
          <w:szCs w:val="24"/>
          <w:rFonts w:ascii="Times New Roman" w:cs="Times New Roman" w:eastAsia="Times New Roman" w:hAnsi="Times New Roman"/>
        </w:rPr>
        <w:t xml:space="preserve">Figure 2. Reliability diagram for the booster and logistic regression on 8–14 June (decile bins of forecast probability).</w:t>
      </w:r>
    </w:p>
    <w:p>
      <w:pPr>
        <w:spacing w:line="360" w:after="60"/>
      </w:pPr>
      <w:r>
        <w:rPr>
          <w:sz w:val="24"/>
          <w:szCs w:val="24"/>
          <w:rFonts w:ascii="Times New Roman" w:cs="Times New Roman" w:eastAsia="Times New Roman" w:hAnsi="Times New Roman"/>
        </w:rPr>
        <w:t xml:space="preserve">Figure 3. Booster log-loss reduction by market category in each June block. Point labels give the number of contracts.</w:t>
      </w:r>
    </w:p>
    <w:p>
      <w:pPr>
        <w:pageBreakBefore/>
        <w:spacing w:after="240"/>
        <w:jc w:val="center"/>
      </w:pPr>
      <w:r>
        <w:rPr>
          <w:b/>
          <w:bCs/>
          <w:color w:val="000000"/>
          <w:sz w:val="32"/>
          <w:szCs w:val="32"/>
          <w:rFonts w:ascii="Times New Roman" w:cs="Times New Roman" w:eastAsia="Times New Roman" w:hAnsi="Times New Roman"/>
        </w:rPr>
        <w:t xml:space="preserve">List of Tables</w:t>
      </w:r>
    </w:p>
    <w:p>
      <w:pPr>
        <w:spacing w:line="360" w:after="60"/>
      </w:pPr>
      <w:r>
        <w:rPr>
          <w:sz w:val="24"/>
          <w:szCs w:val="24"/>
          <w:rFonts w:ascii="Times New Roman" w:cs="Times New Roman" w:eastAsia="Times New Roman" w:hAnsi="Times New Roman"/>
        </w:rPr>
        <w:t xml:space="preserve">Table 1. V3.1 development comparison of news-augmented (B1) and market-only (B0) models on 1,460,454 matched out-of-fold rows.</w:t>
      </w:r>
    </w:p>
    <w:p>
      <w:pPr>
        <w:spacing w:line="360" w:after="60"/>
      </w:pPr>
      <w:r>
        <w:rPr>
          <w:sz w:val="24"/>
          <w:szCs w:val="24"/>
          <w:rFonts w:ascii="Times New Roman" w:cs="Times New Roman" w:eastAsia="Times New Roman" w:hAnsi="Times New Roman"/>
        </w:rPr>
        <w:t xml:space="preserve">Table 2. Matched results, 1–7 June, development cohort (18 contributing contracts, 16,453 known outcomes, 2,068 positives). Lower log loss and Brier are better.</w:t>
      </w:r>
    </w:p>
    <w:p>
      <w:pPr>
        <w:spacing w:line="360" w:after="60"/>
      </w:pPr>
      <w:r>
        <w:rPr>
          <w:sz w:val="24"/>
          <w:szCs w:val="24"/>
          <w:rFonts w:ascii="Times New Roman" w:cs="Times New Roman" w:eastAsia="Times New Roman" w:hAnsi="Times New Roman"/>
        </w:rPr>
        <w:t xml:space="preserve">Table 3. Matched results, 8–14 June, never-used contracts (35 contributing contracts, 35,218 known outcomes, 8,830 positives).</w:t>
      </w:r>
    </w:p>
    <w:p>
      <w:pPr>
        <w:spacing w:line="360" w:after="60"/>
      </w:pPr>
      <w:r>
        <w:rPr>
          <w:sz w:val="24"/>
          <w:szCs w:val="24"/>
          <w:rFonts w:ascii="Times New Roman" w:cs="Times New Roman" w:eastAsia="Times New Roman" w:hAnsi="Times New Roman"/>
        </w:rPr>
        <w:t xml:space="preserve">Table 4. Booster log-loss reduction against activity logistic regression by category (descriptive, post hoc keyword rule).</w:t>
      </w:r>
    </w:p>
    <w:p>
      <w:pPr>
        <w:spacing w:line="360" w:after="60"/>
      </w:pPr>
      <w:r>
        <w:rPr>
          <w:sz w:val="24"/>
          <w:szCs w:val="24"/>
          <w:rFonts w:ascii="Times New Roman" w:cs="Times New Roman" w:eastAsia="Times New Roman" w:hAnsi="Times New Roman"/>
        </w:rPr>
        <w:t xml:space="preserve">Table 5. The 18 features of row_hgb7. Features marked * are also used by the 14-feature V03 live model.</w:t>
      </w:r>
    </w:p>
    <w:p>
      <w:pPr>
        <w:spacing w:line="360" w:after="60"/>
      </w:pPr>
      <w:r>
        <w:rPr>
          <w:sz w:val="24"/>
          <w:szCs w:val="24"/>
          <w:rFonts w:ascii="Times New Roman" w:cs="Times New Roman" w:eastAsia="Times New Roman" w:hAnsi="Times New Roman"/>
        </w:rPr>
        <w:t xml:space="preserve">Table 6. Deviations, failures and superseded versions, in chronological order.</w:t>
      </w:r>
    </w:p>
    <w:p>
      <w:pPr>
        <w:spacing w:line="360" w:after="60"/>
      </w:pPr>
      <w:r>
        <w:rPr>
          <w:sz w:val="24"/>
          <w:szCs w:val="24"/>
          <w:rFonts w:ascii="Times New Roman" w:cs="Times New Roman" w:eastAsia="Times New Roman" w:hAnsi="Times New Roman"/>
        </w:rPr>
        <w:t xml:space="preserve">Table 7. Principal scripts and outputs.</w:t>
      </w:r>
    </w:p>
    <w:p>
      <w:pPr>
        <w:sectPr>
          <w:footerReference w:type="default" r:id="rId6"/>
          <w:pgSz w:w="11906" w:h="16838" w:orient="portrait"/>
          <w:pgMar w:top="1440" w:right="1440" w:bottom="1440" w:left="1440" w:header="708" w:footer="708" w:gutter="0"/>
          <w:pgNumType w:start="1" w:fmt="lowerRoman"/>
          <w:docGrid w:linePitch="360"/>
        </w:sectPr>
      </w:pPr>
    </w:p>
    <w:p>
      <w:pPr>
        <w:pStyle w:val="Heading1"/>
        <w:pageBreakBefore/>
        <w:spacing w:before="240" w:after="240"/>
      </w:pPr>
      <w:r>
        <w:rPr>
          <w:b/>
          <w:bCs/>
          <w:color w:val="000000"/>
          <w:sz w:val="32"/>
          <w:szCs w:val="32"/>
          <w:rFonts w:ascii="Times New Roman" w:cs="Times New Roman" w:eastAsia="Times New Roman" w:hAnsi="Times New Roman"/>
        </w:rPr>
        <w:t xml:space="preserve">1 Introduction</w:t>
      </w:r>
    </w:p>
    <w:p>
      <w:pPr>
        <w:pStyle w:val="Heading2"/>
        <w:keepNext/>
        <w:spacing w:before="240" w:after="120"/>
      </w:pPr>
      <w:r>
        <w:rPr>
          <w:b/>
          <w:bCs/>
          <w:color w:val="000000"/>
          <w:sz w:val="28"/>
          <w:szCs w:val="28"/>
          <w:rFonts w:ascii="Times New Roman" w:cs="Times New Roman" w:eastAsia="Times New Roman" w:hAnsi="Times New Roman"/>
        </w:rPr>
        <w:t xml:space="preserve">1.1 Background and motivation</w:t>
      </w:r>
    </w:p>
    <w:p>
      <w:pPr>
        <w:spacing w:line="360" w:after="120"/>
        <w:jc w:val="both"/>
      </w:pPr>
      <w:r>
        <w:rPr>
          <w:sz w:val="24"/>
          <w:szCs w:val="24"/>
          <w:rFonts w:ascii="Times New Roman" w:cs="Times New Roman" w:eastAsia="Times New Roman" w:hAnsi="Times New Roman"/>
        </w:rPr>
        <w:t xml:space="preserve">Prediction markets let traders buy contracts that pay one dollar if an event happens, so a contract’s price can be read as a crowd probability of that event (Wolfers and Zitzewitz, 2004; Arrow et al, 2008). Platforms such as Polymarket and Kalshi now list thousands of contracts on elections, sports, macroeconomic releases, technology and geopolitics. Prices move when new information arrives, but they also move for mechanical reasons: liquidity providers re-quote, the order book thins out overnight, and contracts become quiet as their resolution approaches.</w:t>
      </w:r>
    </w:p>
    <w:p>
      <w:pPr>
        <w:spacing w:line="360" w:after="120"/>
        <w:jc w:val="both"/>
      </w:pPr>
      <w:r>
        <w:rPr>
          <w:sz w:val="24"/>
          <w:szCs w:val="24"/>
          <w:rFonts w:ascii="Times New Roman" w:cs="Times New Roman" w:eastAsia="Times New Roman" w:hAnsi="Times New Roman"/>
        </w:rPr>
        <w:t xml:space="preserve">The original goal of EventX was a benchmark for whether outside information (news articles, and later posts by influential social-media accounts) carries </w:t>
      </w:r>
      <w:r>
        <w:rPr>
          <w:b/>
          <w:bCs/>
          <w:sz w:val="24"/>
          <w:szCs w:val="24"/>
          <w:rFonts w:ascii="Times New Roman" w:cs="Times New Roman" w:eastAsia="Times New Roman" w:hAnsi="Times New Roman"/>
        </w:rPr>
        <w:t xml:space="preserve">incremental, point-in-time</w:t>
      </w:r>
      <w:r>
        <w:rPr>
          <w:sz w:val="24"/>
          <w:szCs w:val="24"/>
          <w:rFonts w:ascii="Times New Roman" w:cs="Times New Roman" w:eastAsia="Times New Roman" w:hAnsi="Times New Roman"/>
        </w:rPr>
        <w:t xml:space="preserve"> predictive information about these price moves, beyond what market history already reveals. Results in this area are easy to overstate. A single look-ahead leak, a reused test period or a weak baseline can produce an apparent gain without any error showing up. The project therefore treats evaluation discipline as a first-class research output: every test set is frozen before it is opened, every model is frozen before it is scored, and each held-out period is evaluated exactly once.</w:t>
      </w:r>
    </w:p>
    <w:p>
      <w:pPr>
        <w:pStyle w:val="Heading2"/>
        <w:keepNext/>
        <w:spacing w:before="240" w:after="120"/>
      </w:pPr>
      <w:r>
        <w:rPr>
          <w:b/>
          <w:bCs/>
          <w:color w:val="000000"/>
          <w:sz w:val="28"/>
          <w:szCs w:val="28"/>
          <w:rFonts w:ascii="Times New Roman" w:cs="Times New Roman" w:eastAsia="Times New Roman" w:hAnsi="Times New Roman"/>
        </w:rPr>
        <w:t xml:space="preserve">1.2 Research questions</w:t>
      </w:r>
    </w:p>
    <w:p>
      <w:pPr>
        <w:pStyle w:val="ListParagraph"/>
        <w:numPr>
          <w:ilvl w:val="0"/>
          <w:numId w:val="2"/>
        </w:numPr>
        <w:spacing w:line="360" w:after="120"/>
      </w:pPr>
      <w:r>
        <w:rPr>
          <w:b/>
          <w:bCs/>
          <w:sz w:val="24"/>
          <w:szCs w:val="24"/>
          <w:rFonts w:ascii="Times New Roman" w:cs="Times New Roman" w:eastAsia="Times New Roman" w:hAnsi="Times New Roman"/>
        </w:rPr>
        <w:t xml:space="preserve">RQ1 (news increment).</w:t>
      </w:r>
      <w:r>
        <w:rPr>
          <w:sz w:val="24"/>
          <w:szCs w:val="24"/>
          <w:rFonts w:ascii="Times New Roman" w:cs="Times New Roman" w:eastAsia="Times New Roman" w:hAnsi="Times New Roman"/>
        </w:rPr>
        <w:t xml:space="preserve"> Does news that was demonstrably available at decision time improve a forecast of the next 30-minute price jump beyond a market-history baseline?</w:t>
      </w:r>
    </w:p>
    <w:p>
      <w:pPr>
        <w:pStyle w:val="ListParagraph"/>
        <w:numPr>
          <w:ilvl w:val="0"/>
          <w:numId w:val="2"/>
        </w:numPr>
        <w:spacing w:line="360" w:after="120"/>
      </w:pPr>
      <w:r>
        <w:rPr>
          <w:b/>
          <w:bCs/>
          <w:sz w:val="24"/>
          <w:szCs w:val="24"/>
          <w:rFonts w:ascii="Times New Roman" w:cs="Times New Roman" w:eastAsia="Times New Roman" w:hAnsi="Times New Roman"/>
        </w:rPr>
        <w:t xml:space="preserve">RQ2 (forecastable target).</w:t>
      </w:r>
      <w:r>
        <w:rPr>
          <w:sz w:val="24"/>
          <w:szCs w:val="24"/>
          <w:rFonts w:ascii="Times New Roman" w:cs="Times New Roman" w:eastAsia="Times New Roman" w:hAnsi="Times New Roman"/>
        </w:rPr>
        <w:t xml:space="preserve"> Is there a short-horizon market quantity that can be forecast reliably better than strong baselines, and does that advantage survive new time periods and never-seen contracts?</w:t>
      </w:r>
    </w:p>
    <w:p>
      <w:pPr>
        <w:pStyle w:val="ListParagraph"/>
        <w:numPr>
          <w:ilvl w:val="0"/>
          <w:numId w:val="2"/>
        </w:numPr>
        <w:spacing w:line="360" w:after="120"/>
      </w:pPr>
      <w:r>
        <w:rPr>
          <w:b/>
          <w:bCs/>
          <w:sz w:val="24"/>
          <w:szCs w:val="24"/>
          <w:rFonts w:ascii="Times New Roman" w:cs="Times New Roman" w:eastAsia="Times New Roman" w:hAnsi="Times New Roman"/>
        </w:rPr>
        <w:t xml:space="preserve">RQ3 (live operation).</w:t>
      </w:r>
      <w:r>
        <w:rPr>
          <w:sz w:val="24"/>
          <w:szCs w:val="24"/>
          <w:rFonts w:ascii="Times New Roman" w:cs="Times New Roman" w:eastAsia="Times New Roman" w:hAnsi="Times New Roman"/>
        </w:rPr>
        <w:t xml:space="preserve"> Can such a forecaster run prospectively on live data, under the same frozen rules, with every decision auditable after the fact?</w:t>
      </w:r>
    </w:p>
    <w:p>
      <w:pPr>
        <w:pStyle w:val="Heading2"/>
        <w:keepNext/>
        <w:spacing w:before="240" w:after="120"/>
      </w:pPr>
      <w:r>
        <w:rPr>
          <w:b/>
          <w:bCs/>
          <w:color w:val="000000"/>
          <w:sz w:val="28"/>
          <w:szCs w:val="28"/>
          <w:rFonts w:ascii="Times New Roman" w:cs="Times New Roman" w:eastAsia="Times New Roman" w:hAnsi="Times New Roman"/>
        </w:rPr>
        <w:t xml:space="preserve">1.3 Summary of contributions</w:t>
      </w:r>
    </w:p>
    <w:p>
      <w:pPr>
        <w:pStyle w:val="ListParagraph"/>
        <w:numPr>
          <w:ilvl w:val="0"/>
          <w:numId w:val="3"/>
        </w:numPr>
        <w:spacing w:line="360" w:after="120"/>
      </w:pPr>
      <w:r>
        <w:rPr>
          <w:sz w:val="24"/>
          <w:szCs w:val="24"/>
          <w:rFonts w:ascii="Times New Roman" w:cs="Times New Roman" w:eastAsia="Times New Roman" w:hAnsi="Times New Roman"/>
        </w:rPr>
        <w:t xml:space="preserve">A frozen, preregistered historical test of news value over 4,651 markets, with a negative answer to RQ1. Under the frozen design, news counts made forecasts slightly worse (Chapter 4).</w:t>
      </w:r>
    </w:p>
    <w:p>
      <w:pPr>
        <w:pStyle w:val="ListParagraph"/>
        <w:numPr>
          <w:ilvl w:val="0"/>
          <w:numId w:val="3"/>
        </w:numPr>
        <w:spacing w:line="360" w:after="120"/>
      </w:pPr>
      <w:r>
        <w:rPr>
          <w:sz w:val="24"/>
          <w:szCs w:val="24"/>
          <w:rFonts w:ascii="Times New Roman" w:cs="Times New Roman" w:eastAsia="Times New Roman" w:hAnsi="Times New Roman"/>
        </w:rPr>
        <w:t xml:space="preserve">A quote-change forecaster whose advantage over logistic, rate-based and earlier boosted baselines replicates on two unopened June weeks, including 35 contracts never used before. It holds in every market category (Chapters 5 and 6).</w:t>
      </w:r>
    </w:p>
    <w:p>
      <w:pPr>
        <w:pStyle w:val="ListParagraph"/>
        <w:numPr>
          <w:ilvl w:val="0"/>
          <w:numId w:val="3"/>
        </w:numPr>
        <w:spacing w:line="360" w:after="120"/>
      </w:pPr>
      <w:r>
        <w:rPr>
          <w:sz w:val="24"/>
          <w:szCs w:val="24"/>
          <w:rFonts w:ascii="Times New Roman" w:cs="Times New Roman" w:eastAsia="Times New Roman" w:hAnsi="Times New Roman"/>
        </w:rPr>
        <w:t xml:space="preserve">A prospective runtime that validates its own clock against network time servers, writes hash-chained journals, and refuses to evaluate more than once. A three-day live test was run on 30 newly selected contracts (Chapter 7).</w:t>
      </w:r>
    </w:p>
    <w:p>
      <w:pPr>
        <w:pStyle w:val="ListParagraph"/>
        <w:numPr>
          <w:ilvl w:val="0"/>
          <w:numId w:val="3"/>
        </w:numPr>
        <w:spacing w:line="360" w:after="120"/>
      </w:pPr>
      <w:r>
        <w:rPr>
          <w:sz w:val="24"/>
          <w:szCs w:val="24"/>
          <w:rFonts w:ascii="Times New Roman" w:cs="Times New Roman" w:eastAsia="Times New Roman" w:hAnsi="Times New Roman"/>
        </w:rPr>
        <w:t xml:space="preserve">A full record of failed attempts and protocol deviations, kept rather than hidden (Appendix B).</w:t>
      </w:r>
    </w:p>
    <w:p>
      <w:pPr>
        <w:pStyle w:val="Heading2"/>
        <w:keepNext/>
        <w:spacing w:before="240" w:after="120"/>
      </w:pPr>
      <w:r>
        <w:rPr>
          <w:b/>
          <w:bCs/>
          <w:color w:val="000000"/>
          <w:sz w:val="28"/>
          <w:szCs w:val="28"/>
          <w:rFonts w:ascii="Times New Roman" w:cs="Times New Roman" w:eastAsia="Times New Roman" w:hAnsi="Times New Roman"/>
        </w:rPr>
        <w:t xml:space="preserve">1.4 Organisation of the report</w:t>
      </w:r>
    </w:p>
    <w:p>
      <w:pPr>
        <w:spacing w:line="360" w:after="120"/>
        <w:jc w:val="both"/>
      </w:pPr>
      <w:r>
        <w:rPr>
          <w:sz w:val="24"/>
          <w:szCs w:val="24"/>
          <w:rFonts w:ascii="Times New Roman" w:cs="Times New Roman" w:eastAsia="Times New Roman" w:hAnsi="Times New Roman"/>
        </w:rPr>
        <w:t xml:space="preserve">Chapter 2 reviews related work. Chapter 3 describes the data and the leakage safeguards shared by all studies. Chapter 4 reports the news-increment study (Track A). Chapters 5 and 6 present the quote-change forecaster and its historical evaluations (Track B), and Chapter 7 the prospective live test. Chapter 8 discusses validity, and Chapter 9 concludes with limitations and recommendations. Appendices give feature definitions, the deviation log and reproduction instructions.</w:t>
      </w:r>
    </w:p>
    <w:p>
      <w:pPr>
        <w:pStyle w:val="Heading1"/>
        <w:pageBreakBefore/>
        <w:spacing w:before="240" w:after="240"/>
      </w:pPr>
      <w:r>
        <w:rPr>
          <w:b/>
          <w:bCs/>
          <w:color w:val="000000"/>
          <w:sz w:val="32"/>
          <w:szCs w:val="32"/>
          <w:rFonts w:ascii="Times New Roman" w:cs="Times New Roman" w:eastAsia="Times New Roman" w:hAnsi="Times New Roman"/>
        </w:rPr>
        <w:t xml:space="preserve">2 Background and Related Work</w:t>
      </w:r>
    </w:p>
    <w:p>
      <w:pPr>
        <w:pStyle w:val="Heading2"/>
        <w:keepNext/>
        <w:spacing w:before="240" w:after="120"/>
      </w:pPr>
      <w:r>
        <w:rPr>
          <w:b/>
          <w:bCs/>
          <w:color w:val="000000"/>
          <w:sz w:val="28"/>
          <w:szCs w:val="28"/>
          <w:rFonts w:ascii="Times New Roman" w:cs="Times New Roman" w:eastAsia="Times New Roman" w:hAnsi="Times New Roman"/>
        </w:rPr>
        <w:t xml:space="preserve">2.1 Prediction markets as forecasts</w:t>
      </w:r>
    </w:p>
    <w:p>
      <w:pPr>
        <w:spacing w:line="360" w:after="120"/>
        <w:jc w:val="both"/>
      </w:pPr>
      <w:r>
        <w:rPr>
          <w:sz w:val="24"/>
          <w:szCs w:val="24"/>
          <w:rFonts w:ascii="Times New Roman" w:cs="Times New Roman" w:eastAsia="Times New Roman" w:hAnsi="Times New Roman"/>
        </w:rPr>
        <w:t xml:space="preserve">Prediction-market prices aggregate dispersed beliefs and often forecast at least as well as polls or experts (Wolfers and Zitzewitz, 2004; Arrow et al, 2008). Calibration is good on average but imperfect, especially for long-shot outcomes and far-off events (Page and Clemen, 2013). This project does not try to beat the market’s forecast of the final outcome. It forecasts the behaviour of the market’s </w:t>
      </w:r>
      <w:r>
        <w:rPr>
          <w:i/>
          <w:iCs/>
          <w:sz w:val="24"/>
          <w:szCs w:val="24"/>
          <w:rFonts w:ascii="Times New Roman" w:cs="Times New Roman" w:eastAsia="Times New Roman" w:hAnsi="Times New Roman"/>
        </w:rPr>
        <w:t xml:space="preserve">own price</w:t>
      </w:r>
      <w:r>
        <w:rPr>
          <w:sz w:val="24"/>
          <w:szCs w:val="24"/>
          <w:rFonts w:ascii="Times New Roman" w:cs="Times New Roman" w:eastAsia="Times New Roman" w:hAnsi="Times New Roman"/>
        </w:rPr>
        <w:t xml:space="preserve"> over the next half hour.</w:t>
      </w:r>
    </w:p>
    <w:p>
      <w:pPr>
        <w:pStyle w:val="Heading2"/>
        <w:keepNext/>
        <w:spacing w:before="240" w:after="120"/>
      </w:pPr>
      <w:r>
        <w:rPr>
          <w:b/>
          <w:bCs/>
          <w:color w:val="000000"/>
          <w:sz w:val="28"/>
          <w:szCs w:val="28"/>
          <w:rFonts w:ascii="Times New Roman" w:cs="Times New Roman" w:eastAsia="Times New Roman" w:hAnsi="Times New Roman"/>
        </w:rPr>
        <w:t xml:space="preserve">2.2 News, attention and asset prices</w:t>
      </w:r>
    </w:p>
    <w:p>
      <w:pPr>
        <w:spacing w:line="360" w:after="120"/>
        <w:jc w:val="both"/>
      </w:pPr>
      <w:r>
        <w:rPr>
          <w:sz w:val="24"/>
          <w:szCs w:val="24"/>
          <w:rFonts w:ascii="Times New Roman" w:cs="Times New Roman" w:eastAsia="Times New Roman" w:hAnsi="Times New Roman"/>
        </w:rPr>
        <w:t xml:space="preserve">Media content has measurable, short-lived associations with stock returns and trading volume (Tetlock, 2007), so news is a natural candidate signal for prediction markets as well. The difficulty is timing. A news record is only useful if it was available to a trader </w:t>
      </w:r>
      <w:r>
        <w:rPr>
          <w:i/>
          <w:iCs/>
          <w:sz w:val="24"/>
          <w:szCs w:val="24"/>
          <w:rFonts w:ascii="Times New Roman" w:cs="Times New Roman" w:eastAsia="Times New Roman" w:hAnsi="Times New Roman"/>
        </w:rPr>
        <w:t xml:space="preserve">before</w:t>
      </w:r>
      <w:r>
        <w:rPr>
          <w:sz w:val="24"/>
          <w:szCs w:val="24"/>
          <w:rFonts w:ascii="Times New Roman" w:cs="Times New Roman" w:eastAsia="Times New Roman" w:hAnsi="Times New Roman"/>
        </w:rPr>
        <w:t xml:space="preserve"> the price moved, so timestamps must reflect availability (publication, ingestion and feed-delivery times) rather than event time. EventX therefore uses the most conservative available timestamp, and treats missing feed intervals as unknown rather than as zero news.</w:t>
      </w:r>
    </w:p>
    <w:p>
      <w:pPr>
        <w:pStyle w:val="Heading2"/>
        <w:keepNext/>
        <w:spacing w:before="240" w:after="120"/>
      </w:pPr>
      <w:r>
        <w:rPr>
          <w:b/>
          <w:bCs/>
          <w:color w:val="000000"/>
          <w:sz w:val="28"/>
          <w:szCs w:val="28"/>
          <w:rFonts w:ascii="Times New Roman" w:cs="Times New Roman" w:eastAsia="Times New Roman" w:hAnsi="Times New Roman"/>
        </w:rPr>
        <w:t xml:space="preserve">2.3 Market microstructure</w:t>
      </w:r>
    </w:p>
    <w:p>
      <w:pPr>
        <w:spacing w:line="360" w:after="120"/>
        <w:jc w:val="both"/>
      </w:pPr>
      <w:r>
        <w:rPr>
          <w:sz w:val="24"/>
          <w:szCs w:val="24"/>
          <w:rFonts w:ascii="Times New Roman" w:cs="Times New Roman" w:eastAsia="Times New Roman" w:hAnsi="Times New Roman"/>
        </w:rPr>
        <w:t xml:space="preserve">Short-horizon price behaviour is driven largely by microstructure: the bid–ask spread, quote updates by liquidity providers, and the arrival of orders (O’Hara, 1995; Hasbrouck, 2007). The midpoint of the best bid and ask is the standard high-frequency price proxy. Whether a midpoint changes over a short window depends heavily on how active the book has recently been. Activity is persistent, which makes a quote-change target forecastable in principle.</w:t>
      </w:r>
    </w:p>
    <w:p>
      <w:pPr>
        <w:pStyle w:val="Heading2"/>
        <w:keepNext/>
        <w:spacing w:before="240" w:after="120"/>
      </w:pPr>
      <w:r>
        <w:rPr>
          <w:b/>
          <w:bCs/>
          <w:color w:val="000000"/>
          <w:sz w:val="28"/>
          <w:szCs w:val="28"/>
          <w:rFonts w:ascii="Times New Roman" w:cs="Times New Roman" w:eastAsia="Times New Roman" w:hAnsi="Times New Roman"/>
        </w:rPr>
        <w:t xml:space="preserve">2.4 Forecast evaluation and leakage</w:t>
      </w:r>
    </w:p>
    <w:p>
      <w:pPr>
        <w:spacing w:line="360" w:after="120"/>
        <w:jc w:val="both"/>
      </w:pPr>
      <w:r>
        <w:rPr>
          <w:sz w:val="24"/>
          <w:szCs w:val="24"/>
          <w:rFonts w:ascii="Times New Roman" w:cs="Times New Roman" w:eastAsia="Times New Roman" w:hAnsi="Times New Roman"/>
        </w:rPr>
        <w:t xml:space="preserve">Probabilistic forecasts are evaluated with strictly proper scoring rules, which reward honest probabilities: here, log loss and the Brier score (Brier, 1950; Gneiting and Raftery, 2007). Tree ensembles can be poorly calibrated in some settings (Niculescu-Mizil and Caruana, 2005), so calibration is checked separately. Leakage, meaning information from the future or from the test set entering model building, is a common cause of false results in data mining (Kaufman et al, 2012). In financial time series it also arises from overlapping label windows, which requires purged, embargoed cross-validation (López de Prado, 2018). Observations within one market are dependent, so uncertainty is estimated by resampling whole blocks or whole contracts rather than individual rows (Künsch, 1989; Cameron, Gelbach and Miller, 2008).</w:t>
      </w:r>
    </w:p>
    <w:p>
      <w:pPr>
        <w:pStyle w:val="Heading2"/>
        <w:keepNext/>
        <w:spacing w:before="240" w:after="120"/>
      </w:pPr>
      <w:r>
        <w:rPr>
          <w:b/>
          <w:bCs/>
          <w:color w:val="000000"/>
          <w:sz w:val="28"/>
          <w:szCs w:val="28"/>
          <w:rFonts w:ascii="Times New Roman" w:cs="Times New Roman" w:eastAsia="Times New Roman" w:hAnsi="Times New Roman"/>
        </w:rPr>
        <w:t xml:space="preserve">2.5 Learning method</w:t>
      </w:r>
    </w:p>
    <w:p>
      <w:pPr>
        <w:spacing w:line="360" w:after="120"/>
        <w:jc w:val="both"/>
      </w:pPr>
      <w:r>
        <w:rPr>
          <w:sz w:val="24"/>
          <w:szCs w:val="24"/>
          <w:rFonts w:ascii="Times New Roman" w:cs="Times New Roman" w:eastAsia="Times New Roman" w:hAnsi="Times New Roman"/>
        </w:rPr>
        <w:t xml:space="preserve">The forecasters use histogram-based gradient boosting (Friedman, 2001; Ke et al, 2017), as implemented in scikit-learn (Pedregosa et al, 2011). EventX makes no claim of algorithmic novelty. Its contribution is the target definition, the point-in-time feature construction, and the evaluation protocol around a standard learner.</w:t>
      </w:r>
    </w:p>
    <w:p>
      <w:pPr>
        <w:pStyle w:val="Heading1"/>
        <w:pageBreakBefore/>
        <w:spacing w:before="240" w:after="240"/>
      </w:pPr>
      <w:r>
        <w:rPr>
          <w:b/>
          <w:bCs/>
          <w:color w:val="000000"/>
          <w:sz w:val="32"/>
          <w:szCs w:val="32"/>
          <w:rFonts w:ascii="Times New Roman" w:cs="Times New Roman" w:eastAsia="Times New Roman" w:hAnsi="Times New Roman"/>
        </w:rPr>
        <w:t xml:space="preserve">3 Data and Leakage Safeguards</w:t>
      </w:r>
    </w:p>
    <w:p>
      <w:pPr>
        <w:pStyle w:val="Heading2"/>
        <w:keepNext/>
        <w:spacing w:before="240" w:after="120"/>
      </w:pPr>
      <w:r>
        <w:rPr>
          <w:b/>
          <w:bCs/>
          <w:color w:val="000000"/>
          <w:sz w:val="28"/>
          <w:szCs w:val="28"/>
          <w:rFonts w:ascii="Times New Roman" w:cs="Times New Roman" w:eastAsia="Times New Roman" w:hAnsi="Times New Roman"/>
        </w:rPr>
        <w:t xml:space="preserve">3.1 Data sources</w:t>
      </w:r>
    </w:p>
    <w:p>
      <w:pPr>
        <w:pStyle w:val="ListParagraph"/>
        <w:numPr>
          <w:ilvl w:val="0"/>
          <w:numId w:val="3"/>
        </w:numPr>
        <w:spacing w:line="360" w:after="120"/>
      </w:pPr>
      <w:r>
        <w:rPr>
          <w:b/>
          <w:bCs/>
          <w:sz w:val="24"/>
          <w:szCs w:val="24"/>
          <w:rFonts w:ascii="Times New Roman" w:cs="Times New Roman" w:eastAsia="Times New Roman" w:hAnsi="Times New Roman"/>
        </w:rPr>
        <w:t xml:space="preserve">Lumid FinData</w:t>
      </w:r>
      <w:r>
        <w:rPr>
          <w:sz w:val="24"/>
          <w:szCs w:val="24"/>
          <w:rFonts w:ascii="Times New Roman" w:cs="Times New Roman" w:eastAsia="Times New Roman" w:hAnsi="Times New Roman"/>
        </w:rPr>
        <w:t xml:space="preserve"> supplies historical executed trades for Kalshi and Polymarket, and a news feed with publication and ingestion timestamps. All ingestion runs as resumable, checkpointed batch jobs under the provider’s rate limit, and analysis uses frozen, content-hashed extracts rather than live API calls.</w:t>
      </w:r>
    </w:p>
    <w:p>
      <w:pPr>
        <w:pStyle w:val="ListParagraph"/>
        <w:numPr>
          <w:ilvl w:val="0"/>
          <w:numId w:val="3"/>
        </w:numPr>
        <w:spacing w:line="360" w:after="120"/>
      </w:pPr>
      <w:r>
        <w:rPr>
          <w:b/>
          <w:bCs/>
          <w:sz w:val="24"/>
          <w:szCs w:val="24"/>
          <w:rFonts w:ascii="Times New Roman" w:cs="Times New Roman" w:eastAsia="Times New Roman" w:hAnsi="Times New Roman"/>
        </w:rPr>
        <w:t xml:space="preserve">The pmxt Polymarket archive</w:t>
      </w:r>
      <w:r>
        <w:rPr>
          <w:sz w:val="24"/>
          <w:szCs w:val="24"/>
          <w:rFonts w:ascii="Times New Roman" w:cs="Times New Roman" w:eastAsia="Times New Roman" w:hAnsi="Times New Roman"/>
        </w:rPr>
        <w:t xml:space="preserve"> publishes one Parquet file of order-book events per hour (book snapshots, price changes, trades), each with venue and receive timestamps. Files are sorted by market identifier, so the project can download only the row groups that contain the selected contracts.</w:t>
      </w:r>
    </w:p>
    <w:p>
      <w:pPr>
        <w:pStyle w:val="ListParagraph"/>
        <w:numPr>
          <w:ilvl w:val="0"/>
          <w:numId w:val="3"/>
        </w:numPr>
        <w:spacing w:line="360" w:after="120"/>
      </w:pPr>
      <w:r>
        <w:rPr>
          <w:b/>
          <w:bCs/>
          <w:sz w:val="24"/>
          <w:szCs w:val="24"/>
          <w:rFonts w:ascii="Times New Roman" w:cs="Times New Roman" w:eastAsia="Times New Roman" w:hAnsi="Times New Roman"/>
        </w:rPr>
        <w:t xml:space="preserve">Polymarket’s Gamma metadata API and CLOB WebSocket</w:t>
      </w:r>
      <w:r>
        <w:rPr>
          <w:sz w:val="24"/>
          <w:szCs w:val="24"/>
          <w:rFonts w:ascii="Times New Roman" w:cs="Times New Roman" w:eastAsia="Times New Roman" w:hAnsi="Times New Roman"/>
        </w:rPr>
        <w:t xml:space="preserve"> supply contract metadata (question, outcomes, token identifiers, start and end dates), and live book updates for the prospective test.</w:t>
      </w:r>
    </w:p>
    <w:p>
      <w:pPr>
        <w:pStyle w:val="Heading2"/>
        <w:keepNext/>
        <w:spacing w:before="240" w:after="120"/>
      </w:pPr>
      <w:r>
        <w:rPr>
          <w:b/>
          <w:bCs/>
          <w:color w:val="000000"/>
          <w:sz w:val="28"/>
          <w:szCs w:val="28"/>
          <w:rFonts w:ascii="Times New Roman" w:cs="Times New Roman" w:eastAsia="Times New Roman" w:hAnsi="Times New Roman"/>
        </w:rPr>
        <w:t xml:space="preserve">3.2 Safeguards common to all studies</w:t>
      </w:r>
    </w:p>
    <w:p>
      <w:pPr>
        <w:spacing w:line="360" w:after="120"/>
        <w:jc w:val="both"/>
      </w:pPr>
      <w:r>
        <w:rPr>
          <w:sz w:val="24"/>
          <w:szCs w:val="24"/>
          <w:rFonts w:ascii="Times New Roman" w:cs="Times New Roman" w:eastAsia="Times New Roman" w:hAnsi="Times New Roman"/>
        </w:rPr>
        <w:t xml:space="preserve">The following rules apply to every experiment in this report. They are enforced in code rather than by convention.</w:t>
      </w:r>
    </w:p>
    <w:p>
      <w:pPr>
        <w:pStyle w:val="ListParagraph"/>
        <w:numPr>
          <w:ilvl w:val="0"/>
          <w:numId w:val="3"/>
        </w:numPr>
        <w:spacing w:line="360" w:after="120"/>
      </w:pPr>
      <w:r>
        <w:rPr>
          <w:b/>
          <w:bCs/>
          <w:sz w:val="24"/>
          <w:szCs w:val="24"/>
          <w:rFonts w:ascii="Times New Roman" w:cs="Times New Roman" w:eastAsia="Times New Roman" w:hAnsi="Times New Roman"/>
        </w:rPr>
        <w:t xml:space="preserve">Point in time.</w:t>
      </w:r>
      <w:r>
        <w:rPr>
          <w:sz w:val="24"/>
          <w:szCs w:val="24"/>
          <w:rFonts w:ascii="Times New Roman" w:cs="Times New Roman" w:eastAsia="Times New Roman" w:hAnsi="Times New Roman"/>
        </w:rPr>
        <w:t xml:space="preserve"> Every feature for a decision at time </w:t>
      </w:r>
      <w:r>
        <w:rPr>
          <w:i/>
          <w:iCs/>
          <w:sz w:val="24"/>
          <w:szCs w:val="24"/>
          <w:rFonts w:ascii="Times New Roman" w:cs="Times New Roman" w:eastAsia="Times New Roman" w:hAnsi="Times New Roman"/>
        </w:rPr>
        <w:t xml:space="preserve">t</w:t>
      </w:r>
      <w:r>
        <w:rPr>
          <w:sz w:val="24"/>
          <w:szCs w:val="24"/>
          <w:rFonts w:ascii="Times New Roman" w:cs="Times New Roman" w:eastAsia="Times New Roman" w:hAnsi="Times New Roman"/>
        </w:rPr>
        <w:t xml:space="preserve"> uses only records received at or before </w:t>
      </w:r>
      <w:r>
        <w:rPr>
          <w:i/>
          <w:iCs/>
          <w:sz w:val="24"/>
          <w:szCs w:val="24"/>
          <w:rFonts w:ascii="Times New Roman" w:cs="Times New Roman" w:eastAsia="Times New Roman" w:hAnsi="Times New Roman"/>
        </w:rPr>
        <w:t xml:space="preserve">t</w:t>
      </w:r>
      <w:r>
        <w:rPr>
          <w:sz w:val="24"/>
          <w:szCs w:val="24"/>
          <w:rFonts w:ascii="Times New Roman" w:cs="Times New Roman" w:eastAsia="Times New Roman" w:hAnsi="Times New Roman"/>
        </w:rPr>
        <w:t xml:space="preserve">. A forecast is issued only when the latest quote is fresh (at most 120 seconds old on both the venue and the receive clocks), valid (bid below ask, spread at most 0.05) and unambiguous.</w:t>
      </w:r>
    </w:p>
    <w:p>
      <w:pPr>
        <w:pStyle w:val="ListParagraph"/>
        <w:numPr>
          <w:ilvl w:val="0"/>
          <w:numId w:val="3"/>
        </w:numPr>
        <w:spacing w:line="360" w:after="120"/>
      </w:pPr>
      <w:r>
        <w:rPr>
          <w:b/>
          <w:bCs/>
          <w:sz w:val="24"/>
          <w:szCs w:val="24"/>
          <w:rFonts w:ascii="Times New Roman" w:cs="Times New Roman" w:eastAsia="Times New Roman" w:hAnsi="Times New Roman"/>
        </w:rPr>
        <w:t xml:space="preserve">Frozen, hash-locked releases.</w:t>
      </w:r>
      <w:r>
        <w:rPr>
          <w:sz w:val="24"/>
          <w:szCs w:val="24"/>
          <w:rFonts w:ascii="Times New Roman" w:cs="Times New Roman" w:eastAsia="Times New Roman" w:hAnsi="Times New Roman"/>
        </w:rPr>
        <w:t xml:space="preserve"> Protocols, cohorts, model files and evaluation code are frozen as SHA-256 manifests </w:t>
      </w:r>
      <w:r>
        <w:rPr>
          <w:i/>
          <w:iCs/>
          <w:sz w:val="24"/>
          <w:szCs w:val="24"/>
          <w:rFonts w:ascii="Times New Roman" w:cs="Times New Roman" w:eastAsia="Times New Roman" w:hAnsi="Times New Roman"/>
        </w:rPr>
        <w:t xml:space="preserve">before</w:t>
      </w:r>
      <w:r>
        <w:rPr>
          <w:sz w:val="24"/>
          <w:szCs w:val="24"/>
          <w:rFonts w:ascii="Times New Roman" w:cs="Times New Roman" w:eastAsia="Times New Roman" w:hAnsi="Times New Roman"/>
        </w:rPr>
        <w:t xml:space="preserve"> the data they will be judged on is retrieved. A changed file means a new version, never an edit in place.</w:t>
      </w:r>
    </w:p>
    <w:p>
      <w:pPr>
        <w:pStyle w:val="ListParagraph"/>
        <w:numPr>
          <w:ilvl w:val="0"/>
          <w:numId w:val="3"/>
        </w:numPr>
        <w:spacing w:line="360" w:after="120"/>
      </w:pPr>
      <w:r>
        <w:rPr>
          <w:b/>
          <w:bCs/>
          <w:sz w:val="24"/>
          <w:szCs w:val="24"/>
          <w:rFonts w:ascii="Times New Roman" w:cs="Times New Roman" w:eastAsia="Times New Roman" w:hAnsi="Times New Roman"/>
        </w:rPr>
        <w:t xml:space="preserve">Evaluate once.</w:t>
      </w:r>
      <w:r>
        <w:rPr>
          <w:sz w:val="24"/>
          <w:szCs w:val="24"/>
          <w:rFonts w:ascii="Times New Roman" w:cs="Times New Roman" w:eastAsia="Times New Roman" w:hAnsi="Times New Roman"/>
        </w:rPr>
        <w:t xml:space="preserve"> Each test window is consumed by a single evaluation run, which writes a consumption receipt first and refuses to run again. Results are reported whether favourable or not.</w:t>
      </w:r>
    </w:p>
    <w:p>
      <w:pPr>
        <w:pStyle w:val="ListParagraph"/>
        <w:numPr>
          <w:ilvl w:val="0"/>
          <w:numId w:val="3"/>
        </w:numPr>
        <w:spacing w:line="360" w:after="120"/>
      </w:pPr>
      <w:r>
        <w:rPr>
          <w:b/>
          <w:bCs/>
          <w:sz w:val="24"/>
          <w:szCs w:val="24"/>
          <w:rFonts w:ascii="Times New Roman" w:cs="Times New Roman" w:eastAsia="Times New Roman" w:hAnsi="Times New Roman"/>
        </w:rPr>
        <w:t xml:space="preserve">Protected identifiers and windows.</w:t>
      </w:r>
      <w:r>
        <w:rPr>
          <w:sz w:val="24"/>
          <w:szCs w:val="24"/>
          <w:rFonts w:ascii="Times New Roman" w:cs="Times New Roman" w:eastAsia="Times New Roman" w:hAnsi="Times New Roman"/>
        </w:rPr>
        <w:t xml:space="preserve"> 1,231 market identifiers and three time windows used by earlier confirmatory studies are filtered out at decode time, so no Track B experiment can read them.</w:t>
      </w:r>
    </w:p>
    <w:p>
      <w:pPr>
        <w:pStyle w:val="ListParagraph"/>
        <w:numPr>
          <w:ilvl w:val="0"/>
          <w:numId w:val="3"/>
        </w:numPr>
        <w:spacing w:line="360" w:after="120"/>
      </w:pPr>
      <w:r>
        <w:rPr>
          <w:b/>
          <w:bCs/>
          <w:sz w:val="24"/>
          <w:szCs w:val="24"/>
          <w:rFonts w:ascii="Times New Roman" w:cs="Times New Roman" w:eastAsia="Times New Roman" w:hAnsi="Times New Roman"/>
        </w:rPr>
        <w:t xml:space="preserve">Outcome-blind cohort selection.</w:t>
      </w:r>
      <w:r>
        <w:rPr>
          <w:sz w:val="24"/>
          <w:szCs w:val="24"/>
          <w:rFonts w:ascii="Times New Roman" w:cs="Times New Roman" w:eastAsia="Times New Roman" w:hAnsi="Times New Roman"/>
        </w:rPr>
        <w:t xml:space="preserve"> New contract cohorts are chosen from identity, event-type and clock columns plus metadata only, before any price or quote column of the test period is read.</w:t>
      </w:r>
    </w:p>
    <w:p>
      <w:pPr>
        <w:pStyle w:val="ListParagraph"/>
        <w:numPr>
          <w:ilvl w:val="0"/>
          <w:numId w:val="3"/>
        </w:numPr>
        <w:spacing w:line="360" w:after="120"/>
      </w:pPr>
      <w:r>
        <w:rPr>
          <w:b/>
          <w:bCs/>
          <w:sz w:val="24"/>
          <w:szCs w:val="24"/>
          <w:rFonts w:ascii="Times New Roman" w:cs="Times New Roman" w:eastAsia="Times New Roman" w:hAnsi="Times New Roman"/>
        </w:rPr>
        <w:t xml:space="preserve">Missing outcomes stay missing.</w:t>
      </w:r>
      <w:r>
        <w:rPr>
          <w:sz w:val="24"/>
          <w:szCs w:val="24"/>
          <w:rFonts w:ascii="Times New Roman" w:cs="Times New Roman" w:eastAsia="Times New Roman" w:hAnsi="Times New Roman"/>
        </w:rPr>
        <w:t xml:space="preserve"> If the 30-minute endpoint quote is unavailable, the forecast is scored as unknown. Deterministic worst-case bounds over all issued forecasts are reported alongside the scored results.</w:t>
      </w:r>
    </w:p>
    <w:p>
      <w:pPr>
        <w:pStyle w:val="Heading1"/>
        <w:pageBreakBefore/>
        <w:spacing w:before="240" w:after="240"/>
      </w:pPr>
      <w:r>
        <w:rPr>
          <w:b/>
          <w:bCs/>
          <w:color w:val="000000"/>
          <w:sz w:val="32"/>
          <w:szCs w:val="32"/>
          <w:rFonts w:ascii="Times New Roman" w:cs="Times New Roman" w:eastAsia="Times New Roman" w:hAnsi="Times New Roman"/>
        </w:rPr>
        <w:t xml:space="preserve">4 Track A: Incremental Value of News</w:t>
      </w:r>
    </w:p>
    <w:p>
      <w:pPr>
        <w:pStyle w:val="Heading2"/>
        <w:keepNext/>
        <w:spacing w:before="240" w:after="120"/>
      </w:pPr>
      <w:r>
        <w:rPr>
          <w:b/>
          <w:bCs/>
          <w:color w:val="000000"/>
          <w:sz w:val="28"/>
          <w:szCs w:val="28"/>
          <w:rFonts w:ascii="Times New Roman" w:cs="Times New Roman" w:eastAsia="Times New Roman" w:hAnsi="Times New Roman"/>
        </w:rPr>
        <w:t xml:space="preserve">4.1 Design of the historical primary study (V3.1)</w:t>
      </w:r>
    </w:p>
    <w:p>
      <w:pPr>
        <w:spacing w:line="360" w:after="120"/>
        <w:jc w:val="both"/>
      </w:pPr>
      <w:r>
        <w:rPr>
          <w:sz w:val="24"/>
          <w:szCs w:val="24"/>
          <w:rFonts w:ascii="Times New Roman" w:cs="Times New Roman" w:eastAsia="Times New Roman" w:hAnsi="Times New Roman"/>
        </w:rPr>
        <w:t xml:space="preserve">The cohort contains 4,651 markets (3,832 Kalshi and 819 Polymarket) with a unique canonical YES outcome, at least 100 positive-notional executions and at least ten active days. Development covers 17 May to 22 July 2026, and a separate holdout covers 22 July to 8 August 2026. At each five-minute decision time the price is the latest executed YES trade. The binary target asks whether the absolute log-odds change over the next 30 minutes exceeds four times the trailing one-minute volatility.</w:t>
      </w:r>
    </w:p>
    <w:p>
      <w:pPr>
        <w:spacing w:line="360" w:after="120"/>
        <w:jc w:val="both"/>
      </w:pPr>
      <w:r>
        <w:rPr>
          <w:b/>
          <w:bCs/>
          <w:sz w:val="24"/>
          <w:szCs w:val="24"/>
          <w:rFonts w:ascii="Times New Roman" w:cs="Times New Roman" w:eastAsia="Times New Roman" w:hAnsi="Times New Roman"/>
        </w:rPr>
        <w:t xml:space="preserve">B0</w:t>
      </w:r>
      <w:r>
        <w:rPr>
          <w:sz w:val="24"/>
          <w:szCs w:val="24"/>
          <w:rFonts w:ascii="Times New Roman" w:cs="Times New Roman" w:eastAsia="Times New Roman" w:hAnsi="Times New Roman"/>
        </w:rPr>
        <w:t xml:space="preserve"> is a 12-feature market-history logistic ensemble: price log-odds, 5/30/120-minute momentum, 30/240-minute realised volatility, 60/240-minute trade counts and notional, time since last trade, and venue. </w:t>
      </w:r>
      <w:r>
        <w:rPr>
          <w:b/>
          <w:bCs/>
          <w:sz w:val="24"/>
          <w:szCs w:val="24"/>
          <w:rFonts w:ascii="Times New Roman" w:cs="Times New Roman" w:eastAsia="Times New Roman" w:hAnsi="Times New Roman"/>
        </w:rPr>
        <w:t xml:space="preserve">B1</w:t>
      </w:r>
      <w:r>
        <w:rPr>
          <w:sz w:val="24"/>
          <w:szCs w:val="24"/>
          <w:rFonts w:ascii="Times New Roman" w:cs="Times New Roman" w:eastAsia="Times New Roman" w:hAnsi="Times New Roman"/>
        </w:rPr>
        <w:t xml:space="preserve"> adds rolling counts of conservatively available, lexically associated news articles over 60, 360 and 1,440 minutes. Both are trained on identical rows across five purged, expanding-time folds. B1 would be promoted only if all five gates held: positive aggregate average-precision (AP) and Brier changes, positive changes in at least four folds, a positive lower bound on a 5,000-replicate paired block-bootstrap Brier interval, and no venue-level deterioration.</w:t>
      </w:r>
    </w:p>
    <w:p>
      <w:pPr>
        <w:pStyle w:val="Heading2"/>
        <w:keepNext/>
        <w:spacing w:before="240" w:after="120"/>
      </w:pPr>
      <w:r>
        <w:rPr>
          <w:b/>
          <w:bCs/>
          <w:color w:val="000000"/>
          <w:sz w:val="28"/>
          <w:szCs w:val="28"/>
          <w:rFonts w:ascii="Times New Roman" w:cs="Times New Roman" w:eastAsia="Times New Roman" w:hAnsi="Times New Roman"/>
        </w:rPr>
        <w:t xml:space="preserve">4.2 Results</w:t>
      </w:r>
    </w:p>
    <w:p>
      <w:pPr>
        <w:keepNext/>
        <w:spacing w:before="60" w:after="200"/>
        <w:jc w:val="center"/>
      </w:pPr>
      <w:r>
        <w:rPr>
          <w:b/>
          <w:bCs/>
          <w:sz w:val="22"/>
          <w:szCs w:val="22"/>
          <w:rFonts w:ascii="Times New Roman" w:cs="Times New Roman" w:eastAsia="Times New Roman" w:hAnsi="Times New Roman"/>
        </w:rPr>
        <w:t xml:space="preserve">Table 1. </w:t>
      </w:r>
      <w:r>
        <w:rPr>
          <w:sz w:val="22"/>
          <w:szCs w:val="22"/>
          <w:rFonts w:ascii="Times New Roman" w:cs="Times New Roman" w:eastAsia="Times New Roman" w:hAnsi="Times New Roman"/>
        </w:rPr>
        <w:t xml:space="preserve">V3.1 development comparison of news-augmented (B1) and market-only (B0) models on 1,460,454 matched out-of-fold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2708"/>
        <w:gridCol w:w="2527"/>
      </w:tblGrid>
      <w:tr>
        <w:trPr>
          <w:tblHeader/>
        </w:trPr>
        <w:tc>
          <w:tcPr>
            <w:tcW w:type="dxa" w:w="3791"/>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Quantity</w:t>
            </w:r>
          </w:p>
        </w:tc>
        <w:tc>
          <w:tcPr>
            <w:tcW w:type="dxa" w:w="2708"/>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Value</w:t>
            </w:r>
          </w:p>
        </w:tc>
        <w:tc>
          <w:tcPr>
            <w:tcW w:type="dxa" w:w="252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Interpretation</w:t>
            </w:r>
          </w:p>
        </w:tc>
      </w:tr>
      <w:tr>
        <w:trPr>
          <w:cantSplit/>
        </w:trPr>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AP change (B1 − B0)</w:t>
            </w:r>
          </w:p>
        </w:tc>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−0.001916</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news worse</w:t>
            </w:r>
          </w:p>
        </w:tc>
      </w:tr>
      <w:tr>
        <w:trPr>
          <w:cantSplit/>
        </w:trPr>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Brier change</w:t>
            </w:r>
          </w:p>
        </w:tc>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−0.000284 (worse)</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news worse</w:t>
            </w:r>
          </w:p>
        </w:tc>
      </w:tr>
      <w:tr>
        <w:trPr>
          <w:cantSplit/>
        </w:trPr>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Paired block-bootstrap Brier interval</w:t>
            </w:r>
          </w:p>
        </w:tc>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[−0.000341, −0.000230]</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excludes zero, against news</w:t>
            </w:r>
          </w:p>
        </w:tc>
      </w:tr>
      <w:tr>
        <w:trPr>
          <w:cantSplit/>
        </w:trPr>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Folds improving (AP / Brier)</w:t>
            </w:r>
          </w:p>
        </w:tc>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 of 5</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gate failed</w:t>
            </w:r>
          </w:p>
        </w:tc>
      </w:tr>
      <w:tr>
        <w:trPr>
          <w:cantSplit/>
        </w:trPr>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Promotion gates passed</w:t>
            </w:r>
          </w:p>
        </w:tc>
        <w:tc>
          <w:tcPr>
            <w:tcW w:type="dxa" w:w="2708"/>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 of 5</w:t>
            </w:r>
          </w:p>
        </w:tc>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B0 selected</w:t>
            </w:r>
          </w:p>
        </w:tc>
      </w:tr>
    </w:tbl>
    <w:p>
      <w:pPr>
        <w:spacing w:after="120"/>
      </w:pPr>
    </w:p>
    <w:p>
      <w:pPr>
        <w:spacing w:line="360" w:after="120"/>
        <w:jc w:val="both"/>
      </w:pPr>
      <w:r>
        <w:rPr>
          <w:sz w:val="24"/>
          <w:szCs w:val="24"/>
          <w:rFonts w:ascii="Times New Roman" w:cs="Times New Roman" w:eastAsia="Times New Roman" w:hAnsi="Times New Roman"/>
        </w:rPr>
        <w:t xml:space="preserve">All five gates failed, so, as preregistered, only B0 was evaluated on the holdout: AP 0.171628 and Brier 0.107107 on 211,718 rows from 300 markets. That number is an absolute market-only benchmark, not an estimate of news value. One protocol deviation affects it: the holdout builder printed the positive-label count before the consumption receipt was written. Weights and formulas were already frozen, and the deviation is recorded (Appendix B).</w:t>
      </w:r>
    </w:p>
    <w:p>
      <w:pPr>
        <w:pStyle w:val="Heading2"/>
        <w:keepNext/>
        <w:spacing w:before="240" w:after="120"/>
      </w:pPr>
      <w:r>
        <w:rPr>
          <w:b/>
          <w:bCs/>
          <w:color w:val="000000"/>
          <w:sz w:val="28"/>
          <w:szCs w:val="28"/>
          <w:rFonts w:ascii="Times New Roman" w:cs="Times New Roman" w:eastAsia="Times New Roman" w:hAnsi="Times New Roman"/>
        </w:rPr>
        <w:t xml:space="preserve">4.3 Richer news features (V4) and diagnostics (V5, V6)</w:t>
      </w:r>
    </w:p>
    <w:p>
      <w:pPr>
        <w:spacing w:line="360" w:after="120"/>
        <w:jc w:val="both"/>
      </w:pPr>
      <w:r>
        <w:rPr>
          <w:sz w:val="24"/>
          <w:szCs w:val="24"/>
          <w:rFonts w:ascii="Times New Roman" w:cs="Times New Roman" w:eastAsia="Times New Roman" w:hAnsi="Times New Roman"/>
        </w:rPr>
        <w:t xml:space="preserve">V4 freezes a nested ladder of richer news features: news volume (B1); relevance and seven-day novelty (B2); and publisher diversity with cross-publisher headline diffusion (B3). It tests them prospectively on 470 Polymarket contracts from 6 September to 30 October 2026. Success requires at least 0.001 nats of log-loss improvement for B3 over B0, with a positive bootstrap lower bound and Brier and venue guards. The sealed collection passed a label-blind health check on 27 October: 58 of 58 news days and 51 of 51 trade days had receipts, nothing was pending, and all 15 frozen hashes matched. </w:t>
      </w:r>
      <w:r>
        <w:rPr>
          <w:b/>
          <w:bCs/>
          <w:sz w:val="24"/>
          <w:szCs w:val="24"/>
          <w:rFonts w:ascii="Times New Roman" w:cs="Times New Roman" w:eastAsia="Times New Roman" w:hAnsi="Times New Roman"/>
          <w:highlight w:val="yellow"/>
          <w:highlightCs w:val="yellow"/>
        </w:rPr>
        <w:t xml:space="preserve">PENDING: V4 B3-versus-B0 result, evaluated once after the collection closes on 30 October.</w:t>
      </w:r>
    </w:p>
    <w:p>
      <w:pPr>
        <w:spacing w:line="360" w:after="120"/>
        <w:jc w:val="both"/>
      </w:pPr>
      <w:r>
        <w:rPr>
          <w:sz w:val="24"/>
          <w:szCs w:val="24"/>
          <w:rFonts w:ascii="Times New Roman" w:cs="Times New Roman" w:eastAsia="Times New Roman" w:hAnsi="Times New Roman"/>
        </w:rPr>
        <w:t xml:space="preserve">Exploratory work on already-opened data (V5) traced the apparent benefit of a residual-news model to controls. A context-only gate improved more than the full news correction did, and a nonlinear market-only model beat the full news model by 0.0085 nats. Adding the news mechanism itself changed log loss by −0.000871, with interval [−0.001457, −0.000208]. A contract-aware news-linking effort (V6) failed its strict link audit, and certified predictive support was 0 of 8,844 contract-days. Taken together, the answer to RQ1 so far is </w:t>
      </w:r>
      <w:r>
        <w:rPr>
          <w:b/>
          <w:bCs/>
          <w:sz w:val="24"/>
          <w:szCs w:val="24"/>
          <w:rFonts w:ascii="Times New Roman" w:cs="Times New Roman" w:eastAsia="Times New Roman" w:hAnsi="Times New Roman"/>
        </w:rPr>
        <w:t xml:space="preserve">no</w:t>
      </w:r>
      <w:r>
        <w:rPr>
          <w:sz w:val="24"/>
          <w:szCs w:val="24"/>
          <w:rFonts w:ascii="Times New Roman" w:cs="Times New Roman" w:eastAsia="Times New Roman" w:hAnsi="Times New Roman"/>
        </w:rPr>
        <w:t xml:space="preserve">: under strict availability rules, simple news representations did not add value beyond market history.</w:t>
      </w:r>
    </w:p>
    <w:p>
      <w:pPr>
        <w:pStyle w:val="Heading1"/>
        <w:pageBreakBefore/>
        <w:spacing w:before="240" w:after="240"/>
      </w:pPr>
      <w:r>
        <w:rPr>
          <w:b/>
          <w:bCs/>
          <w:color w:val="000000"/>
          <w:sz w:val="32"/>
          <w:szCs w:val="32"/>
          <w:rFonts w:ascii="Times New Roman" w:cs="Times New Roman" w:eastAsia="Times New Roman" w:hAnsi="Times New Roman"/>
        </w:rPr>
        <w:t xml:space="preserve">5 Track B: Quote-Change Forecasting Method</w:t>
      </w:r>
    </w:p>
    <w:p>
      <w:pPr>
        <w:pStyle w:val="Heading2"/>
        <w:keepNext/>
        <w:spacing w:before="240" w:after="120"/>
      </w:pPr>
      <w:r>
        <w:rPr>
          <w:b/>
          <w:bCs/>
          <w:color w:val="000000"/>
          <w:sz w:val="28"/>
          <w:szCs w:val="28"/>
          <w:rFonts w:ascii="Times New Roman" w:cs="Times New Roman" w:eastAsia="Times New Roman" w:hAnsi="Times New Roman"/>
        </w:rPr>
        <w:t xml:space="preserve">5.1 Why the target changed</w:t>
      </w:r>
    </w:p>
    <w:p>
      <w:pPr>
        <w:spacing w:line="360" w:after="120"/>
        <w:jc w:val="both"/>
      </w:pPr>
      <w:r>
        <w:rPr>
          <w:sz w:val="24"/>
          <w:szCs w:val="24"/>
          <w:rFonts w:ascii="Times New Roman" w:cs="Times New Roman" w:eastAsia="Times New Roman" w:hAnsi="Times New Roman"/>
        </w:rPr>
        <w:t xml:space="preserve">Before settling on the current target, the project tried to forecast the </w:t>
      </w:r>
      <w:r>
        <w:rPr>
          <w:i/>
          <w:iCs/>
          <w:sz w:val="24"/>
          <w:szCs w:val="24"/>
          <w:rFonts w:ascii="Times New Roman" w:cs="Times New Roman" w:eastAsia="Times New Roman" w:hAnsi="Times New Roman"/>
        </w:rPr>
        <w:t xml:space="preserve">exact</w:t>
      </w:r>
      <w:r>
        <w:rPr>
          <w:sz w:val="24"/>
          <w:szCs w:val="24"/>
          <w:rFonts w:ascii="Times New Roman" w:cs="Times New Roman" w:eastAsia="Times New Roman" w:hAnsi="Times New Roman"/>
        </w:rPr>
        <w:t xml:space="preserve"> midpoint 30 minutes ahead, both historically and in a live audited run on 25 October. Because most midpoints do not change over 30 minutes, the persistence forecast ("no change") is very hard to beat on mean absolute error. In the live run a ridge model was 30.9% worse than persistence on 257 observed outcomes. Point accuracy was the wrong question. The useful, forecastable quantity is </w:t>
      </w:r>
      <w:r>
        <w:rPr>
          <w:b/>
          <w:bCs/>
          <w:sz w:val="24"/>
          <w:szCs w:val="24"/>
          <w:rFonts w:ascii="Times New Roman" w:cs="Times New Roman" w:eastAsia="Times New Roman" w:hAnsi="Times New Roman"/>
        </w:rPr>
        <w:t xml:space="preserve">whether</w:t>
      </w:r>
      <w:r>
        <w:rPr>
          <w:sz w:val="24"/>
          <w:szCs w:val="24"/>
          <w:rFonts w:ascii="Times New Roman" w:cs="Times New Roman" w:eastAsia="Times New Roman" w:hAnsi="Times New Roman"/>
        </w:rPr>
        <w:t xml:space="preserve"> the quote will change at all, which is a probability, and the right scores are proper scoring rules.</w:t>
      </w:r>
    </w:p>
    <w:p>
      <w:pPr>
        <w:pStyle w:val="Heading2"/>
        <w:keepNext/>
        <w:spacing w:before="240" w:after="120"/>
      </w:pPr>
      <w:r>
        <w:rPr>
          <w:b/>
          <w:bCs/>
          <w:color w:val="000000"/>
          <w:sz w:val="28"/>
          <w:szCs w:val="28"/>
          <w:rFonts w:ascii="Times New Roman" w:cs="Times New Roman" w:eastAsia="Times New Roman" w:hAnsi="Times New Roman"/>
        </w:rPr>
        <w:t xml:space="preserve">5.2 Target and eligibility</w:t>
      </w:r>
    </w:p>
    <w:p>
      <w:pPr>
        <w:spacing w:line="360" w:after="120"/>
        <w:jc w:val="both"/>
      </w:pPr>
      <w:r>
        <w:rPr>
          <w:sz w:val="24"/>
          <w:szCs w:val="24"/>
          <w:rFonts w:ascii="Times New Roman" w:cs="Times New Roman" w:eastAsia="Times New Roman" w:hAnsi="Times New Roman"/>
        </w:rPr>
        <w:t xml:space="preserve">At each five-minute grid time </w:t>
      </w:r>
      <w:r>
        <w:rPr>
          <w:i/>
          <w:iCs/>
          <w:sz w:val="24"/>
          <w:szCs w:val="24"/>
          <w:rFonts w:ascii="Times New Roman" w:cs="Times New Roman" w:eastAsia="Times New Roman" w:hAnsi="Times New Roman"/>
        </w:rPr>
        <w:t xml:space="preserve">t</w:t>
      </w:r>
      <w:r>
        <w:rPr>
          <w:sz w:val="24"/>
          <w:szCs w:val="24"/>
          <w:rFonts w:ascii="Times New Roman" w:cs="Times New Roman" w:eastAsia="Times New Roman" w:hAnsi="Times New Roman"/>
        </w:rPr>
        <w:t xml:space="preserve">, the target is 1 if the recorded YES midpoint at </w:t>
      </w:r>
      <w:r>
        <w:rPr>
          <w:i/>
          <w:iCs/>
          <w:sz w:val="24"/>
          <w:szCs w:val="24"/>
          <w:rFonts w:ascii="Times New Roman" w:cs="Times New Roman" w:eastAsia="Times New Roman" w:hAnsi="Times New Roman"/>
        </w:rPr>
        <w:t xml:space="preserve">t</w:t>
      </w:r>
      <w:r>
        <w:rPr>
          <w:sz w:val="24"/>
          <w:szCs w:val="24"/>
          <w:rFonts w:ascii="Times New Roman" w:cs="Times New Roman" w:eastAsia="Times New Roman" w:hAnsi="Times New Roman"/>
        </w:rPr>
        <w:t xml:space="preserve"> + 30 minutes differs from the midpoint at </w:t>
      </w:r>
      <w:r>
        <w:rPr>
          <w:i/>
          <w:iCs/>
          <w:sz w:val="24"/>
          <w:szCs w:val="24"/>
          <w:rFonts w:ascii="Times New Roman" w:cs="Times New Roman" w:eastAsia="Times New Roman" w:hAnsi="Times New Roman"/>
        </w:rPr>
        <w:t xml:space="preserve">t</w:t>
      </w:r>
      <w:r>
        <w:rPr>
          <w:sz w:val="24"/>
          <w:szCs w:val="24"/>
          <w:rFonts w:ascii="Times New Roman" w:cs="Times New Roman" w:eastAsia="Times New Roman" w:hAnsi="Times New Roman"/>
        </w:rPr>
        <w:t xml:space="preserve"> by more than 10⁻¹², and 0 otherwise. The tolerance removes floating-point noise only; it is not an economic threshold. A forecast is issued only when the current quote passes the freshness and validity rules of Section 3.2. A target is assigned only when the endpoint quote passes the same rules. The target measures quote activity. It carries no information about direction, size, final resolution or profit.</w:t>
      </w:r>
    </w:p>
    <w:p>
      <w:pPr>
        <w:pStyle w:val="Heading2"/>
        <w:keepNext/>
        <w:spacing w:before="240" w:after="120"/>
      </w:pPr>
      <w:r>
        <w:rPr>
          <w:b/>
          <w:bCs/>
          <w:color w:val="000000"/>
          <w:sz w:val="28"/>
          <w:szCs w:val="28"/>
          <w:rFonts w:ascii="Times New Roman" w:cs="Times New Roman" w:eastAsia="Times New Roman" w:hAnsi="Times New Roman"/>
        </w:rPr>
        <w:t xml:space="preserve">5.3 Features</w:t>
      </w:r>
    </w:p>
    <w:p>
      <w:pPr>
        <w:spacing w:line="360" w:after="120"/>
        <w:jc w:val="both"/>
      </w:pPr>
      <w:r>
        <w:rPr>
          <w:sz w:val="24"/>
          <w:szCs w:val="24"/>
          <w:rFonts w:ascii="Times New Roman" w:cs="Times New Roman" w:eastAsia="Times New Roman" w:hAnsi="Times New Roman"/>
        </w:rPr>
        <w:t xml:space="preserve">The primary model (</w:t>
      </w:r>
      <w:r>
        <w:rPr>
          <w:b/>
          <w:bCs/>
          <w:sz w:val="24"/>
          <w:szCs w:val="24"/>
          <w:rFonts w:ascii="Times New Roman" w:cs="Times New Roman" w:eastAsia="Times New Roman" w:hAnsi="Times New Roman"/>
        </w:rPr>
        <w:t xml:space="preserve">row_hgb7</w:t>
      </w:r>
      <w:r>
        <w:rPr>
          <w:sz w:val="24"/>
          <w:szCs w:val="24"/>
          <w:rFonts w:ascii="Times New Roman" w:cs="Times New Roman" w:eastAsia="Times New Roman" w:hAnsi="Times New Roman"/>
        </w:rPr>
        <w:t xml:space="preserve">) uses 18 features computed from quotes received by decision time (Appendix A):</w:t>
      </w:r>
    </w:p>
    <w:p>
      <w:pPr>
        <w:pStyle w:val="ListParagraph"/>
        <w:numPr>
          <w:ilvl w:val="0"/>
          <w:numId w:val="3"/>
        </w:numPr>
        <w:spacing w:line="360" w:after="120"/>
      </w:pPr>
      <w:r>
        <w:rPr>
          <w:sz w:val="24"/>
          <w:szCs w:val="24"/>
          <w:rFonts w:ascii="Times New Roman" w:cs="Times New Roman" w:eastAsia="Times New Roman" w:hAnsi="Times New Roman"/>
        </w:rPr>
        <w:t xml:space="preserve">the midpoint and its log-odds, and the spread;</w:t>
      </w:r>
    </w:p>
    <w:p>
      <w:pPr>
        <w:pStyle w:val="ListParagraph"/>
        <w:numPr>
          <w:ilvl w:val="0"/>
          <w:numId w:val="3"/>
        </w:numPr>
        <w:spacing w:line="360" w:after="120"/>
      </w:pPr>
      <w:r>
        <w:rPr>
          <w:sz w:val="24"/>
          <w:szCs w:val="24"/>
          <w:rFonts w:ascii="Times New Roman" w:cs="Times New Roman" w:eastAsia="Times New Roman" w:hAnsi="Times New Roman"/>
        </w:rPr>
        <w:t xml:space="preserve">the source and receive ages of the quote;</w:t>
      </w:r>
    </w:p>
    <w:p>
      <w:pPr>
        <w:pStyle w:val="ListParagraph"/>
        <w:numPr>
          <w:ilvl w:val="0"/>
          <w:numId w:val="3"/>
        </w:numPr>
        <w:spacing w:line="360" w:after="120"/>
      </w:pPr>
      <w:r>
        <w:rPr>
          <w:sz w:val="24"/>
          <w:szCs w:val="24"/>
          <w:rFonts w:ascii="Times New Roman" w:cs="Times New Roman" w:eastAsia="Times New Roman" w:hAnsi="Times New Roman"/>
        </w:rPr>
        <w:t xml:space="preserve">the hour of day, encoded as sine and cosine;</w:t>
      </w:r>
    </w:p>
    <w:p>
      <w:pPr>
        <w:pStyle w:val="ListParagraph"/>
        <w:numPr>
          <w:ilvl w:val="0"/>
          <w:numId w:val="3"/>
        </w:numPr>
        <w:spacing w:line="360" w:after="120"/>
      </w:pPr>
      <w:r>
        <w:rPr>
          <w:sz w:val="24"/>
          <w:szCs w:val="24"/>
          <w:rFonts w:ascii="Times New Roman" w:cs="Times New Roman" w:eastAsia="Times New Roman" w:hAnsi="Times New Roman"/>
        </w:rPr>
        <w:t xml:space="preserve">the number and fraction of valid quote states in the last 30 minutes;</w:t>
      </w:r>
    </w:p>
    <w:p>
      <w:pPr>
        <w:pStyle w:val="ListParagraph"/>
        <w:numPr>
          <w:ilvl w:val="0"/>
          <w:numId w:val="3"/>
        </w:numPr>
        <w:spacing w:line="360" w:after="120"/>
      </w:pPr>
      <w:r>
        <w:rPr>
          <w:sz w:val="24"/>
          <w:szCs w:val="24"/>
          <w:rFonts w:ascii="Times New Roman" w:cs="Times New Roman" w:eastAsia="Times New Roman" w:hAnsi="Times New Roman"/>
        </w:rPr>
        <w:t xml:space="preserve">signed and absolute midpoint changes over 5, 15 and 30 minutes, each with an explicit missing flag.</w:t>
      </w:r>
    </w:p>
    <w:p>
      <w:pPr>
        <w:spacing w:line="360" w:after="120"/>
        <w:jc w:val="both"/>
      </w:pPr>
      <w:r>
        <w:rPr>
          <w:sz w:val="24"/>
          <w:szCs w:val="24"/>
          <w:rFonts w:ascii="Times New Roman" w:cs="Times New Roman" w:eastAsia="Times New Roman" w:hAnsi="Times New Roman"/>
        </w:rPr>
        <w:t xml:space="preserve">The live-runtime model (</w:t>
      </w:r>
      <w:r>
        <w:rPr>
          <w:b/>
          <w:bCs/>
          <w:sz w:val="24"/>
          <w:szCs w:val="24"/>
          <w:rFonts w:ascii="Times New Roman" w:cs="Times New Roman" w:eastAsia="Times New Roman" w:hAnsi="Times New Roman"/>
        </w:rPr>
        <w:t xml:space="preserve">V03 hgb7</w:t>
      </w:r>
      <w:r>
        <w:rPr>
          <w:sz w:val="24"/>
          <w:szCs w:val="24"/>
          <w:rFonts w:ascii="Times New Roman" w:cs="Times New Roman" w:eastAsia="Times New Roman" w:hAnsi="Times New Roman"/>
        </w:rPr>
        <w:t xml:space="preserve">) uses a 14-feature subset that drops the age and activity-count features. Those four depend on archive receive clocks that a live system cannot reproduce exactly. No news, order-depth or contract-identity features are used, so the models are contract-agnostic.</w:t>
      </w:r>
    </w:p>
    <w:p>
      <w:pPr>
        <w:pStyle w:val="Heading2"/>
        <w:keepNext/>
        <w:spacing w:before="240" w:after="120"/>
      </w:pPr>
      <w:r>
        <w:rPr>
          <w:b/>
          <w:bCs/>
          <w:color w:val="000000"/>
          <w:sz w:val="28"/>
          <w:szCs w:val="28"/>
          <w:rFonts w:ascii="Times New Roman" w:cs="Times New Roman" w:eastAsia="Times New Roman" w:hAnsi="Times New Roman"/>
        </w:rPr>
        <w:t xml:space="preserve">5.4 Models and baselines</w:t>
      </w:r>
    </w:p>
    <w:p>
      <w:pPr>
        <w:spacing w:line="360" w:after="120"/>
        <w:jc w:val="both"/>
      </w:pPr>
      <w:r>
        <w:rPr>
          <w:sz w:val="24"/>
          <w:szCs w:val="24"/>
          <w:rFonts w:ascii="Times New Roman" w:cs="Times New Roman" w:eastAsia="Times New Roman" w:hAnsi="Times New Roman"/>
        </w:rPr>
        <w:t xml:space="preserve">The forecaster is a histogram gradient-boosting classifier (100 iterations, learning rate 0.05, at most 7 leaves, minimum leaf size 100, L2 penalty 10, no early stopping and no class reweighting). Every comparison is against fixed baselines fitted on the same training rows:</w:t>
      </w:r>
    </w:p>
    <w:p>
      <w:pPr>
        <w:pStyle w:val="ListParagraph"/>
        <w:numPr>
          <w:ilvl w:val="0"/>
          <w:numId w:val="3"/>
        </w:numPr>
        <w:spacing w:line="360" w:after="120"/>
      </w:pPr>
      <w:r>
        <w:rPr>
          <w:sz w:val="24"/>
          <w:szCs w:val="24"/>
          <w:rFonts w:ascii="Times New Roman" w:cs="Times New Roman" w:eastAsia="Times New Roman" w:hAnsi="Times New Roman"/>
        </w:rPr>
        <w:t xml:space="preserve">a smoothed global event rate;</w:t>
      </w:r>
    </w:p>
    <w:p>
      <w:pPr>
        <w:pStyle w:val="ListParagraph"/>
        <w:numPr>
          <w:ilvl w:val="0"/>
          <w:numId w:val="3"/>
        </w:numPr>
        <w:spacing w:line="360" w:after="120"/>
      </w:pPr>
      <w:r>
        <w:rPr>
          <w:sz w:val="24"/>
          <w:szCs w:val="24"/>
          <w:rFonts w:ascii="Times New Roman" w:cs="Times New Roman" w:eastAsia="Times New Roman" w:hAnsi="Times New Roman"/>
        </w:rPr>
        <w:t xml:space="preserve">a per-contract rate shrunk toward the global rate with 20 pseudo-observations;</w:t>
      </w:r>
    </w:p>
    <w:p>
      <w:pPr>
        <w:pStyle w:val="ListParagraph"/>
        <w:numPr>
          <w:ilvl w:val="0"/>
          <w:numId w:val="3"/>
        </w:numPr>
        <w:spacing w:line="360" w:after="120"/>
      </w:pPr>
      <w:r>
        <w:rPr>
          <w:sz w:val="24"/>
          <w:szCs w:val="24"/>
          <w:rFonts w:ascii="Times New Roman" w:cs="Times New Roman" w:eastAsia="Times New Roman" w:hAnsi="Times New Roman"/>
        </w:rPr>
        <w:t xml:space="preserve">an </w:t>
      </w:r>
      <w:r>
        <w:rPr>
          <w:b/>
          <w:bCs/>
          <w:sz w:val="24"/>
          <w:szCs w:val="24"/>
          <w:rFonts w:ascii="Times New Roman" w:cs="Times New Roman" w:eastAsia="Times New Roman" w:hAnsi="Times New Roman"/>
        </w:rPr>
        <w:t xml:space="preserve">activity logistic regression</w:t>
      </w:r>
      <w:r>
        <w:rPr>
          <w:sz w:val="24"/>
          <w:szCs w:val="24"/>
          <w:rFonts w:ascii="Times New Roman" w:cs="Times New Roman" w:eastAsia="Times New Roman" w:hAnsi="Times New Roman"/>
        </w:rPr>
        <w:t xml:space="preserve"> on nine activity and lag features, the primary comparator;</w:t>
      </w:r>
    </w:p>
    <w:p>
      <w:pPr>
        <w:pStyle w:val="ListParagraph"/>
        <w:numPr>
          <w:ilvl w:val="0"/>
          <w:numId w:val="3"/>
        </w:numPr>
        <w:spacing w:line="360" w:after="120"/>
      </w:pPr>
      <w:r>
        <w:rPr>
          <w:sz w:val="24"/>
          <w:szCs w:val="24"/>
          <w:rFonts w:ascii="Times New Roman" w:cs="Times New Roman" w:eastAsia="Times New Roman" w:hAnsi="Times New Roman"/>
        </w:rPr>
        <w:t xml:space="preserve">a full-feature logistic regression;</w:t>
      </w:r>
    </w:p>
    <w:p>
      <w:pPr>
        <w:pStyle w:val="ListParagraph"/>
        <w:numPr>
          <w:ilvl w:val="0"/>
          <w:numId w:val="3"/>
        </w:numPr>
        <w:spacing w:line="360" w:after="120"/>
      </w:pPr>
      <w:r>
        <w:rPr>
          <w:sz w:val="24"/>
          <w:szCs w:val="24"/>
          <w:rFonts w:ascii="Times New Roman" w:cs="Times New Roman" w:eastAsia="Times New Roman" w:hAnsi="Times New Roman"/>
        </w:rPr>
        <w:t xml:space="preserve">the earlier frozen booster (</w:t>
      </w:r>
      <w:r>
        <w:rPr>
          <w:b/>
          <w:bCs/>
          <w:sz w:val="24"/>
          <w:szCs w:val="24"/>
          <w:rFonts w:ascii="Times New Roman" w:cs="Times New Roman" w:eastAsia="Times New Roman" w:hAnsi="Times New Roman"/>
        </w:rPr>
        <w:t xml:space="preserve">legacy HGB</w:t>
      </w:r>
      <w:r>
        <w:rPr>
          <w:sz w:val="24"/>
          <w:szCs w:val="24"/>
          <w:rFonts w:ascii="Times New Roman" w:cs="Times New Roman" w:eastAsia="Times New Roman" w:hAnsi="Times New Roman"/>
        </w:rPr>
        <w:t xml:space="preserve">).</w:t>
      </w:r>
    </w:p>
    <w:p>
      <w:pPr>
        <w:spacing w:line="360" w:after="120"/>
        <w:jc w:val="both"/>
      </w:pPr>
      <w:r>
        <w:rPr>
          <w:sz w:val="24"/>
          <w:szCs w:val="24"/>
          <w:rFonts w:ascii="Times New Roman" w:cs="Times New Roman" w:eastAsia="Times New Roman" w:hAnsi="Times New Roman"/>
        </w:rPr>
        <w:t xml:space="preserve">row_hgb7 was selected and refit on 7–9 May 2026 data from 50 development contracts before any later block was retrieved. Nothing has been refit, recalibrated or re-thresholded since.</w:t>
      </w:r>
    </w:p>
    <w:p>
      <w:pPr>
        <w:pStyle w:val="Heading2"/>
        <w:keepNext/>
        <w:spacing w:before="240" w:after="120"/>
      </w:pPr>
      <w:r>
        <w:rPr>
          <w:b/>
          <w:bCs/>
          <w:color w:val="000000"/>
          <w:sz w:val="28"/>
          <w:szCs w:val="28"/>
          <w:rFonts w:ascii="Times New Roman" w:cs="Times New Roman" w:eastAsia="Times New Roman" w:hAnsi="Times New Roman"/>
        </w:rPr>
        <w:t xml:space="preserve">5.5 Evaluation protocol</w:t>
      </w:r>
    </w:p>
    <w:p>
      <w:pPr>
        <w:spacing w:line="360" w:after="120"/>
        <w:jc w:val="both"/>
      </w:pPr>
      <w:r>
        <w:rPr>
          <w:sz w:val="24"/>
          <w:szCs w:val="24"/>
          <w:rFonts w:ascii="Times New Roman" w:cs="Times New Roman" w:eastAsia="Times New Roman" w:hAnsi="Times New Roman"/>
        </w:rPr>
        <w:t xml:space="preserve">Each evaluation block follows the same sequence. First the protocol is frozen, including the primary comparison and the pass rule. Then the cohort is selected outcome-blind, the hourly archive files are captured (with one permitted retry for transport failures), and finally the block is evaluated exactly once. The primary metric is matched, row-weighted log loss of row_hgb7 against activity logistic regression. A block </w:t>
      </w:r>
      <w:r>
        <w:rPr>
          <w:b/>
          <w:bCs/>
          <w:sz w:val="24"/>
          <w:szCs w:val="24"/>
          <w:rFonts w:ascii="Times New Roman" w:cs="Times New Roman" w:eastAsia="Times New Roman" w:hAnsi="Times New Roman"/>
        </w:rPr>
        <w:t xml:space="preserve">passes</w:t>
      </w:r>
      <w:r>
        <w:rPr>
          <w:sz w:val="24"/>
          <w:szCs w:val="24"/>
          <w:rFonts w:ascii="Times New Roman" w:cs="Times New Roman" w:eastAsia="Times New Roman" w:hAnsi="Times New Roman"/>
        </w:rPr>
        <w:t xml:space="preserve"> when four conditions hold:</w:t>
      </w:r>
    </w:p>
    <w:p>
      <w:pPr>
        <w:pStyle w:val="ListParagraph"/>
        <w:numPr>
          <w:ilvl w:val="0"/>
          <w:numId w:val="3"/>
        </w:numPr>
        <w:spacing w:line="360" w:after="120"/>
      </w:pPr>
      <w:r>
        <w:rPr>
          <w:sz w:val="24"/>
          <w:szCs w:val="24"/>
          <w:rFonts w:ascii="Times New Roman" w:cs="Times New Roman" w:eastAsia="Times New Roman" w:hAnsi="Times New Roman"/>
        </w:rPr>
        <w:t xml:space="preserve">the booster’s log loss is below both logistic regression and the global rate;</w:t>
      </w:r>
    </w:p>
    <w:p>
      <w:pPr>
        <w:pStyle w:val="ListParagraph"/>
        <w:numPr>
          <w:ilvl w:val="0"/>
          <w:numId w:val="3"/>
        </w:numPr>
        <w:spacing w:line="360" w:after="120"/>
      </w:pPr>
      <w:r>
        <w:rPr>
          <w:sz w:val="24"/>
          <w:szCs w:val="24"/>
          <w:rFonts w:ascii="Times New Roman" w:cs="Times New Roman" w:eastAsia="Times New Roman" w:hAnsi="Times New Roman"/>
        </w:rPr>
        <w:t xml:space="preserve">its Brier score is no higher than logistic regression’s;</w:t>
      </w:r>
    </w:p>
    <w:p>
      <w:pPr>
        <w:pStyle w:val="ListParagraph"/>
        <w:numPr>
          <w:ilvl w:val="0"/>
          <w:numId w:val="3"/>
        </w:numPr>
        <w:spacing w:line="360" w:after="120"/>
      </w:pPr>
      <w:r>
        <w:rPr>
          <w:sz w:val="24"/>
          <w:szCs w:val="24"/>
          <w:rFonts w:ascii="Times New Roman" w:cs="Times New Roman" w:eastAsia="Times New Roman" w:hAnsi="Times New Roman"/>
        </w:rPr>
        <w:t xml:space="preserve">the 95% contract-clustered bootstrap interval for the log-loss gain over logistic regression has a lower bound above zero (5,000 resamples of whole contracts).</w:t>
      </w:r>
    </w:p>
    <w:p>
      <w:pPr>
        <w:spacing w:line="360" w:after="120"/>
        <w:jc w:val="both"/>
      </w:pPr>
      <w:r>
        <w:rPr>
          <w:sz w:val="24"/>
          <w:szCs w:val="24"/>
          <w:rFonts w:ascii="Times New Roman" w:cs="Times New Roman" w:eastAsia="Times New Roman" w:hAnsi="Times New Roman"/>
        </w:rPr>
        <w:t xml:space="preserve">Date-clustered intervals, per-date and per-contract win counts, a nonoverlapping 30-minute subset, a strict continuous-path subset, and worst-case missing-outcome bounds are reported as secondary results.</w:t>
      </w:r>
    </w:p>
    <w:p>
      <w:pPr>
        <w:pStyle w:val="Heading1"/>
        <w:pageBreakBefore/>
        <w:spacing w:before="240" w:after="240"/>
      </w:pPr>
      <w:r>
        <w:rPr>
          <w:b/>
          <w:bCs/>
          <w:color w:val="000000"/>
          <w:sz w:val="32"/>
          <w:szCs w:val="32"/>
          <w:rFonts w:ascii="Times New Roman" w:cs="Times New Roman" w:eastAsia="Times New Roman" w:hAnsi="Times New Roman"/>
        </w:rPr>
        <w:t xml:space="preserve">6 Track B: Historical Results</w:t>
      </w:r>
    </w:p>
    <w:p>
      <w:pPr>
        <w:pStyle w:val="Heading2"/>
        <w:keepNext/>
        <w:spacing w:before="240" w:after="120"/>
      </w:pPr>
      <w:r>
        <w:rPr>
          <w:b/>
          <w:bCs/>
          <w:color w:val="000000"/>
          <w:sz w:val="28"/>
          <w:szCs w:val="28"/>
          <w:rFonts w:ascii="Times New Roman" w:cs="Times New Roman" w:eastAsia="Times New Roman" w:hAnsi="Times New Roman"/>
        </w:rPr>
        <w:t xml:space="preserve">6.1 Development and early replications</w:t>
      </w:r>
    </w:p>
    <w:p>
      <w:pPr>
        <w:spacing w:line="360" w:after="120"/>
        <w:jc w:val="both"/>
      </w:pPr>
      <w:r>
        <w:rPr>
          <w:sz w:val="24"/>
          <w:szCs w:val="24"/>
          <w:rFonts w:ascii="Times New Roman" w:cs="Times New Roman" w:eastAsia="Times New Roman" w:hAnsi="Times New Roman"/>
        </w:rPr>
        <w:t xml:space="preserve">An earlier frozen booster cut log loss by 18.1% against activity logistic regression on a new time block, 28–30 April (3,729 rows, 11 markets). The broader-trained row_hgb7 reduced log loss by 22.7% on 10–12 May for the development cohort and by 9.6% for ten reserved contracts. On the seven-day replication of 13–19 May, row_hgb7 achieved 0.3583 against logistic regression’s 0.4524 (20.8%). For six training-excluded contracts the gain was only 3.5%, and their worst-case missing-outcome bounds crossed zero. That gap motivated the dedicated test on new contracts in Section 6.3.</w:t>
      </w:r>
    </w:p>
    <w:p>
      <w:pPr>
        <w:pStyle w:val="Heading2"/>
        <w:keepNext/>
        <w:spacing w:before="240" w:after="120"/>
      </w:pPr>
      <w:r>
        <w:rPr>
          <w:b/>
          <w:bCs/>
          <w:color w:val="000000"/>
          <w:sz w:val="28"/>
          <w:szCs w:val="28"/>
          <w:rFonts w:ascii="Times New Roman" w:cs="Times New Roman" w:eastAsia="Times New Roman" w:hAnsi="Times New Roman"/>
        </w:rPr>
        <w:t xml:space="preserve">6.2 Unopened week, same cohort: 1–7 June</w:t>
      </w:r>
    </w:p>
    <w:p>
      <w:pPr>
        <w:spacing w:line="360" w:after="120"/>
        <w:jc w:val="both"/>
      </w:pPr>
      <w:r>
        <w:rPr>
          <w:sz w:val="24"/>
          <w:szCs w:val="24"/>
          <w:rFonts w:ascii="Times New Roman" w:cs="Times New Roman" w:eastAsia="Times New Roman" w:hAnsi="Times New Roman"/>
        </w:rPr>
        <w:t xml:space="preserve">No earlier study had read any June quote data. All 168 hourly files were captured, with 0 protected rows read. Only 20 of the 60 fixed contracts were still quoting, because the rest had expired or gone inactive. These were kept unchanged rather than replaced.</w:t>
      </w:r>
    </w:p>
    <w:p>
      <w:pPr>
        <w:keepNext/>
        <w:spacing w:before="60" w:after="200"/>
        <w:jc w:val="center"/>
      </w:pPr>
      <w:r>
        <w:rPr>
          <w:b/>
          <w:bCs/>
          <w:sz w:val="22"/>
          <w:szCs w:val="22"/>
          <w:rFonts w:ascii="Times New Roman" w:cs="Times New Roman" w:eastAsia="Times New Roman" w:hAnsi="Times New Roman"/>
        </w:rPr>
        <w:t xml:space="preserve">Table 2. </w:t>
      </w:r>
      <w:r>
        <w:rPr>
          <w:sz w:val="22"/>
          <w:szCs w:val="22"/>
          <w:rFonts w:ascii="Times New Roman" w:cs="Times New Roman" w:eastAsia="Times New Roman" w:hAnsi="Times New Roman"/>
        </w:rPr>
        <w:t xml:space="preserve">Matched results, 1–7 June, development cohort (18 contributing contracts, 16,453 known outcomes, 2,068 positives). Lower log loss and Brier are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444"/>
        <w:gridCol w:w="1444"/>
        <w:gridCol w:w="1264"/>
        <w:gridCol w:w="2347"/>
      </w:tblGrid>
      <w:tr>
        <w:trPr>
          <w:tblHeader/>
        </w:trPr>
        <w:tc>
          <w:tcPr>
            <w:tcW w:type="dxa" w:w="252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Model</w:t>
            </w:r>
          </w:p>
        </w:tc>
        <w:tc>
          <w:tcPr>
            <w:tcW w:type="dxa" w:w="144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Log loss</w:t>
            </w:r>
          </w:p>
        </w:tc>
        <w:tc>
          <w:tcPr>
            <w:tcW w:type="dxa" w:w="144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Brier</w:t>
            </w:r>
          </w:p>
        </w:tc>
        <w:tc>
          <w:tcPr>
            <w:tcW w:type="dxa" w:w="126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AUC</w:t>
            </w:r>
          </w:p>
        </w:tc>
        <w:tc>
          <w:tcPr>
            <w:tcW w:type="dxa" w:w="234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Booster log-loss reduction</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row_hgb7</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0.2931</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0.0848</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0.835</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Activity logistic</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0.3523</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0.1003</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16.8%</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Legacy HGB</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0.3285</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10.8%</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Global rate</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0.3854</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0.500</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24.0%</w:t>
            </w:r>
          </w:p>
        </w:tc>
      </w:tr>
    </w:tbl>
    <w:p>
      <w:pPr>
        <w:spacing w:after="120"/>
      </w:pPr>
    </w:p>
    <w:p>
      <w:pPr>
        <w:spacing w:line="360" w:after="120"/>
        <w:jc w:val="both"/>
      </w:pPr>
      <w:r>
        <w:rPr>
          <w:sz w:val="24"/>
          <w:szCs w:val="24"/>
          <w:rFonts w:ascii="Times New Roman" w:cs="Times New Roman" w:eastAsia="Times New Roman" w:hAnsi="Times New Roman"/>
        </w:rPr>
        <w:t xml:space="preserve">All pass conditions held. The 95% contract-clustered interval for the gain over logistic regression is [0.039, 0.081] nats, and the date-clustered interval is [0.047, 0.073]. The booster won on 7 of 7 dates and 17 of 20 contracts. The nonoverlapping subset (0.2922 against 0.3471) and the strict subset (0.1554 against 0.2270) agree.</w:t>
      </w:r>
    </w:p>
    <w:p>
      <w:pPr>
        <w:pStyle w:val="Heading2"/>
        <w:keepNext/>
        <w:spacing w:before="240" w:after="120"/>
      </w:pPr>
      <w:r>
        <w:rPr>
          <w:b/>
          <w:bCs/>
          <w:color w:val="000000"/>
          <w:sz w:val="28"/>
          <w:szCs w:val="28"/>
          <w:rFonts w:ascii="Times New Roman" w:cs="Times New Roman" w:eastAsia="Times New Roman" w:hAnsi="Times New Roman"/>
        </w:rPr>
        <w:t xml:space="preserve">6.3 Never-used contracts: 8–14 June</w:t>
      </w:r>
    </w:p>
    <w:p>
      <w:pPr>
        <w:spacing w:line="360" w:after="120"/>
        <w:jc w:val="both"/>
      </w:pPr>
      <w:r>
        <w:rPr>
          <w:sz w:val="24"/>
          <w:szCs w:val="24"/>
          <w:rFonts w:ascii="Times New Roman" w:cs="Times New Roman" w:eastAsia="Times New Roman" w:hAnsi="Times New Roman"/>
        </w:rPr>
        <w:t xml:space="preserve">To test transfer to new identities, 40 contracts were selected by metadata only. Their identifiers lie in a hexadecimal range disjoint from every earlier cohort, they are binary Yes/No, at most one is taken per event and none shares an event with earlier cohorts, and they were open across the whole week. They span sports, politics, finance, technology and geopolitics. A local DNS outage failed 74 hourly downloads on both permitted attempts. Before any evaluation, those hours were refetched outcome-blind into a separate directory, and 165 of 168 hours were then available. This exceeds the single-retry rule, so it is recorded as a protocol deviation. The original source is preserved unevaluated.</w:t>
      </w:r>
    </w:p>
    <w:p>
      <w:pPr>
        <w:keepNext/>
        <w:spacing w:before="60" w:after="200"/>
        <w:jc w:val="center"/>
      </w:pPr>
      <w:r>
        <w:rPr>
          <w:b/>
          <w:bCs/>
          <w:sz w:val="22"/>
          <w:szCs w:val="22"/>
          <w:rFonts w:ascii="Times New Roman" w:cs="Times New Roman" w:eastAsia="Times New Roman" w:hAnsi="Times New Roman"/>
        </w:rPr>
        <w:t xml:space="preserve">Table 3. </w:t>
      </w:r>
      <w:r>
        <w:rPr>
          <w:sz w:val="22"/>
          <w:szCs w:val="22"/>
          <w:rFonts w:ascii="Times New Roman" w:cs="Times New Roman" w:eastAsia="Times New Roman" w:hAnsi="Times New Roman"/>
        </w:rPr>
        <w:t xml:space="preserve">Matched results, 8–14 June, never-used contracts (35 contributing contracts, 35,218 known outcomes, 8,830 positives).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444"/>
        <w:gridCol w:w="1444"/>
        <w:gridCol w:w="1264"/>
        <w:gridCol w:w="2347"/>
      </w:tblGrid>
      <w:tr>
        <w:trPr>
          <w:tblHeader/>
        </w:trPr>
        <w:tc>
          <w:tcPr>
            <w:tcW w:type="dxa" w:w="252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Model</w:t>
            </w:r>
          </w:p>
        </w:tc>
        <w:tc>
          <w:tcPr>
            <w:tcW w:type="dxa" w:w="144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Log loss</w:t>
            </w:r>
          </w:p>
        </w:tc>
        <w:tc>
          <w:tcPr>
            <w:tcW w:type="dxa" w:w="144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Brier</w:t>
            </w:r>
          </w:p>
        </w:tc>
        <w:tc>
          <w:tcPr>
            <w:tcW w:type="dxa" w:w="126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AUC</w:t>
            </w:r>
          </w:p>
        </w:tc>
        <w:tc>
          <w:tcPr>
            <w:tcW w:type="dxa" w:w="234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Booster log-loss reduction</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row_hgb7</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0.4208</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0.1335</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0.827</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Activity logistic</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0.4943</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0.1584</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0.756</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14.9%</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Legacy HGB</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0.4873</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0.1547</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0.785</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13.6%</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Global / contract rate</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0.5843</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0.1945</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0.500</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28.0%</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V03 hgb7 (live model)</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0.4270</w:t>
            </w:r>
          </w:p>
        </w:tc>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0.1358</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0.825</w:t>
            </w:r>
          </w:p>
        </w:tc>
        <w:tc>
          <w:tcPr>
            <w:tcW w:type="dxa" w:w="234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19.7% vs its full logistic</w:t>
            </w:r>
          </w:p>
        </w:tc>
      </w:tr>
    </w:tbl>
    <w:p>
      <w:pPr>
        <w:spacing w:after="120"/>
      </w:pPr>
    </w:p>
    <w:p>
      <w:pPr>
        <w:spacing w:line="360" w:after="120"/>
        <w:jc w:val="both"/>
      </w:pPr>
      <w:r>
        <w:rPr>
          <w:sz w:val="24"/>
          <w:szCs w:val="24"/>
          <w:rFonts w:ascii="Times New Roman" w:cs="Times New Roman" w:eastAsia="Times New Roman" w:hAnsi="Times New Roman"/>
        </w:rPr>
        <w:t xml:space="preserve">All pass conditions held again. The contract-clustered interval for the gain over logistic regression is [0.033, 0.119] nats from 35 clusters. The booster won on 7 of 7 dates and 27 of 35 contracts, and its equal-contract-weighted log loss is 0.4222 against 0.5134. The worst-case missing-outcome bounds over all 39,656 issued forecasts are [+0.009, +0.114] nats, positive even if every unknown endpoint had gone against the booster. A secondary analysis of the V03 live model, registered before evaluation, gave a 19.7% reduction with interval [0.066, 0.147] and wins on 31 of 35 contracts. That cleared V03 for the live test in Chapter 7.</w:t>
      </w:r>
    </w:p>
    <w:p>
      <w:pPr>
        <w:keepNext/>
        <w:spacing w:before="120"/>
        <w:jc w:val="center"/>
      </w:pPr>
      <w:r>
        <w:drawing>
          <wp:inline distT="0" distB="0" distL="0" distR="0">
            <wp:extent cx="5486400" cy="2505075"/>
            <wp:effectExtent t="0" r="0" b="0" l="0"/>
            <wp:docPr id="1" name="fig1_evidence_ladder.png" descr="Log-loss gain of the frozen booster over logistic regression on the two unopened June blocks, with 95% contract-clustered bootstrap intervals. Contributing contracts are given in parentheses." title="Log-loss gain of the frozen booster over logistic regression on the two unopened June blocks, with 95% contract-clustered bootstrap intervals. Contributing contracts are given in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505075"/>
                    </a:xfrm>
                    <a:prstGeom prst="rect">
                      <a:avLst/>
                    </a:prstGeom>
                  </pic:spPr>
                </pic:pic>
              </a:graphicData>
            </a:graphic>
          </wp:inline>
        </w:drawing>
      </w:r>
    </w:p>
    <w:p>
      <w:pPr>
        <w:keepNext w:val="false"/>
        <w:spacing w:before="60" w:after="200"/>
        <w:jc w:val="center"/>
      </w:pPr>
      <w:r>
        <w:rPr>
          <w:b/>
          <w:bCs/>
          <w:sz w:val="22"/>
          <w:szCs w:val="22"/>
          <w:rFonts w:ascii="Times New Roman" w:cs="Times New Roman" w:eastAsia="Times New Roman" w:hAnsi="Times New Roman"/>
        </w:rPr>
        <w:t xml:space="preserve">Figure 1. </w:t>
      </w:r>
      <w:r>
        <w:rPr>
          <w:sz w:val="22"/>
          <w:szCs w:val="22"/>
          <w:rFonts w:ascii="Times New Roman" w:cs="Times New Roman" w:eastAsia="Times New Roman" w:hAnsi="Times New Roman"/>
        </w:rPr>
        <w:t xml:space="preserve">Log-loss gain of the frozen booster over logistic regression on the two unopened June blocks, with 95% contract-clustered bootstrap intervals. Contributing contracts are given in parentheses.</w:t>
      </w:r>
    </w:p>
    <w:p>
      <w:pPr>
        <w:pStyle w:val="Heading2"/>
        <w:keepNext/>
        <w:spacing w:before="240" w:after="120"/>
      </w:pPr>
      <w:r>
        <w:rPr>
          <w:b/>
          <w:bCs/>
          <w:color w:val="000000"/>
          <w:sz w:val="28"/>
          <w:szCs w:val="28"/>
          <w:rFonts w:ascii="Times New Roman" w:cs="Times New Roman" w:eastAsia="Times New Roman" w:hAnsi="Times New Roman"/>
        </w:rPr>
        <w:t xml:space="preserve">6.4 Calibration and category breakdown</w:t>
      </w:r>
    </w:p>
    <w:p>
      <w:pPr>
        <w:spacing w:line="360" w:after="120"/>
        <w:jc w:val="both"/>
      </w:pPr>
      <w:r>
        <w:rPr>
          <w:sz w:val="24"/>
          <w:szCs w:val="24"/>
          <w:rFonts w:ascii="Times New Roman" w:cs="Times New Roman" w:eastAsia="Times New Roman" w:hAnsi="Times New Roman"/>
        </w:rPr>
        <w:t xml:space="preserve">Figure 2 shows that both models are close to the diagonal below a forecast probability of 0.2, where most forecasts lie. Both under-predict somewhat in the upper deciles, the booster slightly less at the top. Because the evaluation must not change the frozen model, no recalibration was applied.</w:t>
      </w:r>
    </w:p>
    <w:p>
      <w:pPr>
        <w:keepNext/>
        <w:spacing w:before="120"/>
        <w:jc w:val="center"/>
      </w:pPr>
      <w:r>
        <w:drawing>
          <wp:inline distT="0" distB="0" distL="0" distR="0">
            <wp:extent cx="3295650" cy="3152775"/>
            <wp:effectExtent t="0" r="0" b="0" l="0"/>
            <wp:docPr id="1" name="fig2_calibration_june8_14.png" descr="Reliability diagram for the booster and logistic regression on 8–14 June (decile bins of forecast probability)." title="Reliability diagram for the booster and logistic regression on 8–14 June (decile bins of forecast 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152775"/>
                    </a:xfrm>
                    <a:prstGeom prst="rect">
                      <a:avLst/>
                    </a:prstGeom>
                  </pic:spPr>
                </pic:pic>
              </a:graphicData>
            </a:graphic>
          </wp:inline>
        </w:drawing>
      </w:r>
    </w:p>
    <w:p>
      <w:pPr>
        <w:keepNext w:val="false"/>
        <w:spacing w:before="60" w:after="200"/>
        <w:jc w:val="center"/>
      </w:pPr>
      <w:r>
        <w:rPr>
          <w:b/>
          <w:bCs/>
          <w:sz w:val="22"/>
          <w:szCs w:val="22"/>
          <w:rFonts w:ascii="Times New Roman" w:cs="Times New Roman" w:eastAsia="Times New Roman" w:hAnsi="Times New Roman"/>
        </w:rPr>
        <w:t xml:space="preserve">Figure 2. </w:t>
      </w:r>
      <w:r>
        <w:rPr>
          <w:sz w:val="22"/>
          <w:szCs w:val="22"/>
          <w:rFonts w:ascii="Times New Roman" w:cs="Times New Roman" w:eastAsia="Times New Roman" w:hAnsi="Times New Roman"/>
        </w:rPr>
        <w:t xml:space="preserve">Reliability diagram for the booster and logistic regression on 8–14 June (decile bins of forecast probability).</w:t>
      </w:r>
    </w:p>
    <w:p>
      <w:pPr>
        <w:spacing w:line="360" w:after="120"/>
        <w:jc w:val="both"/>
      </w:pPr>
      <w:r>
        <w:rPr>
          <w:sz w:val="24"/>
          <w:szCs w:val="24"/>
          <w:rFonts w:ascii="Times New Roman" w:cs="Times New Roman" w:eastAsia="Times New Roman" w:hAnsi="Times New Roman"/>
        </w:rPr>
        <w:t xml:space="preserve">As a descriptive check, contracts were assigned to categories by a fixed keyword rule on the question text, written before scores were joined. The booster has lower log loss than logistic regression in </w:t>
      </w:r>
      <w:r>
        <w:rPr>
          <w:b/>
          <w:bCs/>
          <w:sz w:val="24"/>
          <w:szCs w:val="24"/>
          <w:rFonts w:ascii="Times New Roman" w:cs="Times New Roman" w:eastAsia="Times New Roman" w:hAnsi="Times New Roman"/>
        </w:rPr>
        <w:t xml:space="preserve">every</w:t>
      </w:r>
      <w:r>
        <w:rPr>
          <w:sz w:val="24"/>
          <w:szCs w:val="24"/>
          <w:rFonts w:ascii="Times New Roman" w:cs="Times New Roman" w:eastAsia="Times New Roman" w:hAnsi="Times New Roman"/>
        </w:rPr>
        <w:t xml:space="preserve"> category in both weeks (Table 4, Figure 3), so the result is not driven by one dominant category. Most categories contain only two to twelve contracts, so these are descriptions, not separate tests.</w:t>
      </w:r>
    </w:p>
    <w:p>
      <w:pPr>
        <w:keepNext/>
        <w:spacing w:before="60" w:after="200"/>
        <w:jc w:val="center"/>
      </w:pPr>
      <w:r>
        <w:rPr>
          <w:b/>
          <w:bCs/>
          <w:sz w:val="22"/>
          <w:szCs w:val="22"/>
          <w:rFonts w:ascii="Times New Roman" w:cs="Times New Roman" w:eastAsia="Times New Roman" w:hAnsi="Times New Roman"/>
        </w:rPr>
        <w:t xml:space="preserve">Table 4. </w:t>
      </w:r>
      <w:r>
        <w:rPr>
          <w:sz w:val="22"/>
          <w:szCs w:val="22"/>
          <w:rFonts w:ascii="Times New Roman" w:cs="Times New Roman" w:eastAsia="Times New Roman" w:hAnsi="Times New Roman"/>
        </w:rPr>
        <w:t xml:space="preserve">Booster log-loss reduction against activity logistic regression by category (descriptive, post hoc keyword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083"/>
        <w:gridCol w:w="993"/>
        <w:gridCol w:w="1083"/>
        <w:gridCol w:w="1264"/>
        <w:gridCol w:w="2076"/>
      </w:tblGrid>
      <w:tr>
        <w:trPr>
          <w:tblHeader/>
        </w:trPr>
        <w:tc>
          <w:tcPr>
            <w:tcW w:type="dxa" w:w="252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Block / category</w:t>
            </w:r>
          </w:p>
        </w:tc>
        <w:tc>
          <w:tcPr>
            <w:tcW w:type="dxa" w:w="108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Contracts</w:t>
            </w:r>
          </w:p>
        </w:tc>
        <w:tc>
          <w:tcPr>
            <w:tcW w:type="dxa" w:w="99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Known</w:t>
            </w:r>
          </w:p>
        </w:tc>
        <w:tc>
          <w:tcPr>
            <w:tcW w:type="dxa" w:w="1083"/>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Reduction</w:t>
            </w:r>
          </w:p>
        </w:tc>
        <w:tc>
          <w:tcPr>
            <w:tcW w:type="dxa" w:w="1264"/>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Contracts won</w:t>
            </w:r>
          </w:p>
        </w:tc>
        <w:tc>
          <w:tcPr>
            <w:tcW w:type="dxa" w:w="207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95% contract CI (nats)</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1–7 sports</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5,670</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22.1%</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5/5</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[0.038, 0.103]</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1–7 finance/crypto</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6</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3,670</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17.5%</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5/6</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[0.033, 0.101]</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1–7 politics</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5,425</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11.8%</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4/5</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[0.001, 0.075]</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1–7 entertainment</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1,688</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15.9%</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2/2</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too few</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sports</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12</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11,498</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10.3%</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9/12</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[0.001, 0.096]</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finance/crypto</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8</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7,167</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12.1%</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6/8</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[−0.028, 0.248]</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politics</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6</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6,927</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14.3%</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5/6</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[−0.016, 0.116]</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geopolitics</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4</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6,335</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28.8%</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4/4</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[0.044, 0.241]</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tech/science</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3</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2,680</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14.7%</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2/3</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[−0.038, 0.273]</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entertainment</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w:t>
            </w:r>
          </w:p>
        </w:tc>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611</w:t>
            </w:r>
          </w:p>
        </w:tc>
        <w:tc>
          <w:tcPr>
            <w:tcW w:type="dxa" w:w="1083"/>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1.7%</w:t>
            </w:r>
          </w:p>
        </w:tc>
        <w:tc>
          <w:tcPr>
            <w:tcW w:type="dxa" w:w="1264"/>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1/2</w:t>
            </w:r>
          </w:p>
        </w:tc>
        <w:tc>
          <w:tcPr>
            <w:tcW w:type="dxa" w:w="207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too few</w:t>
            </w:r>
          </w:p>
        </w:tc>
      </w:tr>
    </w:tbl>
    <w:p>
      <w:pPr>
        <w:spacing w:after="120"/>
      </w:pPr>
    </w:p>
    <w:p>
      <w:pPr>
        <w:keepNext/>
        <w:spacing w:before="120"/>
        <w:jc w:val="center"/>
      </w:pPr>
      <w:r>
        <w:drawing>
          <wp:inline distT="0" distB="0" distL="0" distR="0">
            <wp:extent cx="5486400" cy="3057525"/>
            <wp:effectExtent t="0" r="0" b="0" l="0"/>
            <wp:docPr id="1" name="fig3_category_breakdown.png" descr="Booster log-loss reduction by market category in each June block. Point labels give the number of contracts." title="Booster log-loss reduction by market category in each June block. Point labels give the number of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57525"/>
                    </a:xfrm>
                    <a:prstGeom prst="rect">
                      <a:avLst/>
                    </a:prstGeom>
                  </pic:spPr>
                </pic:pic>
              </a:graphicData>
            </a:graphic>
          </wp:inline>
        </w:drawing>
      </w:r>
    </w:p>
    <w:p>
      <w:pPr>
        <w:keepNext w:val="false"/>
        <w:spacing w:before="60" w:after="200"/>
        <w:jc w:val="center"/>
      </w:pPr>
      <w:r>
        <w:rPr>
          <w:b/>
          <w:bCs/>
          <w:sz w:val="22"/>
          <w:szCs w:val="22"/>
          <w:rFonts w:ascii="Times New Roman" w:cs="Times New Roman" w:eastAsia="Times New Roman" w:hAnsi="Times New Roman"/>
        </w:rPr>
        <w:t xml:space="preserve">Figure 3. </w:t>
      </w:r>
      <w:r>
        <w:rPr>
          <w:sz w:val="22"/>
          <w:szCs w:val="22"/>
          <w:rFonts w:ascii="Times New Roman" w:cs="Times New Roman" w:eastAsia="Times New Roman" w:hAnsi="Times New Roman"/>
        </w:rPr>
        <w:t xml:space="preserve">Booster log-loss reduction by market category in each June block. Point labels give the number of contracts.</w:t>
      </w:r>
    </w:p>
    <w:p>
      <w:pPr>
        <w:pStyle w:val="Heading2"/>
        <w:keepNext/>
        <w:spacing w:before="240" w:after="120"/>
      </w:pPr>
      <w:r>
        <w:rPr>
          <w:b/>
          <w:bCs/>
          <w:color w:val="000000"/>
          <w:sz w:val="28"/>
          <w:szCs w:val="28"/>
          <w:rFonts w:ascii="Times New Roman" w:cs="Times New Roman" w:eastAsia="Times New Roman" w:hAnsi="Times New Roman"/>
        </w:rPr>
        <w:t xml:space="preserve">6.5 A further unopened fortnight: 15–28 June</w:t>
      </w:r>
    </w:p>
    <w:p>
      <w:pPr>
        <w:spacing w:line="360" w:after="120"/>
        <w:jc w:val="both"/>
      </w:pPr>
      <w:r>
        <w:rPr>
          <w:sz w:val="24"/>
          <w:szCs w:val="24"/>
          <w:rFonts w:ascii="Times New Roman" w:cs="Times New Roman" w:eastAsia="Times New Roman" w:hAnsi="Times New Roman"/>
        </w:rPr>
        <w:t xml:space="preserve">A third test on 15–28 June uses 21 further never-used contracts, frozen from metadata in a new identifier range before any price was read. An earlier selection with a stricter end-date rule found only 15 contracts. It was superseded before any data was read and is preserved. Both frozen models are scored in a single once-only evaluation. </w:t>
      </w:r>
      <w:r>
        <w:rPr>
          <w:b/>
          <w:bCs/>
          <w:sz w:val="24"/>
          <w:szCs w:val="24"/>
          <w:rFonts w:ascii="Times New Roman" w:cs="Times New Roman" w:eastAsia="Times New Roman" w:hAnsi="Times New Roman"/>
          <w:highlight w:val="yellow"/>
          <w:highlightCs w:val="yellow"/>
        </w:rPr>
        <w:t xml:space="preserve">PENDING: June 15–28 result (capture deferred until after the live window to avoid loading the live host).</w:t>
      </w:r>
    </w:p>
    <w:p>
      <w:pPr>
        <w:pStyle w:val="Heading1"/>
        <w:pageBreakBefore/>
        <w:spacing w:before="240" w:after="240"/>
      </w:pPr>
      <w:r>
        <w:rPr>
          <w:b/>
          <w:bCs/>
          <w:color w:val="000000"/>
          <w:sz w:val="32"/>
          <w:szCs w:val="32"/>
          <w:rFonts w:ascii="Times New Roman" w:cs="Times New Roman" w:eastAsia="Times New Roman" w:hAnsi="Times New Roman"/>
        </w:rPr>
        <w:t xml:space="preserve">7 Prospective Live Test</w:t>
      </w:r>
    </w:p>
    <w:p>
      <w:pPr>
        <w:pStyle w:val="Heading2"/>
        <w:keepNext/>
        <w:spacing w:before="240" w:after="120"/>
      </w:pPr>
      <w:r>
        <w:rPr>
          <w:b/>
          <w:bCs/>
          <w:color w:val="000000"/>
          <w:sz w:val="28"/>
          <w:szCs w:val="28"/>
          <w:rFonts w:ascii="Times New Roman" w:cs="Times New Roman" w:eastAsia="Times New Roman" w:hAnsi="Times New Roman"/>
        </w:rPr>
        <w:t xml:space="preserve">7.1 Design</w:t>
      </w:r>
    </w:p>
    <w:p>
      <w:pPr>
        <w:spacing w:line="360" w:after="120"/>
        <w:jc w:val="both"/>
      </w:pPr>
      <w:r>
        <w:rPr>
          <w:sz w:val="24"/>
          <w:szCs w:val="24"/>
          <w:rFonts w:ascii="Times New Roman" w:cs="Times New Roman" w:eastAsia="Times New Roman" w:hAnsi="Times New Roman"/>
        </w:rPr>
        <w:t xml:space="preserve">Historical replay cannot rule out subtle advantages from hindsight, such as metadata that is only known today or receive clocks that are reconstructed. A prospective test removes both. The live runtime is split into a </w:t>
      </w:r>
      <w:r>
        <w:rPr>
          <w:b/>
          <w:bCs/>
          <w:sz w:val="24"/>
          <w:szCs w:val="24"/>
          <w:rFonts w:ascii="Times New Roman" w:cs="Times New Roman" w:eastAsia="Times New Roman" w:hAnsi="Times New Roman"/>
        </w:rPr>
        <w:t xml:space="preserve">source</w:t>
      </w:r>
      <w:r>
        <w:rPr>
          <w:sz w:val="24"/>
          <w:szCs w:val="24"/>
          <w:rFonts w:ascii="Times New Roman" w:cs="Times New Roman" w:eastAsia="Times New Roman" w:hAnsi="Times New Roman"/>
        </w:rPr>
        <w:t xml:space="preserve"> process and an </w:t>
      </w:r>
      <w:r>
        <w:rPr>
          <w:b/>
          <w:bCs/>
          <w:sz w:val="24"/>
          <w:szCs w:val="24"/>
          <w:rFonts w:ascii="Times New Roman" w:cs="Times New Roman" w:eastAsia="Times New Roman" w:hAnsi="Times New Roman"/>
        </w:rPr>
        <w:t xml:space="preserve">emitter</w:t>
      </w:r>
      <w:r>
        <w:rPr>
          <w:sz w:val="24"/>
          <w:szCs w:val="24"/>
          <w:rFonts w:ascii="Times New Roman" w:cs="Times New Roman" w:eastAsia="Times New Roman" w:hAnsi="Times New Roman"/>
        </w:rPr>
        <w:t xml:space="preserve"> process:</w:t>
      </w:r>
    </w:p>
    <w:p>
      <w:pPr>
        <w:pStyle w:val="ListParagraph"/>
        <w:numPr>
          <w:ilvl w:val="0"/>
          <w:numId w:val="3"/>
        </w:numPr>
        <w:spacing w:line="360" w:after="120"/>
      </w:pPr>
      <w:r>
        <w:rPr>
          <w:sz w:val="24"/>
          <w:szCs w:val="24"/>
          <w:rFonts w:ascii="Times New Roman" w:cs="Times New Roman" w:eastAsia="Times New Roman" w:hAnsi="Times New Roman"/>
        </w:rPr>
        <w:t xml:space="preserve">the </w:t>
      </w:r>
      <w:r>
        <w:rPr>
          <w:b/>
          <w:bCs/>
          <w:sz w:val="24"/>
          <w:szCs w:val="24"/>
          <w:rFonts w:ascii="Times New Roman" w:cs="Times New Roman" w:eastAsia="Times New Roman" w:hAnsi="Times New Roman"/>
        </w:rPr>
        <w:t xml:space="preserve">source</w:t>
      </w:r>
      <w:r>
        <w:rPr>
          <w:sz w:val="24"/>
          <w:szCs w:val="24"/>
          <w:rFonts w:ascii="Times New Roman" w:cs="Times New Roman" w:eastAsia="Times New Roman" w:hAnsi="Times New Roman"/>
        </w:rPr>
        <w:t xml:space="preserve"> subscribes to the Polymarket WebSocket for the cohort and polls metadata. It writes every message to an append-only journal in which each record carries the SHA-256 hash of the previous one;</w:t>
      </w:r>
    </w:p>
    <w:p>
      <w:pPr>
        <w:pStyle w:val="ListParagraph"/>
        <w:numPr>
          <w:ilvl w:val="0"/>
          <w:numId w:val="3"/>
        </w:numPr>
        <w:spacing w:line="360" w:after="120"/>
      </w:pPr>
      <w:r>
        <w:rPr>
          <w:sz w:val="24"/>
          <w:szCs w:val="24"/>
          <w:rFonts w:ascii="Times New Roman" w:cs="Times New Roman" w:eastAsia="Times New Roman" w:hAnsi="Times New Roman"/>
        </w:rPr>
        <w:t xml:space="preserve">the </w:t>
      </w:r>
      <w:r>
        <w:rPr>
          <w:b/>
          <w:bCs/>
          <w:sz w:val="24"/>
          <w:szCs w:val="24"/>
          <w:rFonts w:ascii="Times New Roman" w:cs="Times New Roman" w:eastAsia="Times New Roman" w:hAnsi="Times New Roman"/>
        </w:rPr>
        <w:t xml:space="preserve">emitter</w:t>
      </w:r>
      <w:r>
        <w:rPr>
          <w:sz w:val="24"/>
          <w:szCs w:val="24"/>
          <w:rFonts w:ascii="Times New Roman" w:cs="Times New Roman" w:eastAsia="Times New Roman" w:hAnsi="Times New Roman"/>
        </w:rPr>
        <w:t xml:space="preserve"> reads that journal and, at each five-minute grid time, issues a forecast from the frozen V03 model or records an abstention with machine-readable reasons. Each forecast is committed at least 250 ms before its grid time.</w:t>
      </w:r>
    </w:p>
    <w:p>
      <w:pPr>
        <w:spacing w:line="360" w:after="120"/>
        <w:jc w:val="both"/>
      </w:pPr>
      <w:r>
        <w:rPr>
          <w:sz w:val="24"/>
          <w:szCs w:val="24"/>
          <w:rFonts w:ascii="Times New Roman" w:cs="Times New Roman" w:eastAsia="Times New Roman" w:hAnsi="Times New Roman"/>
        </w:rPr>
        <w:t xml:space="preserve">An evaluator scores the forecasts once, after the window closes, against endpoints taken from the same journal. The cohort is 30 contracts, chosen by metadata only. They are active, binary, order-book enabled, at least seven days old, resolve no earlier than 10 November, have at least $10k of 24-hour volume (used as a floor only), are taken in salted-hash order with one contract per event, and are disjoint from every earlier cohort.</w:t>
      </w:r>
    </w:p>
    <w:p>
      <w:pPr>
        <w:pStyle w:val="Heading2"/>
        <w:keepNext/>
        <w:spacing w:before="240" w:after="120"/>
      </w:pPr>
      <w:r>
        <w:rPr>
          <w:b/>
          <w:bCs/>
          <w:color w:val="000000"/>
          <w:sz w:val="28"/>
          <w:szCs w:val="28"/>
          <w:rFonts w:ascii="Times New Roman" w:cs="Times New Roman" w:eastAsia="Times New Roman" w:hAnsi="Times New Roman"/>
        </w:rPr>
        <w:t xml:space="preserve">7.2 Engineering problems and their solutions</w:t>
      </w:r>
    </w:p>
    <w:p>
      <w:pPr>
        <w:spacing w:line="360" w:after="120"/>
        <w:jc w:val="both"/>
      </w:pPr>
      <w:r>
        <w:rPr>
          <w:sz w:val="24"/>
          <w:szCs w:val="24"/>
          <w:rFonts w:ascii="Times New Roman" w:cs="Times New Roman" w:eastAsia="Times New Roman" w:hAnsi="Times New Roman"/>
        </w:rPr>
        <w:t xml:space="preserve">Each problem below caused a rehearsal or activation to be stopped and archived, never patched in place.</w:t>
      </w:r>
    </w:p>
    <w:p>
      <w:pPr>
        <w:pStyle w:val="ListParagraph"/>
        <w:numPr>
          <w:ilvl w:val="0"/>
          <w:numId w:val="3"/>
        </w:numPr>
        <w:spacing w:line="360" w:after="120"/>
      </w:pPr>
      <w:r>
        <w:rPr>
          <w:b/>
          <w:bCs/>
          <w:sz w:val="24"/>
          <w:szCs w:val="24"/>
          <w:rFonts w:ascii="Times New Roman" w:cs="Times New Roman" w:eastAsia="Times New Roman" w:hAnsi="Times New Roman"/>
        </w:rPr>
        <w:t xml:space="preserve">Unreliable host clock.</w:t>
      </w:r>
      <w:r>
        <w:rPr>
          <w:sz w:val="24"/>
          <w:szCs w:val="24"/>
          <w:rFonts w:ascii="Times New Roman" w:cs="Times New Roman" w:eastAsia="Times New Roman" w:hAnsi="Times New Roman"/>
        </w:rPr>
        <w:t xml:space="preserve"> The first runtime version failed its readiness rehearsal with 0 of 16 decisions ready. The laptop’s built-in time client returned empty server packets while the clock was about 287 ms fast, and the operating system then stepped the clock back by 110 ms, which reset the transport warmup. The new version uses its own SNTP client (Mills et al, 2010). It keeps the raw packets and recomputes offsets from them. An estimate is accepted only if at least two servers agree, at least one round trip is short, and the residual uncertainty is at most 50 ms. Corrected time is then carried forward on the monotonic clock, so operating-system clock steps are logged but cannot move decision times.</w:t>
      </w:r>
    </w:p>
    <w:p>
      <w:pPr>
        <w:pStyle w:val="ListParagraph"/>
        <w:numPr>
          <w:ilvl w:val="0"/>
          <w:numId w:val="3"/>
        </w:numPr>
        <w:spacing w:line="360" w:after="120"/>
      </w:pPr>
      <w:r>
        <w:rPr>
          <w:b/>
          <w:bCs/>
          <w:sz w:val="24"/>
          <w:szCs w:val="24"/>
          <w:rFonts w:ascii="Times New Roman" w:cs="Times New Roman" w:eastAsia="Times New Roman" w:hAnsi="Times New Roman"/>
        </w:rPr>
        <w:t xml:space="preserve">Memory and latency growth.</w:t>
      </w:r>
      <w:r>
        <w:rPr>
          <w:sz w:val="24"/>
          <w:szCs w:val="24"/>
          <w:rFonts w:ascii="Times New Roman" w:cs="Times New Roman" w:eastAsia="Times New Roman" w:hAnsi="Times New Roman"/>
        </w:rPr>
        <w:t xml:space="preserve"> The first activation kept the whole journal in memory (about 317 MB per hour) and rescanned it at every decision. A bounded, incremental input store keeps three hours of history, more than every rule needs. It matched the unbounded version in 510 of 510 decision and endpoint comparisons, and cut decision time from 370 ms to 11 ms per grid.</w:t>
      </w:r>
    </w:p>
    <w:p>
      <w:pPr>
        <w:pStyle w:val="ListParagraph"/>
        <w:numPr>
          <w:ilvl w:val="0"/>
          <w:numId w:val="3"/>
        </w:numPr>
        <w:spacing w:line="360" w:after="120"/>
      </w:pPr>
      <w:r>
        <w:rPr>
          <w:b/>
          <w:bCs/>
          <w:sz w:val="24"/>
          <w:szCs w:val="24"/>
          <w:rFonts w:ascii="Times New Roman" w:cs="Times New Roman" w:eastAsia="Times New Roman" w:hAnsi="Times New Roman"/>
        </w:rPr>
        <w:t xml:space="preserve">A thread race in the hash chain.</w:t>
      </w:r>
      <w:r>
        <w:rPr>
          <w:sz w:val="24"/>
          <w:szCs w:val="24"/>
          <w:rFonts w:ascii="Times New Roman" w:cs="Times New Roman" w:eastAsia="Times New Roman" w:hAnsi="Times New Roman"/>
        </w:rPr>
        <w:t xml:space="preserve"> In the second activation, a clock-probe thread wrote to the journal at the same time as the main loop, which forked the hash chain. The emitter’s chain check detected this and stopped. Now only the event loop writes the journal, and a regression test enforces it.</w:t>
      </w:r>
    </w:p>
    <w:p>
      <w:pPr>
        <w:spacing w:line="360" w:after="120"/>
        <w:jc w:val="both"/>
      </w:pPr>
      <w:r>
        <w:rPr>
          <w:sz w:val="24"/>
          <w:szCs w:val="24"/>
          <w:rFonts w:ascii="Times New Roman" w:cs="Times New Roman" w:eastAsia="Times New Roman" w:hAnsi="Times New Roman"/>
        </w:rPr>
        <w:t xml:space="preserve">After these fixes, a fresh 60-minute readiness rehearsal passed. 156 of 180 post-warmup decisions were ready, across 27 of 30 contracts; 58 of 61 clock estimates were valid; one OS clock step was absorbed; and there were 0 chain breaks, stamp errors or replay mismatches. The test was activated at 17:53:53 UTC on 26 October, with grids from 27 October 00:30 to 29 October 23:25 UTC (24,840 scheduled decisions). The window was shortened from seven days to three, before any prospective decision, so that it would finish before this report’s deadline.</w:t>
      </w:r>
    </w:p>
    <w:p>
      <w:pPr>
        <w:pStyle w:val="Heading2"/>
        <w:keepNext/>
        <w:spacing w:before="240" w:after="120"/>
      </w:pPr>
      <w:r>
        <w:rPr>
          <w:b/>
          <w:bCs/>
          <w:color w:val="000000"/>
          <w:sz w:val="28"/>
          <w:szCs w:val="28"/>
          <w:rFonts w:ascii="Times New Roman" w:cs="Times New Roman" w:eastAsia="Times New Roman" w:hAnsi="Times New Roman"/>
        </w:rPr>
        <w:t xml:space="preserve">7.3 Operation</w:t>
      </w:r>
    </w:p>
    <w:p>
      <w:pPr>
        <w:spacing w:line="360" w:after="120"/>
        <w:jc w:val="both"/>
      </w:pPr>
      <w:r>
        <w:rPr>
          <w:sz w:val="24"/>
          <w:szCs w:val="24"/>
          <w:rFonts w:ascii="Times New Roman" w:cs="Times New Roman" w:eastAsia="Times New Roman" w:hAnsi="Times New Roman"/>
        </w:rPr>
        <w:t xml:space="preserve">The test has known operating losses, all recorded rather than repaired:</w:t>
      </w:r>
    </w:p>
    <w:p>
      <w:pPr>
        <w:pStyle w:val="ListParagraph"/>
        <w:numPr>
          <w:ilvl w:val="0"/>
          <w:numId w:val="3"/>
        </w:numPr>
        <w:spacing w:line="360" w:after="120"/>
      </w:pPr>
      <w:r>
        <w:rPr>
          <w:b/>
          <w:bCs/>
          <w:sz w:val="24"/>
          <w:szCs w:val="24"/>
          <w:rFonts w:ascii="Times New Roman" w:cs="Times New Roman" w:eastAsia="Times New Roman" w:hAnsi="Times New Roman"/>
        </w:rPr>
        <w:t xml:space="preserve">First grid.</w:t>
      </w:r>
      <w:r>
        <w:rPr>
          <w:sz w:val="24"/>
          <w:szCs w:val="24"/>
          <w:rFonts w:ascii="Times New Roman" w:cs="Times New Roman" w:eastAsia="Times New Roman" w:hAnsi="Times New Roman"/>
        </w:rPr>
        <w:t xml:space="preserve"> All 30 decisions abstained, because the emitter’s pre-loaded inputs were handed over without one final refresh (0.12% of the schedule).</w:t>
      </w:r>
    </w:p>
    <w:p>
      <w:pPr>
        <w:pStyle w:val="ListParagraph"/>
        <w:numPr>
          <w:ilvl w:val="0"/>
          <w:numId w:val="3"/>
        </w:numPr>
        <w:spacing w:line="360" w:after="120"/>
      </w:pPr>
      <w:r>
        <w:rPr>
          <w:b/>
          <w:bCs/>
          <w:sz w:val="24"/>
          <w:szCs w:val="24"/>
          <w:rFonts w:ascii="Times New Roman" w:cs="Times New Roman" w:eastAsia="Times New Roman" w:hAnsi="Times New Roman"/>
        </w:rPr>
        <w:t xml:space="preserve">Host stall.</w:t>
      </w:r>
      <w:r>
        <w:rPr>
          <w:sz w:val="24"/>
          <w:szCs w:val="24"/>
          <w:rFonts w:ascii="Times New Roman" w:cs="Times New Roman" w:eastAsia="Times New Roman" w:hAnsi="Times New Roman"/>
        </w:rPr>
        <w:t xml:space="preserve"> A concurrent analysis job pushed the already memory-constrained laptop into heavy swapping, so four grids missed their emission deadlines and roughly an hour of warmup abstentions followed. Heavy jobs were then deferred until the window closed.</w:t>
      </w:r>
    </w:p>
    <w:p>
      <w:pPr>
        <w:pStyle w:val="ListParagraph"/>
        <w:numPr>
          <w:ilvl w:val="0"/>
          <w:numId w:val="3"/>
        </w:numPr>
        <w:spacing w:line="360" w:after="120"/>
      </w:pPr>
      <w:r>
        <w:rPr>
          <w:b/>
          <w:bCs/>
          <w:sz w:val="24"/>
          <w:szCs w:val="24"/>
          <w:rFonts w:ascii="Times New Roman" w:cs="Times New Roman" w:eastAsia="Times New Roman" w:hAnsi="Times New Roman"/>
        </w:rPr>
        <w:t xml:space="preserve">Venue disconnects.</w:t>
      </w:r>
      <w:r>
        <w:rPr>
          <w:sz w:val="24"/>
          <w:szCs w:val="24"/>
          <w:rFonts w:ascii="Times New Roman" w:cs="Times New Roman" w:eastAsia="Times New Roman" w:hAnsi="Times New Roman"/>
        </w:rPr>
        <w:t xml:space="preserve"> The venue WebSocket disconnects about once an hour or more, and each reconnect costs 30 minutes of abstentions under the frozen warmup rule.</w:t>
      </w:r>
    </w:p>
    <w:p>
      <w:pPr>
        <w:spacing w:line="360" w:after="120"/>
        <w:jc w:val="both"/>
      </w:pPr>
      <w:r>
        <w:rPr>
          <w:sz w:val="24"/>
          <w:szCs w:val="24"/>
          <w:rFonts w:ascii="Times New Roman" w:cs="Times New Roman" w:eastAsia="Times New Roman" w:hAnsi="Times New Roman"/>
        </w:rPr>
        <w:t xml:space="preserve">These losses reduce coverage but cannot leak information, since every failure leads to a recorded abstention or miss and nothing is backfilled.</w:t>
      </w:r>
    </w:p>
    <w:p>
      <w:pPr>
        <w:pStyle w:val="Heading2"/>
        <w:keepNext/>
        <w:spacing w:before="240" w:after="120"/>
      </w:pPr>
      <w:r>
        <w:rPr>
          <w:b/>
          <w:bCs/>
          <w:color w:val="000000"/>
          <w:sz w:val="28"/>
          <w:szCs w:val="28"/>
          <w:rFonts w:ascii="Times New Roman" w:cs="Times New Roman" w:eastAsia="Times New Roman" w:hAnsi="Times New Roman"/>
        </w:rPr>
        <w:t xml:space="preserve">7.4 Results</w:t>
      </w:r>
    </w:p>
    <w:p>
      <w:pPr>
        <w:spacing w:line="360" w:after="120"/>
        <w:jc w:val="both"/>
      </w:pPr>
      <w:r>
        <w:rPr>
          <w:b/>
          <w:bCs/>
          <w:sz w:val="24"/>
          <w:szCs w:val="24"/>
          <w:rFonts w:ascii="Times New Roman" w:cs="Times New Roman" w:eastAsia="Times New Roman" w:hAnsi="Times New Roman"/>
          <w:highlight w:val="yellow"/>
          <w:highlightCs w:val="yellow"/>
        </w:rPr>
        <w:t xml:space="preserve">PENDING: coverage (issued, abstained, missed); matched log loss, Brier and AUC of V03 hgb7 against full logistic regression and global rate; contract-clustered interval; missing-outcome bounds. To be filled from the single evaluation run after 29 October 23:57:30 UTC, whatever the sign.</w:t>
      </w:r>
    </w:p>
    <w:p>
      <w:pPr>
        <w:pStyle w:val="Heading1"/>
        <w:pageBreakBefore/>
        <w:spacing w:before="240" w:after="240"/>
      </w:pPr>
      <w:r>
        <w:rPr>
          <w:b/>
          <w:bCs/>
          <w:color w:val="000000"/>
          <w:sz w:val="32"/>
          <w:szCs w:val="32"/>
          <w:rFonts w:ascii="Times New Roman" w:cs="Times New Roman" w:eastAsia="Times New Roman" w:hAnsi="Times New Roman"/>
        </w:rPr>
        <w:t xml:space="preserve">8 Discussion</w:t>
      </w:r>
    </w:p>
    <w:p>
      <w:pPr>
        <w:pStyle w:val="Heading2"/>
        <w:keepNext/>
        <w:spacing w:before="240" w:after="120"/>
      </w:pPr>
      <w:r>
        <w:rPr>
          <w:b/>
          <w:bCs/>
          <w:color w:val="000000"/>
          <w:sz w:val="28"/>
          <w:szCs w:val="28"/>
          <w:rFonts w:ascii="Times New Roman" w:cs="Times New Roman" w:eastAsia="Times New Roman" w:hAnsi="Times New Roman"/>
        </w:rPr>
        <w:t xml:space="preserve">8.1 What the evidence supports</w:t>
      </w:r>
    </w:p>
    <w:p>
      <w:pPr>
        <w:spacing w:line="360" w:after="120"/>
        <w:jc w:val="both"/>
      </w:pPr>
      <w:r>
        <w:rPr>
          <w:sz w:val="24"/>
          <w:szCs w:val="24"/>
          <w:rFonts w:ascii="Times New Roman" w:cs="Times New Roman" w:eastAsia="Times New Roman" w:hAnsi="Times New Roman"/>
        </w:rPr>
        <w:t xml:space="preserve">The answers to RQ1 and RQ2 differ sharply. Simple news counts did not improve a market-history forecaster under strict availability rules, while a microstructure target was forecast reliably better than strong baselines on every unopened block. This is consistent with a market in which public news is either quickly priced or too weakly linked to individual contracts to be detected by counts, whereas quote activity is persistent and well summarised by recent quote changes, spread and price level. The booster’s advantage over logistic regression suggests that these effects interact nonlinearly. For example, the same recent change implies different future activity at different price levels and spreads.</w:t>
      </w:r>
    </w:p>
    <w:p>
      <w:pPr>
        <w:pStyle w:val="Heading2"/>
        <w:keepNext/>
        <w:spacing w:before="240" w:after="120"/>
      </w:pPr>
      <w:r>
        <w:rPr>
          <w:b/>
          <w:bCs/>
          <w:color w:val="000000"/>
          <w:sz w:val="28"/>
          <w:szCs w:val="28"/>
          <w:rFonts w:ascii="Times New Roman" w:cs="Times New Roman" w:eastAsia="Times New Roman" w:hAnsi="Times New Roman"/>
        </w:rPr>
        <w:t xml:space="preserve">8.2 Threats to validity</w:t>
      </w:r>
    </w:p>
    <w:p>
      <w:pPr>
        <w:pStyle w:val="ListParagraph"/>
        <w:numPr>
          <w:ilvl w:val="0"/>
          <w:numId w:val="3"/>
        </w:numPr>
        <w:spacing w:line="360" w:after="120"/>
      </w:pPr>
      <w:r>
        <w:rPr>
          <w:b/>
          <w:bCs/>
          <w:sz w:val="24"/>
          <w:szCs w:val="24"/>
          <w:rFonts w:ascii="Times New Roman" w:cs="Times New Roman" w:eastAsia="Times New Roman" w:hAnsi="Times New Roman"/>
        </w:rPr>
        <w:t xml:space="preserve">Dependence.</w:t>
      </w:r>
      <w:r>
        <w:rPr>
          <w:sz w:val="24"/>
          <w:szCs w:val="24"/>
          <w:rFonts w:ascii="Times New Roman" w:cs="Times New Roman" w:eastAsia="Times New Roman" w:hAnsi="Times New Roman"/>
        </w:rPr>
        <w:t xml:space="preserve"> Forecasts from one contract are strongly correlated. This is why the headline intervals resample whole contracts, and why the effective sample size is closer to the number of contracts (18–35) than to the number of rows.</w:t>
      </w:r>
    </w:p>
    <w:p>
      <w:pPr>
        <w:pStyle w:val="ListParagraph"/>
        <w:numPr>
          <w:ilvl w:val="0"/>
          <w:numId w:val="3"/>
        </w:numPr>
        <w:spacing w:line="360" w:after="120"/>
      </w:pPr>
      <w:r>
        <w:rPr>
          <w:b/>
          <w:bCs/>
          <w:sz w:val="24"/>
          <w:szCs w:val="24"/>
          <w:rFonts w:ascii="Times New Roman" w:cs="Times New Roman" w:eastAsia="Times New Roman" w:hAnsi="Times New Roman"/>
        </w:rPr>
        <w:t xml:space="preserve">Cohort and venue.</w:t>
      </w:r>
      <w:r>
        <w:rPr>
          <w:sz w:val="24"/>
          <w:szCs w:val="24"/>
          <w:rFonts w:ascii="Times New Roman" w:cs="Times New Roman" w:eastAsia="Times New Roman" w:hAnsi="Times New Roman"/>
        </w:rPr>
        <w:t xml:space="preserve"> Cohorts are convenience samples that require quotes to be available, and all Track B evidence comes from one venue and one era (2026). The new-contract test reduces, but does not remove, the risk that results depend on contract identity.</w:t>
      </w:r>
    </w:p>
    <w:p>
      <w:pPr>
        <w:pStyle w:val="ListParagraph"/>
        <w:numPr>
          <w:ilvl w:val="0"/>
          <w:numId w:val="3"/>
        </w:numPr>
        <w:spacing w:line="360" w:after="120"/>
      </w:pPr>
      <w:r>
        <w:rPr>
          <w:b/>
          <w:bCs/>
          <w:sz w:val="24"/>
          <w:szCs w:val="24"/>
          <w:rFonts w:ascii="Times New Roman" w:cs="Times New Roman" w:eastAsia="Times New Roman" w:hAnsi="Times New Roman"/>
        </w:rPr>
        <w:t xml:space="preserve">Metadata timing.</w:t>
      </w:r>
      <w:r>
        <w:rPr>
          <w:sz w:val="24"/>
          <w:szCs w:val="24"/>
          <w:rFonts w:ascii="Times New Roman" w:cs="Times New Roman" w:eastAsia="Times New Roman" w:hAnsi="Times New Roman"/>
        </w:rPr>
        <w:t xml:space="preserve"> Historical cohorts use current metadata, so a contract’s present description may differ from what was known in June. Only the live test is free of this.</w:t>
      </w:r>
    </w:p>
    <w:p>
      <w:pPr>
        <w:pStyle w:val="ListParagraph"/>
        <w:numPr>
          <w:ilvl w:val="0"/>
          <w:numId w:val="3"/>
        </w:numPr>
        <w:spacing w:line="360" w:after="120"/>
      </w:pPr>
      <w:r>
        <w:rPr>
          <w:b/>
          <w:bCs/>
          <w:sz w:val="24"/>
          <w:szCs w:val="24"/>
          <w:rFonts w:ascii="Times New Roman" w:cs="Times New Roman" w:eastAsia="Times New Roman" w:hAnsi="Times New Roman"/>
        </w:rPr>
        <w:t xml:space="preserve">Conditioning on observed endpoints.</w:t>
      </w:r>
      <w:r>
        <w:rPr>
          <w:sz w:val="24"/>
          <w:szCs w:val="24"/>
          <w:rFonts w:ascii="Times New Roman" w:cs="Times New Roman" w:eastAsia="Times New Roman" w:hAnsi="Times New Roman"/>
        </w:rPr>
        <w:t xml:space="preserve"> Scores use only forecasts with observed endpoints. The worst-case bounds show that missing endpoints cannot reverse the June 8–14 conclusion, but in June 1–7 the lower bound falls just below zero.</w:t>
      </w:r>
    </w:p>
    <w:p>
      <w:pPr>
        <w:pStyle w:val="ListParagraph"/>
        <w:numPr>
          <w:ilvl w:val="0"/>
          <w:numId w:val="3"/>
        </w:numPr>
        <w:spacing w:line="360" w:after="120"/>
      </w:pPr>
      <w:r>
        <w:rPr>
          <w:b/>
          <w:bCs/>
          <w:sz w:val="24"/>
          <w:szCs w:val="24"/>
          <w:rFonts w:ascii="Times New Roman" w:cs="Times New Roman" w:eastAsia="Times New Roman" w:hAnsi="Times New Roman"/>
        </w:rPr>
        <w:t xml:space="preserve">Protocol deviations.</w:t>
      </w:r>
      <w:r>
        <w:rPr>
          <w:sz w:val="24"/>
          <w:szCs w:val="24"/>
          <w:rFonts w:ascii="Times New Roman" w:cs="Times New Roman" w:eastAsia="Times New Roman" w:hAnsi="Times New Roman"/>
        </w:rPr>
        <w:t xml:space="preserve"> The DNS refetch and the V3.1 prevalence exposure are real departures from the intended protocols. They were outcome-blind or happened before any metric was computed, but they are disclosed rather than argued away.</w:t>
      </w:r>
    </w:p>
    <w:p>
      <w:pPr>
        <w:pStyle w:val="ListParagraph"/>
        <w:numPr>
          <w:ilvl w:val="0"/>
          <w:numId w:val="3"/>
        </w:numPr>
        <w:spacing w:line="360" w:after="120"/>
      </w:pPr>
      <w:r>
        <w:rPr>
          <w:b/>
          <w:bCs/>
          <w:sz w:val="24"/>
          <w:szCs w:val="24"/>
          <w:rFonts w:ascii="Times New Roman" w:cs="Times New Roman" w:eastAsia="Times New Roman" w:hAnsi="Times New Roman"/>
        </w:rPr>
        <w:t xml:space="preserve">Causal language.</w:t>
      </w:r>
      <w:r>
        <w:rPr>
          <w:sz w:val="24"/>
          <w:szCs w:val="24"/>
          <w:rFonts w:ascii="Times New Roman" w:cs="Times New Roman" w:eastAsia="Times New Roman" w:hAnsi="Times New Roman"/>
        </w:rPr>
        <w:t xml:space="preserve"> None of the results is causal. Track A estimates predictive value conditional on observable news; information that surfaces first on unobserved channels (private chats, livestreams) remains a confounder.</w:t>
      </w:r>
    </w:p>
    <w:p>
      <w:pPr>
        <w:pStyle w:val="Heading1"/>
        <w:pageBreakBefore/>
        <w:spacing w:before="240" w:after="240"/>
      </w:pPr>
      <w:r>
        <w:rPr>
          <w:b/>
          <w:bCs/>
          <w:color w:val="000000"/>
          <w:sz w:val="32"/>
          <w:szCs w:val="32"/>
          <w:rFonts w:ascii="Times New Roman" w:cs="Times New Roman" w:eastAsia="Times New Roman" w:hAnsi="Times New Roman"/>
        </w:rPr>
        <w:t xml:space="preserve">9 Conclusions</w:t>
      </w:r>
    </w:p>
    <w:p>
      <w:pPr>
        <w:pStyle w:val="Heading2"/>
        <w:keepNext/>
        <w:spacing w:before="240" w:after="120"/>
      </w:pPr>
      <w:r>
        <w:rPr>
          <w:b/>
          <w:bCs/>
          <w:color w:val="000000"/>
          <w:sz w:val="28"/>
          <w:szCs w:val="28"/>
          <w:rFonts w:ascii="Times New Roman" w:cs="Times New Roman" w:eastAsia="Times New Roman" w:hAnsi="Times New Roman"/>
        </w:rPr>
        <w:t xml:space="preserve">9.1 Summary</w:t>
      </w:r>
    </w:p>
    <w:p>
      <w:pPr>
        <w:spacing w:line="360" w:after="120"/>
        <w:jc w:val="both"/>
      </w:pPr>
      <w:r>
        <w:rPr>
          <w:sz w:val="24"/>
          <w:szCs w:val="24"/>
          <w:rFonts w:ascii="Times New Roman" w:cs="Times New Roman" w:eastAsia="Times New Roman" w:hAnsi="Times New Roman"/>
        </w:rPr>
        <w:t xml:space="preserve">EventX built a leakage-safe evaluation framework for prediction-market forecasting and applied it to two questions. In a frozen study of 4,651 markets, simple news counts added no predictive value beyond market history. A 30-minute quote-change probability, however, can be forecast well: a frozen gradient-boosted classifier beat logistic, rate-based and earlier boosted baselines by 15–20% in log loss on two unopened June weeks, including 35 never-used contracts. Contract-clustered intervals excluded zero, and the gain held in every category. A prospective runtime with validated clock correction, bounded inputs and tamper-evident journals was built and run live for three days. </w:t>
      </w:r>
      <w:r>
        <w:rPr>
          <w:b/>
          <w:bCs/>
          <w:sz w:val="24"/>
          <w:szCs w:val="24"/>
          <w:rFonts w:ascii="Times New Roman" w:cs="Times New Roman" w:eastAsia="Times New Roman" w:hAnsi="Times New Roman"/>
          <w:highlight w:val="yellow"/>
          <w:highlightCs w:val="yellow"/>
        </w:rPr>
        <w:t xml:space="preserve">PENDING: one-sentence live and V4 outcome.</w:t>
      </w:r>
    </w:p>
    <w:p>
      <w:pPr>
        <w:pStyle w:val="Heading2"/>
        <w:keepNext/>
        <w:spacing w:before="240" w:after="120"/>
      </w:pPr>
      <w:r>
        <w:rPr>
          <w:b/>
          <w:bCs/>
          <w:color w:val="000000"/>
          <w:sz w:val="28"/>
          <w:szCs w:val="28"/>
          <w:rFonts w:ascii="Times New Roman" w:cs="Times New Roman" w:eastAsia="Times New Roman" w:hAnsi="Times New Roman"/>
        </w:rPr>
        <w:t xml:space="preserve">9.2 Limitations</w:t>
      </w:r>
    </w:p>
    <w:p>
      <w:pPr>
        <w:pStyle w:val="ListParagraph"/>
        <w:numPr>
          <w:ilvl w:val="0"/>
          <w:numId w:val="3"/>
        </w:numPr>
        <w:spacing w:line="360" w:after="120"/>
      </w:pPr>
      <w:r>
        <w:rPr>
          <w:sz w:val="24"/>
          <w:szCs w:val="24"/>
          <w:rFonts w:ascii="Times New Roman" w:cs="Times New Roman" w:eastAsia="Times New Roman" w:hAnsi="Times New Roman"/>
        </w:rPr>
        <w:t xml:space="preserve">The quote-change target measures activity, not direction, size or profit. A good score does not imply a trading edge.</w:t>
      </w:r>
    </w:p>
    <w:p>
      <w:pPr>
        <w:pStyle w:val="ListParagraph"/>
        <w:numPr>
          <w:ilvl w:val="0"/>
          <w:numId w:val="3"/>
        </w:numPr>
        <w:spacing w:line="360" w:after="120"/>
      </w:pPr>
      <w:r>
        <w:rPr>
          <w:sz w:val="24"/>
          <w:szCs w:val="24"/>
          <w:rFonts w:ascii="Times New Roman" w:cs="Times New Roman" w:eastAsia="Times New Roman" w:hAnsi="Times New Roman"/>
        </w:rPr>
        <w:t xml:space="preserve">Track B uses one venue and small numbers of contributing contracts, and historical cohorts rely on current metadata.</w:t>
      </w:r>
    </w:p>
    <w:p>
      <w:pPr>
        <w:pStyle w:val="ListParagraph"/>
        <w:numPr>
          <w:ilvl w:val="0"/>
          <w:numId w:val="3"/>
        </w:numPr>
        <w:spacing w:line="360" w:after="120"/>
      </w:pPr>
      <w:r>
        <w:rPr>
          <w:sz w:val="24"/>
          <w:szCs w:val="24"/>
          <w:rFonts w:ascii="Times New Roman" w:cs="Times New Roman" w:eastAsia="Times New Roman" w:hAnsi="Times New Roman"/>
        </w:rPr>
        <w:t xml:space="preserve">Track A tested count-based news representations under conservative timestamps. Richer text models and social-media signals were not evaluated within the frozen protocols.</w:t>
      </w:r>
    </w:p>
    <w:p>
      <w:pPr>
        <w:pStyle w:val="ListParagraph"/>
        <w:numPr>
          <w:ilvl w:val="0"/>
          <w:numId w:val="3"/>
        </w:numPr>
        <w:spacing w:line="360" w:after="120"/>
      </w:pPr>
      <w:r>
        <w:rPr>
          <w:sz w:val="24"/>
          <w:szCs w:val="24"/>
          <w:rFonts w:ascii="Times New Roman" w:cs="Times New Roman" w:eastAsia="Times New Roman" w:hAnsi="Times New Roman"/>
        </w:rPr>
        <w:t xml:space="preserve">The live test ran on a laptop whose memory pressure and network drops reduced coverage. A disciplined server would give a cleaner prospective estimate.</w:t>
      </w:r>
    </w:p>
    <w:p>
      <w:pPr>
        <w:pStyle w:val="Heading2"/>
        <w:keepNext/>
        <w:spacing w:before="240" w:after="120"/>
      </w:pPr>
      <w:r>
        <w:rPr>
          <w:b/>
          <w:bCs/>
          <w:color w:val="000000"/>
          <w:sz w:val="28"/>
          <w:szCs w:val="28"/>
          <w:rFonts w:ascii="Times New Roman" w:cs="Times New Roman" w:eastAsia="Times New Roman" w:hAnsi="Times New Roman"/>
        </w:rPr>
        <w:t xml:space="preserve">9.3 Recommendations for further work</w:t>
      </w:r>
    </w:p>
    <w:p>
      <w:pPr>
        <w:pStyle w:val="ListParagraph"/>
        <w:numPr>
          <w:ilvl w:val="0"/>
          <w:numId w:val="4"/>
        </w:numPr>
        <w:spacing w:line="360" w:after="120"/>
      </w:pPr>
      <w:r>
        <w:rPr>
          <w:sz w:val="24"/>
          <w:szCs w:val="24"/>
          <w:rFonts w:ascii="Times New Roman" w:cs="Times New Roman" w:eastAsia="Times New Roman" w:hAnsi="Times New Roman"/>
        </w:rPr>
        <w:t xml:space="preserve">Run the live runtime on a dedicated host with a disciplined clock and enough memory, for at least seven days, on a larger metadata-selected cohort.</w:t>
      </w:r>
    </w:p>
    <w:p>
      <w:pPr>
        <w:pStyle w:val="ListParagraph"/>
        <w:numPr>
          <w:ilvl w:val="0"/>
          <w:numId w:val="4"/>
        </w:numPr>
        <w:spacing w:line="360" w:after="120"/>
      </w:pPr>
      <w:r>
        <w:rPr>
          <w:sz w:val="24"/>
          <w:szCs w:val="24"/>
          <w:rFonts w:ascii="Times New Roman" w:cs="Times New Roman" w:eastAsia="Times New Roman" w:hAnsi="Times New Roman"/>
        </w:rPr>
        <w:t xml:space="preserve">Extend the target to signed and size-graded quote moves, which are closer to economically meaningful questions, keeping the same once-only protocol.</w:t>
      </w:r>
    </w:p>
    <w:p>
      <w:pPr>
        <w:pStyle w:val="ListParagraph"/>
        <w:numPr>
          <w:ilvl w:val="0"/>
          <w:numId w:val="4"/>
        </w:numPr>
        <w:spacing w:line="360" w:after="120"/>
      </w:pPr>
      <w:r>
        <w:rPr>
          <w:sz w:val="24"/>
          <w:szCs w:val="24"/>
          <w:rFonts w:ascii="Times New Roman" w:cs="Times New Roman" w:eastAsia="Times New Roman" w:hAnsi="Times New Roman"/>
        </w:rPr>
        <w:t xml:space="preserve">Re-test news value with contract-aware linking only after the link audit passes, using the quote-change model as the strong market-only baseline.</w:t>
      </w:r>
    </w:p>
    <w:p>
      <w:pPr>
        <w:pStyle w:val="ListParagraph"/>
        <w:numPr>
          <w:ilvl w:val="0"/>
          <w:numId w:val="4"/>
        </w:numPr>
        <w:spacing w:line="360" w:after="120"/>
      </w:pPr>
      <w:r>
        <w:rPr>
          <w:sz w:val="24"/>
          <w:szCs w:val="24"/>
          <w:rFonts w:ascii="Times New Roman" w:cs="Times New Roman" w:eastAsia="Times New Roman" w:hAnsi="Times New Roman"/>
        </w:rPr>
        <w:t xml:space="preserve">Replicate on Kalshi, whose historical intraday data has a different coverage pattern, to test venue transfer.</w:t>
      </w:r>
    </w:p>
    <w:p>
      <w:pPr>
        <w:pStyle w:val="Heading1"/>
        <w:pageBreakBefore/>
        <w:spacing w:before="240" w:after="240"/>
      </w:pPr>
      <w:r>
        <w:rPr>
          <w:b/>
          <w:bCs/>
          <w:color w:val="000000"/>
          <w:sz w:val="32"/>
          <w:szCs w:val="32"/>
          <w:rFonts w:ascii="Times New Roman" w:cs="Times New Roman" w:eastAsia="Times New Roman" w:hAnsi="Times New Roman"/>
        </w:rPr>
        <w:t xml:space="preserve">References</w:t>
      </w:r>
    </w:p>
    <w:p>
      <w:pPr>
        <w:spacing w:line="360" w:after="120"/>
        <w:ind w:left="567" w:hanging="567"/>
        <w:jc w:val="left"/>
      </w:pPr>
      <w:r>
        <w:rPr>
          <w:sz w:val="24"/>
          <w:szCs w:val="24"/>
          <w:rFonts w:ascii="Times New Roman" w:cs="Times New Roman" w:eastAsia="Times New Roman" w:hAnsi="Times New Roman"/>
        </w:rPr>
        <w:t xml:space="preserve">Arrow, K.J., Forsythe, R., Gorham, M., Hahn, R., Hanson, R., Ledyard, J.O., Levmore, S., Litan, R., Milgrom, P., Nelson, F.D., Neumann, G.R., Ottaviani, M., Schelling, T.C., Shiller, R.J., Smith, V.L., Snowberg, E., Sunstein, C.R., Tetlock, P.C., Tetlock, P.E., Varian, H.R., Wolfers, J. and Zitzewitz, E. (2008). The Promise of Prediction Markets. </w:t>
      </w:r>
      <w:r>
        <w:rPr>
          <w:i/>
          <w:iCs/>
          <w:sz w:val="24"/>
          <w:szCs w:val="24"/>
          <w:rFonts w:ascii="Times New Roman" w:cs="Times New Roman" w:eastAsia="Times New Roman" w:hAnsi="Times New Roman"/>
        </w:rPr>
        <w:t xml:space="preserve">Science</w:t>
      </w:r>
      <w:r>
        <w:rPr>
          <w:sz w:val="24"/>
          <w:szCs w:val="24"/>
          <w:rFonts w:ascii="Times New Roman" w:cs="Times New Roman" w:eastAsia="Times New Roman" w:hAnsi="Times New Roman"/>
        </w:rPr>
        <w:t xml:space="preserve">, Vol. 320, No. 5878, pp. 877 – 878.</w:t>
      </w:r>
    </w:p>
    <w:p>
      <w:pPr>
        <w:spacing w:line="360" w:after="120"/>
        <w:ind w:left="567" w:hanging="567"/>
        <w:jc w:val="left"/>
      </w:pPr>
      <w:r>
        <w:rPr>
          <w:sz w:val="24"/>
          <w:szCs w:val="24"/>
          <w:rFonts w:ascii="Times New Roman" w:cs="Times New Roman" w:eastAsia="Times New Roman" w:hAnsi="Times New Roman"/>
        </w:rPr>
        <w:t xml:space="preserve">Brier, G.W. (1950). Verification of Forecasts Expressed in Terms of Probability. </w:t>
      </w:r>
      <w:r>
        <w:rPr>
          <w:i/>
          <w:iCs/>
          <w:sz w:val="24"/>
          <w:szCs w:val="24"/>
          <w:rFonts w:ascii="Times New Roman" w:cs="Times New Roman" w:eastAsia="Times New Roman" w:hAnsi="Times New Roman"/>
        </w:rPr>
        <w:t xml:space="preserve">Monthly Weather Review</w:t>
      </w:r>
      <w:r>
        <w:rPr>
          <w:sz w:val="24"/>
          <w:szCs w:val="24"/>
          <w:rFonts w:ascii="Times New Roman" w:cs="Times New Roman" w:eastAsia="Times New Roman" w:hAnsi="Times New Roman"/>
        </w:rPr>
        <w:t xml:space="preserve">, Vol. 78, No. 1, pp. 1 – 3.</w:t>
      </w:r>
    </w:p>
    <w:p>
      <w:pPr>
        <w:spacing w:line="360" w:after="120"/>
        <w:ind w:left="567" w:hanging="567"/>
        <w:jc w:val="left"/>
      </w:pPr>
      <w:r>
        <w:rPr>
          <w:sz w:val="24"/>
          <w:szCs w:val="24"/>
          <w:rFonts w:ascii="Times New Roman" w:cs="Times New Roman" w:eastAsia="Times New Roman" w:hAnsi="Times New Roman"/>
        </w:rPr>
        <w:t xml:space="preserve">Cameron, A.C., Gelbach, J.B. and Miller, D.L. (2008). Bootstrap-Based Improvements for Inference with Clustered Errors. </w:t>
      </w:r>
      <w:r>
        <w:rPr>
          <w:i/>
          <w:iCs/>
          <w:sz w:val="24"/>
          <w:szCs w:val="24"/>
          <w:rFonts w:ascii="Times New Roman" w:cs="Times New Roman" w:eastAsia="Times New Roman" w:hAnsi="Times New Roman"/>
        </w:rPr>
        <w:t xml:space="preserve">Review of Economics and Statistics</w:t>
      </w:r>
      <w:r>
        <w:rPr>
          <w:sz w:val="24"/>
          <w:szCs w:val="24"/>
          <w:rFonts w:ascii="Times New Roman" w:cs="Times New Roman" w:eastAsia="Times New Roman" w:hAnsi="Times New Roman"/>
        </w:rPr>
        <w:t xml:space="preserve">, Vol. 90, No. 3, pp. 414 – 427.</w:t>
      </w:r>
    </w:p>
    <w:p>
      <w:pPr>
        <w:spacing w:line="360" w:after="120"/>
        <w:ind w:left="567" w:hanging="567"/>
        <w:jc w:val="left"/>
      </w:pPr>
      <w:r>
        <w:rPr>
          <w:sz w:val="24"/>
          <w:szCs w:val="24"/>
          <w:rFonts w:ascii="Times New Roman" w:cs="Times New Roman" w:eastAsia="Times New Roman" w:hAnsi="Times New Roman"/>
        </w:rPr>
        <w:t xml:space="preserve">Friedman, J.H. (2001). Greedy Function Approximation: A Gradient Boosting Machine. </w:t>
      </w:r>
      <w:r>
        <w:rPr>
          <w:i/>
          <w:iCs/>
          <w:sz w:val="24"/>
          <w:szCs w:val="24"/>
          <w:rFonts w:ascii="Times New Roman" w:cs="Times New Roman" w:eastAsia="Times New Roman" w:hAnsi="Times New Roman"/>
        </w:rPr>
        <w:t xml:space="preserve">Annals of Statistics</w:t>
      </w:r>
      <w:r>
        <w:rPr>
          <w:sz w:val="24"/>
          <w:szCs w:val="24"/>
          <w:rFonts w:ascii="Times New Roman" w:cs="Times New Roman" w:eastAsia="Times New Roman" w:hAnsi="Times New Roman"/>
        </w:rPr>
        <w:t xml:space="preserve">, Vol. 29, No. 5, pp. 1189 – 1232.</w:t>
      </w:r>
    </w:p>
    <w:p>
      <w:pPr>
        <w:spacing w:line="360" w:after="120"/>
        <w:ind w:left="567" w:hanging="567"/>
        <w:jc w:val="left"/>
      </w:pPr>
      <w:r>
        <w:rPr>
          <w:sz w:val="24"/>
          <w:szCs w:val="24"/>
          <w:rFonts w:ascii="Times New Roman" w:cs="Times New Roman" w:eastAsia="Times New Roman" w:hAnsi="Times New Roman"/>
        </w:rPr>
        <w:t xml:space="preserve">Gneiting, T. and Raftery, A.E. (2007). Strictly Proper Scoring Rules, Prediction, and Estimation. </w:t>
      </w:r>
      <w:r>
        <w:rPr>
          <w:i/>
          <w:iCs/>
          <w:sz w:val="24"/>
          <w:szCs w:val="24"/>
          <w:rFonts w:ascii="Times New Roman" w:cs="Times New Roman" w:eastAsia="Times New Roman" w:hAnsi="Times New Roman"/>
        </w:rPr>
        <w:t xml:space="preserve">Journal of the American Statistical Association</w:t>
      </w:r>
      <w:r>
        <w:rPr>
          <w:sz w:val="24"/>
          <w:szCs w:val="24"/>
          <w:rFonts w:ascii="Times New Roman" w:cs="Times New Roman" w:eastAsia="Times New Roman" w:hAnsi="Times New Roman"/>
        </w:rPr>
        <w:t xml:space="preserve">, Vol. 102, No. 477, pp. 359 – 378.</w:t>
      </w:r>
    </w:p>
    <w:p>
      <w:pPr>
        <w:spacing w:line="360" w:after="120"/>
        <w:ind w:left="567" w:hanging="567"/>
        <w:jc w:val="left"/>
      </w:pPr>
      <w:r>
        <w:rPr>
          <w:sz w:val="24"/>
          <w:szCs w:val="24"/>
          <w:rFonts w:ascii="Times New Roman" w:cs="Times New Roman" w:eastAsia="Times New Roman" w:hAnsi="Times New Roman"/>
        </w:rPr>
        <w:t xml:space="preserve">Hasbrouck, J. (2007). </w:t>
      </w:r>
      <w:r>
        <w:rPr>
          <w:i/>
          <w:iCs/>
          <w:sz w:val="24"/>
          <w:szCs w:val="24"/>
          <w:rFonts w:ascii="Times New Roman" w:cs="Times New Roman" w:eastAsia="Times New Roman" w:hAnsi="Times New Roman"/>
        </w:rPr>
        <w:t xml:space="preserve">Empirical Market Microstructure: The Institutions, Economics, and Econometrics of Securities Trading.</w:t>
      </w:r>
      <w:r>
        <w:rPr>
          <w:sz w:val="24"/>
          <w:szCs w:val="24"/>
          <w:rFonts w:ascii="Times New Roman" w:cs="Times New Roman" w:eastAsia="Times New Roman" w:hAnsi="Times New Roman"/>
        </w:rPr>
        <w:t xml:space="preserve"> Oxford University Press, New York, 2007.</w:t>
      </w:r>
    </w:p>
    <w:p>
      <w:pPr>
        <w:spacing w:line="360" w:after="120"/>
        <w:ind w:left="567" w:hanging="567"/>
        <w:jc w:val="left"/>
      </w:pPr>
      <w:r>
        <w:rPr>
          <w:sz w:val="24"/>
          <w:szCs w:val="24"/>
          <w:rFonts w:ascii="Times New Roman" w:cs="Times New Roman" w:eastAsia="Times New Roman" w:hAnsi="Times New Roman"/>
        </w:rPr>
        <w:t xml:space="preserve">Kaufman, S., Rosset, S., Perlich, C. and Stitelman, O. (2012). Leakage in Data Mining: Formulation, Detection, and Avoidance. </w:t>
      </w:r>
      <w:r>
        <w:rPr>
          <w:i/>
          <w:iCs/>
          <w:sz w:val="24"/>
          <w:szCs w:val="24"/>
          <w:rFonts w:ascii="Times New Roman" w:cs="Times New Roman" w:eastAsia="Times New Roman" w:hAnsi="Times New Roman"/>
        </w:rPr>
        <w:t xml:space="preserve">ACM Transactions on Knowledge Discovery from Data</w:t>
      </w:r>
      <w:r>
        <w:rPr>
          <w:sz w:val="24"/>
          <w:szCs w:val="24"/>
          <w:rFonts w:ascii="Times New Roman" w:cs="Times New Roman" w:eastAsia="Times New Roman" w:hAnsi="Times New Roman"/>
        </w:rPr>
        <w:t xml:space="preserve">, Vol. 6, No. 4, Article 15.</w:t>
      </w:r>
    </w:p>
    <w:p>
      <w:pPr>
        <w:spacing w:line="360" w:after="120"/>
        <w:ind w:left="567" w:hanging="567"/>
        <w:jc w:val="left"/>
      </w:pPr>
      <w:r>
        <w:rPr>
          <w:sz w:val="24"/>
          <w:szCs w:val="24"/>
          <w:rFonts w:ascii="Times New Roman" w:cs="Times New Roman" w:eastAsia="Times New Roman" w:hAnsi="Times New Roman"/>
        </w:rPr>
        <w:t xml:space="preserve">Ke, G., Meng, Q., Finley, T., Wang, T., Chen, W., Ma, W., Ye, Q. and Liu, T.-Y. (2017). LightGBM: A Highly Efficient Gradient Boosting Decision Tree. In </w:t>
      </w:r>
      <w:r>
        <w:rPr>
          <w:i/>
          <w:iCs/>
          <w:sz w:val="24"/>
          <w:szCs w:val="24"/>
          <w:rFonts w:ascii="Times New Roman" w:cs="Times New Roman" w:eastAsia="Times New Roman" w:hAnsi="Times New Roman"/>
        </w:rPr>
        <w:t xml:space="preserve">Advances in Neural Information Processing Systems 30</w:t>
      </w:r>
      <w:r>
        <w:rPr>
          <w:sz w:val="24"/>
          <w:szCs w:val="24"/>
          <w:rFonts w:ascii="Times New Roman" w:cs="Times New Roman" w:eastAsia="Times New Roman" w:hAnsi="Times New Roman"/>
        </w:rPr>
        <w:t xml:space="preserve"> (Long Beach, California, December 4 – 9, 2017), pp. 3146 – 3154.</w:t>
      </w:r>
    </w:p>
    <w:p>
      <w:pPr>
        <w:spacing w:line="360" w:after="120"/>
        <w:ind w:left="567" w:hanging="567"/>
        <w:jc w:val="left"/>
      </w:pPr>
      <w:r>
        <w:rPr>
          <w:sz w:val="24"/>
          <w:szCs w:val="24"/>
          <w:rFonts w:ascii="Times New Roman" w:cs="Times New Roman" w:eastAsia="Times New Roman" w:hAnsi="Times New Roman"/>
        </w:rPr>
        <w:t xml:space="preserve">Künsch, H.R. (1989). The Jackknife and the Bootstrap for General Stationary Observations. </w:t>
      </w:r>
      <w:r>
        <w:rPr>
          <w:i/>
          <w:iCs/>
          <w:sz w:val="24"/>
          <w:szCs w:val="24"/>
          <w:rFonts w:ascii="Times New Roman" w:cs="Times New Roman" w:eastAsia="Times New Roman" w:hAnsi="Times New Roman"/>
        </w:rPr>
        <w:t xml:space="preserve">Annals of Statistics</w:t>
      </w:r>
      <w:r>
        <w:rPr>
          <w:sz w:val="24"/>
          <w:szCs w:val="24"/>
          <w:rFonts w:ascii="Times New Roman" w:cs="Times New Roman" w:eastAsia="Times New Roman" w:hAnsi="Times New Roman"/>
        </w:rPr>
        <w:t xml:space="preserve">, Vol. 17, No. 3, pp. 1217 – 1241.</w:t>
      </w:r>
    </w:p>
    <w:p>
      <w:pPr>
        <w:spacing w:line="360" w:after="120"/>
        <w:ind w:left="567" w:hanging="567"/>
        <w:jc w:val="left"/>
      </w:pPr>
      <w:r>
        <w:rPr>
          <w:sz w:val="24"/>
          <w:szCs w:val="24"/>
          <w:rFonts w:ascii="Times New Roman" w:cs="Times New Roman" w:eastAsia="Times New Roman" w:hAnsi="Times New Roman"/>
        </w:rPr>
        <w:t xml:space="preserve">López de Prado, M. (2018). </w:t>
      </w:r>
      <w:r>
        <w:rPr>
          <w:i/>
          <w:iCs/>
          <w:sz w:val="24"/>
          <w:szCs w:val="24"/>
          <w:rFonts w:ascii="Times New Roman" w:cs="Times New Roman" w:eastAsia="Times New Roman" w:hAnsi="Times New Roman"/>
        </w:rPr>
        <w:t xml:space="preserve">Advances in Financial Machine Learning.</w:t>
      </w:r>
      <w:r>
        <w:rPr>
          <w:sz w:val="24"/>
          <w:szCs w:val="24"/>
          <w:rFonts w:ascii="Times New Roman" w:cs="Times New Roman" w:eastAsia="Times New Roman" w:hAnsi="Times New Roman"/>
        </w:rPr>
        <w:t xml:space="preserve"> John Wiley &amp; Sons, Hoboken, New Jersey, 2018.</w:t>
      </w:r>
    </w:p>
    <w:p>
      <w:pPr>
        <w:spacing w:line="360" w:after="120"/>
        <w:ind w:left="567" w:hanging="567"/>
        <w:jc w:val="left"/>
      </w:pPr>
      <w:r>
        <w:rPr>
          <w:sz w:val="24"/>
          <w:szCs w:val="24"/>
          <w:rFonts w:ascii="Times New Roman" w:cs="Times New Roman" w:eastAsia="Times New Roman" w:hAnsi="Times New Roman"/>
        </w:rPr>
        <w:t xml:space="preserve">Mills, D., Martin, J., Burbank, J. and Kasch, W. (2010). Network Time Protocol Version 4: Protocol and Algorithms Specification. RFC 5905, Internet Engineering Task Force, June 2010.</w:t>
      </w:r>
    </w:p>
    <w:p>
      <w:pPr>
        <w:spacing w:line="360" w:after="120"/>
        <w:ind w:left="567" w:hanging="567"/>
        <w:jc w:val="left"/>
      </w:pPr>
      <w:r>
        <w:rPr>
          <w:sz w:val="24"/>
          <w:szCs w:val="24"/>
          <w:rFonts w:ascii="Times New Roman" w:cs="Times New Roman" w:eastAsia="Times New Roman" w:hAnsi="Times New Roman"/>
        </w:rPr>
        <w:t xml:space="preserve">Niculescu-Mizil, A. and Caruana, R. (2005). Predicting Good Probabilities with Supervised Learning. In </w:t>
      </w:r>
      <w:r>
        <w:rPr>
          <w:i/>
          <w:iCs/>
          <w:sz w:val="24"/>
          <w:szCs w:val="24"/>
          <w:rFonts w:ascii="Times New Roman" w:cs="Times New Roman" w:eastAsia="Times New Roman" w:hAnsi="Times New Roman"/>
        </w:rPr>
        <w:t xml:space="preserve">Proceedings of the 22nd International Conference on Machine Learning</w:t>
      </w:r>
      <w:r>
        <w:rPr>
          <w:sz w:val="24"/>
          <w:szCs w:val="24"/>
          <w:rFonts w:ascii="Times New Roman" w:cs="Times New Roman" w:eastAsia="Times New Roman" w:hAnsi="Times New Roman"/>
        </w:rPr>
        <w:t xml:space="preserve"> (Bonn, Germany, August 7 – 11, 2005). ACM, New York, 2005, pp. 625 – 632.</w:t>
      </w:r>
    </w:p>
    <w:p>
      <w:pPr>
        <w:spacing w:line="360" w:after="120"/>
        <w:ind w:left="567" w:hanging="567"/>
        <w:jc w:val="left"/>
      </w:pPr>
      <w:r>
        <w:rPr>
          <w:sz w:val="24"/>
          <w:szCs w:val="24"/>
          <w:rFonts w:ascii="Times New Roman" w:cs="Times New Roman" w:eastAsia="Times New Roman" w:hAnsi="Times New Roman"/>
        </w:rPr>
        <w:t xml:space="preserve">O’Hara, M. (1995). </w:t>
      </w:r>
      <w:r>
        <w:rPr>
          <w:i/>
          <w:iCs/>
          <w:sz w:val="24"/>
          <w:szCs w:val="24"/>
          <w:rFonts w:ascii="Times New Roman" w:cs="Times New Roman" w:eastAsia="Times New Roman" w:hAnsi="Times New Roman"/>
        </w:rPr>
        <w:t xml:space="preserve">Market Microstructure Theory.</w:t>
      </w:r>
      <w:r>
        <w:rPr>
          <w:sz w:val="24"/>
          <w:szCs w:val="24"/>
          <w:rFonts w:ascii="Times New Roman" w:cs="Times New Roman" w:eastAsia="Times New Roman" w:hAnsi="Times New Roman"/>
        </w:rPr>
        <w:t xml:space="preserve"> Blackwell Publishers, Cambridge, Massachusetts, 1995.</w:t>
      </w:r>
    </w:p>
    <w:p>
      <w:pPr>
        <w:spacing w:line="360" w:after="120"/>
        <w:ind w:left="567" w:hanging="567"/>
        <w:jc w:val="left"/>
      </w:pPr>
      <w:r>
        <w:rPr>
          <w:sz w:val="24"/>
          <w:szCs w:val="24"/>
          <w:rFonts w:ascii="Times New Roman" w:cs="Times New Roman" w:eastAsia="Times New Roman" w:hAnsi="Times New Roman"/>
        </w:rPr>
        <w:t xml:space="preserve">Page, L. and Clemen, R.T. (2013). Do Prediction Markets Produce Well-Calibrated Probability Forecasts? </w:t>
      </w:r>
      <w:r>
        <w:rPr>
          <w:i/>
          <w:iCs/>
          <w:sz w:val="24"/>
          <w:szCs w:val="24"/>
          <w:rFonts w:ascii="Times New Roman" w:cs="Times New Roman" w:eastAsia="Times New Roman" w:hAnsi="Times New Roman"/>
        </w:rPr>
        <w:t xml:space="preserve">The Economic Journal</w:t>
      </w:r>
      <w:r>
        <w:rPr>
          <w:sz w:val="24"/>
          <w:szCs w:val="24"/>
          <w:rFonts w:ascii="Times New Roman" w:cs="Times New Roman" w:eastAsia="Times New Roman" w:hAnsi="Times New Roman"/>
        </w:rPr>
        <w:t xml:space="preserve">, Vol. 123, No. 568, pp. 491 – 513.</w:t>
      </w:r>
    </w:p>
    <w:p>
      <w:pPr>
        <w:spacing w:line="360" w:after="120"/>
        <w:ind w:left="567" w:hanging="567"/>
        <w:jc w:val="left"/>
      </w:pPr>
      <w:r>
        <w:rPr>
          <w:sz w:val="24"/>
          <w:szCs w:val="24"/>
          <w:rFonts w:ascii="Times New Roman" w:cs="Times New Roman" w:eastAsia="Times New Roman" w:hAnsi="Times New Roman"/>
        </w:rPr>
        <w:t xml:space="preserve">Pedregosa, F., Varoquaux, G., Gramfort, A., Michel, V., Thirion, B., Grisel, O., Blondel, M., Prettenhofer, P., Weiss, R., Dubourg, V., Vanderplas, J., Passos, A., Cournapeau, D., Brucher, M., Perrot, M. and Duchesnay, E. (2011). Scikit-learn: Machine Learning in Python. </w:t>
      </w:r>
      <w:r>
        <w:rPr>
          <w:i/>
          <w:iCs/>
          <w:sz w:val="24"/>
          <w:szCs w:val="24"/>
          <w:rFonts w:ascii="Times New Roman" w:cs="Times New Roman" w:eastAsia="Times New Roman" w:hAnsi="Times New Roman"/>
        </w:rPr>
        <w:t xml:space="preserve">Journal of Machine Learning Research</w:t>
      </w:r>
      <w:r>
        <w:rPr>
          <w:sz w:val="24"/>
          <w:szCs w:val="24"/>
          <w:rFonts w:ascii="Times New Roman" w:cs="Times New Roman" w:eastAsia="Times New Roman" w:hAnsi="Times New Roman"/>
        </w:rPr>
        <w:t xml:space="preserve">, Vol. 12, pp. 2825 – 2830.</w:t>
      </w:r>
    </w:p>
    <w:p>
      <w:pPr>
        <w:spacing w:line="360" w:after="120"/>
        <w:ind w:left="567" w:hanging="567"/>
        <w:jc w:val="left"/>
      </w:pPr>
      <w:r>
        <w:rPr>
          <w:sz w:val="24"/>
          <w:szCs w:val="24"/>
          <w:rFonts w:ascii="Times New Roman" w:cs="Times New Roman" w:eastAsia="Times New Roman" w:hAnsi="Times New Roman"/>
        </w:rPr>
        <w:t xml:space="preserve">Polymarket. (2026). Polymarket CLOB and Gamma API Documentation. Online documentation, accessed October 2026.</w:t>
      </w:r>
    </w:p>
    <w:p>
      <w:pPr>
        <w:spacing w:line="360" w:after="120"/>
        <w:ind w:left="567" w:hanging="567"/>
        <w:jc w:val="left"/>
      </w:pPr>
      <w:r>
        <w:rPr>
          <w:sz w:val="24"/>
          <w:szCs w:val="24"/>
          <w:rFonts w:ascii="Times New Roman" w:cs="Times New Roman" w:eastAsia="Times New Roman" w:hAnsi="Times New Roman"/>
        </w:rPr>
        <w:t xml:space="preserve">Tetlock, P.C. (2007). Giving Content to Investor Sentiment: The Role of Media in the Stock Market. </w:t>
      </w:r>
      <w:r>
        <w:rPr>
          <w:i/>
          <w:iCs/>
          <w:sz w:val="24"/>
          <w:szCs w:val="24"/>
          <w:rFonts w:ascii="Times New Roman" w:cs="Times New Roman" w:eastAsia="Times New Roman" w:hAnsi="Times New Roman"/>
        </w:rPr>
        <w:t xml:space="preserve">Journal of Finance</w:t>
      </w:r>
      <w:r>
        <w:rPr>
          <w:sz w:val="24"/>
          <w:szCs w:val="24"/>
          <w:rFonts w:ascii="Times New Roman" w:cs="Times New Roman" w:eastAsia="Times New Roman" w:hAnsi="Times New Roman"/>
        </w:rPr>
        <w:t xml:space="preserve">, Vol. 62, No. 3, pp. 1139 – 1168.</w:t>
      </w:r>
    </w:p>
    <w:p>
      <w:pPr>
        <w:spacing w:line="360" w:after="120"/>
        <w:ind w:left="567" w:hanging="567"/>
        <w:jc w:val="left"/>
      </w:pPr>
      <w:r>
        <w:rPr>
          <w:sz w:val="24"/>
          <w:szCs w:val="24"/>
          <w:rFonts w:ascii="Times New Roman" w:cs="Times New Roman" w:eastAsia="Times New Roman" w:hAnsi="Times New Roman"/>
        </w:rPr>
        <w:t xml:space="preserve">Wolfers, J. and Zitzewitz, E. (2004). Prediction Markets. </w:t>
      </w:r>
      <w:r>
        <w:rPr>
          <w:i/>
          <w:iCs/>
          <w:sz w:val="24"/>
          <w:szCs w:val="24"/>
          <w:rFonts w:ascii="Times New Roman" w:cs="Times New Roman" w:eastAsia="Times New Roman" w:hAnsi="Times New Roman"/>
        </w:rPr>
        <w:t xml:space="preserve">Journal of Economic Perspectives</w:t>
      </w:r>
      <w:r>
        <w:rPr>
          <w:sz w:val="24"/>
          <w:szCs w:val="24"/>
          <w:rFonts w:ascii="Times New Roman" w:cs="Times New Roman" w:eastAsia="Times New Roman" w:hAnsi="Times New Roman"/>
        </w:rPr>
        <w:t xml:space="preserve">, Vol. 18, No. 2, pp. 107 – 126.</w:t>
      </w:r>
    </w:p>
    <w:p>
      <w:pPr>
        <w:sectPr>
          <w:footerReference w:type="default" r:id="rId7"/>
          <w:pgSz w:w="11906" w:h="16838" w:orient="portrait"/>
          <w:pgMar w:top="1440" w:right="1440" w:bottom="1440" w:left="1440" w:header="708" w:footer="708" w:gutter="0"/>
          <w:pgNumType w:start="1" w:fmt="decimal"/>
          <w:docGrid w:linePitch="360"/>
        </w:sectPr>
      </w:pPr>
    </w:p>
    <w:p>
      <w:pPr>
        <w:pStyle w:val="Heading1"/>
        <w:spacing w:after="200"/>
      </w:pPr>
      <w:r>
        <w:rPr>
          <w:b/>
          <w:bCs/>
          <w:color w:val="000000"/>
          <w:sz w:val="28"/>
          <w:szCs w:val="28"/>
          <w:rFonts w:ascii="Times New Roman" w:cs="Times New Roman" w:eastAsia="Times New Roman" w:hAnsi="Times New Roman"/>
        </w:rPr>
        <w:t xml:space="preserve">Appendix A – Feature Definitions</w:t>
      </w:r>
    </w:p>
    <w:p>
      <w:pPr>
        <w:spacing w:line="240" w:after="100"/>
        <w:jc w:val="both"/>
      </w:pPr>
      <w:r>
        <w:rPr>
          <w:sz w:val="22"/>
          <w:szCs w:val="22"/>
          <w:rFonts w:ascii="Times New Roman" w:cs="Times New Roman" w:eastAsia="Times New Roman" w:hAnsi="Times New Roman"/>
        </w:rPr>
        <w:t xml:space="preserve">All features are computed from YES-token quotes received at or before the decision time </w:t>
      </w:r>
      <w:r>
        <w:rPr>
          <w:i/>
          <w:iCs/>
          <w:sz w:val="22"/>
          <w:szCs w:val="22"/>
          <w:rFonts w:ascii="Times New Roman" w:cs="Times New Roman" w:eastAsia="Times New Roman" w:hAnsi="Times New Roman"/>
        </w:rPr>
        <w:t xml:space="preserve">t</w:t>
      </w:r>
      <w:r>
        <w:rPr>
          <w:sz w:val="22"/>
          <w:szCs w:val="22"/>
          <w:rFonts w:ascii="Times New Roman" w:cs="Times New Roman" w:eastAsia="Times New Roman" w:hAnsi="Times New Roman"/>
        </w:rPr>
        <w:t xml:space="preserve">. A quote state is valid when bid &lt; ask, both lie strictly inside (0, 1), and the spread is at most 0.05. Missing lag values are encoded as zero together with a missing flag.</w:t>
      </w:r>
    </w:p>
    <w:p>
      <w:pPr>
        <w:keepNext/>
        <w:spacing w:before="60" w:after="200"/>
        <w:jc w:val="center"/>
      </w:pPr>
      <w:r>
        <w:rPr>
          <w:b/>
          <w:bCs/>
          <w:sz w:val="22"/>
          <w:szCs w:val="22"/>
          <w:rFonts w:ascii="Times New Roman" w:cs="Times New Roman" w:eastAsia="Times New Roman" w:hAnsi="Times New Roman"/>
        </w:rPr>
        <w:t xml:space="preserve">Table 5. </w:t>
      </w:r>
      <w:r>
        <w:rPr>
          <w:sz w:val="22"/>
          <w:szCs w:val="22"/>
          <w:rFonts w:ascii="Times New Roman" w:cs="Times New Roman" w:eastAsia="Times New Roman" w:hAnsi="Times New Roman"/>
        </w:rPr>
        <w:t xml:space="preserve">The 18 features of row_hgb7. Features marked * are also used by the 14-feature V03 live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Feature</w:t>
            </w:r>
          </w:p>
        </w:tc>
        <w:tc>
          <w:tcPr>
            <w:tcW w:type="dxa" w:w="577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Definition</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midpoint*</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(best bid + best ask) / 2 of the current valid quote</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logit_midpoint*</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ln(m / (1 − m)) of the midpoint</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spread*</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best ask − best bid</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source_age</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seconds since the venue timestamp of the current quote</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receive_age</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seconds since the receive timestamp of the current quote</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hour_sin</w:t>
            </w:r>
            <w:r>
              <w:rPr>
                <w:i/>
                <w:iCs/>
                <w:sz w:val="20"/>
                <w:szCs w:val="20"/>
                <w:rFonts w:ascii="Times New Roman" w:cs="Times New Roman" w:eastAsia="Times New Roman" w:hAnsi="Times New Roman"/>
              </w:rPr>
              <w:t xml:space="preserve">, hour_cos</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UTC hour of day on the unit circle</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log_valid_updates30</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log(1 + number of valid quote states in the last 30 min)</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valid_state_fraction30</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fraction of the last 30 min covered by valid quote states</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delta5</w:t>
            </w:r>
            <w:r>
              <w:rPr>
                <w:i/>
                <w:iCs/>
                <w:sz w:val="20"/>
                <w:szCs w:val="20"/>
                <w:rFonts w:ascii="Times New Roman" w:cs="Times New Roman" w:eastAsia="Times New Roman" w:hAnsi="Times New Roman"/>
              </w:rPr>
              <w:t xml:space="preserve">, abs_delta5</w:t>
            </w:r>
            <w:r>
              <w:rPr>
                <w:sz w:val="20"/>
                <w:szCs w:val="20"/>
                <w:rFonts w:ascii="Times New Roman" w:cs="Times New Roman" w:eastAsia="Times New Roman" w:hAnsi="Times New Roman"/>
              </w:rPr>
              <w:t xml:space="preserve">, missing5*</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signed and absolute midpoint change since t − 5 min; flag if unavailable</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delta15</w:t>
            </w:r>
            <w:r>
              <w:rPr>
                <w:i/>
                <w:iCs/>
                <w:sz w:val="20"/>
                <w:szCs w:val="20"/>
                <w:rFonts w:ascii="Times New Roman" w:cs="Times New Roman" w:eastAsia="Times New Roman" w:hAnsi="Times New Roman"/>
              </w:rPr>
              <w:t xml:space="preserve">, abs_delta15</w:t>
            </w:r>
            <w:r>
              <w:rPr>
                <w:sz w:val="20"/>
                <w:szCs w:val="20"/>
                <w:rFonts w:ascii="Times New Roman" w:cs="Times New Roman" w:eastAsia="Times New Roman" w:hAnsi="Times New Roman"/>
              </w:rPr>
              <w:t xml:space="preserve">, missing15*</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same over 15 minutes</w:t>
            </w:r>
          </w:p>
        </w:tc>
      </w:tr>
      <w:tr>
        <w:trPr>
          <w:cantSplit/>
        </w:trPr>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delta30</w:t>
            </w:r>
            <w:r>
              <w:rPr>
                <w:i/>
                <w:iCs/>
                <w:sz w:val="20"/>
                <w:szCs w:val="20"/>
                <w:rFonts w:ascii="Times New Roman" w:cs="Times New Roman" w:eastAsia="Times New Roman" w:hAnsi="Times New Roman"/>
              </w:rPr>
              <w:t xml:space="preserve">, abs_delta30</w:t>
            </w:r>
            <w:r>
              <w:rPr>
                <w:sz w:val="20"/>
                <w:szCs w:val="20"/>
                <w:rFonts w:ascii="Times New Roman" w:cs="Times New Roman" w:eastAsia="Times New Roman" w:hAnsi="Times New Roman"/>
              </w:rPr>
              <w:t xml:space="preserve">, missing30*</w:t>
            </w:r>
          </w:p>
        </w:tc>
        <w:tc>
          <w:tcPr>
            <w:tcW w:type="dxa" w:w="577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same over 30 minutes</w:t>
            </w:r>
          </w:p>
        </w:tc>
      </w:tr>
    </w:tbl>
    <w:p>
      <w:pPr>
        <w:spacing w:after="120"/>
      </w:pPr>
    </w:p>
    <w:p>
      <w:pPr>
        <w:spacing w:line="240" w:after="100"/>
        <w:jc w:val="both"/>
      </w:pPr>
      <w:r>
        <w:rPr>
          <w:sz w:val="22"/>
          <w:szCs w:val="22"/>
          <w:rFonts w:ascii="Times New Roman" w:cs="Times New Roman" w:eastAsia="Times New Roman" w:hAnsi="Times New Roman"/>
        </w:rPr>
        <w:t xml:space="preserve">The activity logistic baseline uses midpoint, source age, log_valid_updates30, abs_delta5, missing5, abs_delta15, missing15, abs_delta30 and missing30. All logistic models standardise inputs and use L2 regularisation with C = 0.1.</w:t>
      </w:r>
    </w:p>
    <w:p>
      <w:pPr>
        <w:sectPr>
          <w:footerReference w:type="default" r:id="rId8"/>
          <w:pgSz w:w="11906" w:h="16838" w:orient="portrait"/>
          <w:pgMar w:top="1440" w:right="1440" w:bottom="1440" w:left="1440" w:header="708" w:footer="708" w:gutter="0"/>
          <w:pgNumType w:start="1" w:fmt="decimal"/>
          <w:docGrid w:linePitch="360"/>
        </w:sectPr>
      </w:pPr>
    </w:p>
    <w:p>
      <w:pPr>
        <w:pStyle w:val="Heading1"/>
        <w:spacing w:after="200"/>
      </w:pPr>
      <w:r>
        <w:rPr>
          <w:b/>
          <w:bCs/>
          <w:color w:val="000000"/>
          <w:sz w:val="28"/>
          <w:szCs w:val="28"/>
          <w:rFonts w:ascii="Times New Roman" w:cs="Times New Roman" w:eastAsia="Times New Roman" w:hAnsi="Times New Roman"/>
        </w:rPr>
        <w:t xml:space="preserve">Appendix B – Protocol Deviations and Failed Attempts</w:t>
      </w:r>
    </w:p>
    <w:p>
      <w:pPr>
        <w:spacing w:line="240" w:after="100"/>
        <w:jc w:val="both"/>
      </w:pPr>
      <w:r>
        <w:rPr>
          <w:sz w:val="22"/>
          <w:szCs w:val="22"/>
          <w:rFonts w:ascii="Times New Roman" w:cs="Times New Roman" w:eastAsia="Times New Roman" w:hAnsi="Times New Roman"/>
        </w:rPr>
        <w:t xml:space="preserve">Every item below is preserved in the repository with its original outputs. None was rescued by changing a threshold after outcomes were seen.</w:t>
      </w:r>
    </w:p>
    <w:p>
      <w:pPr>
        <w:keepNext/>
        <w:spacing w:before="60" w:after="200"/>
        <w:jc w:val="center"/>
      </w:pPr>
      <w:r>
        <w:rPr>
          <w:b/>
          <w:bCs/>
          <w:sz w:val="22"/>
          <w:szCs w:val="22"/>
          <w:rFonts w:ascii="Times New Roman" w:cs="Times New Roman" w:eastAsia="Times New Roman" w:hAnsi="Times New Roman"/>
        </w:rPr>
        <w:t xml:space="preserve">Table 6. </w:t>
      </w:r>
      <w:r>
        <w:rPr>
          <w:sz w:val="22"/>
          <w:szCs w:val="22"/>
          <w:rFonts w:ascii="Times New Roman" w:cs="Times New Roman" w:eastAsia="Times New Roman" w:hAnsi="Times New Roman"/>
        </w:rPr>
        <w:t xml:space="preserve">Deviations, failures and superseded versions, in chronological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791"/>
        <w:gridCol w:w="3249"/>
      </w:tblGrid>
      <w:tr>
        <w:trPr>
          <w:tblHeader/>
        </w:trPr>
        <w:tc>
          <w:tcPr>
            <w:tcW w:type="dxa" w:w="1986"/>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Item</w:t>
            </w:r>
          </w:p>
        </w:tc>
        <w:tc>
          <w:tcPr>
            <w:tcW w:type="dxa" w:w="3791"/>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What happened</w:t>
            </w:r>
          </w:p>
        </w:tc>
        <w:tc>
          <w:tcPr>
            <w:tcW w:type="dxa" w:w="324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Handling</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V3 activity gate</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204,069 zero-count Kalshi rows; 19 markets missed activity minimum</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V3.1 removed exactly those 19, label-blind; V3 failure kept</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V3.1 holdout</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Builder printed positive count (26,381) before consumption receipt</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Disclosed; weights and formulas already frozen</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Exact-price forecasting</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Ridge 30.9% worse than persistence on MAE in a live audit</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Reported as negative; target changed</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V01 live runtime</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Readiness 0/16: host clock faults</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Frozen as failed; V02 built</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capture</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DNS outage failed 74 hours on both attempts</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Outcome-blind refetch to separate directory; disclosed</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V02 rehearsal 1, 2</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Startup crash; WebSocket logged before clock was valid</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Fixed with regression tests; archived</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V02 activation 1</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Memory about 317 MB/h and full rescans; 0 forecasts</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Superseded by bounded inputs (510/510 equivalent)</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V02 activation 2</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Thread race forked hash chain; 0 forecasts</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Single-writer journal; readiness re-run and passed</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V02 live, first grid</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Pre-loaded inputs not refreshed; 30 abstentions</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Fail-closed; not patched during the test</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V02 live, host stall</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Concurrent job caused swapping; 4 grids missed</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Heavy jobs deferred until close</w:t>
            </w:r>
          </w:p>
        </w:tc>
      </w:tr>
      <w:tr>
        <w:trPr>
          <w:cantSplit/>
        </w:trPr>
        <w:tc>
          <w:tcPr>
            <w:tcW w:type="dxa" w:w="1986"/>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15–28 cohort v1</w:t>
            </w:r>
          </w:p>
        </w:tc>
        <w:tc>
          <w:tcPr>
            <w:tcW w:type="dxa" w:w="3791"/>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Only 15/60 contracts passed the end-date rule</w:t>
            </w:r>
          </w:p>
        </w:tc>
        <w:tc>
          <w:tcPr>
            <w:tcW w:type="dxa" w:w="324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Superseded before any price read by v2 (21 contracts)</w:t>
            </w:r>
          </w:p>
        </w:tc>
      </w:tr>
    </w:tbl>
    <w:p>
      <w:pPr>
        <w:spacing w:after="120"/>
      </w:pP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00"/>
      </w:pPr>
      <w:r>
        <w:rPr>
          <w:b/>
          <w:bCs/>
          <w:color w:val="000000"/>
          <w:sz w:val="28"/>
          <w:szCs w:val="28"/>
          <w:rFonts w:ascii="Times New Roman" w:cs="Times New Roman" w:eastAsia="Times New Roman" w:hAnsi="Times New Roman"/>
        </w:rPr>
        <w:t xml:space="preserve">Appendix C – Reproducibility</w:t>
      </w:r>
    </w:p>
    <w:p>
      <w:pPr>
        <w:spacing w:line="240" w:after="100"/>
        <w:jc w:val="both"/>
      </w:pPr>
      <w:r>
        <w:rPr>
          <w:sz w:val="22"/>
          <w:szCs w:val="22"/>
          <w:rFonts w:ascii="Times New Roman" w:cs="Times New Roman" w:eastAsia="Times New Roman" w:hAnsi="Times New Roman"/>
        </w:rPr>
        <w:t xml:space="preserve">All code is in the EventX repository. Frozen releases live under eventx/release/, and results with their hash manifests under data/. The principal entry points are listed below (run from the repository root with the project virtual environment).</w:t>
      </w:r>
    </w:p>
    <w:p>
      <w:pPr>
        <w:keepNext/>
        <w:spacing w:before="60" w:after="200"/>
        <w:jc w:val="center"/>
      </w:pPr>
      <w:r>
        <w:rPr>
          <w:b/>
          <w:bCs/>
          <w:sz w:val="22"/>
          <w:szCs w:val="22"/>
          <w:rFonts w:ascii="Times New Roman" w:cs="Times New Roman" w:eastAsia="Times New Roman" w:hAnsi="Times New Roman"/>
        </w:rPr>
        <w:t xml:space="preserve">Table 7. </w:t>
      </w:r>
      <w:r>
        <w:rPr>
          <w:sz w:val="22"/>
          <w:szCs w:val="22"/>
          <w:rFonts w:ascii="Times New Roman" w:cs="Times New Roman" w:eastAsia="Times New Roman" w:hAnsi="Times New Roman"/>
        </w:rPr>
        <w:t xml:space="preserve">Principal scripts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left"/>
            </w:pPr>
            <w:r>
              <w:rPr>
                <w:b/>
                <w:bCs/>
                <w:sz w:val="20"/>
                <w:szCs w:val="20"/>
                <w:rFonts w:ascii="Times New Roman" w:cs="Times New Roman" w:eastAsia="Times New Roman" w:hAnsi="Times New Roman"/>
              </w:rPr>
              <w:t xml:space="preserve">Purpose</w:t>
            </w:r>
          </w:p>
        </w:tc>
        <w:tc>
          <w:tcPr>
            <w:tcW w:type="dxa" w:w="6499"/>
            <w:tcBorders>
              <w:top w:val="single" w:color="999999" w:sz="4"/>
              <w:left w:val="single" w:color="999999" w:sz="4"/>
              <w:bottom w:val="single" w:color="999999" w:sz="4"/>
              <w:right w:val="single" w:color="999999" w:sz="4"/>
            </w:tcBorders>
            <w:shd w:fill="E8E8E8" w:color="auto" w:val="clear"/>
            <w:tcMar>
              <w:top w:type="dxa" w:w="40"/>
              <w:left w:type="dxa" w:w="80"/>
              <w:bottom w:type="dxa" w:w="40"/>
              <w:right w:type="dxa" w:w="80"/>
            </w:tcMar>
          </w:tcPr>
          <w:p>
            <w:pPr>
              <w:jc w:val="center"/>
            </w:pPr>
            <w:r>
              <w:rPr>
                <w:b/>
                <w:bCs/>
                <w:sz w:val="20"/>
                <w:szCs w:val="20"/>
                <w:rFonts w:ascii="Times New Roman" w:cs="Times New Roman" w:eastAsia="Times New Roman" w:hAnsi="Times New Roman"/>
              </w:rPr>
              <w:t xml:space="preserve">Command or path</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1–7 test</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eventx.tasks.run_v7_june_replication_20261026</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8–14 test</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eventx.tasks.run_v7_new_identity_test_20261026 {select,capture,evaluate}</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V03 secondary</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eventx.tasks.evaluate_v7_new_identity_v03_20261026</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June 15–28 test</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eventx.tasks.run_v7_late_june_test_20261027_v2 {capture,evaluate}</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Category breakdown</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eventx.tasks.analyze_v7_category_breakdown_20261027</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Figures</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eventx.tasks.plot_v7_report_figures_20261027</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Live runtime health</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eventx.tasks.status_v7_forecast_runtime_20261026_v02</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Live evaluation (once)</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eventx.tasks.evaluate_v7_forecast_runtime_20261026_v02</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V4 close-out (once, in order)</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audit_v4_confirmatory_collection, consume_v4_confirmatory_holdout, prepare_v4_confirmatory_inputs, build_v4_confirmatory_examples, evaluate_v4_confirmatory</w:t>
            </w:r>
          </w:p>
        </w:tc>
      </w:tr>
      <w:tr>
        <w:trPr>
          <w:cantSplit/>
        </w:trPr>
        <w:tc>
          <w:tcPr>
            <w:tcW w:type="dxa" w:w="2527"/>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sz w:val="20"/>
                <w:szCs w:val="20"/>
                <w:rFonts w:ascii="Times New Roman" w:cs="Times New Roman" w:eastAsia="Times New Roman" w:hAnsi="Times New Roman"/>
              </w:rPr>
              <w:t xml:space="preserve">Runtime tests</w:t>
            </w:r>
          </w:p>
        </w:tc>
        <w:tc>
          <w:tcPr>
            <w:tcW w:type="dxa" w:w="6499"/>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sz w:val="20"/>
                <w:szCs w:val="20"/>
                <w:rFonts w:ascii="Times New Roman" w:cs="Times New Roman" w:eastAsia="Times New Roman" w:hAnsi="Times New Roman"/>
              </w:rPr>
              <w:t xml:space="preserve">python -m eventx.tasks.check_v7_forecast_runtime_20261026_v02 (32 tests)</w:t>
            </w:r>
          </w:p>
        </w:tc>
      </w:tr>
    </w:tbl>
    <w:p>
      <w:pPr>
        <w:spacing w:after="120"/>
      </w:pPr>
    </w:p>
    <w:sectPr>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A-</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B-</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C-</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7f22ec031c92817755852095760d82c17454d8bb.png"/><Relationship Id="rId12" Type="http://schemas.openxmlformats.org/officeDocument/2006/relationships/image" Target="media/42da7c3d6373a955b6a6189d54693206e8ca922e.png"/><Relationship Id="rId13" Type="http://schemas.openxmlformats.org/officeDocument/2006/relationships/image" Target="media/23a2f12cba835a87de8c732c0807c1c68a690059.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Leakage-Safe Forecasting of Prediction-Market Repricing: News Signals and a Replicated Quote-Change Forecaster</dc:title>
  <dc:creator>Zhu Rong</dc:creator>
  <cp:lastModifiedBy>Un-named</cp:lastModifiedBy>
  <cp:revision>1</cp:revision>
  <dcterms:created xsi:type="dcterms:W3CDTF">2026-10-27T04:40:45.535Z</dcterms:created>
  <dcterms:modified xsi:type="dcterms:W3CDTF">2026-10-27T04:40:45.536Z</dcterms:modified>
</cp:coreProperties>
</file>

<file path=docProps/custom.xml><?xml version="1.0" encoding="utf-8"?>
<Properties xmlns="http://schemas.openxmlformats.org/officeDocument/2006/custom-properties" xmlns:vt="http://schemas.openxmlformats.org/officeDocument/2006/docPropsVTypes"/>
</file>