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CEDBC" w14:textId="77777777" w:rsidR="00C82956" w:rsidRDefault="00C82956" w:rsidP="00DC2C98">
      <w:pPr>
        <w:spacing w:after="0" w:line="480" w:lineRule="auto"/>
        <w:rPr>
          <w:rFonts w:ascii="Times New Roman" w:hAnsi="Times New Roman" w:cs="Times New Roman"/>
          <w:sz w:val="24"/>
        </w:rPr>
      </w:pPr>
    </w:p>
    <w:p w14:paraId="21D061B5" w14:textId="77777777" w:rsidR="002D33D2" w:rsidRDefault="002D33D2" w:rsidP="00DC2C98">
      <w:pPr>
        <w:spacing w:after="0" w:line="480" w:lineRule="auto"/>
        <w:rPr>
          <w:rFonts w:ascii="Times New Roman" w:hAnsi="Times New Roman" w:cs="Times New Roman"/>
          <w:sz w:val="24"/>
        </w:rPr>
      </w:pPr>
    </w:p>
    <w:p w14:paraId="276E5E35" w14:textId="77777777" w:rsidR="002D33D2" w:rsidRDefault="002D33D2" w:rsidP="00DC2C98">
      <w:pPr>
        <w:spacing w:after="0" w:line="480" w:lineRule="auto"/>
        <w:rPr>
          <w:rFonts w:ascii="Times New Roman" w:hAnsi="Times New Roman" w:cs="Times New Roman"/>
          <w:sz w:val="24"/>
        </w:rPr>
      </w:pPr>
    </w:p>
    <w:p w14:paraId="6E38522F" w14:textId="77777777" w:rsidR="005054FD" w:rsidRDefault="002D33D2" w:rsidP="002D33D2">
      <w:pPr>
        <w:spacing w:after="0" w:line="480" w:lineRule="auto"/>
        <w:jc w:val="center"/>
        <w:rPr>
          <w:rFonts w:ascii="Times New Roman" w:hAnsi="Times New Roman" w:cs="Times New Roman"/>
          <w:b/>
          <w:bCs/>
          <w:sz w:val="24"/>
        </w:rPr>
      </w:pPr>
      <w:r w:rsidRPr="002D33D2">
        <w:rPr>
          <w:rFonts w:ascii="Times New Roman" w:hAnsi="Times New Roman" w:cs="Times New Roman" w:hint="eastAsia"/>
          <w:b/>
          <w:bCs/>
          <w:sz w:val="24"/>
        </w:rPr>
        <w:t>T</w:t>
      </w:r>
      <w:r w:rsidRPr="002D33D2">
        <w:rPr>
          <w:rFonts w:ascii="Times New Roman" w:hAnsi="Times New Roman" w:cs="Times New Roman" w:hint="eastAsia"/>
          <w:b/>
          <w:bCs/>
          <w:sz w:val="24"/>
        </w:rPr>
        <w:t xml:space="preserve">he Role of Health Communication in Patient Empowerment </w:t>
      </w:r>
    </w:p>
    <w:p w14:paraId="18C2CEEE" w14:textId="49662222" w:rsidR="002D33D2" w:rsidRPr="002D33D2" w:rsidRDefault="002D33D2" w:rsidP="002D33D2">
      <w:pPr>
        <w:spacing w:after="0" w:line="480" w:lineRule="auto"/>
        <w:jc w:val="center"/>
        <w:rPr>
          <w:rFonts w:ascii="Times New Roman" w:hAnsi="Times New Roman" w:cs="Times New Roman"/>
          <w:b/>
          <w:bCs/>
          <w:sz w:val="24"/>
        </w:rPr>
      </w:pPr>
      <w:r w:rsidRPr="002D33D2">
        <w:rPr>
          <w:rFonts w:ascii="Times New Roman" w:hAnsi="Times New Roman" w:cs="Times New Roman" w:hint="eastAsia"/>
          <w:b/>
          <w:bCs/>
          <w:sz w:val="24"/>
        </w:rPr>
        <w:t>and Community Health Initiatives</w:t>
      </w:r>
    </w:p>
    <w:p w14:paraId="4C4A973A" w14:textId="77777777" w:rsidR="002D33D2" w:rsidRDefault="002D33D2" w:rsidP="002D33D2">
      <w:pPr>
        <w:spacing w:after="0" w:line="480" w:lineRule="auto"/>
        <w:jc w:val="center"/>
        <w:rPr>
          <w:rFonts w:ascii="Times New Roman" w:hAnsi="Times New Roman" w:cs="Times New Roman"/>
          <w:sz w:val="24"/>
        </w:rPr>
      </w:pPr>
    </w:p>
    <w:p w14:paraId="3A03A660" w14:textId="664F9952" w:rsidR="002D33D2" w:rsidRDefault="002D33D2" w:rsidP="002D33D2">
      <w:pPr>
        <w:spacing w:after="0" w:line="480" w:lineRule="auto"/>
        <w:jc w:val="center"/>
        <w:rPr>
          <w:rFonts w:ascii="Times New Roman" w:hAnsi="Times New Roman" w:cs="Times New Roman"/>
          <w:sz w:val="24"/>
        </w:rPr>
      </w:pPr>
      <w:proofErr w:type="spellStart"/>
      <w:r w:rsidRPr="002D33D2">
        <w:rPr>
          <w:rFonts w:ascii="Times New Roman" w:hAnsi="Times New Roman" w:cs="Times New Roman"/>
          <w:sz w:val="24"/>
        </w:rPr>
        <w:t>Weikang</w:t>
      </w:r>
      <w:proofErr w:type="spellEnd"/>
      <w:r w:rsidRPr="002D33D2">
        <w:rPr>
          <w:rFonts w:ascii="Times New Roman" w:hAnsi="Times New Roman" w:cs="Times New Roman"/>
          <w:sz w:val="24"/>
        </w:rPr>
        <w:t xml:space="preserve"> Yang</w:t>
      </w:r>
    </w:p>
    <w:p w14:paraId="25A07CBC" w14:textId="7261FAB9" w:rsidR="002D33D2" w:rsidRDefault="002D33D2" w:rsidP="002D33D2">
      <w:pPr>
        <w:spacing w:after="0" w:line="480" w:lineRule="auto"/>
        <w:jc w:val="center"/>
        <w:rPr>
          <w:rFonts w:ascii="Times New Roman" w:hAnsi="Times New Roman" w:cs="Times New Roman"/>
          <w:sz w:val="24"/>
        </w:rPr>
      </w:pPr>
      <w:r w:rsidRPr="002D33D2">
        <w:rPr>
          <w:rFonts w:ascii="Times New Roman" w:hAnsi="Times New Roman" w:cs="Times New Roman" w:hint="eastAsia"/>
          <w:sz w:val="24"/>
        </w:rPr>
        <w:t>Shandong University</w:t>
      </w:r>
    </w:p>
    <w:p w14:paraId="2DA97AA8" w14:textId="5707EBAC" w:rsidR="002D33D2" w:rsidRDefault="002D33D2" w:rsidP="002D33D2">
      <w:pPr>
        <w:spacing w:after="0" w:line="480" w:lineRule="auto"/>
        <w:jc w:val="center"/>
        <w:rPr>
          <w:rFonts w:ascii="Times New Roman" w:hAnsi="Times New Roman" w:cs="Times New Roman"/>
          <w:sz w:val="24"/>
        </w:rPr>
      </w:pPr>
      <w:r w:rsidRPr="002D33D2">
        <w:rPr>
          <w:rFonts w:ascii="Times New Roman" w:hAnsi="Times New Roman" w:cs="Times New Roman"/>
          <w:sz w:val="24"/>
        </w:rPr>
        <w:t>Health Communication in a Multicultural Context</w:t>
      </w:r>
    </w:p>
    <w:p w14:paraId="2AF3626E" w14:textId="5CFC72D9" w:rsidR="002D33D2" w:rsidRDefault="002D33D2" w:rsidP="002D33D2">
      <w:pPr>
        <w:spacing w:after="0" w:line="480" w:lineRule="auto"/>
        <w:jc w:val="center"/>
        <w:rPr>
          <w:rFonts w:ascii="Times New Roman" w:hAnsi="Times New Roman" w:cs="Times New Roman"/>
          <w:sz w:val="24"/>
        </w:rPr>
      </w:pPr>
      <w:r w:rsidRPr="002D33D2">
        <w:rPr>
          <w:rFonts w:ascii="Times New Roman" w:hAnsi="Times New Roman" w:cs="Times New Roman" w:hint="eastAsia"/>
          <w:sz w:val="24"/>
        </w:rPr>
        <w:t>Lisa Sparks</w:t>
      </w:r>
    </w:p>
    <w:p w14:paraId="564238E0" w14:textId="7AD85E24" w:rsidR="005054FD" w:rsidRDefault="002D33D2" w:rsidP="002D33D2">
      <w:pPr>
        <w:spacing w:after="0" w:line="480" w:lineRule="auto"/>
        <w:jc w:val="center"/>
        <w:rPr>
          <w:rFonts w:ascii="Times New Roman" w:hAnsi="Times New Roman" w:cs="Times New Roman"/>
          <w:sz w:val="24"/>
        </w:rPr>
      </w:pPr>
      <w:r w:rsidRPr="002D33D2">
        <w:rPr>
          <w:rFonts w:ascii="Times New Roman" w:hAnsi="Times New Roman" w:cs="Times New Roman"/>
          <w:sz w:val="24"/>
        </w:rPr>
        <w:t>July 18, 2024</w:t>
      </w:r>
    </w:p>
    <w:p w14:paraId="59A07686" w14:textId="77777777" w:rsidR="005054FD" w:rsidRDefault="005054FD">
      <w:pPr>
        <w:widowControl/>
        <w:rPr>
          <w:rFonts w:ascii="Times New Roman" w:hAnsi="Times New Roman" w:cs="Times New Roman"/>
          <w:sz w:val="24"/>
        </w:rPr>
      </w:pPr>
      <w:r>
        <w:rPr>
          <w:rFonts w:ascii="Times New Roman" w:hAnsi="Times New Roman" w:cs="Times New Roman"/>
          <w:sz w:val="24"/>
        </w:rPr>
        <w:br w:type="page"/>
      </w:r>
    </w:p>
    <w:p w14:paraId="5E04D7D1" w14:textId="6ECBD948" w:rsidR="002D33D2" w:rsidRPr="000D6D57" w:rsidRDefault="000D6D57" w:rsidP="000D6D57">
      <w:pPr>
        <w:spacing w:after="0" w:line="480" w:lineRule="auto"/>
        <w:jc w:val="center"/>
        <w:rPr>
          <w:rFonts w:ascii="Times New Roman" w:hAnsi="Times New Roman" w:cs="Times New Roman"/>
          <w:b/>
          <w:bCs/>
          <w:sz w:val="24"/>
        </w:rPr>
      </w:pPr>
      <w:r w:rsidRPr="000D6D57">
        <w:rPr>
          <w:rFonts w:ascii="Times New Roman" w:hAnsi="Times New Roman" w:cs="Times New Roman" w:hint="eastAsia"/>
          <w:b/>
          <w:bCs/>
          <w:sz w:val="24"/>
        </w:rPr>
        <w:lastRenderedPageBreak/>
        <w:t>Abstract</w:t>
      </w:r>
    </w:p>
    <w:p w14:paraId="5CE5CC73" w14:textId="77777777" w:rsidR="000D6D57" w:rsidRPr="000D6D57" w:rsidRDefault="000D6D57" w:rsidP="000D6D57">
      <w:pPr>
        <w:spacing w:after="0" w:line="480" w:lineRule="auto"/>
        <w:rPr>
          <w:rFonts w:ascii="Times New Roman" w:hAnsi="Times New Roman" w:cs="Times New Roman" w:hint="eastAsia"/>
          <w:sz w:val="24"/>
        </w:rPr>
      </w:pPr>
      <w:r w:rsidRPr="000D6D57">
        <w:rPr>
          <w:rFonts w:ascii="Times New Roman" w:hAnsi="Times New Roman" w:cs="Times New Roman" w:hint="eastAsia"/>
          <w:sz w:val="24"/>
        </w:rPr>
        <w:t>Health communication is a critical determinant of outcomes in both clinical and community settings. This paper explores its role in fostering patient empowerment and sustaining effective community health initiatives. Drawing exclusively on Song et al.'s (2024) review of digital patient-physician communication and Love et al.'s (2024) case study of the Be Well Communities</w:t>
      </w:r>
      <w:r w:rsidRPr="000D6D57">
        <w:rPr>
          <w:rFonts w:ascii="Times New Roman" w:hAnsi="Times New Roman" w:cs="Times New Roman" w:hint="eastAsia"/>
          <w:sz w:val="24"/>
        </w:rPr>
        <w:t>™</w:t>
      </w:r>
      <w:r w:rsidRPr="000D6D57">
        <w:rPr>
          <w:rFonts w:ascii="Times New Roman" w:hAnsi="Times New Roman" w:cs="Times New Roman" w:hint="eastAsia"/>
          <w:sz w:val="24"/>
        </w:rPr>
        <w:t xml:space="preserve"> initiative, this analysis examines the practical application of key theoretical frameworks. The Shared Decision-Making (SDM) model is used to analyze how digital tools are reshaping individual patient-provider interactions, while the Social-Ecological Model (SEM) provides a lens for understanding multi-level community interventions. The paper critiques these frameworks, acknowledging their strengths in guiding technology integration and community engagement, but also highlighting significant limitations. These include unaddressed equity issues stemming from the digital divide, the challenge of building and measuring trust in technologically mediated communication, and the need for deeper cultural adaptation in community programs. Practical recommendations are offered for healthcare providers and community program organizers. The paper concludes that while modern health communication offers powerful new tools, its ultimate success hinges on a steadfast commitment to human-centered principles that prioritize equity, trust, and cultural relevance.</w:t>
      </w:r>
    </w:p>
    <w:p w14:paraId="5D5F70CA" w14:textId="511368EC" w:rsidR="000D6D57" w:rsidRDefault="000D6D57" w:rsidP="000D6D57">
      <w:pPr>
        <w:spacing w:after="0" w:line="480" w:lineRule="auto"/>
        <w:ind w:firstLine="420"/>
        <w:rPr>
          <w:rFonts w:ascii="Times New Roman" w:hAnsi="Times New Roman" w:cs="Times New Roman"/>
          <w:sz w:val="24"/>
        </w:rPr>
      </w:pPr>
      <w:r w:rsidRPr="000D6D57">
        <w:rPr>
          <w:rFonts w:ascii="Times New Roman" w:hAnsi="Times New Roman" w:cs="Times New Roman" w:hint="eastAsia"/>
          <w:i/>
          <w:iCs/>
          <w:sz w:val="24"/>
        </w:rPr>
        <w:t>Keywords:</w:t>
      </w:r>
      <w:r w:rsidRPr="000D6D57">
        <w:rPr>
          <w:rFonts w:ascii="Times New Roman" w:hAnsi="Times New Roman" w:cs="Times New Roman" w:hint="eastAsia"/>
          <w:sz w:val="24"/>
        </w:rPr>
        <w:t xml:space="preserve"> health communication, patient empowerment, community health, Shared Decision-Making (SDM), Social-Ecological Model (SEM), digital health, health equity</w:t>
      </w:r>
    </w:p>
    <w:p w14:paraId="70ACFAED" w14:textId="77777777" w:rsidR="000D6D57" w:rsidRDefault="000D6D57">
      <w:pPr>
        <w:widowControl/>
        <w:rPr>
          <w:rFonts w:ascii="Times New Roman" w:hAnsi="Times New Roman" w:cs="Times New Roman"/>
          <w:sz w:val="24"/>
        </w:rPr>
      </w:pPr>
      <w:r>
        <w:rPr>
          <w:rFonts w:ascii="Times New Roman" w:hAnsi="Times New Roman" w:cs="Times New Roman"/>
          <w:sz w:val="24"/>
        </w:rPr>
        <w:br w:type="page"/>
      </w:r>
    </w:p>
    <w:p w14:paraId="2B95414D" w14:textId="77777777" w:rsidR="006A09B5" w:rsidRDefault="006A09B5" w:rsidP="006A09B5">
      <w:pPr>
        <w:spacing w:after="0" w:line="480" w:lineRule="auto"/>
        <w:jc w:val="center"/>
        <w:rPr>
          <w:rFonts w:ascii="Times New Roman" w:hAnsi="Times New Roman" w:cs="Times New Roman"/>
          <w:b/>
          <w:bCs/>
          <w:sz w:val="24"/>
        </w:rPr>
      </w:pPr>
      <w:r w:rsidRPr="006A09B5">
        <w:rPr>
          <w:rFonts w:ascii="Times New Roman" w:hAnsi="Times New Roman" w:cs="Times New Roman" w:hint="eastAsia"/>
          <w:b/>
          <w:bCs/>
          <w:sz w:val="24"/>
        </w:rPr>
        <w:lastRenderedPageBreak/>
        <w:t xml:space="preserve">The Role of Health Communication in Patient Empowerment </w:t>
      </w:r>
    </w:p>
    <w:p w14:paraId="5E7F0D95" w14:textId="17F6E28B" w:rsidR="006A09B5" w:rsidRPr="006A09B5" w:rsidRDefault="006A09B5" w:rsidP="006A09B5">
      <w:pPr>
        <w:spacing w:after="0" w:line="480" w:lineRule="auto"/>
        <w:jc w:val="center"/>
        <w:rPr>
          <w:rFonts w:ascii="Times New Roman" w:hAnsi="Times New Roman" w:cs="Times New Roman" w:hint="eastAsia"/>
          <w:b/>
          <w:bCs/>
          <w:sz w:val="24"/>
        </w:rPr>
      </w:pPr>
      <w:r w:rsidRPr="006A09B5">
        <w:rPr>
          <w:rFonts w:ascii="Times New Roman" w:hAnsi="Times New Roman" w:cs="Times New Roman" w:hint="eastAsia"/>
          <w:b/>
          <w:bCs/>
          <w:sz w:val="24"/>
        </w:rPr>
        <w:t>and Community Health Initiatives</w:t>
      </w:r>
    </w:p>
    <w:p w14:paraId="4B3901F1" w14:textId="77777777" w:rsidR="006A09B5" w:rsidRDefault="006A09B5" w:rsidP="006A09B5">
      <w:pPr>
        <w:spacing w:after="0" w:line="480" w:lineRule="auto"/>
        <w:ind w:firstLine="420"/>
        <w:rPr>
          <w:rFonts w:ascii="Times New Roman" w:hAnsi="Times New Roman" w:cs="Times New Roman"/>
          <w:sz w:val="24"/>
        </w:rPr>
      </w:pPr>
      <w:r w:rsidRPr="006A09B5">
        <w:rPr>
          <w:rFonts w:ascii="Times New Roman" w:hAnsi="Times New Roman" w:cs="Times New Roman" w:hint="eastAsia"/>
          <w:sz w:val="24"/>
        </w:rPr>
        <w:t>Health communication plays a pivotal role in shaping patient-provider interactions, community health initiatives, and the broader healthcare landscape. Effective health communication bridges the knowledge and power gaps between medical professionals and patients, fosters essential trust, and empowers individuals to make informed, autonomous decisions about their health (Song et al., 2024). This paper uses the theoretical frameworks of Shared Decision-Making (SDM) and the Social-Ecological Model (SEM) to analyze and critique how health communication functions in practice. Drawing on two key articles by Song et al. (2024) and Love et al. (2024), I will connect academic literature to a personal, observed medical encounter</w:t>
      </w:r>
      <w:r w:rsidRPr="006A09B5">
        <w:rPr>
          <w:rFonts w:ascii="Times New Roman" w:hAnsi="Times New Roman" w:cs="Times New Roman" w:hint="eastAsia"/>
          <w:sz w:val="24"/>
        </w:rPr>
        <w:t>—</w:t>
      </w:r>
      <w:r w:rsidRPr="006A09B5">
        <w:rPr>
          <w:rFonts w:ascii="Times New Roman" w:hAnsi="Times New Roman" w:cs="Times New Roman" w:hint="eastAsia"/>
          <w:sz w:val="24"/>
        </w:rPr>
        <w:t>my family</w:t>
      </w:r>
      <w:r w:rsidRPr="006A09B5">
        <w:rPr>
          <w:rFonts w:ascii="Times New Roman" w:hAnsi="Times New Roman" w:cs="Times New Roman" w:hint="eastAsia"/>
          <w:sz w:val="24"/>
        </w:rPr>
        <w:t>’</w:t>
      </w:r>
      <w:r w:rsidRPr="006A09B5">
        <w:rPr>
          <w:rFonts w:ascii="Times New Roman" w:hAnsi="Times New Roman" w:cs="Times New Roman" w:hint="eastAsia"/>
          <w:sz w:val="24"/>
        </w:rPr>
        <w:t>s experience with cancer treatment</w:t>
      </w:r>
      <w:r w:rsidRPr="006A09B5">
        <w:rPr>
          <w:rFonts w:ascii="Times New Roman" w:hAnsi="Times New Roman" w:cs="Times New Roman" w:hint="eastAsia"/>
          <w:sz w:val="24"/>
        </w:rPr>
        <w:t>—</w:t>
      </w:r>
      <w:r w:rsidRPr="006A09B5">
        <w:rPr>
          <w:rFonts w:ascii="Times New Roman" w:hAnsi="Times New Roman" w:cs="Times New Roman" w:hint="eastAsia"/>
          <w:sz w:val="24"/>
        </w:rPr>
        <w:t>to evaluate the strengths and limitations of these theoretical approaches and propose extensions for future consideration.</w:t>
      </w:r>
    </w:p>
    <w:p w14:paraId="7EBB8123" w14:textId="77777777" w:rsidR="001E2D61" w:rsidRPr="006A09B5" w:rsidRDefault="001E2D61" w:rsidP="006A09B5">
      <w:pPr>
        <w:spacing w:after="0" w:line="480" w:lineRule="auto"/>
        <w:ind w:firstLine="420"/>
        <w:rPr>
          <w:rFonts w:ascii="Times New Roman" w:hAnsi="Times New Roman" w:cs="Times New Roman" w:hint="eastAsia"/>
          <w:sz w:val="24"/>
        </w:rPr>
      </w:pPr>
    </w:p>
    <w:p w14:paraId="2613E63C" w14:textId="79A1ED1A" w:rsidR="006A09B5" w:rsidRPr="001E2D61" w:rsidRDefault="006A09B5" w:rsidP="001E2D61">
      <w:pPr>
        <w:spacing w:after="0" w:line="480" w:lineRule="auto"/>
        <w:jc w:val="center"/>
        <w:rPr>
          <w:rFonts w:ascii="Times New Roman" w:hAnsi="Times New Roman" w:cs="Times New Roman" w:hint="eastAsia"/>
          <w:b/>
          <w:bCs/>
          <w:sz w:val="24"/>
        </w:rPr>
      </w:pPr>
      <w:r w:rsidRPr="001E2D61">
        <w:rPr>
          <w:rFonts w:ascii="Times New Roman" w:hAnsi="Times New Roman" w:cs="Times New Roman" w:hint="eastAsia"/>
          <w:b/>
          <w:bCs/>
          <w:sz w:val="24"/>
        </w:rPr>
        <w:t>Theoretical Frameworks in Health Communication</w:t>
      </w:r>
    </w:p>
    <w:p w14:paraId="64744770" w14:textId="77777777" w:rsidR="006A09B5" w:rsidRDefault="006A09B5" w:rsidP="006A09B5">
      <w:pPr>
        <w:spacing w:after="0" w:line="480" w:lineRule="auto"/>
        <w:ind w:firstLine="420"/>
        <w:rPr>
          <w:rFonts w:ascii="Times New Roman" w:hAnsi="Times New Roman" w:cs="Times New Roman"/>
          <w:sz w:val="24"/>
        </w:rPr>
      </w:pPr>
      <w:r w:rsidRPr="006A09B5">
        <w:rPr>
          <w:rFonts w:ascii="Times New Roman" w:hAnsi="Times New Roman" w:cs="Times New Roman" w:hint="eastAsia"/>
          <w:sz w:val="24"/>
        </w:rPr>
        <w:t xml:space="preserve">This paper is guided by two central frameworks from health communication literature. The first, Shared Decision-Making (SDM), reframes the clinical encounter as a collaborative process where patients and providers share information and preferences to make joint decisions (Song et al., 2024). SDM is particularly relevant for understanding individual patient empowerment. The second, the Social-Ecological Model (SEM), posits that health behaviors are influenced by a complex interplay of factors at multiple levels: individual, interpersonal, community, and policy (Love et al., 2024). SEM is essential for analyzing </w:t>
      </w:r>
      <w:r w:rsidRPr="006A09B5">
        <w:rPr>
          <w:rFonts w:ascii="Times New Roman" w:hAnsi="Times New Roman" w:cs="Times New Roman" w:hint="eastAsia"/>
          <w:sz w:val="24"/>
        </w:rPr>
        <w:lastRenderedPageBreak/>
        <w:t>comprehensive, community-based health initiatives. This paper will use these frameworks to deconstruct and analyze contemporary health communication practices.</w:t>
      </w:r>
    </w:p>
    <w:p w14:paraId="69BFF43C" w14:textId="77777777" w:rsidR="001E2D61" w:rsidRPr="006A09B5" w:rsidRDefault="001E2D61" w:rsidP="006A09B5">
      <w:pPr>
        <w:spacing w:after="0" w:line="480" w:lineRule="auto"/>
        <w:ind w:firstLine="420"/>
        <w:rPr>
          <w:rFonts w:ascii="Times New Roman" w:hAnsi="Times New Roman" w:cs="Times New Roman" w:hint="eastAsia"/>
          <w:sz w:val="24"/>
        </w:rPr>
      </w:pPr>
    </w:p>
    <w:p w14:paraId="0F05FEEC" w14:textId="2BB882E1" w:rsidR="006A09B5" w:rsidRPr="001E2D61" w:rsidRDefault="006A09B5" w:rsidP="001E2D61">
      <w:pPr>
        <w:spacing w:after="0" w:line="480" w:lineRule="auto"/>
        <w:jc w:val="center"/>
        <w:rPr>
          <w:rFonts w:ascii="Times New Roman" w:hAnsi="Times New Roman" w:cs="Times New Roman" w:hint="eastAsia"/>
          <w:b/>
          <w:bCs/>
          <w:sz w:val="24"/>
        </w:rPr>
      </w:pPr>
      <w:r w:rsidRPr="001E2D61">
        <w:rPr>
          <w:rFonts w:ascii="Times New Roman" w:hAnsi="Times New Roman" w:cs="Times New Roman" w:hint="eastAsia"/>
          <w:b/>
          <w:bCs/>
          <w:sz w:val="24"/>
        </w:rPr>
        <w:t>Analysis of Literature and Connection to Personal Experience</w:t>
      </w:r>
    </w:p>
    <w:p w14:paraId="56ECD411" w14:textId="2522F8EE" w:rsidR="006A09B5" w:rsidRPr="001E2D61" w:rsidRDefault="006A09B5" w:rsidP="001E2D61">
      <w:pPr>
        <w:spacing w:after="0" w:line="480" w:lineRule="auto"/>
        <w:rPr>
          <w:rFonts w:ascii="Times New Roman" w:hAnsi="Times New Roman" w:cs="Times New Roman" w:hint="eastAsia"/>
          <w:b/>
          <w:bCs/>
          <w:sz w:val="24"/>
        </w:rPr>
      </w:pPr>
      <w:r w:rsidRPr="001E2D61">
        <w:rPr>
          <w:rFonts w:ascii="Times New Roman" w:hAnsi="Times New Roman" w:cs="Times New Roman" w:hint="eastAsia"/>
          <w:b/>
          <w:bCs/>
          <w:sz w:val="24"/>
        </w:rPr>
        <w:t>Patient Empowerment, SDM, and the Digital Double-Edged Sword</w:t>
      </w:r>
    </w:p>
    <w:p w14:paraId="7DC9E6EA" w14:textId="7A561505" w:rsidR="006A09B5" w:rsidRPr="006A09B5" w:rsidRDefault="006A09B5" w:rsidP="001E2D61">
      <w:pPr>
        <w:spacing w:after="0" w:line="480" w:lineRule="auto"/>
        <w:ind w:firstLine="420"/>
        <w:rPr>
          <w:rFonts w:ascii="Times New Roman" w:hAnsi="Times New Roman" w:cs="Times New Roman" w:hint="eastAsia"/>
          <w:sz w:val="24"/>
        </w:rPr>
      </w:pPr>
      <w:r w:rsidRPr="006A09B5">
        <w:rPr>
          <w:rFonts w:ascii="Times New Roman" w:hAnsi="Times New Roman" w:cs="Times New Roman" w:hint="eastAsia"/>
          <w:sz w:val="24"/>
        </w:rPr>
        <w:t>Song et al. (2024) provide a 25-year narrative review on the impact of digital technologies on patient-provider communication. A key strength of their work is the detailed illustration of how digital tools can both facilitate and hinder SDM. For example, they highlight that patient portals can promote transparency, a cornerstone of SDM. However, I find their critique that these same tools can erode trust if poorly implemented to be particularly astute. This connects directly to my family</w:t>
      </w:r>
      <w:proofErr w:type="gramStart"/>
      <w:r w:rsidRPr="006A09B5">
        <w:rPr>
          <w:rFonts w:ascii="Times New Roman" w:hAnsi="Times New Roman" w:cs="Times New Roman" w:hint="eastAsia"/>
          <w:sz w:val="24"/>
        </w:rPr>
        <w:t>’</w:t>
      </w:r>
      <w:proofErr w:type="gramEnd"/>
      <w:r w:rsidRPr="006A09B5">
        <w:rPr>
          <w:rFonts w:ascii="Times New Roman" w:hAnsi="Times New Roman" w:cs="Times New Roman" w:hint="eastAsia"/>
          <w:sz w:val="24"/>
        </w:rPr>
        <w:t>s experience during a relative</w:t>
      </w:r>
      <w:proofErr w:type="gramStart"/>
      <w:r w:rsidRPr="006A09B5">
        <w:rPr>
          <w:rFonts w:ascii="Times New Roman" w:hAnsi="Times New Roman" w:cs="Times New Roman" w:hint="eastAsia"/>
          <w:sz w:val="24"/>
        </w:rPr>
        <w:t>’</w:t>
      </w:r>
      <w:proofErr w:type="gramEnd"/>
      <w:r w:rsidRPr="006A09B5">
        <w:rPr>
          <w:rFonts w:ascii="Times New Roman" w:hAnsi="Times New Roman" w:cs="Times New Roman" w:hint="eastAsia"/>
          <w:sz w:val="24"/>
        </w:rPr>
        <w:t>s cancer treatment. Initially, our search for information online led to a flood of conflicting and terrifying prognoses, which created immense anxiety and distrust in the process. The turning point came when the oncologist used the hospital</w:t>
      </w:r>
      <w:proofErr w:type="gramStart"/>
      <w:r w:rsidRPr="006A09B5">
        <w:rPr>
          <w:rFonts w:ascii="Times New Roman" w:hAnsi="Times New Roman" w:cs="Times New Roman" w:hint="eastAsia"/>
          <w:sz w:val="24"/>
        </w:rPr>
        <w:t>’</w:t>
      </w:r>
      <w:proofErr w:type="gramEnd"/>
      <w:r w:rsidRPr="006A09B5">
        <w:rPr>
          <w:rFonts w:ascii="Times New Roman" w:hAnsi="Times New Roman" w:cs="Times New Roman" w:hint="eastAsia"/>
          <w:sz w:val="24"/>
        </w:rPr>
        <w:t>s patient portal not just as a data repository, but as a communication tool to share curated, reliable resources and a clear treatment plan. This act transformed the technology from a source of confusion into an instrument of trust-building, perfectly illustrating Song et al.</w:t>
      </w:r>
      <w:r w:rsidRPr="006A09B5">
        <w:rPr>
          <w:rFonts w:ascii="Times New Roman" w:hAnsi="Times New Roman" w:cs="Times New Roman" w:hint="eastAsia"/>
          <w:sz w:val="24"/>
        </w:rPr>
        <w:t>’</w:t>
      </w:r>
      <w:r w:rsidRPr="006A09B5">
        <w:rPr>
          <w:rFonts w:ascii="Times New Roman" w:hAnsi="Times New Roman" w:cs="Times New Roman" w:hint="eastAsia"/>
          <w:sz w:val="24"/>
        </w:rPr>
        <w:t>s point that the implementation of technology, not the technology itself, is what truly affects the patient-provider relationship and facilitates genuine SDM.</w:t>
      </w:r>
    </w:p>
    <w:p w14:paraId="096D777D" w14:textId="53716404" w:rsidR="006A09B5" w:rsidRPr="006A09B5" w:rsidRDefault="006A09B5" w:rsidP="001E2D61">
      <w:pPr>
        <w:spacing w:after="0" w:line="480" w:lineRule="auto"/>
        <w:ind w:firstLine="420"/>
        <w:rPr>
          <w:rFonts w:ascii="Times New Roman" w:hAnsi="Times New Roman" w:cs="Times New Roman" w:hint="eastAsia"/>
          <w:sz w:val="24"/>
        </w:rPr>
      </w:pPr>
      <w:r w:rsidRPr="006A09B5">
        <w:rPr>
          <w:rFonts w:ascii="Times New Roman" w:hAnsi="Times New Roman" w:cs="Times New Roman" w:hint="eastAsia"/>
          <w:sz w:val="24"/>
        </w:rPr>
        <w:t xml:space="preserve">What I find less developed in Song et al.'s (2024) analysis, however, is a deeper critique of the "philosophical" assumption that access to information automatically equals empowerment. My experience suggests otherwise. While we had access to endless data, we </w:t>
      </w:r>
      <w:r w:rsidRPr="006A09B5">
        <w:rPr>
          <w:rFonts w:ascii="Times New Roman" w:hAnsi="Times New Roman" w:cs="Times New Roman" w:hint="eastAsia"/>
          <w:sz w:val="24"/>
        </w:rPr>
        <w:lastRenderedPageBreak/>
        <w:t>lacked the medical literacy to interpret it, leading to what I would call "information-induced anxiety" rather than empowerment. This highlights a limitation in the current SDM model: it often presumes a level of patient readiness that may not exist. A novel extension of this framework, therefore, would be to incorporate a "readiness for SDM" assessment, which could help providers tailor their communication to either provide direct guidance or engage in full collaboration, depending on the patient's emotional and informational state.</w:t>
      </w:r>
    </w:p>
    <w:p w14:paraId="2314001C" w14:textId="4016C964" w:rsidR="006A09B5" w:rsidRPr="001E2D61" w:rsidRDefault="006A09B5" w:rsidP="001E2D61">
      <w:pPr>
        <w:spacing w:after="0" w:line="480" w:lineRule="auto"/>
        <w:rPr>
          <w:rFonts w:ascii="Times New Roman" w:hAnsi="Times New Roman" w:cs="Times New Roman" w:hint="eastAsia"/>
          <w:b/>
          <w:bCs/>
          <w:sz w:val="24"/>
        </w:rPr>
      </w:pPr>
      <w:r w:rsidRPr="001E2D61">
        <w:rPr>
          <w:rFonts w:ascii="Times New Roman" w:hAnsi="Times New Roman" w:cs="Times New Roman" w:hint="eastAsia"/>
          <w:b/>
          <w:bCs/>
          <w:sz w:val="24"/>
        </w:rPr>
        <w:t>Community Initiatives, SEM, and the Power of Cultural Resonance</w:t>
      </w:r>
    </w:p>
    <w:p w14:paraId="44115F69" w14:textId="4538D64C" w:rsidR="006A09B5" w:rsidRPr="006A09B5" w:rsidRDefault="006A09B5" w:rsidP="001E2D61">
      <w:pPr>
        <w:spacing w:after="0" w:line="480" w:lineRule="auto"/>
        <w:ind w:firstLine="420"/>
        <w:rPr>
          <w:rFonts w:ascii="Times New Roman" w:hAnsi="Times New Roman" w:cs="Times New Roman" w:hint="eastAsia"/>
          <w:sz w:val="24"/>
        </w:rPr>
      </w:pPr>
      <w:r w:rsidRPr="006A09B5">
        <w:rPr>
          <w:rFonts w:ascii="Times New Roman" w:hAnsi="Times New Roman" w:cs="Times New Roman" w:hint="eastAsia"/>
          <w:sz w:val="24"/>
        </w:rPr>
        <w:t>Love et al. (2024) offer a compelling case study of the SEM in action with the Be Well Communities</w:t>
      </w:r>
      <w:r w:rsidRPr="006A09B5">
        <w:rPr>
          <w:rFonts w:ascii="Times New Roman" w:hAnsi="Times New Roman" w:cs="Times New Roman" w:hint="eastAsia"/>
          <w:sz w:val="24"/>
        </w:rPr>
        <w:t>™</w:t>
      </w:r>
      <w:r w:rsidRPr="006A09B5">
        <w:rPr>
          <w:rFonts w:ascii="Times New Roman" w:hAnsi="Times New Roman" w:cs="Times New Roman" w:hint="eastAsia"/>
          <w:sz w:val="24"/>
        </w:rPr>
        <w:t xml:space="preserve"> program. What I most admire about this study is its practical demonstration of how to move SEM from an abstract academic concept to a tangible, community-owned initiative. Their emphasis on co-creating the "Be Well" brand with community members to build trust is a powerful lesson for any public health practitioner. This multi-level approach</w:t>
      </w:r>
      <w:r w:rsidRPr="006A09B5">
        <w:rPr>
          <w:rFonts w:ascii="Times New Roman" w:hAnsi="Times New Roman" w:cs="Times New Roman" w:hint="eastAsia"/>
          <w:sz w:val="24"/>
        </w:rPr>
        <w:t>—</w:t>
      </w:r>
      <w:r w:rsidRPr="006A09B5">
        <w:rPr>
          <w:rFonts w:ascii="Times New Roman" w:hAnsi="Times New Roman" w:cs="Times New Roman" w:hint="eastAsia"/>
          <w:sz w:val="24"/>
        </w:rPr>
        <w:t>combining individual education (sunscreen information) with environmental changes (sunscreen dispensers) and policy advocacy (shade structures)</w:t>
      </w:r>
      <w:r w:rsidRPr="006A09B5">
        <w:rPr>
          <w:rFonts w:ascii="Times New Roman" w:hAnsi="Times New Roman" w:cs="Times New Roman" w:hint="eastAsia"/>
          <w:sz w:val="24"/>
        </w:rPr>
        <w:t>—</w:t>
      </w:r>
      <w:r w:rsidRPr="006A09B5">
        <w:rPr>
          <w:rFonts w:ascii="Times New Roman" w:hAnsi="Times New Roman" w:cs="Times New Roman" w:hint="eastAsia"/>
          <w:sz w:val="24"/>
        </w:rPr>
        <w:t>is a textbook example of SEM</w:t>
      </w:r>
      <w:proofErr w:type="gramStart"/>
      <w:r w:rsidRPr="006A09B5">
        <w:rPr>
          <w:rFonts w:ascii="Times New Roman" w:hAnsi="Times New Roman" w:cs="Times New Roman" w:hint="eastAsia"/>
          <w:sz w:val="24"/>
        </w:rPr>
        <w:t>’</w:t>
      </w:r>
      <w:proofErr w:type="gramEnd"/>
      <w:r w:rsidRPr="006A09B5">
        <w:rPr>
          <w:rFonts w:ascii="Times New Roman" w:hAnsi="Times New Roman" w:cs="Times New Roman" w:hint="eastAsia"/>
          <w:sz w:val="24"/>
        </w:rPr>
        <w:t>s synergy.</w:t>
      </w:r>
    </w:p>
    <w:p w14:paraId="69862A24" w14:textId="77777777" w:rsidR="006A09B5" w:rsidRPr="006A09B5" w:rsidRDefault="006A09B5" w:rsidP="006A09B5">
      <w:pPr>
        <w:spacing w:after="0" w:line="480" w:lineRule="auto"/>
        <w:ind w:firstLine="420"/>
        <w:rPr>
          <w:rFonts w:ascii="Times New Roman" w:hAnsi="Times New Roman" w:cs="Times New Roman" w:hint="eastAsia"/>
          <w:sz w:val="24"/>
        </w:rPr>
      </w:pPr>
      <w:r w:rsidRPr="006A09B5">
        <w:rPr>
          <w:rFonts w:ascii="Times New Roman" w:hAnsi="Times New Roman" w:cs="Times New Roman" w:hint="eastAsia"/>
          <w:sz w:val="24"/>
        </w:rPr>
        <w:t xml:space="preserve">This resonates strongly with my volunteer work at a local food bank. We observed that generic, government-issued nutrition pamphlets were largely ignored. However, when we applied an SEM-like approach by co-designing nutrition workshops with community elders (interpersonal level) that featured culturally familiar recipes (individual level) and were held at a trusted community center (organizational level), engagement skyrocketed. This supports the findings of Love et al. (2024) and underscores a key strength of SEM: its emphasis on cultural relevance. However, a critique of the Be Well study is its limited discussion of </w:t>
      </w:r>
      <w:r w:rsidRPr="006A09B5">
        <w:rPr>
          <w:rFonts w:ascii="Times New Roman" w:hAnsi="Times New Roman" w:cs="Times New Roman" w:hint="eastAsia"/>
          <w:sz w:val="24"/>
        </w:rPr>
        <w:lastRenderedPageBreak/>
        <w:t>navigating potential cultural barriers. For example, the study does not deeply address how the program handled language barriers or pre-existing cultural health beliefs that might conflict with cancer prevention messages. This suggests an area where the SEM framework itself could be extended. Practitioners using SEM need a more explicit toolkit for "cultural negotiation"</w:t>
      </w:r>
      <w:r w:rsidRPr="006A09B5">
        <w:rPr>
          <w:rFonts w:ascii="Times New Roman" w:hAnsi="Times New Roman" w:cs="Times New Roman" w:hint="eastAsia"/>
          <w:sz w:val="24"/>
        </w:rPr>
        <w:t>—</w:t>
      </w:r>
      <w:r w:rsidRPr="006A09B5">
        <w:rPr>
          <w:rFonts w:ascii="Times New Roman" w:hAnsi="Times New Roman" w:cs="Times New Roman" w:hint="eastAsia"/>
          <w:sz w:val="24"/>
        </w:rPr>
        <w:t>strategies for respectfully addressing and integrating diverse cultural perspectives, rather than simply tailoring messages.</w:t>
      </w:r>
    </w:p>
    <w:p w14:paraId="5B0B8F9A" w14:textId="77777777" w:rsidR="006A09B5" w:rsidRPr="006A09B5" w:rsidRDefault="006A09B5" w:rsidP="006A09B5">
      <w:pPr>
        <w:spacing w:after="0" w:line="480" w:lineRule="auto"/>
        <w:ind w:firstLine="420"/>
        <w:rPr>
          <w:rFonts w:ascii="Times New Roman" w:hAnsi="Times New Roman" w:cs="Times New Roman" w:hint="eastAsia"/>
          <w:sz w:val="24"/>
        </w:rPr>
      </w:pPr>
    </w:p>
    <w:p w14:paraId="6590EFB1" w14:textId="3435730C" w:rsidR="006A09B5" w:rsidRPr="001E2D61" w:rsidRDefault="006A09B5" w:rsidP="001E2D61">
      <w:pPr>
        <w:spacing w:after="0" w:line="480" w:lineRule="auto"/>
        <w:jc w:val="center"/>
        <w:rPr>
          <w:rFonts w:ascii="Times New Roman" w:hAnsi="Times New Roman" w:cs="Times New Roman" w:hint="eastAsia"/>
          <w:b/>
          <w:bCs/>
          <w:sz w:val="24"/>
        </w:rPr>
      </w:pPr>
      <w:r w:rsidRPr="001E2D61">
        <w:rPr>
          <w:rFonts w:ascii="Times New Roman" w:hAnsi="Times New Roman" w:cs="Times New Roman" w:hint="eastAsia"/>
          <w:b/>
          <w:bCs/>
          <w:sz w:val="24"/>
        </w:rPr>
        <w:t>Discussion and Implications</w:t>
      </w:r>
    </w:p>
    <w:p w14:paraId="663CBFEE" w14:textId="018B5527" w:rsidR="006A09B5" w:rsidRPr="006A09B5" w:rsidRDefault="006A09B5" w:rsidP="001E2D61">
      <w:pPr>
        <w:spacing w:after="0" w:line="480" w:lineRule="auto"/>
        <w:ind w:firstLine="420"/>
        <w:rPr>
          <w:rFonts w:ascii="Times New Roman" w:hAnsi="Times New Roman" w:cs="Times New Roman" w:hint="eastAsia"/>
          <w:sz w:val="24"/>
        </w:rPr>
      </w:pPr>
      <w:r w:rsidRPr="006A09B5">
        <w:rPr>
          <w:rFonts w:ascii="Times New Roman" w:hAnsi="Times New Roman" w:cs="Times New Roman" w:hint="eastAsia"/>
          <w:sz w:val="24"/>
        </w:rPr>
        <w:t>This analysis reveals that while SDM and SEM are robust frameworks, their application in the real world is complex. The literature, supported by my personal observations, shows that trust is the critical, mediating variable in both models. For SDM, digital tools are only as effective as the trust they help to build. For SEM, community trust, built through co-creation and cultural resonance, is the foundation for success. This finding has significant implications for both scholars and practitioners. Scholars could focus on developing and validating a "Trust in Health Communication" metric to better predict the success of interventions. Practitioners, whether clinicians or public health workers, should treat trust-building not as a byproduct of their work, but as a primary, measurable objective.</w:t>
      </w:r>
    </w:p>
    <w:p w14:paraId="439BFFE0" w14:textId="77777777" w:rsidR="006A09B5" w:rsidRPr="006A09B5" w:rsidRDefault="006A09B5" w:rsidP="006A09B5">
      <w:pPr>
        <w:spacing w:after="0" w:line="480" w:lineRule="auto"/>
        <w:ind w:firstLine="420"/>
        <w:rPr>
          <w:rFonts w:ascii="Times New Roman" w:hAnsi="Times New Roman" w:cs="Times New Roman" w:hint="eastAsia"/>
          <w:sz w:val="24"/>
        </w:rPr>
      </w:pPr>
      <w:r w:rsidRPr="006A09B5">
        <w:rPr>
          <w:rFonts w:ascii="Times New Roman" w:hAnsi="Times New Roman" w:cs="Times New Roman" w:hint="eastAsia"/>
          <w:sz w:val="24"/>
        </w:rPr>
        <w:t>Furthermore, this analysis points to the need to challenge the assumption of homogeneity in our target audiences. My family</w:t>
      </w:r>
      <w:proofErr w:type="gramStart"/>
      <w:r w:rsidRPr="006A09B5">
        <w:rPr>
          <w:rFonts w:ascii="Times New Roman" w:hAnsi="Times New Roman" w:cs="Times New Roman" w:hint="eastAsia"/>
          <w:sz w:val="24"/>
        </w:rPr>
        <w:t>’</w:t>
      </w:r>
      <w:proofErr w:type="gramEnd"/>
      <w:r w:rsidRPr="006A09B5">
        <w:rPr>
          <w:rFonts w:ascii="Times New Roman" w:hAnsi="Times New Roman" w:cs="Times New Roman" w:hint="eastAsia"/>
          <w:sz w:val="24"/>
        </w:rPr>
        <w:t>s experience shows that even within a single, educated family, the capacity for SDM can vary dramatically. Similarly, the Be Well study, while excellent, hints at the diverse needs within a "community." This highlights the practical utility of these frameworks: they can be used to specify communication</w:t>
      </w:r>
      <w:proofErr w:type="gramStart"/>
      <w:r w:rsidRPr="006A09B5">
        <w:rPr>
          <w:rFonts w:ascii="Times New Roman" w:hAnsi="Times New Roman" w:cs="Times New Roman" w:hint="eastAsia"/>
          <w:sz w:val="24"/>
        </w:rPr>
        <w:t>’</w:t>
      </w:r>
      <w:proofErr w:type="gramEnd"/>
      <w:r w:rsidRPr="006A09B5">
        <w:rPr>
          <w:rFonts w:ascii="Times New Roman" w:hAnsi="Times New Roman" w:cs="Times New Roman" w:hint="eastAsia"/>
          <w:sz w:val="24"/>
        </w:rPr>
        <w:t xml:space="preserve">s role in understanding </w:t>
      </w:r>
      <w:r w:rsidRPr="006A09B5">
        <w:rPr>
          <w:rFonts w:ascii="Times New Roman" w:hAnsi="Times New Roman" w:cs="Times New Roman" w:hint="eastAsia"/>
          <w:sz w:val="24"/>
        </w:rPr>
        <w:lastRenderedPageBreak/>
        <w:t>these varied audiences. A clinician can use the SDM model to assess an individual patient</w:t>
      </w:r>
      <w:proofErr w:type="gramStart"/>
      <w:r w:rsidRPr="006A09B5">
        <w:rPr>
          <w:rFonts w:ascii="Times New Roman" w:hAnsi="Times New Roman" w:cs="Times New Roman" w:hint="eastAsia"/>
          <w:sz w:val="24"/>
        </w:rPr>
        <w:t>’</w:t>
      </w:r>
      <w:proofErr w:type="gramEnd"/>
      <w:r w:rsidRPr="006A09B5">
        <w:rPr>
          <w:rFonts w:ascii="Times New Roman" w:hAnsi="Times New Roman" w:cs="Times New Roman" w:hint="eastAsia"/>
          <w:sz w:val="24"/>
        </w:rPr>
        <w:t>s needs, while a program planner can use SEM to map the diverse assets and barriers within a community, leading to more equitable and effective health communication strategies.</w:t>
      </w:r>
    </w:p>
    <w:p w14:paraId="52B41C3A" w14:textId="77777777" w:rsidR="006A09B5" w:rsidRPr="006A09B5" w:rsidRDefault="006A09B5" w:rsidP="006A09B5">
      <w:pPr>
        <w:spacing w:after="0" w:line="480" w:lineRule="auto"/>
        <w:ind w:firstLine="420"/>
        <w:rPr>
          <w:rFonts w:ascii="Times New Roman" w:hAnsi="Times New Roman" w:cs="Times New Roman" w:hint="eastAsia"/>
          <w:sz w:val="24"/>
        </w:rPr>
      </w:pPr>
    </w:p>
    <w:p w14:paraId="62ABAD77" w14:textId="7B26E585" w:rsidR="006A09B5" w:rsidRPr="001E2D61" w:rsidRDefault="006A09B5" w:rsidP="001E2D61">
      <w:pPr>
        <w:spacing w:after="0" w:line="480" w:lineRule="auto"/>
        <w:jc w:val="center"/>
        <w:rPr>
          <w:rFonts w:ascii="Times New Roman" w:hAnsi="Times New Roman" w:cs="Times New Roman" w:hint="eastAsia"/>
          <w:b/>
          <w:bCs/>
          <w:sz w:val="24"/>
        </w:rPr>
      </w:pPr>
      <w:r w:rsidRPr="001E2D61">
        <w:rPr>
          <w:rFonts w:ascii="Times New Roman" w:hAnsi="Times New Roman" w:cs="Times New Roman" w:hint="eastAsia"/>
          <w:b/>
          <w:bCs/>
          <w:sz w:val="24"/>
        </w:rPr>
        <w:t>Conclusion</w:t>
      </w:r>
    </w:p>
    <w:p w14:paraId="613B273C" w14:textId="0E49D5AC" w:rsidR="009A08F7" w:rsidRDefault="006A09B5" w:rsidP="006A09B5">
      <w:pPr>
        <w:spacing w:after="0" w:line="480" w:lineRule="auto"/>
        <w:ind w:firstLine="420"/>
        <w:rPr>
          <w:rFonts w:ascii="Times New Roman" w:hAnsi="Times New Roman" w:cs="Times New Roman"/>
          <w:sz w:val="24"/>
        </w:rPr>
      </w:pPr>
      <w:r w:rsidRPr="006A09B5">
        <w:rPr>
          <w:rFonts w:ascii="Times New Roman" w:hAnsi="Times New Roman" w:cs="Times New Roman" w:hint="eastAsia"/>
          <w:sz w:val="24"/>
        </w:rPr>
        <w:t>The theoretical frameworks of Shared Decision-Making and the Social-Ecological Model provide powerful lenses for understanding the role of health communication. By connecting the academic insights of Song et al. (2024) and Love et al. (2024) with lived experiences, it becomes clear that the success of any health communication effort</w:t>
      </w:r>
      <w:r w:rsidRPr="006A09B5">
        <w:rPr>
          <w:rFonts w:ascii="Times New Roman" w:hAnsi="Times New Roman" w:cs="Times New Roman" w:hint="eastAsia"/>
          <w:sz w:val="24"/>
        </w:rPr>
        <w:t>—</w:t>
      </w:r>
      <w:r w:rsidRPr="006A09B5">
        <w:rPr>
          <w:rFonts w:ascii="Times New Roman" w:hAnsi="Times New Roman" w:cs="Times New Roman" w:hint="eastAsia"/>
          <w:sz w:val="24"/>
        </w:rPr>
        <w:t>whether a digital tool or a community campaign</w:t>
      </w:r>
      <w:r w:rsidRPr="006A09B5">
        <w:rPr>
          <w:rFonts w:ascii="Times New Roman" w:hAnsi="Times New Roman" w:cs="Times New Roman" w:hint="eastAsia"/>
          <w:sz w:val="24"/>
        </w:rPr>
        <w:t>—</w:t>
      </w:r>
      <w:r w:rsidRPr="006A09B5">
        <w:rPr>
          <w:rFonts w:ascii="Times New Roman" w:hAnsi="Times New Roman" w:cs="Times New Roman" w:hint="eastAsia"/>
          <w:sz w:val="24"/>
        </w:rPr>
        <w:t>hinges on the human elements of trust, cultural understanding, and empathy. The literature provides the "what," but personal encounters reveal the "how" and "why." The challenge for the future of health communication is not simply to develop new technologies or more comprehensive models, but to infuse them with a deeper understanding of the diverse, complex, and deeply human audiences they are meant to serve. This leaves us to ponder a critical question: how can we systematically train a new generation of health communicators to master not just the science of messaging, but the art of connection?</w:t>
      </w:r>
    </w:p>
    <w:p w14:paraId="4196CD19" w14:textId="77777777" w:rsidR="009A08F7" w:rsidRDefault="009A08F7">
      <w:pPr>
        <w:widowControl/>
        <w:rPr>
          <w:rFonts w:ascii="Times New Roman" w:hAnsi="Times New Roman" w:cs="Times New Roman"/>
          <w:sz w:val="24"/>
        </w:rPr>
      </w:pPr>
      <w:r>
        <w:rPr>
          <w:rFonts w:ascii="Times New Roman" w:hAnsi="Times New Roman" w:cs="Times New Roman"/>
          <w:sz w:val="24"/>
        </w:rPr>
        <w:br w:type="page"/>
      </w:r>
    </w:p>
    <w:p w14:paraId="190E8158" w14:textId="77777777" w:rsidR="009A08F7" w:rsidRPr="009A08F7" w:rsidRDefault="009A08F7" w:rsidP="009A08F7">
      <w:pPr>
        <w:spacing w:after="0" w:line="480" w:lineRule="auto"/>
        <w:jc w:val="center"/>
        <w:rPr>
          <w:rFonts w:ascii="Times New Roman" w:hAnsi="Times New Roman" w:cs="Times New Roman" w:hint="eastAsia"/>
          <w:b/>
          <w:bCs/>
          <w:sz w:val="24"/>
        </w:rPr>
      </w:pPr>
      <w:r w:rsidRPr="009A08F7">
        <w:rPr>
          <w:rFonts w:ascii="Times New Roman" w:hAnsi="Times New Roman" w:cs="Times New Roman" w:hint="eastAsia"/>
          <w:b/>
          <w:bCs/>
          <w:sz w:val="24"/>
        </w:rPr>
        <w:lastRenderedPageBreak/>
        <w:t>References</w:t>
      </w:r>
    </w:p>
    <w:p w14:paraId="5C84C910" w14:textId="77777777" w:rsidR="009A08F7" w:rsidRPr="009A08F7" w:rsidRDefault="009A08F7" w:rsidP="009A08F7">
      <w:pPr>
        <w:spacing w:after="0" w:line="480" w:lineRule="auto"/>
        <w:ind w:left="284" w:hanging="284"/>
        <w:rPr>
          <w:rFonts w:ascii="Times New Roman" w:hAnsi="Times New Roman" w:cs="Times New Roman" w:hint="eastAsia"/>
          <w:sz w:val="24"/>
        </w:rPr>
      </w:pPr>
      <w:r w:rsidRPr="009A08F7">
        <w:rPr>
          <w:rFonts w:ascii="Times New Roman" w:hAnsi="Times New Roman" w:cs="Times New Roman" w:hint="eastAsia"/>
          <w:sz w:val="24"/>
        </w:rPr>
        <w:t xml:space="preserve">Love, B., Ghosh, C., Kriss, L., </w:t>
      </w:r>
      <w:proofErr w:type="spellStart"/>
      <w:r w:rsidRPr="009A08F7">
        <w:rPr>
          <w:rFonts w:ascii="Times New Roman" w:hAnsi="Times New Roman" w:cs="Times New Roman" w:hint="eastAsia"/>
          <w:sz w:val="24"/>
        </w:rPr>
        <w:t>Vieco</w:t>
      </w:r>
      <w:proofErr w:type="spellEnd"/>
      <w:r w:rsidRPr="009A08F7">
        <w:rPr>
          <w:rFonts w:ascii="Times New Roman" w:hAnsi="Times New Roman" w:cs="Times New Roman" w:hint="eastAsia"/>
          <w:sz w:val="24"/>
        </w:rPr>
        <w:t xml:space="preserve">-Garcia, M., Fick, H., Shin, E., Wagner, J. H., De Luca, D., Dermid, G., McDonald, L., Caballero, E., Oestman, K., Coffman, R., Aquino, M., Adams, T., Gardiner, H., &amp; </w:t>
      </w:r>
      <w:proofErr w:type="spellStart"/>
      <w:r w:rsidRPr="009A08F7">
        <w:rPr>
          <w:rFonts w:ascii="Times New Roman" w:hAnsi="Times New Roman" w:cs="Times New Roman" w:hint="eastAsia"/>
          <w:sz w:val="24"/>
        </w:rPr>
        <w:t>Rechis</w:t>
      </w:r>
      <w:proofErr w:type="spellEnd"/>
      <w:r w:rsidRPr="009A08F7">
        <w:rPr>
          <w:rFonts w:ascii="Times New Roman" w:hAnsi="Times New Roman" w:cs="Times New Roman" w:hint="eastAsia"/>
          <w:sz w:val="24"/>
        </w:rPr>
        <w:t>, R. (2024). Building and maintaining a whole community initiative: Health communication in practice with Be Well Communities</w:t>
      </w:r>
      <w:r w:rsidRPr="009A08F7">
        <w:rPr>
          <w:rFonts w:ascii="Times New Roman" w:hAnsi="Times New Roman" w:cs="Times New Roman" w:hint="eastAsia"/>
          <w:sz w:val="24"/>
        </w:rPr>
        <w:t>™</w:t>
      </w:r>
      <w:r w:rsidRPr="009A08F7">
        <w:rPr>
          <w:rFonts w:ascii="Times New Roman" w:hAnsi="Times New Roman" w:cs="Times New Roman" w:hint="eastAsia"/>
          <w:sz w:val="24"/>
        </w:rPr>
        <w:t xml:space="preserve">. </w:t>
      </w:r>
      <w:r w:rsidRPr="009A08F7">
        <w:rPr>
          <w:rFonts w:ascii="Times New Roman" w:hAnsi="Times New Roman" w:cs="Times New Roman" w:hint="eastAsia"/>
          <w:i/>
          <w:iCs/>
          <w:sz w:val="24"/>
        </w:rPr>
        <w:t>Health Communication, 39</w:t>
      </w:r>
      <w:r w:rsidRPr="009A08F7">
        <w:rPr>
          <w:rFonts w:ascii="Times New Roman" w:hAnsi="Times New Roman" w:cs="Times New Roman" w:hint="eastAsia"/>
          <w:sz w:val="24"/>
        </w:rPr>
        <w:t>(14), 3597</w:t>
      </w:r>
      <w:r w:rsidRPr="009A08F7">
        <w:rPr>
          <w:rFonts w:ascii="Times New Roman" w:hAnsi="Times New Roman" w:cs="Times New Roman" w:hint="eastAsia"/>
          <w:sz w:val="24"/>
        </w:rPr>
        <w:t>–</w:t>
      </w:r>
      <w:r w:rsidRPr="009A08F7">
        <w:rPr>
          <w:rFonts w:ascii="Times New Roman" w:hAnsi="Times New Roman" w:cs="Times New Roman" w:hint="eastAsia"/>
          <w:sz w:val="24"/>
        </w:rPr>
        <w:t>3605. https://doi.org/10.1080/10410236.2024.2382869</w:t>
      </w:r>
    </w:p>
    <w:p w14:paraId="24098D31" w14:textId="77777777" w:rsidR="009A08F7" w:rsidRDefault="009A08F7" w:rsidP="009A08F7">
      <w:pPr>
        <w:spacing w:after="0" w:line="480" w:lineRule="auto"/>
        <w:ind w:left="284" w:hanging="284"/>
        <w:rPr>
          <w:rFonts w:ascii="Times New Roman" w:hAnsi="Times New Roman" w:cs="Times New Roman"/>
          <w:sz w:val="24"/>
        </w:rPr>
      </w:pPr>
      <w:r w:rsidRPr="009A08F7">
        <w:rPr>
          <w:rFonts w:ascii="Times New Roman" w:hAnsi="Times New Roman" w:cs="Times New Roman" w:hint="eastAsia"/>
          <w:sz w:val="24"/>
        </w:rPr>
        <w:t>Song, M., Elson, J., &amp; Bastola, D. (2024). Digital age transformation in patient-physician communication: 25-year narrative review (1999</w:t>
      </w:r>
      <w:r w:rsidRPr="009A08F7">
        <w:rPr>
          <w:rFonts w:ascii="Times New Roman" w:hAnsi="Times New Roman" w:cs="Times New Roman" w:hint="eastAsia"/>
          <w:sz w:val="24"/>
        </w:rPr>
        <w:t>–</w:t>
      </w:r>
      <w:r w:rsidRPr="009A08F7">
        <w:rPr>
          <w:rFonts w:ascii="Times New Roman" w:hAnsi="Times New Roman" w:cs="Times New Roman" w:hint="eastAsia"/>
          <w:sz w:val="24"/>
        </w:rPr>
        <w:t xml:space="preserve">2023). Journal of Medical Internet </w:t>
      </w:r>
      <w:r w:rsidRPr="009A08F7">
        <w:rPr>
          <w:rFonts w:ascii="Times New Roman" w:hAnsi="Times New Roman" w:cs="Times New Roman" w:hint="eastAsia"/>
          <w:i/>
          <w:iCs/>
          <w:sz w:val="24"/>
        </w:rPr>
        <w:t>Research, 26</w:t>
      </w:r>
      <w:r w:rsidRPr="009A08F7">
        <w:rPr>
          <w:rFonts w:ascii="Times New Roman" w:hAnsi="Times New Roman" w:cs="Times New Roman" w:hint="eastAsia"/>
          <w:sz w:val="24"/>
        </w:rPr>
        <w:t xml:space="preserve">(1), e60512. </w:t>
      </w:r>
    </w:p>
    <w:p w14:paraId="0FA37EF2" w14:textId="60DD476A" w:rsidR="004471E8" w:rsidRPr="004471E8" w:rsidRDefault="009A08F7" w:rsidP="009A08F7">
      <w:pPr>
        <w:spacing w:after="0" w:line="480" w:lineRule="auto"/>
        <w:ind w:left="284"/>
        <w:rPr>
          <w:rFonts w:ascii="Times New Roman" w:hAnsi="Times New Roman" w:cs="Times New Roman" w:hint="eastAsia"/>
          <w:sz w:val="24"/>
        </w:rPr>
      </w:pPr>
      <w:r w:rsidRPr="009A08F7">
        <w:rPr>
          <w:rFonts w:ascii="Times New Roman" w:hAnsi="Times New Roman" w:cs="Times New Roman" w:hint="eastAsia"/>
          <w:sz w:val="24"/>
        </w:rPr>
        <w:t>https://doi.org/10.2196/60512</w:t>
      </w:r>
    </w:p>
    <w:sectPr w:rsidR="004471E8" w:rsidRPr="004471E8" w:rsidSect="00DC2C98">
      <w:headerReference w:type="default" r:id="rId7"/>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1DB2D" w14:textId="77777777" w:rsidR="002E0A09" w:rsidRDefault="002E0A09" w:rsidP="002D33D2">
      <w:pPr>
        <w:spacing w:after="0" w:line="240" w:lineRule="auto"/>
        <w:rPr>
          <w:rFonts w:hint="eastAsia"/>
        </w:rPr>
      </w:pPr>
      <w:r>
        <w:separator/>
      </w:r>
    </w:p>
  </w:endnote>
  <w:endnote w:type="continuationSeparator" w:id="0">
    <w:p w14:paraId="0F7BB3B1" w14:textId="77777777" w:rsidR="002E0A09" w:rsidRDefault="002E0A09" w:rsidP="002D33D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5B3E0" w14:textId="77777777" w:rsidR="002E0A09" w:rsidRDefault="002E0A09" w:rsidP="002D33D2">
      <w:pPr>
        <w:spacing w:after="0" w:line="240" w:lineRule="auto"/>
        <w:rPr>
          <w:rFonts w:hint="eastAsia"/>
        </w:rPr>
      </w:pPr>
      <w:r>
        <w:separator/>
      </w:r>
    </w:p>
  </w:footnote>
  <w:footnote w:type="continuationSeparator" w:id="0">
    <w:p w14:paraId="5A1A5A80" w14:textId="77777777" w:rsidR="002E0A09" w:rsidRDefault="002E0A09" w:rsidP="002D33D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729948"/>
      <w:docPartObj>
        <w:docPartGallery w:val="Page Numbers (Top of Page)"/>
        <w:docPartUnique/>
      </w:docPartObj>
    </w:sdtPr>
    <w:sdtContent>
      <w:p w14:paraId="4C2B2C59" w14:textId="71CABD7A" w:rsidR="005054FD" w:rsidRDefault="005054FD">
        <w:pPr>
          <w:pStyle w:val="af0"/>
          <w:jc w:val="right"/>
          <w:rPr>
            <w:rFonts w:hint="eastAsia"/>
          </w:rPr>
        </w:pPr>
        <w:r>
          <w:fldChar w:fldCharType="begin"/>
        </w:r>
        <w:r>
          <w:instrText>PAGE   \* MERGEFORMAT</w:instrText>
        </w:r>
        <w:r>
          <w:fldChar w:fldCharType="separate"/>
        </w:r>
        <w:r>
          <w:rPr>
            <w:lang w:val="zh-CN"/>
          </w:rPr>
          <w:t>2</w:t>
        </w:r>
        <w:r>
          <w:fldChar w:fldCharType="end"/>
        </w:r>
      </w:p>
    </w:sdtContent>
  </w:sdt>
  <w:p w14:paraId="0DCC6B35" w14:textId="77777777" w:rsidR="002D33D2" w:rsidRDefault="002D33D2">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9BA"/>
    <w:multiLevelType w:val="multilevel"/>
    <w:tmpl w:val="52F8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01EA4"/>
    <w:multiLevelType w:val="multilevel"/>
    <w:tmpl w:val="7D5A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0224AC"/>
    <w:multiLevelType w:val="multilevel"/>
    <w:tmpl w:val="4478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040A47"/>
    <w:multiLevelType w:val="multilevel"/>
    <w:tmpl w:val="C96A6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A219FF"/>
    <w:multiLevelType w:val="multilevel"/>
    <w:tmpl w:val="F89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C63E90"/>
    <w:multiLevelType w:val="multilevel"/>
    <w:tmpl w:val="D8D0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CB4A09"/>
    <w:multiLevelType w:val="multilevel"/>
    <w:tmpl w:val="FB98B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902085"/>
    <w:multiLevelType w:val="multilevel"/>
    <w:tmpl w:val="6B94A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84277B"/>
    <w:multiLevelType w:val="multilevel"/>
    <w:tmpl w:val="C272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B67689"/>
    <w:multiLevelType w:val="multilevel"/>
    <w:tmpl w:val="92B6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C72A08"/>
    <w:multiLevelType w:val="multilevel"/>
    <w:tmpl w:val="505EB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8279B8"/>
    <w:multiLevelType w:val="multilevel"/>
    <w:tmpl w:val="C2803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1036174">
    <w:abstractNumId w:val="11"/>
  </w:num>
  <w:num w:numId="2" w16cid:durableId="495993688">
    <w:abstractNumId w:val="2"/>
  </w:num>
  <w:num w:numId="3" w16cid:durableId="1305352718">
    <w:abstractNumId w:val="5"/>
  </w:num>
  <w:num w:numId="4" w16cid:durableId="1596136827">
    <w:abstractNumId w:val="3"/>
  </w:num>
  <w:num w:numId="5" w16cid:durableId="6909784">
    <w:abstractNumId w:val="10"/>
  </w:num>
  <w:num w:numId="6" w16cid:durableId="1727341565">
    <w:abstractNumId w:val="9"/>
  </w:num>
  <w:num w:numId="7" w16cid:durableId="1095631234">
    <w:abstractNumId w:val="8"/>
  </w:num>
  <w:num w:numId="8" w16cid:durableId="22899878">
    <w:abstractNumId w:val="0"/>
  </w:num>
  <w:num w:numId="9" w16cid:durableId="168370634">
    <w:abstractNumId w:val="7"/>
  </w:num>
  <w:num w:numId="10" w16cid:durableId="1812752638">
    <w:abstractNumId w:val="1"/>
  </w:num>
  <w:num w:numId="11" w16cid:durableId="16855077">
    <w:abstractNumId w:val="4"/>
  </w:num>
  <w:num w:numId="12" w16cid:durableId="8100979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A80"/>
    <w:rsid w:val="000D6D57"/>
    <w:rsid w:val="001E2D61"/>
    <w:rsid w:val="002751F6"/>
    <w:rsid w:val="002D33D2"/>
    <w:rsid w:val="002E0A09"/>
    <w:rsid w:val="003771DE"/>
    <w:rsid w:val="004471E8"/>
    <w:rsid w:val="005054FD"/>
    <w:rsid w:val="005F270A"/>
    <w:rsid w:val="006A09B5"/>
    <w:rsid w:val="00721BE7"/>
    <w:rsid w:val="009A08F7"/>
    <w:rsid w:val="009B6502"/>
    <w:rsid w:val="00AB1F9E"/>
    <w:rsid w:val="00B80B82"/>
    <w:rsid w:val="00C82956"/>
    <w:rsid w:val="00DC2C98"/>
    <w:rsid w:val="00F87A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6CCF3"/>
  <w15:chartTrackingRefBased/>
  <w15:docId w15:val="{DB15BF8B-A30D-4F9E-B5B9-E48042700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87A8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87A8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link w:val="30"/>
    <w:uiPriority w:val="9"/>
    <w:qFormat/>
    <w:rsid w:val="00C82956"/>
    <w:pPr>
      <w:widowControl/>
      <w:spacing w:before="100" w:beforeAutospacing="1" w:after="100" w:afterAutospacing="1" w:line="240" w:lineRule="auto"/>
      <w:outlineLvl w:val="2"/>
    </w:pPr>
    <w:rPr>
      <w:rFonts w:ascii="宋体" w:eastAsia="宋体" w:hAnsi="宋体" w:cs="宋体"/>
      <w:b/>
      <w:bCs/>
      <w:kern w:val="0"/>
      <w:sz w:val="27"/>
      <w:szCs w:val="27"/>
    </w:rPr>
  </w:style>
  <w:style w:type="paragraph" w:styleId="4">
    <w:name w:val="heading 4"/>
    <w:basedOn w:val="a"/>
    <w:next w:val="a"/>
    <w:link w:val="40"/>
    <w:uiPriority w:val="9"/>
    <w:semiHidden/>
    <w:unhideWhenUsed/>
    <w:qFormat/>
    <w:rsid w:val="00F87A8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87A8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87A8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87A8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7A8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87A8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C82956"/>
    <w:rPr>
      <w:rFonts w:ascii="宋体" w:eastAsia="宋体" w:hAnsi="宋体" w:cs="宋体"/>
      <w:b/>
      <w:bCs/>
      <w:kern w:val="0"/>
      <w:sz w:val="27"/>
      <w:szCs w:val="27"/>
    </w:rPr>
  </w:style>
  <w:style w:type="character" w:customStyle="1" w:styleId="10">
    <w:name w:val="标题 1 字符"/>
    <w:basedOn w:val="a0"/>
    <w:link w:val="1"/>
    <w:uiPriority w:val="9"/>
    <w:rsid w:val="00F87A8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87A80"/>
    <w:rPr>
      <w:rFonts w:asciiTheme="majorHAnsi" w:eastAsiaTheme="majorEastAsia" w:hAnsiTheme="majorHAnsi" w:cstheme="majorBidi"/>
      <w:color w:val="2F5496" w:themeColor="accent1" w:themeShade="BF"/>
      <w:sz w:val="40"/>
      <w:szCs w:val="40"/>
    </w:rPr>
  </w:style>
  <w:style w:type="character" w:customStyle="1" w:styleId="40">
    <w:name w:val="标题 4 字符"/>
    <w:basedOn w:val="a0"/>
    <w:link w:val="4"/>
    <w:uiPriority w:val="9"/>
    <w:semiHidden/>
    <w:rsid w:val="00F87A80"/>
    <w:rPr>
      <w:rFonts w:cstheme="majorBidi"/>
      <w:color w:val="2F5496" w:themeColor="accent1" w:themeShade="BF"/>
      <w:sz w:val="28"/>
      <w:szCs w:val="28"/>
    </w:rPr>
  </w:style>
  <w:style w:type="character" w:customStyle="1" w:styleId="50">
    <w:name w:val="标题 5 字符"/>
    <w:basedOn w:val="a0"/>
    <w:link w:val="5"/>
    <w:uiPriority w:val="9"/>
    <w:semiHidden/>
    <w:rsid w:val="00F87A80"/>
    <w:rPr>
      <w:rFonts w:cstheme="majorBidi"/>
      <w:color w:val="2F5496" w:themeColor="accent1" w:themeShade="BF"/>
      <w:sz w:val="24"/>
    </w:rPr>
  </w:style>
  <w:style w:type="character" w:customStyle="1" w:styleId="60">
    <w:name w:val="标题 6 字符"/>
    <w:basedOn w:val="a0"/>
    <w:link w:val="6"/>
    <w:uiPriority w:val="9"/>
    <w:semiHidden/>
    <w:rsid w:val="00F87A80"/>
    <w:rPr>
      <w:rFonts w:cstheme="majorBidi"/>
      <w:b/>
      <w:bCs/>
      <w:color w:val="2F5496" w:themeColor="accent1" w:themeShade="BF"/>
    </w:rPr>
  </w:style>
  <w:style w:type="character" w:customStyle="1" w:styleId="70">
    <w:name w:val="标题 7 字符"/>
    <w:basedOn w:val="a0"/>
    <w:link w:val="7"/>
    <w:uiPriority w:val="9"/>
    <w:semiHidden/>
    <w:rsid w:val="00F87A80"/>
    <w:rPr>
      <w:rFonts w:cstheme="majorBidi"/>
      <w:b/>
      <w:bCs/>
      <w:color w:val="595959" w:themeColor="text1" w:themeTint="A6"/>
    </w:rPr>
  </w:style>
  <w:style w:type="character" w:customStyle="1" w:styleId="80">
    <w:name w:val="标题 8 字符"/>
    <w:basedOn w:val="a0"/>
    <w:link w:val="8"/>
    <w:uiPriority w:val="9"/>
    <w:semiHidden/>
    <w:rsid w:val="00F87A80"/>
    <w:rPr>
      <w:rFonts w:cstheme="majorBidi"/>
      <w:color w:val="595959" w:themeColor="text1" w:themeTint="A6"/>
    </w:rPr>
  </w:style>
  <w:style w:type="character" w:customStyle="1" w:styleId="90">
    <w:name w:val="标题 9 字符"/>
    <w:basedOn w:val="a0"/>
    <w:link w:val="9"/>
    <w:uiPriority w:val="9"/>
    <w:semiHidden/>
    <w:rsid w:val="00F87A80"/>
    <w:rPr>
      <w:rFonts w:eastAsiaTheme="majorEastAsia" w:cstheme="majorBidi"/>
      <w:color w:val="595959" w:themeColor="text1" w:themeTint="A6"/>
    </w:rPr>
  </w:style>
  <w:style w:type="paragraph" w:styleId="a3">
    <w:name w:val="Title"/>
    <w:basedOn w:val="a"/>
    <w:next w:val="a"/>
    <w:link w:val="a4"/>
    <w:uiPriority w:val="10"/>
    <w:qFormat/>
    <w:rsid w:val="00F87A8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87A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7A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7A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7A80"/>
    <w:pPr>
      <w:spacing w:before="160"/>
      <w:jc w:val="center"/>
    </w:pPr>
    <w:rPr>
      <w:i/>
      <w:iCs/>
      <w:color w:val="404040" w:themeColor="text1" w:themeTint="BF"/>
    </w:rPr>
  </w:style>
  <w:style w:type="character" w:customStyle="1" w:styleId="a8">
    <w:name w:val="引用 字符"/>
    <w:basedOn w:val="a0"/>
    <w:link w:val="a7"/>
    <w:uiPriority w:val="29"/>
    <w:rsid w:val="00F87A80"/>
    <w:rPr>
      <w:i/>
      <w:iCs/>
      <w:color w:val="404040" w:themeColor="text1" w:themeTint="BF"/>
    </w:rPr>
  </w:style>
  <w:style w:type="paragraph" w:styleId="a9">
    <w:name w:val="List Paragraph"/>
    <w:basedOn w:val="a"/>
    <w:uiPriority w:val="34"/>
    <w:qFormat/>
    <w:rsid w:val="00F87A80"/>
    <w:pPr>
      <w:ind w:left="720"/>
      <w:contextualSpacing/>
    </w:pPr>
  </w:style>
  <w:style w:type="character" w:styleId="aa">
    <w:name w:val="Intense Emphasis"/>
    <w:basedOn w:val="a0"/>
    <w:uiPriority w:val="21"/>
    <w:qFormat/>
    <w:rsid w:val="00F87A80"/>
    <w:rPr>
      <w:i/>
      <w:iCs/>
      <w:color w:val="2F5496" w:themeColor="accent1" w:themeShade="BF"/>
    </w:rPr>
  </w:style>
  <w:style w:type="paragraph" w:styleId="ab">
    <w:name w:val="Intense Quote"/>
    <w:basedOn w:val="a"/>
    <w:next w:val="a"/>
    <w:link w:val="ac"/>
    <w:uiPriority w:val="30"/>
    <w:qFormat/>
    <w:rsid w:val="00F87A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87A80"/>
    <w:rPr>
      <w:i/>
      <w:iCs/>
      <w:color w:val="2F5496" w:themeColor="accent1" w:themeShade="BF"/>
    </w:rPr>
  </w:style>
  <w:style w:type="character" w:styleId="ad">
    <w:name w:val="Intense Reference"/>
    <w:basedOn w:val="a0"/>
    <w:uiPriority w:val="32"/>
    <w:qFormat/>
    <w:rsid w:val="00F87A80"/>
    <w:rPr>
      <w:b/>
      <w:bCs/>
      <w:smallCaps/>
      <w:color w:val="2F5496" w:themeColor="accent1" w:themeShade="BF"/>
      <w:spacing w:val="5"/>
    </w:rPr>
  </w:style>
  <w:style w:type="character" w:styleId="ae">
    <w:name w:val="Hyperlink"/>
    <w:basedOn w:val="a0"/>
    <w:uiPriority w:val="99"/>
    <w:unhideWhenUsed/>
    <w:rsid w:val="00B80B82"/>
    <w:rPr>
      <w:color w:val="0563C1" w:themeColor="hyperlink"/>
      <w:u w:val="single"/>
    </w:rPr>
  </w:style>
  <w:style w:type="character" w:styleId="af">
    <w:name w:val="Unresolved Mention"/>
    <w:basedOn w:val="a0"/>
    <w:uiPriority w:val="99"/>
    <w:semiHidden/>
    <w:unhideWhenUsed/>
    <w:rsid w:val="00B80B82"/>
    <w:rPr>
      <w:color w:val="605E5C"/>
      <w:shd w:val="clear" w:color="auto" w:fill="E1DFDD"/>
    </w:rPr>
  </w:style>
  <w:style w:type="paragraph" w:styleId="af0">
    <w:name w:val="header"/>
    <w:basedOn w:val="a"/>
    <w:link w:val="af1"/>
    <w:uiPriority w:val="99"/>
    <w:unhideWhenUsed/>
    <w:rsid w:val="002D33D2"/>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2D33D2"/>
    <w:rPr>
      <w:sz w:val="18"/>
      <w:szCs w:val="18"/>
    </w:rPr>
  </w:style>
  <w:style w:type="paragraph" w:styleId="af2">
    <w:name w:val="footer"/>
    <w:basedOn w:val="a"/>
    <w:link w:val="af3"/>
    <w:uiPriority w:val="99"/>
    <w:unhideWhenUsed/>
    <w:rsid w:val="002D33D2"/>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2D33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527131">
      <w:bodyDiv w:val="1"/>
      <w:marLeft w:val="0"/>
      <w:marRight w:val="0"/>
      <w:marTop w:val="0"/>
      <w:marBottom w:val="0"/>
      <w:divBdr>
        <w:top w:val="none" w:sz="0" w:space="0" w:color="auto"/>
        <w:left w:val="none" w:sz="0" w:space="0" w:color="auto"/>
        <w:bottom w:val="none" w:sz="0" w:space="0" w:color="auto"/>
        <w:right w:val="none" w:sz="0" w:space="0" w:color="auto"/>
      </w:divBdr>
    </w:div>
    <w:div w:id="558327175">
      <w:bodyDiv w:val="1"/>
      <w:marLeft w:val="0"/>
      <w:marRight w:val="0"/>
      <w:marTop w:val="0"/>
      <w:marBottom w:val="0"/>
      <w:divBdr>
        <w:top w:val="none" w:sz="0" w:space="0" w:color="auto"/>
        <w:left w:val="none" w:sz="0" w:space="0" w:color="auto"/>
        <w:bottom w:val="none" w:sz="0" w:space="0" w:color="auto"/>
        <w:right w:val="none" w:sz="0" w:space="0" w:color="auto"/>
      </w:divBdr>
    </w:div>
    <w:div w:id="714767976">
      <w:bodyDiv w:val="1"/>
      <w:marLeft w:val="0"/>
      <w:marRight w:val="0"/>
      <w:marTop w:val="0"/>
      <w:marBottom w:val="0"/>
      <w:divBdr>
        <w:top w:val="none" w:sz="0" w:space="0" w:color="auto"/>
        <w:left w:val="none" w:sz="0" w:space="0" w:color="auto"/>
        <w:bottom w:val="none" w:sz="0" w:space="0" w:color="auto"/>
        <w:right w:val="none" w:sz="0" w:space="0" w:color="auto"/>
      </w:divBdr>
    </w:div>
    <w:div w:id="883902735">
      <w:bodyDiv w:val="1"/>
      <w:marLeft w:val="0"/>
      <w:marRight w:val="0"/>
      <w:marTop w:val="0"/>
      <w:marBottom w:val="0"/>
      <w:divBdr>
        <w:top w:val="none" w:sz="0" w:space="0" w:color="auto"/>
        <w:left w:val="none" w:sz="0" w:space="0" w:color="auto"/>
        <w:bottom w:val="none" w:sz="0" w:space="0" w:color="auto"/>
        <w:right w:val="none" w:sz="0" w:space="0" w:color="auto"/>
      </w:divBdr>
    </w:div>
    <w:div w:id="1648438388">
      <w:bodyDiv w:val="1"/>
      <w:marLeft w:val="0"/>
      <w:marRight w:val="0"/>
      <w:marTop w:val="0"/>
      <w:marBottom w:val="0"/>
      <w:divBdr>
        <w:top w:val="none" w:sz="0" w:space="0" w:color="auto"/>
        <w:left w:val="none" w:sz="0" w:space="0" w:color="auto"/>
        <w:bottom w:val="none" w:sz="0" w:space="0" w:color="auto"/>
        <w:right w:val="none" w:sz="0" w:space="0" w:color="auto"/>
      </w:divBdr>
    </w:div>
    <w:div w:id="2097439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8</Pages>
  <Words>1609</Words>
  <Characters>9175</Characters>
  <Application>Microsoft Office Word</Application>
  <DocSecurity>0</DocSecurity>
  <Lines>76</Lines>
  <Paragraphs>21</Paragraphs>
  <ScaleCrop>false</ScaleCrop>
  <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伟康 杨</dc:creator>
  <cp:keywords/>
  <dc:description/>
  <cp:lastModifiedBy>伟康 杨</cp:lastModifiedBy>
  <cp:revision>4</cp:revision>
  <dcterms:created xsi:type="dcterms:W3CDTF">2025-07-16T03:39:00Z</dcterms:created>
  <dcterms:modified xsi:type="dcterms:W3CDTF">2025-07-17T01:52:00Z</dcterms:modified>
</cp:coreProperties>
</file>