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OpenSans-Bold" w:hAnsi="OpenSans-Bold" w:eastAsia="OpenSans-Bold" w:cs="OpenSans-Bold"/>
          <w:b/>
          <w:bCs/>
          <w:color w:val="333333"/>
          <w:kern w:val="0"/>
          <w:sz w:val="36"/>
          <w:szCs w:val="36"/>
          <w:lang w:val="en-US" w:eastAsia="zh-CN" w:bidi="ar"/>
        </w:rPr>
      </w:pPr>
      <w:r>
        <w:rPr>
          <w:rFonts w:ascii="OpenSans-Bold" w:hAnsi="OpenSans-Bold" w:eastAsia="OpenSans-Bold" w:cs="OpenSans-Bold"/>
          <w:b/>
          <w:bCs/>
          <w:color w:val="333333"/>
          <w:kern w:val="0"/>
          <w:sz w:val="36"/>
          <w:szCs w:val="36"/>
          <w:lang w:val="en-US" w:eastAsia="zh-CN" w:bidi="ar"/>
        </w:rPr>
        <w:t>Design and Analysis of Algorith</w:t>
      </w:r>
      <w:bookmarkStart w:id="0" w:name="_GoBack"/>
      <w:bookmarkEnd w:id="0"/>
      <w:r>
        <w:rPr>
          <w:rFonts w:ascii="OpenSans-Bold" w:hAnsi="OpenSans-Bold" w:eastAsia="OpenSans-Bold" w:cs="OpenSans-Bold"/>
          <w:b/>
          <w:bCs/>
          <w:color w:val="333333"/>
          <w:kern w:val="0"/>
          <w:sz w:val="36"/>
          <w:szCs w:val="36"/>
          <w:lang w:val="en-US" w:eastAsia="zh-CN" w:bidi="ar"/>
        </w:rPr>
        <w:t>ms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Sans-Bold" w:hAnsi="OpenSans-Bold" w:eastAsia="OpenSans-Bold" w:cs="OpenSans-Bold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OpenSans-Bold" w:hAnsi="OpenSans-Bold" w:eastAsia="OpenSans-Bold" w:cs="OpenSans-Bold"/>
          <w:b/>
          <w:bCs/>
          <w:color w:val="333333"/>
          <w:kern w:val="0"/>
          <w:sz w:val="24"/>
          <w:szCs w:val="24"/>
          <w:lang w:val="en-US" w:eastAsia="zh-CN" w:bidi="ar"/>
        </w:rPr>
        <w:t>------------------------------------------------------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P=NP和P≠NP的涵义。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2225040" cy="3886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162300" cy="34290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证明集合覆盖是NPC问题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满足三角不等式的TSP算法的2近似证明。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BCFDB"/>
    <w:multiLevelType w:val="singleLevel"/>
    <w:tmpl w:val="B1DBCF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yODM1OTE3MGRlNGI5NTg2ZWMzMTQ2ZTUwNTQ5YTMifQ=="/>
  </w:docVars>
  <w:rsids>
    <w:rsidRoot w:val="00000000"/>
    <w:rsid w:val="0C4D6D5B"/>
    <w:rsid w:val="10801768"/>
    <w:rsid w:val="111408AF"/>
    <w:rsid w:val="2712716F"/>
    <w:rsid w:val="47775FCC"/>
    <w:rsid w:val="620A0FF0"/>
    <w:rsid w:val="7660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Emphasis"/>
    <w:basedOn w:val="4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257</Characters>
  <Lines>0</Lines>
  <Paragraphs>0</Paragraphs>
  <TotalTime>6</TotalTime>
  <ScaleCrop>false</ScaleCrop>
  <LinksUpToDate>false</LinksUpToDate>
  <CharactersWithSpaces>265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2024-05-05T10:55:00Z</dcterms:created>
  <dc:creator>86138</dc:creator>
  <cp:lastModifiedBy>杕杜</cp:lastModifiedBy>
  <dcterms:modified xsi:type="dcterms:W3CDTF">2024-06-02T12:42:02Z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4E78FE253E764274B81424FE12355E62_12</vt:lpwstr>
  </property>
</Properties>
</file>