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DB079" w14:textId="4F2E79E4" w:rsidR="007F6850" w:rsidRPr="005E2B7A" w:rsidRDefault="00BA243B" w:rsidP="005E2B7A">
      <w:pPr>
        <w:spacing w:line="480" w:lineRule="auto"/>
        <w:jc w:val="center"/>
        <w:rPr>
          <w:rFonts w:ascii="Times New Roman" w:hAnsi="Times New Roman" w:cs="Times New Roman"/>
          <w:b/>
          <w:sz w:val="28"/>
          <w:szCs w:val="28"/>
        </w:rPr>
      </w:pPr>
      <w:r w:rsidRPr="005E2B7A">
        <w:rPr>
          <w:rFonts w:ascii="Times New Roman" w:hAnsi="Times New Roman" w:cs="Times New Roman"/>
          <w:b/>
          <w:sz w:val="28"/>
          <w:szCs w:val="28"/>
        </w:rPr>
        <w:t>Supplementary Data</w:t>
      </w:r>
    </w:p>
    <w:p w14:paraId="0A47D685" w14:textId="00FF32BD" w:rsidR="007F6850" w:rsidRPr="007F6850" w:rsidRDefault="007F6850" w:rsidP="005E2B7A">
      <w:pPr>
        <w:spacing w:line="480" w:lineRule="auto"/>
        <w:rPr>
          <w:rFonts w:ascii="Times New Roman" w:hAnsi="Times New Roman" w:cs="Times New Roman"/>
          <w:b/>
        </w:rPr>
      </w:pPr>
      <w:r>
        <w:rPr>
          <w:rFonts w:ascii="Times New Roman" w:hAnsi="Times New Roman" w:cs="Times New Roman"/>
          <w:b/>
        </w:rPr>
        <w:t>Rationale of the BOIN design</w:t>
      </w:r>
    </w:p>
    <w:p w14:paraId="00FD6784" w14:textId="77777777" w:rsidR="007F6850" w:rsidRPr="00247CEB" w:rsidRDefault="007F6850" w:rsidP="007F6850">
      <w:pPr>
        <w:spacing w:line="480" w:lineRule="auto"/>
        <w:rPr>
          <w:rFonts w:ascii="Times New Roman" w:hAnsi="Times New Roman" w:cs="Times New Roman"/>
        </w:rPr>
      </w:pPr>
      <w:r w:rsidRPr="00247CEB">
        <w:rPr>
          <w:rFonts w:ascii="Times New Roman" w:hAnsi="Times New Roman" w:cs="Times New Roman"/>
        </w:rPr>
        <w:t xml:space="preserve">In order to understand the rationale behind the BOIN design, we first examine how a phase I cancer trial is conducted in practice. </w:t>
      </w:r>
      <w:r>
        <w:rPr>
          <w:rFonts w:ascii="Times New Roman" w:hAnsi="Times New Roman" w:cs="Times New Roman"/>
        </w:rPr>
        <w:t xml:space="preserve">Typically, </w:t>
      </w:r>
      <w:r w:rsidRPr="00247CEB">
        <w:rPr>
          <w:rFonts w:ascii="Times New Roman" w:hAnsi="Times New Roman" w:cs="Times New Roman"/>
        </w:rPr>
        <w:t xml:space="preserve">the trial </w:t>
      </w:r>
      <w:r>
        <w:rPr>
          <w:rFonts w:ascii="Times New Roman" w:hAnsi="Times New Roman" w:cs="Times New Roman"/>
        </w:rPr>
        <w:t xml:space="preserve">starts </w:t>
      </w:r>
      <w:r w:rsidRPr="00247CEB">
        <w:rPr>
          <w:rFonts w:ascii="Times New Roman" w:hAnsi="Times New Roman" w:cs="Times New Roman"/>
        </w:rPr>
        <w:t xml:space="preserve">by treating the first cohort of patients at the lowest (or a </w:t>
      </w:r>
      <w:proofErr w:type="spellStart"/>
      <w:r w:rsidRPr="00247CEB">
        <w:rPr>
          <w:rFonts w:ascii="Times New Roman" w:hAnsi="Times New Roman" w:cs="Times New Roman"/>
        </w:rPr>
        <w:t>prespecified</w:t>
      </w:r>
      <w:proofErr w:type="spellEnd"/>
      <w:r w:rsidRPr="00247CEB">
        <w:rPr>
          <w:rFonts w:ascii="Times New Roman" w:hAnsi="Times New Roman" w:cs="Times New Roman"/>
        </w:rPr>
        <w:t xml:space="preserve"> intermediate) dose. Based on the toxicity data collected from the first cohort,</w:t>
      </w:r>
      <w:r>
        <w:rPr>
          <w:rFonts w:ascii="Times New Roman" w:hAnsi="Times New Roman" w:cs="Times New Roman"/>
        </w:rPr>
        <w:t xml:space="preserve"> </w:t>
      </w:r>
      <w:r w:rsidRPr="00247CEB">
        <w:rPr>
          <w:rFonts w:ascii="Times New Roman" w:hAnsi="Times New Roman" w:cs="Times New Roman"/>
        </w:rPr>
        <w:t xml:space="preserve">the most appropriate dose </w:t>
      </w:r>
      <w:r>
        <w:rPr>
          <w:rFonts w:ascii="Times New Roman" w:hAnsi="Times New Roman" w:cs="Times New Roman"/>
        </w:rPr>
        <w:t xml:space="preserve">is selected </w:t>
      </w:r>
      <w:r w:rsidRPr="00247CEB">
        <w:rPr>
          <w:rFonts w:ascii="Times New Roman" w:hAnsi="Times New Roman" w:cs="Times New Roman"/>
        </w:rPr>
        <w:t>for the second cohort by escalating, de-escalating or retaining the current dose. After we observe the toxicity outcome of the second cohort, the most appropriate dose for the third cohort</w:t>
      </w:r>
      <w:r>
        <w:rPr>
          <w:rFonts w:ascii="Times New Roman" w:hAnsi="Times New Roman" w:cs="Times New Roman"/>
        </w:rPr>
        <w:t xml:space="preserve"> is selected</w:t>
      </w:r>
      <w:r w:rsidRPr="00247CEB">
        <w:rPr>
          <w:rFonts w:ascii="Times New Roman" w:hAnsi="Times New Roman" w:cs="Times New Roman"/>
        </w:rPr>
        <w:t xml:space="preserve">, based on the cumulative toxicity data from the first two cohorts, and so on until the trial reaches the </w:t>
      </w:r>
      <w:proofErr w:type="spellStart"/>
      <w:r w:rsidRPr="00247CEB">
        <w:rPr>
          <w:rFonts w:ascii="Times New Roman" w:hAnsi="Times New Roman" w:cs="Times New Roman"/>
        </w:rPr>
        <w:t>prespecified</w:t>
      </w:r>
      <w:proofErr w:type="spellEnd"/>
      <w:r w:rsidRPr="00247CEB">
        <w:rPr>
          <w:rFonts w:ascii="Times New Roman" w:hAnsi="Times New Roman" w:cs="Times New Roman"/>
        </w:rPr>
        <w:t xml:space="preserve"> maximum sample size. Therefore</w:t>
      </w:r>
      <w:r>
        <w:rPr>
          <w:rFonts w:ascii="Times New Roman" w:hAnsi="Times New Roman" w:cs="Times New Roman"/>
        </w:rPr>
        <w:t xml:space="preserve">, the phase I trial is essentially </w:t>
      </w:r>
      <w:r w:rsidRPr="00247CEB">
        <w:rPr>
          <w:rFonts w:ascii="Times New Roman" w:hAnsi="Times New Roman" w:cs="Times New Roman"/>
        </w:rPr>
        <w:t>a sequence of decision-making steps of dose assignment for patients who are sequentially enrolled into the trial.</w:t>
      </w:r>
    </w:p>
    <w:p w14:paraId="1478D31A" w14:textId="77777777" w:rsidR="007F6850" w:rsidRPr="00247CEB" w:rsidRDefault="007F6850" w:rsidP="007F6850">
      <w:pPr>
        <w:spacing w:line="480" w:lineRule="auto"/>
        <w:ind w:firstLine="720"/>
        <w:rPr>
          <w:rFonts w:ascii="Times New Roman" w:hAnsi="Times New Roman" w:cs="Times New Roman"/>
        </w:rPr>
      </w:pPr>
      <w:r w:rsidRPr="00247CEB">
        <w:rPr>
          <w:rFonts w:ascii="Times New Roman" w:hAnsi="Times New Roman" w:cs="Times New Roman"/>
        </w:rPr>
        <w:t xml:space="preserve">Let ϕ represent the </w:t>
      </w:r>
      <w:proofErr w:type="spellStart"/>
      <w:r w:rsidRPr="00247CEB">
        <w:rPr>
          <w:rFonts w:ascii="Times New Roman" w:hAnsi="Times New Roman" w:cs="Times New Roman"/>
        </w:rPr>
        <w:t>prespecified</w:t>
      </w:r>
      <w:proofErr w:type="spellEnd"/>
      <w:r w:rsidRPr="00247CEB">
        <w:rPr>
          <w:rFonts w:ascii="Times New Roman" w:hAnsi="Times New Roman" w:cs="Times New Roman"/>
        </w:rPr>
        <w:t xml:space="preserve"> target toxicity level. If the true toxicity rate of the current dose, say </w:t>
      </w:r>
      <w:r w:rsidRPr="00247CEB">
        <w:rPr>
          <w:rFonts w:ascii="Times New Roman" w:hAnsi="Times New Roman" w:cs="Times New Roman"/>
          <w:i/>
        </w:rPr>
        <w:t>p</w:t>
      </w:r>
      <w:r w:rsidRPr="00247CEB">
        <w:rPr>
          <w:rFonts w:ascii="Times New Roman" w:hAnsi="Times New Roman" w:cs="Times New Roman"/>
        </w:rPr>
        <w:t xml:space="preserve">, </w:t>
      </w:r>
      <w:r>
        <w:rPr>
          <w:rFonts w:ascii="Times New Roman" w:hAnsi="Times New Roman" w:cs="Times New Roman"/>
        </w:rPr>
        <w:t xml:space="preserve">was known </w:t>
      </w:r>
      <w:r w:rsidRPr="00247CEB">
        <w:rPr>
          <w:rFonts w:ascii="Times New Roman" w:hAnsi="Times New Roman" w:cs="Times New Roman"/>
        </w:rPr>
        <w:t xml:space="preserve">at each stage of decision making, then it would be straightforward to make the dose assignment. If </w:t>
      </w:r>
      <w:r w:rsidRPr="00247CEB">
        <w:rPr>
          <w:rFonts w:ascii="Times New Roman" w:hAnsi="Times New Roman" w:cs="Times New Roman"/>
          <w:i/>
        </w:rPr>
        <w:t>p&gt;</w:t>
      </w:r>
      <w:r w:rsidRPr="00247CEB">
        <w:rPr>
          <w:rFonts w:ascii="Times New Roman" w:hAnsi="Times New Roman" w:cs="Times New Roman"/>
          <w:i/>
        </w:rPr>
        <w:sym w:font="Symbol" w:char="F066"/>
      </w:r>
      <w:r w:rsidRPr="00247CEB">
        <w:rPr>
          <w:rFonts w:ascii="Times New Roman" w:hAnsi="Times New Roman" w:cs="Times New Roman"/>
        </w:rPr>
        <w:t xml:space="preserve">, which means that the current dose is above the MTD (i.e., overdosing), the dose </w:t>
      </w:r>
      <w:r>
        <w:rPr>
          <w:rFonts w:ascii="Times New Roman" w:hAnsi="Times New Roman" w:cs="Times New Roman"/>
        </w:rPr>
        <w:t xml:space="preserve">should be </w:t>
      </w:r>
      <w:r w:rsidRPr="00247CEB">
        <w:rPr>
          <w:rFonts w:ascii="Times New Roman" w:hAnsi="Times New Roman" w:cs="Times New Roman"/>
        </w:rPr>
        <w:t>de-escalate</w:t>
      </w:r>
      <w:r>
        <w:rPr>
          <w:rFonts w:ascii="Times New Roman" w:hAnsi="Times New Roman" w:cs="Times New Roman"/>
        </w:rPr>
        <w:t>d</w:t>
      </w:r>
      <w:r w:rsidRPr="00247CEB">
        <w:rPr>
          <w:rFonts w:ascii="Times New Roman" w:hAnsi="Times New Roman" w:cs="Times New Roman"/>
        </w:rPr>
        <w:t xml:space="preserve"> to avoid exposing the next patient to an overly toxic dose; if </w:t>
      </w:r>
      <w:r w:rsidRPr="00247CEB">
        <w:rPr>
          <w:rFonts w:ascii="Times New Roman" w:hAnsi="Times New Roman" w:cs="Times New Roman"/>
          <w:i/>
        </w:rPr>
        <w:t>p&lt;</w:t>
      </w:r>
      <w:r w:rsidRPr="00247CEB">
        <w:rPr>
          <w:rFonts w:ascii="Times New Roman" w:hAnsi="Times New Roman" w:cs="Times New Roman"/>
          <w:i/>
        </w:rPr>
        <w:sym w:font="Symbol" w:char="F066"/>
      </w:r>
      <w:r w:rsidRPr="00247CEB">
        <w:rPr>
          <w:rFonts w:ascii="Times New Roman" w:hAnsi="Times New Roman" w:cs="Times New Roman"/>
        </w:rPr>
        <w:t xml:space="preserve">, which means that the current dose is below the MTD (i.e., </w:t>
      </w:r>
      <w:proofErr w:type="spellStart"/>
      <w:r w:rsidRPr="00247CEB">
        <w:rPr>
          <w:rFonts w:ascii="Times New Roman" w:hAnsi="Times New Roman" w:cs="Times New Roman"/>
        </w:rPr>
        <w:t>underdosing</w:t>
      </w:r>
      <w:proofErr w:type="spellEnd"/>
      <w:r w:rsidRPr="00247CEB">
        <w:rPr>
          <w:rFonts w:ascii="Times New Roman" w:hAnsi="Times New Roman" w:cs="Times New Roman"/>
        </w:rPr>
        <w:t xml:space="preserve">), the dose </w:t>
      </w:r>
      <w:r>
        <w:rPr>
          <w:rFonts w:ascii="Times New Roman" w:hAnsi="Times New Roman" w:cs="Times New Roman"/>
        </w:rPr>
        <w:t xml:space="preserve">should be escalated </w:t>
      </w:r>
      <w:r w:rsidRPr="00247CEB">
        <w:rPr>
          <w:rFonts w:ascii="Times New Roman" w:hAnsi="Times New Roman" w:cs="Times New Roman"/>
        </w:rPr>
        <w:t xml:space="preserve">to avoid treating the next patient at a </w:t>
      </w:r>
      <w:proofErr w:type="spellStart"/>
      <w:r w:rsidRPr="00247CEB">
        <w:rPr>
          <w:rFonts w:ascii="Times New Roman" w:hAnsi="Times New Roman" w:cs="Times New Roman"/>
        </w:rPr>
        <w:t>subtherapeutic</w:t>
      </w:r>
      <w:proofErr w:type="spellEnd"/>
      <w:r w:rsidRPr="00247CEB">
        <w:rPr>
          <w:rFonts w:ascii="Times New Roman" w:hAnsi="Times New Roman" w:cs="Times New Roman"/>
        </w:rPr>
        <w:t xml:space="preserve"> dose level; and if </w:t>
      </w:r>
      <w:r w:rsidRPr="00247CEB">
        <w:rPr>
          <w:rFonts w:ascii="Times New Roman" w:hAnsi="Times New Roman" w:cs="Times New Roman"/>
          <w:i/>
        </w:rPr>
        <w:t>p=</w:t>
      </w:r>
      <w:r w:rsidRPr="00247CEB">
        <w:rPr>
          <w:rFonts w:ascii="Times New Roman" w:hAnsi="Times New Roman" w:cs="Times New Roman"/>
          <w:i/>
        </w:rPr>
        <w:sym w:font="Symbol" w:char="F066"/>
      </w:r>
      <w:r w:rsidRPr="00247CEB">
        <w:rPr>
          <w:rFonts w:ascii="Times New Roman" w:hAnsi="Times New Roman" w:cs="Times New Roman"/>
        </w:rPr>
        <w:t xml:space="preserve">, </w:t>
      </w:r>
      <w:r>
        <w:rPr>
          <w:rFonts w:ascii="Times New Roman" w:hAnsi="Times New Roman" w:cs="Times New Roman"/>
        </w:rPr>
        <w:t>indicating</w:t>
      </w:r>
      <w:r w:rsidRPr="00247CEB">
        <w:rPr>
          <w:rFonts w:ascii="Times New Roman" w:hAnsi="Times New Roman" w:cs="Times New Roman"/>
        </w:rPr>
        <w:t xml:space="preserve"> that the current dose is the MTD, the current dose</w:t>
      </w:r>
      <w:r>
        <w:rPr>
          <w:rFonts w:ascii="Times New Roman" w:hAnsi="Times New Roman" w:cs="Times New Roman"/>
        </w:rPr>
        <w:t xml:space="preserve"> should be </w:t>
      </w:r>
      <w:r w:rsidRPr="00247CEB">
        <w:rPr>
          <w:rFonts w:ascii="Times New Roman" w:hAnsi="Times New Roman" w:cs="Times New Roman"/>
        </w:rPr>
        <w:t>retain</w:t>
      </w:r>
      <w:r>
        <w:rPr>
          <w:rFonts w:ascii="Times New Roman" w:hAnsi="Times New Roman" w:cs="Times New Roman"/>
        </w:rPr>
        <w:t>ed</w:t>
      </w:r>
      <w:r w:rsidRPr="00247CEB">
        <w:rPr>
          <w:rFonts w:ascii="Times New Roman" w:hAnsi="Times New Roman" w:cs="Times New Roman"/>
        </w:rPr>
        <w:t xml:space="preserve"> to treat the next patient. We refer to such a design as an “oracle” design because (1) it always make correct decisions of dose escalation and de-escalation and thus leads to optimal </w:t>
      </w:r>
      <w:r>
        <w:rPr>
          <w:rFonts w:ascii="Times New Roman" w:hAnsi="Times New Roman" w:cs="Times New Roman"/>
        </w:rPr>
        <w:t>ethical patient treatment</w:t>
      </w:r>
      <w:r w:rsidRPr="00247CEB">
        <w:rPr>
          <w:rFonts w:ascii="Times New Roman" w:hAnsi="Times New Roman" w:cs="Times New Roman"/>
        </w:rPr>
        <w:t xml:space="preserve">, and (2) it </w:t>
      </w:r>
      <w:r w:rsidRPr="00247CEB">
        <w:rPr>
          <w:rFonts w:ascii="Times New Roman" w:hAnsi="Times New Roman" w:cs="Times New Roman"/>
        </w:rPr>
        <w:lastRenderedPageBreak/>
        <w:t>does not exist in practice because in reality the true toxicity rate of the current dose</w:t>
      </w:r>
      <w:r>
        <w:rPr>
          <w:rFonts w:ascii="Times New Roman" w:hAnsi="Times New Roman" w:cs="Times New Roman"/>
        </w:rPr>
        <w:t xml:space="preserve"> is</w:t>
      </w:r>
      <w:r w:rsidRPr="00247CEB">
        <w:rPr>
          <w:rFonts w:ascii="Times New Roman" w:hAnsi="Times New Roman" w:cs="Times New Roman"/>
        </w:rPr>
        <w:t xml:space="preserve"> never know</w:t>
      </w:r>
      <w:r>
        <w:rPr>
          <w:rFonts w:ascii="Times New Roman" w:hAnsi="Times New Roman" w:cs="Times New Roman"/>
        </w:rPr>
        <w:t>n</w:t>
      </w:r>
      <w:r w:rsidRPr="00247CEB">
        <w:rPr>
          <w:rFonts w:ascii="Times New Roman" w:hAnsi="Times New Roman" w:cs="Times New Roman"/>
        </w:rPr>
        <w:t xml:space="preserve">; otherwise there would be no need to </w:t>
      </w:r>
      <w:r>
        <w:rPr>
          <w:rFonts w:ascii="Times New Roman" w:hAnsi="Times New Roman" w:cs="Times New Roman"/>
        </w:rPr>
        <w:t>conduct the phase I trial</w:t>
      </w:r>
      <w:r w:rsidRPr="00247CEB">
        <w:rPr>
          <w:rFonts w:ascii="Times New Roman" w:hAnsi="Times New Roman" w:cs="Times New Roman"/>
        </w:rPr>
        <w:t>.</w:t>
      </w:r>
    </w:p>
    <w:p w14:paraId="7A473CFF" w14:textId="77777777" w:rsidR="007F6850" w:rsidRDefault="007F6850" w:rsidP="005E2B7A">
      <w:pPr>
        <w:spacing w:line="480" w:lineRule="auto"/>
        <w:ind w:firstLine="720"/>
        <w:rPr>
          <w:rFonts w:ascii="Times New Roman" w:hAnsi="Times New Roman" w:cs="Times New Roman"/>
        </w:rPr>
      </w:pPr>
      <w:r w:rsidRPr="00247CEB">
        <w:rPr>
          <w:rFonts w:ascii="Times New Roman" w:hAnsi="Times New Roman" w:cs="Times New Roman"/>
        </w:rPr>
        <w:t xml:space="preserve">In real-world trials, we have to rely on the observed data to make the decision of dose assignment. For example, given the target toxicity rate of </w:t>
      </w:r>
      <w:r w:rsidRPr="00247CEB">
        <w:rPr>
          <w:rFonts w:ascii="Times New Roman" w:hAnsi="Times New Roman" w:cs="Times New Roman"/>
          <w:i/>
        </w:rPr>
        <w:sym w:font="Symbol" w:char="F066"/>
      </w:r>
      <w:r w:rsidRPr="00247CEB">
        <w:rPr>
          <w:rFonts w:ascii="Times New Roman" w:hAnsi="Times New Roman" w:cs="Times New Roman"/>
        </w:rPr>
        <w:t>=0.3, if 1 patient out of 5 experiences dose-limiting toxicity (DLT), we might choose to escalate the dose because the observed toxicity rate is only 20%. Because of the randomness of the data observed in the small sample sizes of phase I trials, the decis</w:t>
      </w:r>
      <w:r>
        <w:rPr>
          <w:rFonts w:ascii="Times New Roman" w:hAnsi="Times New Roman" w:cs="Times New Roman"/>
        </w:rPr>
        <w:t xml:space="preserve">ions regarding dose assignment </w:t>
      </w:r>
      <w:r w:rsidRPr="00247CEB">
        <w:rPr>
          <w:rFonts w:ascii="Times New Roman" w:hAnsi="Times New Roman" w:cs="Times New Roman"/>
        </w:rPr>
        <w:t xml:space="preserve">are often incorrect, </w:t>
      </w:r>
      <w:r>
        <w:rPr>
          <w:rFonts w:ascii="Times New Roman" w:hAnsi="Times New Roman" w:cs="Times New Roman"/>
        </w:rPr>
        <w:t xml:space="preserve">leading to erroneous and overly aggressive dose escalation or de-escalation </w:t>
      </w:r>
      <w:r w:rsidRPr="00247CEB">
        <w:rPr>
          <w:rFonts w:ascii="Times New Roman" w:hAnsi="Times New Roman" w:cs="Times New Roman"/>
        </w:rPr>
        <w:t>and treating an excessive number of</w:t>
      </w:r>
      <w:r>
        <w:rPr>
          <w:rFonts w:ascii="Times New Roman" w:hAnsi="Times New Roman" w:cs="Times New Roman"/>
        </w:rPr>
        <w:t xml:space="preserve"> patients at dose levels above or below</w:t>
      </w:r>
      <w:r w:rsidRPr="00247CEB">
        <w:rPr>
          <w:rFonts w:ascii="Times New Roman" w:hAnsi="Times New Roman" w:cs="Times New Roman"/>
        </w:rPr>
        <w:t xml:space="preserve"> the MTD. For example, </w:t>
      </w:r>
      <w:r>
        <w:rPr>
          <w:rFonts w:ascii="Times New Roman" w:hAnsi="Times New Roman" w:cs="Times New Roman"/>
        </w:rPr>
        <w:t>if</w:t>
      </w:r>
      <w:r w:rsidRPr="00247CEB">
        <w:rPr>
          <w:rFonts w:ascii="Times New Roman" w:hAnsi="Times New Roman" w:cs="Times New Roman"/>
        </w:rPr>
        <w:t xml:space="preserve"> the true toxicity rate of a dose is 0.4, there is more than 40% chance to see 1 or fewer DLTs among 5 patients (i.e., the actual observed toxicity rate </w:t>
      </w:r>
      <w:r w:rsidRPr="00247CEB">
        <w:rPr>
          <w:rFonts w:ascii="Times New Roman" w:hAnsi="Times New Roman" w:cs="Times New Roman"/>
        </w:rPr>
        <w:sym w:font="Symbol" w:char="F0A3"/>
      </w:r>
      <w:r w:rsidRPr="00247CEB">
        <w:rPr>
          <w:rFonts w:ascii="Times New Roman" w:hAnsi="Times New Roman" w:cs="Times New Roman"/>
        </w:rPr>
        <w:t xml:space="preserve"> 0.2), making the dose appear much safer than it actually is. This issue is inherent in small samples and cannot be completely removed. In practice, however, statistical tools </w:t>
      </w:r>
      <w:r>
        <w:rPr>
          <w:rFonts w:ascii="Times New Roman" w:hAnsi="Times New Roman" w:cs="Times New Roman"/>
        </w:rPr>
        <w:t xml:space="preserve">can be used </w:t>
      </w:r>
      <w:r w:rsidRPr="00247CEB">
        <w:rPr>
          <w:rFonts w:ascii="Times New Roman" w:hAnsi="Times New Roman" w:cs="Times New Roman"/>
        </w:rPr>
        <w:t>to account for such uncertainty and minimize the decision error of dose assignment such that the design approximates the “oracle” design as closely as possible.  This is the motivation behind the BOIN design</w:t>
      </w:r>
      <w:r>
        <w:rPr>
          <w:rFonts w:ascii="Times New Roman" w:hAnsi="Times New Roman" w:cs="Times New Roman"/>
        </w:rPr>
        <w:t>:</w:t>
      </w:r>
      <w:r w:rsidRPr="00247CEB">
        <w:rPr>
          <w:rFonts w:ascii="Times New Roman" w:hAnsi="Times New Roman" w:cs="Times New Roman"/>
        </w:rPr>
        <w:t xml:space="preserve"> to optimize patient ethics by minimizing the chance of making incorrect dosing decisions. </w:t>
      </w:r>
    </w:p>
    <w:p w14:paraId="121B5FB0" w14:textId="77777777" w:rsidR="00BA243B" w:rsidRPr="00BA243B" w:rsidRDefault="00BA243B" w:rsidP="005E2B7A">
      <w:pPr>
        <w:spacing w:line="480" w:lineRule="auto"/>
        <w:rPr>
          <w:rFonts w:ascii="Times New Roman" w:hAnsi="Times New Roman" w:cs="Times New Roman"/>
        </w:rPr>
      </w:pPr>
    </w:p>
    <w:p w14:paraId="0FE25918" w14:textId="66C1E10A" w:rsidR="007F6850" w:rsidRPr="00BA243B" w:rsidRDefault="00B57125" w:rsidP="00BA243B">
      <w:pPr>
        <w:spacing w:line="480" w:lineRule="auto"/>
        <w:rPr>
          <w:rFonts w:ascii="Times New Roman" w:hAnsi="Times New Roman" w:cs="Times New Roman"/>
          <w:b/>
        </w:rPr>
      </w:pPr>
      <w:r>
        <w:rPr>
          <w:rFonts w:ascii="Times New Roman" w:hAnsi="Times New Roman" w:cs="Times New Roman"/>
          <w:b/>
        </w:rPr>
        <w:t xml:space="preserve">Determination of </w:t>
      </w:r>
      <w:r w:rsidRPr="00B57125">
        <w:rPr>
          <w:rFonts w:ascii="Times New Roman" w:hAnsi="Times New Roman" w:cs="Times New Roman"/>
          <w:b/>
        </w:rPr>
        <w:t xml:space="preserve">dose escalation and de-escalation </w:t>
      </w:r>
      <w:r w:rsidR="007D54A8">
        <w:rPr>
          <w:rFonts w:ascii="Times New Roman" w:hAnsi="Times New Roman" w:cs="Times New Roman"/>
          <w:b/>
        </w:rPr>
        <w:t>boundaries</w:t>
      </w:r>
    </w:p>
    <w:p w14:paraId="79809C52" w14:textId="4396B276" w:rsidR="007F6850" w:rsidRPr="00247CEB" w:rsidRDefault="00912D7C" w:rsidP="007F6850">
      <w:pPr>
        <w:spacing w:line="480" w:lineRule="auto"/>
        <w:rPr>
          <w:rFonts w:ascii="Times New Roman" w:hAnsi="Times New Roman" w:cs="Times New Roman"/>
        </w:rPr>
      </w:pPr>
      <w:r>
        <w:rPr>
          <w:rFonts w:ascii="Times New Roman" w:hAnsi="Times New Roman" w:cs="Times New Roman"/>
        </w:rPr>
        <w:t xml:space="preserve">The </w:t>
      </w:r>
      <w:r w:rsidRPr="00247CEB">
        <w:rPr>
          <w:rFonts w:ascii="Times New Roman" w:hAnsi="Times New Roman" w:cs="Times New Roman"/>
        </w:rPr>
        <w:t xml:space="preserve">basic statistical principles </w:t>
      </w:r>
      <w:r>
        <w:rPr>
          <w:rFonts w:ascii="Times New Roman" w:hAnsi="Times New Roman" w:cs="Times New Roman"/>
        </w:rPr>
        <w:t>are provided here</w:t>
      </w:r>
      <w:r w:rsidR="00BD28D0">
        <w:rPr>
          <w:rFonts w:ascii="Times New Roman" w:hAnsi="Times New Roman" w:cs="Times New Roman"/>
        </w:rPr>
        <w:t>, and m</w:t>
      </w:r>
      <w:r w:rsidRPr="00247CEB">
        <w:rPr>
          <w:rFonts w:ascii="Times New Roman" w:hAnsi="Times New Roman" w:cs="Times New Roman"/>
        </w:rPr>
        <w:t>ore technical details can be found in the work of Liu and Yuan</w:t>
      </w:r>
      <w:r w:rsidRPr="00247CEB">
        <w:rPr>
          <w:rFonts w:ascii="Times New Roman" w:hAnsi="Times New Roman" w:cs="Times New Roman"/>
          <w:vertAlign w:val="superscript"/>
        </w:rPr>
        <w:t xml:space="preserve"> </w:t>
      </w:r>
      <w:r w:rsidR="00116520">
        <w:rPr>
          <w:rFonts w:ascii="Times New Roman" w:hAnsi="Times New Roman" w:cs="Times New Roman"/>
        </w:rPr>
        <w:t>(14)</w:t>
      </w:r>
      <w:r w:rsidRPr="00247CEB">
        <w:rPr>
          <w:rFonts w:ascii="Times New Roman" w:hAnsi="Times New Roman" w:cs="Times New Roman"/>
        </w:rPr>
        <w:t xml:space="preserve">. </w:t>
      </w:r>
      <w:r w:rsidR="00637892">
        <w:rPr>
          <w:rFonts w:ascii="Times New Roman" w:hAnsi="Times New Roman" w:cs="Times New Roman"/>
        </w:rPr>
        <w:t>Under the BOIN design</w:t>
      </w:r>
      <w:r>
        <w:rPr>
          <w:rFonts w:ascii="Times New Roman" w:hAnsi="Times New Roman" w:cs="Times New Roman"/>
        </w:rPr>
        <w:t>, t</w:t>
      </w:r>
      <w:r w:rsidR="007F6850">
        <w:rPr>
          <w:rFonts w:ascii="Times New Roman" w:hAnsi="Times New Roman" w:cs="Times New Roman"/>
        </w:rPr>
        <w:t>he</w:t>
      </w:r>
      <w:r w:rsidR="007F6850" w:rsidRPr="00247CEB">
        <w:rPr>
          <w:rFonts w:ascii="Times New Roman" w:hAnsi="Times New Roman" w:cs="Times New Roman"/>
        </w:rPr>
        <w:t xml:space="preserve"> </w:t>
      </w:r>
      <w:r>
        <w:rPr>
          <w:rFonts w:ascii="Times New Roman" w:hAnsi="Times New Roman" w:cs="Times New Roman"/>
        </w:rPr>
        <w:t xml:space="preserve">dose </w:t>
      </w:r>
      <w:r w:rsidRPr="00912D7C">
        <w:rPr>
          <w:rFonts w:ascii="Times New Roman" w:hAnsi="Times New Roman" w:cs="Times New Roman"/>
        </w:rPr>
        <w:t xml:space="preserve">escalation and de-escalation </w:t>
      </w:r>
      <w:r w:rsidR="007D54A8">
        <w:rPr>
          <w:rFonts w:ascii="Times New Roman" w:hAnsi="Times New Roman" w:cs="Times New Roman"/>
        </w:rPr>
        <w:t>boundaries</w:t>
      </w:r>
      <w:r w:rsidRPr="00247CEB">
        <w:rPr>
          <w:rFonts w:ascii="Times New Roman" w:hAnsi="Times New Roman" w:cs="Times New Roman"/>
        </w:rPr>
        <w:t xml:space="preserve"> </w:t>
      </w:r>
      <w:r w:rsidRPr="00247CEB">
        <w:rPr>
          <w:rFonts w:ascii="Times New Roman" w:hAnsi="Times New Roman" w:cs="Times New Roman"/>
          <w:i/>
        </w:rPr>
        <w:sym w:font="Symbol" w:char="F06C"/>
      </w:r>
      <w:r w:rsidRPr="00247CEB">
        <w:rPr>
          <w:rFonts w:ascii="Times New Roman" w:hAnsi="Times New Roman" w:cs="Times New Roman"/>
          <w:vertAlign w:val="subscript"/>
        </w:rPr>
        <w:t>e</w:t>
      </w:r>
      <w:r w:rsidRPr="00247CEB">
        <w:rPr>
          <w:rFonts w:ascii="Times New Roman" w:hAnsi="Times New Roman" w:cs="Times New Roman"/>
        </w:rPr>
        <w:t xml:space="preserve"> and </w:t>
      </w:r>
      <w:r w:rsidRPr="00247CEB">
        <w:rPr>
          <w:rFonts w:ascii="Times New Roman" w:hAnsi="Times New Roman" w:cs="Times New Roman"/>
          <w:i/>
        </w:rPr>
        <w:sym w:font="Symbol" w:char="F06C"/>
      </w:r>
      <w:proofErr w:type="gramStart"/>
      <w:r w:rsidRPr="00247CEB">
        <w:rPr>
          <w:rFonts w:ascii="Times New Roman" w:hAnsi="Times New Roman" w:cs="Times New Roman"/>
          <w:vertAlign w:val="subscript"/>
        </w:rPr>
        <w:t xml:space="preserve">d  </w:t>
      </w:r>
      <w:r>
        <w:rPr>
          <w:rFonts w:ascii="Times New Roman" w:hAnsi="Times New Roman" w:cs="Times New Roman"/>
        </w:rPr>
        <w:t>are</w:t>
      </w:r>
      <w:proofErr w:type="gramEnd"/>
      <w:r>
        <w:rPr>
          <w:rFonts w:ascii="Times New Roman" w:hAnsi="Times New Roman" w:cs="Times New Roman"/>
        </w:rPr>
        <w:t xml:space="preserve"> chosen to </w:t>
      </w:r>
      <w:r w:rsidRPr="00247CEB">
        <w:rPr>
          <w:rFonts w:ascii="Times New Roman" w:hAnsi="Times New Roman" w:cs="Times New Roman"/>
        </w:rPr>
        <w:t>minimize incorrect decisions of dose assignment</w:t>
      </w:r>
      <w:r>
        <w:rPr>
          <w:rFonts w:ascii="Times New Roman" w:hAnsi="Times New Roman" w:cs="Times New Roman"/>
        </w:rPr>
        <w:t xml:space="preserve">. Toward that goal, </w:t>
      </w:r>
      <w:r w:rsidR="007F6850" w:rsidRPr="00247CEB">
        <w:rPr>
          <w:rFonts w:ascii="Times New Roman" w:hAnsi="Times New Roman" w:cs="Times New Roman"/>
        </w:rPr>
        <w:t xml:space="preserve">we first formally define the correct and incorrect </w:t>
      </w:r>
      <w:r w:rsidR="007F6850" w:rsidRPr="00247CEB">
        <w:rPr>
          <w:rFonts w:ascii="Times New Roman" w:hAnsi="Times New Roman" w:cs="Times New Roman"/>
        </w:rPr>
        <w:lastRenderedPageBreak/>
        <w:t>decisions. Toward that goal, let</w:t>
      </w:r>
      <w:r w:rsidR="007F6850" w:rsidRPr="00247CEB">
        <w:rPr>
          <w:rFonts w:ascii="Times New Roman" w:hAnsi="Times New Roman" w:cs="Times New Roman"/>
          <w:i/>
        </w:rPr>
        <w:t xml:space="preserve"> </w:t>
      </w:r>
      <w:proofErr w:type="spellStart"/>
      <w:r w:rsidR="007F6850" w:rsidRPr="00247CEB">
        <w:rPr>
          <w:rFonts w:ascii="Times New Roman" w:hAnsi="Times New Roman" w:cs="Times New Roman"/>
          <w:i/>
        </w:rPr>
        <w:t>p</w:t>
      </w:r>
      <w:r w:rsidR="007F6850" w:rsidRPr="00247CEB">
        <w:rPr>
          <w:rFonts w:ascii="Times New Roman" w:hAnsi="Times New Roman" w:cs="Times New Roman"/>
          <w:i/>
          <w:vertAlign w:val="subscript"/>
        </w:rPr>
        <w:t>j</w:t>
      </w:r>
      <w:proofErr w:type="spellEnd"/>
      <w:r w:rsidR="007F6850" w:rsidRPr="00247CEB">
        <w:rPr>
          <w:rFonts w:ascii="Times New Roman" w:hAnsi="Times New Roman" w:cs="Times New Roman"/>
        </w:rPr>
        <w:t xml:space="preserve"> denote the true DLT rate of the current dose </w:t>
      </w:r>
      <w:r w:rsidR="007F6850" w:rsidRPr="00247CEB">
        <w:rPr>
          <w:rFonts w:ascii="Times New Roman" w:hAnsi="Times New Roman" w:cs="Times New Roman"/>
          <w:i/>
        </w:rPr>
        <w:t>j</w:t>
      </w:r>
      <w:r w:rsidR="007F6850" w:rsidRPr="00247CEB">
        <w:rPr>
          <w:rFonts w:ascii="Times New Roman" w:hAnsi="Times New Roman" w:cs="Times New Roman"/>
        </w:rPr>
        <w:t xml:space="preserve">. </w:t>
      </w:r>
      <w:r w:rsidR="007F6850">
        <w:rPr>
          <w:rFonts w:ascii="Times New Roman" w:hAnsi="Times New Roman" w:cs="Times New Roman"/>
        </w:rPr>
        <w:t>T</w:t>
      </w:r>
      <w:r w:rsidR="007F6850" w:rsidRPr="00247CEB">
        <w:rPr>
          <w:rFonts w:ascii="Times New Roman" w:hAnsi="Times New Roman" w:cs="Times New Roman"/>
        </w:rPr>
        <w:t>hree point hypotheses</w:t>
      </w:r>
      <w:r w:rsidR="007F6850">
        <w:rPr>
          <w:rFonts w:ascii="Times New Roman" w:hAnsi="Times New Roman" w:cs="Times New Roman"/>
        </w:rPr>
        <w:t xml:space="preserve"> are formulated</w:t>
      </w:r>
      <w:r w:rsidR="007F6850" w:rsidRPr="00247CEB">
        <w:rPr>
          <w:rFonts w:ascii="Times New Roman" w:hAnsi="Times New Roman" w:cs="Times New Roman"/>
        </w:rPr>
        <w:t xml:space="preserve">: </w:t>
      </w:r>
      <w:r w:rsidR="007F6850" w:rsidRPr="00247CEB">
        <w:rPr>
          <w:rFonts w:ascii="Times New Roman" w:hAnsi="Times New Roman" w:cs="Times New Roman"/>
          <w:i/>
        </w:rPr>
        <w:t>H</w:t>
      </w:r>
      <w:r w:rsidR="007F6850" w:rsidRPr="00247CEB">
        <w:rPr>
          <w:rFonts w:ascii="Times New Roman" w:hAnsi="Times New Roman" w:cs="Times New Roman"/>
          <w:vertAlign w:val="subscript"/>
        </w:rPr>
        <w:t>1</w:t>
      </w:r>
      <w:r w:rsidR="007F6850" w:rsidRPr="00247CEB">
        <w:rPr>
          <w:rFonts w:ascii="Times New Roman" w:hAnsi="Times New Roman" w:cs="Times New Roman"/>
        </w:rPr>
        <w:t xml:space="preserve">: </w:t>
      </w:r>
      <w:proofErr w:type="spellStart"/>
      <w:r w:rsidR="007F6850" w:rsidRPr="00247CEB">
        <w:rPr>
          <w:rFonts w:ascii="Times New Roman" w:hAnsi="Times New Roman" w:cs="Times New Roman"/>
          <w:i/>
        </w:rPr>
        <w:t>p</w:t>
      </w:r>
      <w:r w:rsidR="007F6850" w:rsidRPr="00247CEB">
        <w:rPr>
          <w:rFonts w:ascii="Times New Roman" w:hAnsi="Times New Roman" w:cs="Times New Roman"/>
          <w:i/>
          <w:vertAlign w:val="subscript"/>
        </w:rPr>
        <w:t>j</w:t>
      </w:r>
      <w:proofErr w:type="spellEnd"/>
      <w:r w:rsidR="007F6850" w:rsidRPr="00247CEB">
        <w:rPr>
          <w:rFonts w:ascii="Times New Roman" w:hAnsi="Times New Roman" w:cs="Times New Roman"/>
        </w:rPr>
        <w:t xml:space="preserve"> = </w:t>
      </w:r>
      <w:r w:rsidR="007F6850" w:rsidRPr="00247CEB">
        <w:rPr>
          <w:rFonts w:ascii="Times New Roman" w:hAnsi="Times New Roman" w:cs="Times New Roman"/>
          <w:i/>
        </w:rPr>
        <w:sym w:font="Symbol" w:char="F066"/>
      </w:r>
      <w:r w:rsidR="007F6850" w:rsidRPr="00247CEB">
        <w:rPr>
          <w:rFonts w:ascii="Times New Roman" w:hAnsi="Times New Roman" w:cs="Times New Roman"/>
          <w:i/>
        </w:rPr>
        <w:t>; H</w:t>
      </w:r>
      <w:r w:rsidR="007F6850" w:rsidRPr="00247CEB">
        <w:rPr>
          <w:rFonts w:ascii="Times New Roman" w:hAnsi="Times New Roman" w:cs="Times New Roman"/>
          <w:vertAlign w:val="subscript"/>
        </w:rPr>
        <w:t>2</w:t>
      </w:r>
      <w:r w:rsidR="007F6850" w:rsidRPr="00247CEB">
        <w:rPr>
          <w:rFonts w:ascii="Times New Roman" w:hAnsi="Times New Roman" w:cs="Times New Roman"/>
        </w:rPr>
        <w:t xml:space="preserve">: </w:t>
      </w:r>
      <w:proofErr w:type="spellStart"/>
      <w:r w:rsidR="007F6850" w:rsidRPr="00247CEB">
        <w:rPr>
          <w:rFonts w:ascii="Times New Roman" w:hAnsi="Times New Roman" w:cs="Times New Roman"/>
          <w:i/>
        </w:rPr>
        <w:t>p</w:t>
      </w:r>
      <w:r w:rsidR="007F6850" w:rsidRPr="00247CEB">
        <w:rPr>
          <w:rFonts w:ascii="Times New Roman" w:hAnsi="Times New Roman" w:cs="Times New Roman"/>
          <w:i/>
          <w:vertAlign w:val="subscript"/>
        </w:rPr>
        <w:t>j</w:t>
      </w:r>
      <w:proofErr w:type="spellEnd"/>
      <w:r w:rsidR="007F6850" w:rsidRPr="00247CEB">
        <w:rPr>
          <w:rFonts w:ascii="Times New Roman" w:hAnsi="Times New Roman" w:cs="Times New Roman"/>
        </w:rPr>
        <w:t xml:space="preserve"> = </w:t>
      </w:r>
      <w:r w:rsidR="007F6850" w:rsidRPr="00247CEB">
        <w:rPr>
          <w:rFonts w:ascii="Times New Roman" w:hAnsi="Times New Roman" w:cs="Times New Roman"/>
          <w:i/>
        </w:rPr>
        <w:sym w:font="Symbol" w:char="F066"/>
      </w:r>
      <w:r w:rsidR="007F6850" w:rsidRPr="00247CEB">
        <w:rPr>
          <w:rFonts w:ascii="Times New Roman" w:hAnsi="Times New Roman" w:cs="Times New Roman"/>
          <w:vertAlign w:val="subscript"/>
        </w:rPr>
        <w:t>1</w:t>
      </w:r>
      <w:r w:rsidR="007F6850" w:rsidRPr="00247CEB">
        <w:rPr>
          <w:rFonts w:ascii="Times New Roman" w:hAnsi="Times New Roman" w:cs="Times New Roman"/>
        </w:rPr>
        <w:t xml:space="preserve">; </w:t>
      </w:r>
      <w:r w:rsidR="007F6850" w:rsidRPr="00247CEB">
        <w:rPr>
          <w:rFonts w:ascii="Times New Roman" w:hAnsi="Times New Roman" w:cs="Times New Roman"/>
          <w:i/>
        </w:rPr>
        <w:t>H</w:t>
      </w:r>
      <w:r w:rsidR="007F6850" w:rsidRPr="00247CEB">
        <w:rPr>
          <w:rFonts w:ascii="Times New Roman" w:hAnsi="Times New Roman" w:cs="Times New Roman"/>
          <w:vertAlign w:val="subscript"/>
        </w:rPr>
        <w:t>3</w:t>
      </w:r>
      <w:r w:rsidR="007F6850" w:rsidRPr="00247CEB">
        <w:rPr>
          <w:rFonts w:ascii="Times New Roman" w:hAnsi="Times New Roman" w:cs="Times New Roman"/>
        </w:rPr>
        <w:t xml:space="preserve">: </w:t>
      </w:r>
      <w:proofErr w:type="spellStart"/>
      <w:r w:rsidR="007F6850" w:rsidRPr="00247CEB">
        <w:rPr>
          <w:rFonts w:ascii="Times New Roman" w:hAnsi="Times New Roman" w:cs="Times New Roman"/>
          <w:i/>
        </w:rPr>
        <w:t>p</w:t>
      </w:r>
      <w:r w:rsidR="007F6850" w:rsidRPr="00247CEB">
        <w:rPr>
          <w:rFonts w:ascii="Times New Roman" w:hAnsi="Times New Roman" w:cs="Times New Roman"/>
          <w:i/>
          <w:vertAlign w:val="subscript"/>
        </w:rPr>
        <w:t>j</w:t>
      </w:r>
      <w:proofErr w:type="spellEnd"/>
      <w:r w:rsidR="007F6850" w:rsidRPr="00247CEB">
        <w:rPr>
          <w:rFonts w:ascii="Times New Roman" w:hAnsi="Times New Roman" w:cs="Times New Roman"/>
        </w:rPr>
        <w:t xml:space="preserve"> = </w:t>
      </w:r>
      <w:r w:rsidR="007F6850" w:rsidRPr="00247CEB">
        <w:rPr>
          <w:rFonts w:ascii="Times New Roman" w:hAnsi="Times New Roman" w:cs="Times New Roman"/>
          <w:i/>
        </w:rPr>
        <w:sym w:font="Symbol" w:char="F066"/>
      </w:r>
      <w:r w:rsidR="007F6850" w:rsidRPr="00247CEB">
        <w:rPr>
          <w:rFonts w:ascii="Times New Roman" w:hAnsi="Times New Roman" w:cs="Times New Roman"/>
          <w:vertAlign w:val="subscript"/>
        </w:rPr>
        <w:t>2</w:t>
      </w:r>
      <w:r w:rsidR="007F6850" w:rsidRPr="00247CEB">
        <w:rPr>
          <w:rFonts w:ascii="Times New Roman" w:hAnsi="Times New Roman" w:cs="Times New Roman"/>
        </w:rPr>
        <w:t xml:space="preserve">, where </w:t>
      </w:r>
      <w:r w:rsidR="007F6850" w:rsidRPr="00247CEB">
        <w:rPr>
          <w:rFonts w:ascii="Times New Roman" w:hAnsi="Times New Roman" w:cs="Times New Roman"/>
          <w:i/>
        </w:rPr>
        <w:sym w:font="Symbol" w:char="F066"/>
      </w:r>
      <w:r w:rsidR="007F6850" w:rsidRPr="00247CEB">
        <w:rPr>
          <w:rFonts w:ascii="Times New Roman" w:hAnsi="Times New Roman" w:cs="Times New Roman"/>
          <w:vertAlign w:val="subscript"/>
        </w:rPr>
        <w:t xml:space="preserve">1 </w:t>
      </w:r>
      <w:r w:rsidR="007F6850" w:rsidRPr="00247CEB">
        <w:rPr>
          <w:rFonts w:ascii="Times New Roman" w:hAnsi="Times New Roman" w:cs="Times New Roman"/>
        </w:rPr>
        <w:t xml:space="preserve">denotes the highest toxicity probability that is deemed </w:t>
      </w:r>
      <w:proofErr w:type="spellStart"/>
      <w:r w:rsidR="007F6850" w:rsidRPr="00247CEB">
        <w:rPr>
          <w:rFonts w:ascii="Times New Roman" w:hAnsi="Times New Roman" w:cs="Times New Roman"/>
        </w:rPr>
        <w:t>subtherapeutic</w:t>
      </w:r>
      <w:proofErr w:type="spellEnd"/>
      <w:r w:rsidR="007F6850" w:rsidRPr="00247CEB">
        <w:rPr>
          <w:rFonts w:ascii="Times New Roman" w:hAnsi="Times New Roman" w:cs="Times New Roman"/>
        </w:rPr>
        <w:t xml:space="preserve"> (i.e., below the MTD) such that dose escalation should be made, and </w:t>
      </w:r>
      <w:r w:rsidR="007F6850" w:rsidRPr="00247CEB">
        <w:rPr>
          <w:rFonts w:ascii="Times New Roman" w:hAnsi="Times New Roman" w:cs="Times New Roman"/>
          <w:i/>
        </w:rPr>
        <w:sym w:font="Symbol" w:char="F066"/>
      </w:r>
      <w:r w:rsidR="007F6850" w:rsidRPr="00247CEB">
        <w:rPr>
          <w:rFonts w:ascii="Times New Roman" w:hAnsi="Times New Roman" w:cs="Times New Roman"/>
          <w:i/>
          <w:vertAlign w:val="subscript"/>
        </w:rPr>
        <w:t>2</w:t>
      </w:r>
      <w:r w:rsidR="007F6850" w:rsidRPr="00247CEB">
        <w:rPr>
          <w:rFonts w:ascii="Times New Roman" w:hAnsi="Times New Roman" w:cs="Times New Roman"/>
          <w:vertAlign w:val="subscript"/>
        </w:rPr>
        <w:t xml:space="preserve"> </w:t>
      </w:r>
      <w:r w:rsidR="007F6850" w:rsidRPr="00247CEB">
        <w:rPr>
          <w:rFonts w:ascii="Times New Roman" w:hAnsi="Times New Roman" w:cs="Times New Roman"/>
        </w:rPr>
        <w:t xml:space="preserve">denotes the lowest toxicity probability that is deemed overly toxic such that dose de-escalation is required.  </w:t>
      </w:r>
    </w:p>
    <w:p w14:paraId="55F9F53E" w14:textId="77777777" w:rsidR="007F6850" w:rsidRPr="00247CEB" w:rsidRDefault="007F6850" w:rsidP="007F6850">
      <w:pPr>
        <w:spacing w:line="480" w:lineRule="auto"/>
        <w:ind w:firstLine="720"/>
        <w:rPr>
          <w:rFonts w:ascii="Times New Roman" w:hAnsi="Times New Roman" w:cs="Times New Roman"/>
        </w:rPr>
      </w:pPr>
      <w:r w:rsidRPr="00247CEB">
        <w:rPr>
          <w:rFonts w:ascii="Times New Roman" w:hAnsi="Times New Roman" w:cs="Times New Roman"/>
        </w:rPr>
        <w:t xml:space="preserve">Specifically, </w:t>
      </w:r>
      <w:r w:rsidRPr="00247CEB">
        <w:rPr>
          <w:rFonts w:ascii="Times New Roman" w:hAnsi="Times New Roman" w:cs="Times New Roman"/>
          <w:i/>
        </w:rPr>
        <w:t>H</w:t>
      </w:r>
      <w:r w:rsidRPr="00247CEB">
        <w:rPr>
          <w:rFonts w:ascii="Times New Roman" w:hAnsi="Times New Roman" w:cs="Times New Roman"/>
          <w:vertAlign w:val="subscript"/>
        </w:rPr>
        <w:t>1</w:t>
      </w:r>
      <w:r w:rsidRPr="00247CEB">
        <w:rPr>
          <w:rFonts w:ascii="Times New Roman" w:hAnsi="Times New Roman" w:cs="Times New Roman"/>
        </w:rPr>
        <w:t xml:space="preserve"> indicates that the current dose is the MTD and we should retain the current dose to treat the next cohort of patients; </w:t>
      </w:r>
      <w:r w:rsidRPr="00247CEB">
        <w:rPr>
          <w:rFonts w:ascii="Times New Roman" w:hAnsi="Times New Roman" w:cs="Times New Roman"/>
          <w:i/>
        </w:rPr>
        <w:t>H</w:t>
      </w:r>
      <w:r w:rsidRPr="00247CEB">
        <w:rPr>
          <w:rFonts w:ascii="Times New Roman" w:hAnsi="Times New Roman" w:cs="Times New Roman"/>
          <w:vertAlign w:val="subscript"/>
        </w:rPr>
        <w:t>2</w:t>
      </w:r>
      <w:r w:rsidRPr="00247CEB">
        <w:rPr>
          <w:rFonts w:ascii="Times New Roman" w:hAnsi="Times New Roman" w:cs="Times New Roman"/>
        </w:rPr>
        <w:t xml:space="preserve"> indicates that the current dose is </w:t>
      </w:r>
      <w:proofErr w:type="spellStart"/>
      <w:r w:rsidRPr="00247CEB">
        <w:rPr>
          <w:rFonts w:ascii="Times New Roman" w:hAnsi="Times New Roman" w:cs="Times New Roman"/>
        </w:rPr>
        <w:t>subtherapeutic</w:t>
      </w:r>
      <w:proofErr w:type="spellEnd"/>
      <w:r w:rsidRPr="00247CEB">
        <w:rPr>
          <w:rFonts w:ascii="Times New Roman" w:hAnsi="Times New Roman" w:cs="Times New Roman"/>
        </w:rPr>
        <w:t xml:space="preserve"> (or below the MTD) and the dose</w:t>
      </w:r>
      <w:r w:rsidRPr="00450D8E">
        <w:rPr>
          <w:rFonts w:ascii="Times New Roman" w:hAnsi="Times New Roman" w:cs="Times New Roman"/>
        </w:rPr>
        <w:t xml:space="preserve"> </w:t>
      </w:r>
      <w:r w:rsidRPr="00247CEB">
        <w:rPr>
          <w:rFonts w:ascii="Times New Roman" w:hAnsi="Times New Roman" w:cs="Times New Roman"/>
        </w:rPr>
        <w:t xml:space="preserve">should </w:t>
      </w:r>
      <w:r>
        <w:rPr>
          <w:rFonts w:ascii="Times New Roman" w:hAnsi="Times New Roman" w:cs="Times New Roman"/>
        </w:rPr>
        <w:t xml:space="preserve">be </w:t>
      </w:r>
      <w:r w:rsidRPr="00247CEB">
        <w:rPr>
          <w:rFonts w:ascii="Times New Roman" w:hAnsi="Times New Roman" w:cs="Times New Roman"/>
        </w:rPr>
        <w:t>escalate</w:t>
      </w:r>
      <w:r>
        <w:rPr>
          <w:rFonts w:ascii="Times New Roman" w:hAnsi="Times New Roman" w:cs="Times New Roman"/>
        </w:rPr>
        <w:t>d</w:t>
      </w:r>
      <w:r w:rsidRPr="00247CEB">
        <w:rPr>
          <w:rFonts w:ascii="Times New Roman" w:hAnsi="Times New Roman" w:cs="Times New Roman"/>
        </w:rPr>
        <w:t xml:space="preserve">; and </w:t>
      </w:r>
      <w:r w:rsidRPr="00247CEB">
        <w:rPr>
          <w:rFonts w:ascii="Times New Roman" w:hAnsi="Times New Roman" w:cs="Times New Roman"/>
          <w:i/>
        </w:rPr>
        <w:t>H</w:t>
      </w:r>
      <w:r w:rsidRPr="00247CEB">
        <w:rPr>
          <w:rFonts w:ascii="Times New Roman" w:hAnsi="Times New Roman" w:cs="Times New Roman"/>
          <w:vertAlign w:val="subscript"/>
        </w:rPr>
        <w:t>3</w:t>
      </w:r>
      <w:r w:rsidRPr="00247CEB">
        <w:rPr>
          <w:rFonts w:ascii="Times New Roman" w:hAnsi="Times New Roman" w:cs="Times New Roman"/>
        </w:rPr>
        <w:t xml:space="preserve"> indicates that the current dose is overly toxic (or above the MTD) and the dose</w:t>
      </w:r>
      <w:r>
        <w:rPr>
          <w:rFonts w:ascii="Times New Roman" w:hAnsi="Times New Roman" w:cs="Times New Roman"/>
        </w:rPr>
        <w:t xml:space="preserve"> would be de-escalated</w:t>
      </w:r>
      <w:r w:rsidRPr="00247CEB">
        <w:rPr>
          <w:rFonts w:ascii="Times New Roman" w:hAnsi="Times New Roman" w:cs="Times New Roman"/>
        </w:rPr>
        <w:t xml:space="preserve">. Therefore, the correct decisions under </w:t>
      </w:r>
      <w:r w:rsidRPr="00247CEB">
        <w:rPr>
          <w:rFonts w:ascii="Times New Roman" w:hAnsi="Times New Roman" w:cs="Times New Roman"/>
          <w:i/>
        </w:rPr>
        <w:t>H</w:t>
      </w:r>
      <w:r w:rsidRPr="00247CEB">
        <w:rPr>
          <w:rFonts w:ascii="Times New Roman" w:hAnsi="Times New Roman" w:cs="Times New Roman"/>
          <w:vertAlign w:val="subscript"/>
        </w:rPr>
        <w:t>1</w:t>
      </w:r>
      <w:r w:rsidRPr="00247CEB">
        <w:rPr>
          <w:rFonts w:ascii="Times New Roman" w:hAnsi="Times New Roman" w:cs="Times New Roman"/>
        </w:rPr>
        <w:t xml:space="preserve">, </w:t>
      </w:r>
      <w:r w:rsidRPr="00247CEB">
        <w:rPr>
          <w:rFonts w:ascii="Times New Roman" w:hAnsi="Times New Roman" w:cs="Times New Roman"/>
          <w:i/>
        </w:rPr>
        <w:t>H</w:t>
      </w:r>
      <w:r w:rsidRPr="00247CEB">
        <w:rPr>
          <w:rFonts w:ascii="Times New Roman" w:hAnsi="Times New Roman" w:cs="Times New Roman"/>
          <w:vertAlign w:val="subscript"/>
        </w:rPr>
        <w:t>2</w:t>
      </w:r>
      <w:r w:rsidRPr="00247CEB">
        <w:rPr>
          <w:rFonts w:ascii="Times New Roman" w:hAnsi="Times New Roman" w:cs="Times New Roman"/>
        </w:rPr>
        <w:t xml:space="preserve"> and </w:t>
      </w:r>
      <w:r w:rsidRPr="00247CEB">
        <w:rPr>
          <w:rFonts w:ascii="Times New Roman" w:hAnsi="Times New Roman" w:cs="Times New Roman"/>
          <w:i/>
        </w:rPr>
        <w:t>H</w:t>
      </w:r>
      <w:r w:rsidRPr="00247CEB">
        <w:rPr>
          <w:rFonts w:ascii="Times New Roman" w:hAnsi="Times New Roman" w:cs="Times New Roman"/>
          <w:vertAlign w:val="subscript"/>
        </w:rPr>
        <w:t>3</w:t>
      </w:r>
      <w:r w:rsidRPr="00247CEB">
        <w:rPr>
          <w:rFonts w:ascii="Times New Roman" w:hAnsi="Times New Roman" w:cs="Times New Roman"/>
        </w:rPr>
        <w:t xml:space="preserve"> are </w:t>
      </w:r>
      <w:proofErr w:type="spellStart"/>
      <w:r w:rsidRPr="00247CEB">
        <w:rPr>
          <w:rFonts w:ascii="Times New Roman" w:hAnsi="Times New Roman" w:cs="Times New Roman"/>
        </w:rPr>
        <w:t>retainment</w:t>
      </w:r>
      <w:proofErr w:type="spellEnd"/>
      <w:r w:rsidRPr="00247CEB">
        <w:rPr>
          <w:rFonts w:ascii="Times New Roman" w:hAnsi="Times New Roman" w:cs="Times New Roman"/>
        </w:rPr>
        <w:t xml:space="preserve">, escalation and de-escalation (each based on the current dose level), respectively, while other decisions are incorrect decisions. For example, escalation and de-escalation are incorrect decisions under </w:t>
      </w:r>
      <w:r w:rsidRPr="00247CEB">
        <w:rPr>
          <w:rFonts w:ascii="Times New Roman" w:hAnsi="Times New Roman" w:cs="Times New Roman"/>
          <w:i/>
        </w:rPr>
        <w:t>H</w:t>
      </w:r>
      <w:r w:rsidRPr="00247CEB">
        <w:rPr>
          <w:rFonts w:ascii="Times New Roman" w:hAnsi="Times New Roman" w:cs="Times New Roman"/>
          <w:vertAlign w:val="subscript"/>
        </w:rPr>
        <w:t>1</w:t>
      </w:r>
      <w:r w:rsidRPr="00247CEB">
        <w:rPr>
          <w:rFonts w:ascii="Times New Roman" w:hAnsi="Times New Roman" w:cs="Times New Roman"/>
        </w:rPr>
        <w:t xml:space="preserve">, de-escalation and </w:t>
      </w:r>
      <w:proofErr w:type="spellStart"/>
      <w:proofErr w:type="gramStart"/>
      <w:r w:rsidRPr="00247CEB">
        <w:rPr>
          <w:rFonts w:ascii="Times New Roman" w:hAnsi="Times New Roman" w:cs="Times New Roman"/>
        </w:rPr>
        <w:t>retainment</w:t>
      </w:r>
      <w:proofErr w:type="spellEnd"/>
      <w:r w:rsidRPr="00247CEB">
        <w:rPr>
          <w:rFonts w:ascii="Times New Roman" w:hAnsi="Times New Roman" w:cs="Times New Roman"/>
        </w:rPr>
        <w:t xml:space="preserve"> are</w:t>
      </w:r>
      <w:proofErr w:type="gramEnd"/>
      <w:r w:rsidRPr="00247CEB">
        <w:rPr>
          <w:rFonts w:ascii="Times New Roman" w:hAnsi="Times New Roman" w:cs="Times New Roman"/>
        </w:rPr>
        <w:t xml:space="preserve"> incorrect decisions under </w:t>
      </w:r>
      <w:r w:rsidRPr="00247CEB">
        <w:rPr>
          <w:rFonts w:ascii="Times New Roman" w:hAnsi="Times New Roman" w:cs="Times New Roman"/>
          <w:i/>
        </w:rPr>
        <w:t>H</w:t>
      </w:r>
      <w:r w:rsidRPr="00247CEB">
        <w:rPr>
          <w:rFonts w:ascii="Times New Roman" w:hAnsi="Times New Roman" w:cs="Times New Roman"/>
          <w:vertAlign w:val="subscript"/>
        </w:rPr>
        <w:t>2</w:t>
      </w:r>
      <w:r w:rsidRPr="00247CEB">
        <w:rPr>
          <w:rFonts w:ascii="Times New Roman" w:hAnsi="Times New Roman" w:cs="Times New Roman"/>
        </w:rPr>
        <w:t xml:space="preserve">, and escalation and </w:t>
      </w:r>
      <w:proofErr w:type="spellStart"/>
      <w:r w:rsidRPr="00247CEB">
        <w:rPr>
          <w:rFonts w:ascii="Times New Roman" w:hAnsi="Times New Roman" w:cs="Times New Roman"/>
        </w:rPr>
        <w:t>retainment</w:t>
      </w:r>
      <w:proofErr w:type="spellEnd"/>
      <w:r w:rsidRPr="00247CEB">
        <w:rPr>
          <w:rFonts w:ascii="Times New Roman" w:hAnsi="Times New Roman" w:cs="Times New Roman"/>
        </w:rPr>
        <w:t xml:space="preserve"> are incorrect decisions under </w:t>
      </w:r>
      <w:r w:rsidRPr="00247CEB">
        <w:rPr>
          <w:rFonts w:ascii="Times New Roman" w:hAnsi="Times New Roman" w:cs="Times New Roman"/>
          <w:i/>
        </w:rPr>
        <w:t>H</w:t>
      </w:r>
      <w:r w:rsidRPr="00247CEB">
        <w:rPr>
          <w:rFonts w:ascii="Times New Roman" w:hAnsi="Times New Roman" w:cs="Times New Roman"/>
          <w:vertAlign w:val="subscript"/>
        </w:rPr>
        <w:t>3</w:t>
      </w:r>
      <w:r w:rsidRPr="00247CEB">
        <w:rPr>
          <w:rFonts w:ascii="Times New Roman" w:hAnsi="Times New Roman" w:cs="Times New Roman"/>
        </w:rPr>
        <w:t xml:space="preserve">. </w:t>
      </w:r>
    </w:p>
    <w:p w14:paraId="71422450" w14:textId="2EC70D2A" w:rsidR="007F6850" w:rsidRPr="00247CEB" w:rsidRDefault="007F6850" w:rsidP="00600189">
      <w:pPr>
        <w:widowControl w:val="0"/>
        <w:autoSpaceDE w:val="0"/>
        <w:autoSpaceDN w:val="0"/>
        <w:adjustRightInd w:val="0"/>
        <w:spacing w:line="480" w:lineRule="auto"/>
        <w:ind w:firstLine="720"/>
        <w:rPr>
          <w:rFonts w:ascii="Times New Roman" w:hAnsi="Times New Roman" w:cs="Times New Roman"/>
        </w:rPr>
      </w:pPr>
      <w:r w:rsidRPr="00247CEB">
        <w:rPr>
          <w:rFonts w:ascii="Times New Roman" w:hAnsi="Times New Roman" w:cs="Times New Roman"/>
        </w:rPr>
        <w:t xml:space="preserve">Our purpose in specifying the three hypotheses, </w:t>
      </w:r>
      <w:r w:rsidRPr="00247CEB">
        <w:rPr>
          <w:rFonts w:ascii="Times New Roman" w:hAnsi="Times New Roman" w:cs="Times New Roman"/>
          <w:i/>
        </w:rPr>
        <w:t>H</w:t>
      </w:r>
      <w:r w:rsidRPr="00247CEB">
        <w:rPr>
          <w:rFonts w:ascii="Times New Roman" w:hAnsi="Times New Roman" w:cs="Times New Roman"/>
          <w:vertAlign w:val="subscript"/>
        </w:rPr>
        <w:t>1</w:t>
      </w:r>
      <w:r w:rsidRPr="00247CEB">
        <w:rPr>
          <w:rFonts w:ascii="Times New Roman" w:hAnsi="Times New Roman" w:cs="Times New Roman"/>
        </w:rPr>
        <w:t xml:space="preserve">, </w:t>
      </w:r>
      <w:r w:rsidRPr="00247CEB">
        <w:rPr>
          <w:rFonts w:ascii="Times New Roman" w:hAnsi="Times New Roman" w:cs="Times New Roman"/>
          <w:i/>
        </w:rPr>
        <w:t>H</w:t>
      </w:r>
      <w:r w:rsidRPr="00247CEB">
        <w:rPr>
          <w:rFonts w:ascii="Times New Roman" w:hAnsi="Times New Roman" w:cs="Times New Roman"/>
          <w:vertAlign w:val="subscript"/>
        </w:rPr>
        <w:t>2</w:t>
      </w:r>
      <w:r w:rsidRPr="00247CEB">
        <w:rPr>
          <w:rFonts w:ascii="Times New Roman" w:hAnsi="Times New Roman" w:cs="Times New Roman"/>
        </w:rPr>
        <w:t xml:space="preserve"> and </w:t>
      </w:r>
      <w:r w:rsidRPr="00247CEB">
        <w:rPr>
          <w:rFonts w:ascii="Times New Roman" w:hAnsi="Times New Roman" w:cs="Times New Roman"/>
          <w:i/>
        </w:rPr>
        <w:t>H</w:t>
      </w:r>
      <w:r w:rsidRPr="00247CEB">
        <w:rPr>
          <w:rFonts w:ascii="Times New Roman" w:hAnsi="Times New Roman" w:cs="Times New Roman"/>
          <w:vertAlign w:val="subscript"/>
        </w:rPr>
        <w:t>3</w:t>
      </w:r>
      <w:r w:rsidRPr="00247CEB">
        <w:rPr>
          <w:rFonts w:ascii="Times New Roman" w:hAnsi="Times New Roman" w:cs="Times New Roman"/>
        </w:rPr>
        <w:t xml:space="preserve">, is not to represent the truth and conduct hypothesis testing, but just to indicate the cases of special interest under which we optimize the performance of our design. In particular, </w:t>
      </w:r>
      <w:r w:rsidRPr="00247CEB">
        <w:rPr>
          <w:rFonts w:ascii="Times New Roman" w:hAnsi="Times New Roman" w:cs="Times New Roman"/>
          <w:i/>
        </w:rPr>
        <w:t>H</w:t>
      </w:r>
      <w:r w:rsidRPr="00247CEB">
        <w:rPr>
          <w:rFonts w:ascii="Times New Roman" w:hAnsi="Times New Roman" w:cs="Times New Roman"/>
          <w:vertAlign w:val="subscript"/>
        </w:rPr>
        <w:t>2</w:t>
      </w:r>
      <w:r w:rsidRPr="00247CEB">
        <w:rPr>
          <w:rFonts w:ascii="Times New Roman" w:hAnsi="Times New Roman" w:cs="Times New Roman"/>
        </w:rPr>
        <w:t xml:space="preserve"> and </w:t>
      </w:r>
      <w:r w:rsidRPr="00247CEB">
        <w:rPr>
          <w:rFonts w:ascii="Times New Roman" w:hAnsi="Times New Roman" w:cs="Times New Roman"/>
          <w:i/>
        </w:rPr>
        <w:t>H</w:t>
      </w:r>
      <w:r w:rsidRPr="00247CEB">
        <w:rPr>
          <w:rFonts w:ascii="Times New Roman" w:hAnsi="Times New Roman" w:cs="Times New Roman"/>
          <w:vertAlign w:val="subscript"/>
        </w:rPr>
        <w:t>3</w:t>
      </w:r>
      <w:r w:rsidRPr="00247CEB">
        <w:rPr>
          <w:rFonts w:ascii="Times New Roman" w:hAnsi="Times New Roman" w:cs="Times New Roman"/>
        </w:rPr>
        <w:t xml:space="preserve"> represent the minimal differences (or effect sizes) of practical interest to be distinguished from the target toxicity rate, </w:t>
      </w:r>
      <w:r w:rsidRPr="00247CEB">
        <w:rPr>
          <w:rFonts w:ascii="Times New Roman" w:hAnsi="Times New Roman" w:cs="Times New Roman"/>
          <w:i/>
        </w:rPr>
        <w:sym w:font="Symbol" w:char="F066"/>
      </w:r>
      <w:r w:rsidRPr="00247CEB">
        <w:rPr>
          <w:rFonts w:ascii="Times New Roman" w:hAnsi="Times New Roman" w:cs="Times New Roman"/>
          <w:vertAlign w:val="subscript"/>
        </w:rPr>
        <w:t xml:space="preserve"> </w:t>
      </w:r>
      <w:r w:rsidRPr="00247CEB">
        <w:rPr>
          <w:rFonts w:ascii="Times New Roman" w:hAnsi="Times New Roman" w:cs="Times New Roman"/>
        </w:rPr>
        <w:t xml:space="preserve">(or </w:t>
      </w:r>
      <w:r w:rsidRPr="00247CEB">
        <w:rPr>
          <w:rFonts w:ascii="Times New Roman" w:hAnsi="Times New Roman" w:cs="Times New Roman"/>
          <w:i/>
        </w:rPr>
        <w:t>H</w:t>
      </w:r>
      <w:r w:rsidRPr="00247CEB">
        <w:rPr>
          <w:rFonts w:ascii="Times New Roman" w:hAnsi="Times New Roman" w:cs="Times New Roman"/>
          <w:vertAlign w:val="subscript"/>
        </w:rPr>
        <w:t>1</w:t>
      </w:r>
      <w:r w:rsidRPr="00247CEB">
        <w:rPr>
          <w:rFonts w:ascii="Times New Roman" w:hAnsi="Times New Roman" w:cs="Times New Roman"/>
        </w:rPr>
        <w:t xml:space="preserve">), under which we want to minimize the average decision error rate for the trial conduct. This approach is analogous to sample size determination, for which we first specify a point alternative hypothesis to represent the minimal effect size of interest and then determine the sample size to ensure a desirable power under that hypothesis.  In practice, setting </w:t>
      </w:r>
      <w:r w:rsidRPr="00247CEB">
        <w:rPr>
          <w:rFonts w:ascii="Times New Roman" w:hAnsi="Times New Roman" w:cs="Times New Roman"/>
          <w:i/>
        </w:rPr>
        <w:sym w:font="Symbol" w:char="F066"/>
      </w:r>
      <w:r w:rsidRPr="00247CEB">
        <w:rPr>
          <w:rFonts w:ascii="Times New Roman" w:hAnsi="Times New Roman" w:cs="Times New Roman"/>
          <w:vertAlign w:val="subscript"/>
        </w:rPr>
        <w:t>1</w:t>
      </w:r>
      <w:r w:rsidRPr="00247CEB">
        <w:rPr>
          <w:rFonts w:ascii="Times New Roman" w:hAnsi="Times New Roman" w:cs="Times New Roman"/>
        </w:rPr>
        <w:t xml:space="preserve"> and </w:t>
      </w:r>
      <w:r w:rsidRPr="00247CEB">
        <w:rPr>
          <w:rFonts w:ascii="Times New Roman" w:hAnsi="Times New Roman" w:cs="Times New Roman"/>
          <w:i/>
        </w:rPr>
        <w:sym w:font="Symbol" w:char="F066"/>
      </w:r>
      <w:r w:rsidRPr="00247CEB">
        <w:rPr>
          <w:rFonts w:ascii="Times New Roman" w:hAnsi="Times New Roman" w:cs="Times New Roman"/>
          <w:vertAlign w:val="subscript"/>
        </w:rPr>
        <w:t>2</w:t>
      </w:r>
      <w:r w:rsidRPr="00247CEB">
        <w:rPr>
          <w:rFonts w:ascii="Times New Roman" w:hAnsi="Times New Roman" w:cs="Times New Roman"/>
        </w:rPr>
        <w:t xml:space="preserve"> very close to </w:t>
      </w:r>
      <w:r w:rsidRPr="00247CEB">
        <w:rPr>
          <w:rFonts w:ascii="Times New Roman" w:hAnsi="Times New Roman" w:cs="Times New Roman"/>
          <w:i/>
        </w:rPr>
        <w:sym w:font="Symbol" w:char="F066"/>
      </w:r>
      <w:r w:rsidRPr="00247CEB">
        <w:rPr>
          <w:rFonts w:ascii="Times New Roman" w:hAnsi="Times New Roman" w:cs="Times New Roman"/>
          <w:i/>
        </w:rPr>
        <w:t xml:space="preserve"> </w:t>
      </w:r>
      <w:r>
        <w:rPr>
          <w:rFonts w:ascii="Times New Roman" w:hAnsi="Times New Roman" w:cs="Times New Roman"/>
          <w:i/>
        </w:rPr>
        <w:t xml:space="preserve"> </w:t>
      </w:r>
      <w:r>
        <w:rPr>
          <w:rFonts w:ascii="Times New Roman" w:hAnsi="Times New Roman" w:cs="Times New Roman"/>
        </w:rPr>
        <w:t xml:space="preserve">should be </w:t>
      </w:r>
      <w:r>
        <w:rPr>
          <w:rFonts w:ascii="Times New Roman" w:hAnsi="Times New Roman" w:cs="Times New Roman"/>
        </w:rPr>
        <w:lastRenderedPageBreak/>
        <w:t>avoided</w:t>
      </w:r>
      <w:r w:rsidRPr="00247CEB">
        <w:rPr>
          <w:rFonts w:ascii="Times New Roman" w:hAnsi="Times New Roman" w:cs="Times New Roman"/>
          <w:i/>
        </w:rPr>
        <w:t xml:space="preserve"> </w:t>
      </w:r>
      <w:r w:rsidRPr="00247CEB">
        <w:rPr>
          <w:rFonts w:ascii="Times New Roman" w:hAnsi="Times New Roman" w:cs="Times New Roman"/>
        </w:rPr>
        <w:t xml:space="preserve">because the small sample sizes of typical phase I trials prevent us from being able to discriminate the target toxicity rate from the rates close to it. </w:t>
      </w:r>
      <w:r w:rsidR="00894779">
        <w:rPr>
          <w:rFonts w:ascii="Times New Roman" w:hAnsi="Times New Roman" w:cs="Times New Roman"/>
        </w:rPr>
        <w:t>For example, at the significance level of 0.1, there is only 7% power to distinguish 0.25 from 0.35 with a total of 30 patients given just two doses.</w:t>
      </w:r>
      <w:r w:rsidR="00894779" w:rsidRPr="00247CEB">
        <w:rPr>
          <w:rFonts w:ascii="Times New Roman" w:hAnsi="Times New Roman" w:cs="Times New Roman"/>
        </w:rPr>
        <w:t xml:space="preserve"> </w:t>
      </w:r>
      <w:r w:rsidRPr="00247CEB">
        <w:rPr>
          <w:rFonts w:ascii="Times New Roman" w:hAnsi="Times New Roman" w:cs="Times New Roman"/>
        </w:rPr>
        <w:t xml:space="preserve">As default values, we recommend </w:t>
      </w:r>
      <w:r w:rsidRPr="00247CEB">
        <w:rPr>
          <w:rFonts w:ascii="Times New Roman" w:hAnsi="Times New Roman" w:cs="Times New Roman"/>
          <w:i/>
        </w:rPr>
        <w:sym w:font="Symbol" w:char="F066"/>
      </w:r>
      <w:r w:rsidRPr="00247CEB">
        <w:rPr>
          <w:rFonts w:ascii="Times New Roman" w:hAnsi="Times New Roman" w:cs="Times New Roman"/>
          <w:vertAlign w:val="subscript"/>
        </w:rPr>
        <w:t>1</w:t>
      </w:r>
      <w:r w:rsidRPr="00247CEB">
        <w:rPr>
          <w:rFonts w:ascii="Times New Roman" w:hAnsi="Times New Roman" w:cs="Times New Roman"/>
        </w:rPr>
        <w:t>=0.6</w:t>
      </w:r>
      <w:r w:rsidRPr="00247CEB">
        <w:rPr>
          <w:rFonts w:ascii="Times New Roman" w:hAnsi="Times New Roman" w:cs="Times New Roman"/>
          <w:i/>
        </w:rPr>
        <w:sym w:font="Symbol" w:char="F066"/>
      </w:r>
      <w:r w:rsidRPr="00247CEB">
        <w:rPr>
          <w:rFonts w:ascii="Times New Roman" w:hAnsi="Times New Roman" w:cs="Times New Roman"/>
        </w:rPr>
        <w:t xml:space="preserve"> and </w:t>
      </w:r>
      <w:r w:rsidRPr="00247CEB">
        <w:rPr>
          <w:rFonts w:ascii="Times New Roman" w:hAnsi="Times New Roman" w:cs="Times New Roman"/>
          <w:i/>
        </w:rPr>
        <w:sym w:font="Symbol" w:char="F066"/>
      </w:r>
      <w:r w:rsidRPr="00247CEB">
        <w:rPr>
          <w:rFonts w:ascii="Times New Roman" w:hAnsi="Times New Roman" w:cs="Times New Roman"/>
          <w:vertAlign w:val="subscript"/>
        </w:rPr>
        <w:t>2</w:t>
      </w:r>
      <w:r w:rsidRPr="00247CEB">
        <w:rPr>
          <w:rFonts w:ascii="Times New Roman" w:hAnsi="Times New Roman" w:cs="Times New Roman"/>
        </w:rPr>
        <w:t>=1.4</w:t>
      </w:r>
      <w:r w:rsidRPr="00247CEB">
        <w:rPr>
          <w:rFonts w:ascii="Times New Roman" w:hAnsi="Times New Roman" w:cs="Times New Roman"/>
          <w:i/>
        </w:rPr>
        <w:sym w:font="Symbol" w:char="F066"/>
      </w:r>
      <w:r w:rsidRPr="00247CEB">
        <w:rPr>
          <w:rFonts w:ascii="Times New Roman" w:hAnsi="Times New Roman" w:cs="Times New Roman"/>
          <w:i/>
        </w:rPr>
        <w:t xml:space="preserve"> </w:t>
      </w:r>
      <w:r w:rsidRPr="00247CEB">
        <w:rPr>
          <w:rFonts w:ascii="Times New Roman" w:hAnsi="Times New Roman" w:cs="Times New Roman"/>
        </w:rPr>
        <w:t>for most clinical applications</w:t>
      </w:r>
      <w:r w:rsidRPr="00247CEB">
        <w:rPr>
          <w:rFonts w:ascii="Times New Roman" w:hAnsi="Times New Roman" w:cs="Times New Roman"/>
          <w:i/>
        </w:rPr>
        <w:t>.</w:t>
      </w:r>
    </w:p>
    <w:p w14:paraId="1177F445" w14:textId="77777777" w:rsidR="007F6850" w:rsidRPr="00247CEB" w:rsidRDefault="007F6850" w:rsidP="007F6850">
      <w:pPr>
        <w:spacing w:line="480" w:lineRule="auto"/>
        <w:ind w:firstLine="720"/>
        <w:rPr>
          <w:rFonts w:ascii="Times New Roman" w:hAnsi="Times New Roman" w:cs="Times New Roman"/>
        </w:rPr>
      </w:pPr>
      <w:r w:rsidRPr="00247CEB">
        <w:rPr>
          <w:rFonts w:ascii="Times New Roman" w:hAnsi="Times New Roman" w:cs="Times New Roman"/>
        </w:rPr>
        <w:t xml:space="preserve">Under the Bayesian paradigm, we can assign each hypothesis a </w:t>
      </w:r>
      <w:proofErr w:type="spellStart"/>
      <w:r w:rsidRPr="00247CEB">
        <w:rPr>
          <w:rFonts w:ascii="Times New Roman" w:hAnsi="Times New Roman" w:cs="Times New Roman"/>
        </w:rPr>
        <w:t>noninformative</w:t>
      </w:r>
      <w:proofErr w:type="spellEnd"/>
      <w:r w:rsidRPr="00247CEB">
        <w:rPr>
          <w:rFonts w:ascii="Times New Roman" w:hAnsi="Times New Roman" w:cs="Times New Roman"/>
        </w:rPr>
        <w:t xml:space="preserve"> equal prior probability of being true and calculate the expected decision error rate, and then minimize it by choosing appropriate values of </w:t>
      </w:r>
      <w:r w:rsidRPr="00247CEB">
        <w:rPr>
          <w:rFonts w:ascii="Times New Roman" w:hAnsi="Times New Roman" w:cs="Times New Roman"/>
          <w:i/>
        </w:rPr>
        <w:sym w:font="Symbol" w:char="F06C"/>
      </w:r>
      <w:r w:rsidRPr="00247CEB">
        <w:rPr>
          <w:rFonts w:ascii="Times New Roman" w:hAnsi="Times New Roman" w:cs="Times New Roman"/>
          <w:i/>
          <w:vertAlign w:val="subscript"/>
        </w:rPr>
        <w:t>e</w:t>
      </w:r>
      <w:r w:rsidRPr="00247CEB">
        <w:rPr>
          <w:rFonts w:ascii="Times New Roman" w:hAnsi="Times New Roman" w:cs="Times New Roman"/>
        </w:rPr>
        <w:t xml:space="preserve"> and </w:t>
      </w:r>
      <w:r w:rsidRPr="00247CEB">
        <w:rPr>
          <w:rFonts w:ascii="Times New Roman" w:hAnsi="Times New Roman" w:cs="Times New Roman"/>
          <w:i/>
        </w:rPr>
        <w:sym w:font="Symbol" w:char="F06C"/>
      </w:r>
      <w:r w:rsidRPr="00247CEB">
        <w:rPr>
          <w:rFonts w:ascii="Times New Roman" w:hAnsi="Times New Roman" w:cs="Times New Roman"/>
          <w:i/>
          <w:vertAlign w:val="subscript"/>
        </w:rPr>
        <w:t>d</w:t>
      </w:r>
      <w:r w:rsidRPr="00247CEB">
        <w:rPr>
          <w:rFonts w:ascii="Times New Roman" w:hAnsi="Times New Roman" w:cs="Times New Roman"/>
        </w:rPr>
        <w:t xml:space="preserve">. Remarkably, the solutions of </w:t>
      </w:r>
      <w:r w:rsidRPr="00247CEB">
        <w:rPr>
          <w:rFonts w:ascii="Times New Roman" w:hAnsi="Times New Roman" w:cs="Times New Roman"/>
          <w:i/>
        </w:rPr>
        <w:sym w:font="Symbol" w:char="F06C"/>
      </w:r>
      <w:r w:rsidRPr="00247CEB">
        <w:rPr>
          <w:rFonts w:ascii="Times New Roman" w:hAnsi="Times New Roman" w:cs="Times New Roman"/>
          <w:i/>
          <w:vertAlign w:val="subscript"/>
        </w:rPr>
        <w:t>e</w:t>
      </w:r>
      <w:r w:rsidRPr="00247CEB">
        <w:rPr>
          <w:rFonts w:ascii="Times New Roman" w:hAnsi="Times New Roman" w:cs="Times New Roman"/>
        </w:rPr>
        <w:t xml:space="preserve"> and </w:t>
      </w:r>
      <w:r w:rsidRPr="00247CEB">
        <w:rPr>
          <w:rFonts w:ascii="Times New Roman" w:hAnsi="Times New Roman" w:cs="Times New Roman"/>
          <w:i/>
        </w:rPr>
        <w:sym w:font="Symbol" w:char="F06C"/>
      </w:r>
      <w:r w:rsidRPr="00247CEB">
        <w:rPr>
          <w:rFonts w:ascii="Times New Roman" w:hAnsi="Times New Roman" w:cs="Times New Roman"/>
          <w:i/>
          <w:vertAlign w:val="subscript"/>
        </w:rPr>
        <w:t xml:space="preserve">d  </w:t>
      </w:r>
      <w:r w:rsidRPr="00247CEB">
        <w:rPr>
          <w:rFonts w:ascii="Times New Roman" w:hAnsi="Times New Roman" w:cs="Times New Roman"/>
        </w:rPr>
        <w:t>not only have closed-form expressions, given by</w:t>
      </w:r>
    </w:p>
    <w:p w14:paraId="41E2C16D" w14:textId="77777777" w:rsidR="007F6850" w:rsidRPr="00247CEB" w:rsidRDefault="004C71CF" w:rsidP="007F685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f>
            <m:fPr>
              <m:type m:val="lin"/>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num>
                    <m:den>
                      <m:r>
                        <w:rPr>
                          <w:rFonts w:ascii="Cambria Math" w:hAnsi="Cambria Math" w:cs="Times New Roman"/>
                        </w:rPr>
                        <m:t>1-ϕ</m:t>
                      </m:r>
                    </m:den>
                  </m:f>
                </m:e>
              </m:func>
            </m:num>
            <m:den>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ϕ(1-</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(1-ϕ)</m:t>
                      </m:r>
                    </m:den>
                  </m:f>
                </m:e>
              </m:func>
            </m:den>
          </m:f>
        </m:oMath>
      </m:oMathPara>
    </w:p>
    <w:p w14:paraId="33233B94" w14:textId="77777777" w:rsidR="007F6850" w:rsidRPr="00247CEB" w:rsidRDefault="007F6850" w:rsidP="007F6850">
      <w:pPr>
        <w:spacing w:line="480" w:lineRule="auto"/>
        <w:rPr>
          <w:rFonts w:ascii="Times New Roman" w:hAnsi="Times New Roman" w:cs="Times New Roman"/>
        </w:rPr>
      </w:pPr>
    </w:p>
    <w:p w14:paraId="69B17375" w14:textId="77777777" w:rsidR="007F6850" w:rsidRPr="00247CEB" w:rsidRDefault="004C71CF" w:rsidP="007F6850">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d</m:t>
              </m:r>
            </m:sub>
          </m:sSub>
          <m:r>
            <w:rPr>
              <w:rFonts w:ascii="Cambria Math" w:hAnsi="Cambria Math" w:cs="Times New Roman"/>
            </w:rPr>
            <m:t>=</m:t>
          </m:r>
          <m:f>
            <m:fPr>
              <m:type m:val="lin"/>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1-ϕ</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den>
                  </m:f>
                </m:e>
              </m:func>
            </m:num>
            <m:den>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(1-ϕ)</m:t>
                      </m:r>
                    </m:num>
                    <m:den>
                      <m:r>
                        <w:rPr>
                          <w:rFonts w:ascii="Cambria Math" w:hAnsi="Cambria Math" w:cs="Times New Roman"/>
                        </w:rPr>
                        <m:t>ϕ(1-</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m:t>
                      </m:r>
                    </m:den>
                  </m:f>
                </m:e>
              </m:func>
            </m:den>
          </m:f>
          <m:r>
            <w:rPr>
              <w:rFonts w:ascii="Cambria Math" w:hAnsi="Cambria Math" w:cs="Times New Roman"/>
            </w:rPr>
            <m:t>,</m:t>
          </m:r>
        </m:oMath>
      </m:oMathPara>
    </w:p>
    <w:p w14:paraId="57A72F69" w14:textId="0038A4B1" w:rsidR="007F6850" w:rsidRDefault="007F6850" w:rsidP="007F6850">
      <w:pPr>
        <w:spacing w:line="480" w:lineRule="auto"/>
        <w:rPr>
          <w:rFonts w:ascii="Times New Roman" w:hAnsi="Times New Roman" w:cs="Times New Roman"/>
        </w:rPr>
      </w:pPr>
      <w:proofErr w:type="gramStart"/>
      <w:r w:rsidRPr="00247CEB">
        <w:rPr>
          <w:rFonts w:ascii="Times New Roman" w:hAnsi="Times New Roman" w:cs="Times New Roman"/>
        </w:rPr>
        <w:t>but</w:t>
      </w:r>
      <w:proofErr w:type="gramEnd"/>
      <w:r w:rsidRPr="00247CEB">
        <w:rPr>
          <w:rFonts w:ascii="Times New Roman" w:hAnsi="Times New Roman" w:cs="Times New Roman"/>
        </w:rPr>
        <w:t xml:space="preserve"> are also independent of the dose level and the number of patients that have been treated. That is, the same </w:t>
      </w:r>
      <w:r w:rsidR="007D54A8">
        <w:rPr>
          <w:rFonts w:ascii="Times New Roman" w:hAnsi="Times New Roman" w:cs="Times New Roman"/>
        </w:rPr>
        <w:t>boundaries</w:t>
      </w:r>
      <w:r w:rsidRPr="00247CEB">
        <w:rPr>
          <w:rFonts w:ascii="Times New Roman" w:hAnsi="Times New Roman" w:cs="Times New Roman"/>
        </w:rPr>
        <w:t xml:space="preserve"> can be used throughout the trial, no matter which dose is currently under consideration and how many patients have been treated. </w:t>
      </w:r>
    </w:p>
    <w:p w14:paraId="19065E5A" w14:textId="267285B1" w:rsidR="007F6850" w:rsidRDefault="007F6850" w:rsidP="005E2B7A">
      <w:pPr>
        <w:pStyle w:val="ListParagraph"/>
        <w:spacing w:line="480" w:lineRule="auto"/>
        <w:ind w:left="0" w:firstLine="720"/>
        <w:rPr>
          <w:rFonts w:ascii="Times New Roman" w:hAnsi="Times New Roman" w:cs="Times New Roman"/>
        </w:rPr>
      </w:pPr>
      <w:r>
        <w:rPr>
          <w:rFonts w:ascii="Times New Roman" w:hAnsi="Times New Roman" w:cs="Times New Roman"/>
        </w:rPr>
        <w:t>Because the</w:t>
      </w:r>
      <w:r w:rsidRPr="00247CEB">
        <w:rPr>
          <w:rFonts w:ascii="Times New Roman" w:hAnsi="Times New Roman" w:cs="Times New Roman"/>
        </w:rPr>
        <w:t xml:space="preserve"> dose escalation rules (i.e., </w:t>
      </w:r>
      <w:r w:rsidR="007D54A8">
        <w:rPr>
          <w:rFonts w:ascii="Times New Roman" w:hAnsi="Times New Roman" w:cs="Times New Roman"/>
        </w:rPr>
        <w:t>boundaries</w:t>
      </w:r>
      <w:r w:rsidRPr="00247CEB">
        <w:rPr>
          <w:rFonts w:ascii="Times New Roman" w:hAnsi="Times New Roman" w:cs="Times New Roman"/>
        </w:rPr>
        <w:t xml:space="preserve"> </w:t>
      </w:r>
      <w:r w:rsidRPr="00247CEB">
        <w:rPr>
          <w:rFonts w:ascii="Times New Roman" w:hAnsi="Times New Roman" w:cs="Times New Roman"/>
          <w:i/>
        </w:rPr>
        <w:sym w:font="Symbol" w:char="F06C"/>
      </w:r>
      <w:r w:rsidRPr="00247CEB">
        <w:rPr>
          <w:rFonts w:ascii="Times New Roman" w:hAnsi="Times New Roman" w:cs="Times New Roman"/>
          <w:i/>
          <w:vertAlign w:val="subscript"/>
        </w:rPr>
        <w:t>e</w:t>
      </w:r>
      <w:r w:rsidRPr="00247CEB">
        <w:rPr>
          <w:rFonts w:ascii="Times New Roman" w:hAnsi="Times New Roman" w:cs="Times New Roman"/>
        </w:rPr>
        <w:t xml:space="preserve"> and </w:t>
      </w:r>
      <w:r w:rsidRPr="00247CEB">
        <w:rPr>
          <w:rFonts w:ascii="Times New Roman" w:hAnsi="Times New Roman" w:cs="Times New Roman"/>
          <w:i/>
        </w:rPr>
        <w:sym w:font="Symbol" w:char="F06C"/>
      </w:r>
      <w:r w:rsidRPr="00247CEB">
        <w:rPr>
          <w:rFonts w:ascii="Times New Roman" w:hAnsi="Times New Roman" w:cs="Times New Roman"/>
          <w:i/>
          <w:vertAlign w:val="subscript"/>
        </w:rPr>
        <w:t>d</w:t>
      </w:r>
      <w:r w:rsidRPr="00247CEB">
        <w:rPr>
          <w:rFonts w:ascii="Times New Roman" w:hAnsi="Times New Roman" w:cs="Times New Roman"/>
        </w:rPr>
        <w:t>) of the BOIN design are chosen on the basis o</w:t>
      </w:r>
      <w:r>
        <w:rPr>
          <w:rFonts w:ascii="Times New Roman" w:hAnsi="Times New Roman" w:cs="Times New Roman"/>
        </w:rPr>
        <w:t xml:space="preserve">f the formal statistical theory, it </w:t>
      </w:r>
      <w:r w:rsidRPr="00247CEB">
        <w:rPr>
          <w:rFonts w:ascii="Times New Roman" w:hAnsi="Times New Roman" w:cs="Times New Roman"/>
        </w:rPr>
        <w:t>offers substantially better operating characteristics than the 3+</w:t>
      </w:r>
      <w:r w:rsidR="00944448">
        <w:rPr>
          <w:rFonts w:ascii="Times New Roman" w:hAnsi="Times New Roman" w:cs="Times New Roman"/>
        </w:rPr>
        <w:t>3 design, as we demonstrate in the</w:t>
      </w:r>
      <w:r w:rsidRPr="00247CEB">
        <w:rPr>
          <w:rFonts w:ascii="Times New Roman" w:hAnsi="Times New Roman" w:cs="Times New Roman"/>
        </w:rPr>
        <w:t xml:space="preserve"> numerical study, as well as some desirable statistical properties. Specifically, the BOIN design is (long-memory) coherent and consistent. Being long-memory coherent means that the BOIN design never escalates (or de-escalates) the dose if the observed toxicity rate at the current dose is higher (or lower) than the target toxicity rate. This is a very desirable </w:t>
      </w:r>
      <w:r w:rsidRPr="00247CEB">
        <w:rPr>
          <w:rFonts w:ascii="Times New Roman" w:hAnsi="Times New Roman" w:cs="Times New Roman"/>
        </w:rPr>
        <w:lastRenderedPageBreak/>
        <w:t>design property because it automatically satisfies the following (ad hoc) safety requirement often imposed by clinicians: dose escalation is not allowed if the observed toxicity rate at the current dose is higher than the target toxicity rate. The BOIN design is consistent, which means that it guarantees that the true MTD will be found</w:t>
      </w:r>
      <w:r w:rsidR="00BA243B">
        <w:rPr>
          <w:rFonts w:ascii="Times New Roman" w:hAnsi="Times New Roman" w:cs="Times New Roman"/>
        </w:rPr>
        <w:t xml:space="preserve"> when the sample size is large.</w:t>
      </w:r>
    </w:p>
    <w:p w14:paraId="72A311FA" w14:textId="77777777" w:rsidR="00BA243B" w:rsidRPr="00BA243B" w:rsidRDefault="00BA243B" w:rsidP="005E2B7A">
      <w:pPr>
        <w:spacing w:line="480" w:lineRule="auto"/>
        <w:rPr>
          <w:rFonts w:ascii="Times New Roman" w:hAnsi="Times New Roman" w:cs="Times New Roman"/>
        </w:rPr>
      </w:pPr>
    </w:p>
    <w:p w14:paraId="245E7066" w14:textId="77777777" w:rsidR="007F6850" w:rsidRPr="00247CEB" w:rsidRDefault="007F6850" w:rsidP="007F6850">
      <w:pPr>
        <w:spacing w:line="480" w:lineRule="auto"/>
        <w:rPr>
          <w:rFonts w:ascii="Times New Roman" w:hAnsi="Times New Roman" w:cs="Times New Roman"/>
          <w:b/>
        </w:rPr>
      </w:pPr>
      <w:r w:rsidRPr="00247CEB">
        <w:rPr>
          <w:rFonts w:ascii="Times New Roman" w:hAnsi="Times New Roman" w:cs="Times New Roman"/>
          <w:b/>
        </w:rPr>
        <w:t>The 3+3 design in the simulation study</w:t>
      </w:r>
    </w:p>
    <w:p w14:paraId="560ABA64" w14:textId="77777777" w:rsidR="007F6850" w:rsidRPr="00247CEB" w:rsidRDefault="007F6850" w:rsidP="007F6850">
      <w:pPr>
        <w:spacing w:line="480" w:lineRule="auto"/>
        <w:rPr>
          <w:rFonts w:ascii="Times New Roman" w:hAnsi="Times New Roman" w:cs="Times New Roman"/>
        </w:rPr>
      </w:pPr>
      <w:r w:rsidRPr="00247CEB">
        <w:rPr>
          <w:rFonts w:ascii="Times New Roman" w:hAnsi="Times New Roman" w:cs="Times New Roman"/>
        </w:rPr>
        <w:t>There are many variations of the 3+3 design. The 3+3 design we used for the comparison in the simulation study is described as follows.</w:t>
      </w:r>
    </w:p>
    <w:p w14:paraId="749D7726" w14:textId="77777777" w:rsidR="007F6850" w:rsidRPr="00247CEB" w:rsidRDefault="007F6850" w:rsidP="007F6850">
      <w:pPr>
        <w:pStyle w:val="ListParagraph"/>
        <w:numPr>
          <w:ilvl w:val="0"/>
          <w:numId w:val="1"/>
        </w:numPr>
        <w:spacing w:after="200" w:line="480" w:lineRule="auto"/>
        <w:rPr>
          <w:rFonts w:ascii="Times New Roman" w:hAnsi="Times New Roman" w:cs="Times New Roman"/>
        </w:rPr>
      </w:pPr>
      <w:r w:rsidRPr="00247CEB">
        <w:rPr>
          <w:rFonts w:ascii="Times New Roman" w:hAnsi="Times New Roman" w:cs="Times New Roman"/>
        </w:rPr>
        <w:t>The first cohort of 3 patients is treated at dose level 1.</w:t>
      </w:r>
    </w:p>
    <w:p w14:paraId="57F0F16D" w14:textId="77777777" w:rsidR="007F6850" w:rsidRPr="00247CEB" w:rsidRDefault="007F6850" w:rsidP="007F6850">
      <w:pPr>
        <w:pStyle w:val="ListParagraph"/>
        <w:numPr>
          <w:ilvl w:val="0"/>
          <w:numId w:val="1"/>
        </w:numPr>
        <w:spacing w:line="480" w:lineRule="auto"/>
        <w:rPr>
          <w:rFonts w:ascii="Times New Roman" w:hAnsi="Times New Roman" w:cs="Times New Roman"/>
        </w:rPr>
      </w:pPr>
      <w:r w:rsidRPr="00247CEB">
        <w:rPr>
          <w:rFonts w:ascii="Times New Roman" w:hAnsi="Times New Roman" w:cs="Times New Roman"/>
        </w:rPr>
        <w:t xml:space="preserve">If 0 out of 3 patients experiences DLT, the next cohort of 3 patients is treated at the next higher dose level.  </w:t>
      </w:r>
    </w:p>
    <w:p w14:paraId="516ACFEB" w14:textId="77777777" w:rsidR="007F6850" w:rsidRPr="00247CEB" w:rsidRDefault="007F6850" w:rsidP="007F6850">
      <w:pPr>
        <w:pStyle w:val="ListParagraph"/>
        <w:numPr>
          <w:ilvl w:val="0"/>
          <w:numId w:val="1"/>
        </w:numPr>
        <w:spacing w:line="480" w:lineRule="auto"/>
        <w:rPr>
          <w:rFonts w:ascii="Times New Roman" w:hAnsi="Times New Roman" w:cs="Times New Roman"/>
        </w:rPr>
      </w:pPr>
      <w:r w:rsidRPr="00247CEB">
        <w:rPr>
          <w:rFonts w:ascii="Times New Roman" w:hAnsi="Times New Roman" w:cs="Times New Roman"/>
        </w:rPr>
        <w:t xml:space="preserve">If 1 patient out of 3 develops DLT, 3 more patients are treated at the same dose level.  If no more patients experience DLT at that dose, i.e., only 1 out of a total of 6 patients develops DLT, the dose escalation continues to the next higher level for a cohort of 3 patients.  </w:t>
      </w:r>
    </w:p>
    <w:p w14:paraId="3A4BDE82" w14:textId="795A8749" w:rsidR="007F6850" w:rsidRPr="00BA243B" w:rsidRDefault="007F6850" w:rsidP="007F6850">
      <w:pPr>
        <w:pStyle w:val="ListParagraph"/>
        <w:numPr>
          <w:ilvl w:val="0"/>
          <w:numId w:val="1"/>
        </w:numPr>
        <w:spacing w:line="480" w:lineRule="auto"/>
        <w:rPr>
          <w:rFonts w:ascii="Times New Roman" w:hAnsi="Times New Roman" w:cs="Times New Roman"/>
        </w:rPr>
      </w:pPr>
      <w:r w:rsidRPr="00247CEB">
        <w:rPr>
          <w:rFonts w:ascii="Times New Roman" w:hAnsi="Times New Roman" w:cs="Times New Roman"/>
        </w:rPr>
        <w:t xml:space="preserve">At any given dose, if more than 1 out of 3 patients or 6 patients experience DLTs, the dose level exceeds the MTD and 3 patients are then treated at the next lower dose level if fewer than 6 patients have already been treated at that dose; otherwise the next lower dose level is claimed as the MTD. If this is the lowest dose level tested, the trial is terminated and the MTD is not found. </w:t>
      </w:r>
    </w:p>
    <w:p w14:paraId="0BA3F214" w14:textId="77777777" w:rsidR="007F6850" w:rsidRPr="00247CEB" w:rsidRDefault="007F6850" w:rsidP="007F6850">
      <w:pPr>
        <w:spacing w:line="480" w:lineRule="auto"/>
        <w:rPr>
          <w:rFonts w:ascii="Times New Roman" w:hAnsi="Times New Roman" w:cs="Times New Roman"/>
        </w:rPr>
      </w:pPr>
      <w:r>
        <w:rPr>
          <w:rFonts w:ascii="Times New Roman" w:hAnsi="Times New Roman" w:cs="Times New Roman"/>
          <w:b/>
        </w:rPr>
        <w:br w:type="page"/>
      </w:r>
    </w:p>
    <w:p w14:paraId="2B8A9C5E" w14:textId="42234C35" w:rsidR="007F6850" w:rsidRPr="00247CEB" w:rsidRDefault="00BA243B" w:rsidP="007F6850">
      <w:pPr>
        <w:rPr>
          <w:rFonts w:ascii="Times New Roman" w:hAnsi="Times New Roman" w:cs="Times New Roman"/>
          <w:b/>
        </w:rPr>
      </w:pPr>
      <w:proofErr w:type="gramStart"/>
      <w:r>
        <w:rPr>
          <w:rFonts w:ascii="Times New Roman" w:hAnsi="Times New Roman" w:cs="Times New Roman"/>
          <w:b/>
        </w:rPr>
        <w:lastRenderedPageBreak/>
        <w:t>Supplementary Table S</w:t>
      </w:r>
      <w:r w:rsidR="007F6850" w:rsidRPr="00247CEB">
        <w:rPr>
          <w:rFonts w:ascii="Times New Roman" w:hAnsi="Times New Roman" w:cs="Times New Roman"/>
          <w:b/>
        </w:rPr>
        <w:t>1.</w:t>
      </w:r>
      <w:proofErr w:type="gramEnd"/>
      <w:r w:rsidR="007F6850" w:rsidRPr="00247CEB">
        <w:rPr>
          <w:rFonts w:ascii="Times New Roman" w:hAnsi="Times New Roman" w:cs="Times New Roman"/>
          <w:b/>
        </w:rPr>
        <w:t xml:space="preserve"> Dose escalation and de-esca</w:t>
      </w:r>
      <w:r w:rsidR="004620A4">
        <w:rPr>
          <w:rFonts w:ascii="Times New Roman" w:hAnsi="Times New Roman" w:cs="Times New Roman"/>
          <w:b/>
        </w:rPr>
        <w:t xml:space="preserve">lation </w:t>
      </w:r>
      <w:r w:rsidR="007D54A8">
        <w:rPr>
          <w:rFonts w:ascii="Times New Roman" w:hAnsi="Times New Roman" w:cs="Times New Roman"/>
          <w:b/>
        </w:rPr>
        <w:t>boundaries</w:t>
      </w:r>
      <w:r w:rsidR="004620A4">
        <w:rPr>
          <w:rFonts w:ascii="Times New Roman" w:hAnsi="Times New Roman" w:cs="Times New Roman"/>
          <w:b/>
        </w:rPr>
        <w:t xml:space="preserve"> for the </w:t>
      </w:r>
      <w:r w:rsidR="007F6850" w:rsidRPr="00247CEB">
        <w:rPr>
          <w:rFonts w:ascii="Times New Roman" w:hAnsi="Times New Roman" w:cs="Times New Roman"/>
          <w:b/>
        </w:rPr>
        <w:t>target toxicity rates</w:t>
      </w:r>
      <w:r w:rsidR="00C8714F">
        <w:rPr>
          <w:rFonts w:ascii="Times New Roman" w:hAnsi="Times New Roman" w:cs="Times New Roman"/>
          <w:b/>
        </w:rPr>
        <w:t xml:space="preserve"> of 15%, 20%, </w:t>
      </w:r>
      <w:r w:rsidR="004620A4">
        <w:rPr>
          <w:rFonts w:ascii="Times New Roman" w:hAnsi="Times New Roman" w:cs="Times New Roman"/>
          <w:b/>
        </w:rPr>
        <w:t>25%</w:t>
      </w:r>
      <w:r w:rsidR="00C8714F">
        <w:rPr>
          <w:rFonts w:ascii="Times New Roman" w:hAnsi="Times New Roman" w:cs="Times New Roman"/>
          <w:b/>
        </w:rPr>
        <w:t xml:space="preserve"> and 30%</w:t>
      </w:r>
      <w:r w:rsidR="004620A4">
        <w:rPr>
          <w:rFonts w:ascii="Times New Roman" w:hAnsi="Times New Roman" w:cs="Times New Roman"/>
          <w:b/>
        </w:rPr>
        <w:t xml:space="preserve">. </w:t>
      </w:r>
    </w:p>
    <w:tbl>
      <w:tblPr>
        <w:tblStyle w:val="LightList-Accent1"/>
        <w:tblW w:w="0" w:type="auto"/>
        <w:jc w:val="center"/>
        <w:tblInd w:w="-96" w:type="dxa"/>
        <w:tblLook w:val="04A0" w:firstRow="1" w:lastRow="0" w:firstColumn="1" w:lastColumn="0" w:noHBand="0" w:noVBand="1"/>
      </w:tblPr>
      <w:tblGrid>
        <w:gridCol w:w="1623"/>
        <w:gridCol w:w="336"/>
        <w:gridCol w:w="336"/>
        <w:gridCol w:w="336"/>
        <w:gridCol w:w="336"/>
        <w:gridCol w:w="336"/>
        <w:gridCol w:w="336"/>
        <w:gridCol w:w="336"/>
        <w:gridCol w:w="336"/>
        <w:gridCol w:w="336"/>
        <w:gridCol w:w="456"/>
        <w:gridCol w:w="456"/>
        <w:gridCol w:w="456"/>
        <w:gridCol w:w="456"/>
        <w:gridCol w:w="456"/>
        <w:gridCol w:w="456"/>
        <w:gridCol w:w="456"/>
        <w:gridCol w:w="456"/>
        <w:gridCol w:w="456"/>
      </w:tblGrid>
      <w:tr w:rsidR="007F6850" w:rsidRPr="00247CEB" w14:paraId="5BC3D299" w14:textId="77777777" w:rsidTr="004620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1" w:type="dxa"/>
            <w:gridSpan w:val="19"/>
          </w:tcPr>
          <w:p w14:paraId="7F9D9757" w14:textId="77777777" w:rsidR="007F6850" w:rsidRPr="00247CEB" w:rsidRDefault="007F6850" w:rsidP="00874AA1">
            <w:pPr>
              <w:jc w:val="center"/>
              <w:rPr>
                <w:rFonts w:ascii="Times New Roman" w:hAnsi="Times New Roman" w:cs="Times New Roman"/>
              </w:rPr>
            </w:pPr>
            <w:r w:rsidRPr="00247CEB">
              <w:rPr>
                <w:rFonts w:ascii="Times New Roman" w:hAnsi="Times New Roman" w:cs="Times New Roman"/>
              </w:rPr>
              <w:t>Target toxicity rate = 15%</w:t>
            </w:r>
          </w:p>
        </w:tc>
      </w:tr>
      <w:tr w:rsidR="007F6850" w:rsidRPr="00247CEB" w14:paraId="54EF4A5F" w14:textId="77777777" w:rsidTr="0046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3" w:type="dxa"/>
            <w:tcBorders>
              <w:bottom w:val="nil"/>
            </w:tcBorders>
            <w:vAlign w:val="center"/>
          </w:tcPr>
          <w:p w14:paraId="02732A4D" w14:textId="77777777" w:rsidR="007F6850" w:rsidRPr="00247CEB" w:rsidRDefault="007F6850" w:rsidP="00874AA1">
            <w:pPr>
              <w:jc w:val="center"/>
              <w:rPr>
                <w:rFonts w:ascii="Times New Roman" w:hAnsi="Times New Roman" w:cs="Times New Roman"/>
              </w:rPr>
            </w:pPr>
          </w:p>
        </w:tc>
        <w:tc>
          <w:tcPr>
            <w:tcW w:w="0" w:type="auto"/>
            <w:gridSpan w:val="18"/>
            <w:vAlign w:val="center"/>
          </w:tcPr>
          <w:p w14:paraId="172A82F9"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The number of patients treated at the current dose</w:t>
            </w:r>
          </w:p>
        </w:tc>
      </w:tr>
      <w:tr w:rsidR="007F6850" w:rsidRPr="00247CEB" w14:paraId="2DD1F7D1" w14:textId="77777777" w:rsidTr="004620A4">
        <w:trPr>
          <w:jc w:val="center"/>
        </w:trPr>
        <w:tc>
          <w:tcPr>
            <w:cnfStyle w:val="001000000000" w:firstRow="0" w:lastRow="0" w:firstColumn="1" w:lastColumn="0" w:oddVBand="0" w:evenVBand="0" w:oddHBand="0" w:evenHBand="0" w:firstRowFirstColumn="0" w:firstRowLastColumn="0" w:lastRowFirstColumn="0" w:lastRowLastColumn="0"/>
            <w:tcW w:w="1623" w:type="dxa"/>
            <w:tcBorders>
              <w:top w:val="nil"/>
              <w:bottom w:val="single" w:sz="8" w:space="0" w:color="4F81BD" w:themeColor="accent1"/>
            </w:tcBorders>
            <w:vAlign w:val="center"/>
          </w:tcPr>
          <w:p w14:paraId="7B050D07"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Action</w:t>
            </w:r>
          </w:p>
        </w:tc>
        <w:tc>
          <w:tcPr>
            <w:tcW w:w="0" w:type="auto"/>
            <w:vAlign w:val="center"/>
          </w:tcPr>
          <w:p w14:paraId="0BD1C2A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09262784"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17C69D11"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39844BC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235CBAE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377B426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c>
          <w:tcPr>
            <w:tcW w:w="0" w:type="auto"/>
            <w:vAlign w:val="center"/>
          </w:tcPr>
          <w:p w14:paraId="0EAF476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7</w:t>
            </w:r>
          </w:p>
        </w:tc>
        <w:tc>
          <w:tcPr>
            <w:tcW w:w="0" w:type="auto"/>
            <w:vAlign w:val="center"/>
          </w:tcPr>
          <w:p w14:paraId="7552258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8</w:t>
            </w:r>
          </w:p>
        </w:tc>
        <w:tc>
          <w:tcPr>
            <w:tcW w:w="0" w:type="auto"/>
            <w:vAlign w:val="center"/>
          </w:tcPr>
          <w:p w14:paraId="6B76D5A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9</w:t>
            </w:r>
          </w:p>
        </w:tc>
        <w:tc>
          <w:tcPr>
            <w:tcW w:w="0" w:type="auto"/>
            <w:vAlign w:val="center"/>
          </w:tcPr>
          <w:p w14:paraId="48F0570B"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10</w:t>
            </w:r>
          </w:p>
        </w:tc>
        <w:tc>
          <w:tcPr>
            <w:tcW w:w="0" w:type="auto"/>
            <w:vAlign w:val="center"/>
          </w:tcPr>
          <w:p w14:paraId="47480AF3"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11</w:t>
            </w:r>
          </w:p>
        </w:tc>
        <w:tc>
          <w:tcPr>
            <w:tcW w:w="0" w:type="auto"/>
            <w:vAlign w:val="center"/>
          </w:tcPr>
          <w:p w14:paraId="31D8F0D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12</w:t>
            </w:r>
          </w:p>
        </w:tc>
        <w:tc>
          <w:tcPr>
            <w:tcW w:w="0" w:type="auto"/>
            <w:vAlign w:val="center"/>
          </w:tcPr>
          <w:p w14:paraId="6A9BEC13"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13</w:t>
            </w:r>
          </w:p>
        </w:tc>
        <w:tc>
          <w:tcPr>
            <w:tcW w:w="0" w:type="auto"/>
            <w:vAlign w:val="center"/>
          </w:tcPr>
          <w:p w14:paraId="7ABC86CA"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14</w:t>
            </w:r>
          </w:p>
        </w:tc>
        <w:tc>
          <w:tcPr>
            <w:tcW w:w="0" w:type="auto"/>
            <w:vAlign w:val="center"/>
          </w:tcPr>
          <w:p w14:paraId="2D8BF72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15</w:t>
            </w:r>
          </w:p>
        </w:tc>
        <w:tc>
          <w:tcPr>
            <w:tcW w:w="0" w:type="auto"/>
            <w:vAlign w:val="center"/>
          </w:tcPr>
          <w:p w14:paraId="6D968D0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16</w:t>
            </w:r>
          </w:p>
        </w:tc>
        <w:tc>
          <w:tcPr>
            <w:tcW w:w="0" w:type="auto"/>
            <w:vAlign w:val="center"/>
          </w:tcPr>
          <w:p w14:paraId="43AD464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17</w:t>
            </w:r>
          </w:p>
        </w:tc>
        <w:tc>
          <w:tcPr>
            <w:tcW w:w="0" w:type="auto"/>
            <w:vAlign w:val="center"/>
          </w:tcPr>
          <w:p w14:paraId="696DA14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18</w:t>
            </w:r>
          </w:p>
        </w:tc>
      </w:tr>
      <w:tr w:rsidR="007F6850" w:rsidRPr="00247CEB" w14:paraId="76D44F8F" w14:textId="77777777" w:rsidTr="0046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3" w:type="dxa"/>
            <w:vAlign w:val="center"/>
          </w:tcPr>
          <w:p w14:paraId="6B1CD587"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 xml:space="preserve">Escalate if # of DLTs </w:t>
            </w:r>
            <w:r w:rsidRPr="00247CEB">
              <w:rPr>
                <w:rFonts w:ascii="Times New Roman" w:hAnsi="Times New Roman" w:cs="Times New Roman"/>
                <w:b w:val="0"/>
              </w:rPr>
              <w:sym w:font="Symbol" w:char="F0A3"/>
            </w:r>
          </w:p>
        </w:tc>
        <w:tc>
          <w:tcPr>
            <w:tcW w:w="0" w:type="auto"/>
            <w:vAlign w:val="center"/>
          </w:tcPr>
          <w:p w14:paraId="4C389C9F"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32DD4DEA"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6F02CECA"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59C411D8"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51ED6C0D"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1C570DB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52B6A50F"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43E72064"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14D28468"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B2E48B8"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9A8AAD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06AFA90B"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BF4CCC9"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96100EE"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96D6FFF"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66E52B1"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41672DF6"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2E5B1228"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r>
      <w:tr w:rsidR="007F6850" w:rsidRPr="00247CEB" w14:paraId="4FD01A0A" w14:textId="77777777" w:rsidTr="004620A4">
        <w:trPr>
          <w:jc w:val="center"/>
        </w:trPr>
        <w:tc>
          <w:tcPr>
            <w:cnfStyle w:val="001000000000" w:firstRow="0" w:lastRow="0" w:firstColumn="1" w:lastColumn="0" w:oddVBand="0" w:evenVBand="0" w:oddHBand="0" w:evenHBand="0" w:firstRowFirstColumn="0" w:firstRowLastColumn="0" w:lastRowFirstColumn="0" w:lastRowLastColumn="0"/>
            <w:tcW w:w="1623" w:type="dxa"/>
            <w:vAlign w:val="center"/>
          </w:tcPr>
          <w:p w14:paraId="49FD28A5"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 xml:space="preserve">De-escalate if # of DLTs </w:t>
            </w:r>
            <w:r w:rsidRPr="00247CEB">
              <w:rPr>
                <w:rFonts w:ascii="Times New Roman" w:hAnsi="Times New Roman" w:cs="Times New Roman"/>
                <w:b w:val="0"/>
              </w:rPr>
              <w:sym w:font="Symbol" w:char="F0B3"/>
            </w:r>
          </w:p>
        </w:tc>
        <w:tc>
          <w:tcPr>
            <w:tcW w:w="0" w:type="auto"/>
            <w:vAlign w:val="center"/>
          </w:tcPr>
          <w:p w14:paraId="100D19F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1AA9C6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940178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5AD381A4"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7F21441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A3F476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28A33B3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1923B66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0A1945D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06991A5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3A93DE7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55CA1574"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44A5F30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2D6874D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1B56F8C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7293C01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293E0B1A"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4C3CB3F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r>
    </w:tbl>
    <w:p w14:paraId="7D83C446" w14:textId="77777777" w:rsidR="007F6850" w:rsidRPr="00247CEB" w:rsidRDefault="007F6850" w:rsidP="007F6850">
      <w:pPr>
        <w:rPr>
          <w:rFonts w:ascii="Times New Roman" w:hAnsi="Times New Roman" w:cs="Times New Roman"/>
        </w:rPr>
      </w:pPr>
    </w:p>
    <w:tbl>
      <w:tblPr>
        <w:tblStyle w:val="LightList-Accent1"/>
        <w:tblW w:w="0" w:type="auto"/>
        <w:jc w:val="center"/>
        <w:tblInd w:w="-100" w:type="dxa"/>
        <w:tblLook w:val="04A0" w:firstRow="1" w:lastRow="0" w:firstColumn="1" w:lastColumn="0" w:noHBand="0" w:noVBand="1"/>
      </w:tblPr>
      <w:tblGrid>
        <w:gridCol w:w="1627"/>
        <w:gridCol w:w="336"/>
        <w:gridCol w:w="336"/>
        <w:gridCol w:w="336"/>
        <w:gridCol w:w="336"/>
        <w:gridCol w:w="336"/>
        <w:gridCol w:w="336"/>
        <w:gridCol w:w="336"/>
        <w:gridCol w:w="336"/>
        <w:gridCol w:w="336"/>
        <w:gridCol w:w="456"/>
        <w:gridCol w:w="456"/>
        <w:gridCol w:w="456"/>
        <w:gridCol w:w="456"/>
        <w:gridCol w:w="456"/>
        <w:gridCol w:w="456"/>
        <w:gridCol w:w="456"/>
        <w:gridCol w:w="456"/>
        <w:gridCol w:w="456"/>
      </w:tblGrid>
      <w:tr w:rsidR="007F6850" w:rsidRPr="00247CEB" w14:paraId="0166EE87" w14:textId="77777777" w:rsidTr="004620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5" w:type="dxa"/>
            <w:gridSpan w:val="19"/>
          </w:tcPr>
          <w:p w14:paraId="430DBF0B" w14:textId="77777777" w:rsidR="007F6850" w:rsidRPr="00247CEB" w:rsidRDefault="007F6850" w:rsidP="00874AA1">
            <w:pPr>
              <w:jc w:val="center"/>
              <w:rPr>
                <w:rFonts w:ascii="Times New Roman" w:hAnsi="Times New Roman" w:cs="Times New Roman"/>
              </w:rPr>
            </w:pPr>
            <w:r w:rsidRPr="00247CEB">
              <w:rPr>
                <w:rFonts w:ascii="Times New Roman" w:hAnsi="Times New Roman" w:cs="Times New Roman"/>
              </w:rPr>
              <w:t>Target toxicity rate = 20%</w:t>
            </w:r>
          </w:p>
        </w:tc>
      </w:tr>
      <w:tr w:rsidR="007F6850" w:rsidRPr="00247CEB" w14:paraId="3F49C4E0" w14:textId="77777777" w:rsidTr="0046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7" w:type="dxa"/>
            <w:tcBorders>
              <w:bottom w:val="nil"/>
            </w:tcBorders>
            <w:vAlign w:val="center"/>
          </w:tcPr>
          <w:p w14:paraId="64D9693D" w14:textId="77777777" w:rsidR="007F6850" w:rsidRPr="00247CEB" w:rsidRDefault="007F6850" w:rsidP="00874AA1">
            <w:pPr>
              <w:jc w:val="center"/>
              <w:rPr>
                <w:rFonts w:ascii="Times New Roman" w:hAnsi="Times New Roman" w:cs="Times New Roman"/>
              </w:rPr>
            </w:pPr>
          </w:p>
        </w:tc>
        <w:tc>
          <w:tcPr>
            <w:tcW w:w="0" w:type="auto"/>
            <w:gridSpan w:val="18"/>
            <w:vAlign w:val="center"/>
          </w:tcPr>
          <w:p w14:paraId="03A72BD9"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The number of patients treated at the current dose</w:t>
            </w:r>
          </w:p>
        </w:tc>
      </w:tr>
      <w:tr w:rsidR="007F6850" w:rsidRPr="00247CEB" w14:paraId="6DA056F5" w14:textId="77777777" w:rsidTr="004620A4">
        <w:trPr>
          <w:jc w:val="center"/>
        </w:trPr>
        <w:tc>
          <w:tcPr>
            <w:cnfStyle w:val="001000000000" w:firstRow="0" w:lastRow="0" w:firstColumn="1" w:lastColumn="0" w:oddVBand="0" w:evenVBand="0" w:oddHBand="0" w:evenHBand="0" w:firstRowFirstColumn="0" w:firstRowLastColumn="0" w:lastRowFirstColumn="0" w:lastRowLastColumn="0"/>
            <w:tcW w:w="1627" w:type="dxa"/>
            <w:tcBorders>
              <w:top w:val="nil"/>
              <w:bottom w:val="single" w:sz="8" w:space="0" w:color="4F81BD" w:themeColor="accent1"/>
            </w:tcBorders>
            <w:vAlign w:val="center"/>
          </w:tcPr>
          <w:p w14:paraId="0C12A330"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Action</w:t>
            </w:r>
          </w:p>
        </w:tc>
        <w:tc>
          <w:tcPr>
            <w:tcW w:w="0" w:type="auto"/>
            <w:vAlign w:val="center"/>
          </w:tcPr>
          <w:p w14:paraId="420B2BC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419C1643"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1C0EEA6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0344022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631398F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01E00CC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c>
          <w:tcPr>
            <w:tcW w:w="0" w:type="auto"/>
            <w:vAlign w:val="center"/>
          </w:tcPr>
          <w:p w14:paraId="0B5819D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7</w:t>
            </w:r>
          </w:p>
        </w:tc>
        <w:tc>
          <w:tcPr>
            <w:tcW w:w="0" w:type="auto"/>
            <w:vAlign w:val="center"/>
          </w:tcPr>
          <w:p w14:paraId="4DE4599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8</w:t>
            </w:r>
          </w:p>
        </w:tc>
        <w:tc>
          <w:tcPr>
            <w:tcW w:w="0" w:type="auto"/>
            <w:vAlign w:val="center"/>
          </w:tcPr>
          <w:p w14:paraId="4C4E232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9</w:t>
            </w:r>
          </w:p>
        </w:tc>
        <w:tc>
          <w:tcPr>
            <w:tcW w:w="0" w:type="auto"/>
            <w:vAlign w:val="center"/>
          </w:tcPr>
          <w:p w14:paraId="6CA78541"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10</w:t>
            </w:r>
          </w:p>
        </w:tc>
        <w:tc>
          <w:tcPr>
            <w:tcW w:w="0" w:type="auto"/>
            <w:vAlign w:val="center"/>
          </w:tcPr>
          <w:p w14:paraId="71AFF2A4"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11</w:t>
            </w:r>
          </w:p>
        </w:tc>
        <w:tc>
          <w:tcPr>
            <w:tcW w:w="0" w:type="auto"/>
            <w:vAlign w:val="center"/>
          </w:tcPr>
          <w:p w14:paraId="05FC6A4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12</w:t>
            </w:r>
          </w:p>
        </w:tc>
        <w:tc>
          <w:tcPr>
            <w:tcW w:w="0" w:type="auto"/>
            <w:vAlign w:val="center"/>
          </w:tcPr>
          <w:p w14:paraId="3F86D50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13</w:t>
            </w:r>
          </w:p>
        </w:tc>
        <w:tc>
          <w:tcPr>
            <w:tcW w:w="0" w:type="auto"/>
            <w:vAlign w:val="center"/>
          </w:tcPr>
          <w:p w14:paraId="32A74B34"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14</w:t>
            </w:r>
          </w:p>
        </w:tc>
        <w:tc>
          <w:tcPr>
            <w:tcW w:w="0" w:type="auto"/>
            <w:vAlign w:val="center"/>
          </w:tcPr>
          <w:p w14:paraId="56FCE5A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15</w:t>
            </w:r>
          </w:p>
        </w:tc>
        <w:tc>
          <w:tcPr>
            <w:tcW w:w="0" w:type="auto"/>
            <w:vAlign w:val="center"/>
          </w:tcPr>
          <w:p w14:paraId="3F040B3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16</w:t>
            </w:r>
          </w:p>
        </w:tc>
        <w:tc>
          <w:tcPr>
            <w:tcW w:w="0" w:type="auto"/>
            <w:vAlign w:val="center"/>
          </w:tcPr>
          <w:p w14:paraId="19302AD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17</w:t>
            </w:r>
          </w:p>
        </w:tc>
        <w:tc>
          <w:tcPr>
            <w:tcW w:w="0" w:type="auto"/>
            <w:vAlign w:val="center"/>
          </w:tcPr>
          <w:p w14:paraId="67E8EB8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18</w:t>
            </w:r>
          </w:p>
        </w:tc>
      </w:tr>
      <w:tr w:rsidR="007F6850" w:rsidRPr="00247CEB" w14:paraId="2A05872A" w14:textId="77777777" w:rsidTr="0046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7" w:type="dxa"/>
            <w:vAlign w:val="center"/>
          </w:tcPr>
          <w:p w14:paraId="3B34E8B2"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 xml:space="preserve">Escalate if # of DLTs </w:t>
            </w:r>
            <w:r w:rsidRPr="00247CEB">
              <w:rPr>
                <w:rFonts w:ascii="Times New Roman" w:hAnsi="Times New Roman" w:cs="Times New Roman"/>
                <w:b w:val="0"/>
              </w:rPr>
              <w:sym w:font="Symbol" w:char="F0A3"/>
            </w:r>
          </w:p>
        </w:tc>
        <w:tc>
          <w:tcPr>
            <w:tcW w:w="0" w:type="auto"/>
            <w:vAlign w:val="center"/>
          </w:tcPr>
          <w:p w14:paraId="77CFB985"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770D20BE"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4DAE1BE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2B72132A"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5255F159"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4618BAE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3DC7D689"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67E27B4"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20C5E761"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34A368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11B8F8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095EBCEA"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2820253"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209FEF2A"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32A6DCE6"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467537B3"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19E6A732"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40A8E27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r>
      <w:tr w:rsidR="007F6850" w:rsidRPr="00247CEB" w14:paraId="2C0F5944" w14:textId="77777777" w:rsidTr="004620A4">
        <w:trPr>
          <w:jc w:val="center"/>
        </w:trPr>
        <w:tc>
          <w:tcPr>
            <w:cnfStyle w:val="001000000000" w:firstRow="0" w:lastRow="0" w:firstColumn="1" w:lastColumn="0" w:oddVBand="0" w:evenVBand="0" w:oddHBand="0" w:evenHBand="0" w:firstRowFirstColumn="0" w:firstRowLastColumn="0" w:lastRowFirstColumn="0" w:lastRowLastColumn="0"/>
            <w:tcW w:w="1627" w:type="dxa"/>
            <w:vAlign w:val="center"/>
          </w:tcPr>
          <w:p w14:paraId="311F211D"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 xml:space="preserve">De-escalate if # of DLTs </w:t>
            </w:r>
            <w:r w:rsidRPr="00247CEB">
              <w:rPr>
                <w:rFonts w:ascii="Times New Roman" w:hAnsi="Times New Roman" w:cs="Times New Roman"/>
                <w:b w:val="0"/>
              </w:rPr>
              <w:sym w:font="Symbol" w:char="F0B3"/>
            </w:r>
          </w:p>
        </w:tc>
        <w:tc>
          <w:tcPr>
            <w:tcW w:w="0" w:type="auto"/>
            <w:vAlign w:val="center"/>
          </w:tcPr>
          <w:p w14:paraId="12461A9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26780B5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6590B8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011C6050"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8A792D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0FB9EBC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6A97C94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5C1260CB"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4818331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636C25E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46F641F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704D8C0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6A01C693"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612BF41B"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6E408F90"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3DD08CC3"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04B4DBA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295B3BB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r>
    </w:tbl>
    <w:p w14:paraId="63E0417E" w14:textId="77777777" w:rsidR="007F6850" w:rsidRPr="00247CEB" w:rsidRDefault="007F6850" w:rsidP="007F6850">
      <w:pPr>
        <w:rPr>
          <w:rFonts w:ascii="Times New Roman" w:hAnsi="Times New Roman" w:cs="Times New Roman"/>
        </w:rPr>
      </w:pPr>
    </w:p>
    <w:tbl>
      <w:tblPr>
        <w:tblStyle w:val="LightList-Accent1"/>
        <w:tblW w:w="0" w:type="auto"/>
        <w:jc w:val="center"/>
        <w:tblInd w:w="-100" w:type="dxa"/>
        <w:tblLook w:val="04A0" w:firstRow="1" w:lastRow="0" w:firstColumn="1" w:lastColumn="0" w:noHBand="0" w:noVBand="1"/>
      </w:tblPr>
      <w:tblGrid>
        <w:gridCol w:w="1627"/>
        <w:gridCol w:w="336"/>
        <w:gridCol w:w="336"/>
        <w:gridCol w:w="336"/>
        <w:gridCol w:w="336"/>
        <w:gridCol w:w="336"/>
        <w:gridCol w:w="336"/>
        <w:gridCol w:w="336"/>
        <w:gridCol w:w="336"/>
        <w:gridCol w:w="336"/>
        <w:gridCol w:w="456"/>
        <w:gridCol w:w="456"/>
        <w:gridCol w:w="456"/>
        <w:gridCol w:w="456"/>
        <w:gridCol w:w="456"/>
        <w:gridCol w:w="456"/>
        <w:gridCol w:w="456"/>
        <w:gridCol w:w="456"/>
        <w:gridCol w:w="456"/>
      </w:tblGrid>
      <w:tr w:rsidR="007F6850" w:rsidRPr="00247CEB" w14:paraId="2AF251DB" w14:textId="77777777" w:rsidTr="004620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5" w:type="dxa"/>
            <w:gridSpan w:val="19"/>
          </w:tcPr>
          <w:p w14:paraId="2D3D7D07" w14:textId="77777777" w:rsidR="007F6850" w:rsidRPr="00247CEB" w:rsidRDefault="007F6850" w:rsidP="00874AA1">
            <w:pPr>
              <w:jc w:val="center"/>
              <w:rPr>
                <w:rFonts w:ascii="Times New Roman" w:hAnsi="Times New Roman" w:cs="Times New Roman"/>
              </w:rPr>
            </w:pPr>
            <w:r w:rsidRPr="00247CEB">
              <w:rPr>
                <w:rFonts w:ascii="Times New Roman" w:hAnsi="Times New Roman" w:cs="Times New Roman"/>
              </w:rPr>
              <w:t>Target toxicity rate = 25%</w:t>
            </w:r>
          </w:p>
        </w:tc>
      </w:tr>
      <w:tr w:rsidR="007F6850" w:rsidRPr="00247CEB" w14:paraId="6D89AF34" w14:textId="77777777" w:rsidTr="0046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7" w:type="dxa"/>
            <w:tcBorders>
              <w:bottom w:val="nil"/>
            </w:tcBorders>
            <w:vAlign w:val="center"/>
          </w:tcPr>
          <w:p w14:paraId="2D3B1002" w14:textId="77777777" w:rsidR="007F6850" w:rsidRPr="00247CEB" w:rsidRDefault="007F6850" w:rsidP="00874AA1">
            <w:pPr>
              <w:jc w:val="center"/>
              <w:rPr>
                <w:rFonts w:ascii="Times New Roman" w:hAnsi="Times New Roman" w:cs="Times New Roman"/>
              </w:rPr>
            </w:pPr>
          </w:p>
        </w:tc>
        <w:tc>
          <w:tcPr>
            <w:tcW w:w="0" w:type="auto"/>
            <w:gridSpan w:val="18"/>
            <w:vAlign w:val="center"/>
          </w:tcPr>
          <w:p w14:paraId="4DE1E136"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The number of patients treated at the current dose</w:t>
            </w:r>
          </w:p>
        </w:tc>
      </w:tr>
      <w:tr w:rsidR="007F6850" w:rsidRPr="00247CEB" w14:paraId="22ED09C0" w14:textId="77777777" w:rsidTr="004620A4">
        <w:trPr>
          <w:jc w:val="center"/>
        </w:trPr>
        <w:tc>
          <w:tcPr>
            <w:cnfStyle w:val="001000000000" w:firstRow="0" w:lastRow="0" w:firstColumn="1" w:lastColumn="0" w:oddVBand="0" w:evenVBand="0" w:oddHBand="0" w:evenHBand="0" w:firstRowFirstColumn="0" w:firstRowLastColumn="0" w:lastRowFirstColumn="0" w:lastRowLastColumn="0"/>
            <w:tcW w:w="1627" w:type="dxa"/>
            <w:tcBorders>
              <w:top w:val="nil"/>
              <w:bottom w:val="single" w:sz="8" w:space="0" w:color="4F81BD" w:themeColor="accent1"/>
            </w:tcBorders>
            <w:vAlign w:val="center"/>
          </w:tcPr>
          <w:p w14:paraId="56134EE2"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Action</w:t>
            </w:r>
          </w:p>
        </w:tc>
        <w:tc>
          <w:tcPr>
            <w:tcW w:w="0" w:type="auto"/>
            <w:vAlign w:val="center"/>
          </w:tcPr>
          <w:p w14:paraId="3DC60AA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71932DE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365538E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7E75007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699F831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2774C321"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c>
          <w:tcPr>
            <w:tcW w:w="0" w:type="auto"/>
            <w:vAlign w:val="center"/>
          </w:tcPr>
          <w:p w14:paraId="456E7E30"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7</w:t>
            </w:r>
          </w:p>
        </w:tc>
        <w:tc>
          <w:tcPr>
            <w:tcW w:w="0" w:type="auto"/>
            <w:vAlign w:val="center"/>
          </w:tcPr>
          <w:p w14:paraId="3AEBCFE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8</w:t>
            </w:r>
          </w:p>
        </w:tc>
        <w:tc>
          <w:tcPr>
            <w:tcW w:w="0" w:type="auto"/>
            <w:vAlign w:val="center"/>
          </w:tcPr>
          <w:p w14:paraId="0394A4C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9</w:t>
            </w:r>
          </w:p>
        </w:tc>
        <w:tc>
          <w:tcPr>
            <w:tcW w:w="0" w:type="auto"/>
            <w:vAlign w:val="center"/>
          </w:tcPr>
          <w:p w14:paraId="7882D69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10</w:t>
            </w:r>
          </w:p>
        </w:tc>
        <w:tc>
          <w:tcPr>
            <w:tcW w:w="0" w:type="auto"/>
            <w:vAlign w:val="center"/>
          </w:tcPr>
          <w:p w14:paraId="4E6F265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11</w:t>
            </w:r>
          </w:p>
        </w:tc>
        <w:tc>
          <w:tcPr>
            <w:tcW w:w="0" w:type="auto"/>
            <w:vAlign w:val="center"/>
          </w:tcPr>
          <w:p w14:paraId="191E962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12</w:t>
            </w:r>
          </w:p>
        </w:tc>
        <w:tc>
          <w:tcPr>
            <w:tcW w:w="0" w:type="auto"/>
            <w:vAlign w:val="center"/>
          </w:tcPr>
          <w:p w14:paraId="4573E32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13</w:t>
            </w:r>
          </w:p>
        </w:tc>
        <w:tc>
          <w:tcPr>
            <w:tcW w:w="0" w:type="auto"/>
            <w:vAlign w:val="center"/>
          </w:tcPr>
          <w:p w14:paraId="09DE792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14</w:t>
            </w:r>
          </w:p>
        </w:tc>
        <w:tc>
          <w:tcPr>
            <w:tcW w:w="0" w:type="auto"/>
            <w:vAlign w:val="center"/>
          </w:tcPr>
          <w:p w14:paraId="36DBB90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15</w:t>
            </w:r>
          </w:p>
        </w:tc>
        <w:tc>
          <w:tcPr>
            <w:tcW w:w="0" w:type="auto"/>
            <w:vAlign w:val="center"/>
          </w:tcPr>
          <w:p w14:paraId="2655D07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16</w:t>
            </w:r>
          </w:p>
        </w:tc>
        <w:tc>
          <w:tcPr>
            <w:tcW w:w="0" w:type="auto"/>
            <w:vAlign w:val="center"/>
          </w:tcPr>
          <w:p w14:paraId="452AD19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17</w:t>
            </w:r>
          </w:p>
        </w:tc>
        <w:tc>
          <w:tcPr>
            <w:tcW w:w="0" w:type="auto"/>
            <w:vAlign w:val="center"/>
          </w:tcPr>
          <w:p w14:paraId="16B7C429"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18</w:t>
            </w:r>
          </w:p>
        </w:tc>
      </w:tr>
      <w:tr w:rsidR="007F6850" w:rsidRPr="00247CEB" w14:paraId="6FF6B1DE" w14:textId="77777777" w:rsidTr="0046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7" w:type="dxa"/>
            <w:vAlign w:val="center"/>
          </w:tcPr>
          <w:p w14:paraId="7A9BCEB5"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 xml:space="preserve">Escalate if # of DLTs </w:t>
            </w:r>
            <w:r w:rsidRPr="00247CEB">
              <w:rPr>
                <w:rFonts w:ascii="Times New Roman" w:hAnsi="Times New Roman" w:cs="Times New Roman"/>
                <w:b w:val="0"/>
              </w:rPr>
              <w:sym w:font="Symbol" w:char="F0A3"/>
            </w:r>
          </w:p>
        </w:tc>
        <w:tc>
          <w:tcPr>
            <w:tcW w:w="0" w:type="auto"/>
            <w:vAlign w:val="center"/>
          </w:tcPr>
          <w:p w14:paraId="4655EC4A"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6956BA82"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3F3DEF15"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4609DB02"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0323C887"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0ED08CA2"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71AFCF0F"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00A769BD"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19031BB"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03D0A403"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7630B43B"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457F3947"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3CC52200"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71B61F3B"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72D91457"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0CEE3BD4"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2A79EEFC"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22D21184"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r>
      <w:tr w:rsidR="007F6850" w:rsidRPr="00247CEB" w14:paraId="2CB06FCD" w14:textId="77777777" w:rsidTr="004620A4">
        <w:trPr>
          <w:jc w:val="center"/>
        </w:trPr>
        <w:tc>
          <w:tcPr>
            <w:cnfStyle w:val="001000000000" w:firstRow="0" w:lastRow="0" w:firstColumn="1" w:lastColumn="0" w:oddVBand="0" w:evenVBand="0" w:oddHBand="0" w:evenHBand="0" w:firstRowFirstColumn="0" w:firstRowLastColumn="0" w:lastRowFirstColumn="0" w:lastRowLastColumn="0"/>
            <w:tcW w:w="1627" w:type="dxa"/>
            <w:vAlign w:val="center"/>
          </w:tcPr>
          <w:p w14:paraId="66128556"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 xml:space="preserve">De-escalate if # of DLTs </w:t>
            </w:r>
            <w:r w:rsidRPr="00247CEB">
              <w:rPr>
                <w:rFonts w:ascii="Times New Roman" w:hAnsi="Times New Roman" w:cs="Times New Roman"/>
                <w:b w:val="0"/>
              </w:rPr>
              <w:sym w:font="Symbol" w:char="F0B3"/>
            </w:r>
          </w:p>
        </w:tc>
        <w:tc>
          <w:tcPr>
            <w:tcW w:w="0" w:type="auto"/>
            <w:vAlign w:val="center"/>
          </w:tcPr>
          <w:p w14:paraId="6F921F7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53CDEF4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E62132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338558CB"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1DAC423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7475AD2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61804AD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11C50C2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4F70F8E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3C09BEF6"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5CEFC5A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757F3D4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2D5FFA2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560BBCB2"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1B52EA6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56F7674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6C42044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c>
          <w:tcPr>
            <w:tcW w:w="0" w:type="auto"/>
            <w:vAlign w:val="center"/>
          </w:tcPr>
          <w:p w14:paraId="3BAB10C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r>
    </w:tbl>
    <w:p w14:paraId="07BDD176" w14:textId="77777777" w:rsidR="007F6850" w:rsidRDefault="007F6850" w:rsidP="007F6850">
      <w:pPr>
        <w:rPr>
          <w:rFonts w:ascii="Times New Roman" w:hAnsi="Times New Roman" w:cs="Times New Roman"/>
        </w:rPr>
      </w:pPr>
    </w:p>
    <w:tbl>
      <w:tblPr>
        <w:tblStyle w:val="LightList-Accent1"/>
        <w:tblW w:w="0" w:type="auto"/>
        <w:jc w:val="center"/>
        <w:tblInd w:w="-100" w:type="dxa"/>
        <w:tblLook w:val="04A0" w:firstRow="1" w:lastRow="0" w:firstColumn="1" w:lastColumn="0" w:noHBand="0" w:noVBand="1"/>
      </w:tblPr>
      <w:tblGrid>
        <w:gridCol w:w="1627"/>
        <w:gridCol w:w="336"/>
        <w:gridCol w:w="336"/>
        <w:gridCol w:w="336"/>
        <w:gridCol w:w="336"/>
        <w:gridCol w:w="336"/>
        <w:gridCol w:w="336"/>
        <w:gridCol w:w="336"/>
        <w:gridCol w:w="336"/>
        <w:gridCol w:w="336"/>
        <w:gridCol w:w="456"/>
        <w:gridCol w:w="456"/>
        <w:gridCol w:w="456"/>
        <w:gridCol w:w="456"/>
        <w:gridCol w:w="456"/>
        <w:gridCol w:w="456"/>
        <w:gridCol w:w="456"/>
        <w:gridCol w:w="456"/>
        <w:gridCol w:w="456"/>
      </w:tblGrid>
      <w:tr w:rsidR="004339B6" w:rsidRPr="00247CEB" w14:paraId="1764147B" w14:textId="77777777" w:rsidTr="000A7A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55" w:type="dxa"/>
            <w:gridSpan w:val="19"/>
          </w:tcPr>
          <w:p w14:paraId="25826B88" w14:textId="12952810" w:rsidR="004339B6" w:rsidRPr="00247CEB" w:rsidRDefault="004339B6" w:rsidP="000A7ACF">
            <w:pPr>
              <w:jc w:val="center"/>
              <w:rPr>
                <w:rFonts w:ascii="Times New Roman" w:hAnsi="Times New Roman" w:cs="Times New Roman"/>
              </w:rPr>
            </w:pPr>
            <w:r>
              <w:rPr>
                <w:rFonts w:ascii="Times New Roman" w:hAnsi="Times New Roman" w:cs="Times New Roman"/>
              </w:rPr>
              <w:t>Target toxicity rate = 30</w:t>
            </w:r>
            <w:r w:rsidRPr="00247CEB">
              <w:rPr>
                <w:rFonts w:ascii="Times New Roman" w:hAnsi="Times New Roman" w:cs="Times New Roman"/>
              </w:rPr>
              <w:t>%</w:t>
            </w:r>
          </w:p>
        </w:tc>
      </w:tr>
      <w:tr w:rsidR="004339B6" w:rsidRPr="00247CEB" w14:paraId="179BD738" w14:textId="77777777" w:rsidTr="000A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7" w:type="dxa"/>
            <w:tcBorders>
              <w:bottom w:val="nil"/>
            </w:tcBorders>
            <w:vAlign w:val="center"/>
          </w:tcPr>
          <w:p w14:paraId="75725E84" w14:textId="77777777" w:rsidR="004339B6" w:rsidRPr="00247CEB" w:rsidRDefault="004339B6" w:rsidP="000A7ACF">
            <w:pPr>
              <w:jc w:val="center"/>
              <w:rPr>
                <w:rFonts w:ascii="Times New Roman" w:hAnsi="Times New Roman" w:cs="Times New Roman"/>
              </w:rPr>
            </w:pPr>
          </w:p>
        </w:tc>
        <w:tc>
          <w:tcPr>
            <w:tcW w:w="0" w:type="auto"/>
            <w:gridSpan w:val="18"/>
            <w:vAlign w:val="center"/>
          </w:tcPr>
          <w:p w14:paraId="3FA0D1C2" w14:textId="77777777"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The number of patients treated at the current dose</w:t>
            </w:r>
          </w:p>
        </w:tc>
      </w:tr>
      <w:tr w:rsidR="004339B6" w:rsidRPr="00247CEB" w14:paraId="1A1CC5AD" w14:textId="77777777" w:rsidTr="000A7ACF">
        <w:trPr>
          <w:jc w:val="center"/>
        </w:trPr>
        <w:tc>
          <w:tcPr>
            <w:cnfStyle w:val="001000000000" w:firstRow="0" w:lastRow="0" w:firstColumn="1" w:lastColumn="0" w:oddVBand="0" w:evenVBand="0" w:oddHBand="0" w:evenHBand="0" w:firstRowFirstColumn="0" w:firstRowLastColumn="0" w:lastRowFirstColumn="0" w:lastRowLastColumn="0"/>
            <w:tcW w:w="1627" w:type="dxa"/>
            <w:tcBorders>
              <w:top w:val="nil"/>
              <w:bottom w:val="single" w:sz="8" w:space="0" w:color="4F81BD" w:themeColor="accent1"/>
            </w:tcBorders>
            <w:vAlign w:val="center"/>
          </w:tcPr>
          <w:p w14:paraId="509C4DB8" w14:textId="77777777" w:rsidR="004339B6" w:rsidRPr="00247CEB" w:rsidRDefault="004339B6" w:rsidP="000A7ACF">
            <w:pPr>
              <w:jc w:val="center"/>
              <w:rPr>
                <w:rFonts w:ascii="Times New Roman" w:hAnsi="Times New Roman" w:cs="Times New Roman"/>
                <w:b w:val="0"/>
              </w:rPr>
            </w:pPr>
            <w:r w:rsidRPr="00247CEB">
              <w:rPr>
                <w:rFonts w:ascii="Times New Roman" w:hAnsi="Times New Roman" w:cs="Times New Roman"/>
                <w:b w:val="0"/>
              </w:rPr>
              <w:t>Action</w:t>
            </w:r>
          </w:p>
        </w:tc>
        <w:tc>
          <w:tcPr>
            <w:tcW w:w="0" w:type="auto"/>
            <w:vAlign w:val="center"/>
          </w:tcPr>
          <w:p w14:paraId="175E6589"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B69FC82"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4C08C27F"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071A4F9E"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176D0CD5"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0" w:type="auto"/>
            <w:vAlign w:val="center"/>
          </w:tcPr>
          <w:p w14:paraId="4D921634"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c>
          <w:tcPr>
            <w:tcW w:w="0" w:type="auto"/>
            <w:vAlign w:val="center"/>
          </w:tcPr>
          <w:p w14:paraId="786AA606"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7</w:t>
            </w:r>
          </w:p>
        </w:tc>
        <w:tc>
          <w:tcPr>
            <w:tcW w:w="0" w:type="auto"/>
            <w:vAlign w:val="center"/>
          </w:tcPr>
          <w:p w14:paraId="2E702BEB"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8</w:t>
            </w:r>
          </w:p>
        </w:tc>
        <w:tc>
          <w:tcPr>
            <w:tcW w:w="0" w:type="auto"/>
            <w:vAlign w:val="center"/>
          </w:tcPr>
          <w:p w14:paraId="2051940A"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9</w:t>
            </w:r>
          </w:p>
        </w:tc>
        <w:tc>
          <w:tcPr>
            <w:tcW w:w="0" w:type="auto"/>
            <w:vAlign w:val="center"/>
          </w:tcPr>
          <w:p w14:paraId="74A909EA"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10</w:t>
            </w:r>
          </w:p>
        </w:tc>
        <w:tc>
          <w:tcPr>
            <w:tcW w:w="0" w:type="auto"/>
            <w:vAlign w:val="center"/>
          </w:tcPr>
          <w:p w14:paraId="13EE3E63"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11</w:t>
            </w:r>
          </w:p>
        </w:tc>
        <w:tc>
          <w:tcPr>
            <w:tcW w:w="0" w:type="auto"/>
            <w:vAlign w:val="center"/>
          </w:tcPr>
          <w:p w14:paraId="35DC107E"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12</w:t>
            </w:r>
          </w:p>
        </w:tc>
        <w:tc>
          <w:tcPr>
            <w:tcW w:w="0" w:type="auto"/>
            <w:vAlign w:val="center"/>
          </w:tcPr>
          <w:p w14:paraId="567171E9"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13</w:t>
            </w:r>
          </w:p>
        </w:tc>
        <w:tc>
          <w:tcPr>
            <w:tcW w:w="0" w:type="auto"/>
            <w:vAlign w:val="center"/>
          </w:tcPr>
          <w:p w14:paraId="592BE411"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14</w:t>
            </w:r>
          </w:p>
        </w:tc>
        <w:tc>
          <w:tcPr>
            <w:tcW w:w="0" w:type="auto"/>
            <w:vAlign w:val="center"/>
          </w:tcPr>
          <w:p w14:paraId="03D933A6"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15</w:t>
            </w:r>
          </w:p>
        </w:tc>
        <w:tc>
          <w:tcPr>
            <w:tcW w:w="0" w:type="auto"/>
            <w:vAlign w:val="center"/>
          </w:tcPr>
          <w:p w14:paraId="3E9F281E"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16</w:t>
            </w:r>
          </w:p>
        </w:tc>
        <w:tc>
          <w:tcPr>
            <w:tcW w:w="0" w:type="auto"/>
            <w:vAlign w:val="center"/>
          </w:tcPr>
          <w:p w14:paraId="7AD2E54E"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17</w:t>
            </w:r>
          </w:p>
        </w:tc>
        <w:tc>
          <w:tcPr>
            <w:tcW w:w="0" w:type="auto"/>
            <w:vAlign w:val="center"/>
          </w:tcPr>
          <w:p w14:paraId="07B3DC72" w14:textId="77777777"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18</w:t>
            </w:r>
          </w:p>
        </w:tc>
      </w:tr>
      <w:tr w:rsidR="004339B6" w:rsidRPr="00247CEB" w14:paraId="3D8E753C" w14:textId="77777777" w:rsidTr="000A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7" w:type="dxa"/>
            <w:vAlign w:val="center"/>
          </w:tcPr>
          <w:p w14:paraId="5CD84388" w14:textId="77777777" w:rsidR="004339B6" w:rsidRPr="00247CEB" w:rsidRDefault="004339B6" w:rsidP="000A7ACF">
            <w:pPr>
              <w:jc w:val="center"/>
              <w:rPr>
                <w:rFonts w:ascii="Times New Roman" w:hAnsi="Times New Roman" w:cs="Times New Roman"/>
                <w:b w:val="0"/>
              </w:rPr>
            </w:pPr>
            <w:r w:rsidRPr="00247CEB">
              <w:rPr>
                <w:rFonts w:ascii="Times New Roman" w:hAnsi="Times New Roman" w:cs="Times New Roman"/>
                <w:b w:val="0"/>
              </w:rPr>
              <w:t xml:space="preserve">Escalate if # of DLTs </w:t>
            </w:r>
            <w:r w:rsidRPr="00247CEB">
              <w:rPr>
                <w:rFonts w:ascii="Times New Roman" w:hAnsi="Times New Roman" w:cs="Times New Roman"/>
                <w:b w:val="0"/>
              </w:rPr>
              <w:sym w:font="Symbol" w:char="F0A3"/>
            </w:r>
          </w:p>
        </w:tc>
        <w:tc>
          <w:tcPr>
            <w:tcW w:w="0" w:type="auto"/>
            <w:vAlign w:val="center"/>
          </w:tcPr>
          <w:p w14:paraId="6FA38F65" w14:textId="274BC9D0"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70C11178" w14:textId="42CD1BFE"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39C82B7F" w14:textId="11BB0E66"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4F396733" w14:textId="130A3B87"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w:t>
            </w:r>
          </w:p>
        </w:tc>
        <w:tc>
          <w:tcPr>
            <w:tcW w:w="0" w:type="auto"/>
            <w:vAlign w:val="center"/>
          </w:tcPr>
          <w:p w14:paraId="6838F4FA" w14:textId="62DB7820"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0" w:type="auto"/>
            <w:vAlign w:val="center"/>
          </w:tcPr>
          <w:p w14:paraId="6C1B18C6" w14:textId="11981FCB"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6924ABB" w14:textId="1F59C5A4"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549C9DE" w14:textId="62E1B6C9"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4AD20CA2" w14:textId="63151CE7"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0" w:type="auto"/>
            <w:vAlign w:val="center"/>
          </w:tcPr>
          <w:p w14:paraId="773B8B86" w14:textId="62CB8A9C"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0" w:type="auto"/>
            <w:vAlign w:val="center"/>
          </w:tcPr>
          <w:p w14:paraId="42648A5E" w14:textId="6BB14C4C"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261D0733" w14:textId="37FC6C77"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42A9FB35" w14:textId="50814AE9"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0" w:type="auto"/>
            <w:vAlign w:val="center"/>
          </w:tcPr>
          <w:p w14:paraId="0E16E544" w14:textId="7140DA05"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0" w:type="auto"/>
            <w:vAlign w:val="center"/>
          </w:tcPr>
          <w:p w14:paraId="1F662058" w14:textId="68EB83B5"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0" w:type="auto"/>
            <w:vAlign w:val="center"/>
          </w:tcPr>
          <w:p w14:paraId="2BF3A41D" w14:textId="623106B8" w:rsidR="004339B6" w:rsidRPr="00247CEB" w:rsidRDefault="004339B6"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3CEBC5B3" w14:textId="67876EA3"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0" w:type="auto"/>
            <w:vAlign w:val="center"/>
          </w:tcPr>
          <w:p w14:paraId="3C0C43B6" w14:textId="58BA67BB" w:rsidR="004339B6" w:rsidRPr="00247CEB" w:rsidRDefault="0099769F"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4339B6" w:rsidRPr="00247CEB" w14:paraId="111D01C5" w14:textId="77777777" w:rsidTr="000A7ACF">
        <w:trPr>
          <w:jc w:val="center"/>
        </w:trPr>
        <w:tc>
          <w:tcPr>
            <w:cnfStyle w:val="001000000000" w:firstRow="0" w:lastRow="0" w:firstColumn="1" w:lastColumn="0" w:oddVBand="0" w:evenVBand="0" w:oddHBand="0" w:evenHBand="0" w:firstRowFirstColumn="0" w:firstRowLastColumn="0" w:lastRowFirstColumn="0" w:lastRowLastColumn="0"/>
            <w:tcW w:w="1627" w:type="dxa"/>
            <w:vAlign w:val="center"/>
          </w:tcPr>
          <w:p w14:paraId="1D3449A7" w14:textId="77777777" w:rsidR="004339B6" w:rsidRPr="00247CEB" w:rsidRDefault="004339B6" w:rsidP="000A7ACF">
            <w:pPr>
              <w:jc w:val="center"/>
              <w:rPr>
                <w:rFonts w:ascii="Times New Roman" w:hAnsi="Times New Roman" w:cs="Times New Roman"/>
                <w:b w:val="0"/>
              </w:rPr>
            </w:pPr>
            <w:r w:rsidRPr="00247CEB">
              <w:rPr>
                <w:rFonts w:ascii="Times New Roman" w:hAnsi="Times New Roman" w:cs="Times New Roman"/>
                <w:b w:val="0"/>
              </w:rPr>
              <w:t xml:space="preserve">De-escalate if # of DLTs </w:t>
            </w:r>
            <w:r w:rsidRPr="00247CEB">
              <w:rPr>
                <w:rFonts w:ascii="Times New Roman" w:hAnsi="Times New Roman" w:cs="Times New Roman"/>
                <w:b w:val="0"/>
              </w:rPr>
              <w:sym w:font="Symbol" w:char="F0B3"/>
            </w:r>
          </w:p>
        </w:tc>
        <w:tc>
          <w:tcPr>
            <w:tcW w:w="0" w:type="auto"/>
            <w:vAlign w:val="center"/>
          </w:tcPr>
          <w:p w14:paraId="79FA50C0" w14:textId="34C206AF"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12F8C1BA" w14:textId="694B8819"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0" w:type="auto"/>
            <w:vAlign w:val="center"/>
          </w:tcPr>
          <w:p w14:paraId="6C2CA64E" w14:textId="27544B2C" w:rsidR="004339B6" w:rsidRPr="00247CEB" w:rsidRDefault="0099769F"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0" w:type="auto"/>
            <w:vAlign w:val="center"/>
          </w:tcPr>
          <w:p w14:paraId="07F4DED9" w14:textId="60272BB2"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5815DC82" w14:textId="58213208"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0" w:type="auto"/>
            <w:vAlign w:val="center"/>
          </w:tcPr>
          <w:p w14:paraId="59B95179" w14:textId="7C110F93"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0" w:type="auto"/>
            <w:vAlign w:val="center"/>
          </w:tcPr>
          <w:p w14:paraId="35777E87" w14:textId="4603344C"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443DC647" w14:textId="2FDBF3B0"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0" w:type="auto"/>
            <w:vAlign w:val="center"/>
          </w:tcPr>
          <w:p w14:paraId="10EC6557" w14:textId="5BE6A37C"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0" w:type="auto"/>
            <w:vAlign w:val="center"/>
          </w:tcPr>
          <w:p w14:paraId="57F88263" w14:textId="3EE8B924" w:rsidR="004339B6" w:rsidRPr="00247CEB" w:rsidRDefault="0099769F"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0" w:type="auto"/>
            <w:vAlign w:val="center"/>
          </w:tcPr>
          <w:p w14:paraId="73AEEA40" w14:textId="1D0E4B62" w:rsidR="004339B6" w:rsidRPr="00247CEB" w:rsidRDefault="004339B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0" w:type="auto"/>
            <w:vAlign w:val="center"/>
          </w:tcPr>
          <w:p w14:paraId="185D94BC" w14:textId="2F45FA01"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0" w:type="auto"/>
            <w:vAlign w:val="center"/>
          </w:tcPr>
          <w:p w14:paraId="591FB0F5" w14:textId="276E27CD"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0" w:type="auto"/>
            <w:vAlign w:val="center"/>
          </w:tcPr>
          <w:p w14:paraId="2FD49DD7" w14:textId="508D7281"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0" w:type="auto"/>
            <w:vAlign w:val="center"/>
          </w:tcPr>
          <w:p w14:paraId="0AB81E18" w14:textId="782F9430"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0" w:type="auto"/>
            <w:vAlign w:val="center"/>
          </w:tcPr>
          <w:p w14:paraId="54674227" w14:textId="5846DE6F"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0" w:type="auto"/>
            <w:vAlign w:val="center"/>
          </w:tcPr>
          <w:p w14:paraId="1861BE4B" w14:textId="192B91E3"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0" w:type="auto"/>
            <w:vAlign w:val="center"/>
          </w:tcPr>
          <w:p w14:paraId="78CDFAD7" w14:textId="0B2CEE55" w:rsidR="004339B6" w:rsidRPr="00247CEB" w:rsidRDefault="00B0515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bl>
    <w:p w14:paraId="1C060BAA" w14:textId="77777777" w:rsidR="007F6850" w:rsidRDefault="007F6850" w:rsidP="007F6850">
      <w:pPr>
        <w:rPr>
          <w:rFonts w:ascii="Times New Roman" w:hAnsi="Times New Roman" w:cs="Times New Roman"/>
          <w:b/>
        </w:rPr>
      </w:pPr>
    </w:p>
    <w:p w14:paraId="31C48421" w14:textId="6618B3E0" w:rsidR="007F6850" w:rsidRPr="00247CEB" w:rsidRDefault="007F6850" w:rsidP="007F6850">
      <w:pPr>
        <w:rPr>
          <w:rFonts w:ascii="Times New Roman" w:hAnsi="Times New Roman" w:cs="Times New Roman"/>
          <w:b/>
        </w:rPr>
      </w:pPr>
      <w:r>
        <w:rPr>
          <w:rFonts w:ascii="Times New Roman" w:hAnsi="Times New Roman" w:cs="Times New Roman"/>
          <w:b/>
        </w:rPr>
        <w:br w:type="page"/>
      </w:r>
    </w:p>
    <w:tbl>
      <w:tblPr>
        <w:tblStyle w:val="LightList-Accent1"/>
        <w:tblW w:w="0" w:type="auto"/>
        <w:tblLook w:val="04A0" w:firstRow="1" w:lastRow="0" w:firstColumn="1" w:lastColumn="0" w:noHBand="0" w:noVBand="1"/>
      </w:tblPr>
      <w:tblGrid>
        <w:gridCol w:w="1099"/>
        <w:gridCol w:w="757"/>
        <w:gridCol w:w="644"/>
        <w:gridCol w:w="644"/>
        <w:gridCol w:w="643"/>
        <w:gridCol w:w="643"/>
        <w:gridCol w:w="1098"/>
        <w:gridCol w:w="756"/>
        <w:gridCol w:w="643"/>
        <w:gridCol w:w="643"/>
        <w:gridCol w:w="643"/>
        <w:gridCol w:w="643"/>
      </w:tblGrid>
      <w:tr w:rsidR="00BD5728" w:rsidRPr="00247CEB" w14:paraId="2128B78D" w14:textId="77777777" w:rsidTr="000A7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2"/>
          </w:tcPr>
          <w:p w14:paraId="66C1500C" w14:textId="42DC778F" w:rsidR="00BD5728" w:rsidRPr="0091573E" w:rsidRDefault="00BA243B" w:rsidP="0091573E">
            <w:pPr>
              <w:rPr>
                <w:rFonts w:ascii="Times New Roman" w:hAnsi="Times New Roman" w:cs="Times New Roman"/>
                <w:b w:val="0"/>
              </w:rPr>
            </w:pPr>
            <w:r>
              <w:rPr>
                <w:rFonts w:ascii="Times New Roman" w:hAnsi="Times New Roman" w:cs="Times New Roman"/>
              </w:rPr>
              <w:lastRenderedPageBreak/>
              <w:t>Supplementary Table S</w:t>
            </w:r>
            <w:r w:rsidR="00BD5728" w:rsidRPr="00247CEB">
              <w:rPr>
                <w:rFonts w:ascii="Times New Roman" w:hAnsi="Times New Roman" w:cs="Times New Roman"/>
              </w:rPr>
              <w:t>2. Sixteen true toxicity scenarios with the target DLT r</w:t>
            </w:r>
            <w:r w:rsidR="00BD5728">
              <w:rPr>
                <w:rFonts w:ascii="Times New Roman" w:hAnsi="Times New Roman" w:cs="Times New Roman"/>
              </w:rPr>
              <w:t>ate of 0.15 and 0.3</w:t>
            </w:r>
            <w:r w:rsidR="00BD5728" w:rsidRPr="00247CEB">
              <w:rPr>
                <w:rFonts w:ascii="Times New Roman" w:hAnsi="Times New Roman" w:cs="Times New Roman"/>
              </w:rPr>
              <w:t xml:space="preserve"> </w:t>
            </w:r>
          </w:p>
        </w:tc>
      </w:tr>
      <w:tr w:rsidR="007F6850" w:rsidRPr="00247CEB" w14:paraId="70324898"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vMerge w:val="restart"/>
          </w:tcPr>
          <w:p w14:paraId="5B0DAC58" w14:textId="77777777" w:rsidR="007F6850" w:rsidRPr="00247CEB" w:rsidRDefault="007F6850" w:rsidP="00874AA1">
            <w:pPr>
              <w:jc w:val="center"/>
              <w:rPr>
                <w:rFonts w:ascii="Times New Roman" w:hAnsi="Times New Roman" w:cs="Times New Roman"/>
                <w:b w:val="0"/>
              </w:rPr>
            </w:pPr>
            <w:r w:rsidRPr="00247CEB">
              <w:rPr>
                <w:rFonts w:ascii="Times New Roman" w:hAnsi="Times New Roman" w:cs="Times New Roman"/>
                <w:b w:val="0"/>
              </w:rPr>
              <w:t>Scenario</w:t>
            </w:r>
          </w:p>
        </w:tc>
        <w:tc>
          <w:tcPr>
            <w:tcW w:w="3331" w:type="dxa"/>
            <w:gridSpan w:val="5"/>
          </w:tcPr>
          <w:p w14:paraId="36999B50"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rPr>
              <w:t>Dose level</w:t>
            </w:r>
          </w:p>
        </w:tc>
        <w:tc>
          <w:tcPr>
            <w:tcW w:w="1098" w:type="dxa"/>
            <w:vMerge w:val="restart"/>
          </w:tcPr>
          <w:p w14:paraId="3DE822C1"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rPr>
              <w:t>Scenario</w:t>
            </w:r>
          </w:p>
          <w:p w14:paraId="0D8A2606"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3328" w:type="dxa"/>
            <w:gridSpan w:val="5"/>
          </w:tcPr>
          <w:p w14:paraId="07E17AD7" w14:textId="77777777" w:rsidR="007F6850" w:rsidRPr="00247CEB" w:rsidRDefault="007F6850"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rPr>
              <w:t>Dose level</w:t>
            </w:r>
          </w:p>
        </w:tc>
      </w:tr>
      <w:tr w:rsidR="007F6850" w:rsidRPr="00247CEB" w14:paraId="271B9307" w14:textId="77777777" w:rsidTr="00BD5728">
        <w:tc>
          <w:tcPr>
            <w:cnfStyle w:val="001000000000" w:firstRow="0" w:lastRow="0" w:firstColumn="1" w:lastColumn="0" w:oddVBand="0" w:evenVBand="0" w:oddHBand="0" w:evenHBand="0" w:firstRowFirstColumn="0" w:firstRowLastColumn="0" w:lastRowFirstColumn="0" w:lastRowLastColumn="0"/>
            <w:tcW w:w="1099" w:type="dxa"/>
            <w:vMerge/>
          </w:tcPr>
          <w:p w14:paraId="5417DBCA" w14:textId="77777777" w:rsidR="007F6850" w:rsidRPr="00247CEB" w:rsidRDefault="007F6850" w:rsidP="00874AA1">
            <w:pPr>
              <w:jc w:val="center"/>
              <w:rPr>
                <w:rFonts w:ascii="Times New Roman" w:hAnsi="Times New Roman" w:cs="Times New Roman"/>
              </w:rPr>
            </w:pPr>
          </w:p>
        </w:tc>
        <w:tc>
          <w:tcPr>
            <w:tcW w:w="757" w:type="dxa"/>
          </w:tcPr>
          <w:p w14:paraId="3257B5D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644" w:type="dxa"/>
          </w:tcPr>
          <w:p w14:paraId="69E8C52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644" w:type="dxa"/>
          </w:tcPr>
          <w:p w14:paraId="21E19D7A"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643" w:type="dxa"/>
          </w:tcPr>
          <w:p w14:paraId="67631F65"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643" w:type="dxa"/>
          </w:tcPr>
          <w:p w14:paraId="60B849DE"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1098" w:type="dxa"/>
            <w:vMerge/>
          </w:tcPr>
          <w:p w14:paraId="18F6C43C"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4DD2EB91"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643" w:type="dxa"/>
          </w:tcPr>
          <w:p w14:paraId="2FA3F53D"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643" w:type="dxa"/>
          </w:tcPr>
          <w:p w14:paraId="4003FDA7"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643" w:type="dxa"/>
          </w:tcPr>
          <w:p w14:paraId="7426B6FF"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643" w:type="dxa"/>
          </w:tcPr>
          <w:p w14:paraId="0C4751D8" w14:textId="77777777" w:rsidR="007F6850" w:rsidRPr="00247CEB" w:rsidRDefault="007F6850"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r>
      <w:tr w:rsidR="00DE29BD" w:rsidRPr="00247CEB" w14:paraId="731977B2"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7E438ED"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w:t>
            </w:r>
          </w:p>
        </w:tc>
        <w:tc>
          <w:tcPr>
            <w:tcW w:w="757" w:type="dxa"/>
          </w:tcPr>
          <w:p w14:paraId="3968BD95"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4" w:type="dxa"/>
          </w:tcPr>
          <w:p w14:paraId="023DBCAC"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4" w:type="dxa"/>
          </w:tcPr>
          <w:p w14:paraId="157BC729"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643" w:type="dxa"/>
          </w:tcPr>
          <w:p w14:paraId="48943DF9"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0.30</w:t>
            </w:r>
          </w:p>
        </w:tc>
        <w:tc>
          <w:tcPr>
            <w:tcW w:w="643" w:type="dxa"/>
          </w:tcPr>
          <w:p w14:paraId="7A1A4E46"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1098" w:type="dxa"/>
          </w:tcPr>
          <w:p w14:paraId="5E39C4F2"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w:t>
            </w:r>
          </w:p>
        </w:tc>
        <w:tc>
          <w:tcPr>
            <w:tcW w:w="756" w:type="dxa"/>
          </w:tcPr>
          <w:p w14:paraId="694558F2" w14:textId="28F4DADB"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24721E5F" w14:textId="53AB5638"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643" w:type="dxa"/>
          </w:tcPr>
          <w:p w14:paraId="4903EFEA" w14:textId="75067198"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c>
          <w:tcPr>
            <w:tcW w:w="643" w:type="dxa"/>
          </w:tcPr>
          <w:p w14:paraId="3717AFD6" w14:textId="37C354C2"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c>
          <w:tcPr>
            <w:tcW w:w="643" w:type="dxa"/>
          </w:tcPr>
          <w:p w14:paraId="22C177B1" w14:textId="5D51F2DC"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0.70</w:t>
            </w:r>
          </w:p>
        </w:tc>
      </w:tr>
      <w:tr w:rsidR="00DE29BD" w:rsidRPr="00247CEB" w14:paraId="2A1589D3"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3311E2EC"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2</w:t>
            </w:r>
          </w:p>
        </w:tc>
        <w:tc>
          <w:tcPr>
            <w:tcW w:w="757" w:type="dxa"/>
          </w:tcPr>
          <w:p w14:paraId="503B49EE"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4" w:type="dxa"/>
          </w:tcPr>
          <w:p w14:paraId="0D901345"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644" w:type="dxa"/>
          </w:tcPr>
          <w:p w14:paraId="6B3FEF71"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0.30</w:t>
            </w:r>
          </w:p>
        </w:tc>
        <w:tc>
          <w:tcPr>
            <w:tcW w:w="643" w:type="dxa"/>
          </w:tcPr>
          <w:p w14:paraId="0ED1B6CB"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643" w:type="dxa"/>
          </w:tcPr>
          <w:p w14:paraId="1E5E3D39"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c>
          <w:tcPr>
            <w:tcW w:w="1098" w:type="dxa"/>
          </w:tcPr>
          <w:p w14:paraId="205F8562"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2</w:t>
            </w:r>
          </w:p>
        </w:tc>
        <w:tc>
          <w:tcPr>
            <w:tcW w:w="756" w:type="dxa"/>
          </w:tcPr>
          <w:p w14:paraId="0B8CB3A2" w14:textId="1FACE1C6"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2FD3F5B7" w14:textId="276B45CE"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c>
          <w:tcPr>
            <w:tcW w:w="643" w:type="dxa"/>
          </w:tcPr>
          <w:p w14:paraId="7186393B" w14:textId="1227A136"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c>
          <w:tcPr>
            <w:tcW w:w="643" w:type="dxa"/>
          </w:tcPr>
          <w:p w14:paraId="454E7EC6" w14:textId="2B0AE343"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0.70</w:t>
            </w:r>
          </w:p>
        </w:tc>
        <w:tc>
          <w:tcPr>
            <w:tcW w:w="643" w:type="dxa"/>
          </w:tcPr>
          <w:p w14:paraId="6F6252F6" w14:textId="070A0BCC"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0.80</w:t>
            </w:r>
          </w:p>
        </w:tc>
      </w:tr>
      <w:tr w:rsidR="00DE29BD" w:rsidRPr="00247CEB" w14:paraId="4CB9A647"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7553135"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3</w:t>
            </w:r>
          </w:p>
        </w:tc>
        <w:tc>
          <w:tcPr>
            <w:tcW w:w="757" w:type="dxa"/>
          </w:tcPr>
          <w:p w14:paraId="3A4D71A8"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4" w:type="dxa"/>
          </w:tcPr>
          <w:p w14:paraId="480E04BC"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4" w:type="dxa"/>
          </w:tcPr>
          <w:p w14:paraId="5CD87DC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785F3C0C"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0.30</w:t>
            </w:r>
          </w:p>
        </w:tc>
        <w:tc>
          <w:tcPr>
            <w:tcW w:w="643" w:type="dxa"/>
          </w:tcPr>
          <w:p w14:paraId="788F8DF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1098" w:type="dxa"/>
          </w:tcPr>
          <w:p w14:paraId="3647505F"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3</w:t>
            </w:r>
          </w:p>
        </w:tc>
        <w:tc>
          <w:tcPr>
            <w:tcW w:w="756" w:type="dxa"/>
          </w:tcPr>
          <w:p w14:paraId="68E3132B" w14:textId="0B7CE748"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6A633D79" w14:textId="033F8762"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7C3A3786" w14:textId="2F6C3C05"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643" w:type="dxa"/>
          </w:tcPr>
          <w:p w14:paraId="60711773" w14:textId="5CA3693C"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c>
          <w:tcPr>
            <w:tcW w:w="643" w:type="dxa"/>
          </w:tcPr>
          <w:p w14:paraId="6D9D75B6" w14:textId="6B5D2204"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r>
      <w:tr w:rsidR="00DE29BD" w:rsidRPr="00247CEB" w14:paraId="66B4FB91"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092CBFA6"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4</w:t>
            </w:r>
          </w:p>
        </w:tc>
        <w:tc>
          <w:tcPr>
            <w:tcW w:w="757" w:type="dxa"/>
          </w:tcPr>
          <w:p w14:paraId="14C0EC38"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4" w:type="dxa"/>
          </w:tcPr>
          <w:p w14:paraId="4832DA90"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4" w:type="dxa"/>
          </w:tcPr>
          <w:p w14:paraId="61F7A552"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643" w:type="dxa"/>
          </w:tcPr>
          <w:p w14:paraId="748E20EA"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0.35</w:t>
            </w:r>
          </w:p>
        </w:tc>
        <w:tc>
          <w:tcPr>
            <w:tcW w:w="643" w:type="dxa"/>
          </w:tcPr>
          <w:p w14:paraId="0B91A0F4"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c>
          <w:tcPr>
            <w:tcW w:w="1098" w:type="dxa"/>
          </w:tcPr>
          <w:p w14:paraId="6CD87280"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4</w:t>
            </w:r>
          </w:p>
        </w:tc>
        <w:tc>
          <w:tcPr>
            <w:tcW w:w="756" w:type="dxa"/>
          </w:tcPr>
          <w:p w14:paraId="46AD8BBD" w14:textId="604582EE"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0AD6B997" w14:textId="19836C1B"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6A9A86DB" w14:textId="1269CF0D"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c>
          <w:tcPr>
            <w:tcW w:w="643" w:type="dxa"/>
          </w:tcPr>
          <w:p w14:paraId="453477D2" w14:textId="238EE18F"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c>
          <w:tcPr>
            <w:tcW w:w="643" w:type="dxa"/>
          </w:tcPr>
          <w:p w14:paraId="08E57B39" w14:textId="4FFF4146"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0.70</w:t>
            </w:r>
          </w:p>
        </w:tc>
      </w:tr>
      <w:tr w:rsidR="00DE29BD" w:rsidRPr="00247CEB" w14:paraId="781200B9"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823DCEA"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5</w:t>
            </w:r>
          </w:p>
        </w:tc>
        <w:tc>
          <w:tcPr>
            <w:tcW w:w="757" w:type="dxa"/>
          </w:tcPr>
          <w:p w14:paraId="22DEE4C9"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4" w:type="dxa"/>
          </w:tcPr>
          <w:p w14:paraId="5BFBBC73"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4" w:type="dxa"/>
          </w:tcPr>
          <w:p w14:paraId="637961EA"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42AE3B8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0.30</w:t>
            </w:r>
          </w:p>
        </w:tc>
        <w:tc>
          <w:tcPr>
            <w:tcW w:w="643" w:type="dxa"/>
          </w:tcPr>
          <w:p w14:paraId="312F7F7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1098" w:type="dxa"/>
          </w:tcPr>
          <w:p w14:paraId="063AD480"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5</w:t>
            </w:r>
          </w:p>
        </w:tc>
        <w:tc>
          <w:tcPr>
            <w:tcW w:w="756" w:type="dxa"/>
          </w:tcPr>
          <w:p w14:paraId="19F6F02B" w14:textId="2A98101A"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316867E8" w14:textId="1079C3AE"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0D66F14C" w14:textId="0B4EF952"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643" w:type="dxa"/>
          </w:tcPr>
          <w:p w14:paraId="4143A50F" w14:textId="1E10F211"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c>
          <w:tcPr>
            <w:tcW w:w="643" w:type="dxa"/>
          </w:tcPr>
          <w:p w14:paraId="5B200FFB" w14:textId="63238DBF"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r>
      <w:tr w:rsidR="00DE29BD" w:rsidRPr="00247CEB" w14:paraId="1EB4A92B"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65B2B2AA"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6</w:t>
            </w:r>
          </w:p>
        </w:tc>
        <w:tc>
          <w:tcPr>
            <w:tcW w:w="757" w:type="dxa"/>
          </w:tcPr>
          <w:p w14:paraId="137D0E89"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4" w:type="dxa"/>
          </w:tcPr>
          <w:p w14:paraId="3FA34B07"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4" w:type="dxa"/>
          </w:tcPr>
          <w:p w14:paraId="76821A4A"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643" w:type="dxa"/>
          </w:tcPr>
          <w:p w14:paraId="78378569"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0.35</w:t>
            </w:r>
          </w:p>
        </w:tc>
        <w:tc>
          <w:tcPr>
            <w:tcW w:w="643" w:type="dxa"/>
          </w:tcPr>
          <w:p w14:paraId="05060928"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c>
          <w:tcPr>
            <w:tcW w:w="1098" w:type="dxa"/>
          </w:tcPr>
          <w:p w14:paraId="5399E852"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6</w:t>
            </w:r>
          </w:p>
        </w:tc>
        <w:tc>
          <w:tcPr>
            <w:tcW w:w="756" w:type="dxa"/>
          </w:tcPr>
          <w:p w14:paraId="527272BF" w14:textId="6CBFCE7A"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0BA8E4E1" w14:textId="49025641"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696136E5" w14:textId="04FC1EB4"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c>
          <w:tcPr>
            <w:tcW w:w="643" w:type="dxa"/>
          </w:tcPr>
          <w:p w14:paraId="5183E102" w14:textId="480B7969"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c>
          <w:tcPr>
            <w:tcW w:w="643" w:type="dxa"/>
          </w:tcPr>
          <w:p w14:paraId="4B5BE032" w14:textId="020CC29A"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0.70</w:t>
            </w:r>
          </w:p>
        </w:tc>
      </w:tr>
      <w:tr w:rsidR="00DE29BD" w:rsidRPr="00247CEB" w14:paraId="62376BB1"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3CAA9A5"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7</w:t>
            </w:r>
          </w:p>
        </w:tc>
        <w:tc>
          <w:tcPr>
            <w:tcW w:w="757" w:type="dxa"/>
          </w:tcPr>
          <w:p w14:paraId="60DADC4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0.04</w:t>
            </w:r>
          </w:p>
        </w:tc>
        <w:tc>
          <w:tcPr>
            <w:tcW w:w="644" w:type="dxa"/>
          </w:tcPr>
          <w:p w14:paraId="47429379"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4" w:type="dxa"/>
          </w:tcPr>
          <w:p w14:paraId="60205B74"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54614A74"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337231C3"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0.30</w:t>
            </w:r>
          </w:p>
        </w:tc>
        <w:tc>
          <w:tcPr>
            <w:tcW w:w="1098" w:type="dxa"/>
          </w:tcPr>
          <w:p w14:paraId="3EEBD5B7"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7</w:t>
            </w:r>
          </w:p>
        </w:tc>
        <w:tc>
          <w:tcPr>
            <w:tcW w:w="756" w:type="dxa"/>
          </w:tcPr>
          <w:p w14:paraId="78729914" w14:textId="0E74006D"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0.12</w:t>
            </w:r>
          </w:p>
        </w:tc>
        <w:tc>
          <w:tcPr>
            <w:tcW w:w="643" w:type="dxa"/>
          </w:tcPr>
          <w:p w14:paraId="5F679F08" w14:textId="4192C93D"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254CDF08" w14:textId="05CD9AE9"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111509AE" w14:textId="4CB81E02"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643" w:type="dxa"/>
          </w:tcPr>
          <w:p w14:paraId="6F210E88" w14:textId="7292E232"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r>
      <w:tr w:rsidR="00DE29BD" w:rsidRPr="00247CEB" w14:paraId="44B455FE"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032B61E9"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8</w:t>
            </w:r>
          </w:p>
        </w:tc>
        <w:tc>
          <w:tcPr>
            <w:tcW w:w="757" w:type="dxa"/>
          </w:tcPr>
          <w:p w14:paraId="3257DDBE"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0.04</w:t>
            </w:r>
          </w:p>
        </w:tc>
        <w:tc>
          <w:tcPr>
            <w:tcW w:w="644" w:type="dxa"/>
          </w:tcPr>
          <w:p w14:paraId="6FE2A168"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4" w:type="dxa"/>
          </w:tcPr>
          <w:p w14:paraId="64570C63"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7A832AAC"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643" w:type="dxa"/>
          </w:tcPr>
          <w:p w14:paraId="1508FA3A"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1098" w:type="dxa"/>
          </w:tcPr>
          <w:p w14:paraId="147452B9"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8</w:t>
            </w:r>
          </w:p>
        </w:tc>
        <w:tc>
          <w:tcPr>
            <w:tcW w:w="756" w:type="dxa"/>
          </w:tcPr>
          <w:p w14:paraId="4D9639E7" w14:textId="7C662E3F"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0.12</w:t>
            </w:r>
          </w:p>
        </w:tc>
        <w:tc>
          <w:tcPr>
            <w:tcW w:w="643" w:type="dxa"/>
          </w:tcPr>
          <w:p w14:paraId="173843B0" w14:textId="329B2CCB"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64897893" w14:textId="0525EC46"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08E37DBE" w14:textId="7F402EA9"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c>
          <w:tcPr>
            <w:tcW w:w="643" w:type="dxa"/>
          </w:tcPr>
          <w:p w14:paraId="1A5B8970" w14:textId="44CA8F31"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r>
      <w:tr w:rsidR="00DE29BD" w:rsidRPr="00247CEB" w14:paraId="340C4EEB"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553D5FA"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9</w:t>
            </w:r>
          </w:p>
        </w:tc>
        <w:tc>
          <w:tcPr>
            <w:tcW w:w="757" w:type="dxa"/>
          </w:tcPr>
          <w:p w14:paraId="0C44B675"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4" w:type="dxa"/>
          </w:tcPr>
          <w:p w14:paraId="431869CA"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4" w:type="dxa"/>
          </w:tcPr>
          <w:p w14:paraId="1A9F4892"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6BAFC8E0"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51BA3049"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0.30</w:t>
            </w:r>
          </w:p>
        </w:tc>
        <w:tc>
          <w:tcPr>
            <w:tcW w:w="1098" w:type="dxa"/>
          </w:tcPr>
          <w:p w14:paraId="6EDB448C"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9</w:t>
            </w:r>
          </w:p>
        </w:tc>
        <w:tc>
          <w:tcPr>
            <w:tcW w:w="756" w:type="dxa"/>
          </w:tcPr>
          <w:p w14:paraId="6CE19B81" w14:textId="317B0C73"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26178C64" w14:textId="0DF116E1"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70719AC9" w14:textId="3B7E3092"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514C15A4" w14:textId="4E088A1E"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643" w:type="dxa"/>
          </w:tcPr>
          <w:p w14:paraId="6EE721E5" w14:textId="0B9DFC0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0.50</w:t>
            </w:r>
          </w:p>
        </w:tc>
      </w:tr>
      <w:tr w:rsidR="00DE29BD" w:rsidRPr="00247CEB" w14:paraId="0A2EAC1E"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573C699B"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10</w:t>
            </w:r>
          </w:p>
        </w:tc>
        <w:tc>
          <w:tcPr>
            <w:tcW w:w="757" w:type="dxa"/>
          </w:tcPr>
          <w:p w14:paraId="43AC5027"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4" w:type="dxa"/>
          </w:tcPr>
          <w:p w14:paraId="448BB0C6"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4" w:type="dxa"/>
          </w:tcPr>
          <w:p w14:paraId="3E097625"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0C063798"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643" w:type="dxa"/>
          </w:tcPr>
          <w:p w14:paraId="658F8700"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c>
          <w:tcPr>
            <w:tcW w:w="1098" w:type="dxa"/>
          </w:tcPr>
          <w:p w14:paraId="4E3B0176"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10</w:t>
            </w:r>
          </w:p>
        </w:tc>
        <w:tc>
          <w:tcPr>
            <w:tcW w:w="756" w:type="dxa"/>
          </w:tcPr>
          <w:p w14:paraId="48B3EC60" w14:textId="3DFF805F"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397FF6EB" w14:textId="466DE218"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7D305941" w14:textId="6B5BD94A"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42DD022F" w14:textId="07DD61A9"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c>
          <w:tcPr>
            <w:tcW w:w="643" w:type="dxa"/>
          </w:tcPr>
          <w:p w14:paraId="33A98A62" w14:textId="1A16EAC3"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0.60</w:t>
            </w:r>
          </w:p>
        </w:tc>
      </w:tr>
      <w:tr w:rsidR="00DE29BD" w:rsidRPr="00247CEB" w14:paraId="6E0CAE09"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3B8DBE8F"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11</w:t>
            </w:r>
          </w:p>
        </w:tc>
        <w:tc>
          <w:tcPr>
            <w:tcW w:w="757" w:type="dxa"/>
          </w:tcPr>
          <w:p w14:paraId="47D44E9D"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0.01</w:t>
            </w:r>
          </w:p>
        </w:tc>
        <w:tc>
          <w:tcPr>
            <w:tcW w:w="644" w:type="dxa"/>
          </w:tcPr>
          <w:p w14:paraId="36D8AEA2"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4" w:type="dxa"/>
          </w:tcPr>
          <w:p w14:paraId="31B04F46"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3" w:type="dxa"/>
          </w:tcPr>
          <w:p w14:paraId="53DE02C6"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071D57AD"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1098" w:type="dxa"/>
          </w:tcPr>
          <w:p w14:paraId="0BB930FD"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11</w:t>
            </w:r>
          </w:p>
        </w:tc>
        <w:tc>
          <w:tcPr>
            <w:tcW w:w="756" w:type="dxa"/>
          </w:tcPr>
          <w:p w14:paraId="5A9902AB" w14:textId="326B64F3"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3B085322" w14:textId="432F76DE"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0.12</w:t>
            </w:r>
          </w:p>
        </w:tc>
        <w:tc>
          <w:tcPr>
            <w:tcW w:w="643" w:type="dxa"/>
          </w:tcPr>
          <w:p w14:paraId="496A003D" w14:textId="2A457B99"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0298098B" w14:textId="051D404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1DB2C3C2" w14:textId="43FE1765"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r>
      <w:tr w:rsidR="00DE29BD" w:rsidRPr="00247CEB" w14:paraId="08145A87"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777D87D3"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12</w:t>
            </w:r>
          </w:p>
        </w:tc>
        <w:tc>
          <w:tcPr>
            <w:tcW w:w="757" w:type="dxa"/>
          </w:tcPr>
          <w:p w14:paraId="25D0B3E6"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0.01</w:t>
            </w:r>
          </w:p>
        </w:tc>
        <w:tc>
          <w:tcPr>
            <w:tcW w:w="644" w:type="dxa"/>
          </w:tcPr>
          <w:p w14:paraId="529236FA"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4" w:type="dxa"/>
          </w:tcPr>
          <w:p w14:paraId="4E53E60B"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3" w:type="dxa"/>
          </w:tcPr>
          <w:p w14:paraId="03AD09F1"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20632324"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1098" w:type="dxa"/>
          </w:tcPr>
          <w:p w14:paraId="1647E596"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12</w:t>
            </w:r>
          </w:p>
        </w:tc>
        <w:tc>
          <w:tcPr>
            <w:tcW w:w="756" w:type="dxa"/>
          </w:tcPr>
          <w:p w14:paraId="5F3F663C" w14:textId="40007921"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1E41F539" w14:textId="7317F21A"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0.12</w:t>
            </w:r>
          </w:p>
        </w:tc>
        <w:tc>
          <w:tcPr>
            <w:tcW w:w="643" w:type="dxa"/>
          </w:tcPr>
          <w:p w14:paraId="636954FC" w14:textId="0A64F493"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5AEE3A1C" w14:textId="5C2BAB45"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003839F7" w14:textId="176EE47C"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r>
      <w:tr w:rsidR="00DE29BD" w:rsidRPr="00247CEB" w14:paraId="584AD814"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FE19D74"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13</w:t>
            </w:r>
          </w:p>
        </w:tc>
        <w:tc>
          <w:tcPr>
            <w:tcW w:w="757" w:type="dxa"/>
          </w:tcPr>
          <w:p w14:paraId="5D6213AA"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0.01</w:t>
            </w:r>
          </w:p>
        </w:tc>
        <w:tc>
          <w:tcPr>
            <w:tcW w:w="644" w:type="dxa"/>
          </w:tcPr>
          <w:p w14:paraId="16995BFB"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0.03</w:t>
            </w:r>
          </w:p>
        </w:tc>
        <w:tc>
          <w:tcPr>
            <w:tcW w:w="644" w:type="dxa"/>
          </w:tcPr>
          <w:p w14:paraId="146A67A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51183A3A"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297EAFD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1098" w:type="dxa"/>
          </w:tcPr>
          <w:p w14:paraId="7C2DA798"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13</w:t>
            </w:r>
          </w:p>
        </w:tc>
        <w:tc>
          <w:tcPr>
            <w:tcW w:w="756" w:type="dxa"/>
          </w:tcPr>
          <w:p w14:paraId="7E836B26" w14:textId="7E92644F"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3" w:type="dxa"/>
          </w:tcPr>
          <w:p w14:paraId="12B2979B" w14:textId="3248027A"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0.08</w:t>
            </w:r>
          </w:p>
        </w:tc>
        <w:tc>
          <w:tcPr>
            <w:tcW w:w="643" w:type="dxa"/>
          </w:tcPr>
          <w:p w14:paraId="686EC017" w14:textId="373839A5"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7BCC27B1" w14:textId="6D6D2E64"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621B9C5F" w14:textId="6F5B0295"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0.40</w:t>
            </w:r>
          </w:p>
        </w:tc>
      </w:tr>
      <w:tr w:rsidR="00DE29BD" w:rsidRPr="00247CEB" w14:paraId="6F28637A"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4A5062DD"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14</w:t>
            </w:r>
          </w:p>
        </w:tc>
        <w:tc>
          <w:tcPr>
            <w:tcW w:w="757" w:type="dxa"/>
          </w:tcPr>
          <w:p w14:paraId="08ED8BD5"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0.01</w:t>
            </w:r>
          </w:p>
        </w:tc>
        <w:tc>
          <w:tcPr>
            <w:tcW w:w="644" w:type="dxa"/>
          </w:tcPr>
          <w:p w14:paraId="1C1A322A"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0.03</w:t>
            </w:r>
          </w:p>
        </w:tc>
        <w:tc>
          <w:tcPr>
            <w:tcW w:w="644" w:type="dxa"/>
          </w:tcPr>
          <w:p w14:paraId="3403292F"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784FC531"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643" w:type="dxa"/>
          </w:tcPr>
          <w:p w14:paraId="274CCFD4"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0.25</w:t>
            </w:r>
          </w:p>
        </w:tc>
        <w:tc>
          <w:tcPr>
            <w:tcW w:w="1098" w:type="dxa"/>
          </w:tcPr>
          <w:p w14:paraId="48CDC890"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14</w:t>
            </w:r>
          </w:p>
        </w:tc>
        <w:tc>
          <w:tcPr>
            <w:tcW w:w="756" w:type="dxa"/>
          </w:tcPr>
          <w:p w14:paraId="19942045" w14:textId="4F72E5F0"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3" w:type="dxa"/>
          </w:tcPr>
          <w:p w14:paraId="62A6B661" w14:textId="49DA3AEE"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0.08</w:t>
            </w:r>
          </w:p>
        </w:tc>
        <w:tc>
          <w:tcPr>
            <w:tcW w:w="643" w:type="dxa"/>
          </w:tcPr>
          <w:p w14:paraId="30AF93BC" w14:textId="0FE1297B"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5AC36DBC" w14:textId="61B57C73"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c>
          <w:tcPr>
            <w:tcW w:w="643" w:type="dxa"/>
          </w:tcPr>
          <w:p w14:paraId="1655A85B" w14:textId="25235199"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0.45</w:t>
            </w:r>
          </w:p>
        </w:tc>
      </w:tr>
      <w:tr w:rsidR="00DE29BD" w:rsidRPr="00247CEB" w14:paraId="7FB4058A" w14:textId="77777777" w:rsidTr="00BD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B7D36E7"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15</w:t>
            </w:r>
          </w:p>
        </w:tc>
        <w:tc>
          <w:tcPr>
            <w:tcW w:w="757" w:type="dxa"/>
          </w:tcPr>
          <w:p w14:paraId="0DB0383A"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4" w:type="dxa"/>
          </w:tcPr>
          <w:p w14:paraId="3C69C9BC"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0.04</w:t>
            </w:r>
          </w:p>
        </w:tc>
        <w:tc>
          <w:tcPr>
            <w:tcW w:w="644" w:type="dxa"/>
          </w:tcPr>
          <w:p w14:paraId="416D01C5"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0.06</w:t>
            </w:r>
          </w:p>
        </w:tc>
        <w:tc>
          <w:tcPr>
            <w:tcW w:w="643" w:type="dxa"/>
          </w:tcPr>
          <w:p w14:paraId="0DE9BF8E"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3" w:type="dxa"/>
          </w:tcPr>
          <w:p w14:paraId="5B666E05"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1098" w:type="dxa"/>
          </w:tcPr>
          <w:p w14:paraId="0397A1F1" w14:textId="77777777"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15</w:t>
            </w:r>
          </w:p>
        </w:tc>
        <w:tc>
          <w:tcPr>
            <w:tcW w:w="756" w:type="dxa"/>
          </w:tcPr>
          <w:p w14:paraId="6B2C5225" w14:textId="6D14B41C"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3" w:type="dxa"/>
          </w:tcPr>
          <w:p w14:paraId="1E584D1B" w14:textId="334E47B3"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0.10</w:t>
            </w:r>
          </w:p>
        </w:tc>
        <w:tc>
          <w:tcPr>
            <w:tcW w:w="643" w:type="dxa"/>
          </w:tcPr>
          <w:p w14:paraId="3C92BB6F" w14:textId="68CC6823"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642D54C2" w14:textId="6B9E4155"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0.20</w:t>
            </w:r>
          </w:p>
        </w:tc>
        <w:tc>
          <w:tcPr>
            <w:tcW w:w="643" w:type="dxa"/>
          </w:tcPr>
          <w:p w14:paraId="3A198299" w14:textId="149F840A" w:rsidR="00DE29BD" w:rsidRPr="00247CEB" w:rsidRDefault="00DE29BD" w:rsidP="00874A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r>
      <w:tr w:rsidR="00DE29BD" w:rsidRPr="00247CEB" w14:paraId="4887915B" w14:textId="77777777" w:rsidTr="00BD5728">
        <w:tc>
          <w:tcPr>
            <w:cnfStyle w:val="001000000000" w:firstRow="0" w:lastRow="0" w:firstColumn="1" w:lastColumn="0" w:oddVBand="0" w:evenVBand="0" w:oddHBand="0" w:evenHBand="0" w:firstRowFirstColumn="0" w:firstRowLastColumn="0" w:lastRowFirstColumn="0" w:lastRowLastColumn="0"/>
            <w:tcW w:w="1099" w:type="dxa"/>
          </w:tcPr>
          <w:p w14:paraId="384576CB" w14:textId="77777777" w:rsidR="00DE29BD" w:rsidRPr="00247CEB" w:rsidRDefault="00DE29BD" w:rsidP="00874AA1">
            <w:pPr>
              <w:jc w:val="center"/>
              <w:rPr>
                <w:rFonts w:ascii="Times New Roman" w:hAnsi="Times New Roman" w:cs="Times New Roman"/>
                <w:b w:val="0"/>
              </w:rPr>
            </w:pPr>
            <w:r w:rsidRPr="00247CEB">
              <w:rPr>
                <w:rFonts w:ascii="Times New Roman" w:hAnsi="Times New Roman" w:cs="Times New Roman"/>
                <w:b w:val="0"/>
              </w:rPr>
              <w:t>16</w:t>
            </w:r>
          </w:p>
        </w:tc>
        <w:tc>
          <w:tcPr>
            <w:tcW w:w="757" w:type="dxa"/>
          </w:tcPr>
          <w:p w14:paraId="5BEB26BB"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0.01</w:t>
            </w:r>
          </w:p>
        </w:tc>
        <w:tc>
          <w:tcPr>
            <w:tcW w:w="644" w:type="dxa"/>
          </w:tcPr>
          <w:p w14:paraId="6739BDBB"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0.02</w:t>
            </w:r>
          </w:p>
        </w:tc>
        <w:tc>
          <w:tcPr>
            <w:tcW w:w="644" w:type="dxa"/>
          </w:tcPr>
          <w:p w14:paraId="2D309B0E"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0.04</w:t>
            </w:r>
          </w:p>
        </w:tc>
        <w:tc>
          <w:tcPr>
            <w:tcW w:w="643" w:type="dxa"/>
          </w:tcPr>
          <w:p w14:paraId="3CB9460C"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0.05</w:t>
            </w:r>
          </w:p>
        </w:tc>
        <w:tc>
          <w:tcPr>
            <w:tcW w:w="643" w:type="dxa"/>
          </w:tcPr>
          <w:p w14:paraId="2AC10BA8"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0.15</w:t>
            </w:r>
          </w:p>
        </w:tc>
        <w:tc>
          <w:tcPr>
            <w:tcW w:w="1098" w:type="dxa"/>
          </w:tcPr>
          <w:p w14:paraId="4AE908F1" w14:textId="77777777"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16</w:t>
            </w:r>
          </w:p>
        </w:tc>
        <w:tc>
          <w:tcPr>
            <w:tcW w:w="756" w:type="dxa"/>
          </w:tcPr>
          <w:p w14:paraId="6908E861" w14:textId="7C924DEF"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0.01</w:t>
            </w:r>
          </w:p>
        </w:tc>
        <w:tc>
          <w:tcPr>
            <w:tcW w:w="643" w:type="dxa"/>
          </w:tcPr>
          <w:p w14:paraId="15C7C17C" w14:textId="00E31092"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0.04</w:t>
            </w:r>
          </w:p>
        </w:tc>
        <w:tc>
          <w:tcPr>
            <w:tcW w:w="643" w:type="dxa"/>
          </w:tcPr>
          <w:p w14:paraId="2B566945" w14:textId="5DB18E45"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0.08</w:t>
            </w:r>
          </w:p>
        </w:tc>
        <w:tc>
          <w:tcPr>
            <w:tcW w:w="643" w:type="dxa"/>
          </w:tcPr>
          <w:p w14:paraId="2D1150E3" w14:textId="00B8FD48"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7CEB">
              <w:rPr>
                <w:rFonts w:ascii="Times New Roman" w:hAnsi="Times New Roman" w:cs="Times New Roman"/>
              </w:rPr>
              <w:t>0.15</w:t>
            </w:r>
          </w:p>
        </w:tc>
        <w:tc>
          <w:tcPr>
            <w:tcW w:w="643" w:type="dxa"/>
          </w:tcPr>
          <w:p w14:paraId="0C58DF9F" w14:textId="537A4699" w:rsidR="00DE29BD" w:rsidRPr="00247CEB" w:rsidRDefault="00DE29BD" w:rsidP="00874A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47CEB">
              <w:rPr>
                <w:rFonts w:ascii="Times New Roman" w:hAnsi="Times New Roman" w:cs="Times New Roman"/>
                <w:b/>
              </w:rPr>
              <w:t>0.30</w:t>
            </w:r>
          </w:p>
        </w:tc>
      </w:tr>
    </w:tbl>
    <w:p w14:paraId="13E02B8D" w14:textId="63C98DA0" w:rsidR="007F6850" w:rsidRPr="00BF352A" w:rsidRDefault="00BF352A" w:rsidP="00BF352A">
      <w:pPr>
        <w:rPr>
          <w:rFonts w:ascii="Times New Roman" w:hAnsi="Times New Roman" w:cs="Times New Roman"/>
        </w:rPr>
      </w:pPr>
      <w:r>
        <w:rPr>
          <w:rFonts w:ascii="Times New Roman" w:hAnsi="Times New Roman" w:cs="Times New Roman"/>
        </w:rPr>
        <w:t xml:space="preserve">* </w:t>
      </w:r>
      <w:proofErr w:type="gramStart"/>
      <w:r w:rsidR="007F6850" w:rsidRPr="00BF352A">
        <w:rPr>
          <w:rFonts w:ascii="Times New Roman" w:hAnsi="Times New Roman" w:cs="Times New Roman"/>
        </w:rPr>
        <w:t>boldface</w:t>
      </w:r>
      <w:proofErr w:type="gramEnd"/>
      <w:r w:rsidR="007F6850" w:rsidRPr="00BF352A">
        <w:rPr>
          <w:rFonts w:ascii="Times New Roman" w:hAnsi="Times New Roman" w:cs="Times New Roman"/>
        </w:rPr>
        <w:t xml:space="preserve"> indicates the MTD.</w:t>
      </w:r>
    </w:p>
    <w:p w14:paraId="2A6B5A0E" w14:textId="50BB716A" w:rsidR="00BA243B" w:rsidRDefault="00BA243B">
      <w:pPr>
        <w:rPr>
          <w:rFonts w:ascii="Times New Roman" w:hAnsi="Times New Roman" w:cs="Times New Roman"/>
        </w:rPr>
      </w:pPr>
      <w:r>
        <w:rPr>
          <w:rFonts w:ascii="Times New Roman" w:hAnsi="Times New Roman" w:cs="Times New Roman"/>
        </w:rPr>
        <w:br w:type="page"/>
      </w:r>
    </w:p>
    <w:tbl>
      <w:tblPr>
        <w:tblStyle w:val="LightList-Accent1"/>
        <w:tblW w:w="0" w:type="auto"/>
        <w:jc w:val="center"/>
        <w:tblLayout w:type="fixed"/>
        <w:tblLook w:val="04A0" w:firstRow="1" w:lastRow="0" w:firstColumn="1" w:lastColumn="0" w:noHBand="0" w:noVBand="1"/>
      </w:tblPr>
      <w:tblGrid>
        <w:gridCol w:w="1183"/>
        <w:gridCol w:w="1042"/>
        <w:gridCol w:w="1042"/>
        <w:gridCol w:w="1042"/>
        <w:gridCol w:w="1042"/>
        <w:gridCol w:w="1042"/>
        <w:gridCol w:w="1042"/>
        <w:gridCol w:w="1043"/>
      </w:tblGrid>
      <w:tr w:rsidR="00031F7A" w:rsidRPr="00247CEB" w14:paraId="14AB1102" w14:textId="77777777" w:rsidTr="000A7A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78" w:type="dxa"/>
            <w:gridSpan w:val="8"/>
          </w:tcPr>
          <w:p w14:paraId="28EC84B0" w14:textId="5F2922BB" w:rsidR="00031F7A" w:rsidRPr="006B2158" w:rsidRDefault="00BA243B" w:rsidP="000A7ACF">
            <w:pPr>
              <w:rPr>
                <w:rFonts w:ascii="Times New Roman" w:hAnsi="Times New Roman" w:cs="Times New Roman"/>
                <w:sz w:val="22"/>
                <w:szCs w:val="22"/>
              </w:rPr>
            </w:pPr>
            <w:r>
              <w:rPr>
                <w:rFonts w:ascii="Times New Roman" w:hAnsi="Times New Roman" w:cs="Times New Roman"/>
                <w:sz w:val="22"/>
                <w:szCs w:val="22"/>
              </w:rPr>
              <w:lastRenderedPageBreak/>
              <w:t>Supplementary Table S</w:t>
            </w:r>
            <w:r w:rsidR="00031F7A">
              <w:rPr>
                <w:rFonts w:ascii="Times New Roman" w:hAnsi="Times New Roman" w:cs="Times New Roman"/>
                <w:sz w:val="22"/>
                <w:szCs w:val="22"/>
              </w:rPr>
              <w:t>3. BOIN design with tighter</w:t>
            </w:r>
            <w:r w:rsidR="00031F7A" w:rsidRPr="006B2158">
              <w:rPr>
                <w:rFonts w:ascii="Times New Roman" w:hAnsi="Times New Roman" w:cs="Times New Roman"/>
                <w:sz w:val="22"/>
                <w:szCs w:val="22"/>
              </w:rPr>
              <w:t xml:space="preserve"> de-escalation </w:t>
            </w:r>
            <w:r w:rsidR="007D54A8">
              <w:rPr>
                <w:rFonts w:ascii="Times New Roman" w:hAnsi="Times New Roman" w:cs="Times New Roman"/>
                <w:sz w:val="22"/>
                <w:szCs w:val="22"/>
              </w:rPr>
              <w:t>boundaries</w:t>
            </w:r>
            <w:r w:rsidR="00031F7A">
              <w:rPr>
                <w:rFonts w:ascii="Times New Roman" w:hAnsi="Times New Roman" w:cs="Times New Roman"/>
                <w:sz w:val="22"/>
                <w:szCs w:val="22"/>
              </w:rPr>
              <w:t>*</w:t>
            </w:r>
          </w:p>
        </w:tc>
      </w:tr>
      <w:tr w:rsidR="00031F7A" w:rsidRPr="00247CEB" w14:paraId="15D54AA1" w14:textId="77777777" w:rsidTr="000A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3" w:type="dxa"/>
            <w:tcBorders>
              <w:bottom w:val="nil"/>
            </w:tcBorders>
          </w:tcPr>
          <w:p w14:paraId="01B82EA1" w14:textId="77777777" w:rsidR="00031F7A" w:rsidRPr="006B2158" w:rsidRDefault="00031F7A" w:rsidP="000A7ACF">
            <w:pPr>
              <w:jc w:val="center"/>
              <w:rPr>
                <w:rFonts w:ascii="Times New Roman" w:hAnsi="Times New Roman" w:cs="Times New Roman"/>
                <w:sz w:val="22"/>
                <w:szCs w:val="22"/>
              </w:rPr>
            </w:pPr>
          </w:p>
        </w:tc>
        <w:tc>
          <w:tcPr>
            <w:tcW w:w="7295" w:type="dxa"/>
            <w:gridSpan w:val="7"/>
          </w:tcPr>
          <w:p w14:paraId="11E1931C"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Target toxicity rate for the MTD</w:t>
            </w:r>
          </w:p>
        </w:tc>
      </w:tr>
      <w:tr w:rsidR="00031F7A" w:rsidRPr="00247CEB" w14:paraId="303AF53C" w14:textId="77777777" w:rsidTr="000A7ACF">
        <w:trPr>
          <w:jc w:val="center"/>
        </w:trPr>
        <w:tc>
          <w:tcPr>
            <w:cnfStyle w:val="001000000000" w:firstRow="0" w:lastRow="0" w:firstColumn="1" w:lastColumn="0" w:oddVBand="0" w:evenVBand="0" w:oddHBand="0" w:evenHBand="0" w:firstRowFirstColumn="0" w:firstRowLastColumn="0" w:lastRowFirstColumn="0" w:lastRowLastColumn="0"/>
            <w:tcW w:w="1183" w:type="dxa"/>
            <w:tcBorders>
              <w:top w:val="nil"/>
              <w:bottom w:val="single" w:sz="8" w:space="0" w:color="4F81BD" w:themeColor="accent1"/>
            </w:tcBorders>
          </w:tcPr>
          <w:p w14:paraId="329CC879" w14:textId="1EBDB4D5" w:rsidR="00031F7A" w:rsidRPr="006B2158" w:rsidRDefault="007D54A8" w:rsidP="000A7ACF">
            <w:pPr>
              <w:jc w:val="center"/>
              <w:rPr>
                <w:rFonts w:ascii="Times New Roman" w:hAnsi="Times New Roman" w:cs="Times New Roman"/>
                <w:b w:val="0"/>
                <w:sz w:val="22"/>
                <w:szCs w:val="22"/>
              </w:rPr>
            </w:pPr>
            <w:r>
              <w:rPr>
                <w:rFonts w:ascii="Times New Roman" w:hAnsi="Times New Roman" w:cs="Times New Roman"/>
                <w:b w:val="0"/>
                <w:sz w:val="22"/>
                <w:szCs w:val="22"/>
              </w:rPr>
              <w:t>Boundary</w:t>
            </w:r>
          </w:p>
        </w:tc>
        <w:tc>
          <w:tcPr>
            <w:tcW w:w="1042" w:type="dxa"/>
          </w:tcPr>
          <w:p w14:paraId="43C39675"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0.1</w:t>
            </w:r>
          </w:p>
        </w:tc>
        <w:tc>
          <w:tcPr>
            <w:tcW w:w="1042" w:type="dxa"/>
          </w:tcPr>
          <w:p w14:paraId="416FF1CD"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0.15</w:t>
            </w:r>
          </w:p>
        </w:tc>
        <w:tc>
          <w:tcPr>
            <w:tcW w:w="1042" w:type="dxa"/>
          </w:tcPr>
          <w:p w14:paraId="7E9C2381"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0.2</w:t>
            </w:r>
          </w:p>
        </w:tc>
        <w:tc>
          <w:tcPr>
            <w:tcW w:w="1042" w:type="dxa"/>
          </w:tcPr>
          <w:p w14:paraId="470B0A7E"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0.25</w:t>
            </w:r>
          </w:p>
        </w:tc>
        <w:tc>
          <w:tcPr>
            <w:tcW w:w="1042" w:type="dxa"/>
          </w:tcPr>
          <w:p w14:paraId="0D9E5CB7"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0.3</w:t>
            </w:r>
          </w:p>
        </w:tc>
        <w:tc>
          <w:tcPr>
            <w:tcW w:w="1042" w:type="dxa"/>
          </w:tcPr>
          <w:p w14:paraId="0F57A343"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0.35</w:t>
            </w:r>
          </w:p>
        </w:tc>
        <w:tc>
          <w:tcPr>
            <w:tcW w:w="1043" w:type="dxa"/>
          </w:tcPr>
          <w:p w14:paraId="301EFF75" w14:textId="77777777" w:rsidR="00031F7A" w:rsidRPr="006B2158" w:rsidRDefault="00031F7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0.4</w:t>
            </w:r>
          </w:p>
        </w:tc>
      </w:tr>
      <w:tr w:rsidR="00031F7A" w:rsidRPr="00247CEB" w14:paraId="7D4B766E" w14:textId="77777777" w:rsidTr="000A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3" w:type="dxa"/>
          </w:tcPr>
          <w:p w14:paraId="60DECE72" w14:textId="77777777" w:rsidR="00031F7A" w:rsidRPr="006B2158" w:rsidRDefault="00031F7A" w:rsidP="000A7ACF">
            <w:pPr>
              <w:jc w:val="center"/>
              <w:rPr>
                <w:rFonts w:ascii="Times New Roman" w:hAnsi="Times New Roman" w:cs="Times New Roman"/>
                <w:b w:val="0"/>
                <w:sz w:val="22"/>
                <w:szCs w:val="22"/>
              </w:rPr>
            </w:pPr>
            <w:r w:rsidRPr="006B2158">
              <w:rPr>
                <w:rFonts w:ascii="Times New Roman" w:hAnsi="Times New Roman" w:cs="Times New Roman"/>
                <w:b w:val="0"/>
                <w:i/>
                <w:sz w:val="22"/>
                <w:szCs w:val="22"/>
              </w:rPr>
              <w:sym w:font="Symbol" w:char="F06C"/>
            </w:r>
            <w:r w:rsidRPr="006B2158">
              <w:rPr>
                <w:rFonts w:ascii="Times New Roman" w:hAnsi="Times New Roman" w:cs="Times New Roman"/>
                <w:b w:val="0"/>
                <w:sz w:val="22"/>
                <w:szCs w:val="22"/>
                <w:vertAlign w:val="subscript"/>
              </w:rPr>
              <w:t>e</w:t>
            </w:r>
          </w:p>
        </w:tc>
        <w:tc>
          <w:tcPr>
            <w:tcW w:w="1042" w:type="dxa"/>
          </w:tcPr>
          <w:p w14:paraId="5EA2C879"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0.078</w:t>
            </w:r>
          </w:p>
        </w:tc>
        <w:tc>
          <w:tcPr>
            <w:tcW w:w="1042" w:type="dxa"/>
          </w:tcPr>
          <w:p w14:paraId="25F1BABA"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0.118</w:t>
            </w:r>
          </w:p>
        </w:tc>
        <w:tc>
          <w:tcPr>
            <w:tcW w:w="1042" w:type="dxa"/>
          </w:tcPr>
          <w:p w14:paraId="45953335"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0.157</w:t>
            </w:r>
          </w:p>
        </w:tc>
        <w:tc>
          <w:tcPr>
            <w:tcW w:w="1042" w:type="dxa"/>
          </w:tcPr>
          <w:p w14:paraId="07DA5698"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0.197</w:t>
            </w:r>
          </w:p>
        </w:tc>
        <w:tc>
          <w:tcPr>
            <w:tcW w:w="1042" w:type="dxa"/>
          </w:tcPr>
          <w:p w14:paraId="5E38ACA1"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0.236</w:t>
            </w:r>
          </w:p>
        </w:tc>
        <w:tc>
          <w:tcPr>
            <w:tcW w:w="1042" w:type="dxa"/>
          </w:tcPr>
          <w:p w14:paraId="3F438B28"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0.276</w:t>
            </w:r>
          </w:p>
        </w:tc>
        <w:tc>
          <w:tcPr>
            <w:tcW w:w="1043" w:type="dxa"/>
          </w:tcPr>
          <w:p w14:paraId="1D3E623D" w14:textId="77777777" w:rsidR="00031F7A" w:rsidRPr="006B2158" w:rsidRDefault="00031F7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B2158">
              <w:rPr>
                <w:rFonts w:ascii="Times New Roman" w:hAnsi="Times New Roman" w:cs="Times New Roman"/>
                <w:sz w:val="22"/>
                <w:szCs w:val="22"/>
              </w:rPr>
              <w:t>0.316</w:t>
            </w:r>
          </w:p>
        </w:tc>
      </w:tr>
      <w:tr w:rsidR="00031F7A" w:rsidRPr="00247CEB" w14:paraId="2C8D975A" w14:textId="77777777" w:rsidTr="000A7ACF">
        <w:trPr>
          <w:jc w:val="center"/>
        </w:trPr>
        <w:tc>
          <w:tcPr>
            <w:cnfStyle w:val="001000000000" w:firstRow="0" w:lastRow="0" w:firstColumn="1" w:lastColumn="0" w:oddVBand="0" w:evenVBand="0" w:oddHBand="0" w:evenHBand="0" w:firstRowFirstColumn="0" w:firstRowLastColumn="0" w:lastRowFirstColumn="0" w:lastRowLastColumn="0"/>
            <w:tcW w:w="1183" w:type="dxa"/>
          </w:tcPr>
          <w:p w14:paraId="530B439C" w14:textId="77777777" w:rsidR="00031F7A" w:rsidRPr="006B2158" w:rsidRDefault="00031F7A" w:rsidP="000A7ACF">
            <w:pPr>
              <w:jc w:val="center"/>
              <w:rPr>
                <w:rFonts w:ascii="Times New Roman" w:hAnsi="Times New Roman" w:cs="Times New Roman"/>
                <w:b w:val="0"/>
                <w:sz w:val="22"/>
                <w:szCs w:val="22"/>
              </w:rPr>
            </w:pPr>
            <w:r w:rsidRPr="006B2158">
              <w:rPr>
                <w:rFonts w:ascii="Times New Roman" w:hAnsi="Times New Roman" w:cs="Times New Roman"/>
                <w:b w:val="0"/>
                <w:i/>
                <w:sz w:val="22"/>
                <w:szCs w:val="22"/>
              </w:rPr>
              <w:sym w:font="Symbol" w:char="F06C"/>
            </w:r>
            <w:r w:rsidRPr="006B2158">
              <w:rPr>
                <w:rFonts w:ascii="Times New Roman" w:hAnsi="Times New Roman" w:cs="Times New Roman"/>
                <w:b w:val="0"/>
                <w:sz w:val="22"/>
                <w:szCs w:val="22"/>
                <w:vertAlign w:val="subscript"/>
              </w:rPr>
              <w:t>d</w:t>
            </w:r>
          </w:p>
        </w:tc>
        <w:tc>
          <w:tcPr>
            <w:tcW w:w="1042" w:type="dxa"/>
          </w:tcPr>
          <w:p w14:paraId="722D9601" w14:textId="762EF4E6" w:rsidR="00031F7A" w:rsidRPr="006B2158" w:rsidRDefault="00376B39"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0.110</w:t>
            </w:r>
          </w:p>
        </w:tc>
        <w:tc>
          <w:tcPr>
            <w:tcW w:w="1042" w:type="dxa"/>
          </w:tcPr>
          <w:p w14:paraId="59E09880" w14:textId="4565867D" w:rsidR="00031F7A" w:rsidRPr="006B2158" w:rsidRDefault="00376B39"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0.165</w:t>
            </w:r>
          </w:p>
        </w:tc>
        <w:tc>
          <w:tcPr>
            <w:tcW w:w="1042" w:type="dxa"/>
          </w:tcPr>
          <w:p w14:paraId="18475552" w14:textId="09A13232" w:rsidR="00031F7A" w:rsidRPr="006B2158" w:rsidRDefault="00BF18A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0.219</w:t>
            </w:r>
          </w:p>
        </w:tc>
        <w:tc>
          <w:tcPr>
            <w:tcW w:w="1042" w:type="dxa"/>
          </w:tcPr>
          <w:p w14:paraId="03A0F712" w14:textId="5212DF0A" w:rsidR="00031F7A" w:rsidRPr="006B2158" w:rsidRDefault="00BF18A0"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0.275</w:t>
            </w:r>
          </w:p>
        </w:tc>
        <w:tc>
          <w:tcPr>
            <w:tcW w:w="1042" w:type="dxa"/>
          </w:tcPr>
          <w:p w14:paraId="51331D91" w14:textId="6C85153F" w:rsidR="00031F7A" w:rsidRPr="006B2158" w:rsidRDefault="004669D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0.330</w:t>
            </w:r>
          </w:p>
        </w:tc>
        <w:tc>
          <w:tcPr>
            <w:tcW w:w="1042" w:type="dxa"/>
          </w:tcPr>
          <w:p w14:paraId="31022E13" w14:textId="63E271CB" w:rsidR="00031F7A" w:rsidRPr="006B2158" w:rsidRDefault="004669D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0.385</w:t>
            </w:r>
          </w:p>
        </w:tc>
        <w:tc>
          <w:tcPr>
            <w:tcW w:w="1043" w:type="dxa"/>
          </w:tcPr>
          <w:p w14:paraId="3BAE660B" w14:textId="54057FFA" w:rsidR="00031F7A" w:rsidRPr="006B2158" w:rsidRDefault="004669D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0.440</w:t>
            </w:r>
          </w:p>
        </w:tc>
      </w:tr>
    </w:tbl>
    <w:p w14:paraId="736AA18D" w14:textId="199B9B7B" w:rsidR="007F6850" w:rsidRPr="00247CEB" w:rsidRDefault="00031F7A" w:rsidP="007F6850">
      <w:pPr>
        <w:rPr>
          <w:rFonts w:ascii="Times New Roman" w:hAnsi="Times New Roman" w:cs="Times New Roman"/>
        </w:rPr>
      </w:pPr>
      <w:r>
        <w:rPr>
          <w:rFonts w:ascii="Times New Roman" w:hAnsi="Times New Roman" w:cs="Times New Roman"/>
        </w:rPr>
        <w:t xml:space="preserve">* The dose de-escalation </w:t>
      </w:r>
      <w:r w:rsidR="007D54A8">
        <w:rPr>
          <w:rFonts w:ascii="Times New Roman" w:hAnsi="Times New Roman" w:cs="Times New Roman"/>
        </w:rPr>
        <w:t>boundary</w:t>
      </w:r>
      <w:r>
        <w:rPr>
          <w:rFonts w:ascii="Times New Roman" w:hAnsi="Times New Roman" w:cs="Times New Roman"/>
        </w:rPr>
        <w:t xml:space="preserve"> is obtained by setting the upper acceptable toxicity limit </w:t>
      </w:r>
      <w:r w:rsidRPr="00247CEB">
        <w:rPr>
          <w:rFonts w:ascii="Times New Roman" w:hAnsi="Times New Roman" w:cs="Times New Roman"/>
          <w:i/>
        </w:rPr>
        <w:sym w:font="Symbol" w:char="F066"/>
      </w:r>
      <w:r w:rsidRPr="00247CEB">
        <w:rPr>
          <w:rFonts w:ascii="Times New Roman" w:hAnsi="Times New Roman" w:cs="Times New Roman"/>
          <w:vertAlign w:val="subscript"/>
        </w:rPr>
        <w:t>2</w:t>
      </w:r>
      <w:r w:rsidRPr="00247CEB">
        <w:rPr>
          <w:rFonts w:ascii="Times New Roman" w:hAnsi="Times New Roman" w:cs="Times New Roman"/>
        </w:rPr>
        <w:t>=1.</w:t>
      </w:r>
      <w:r>
        <w:rPr>
          <w:rFonts w:ascii="Times New Roman" w:hAnsi="Times New Roman" w:cs="Times New Roman"/>
        </w:rPr>
        <w:t>2</w:t>
      </w:r>
      <w:r w:rsidRPr="00247CEB">
        <w:rPr>
          <w:rFonts w:ascii="Times New Roman" w:hAnsi="Times New Roman" w:cs="Times New Roman"/>
          <w:i/>
        </w:rPr>
        <w:sym w:font="Symbol" w:char="F066"/>
      </w:r>
      <w:r w:rsidR="00945B95">
        <w:rPr>
          <w:rFonts w:ascii="Times New Roman" w:hAnsi="Times New Roman" w:cs="Times New Roman"/>
          <w:i/>
        </w:rPr>
        <w:t xml:space="preserve">, </w:t>
      </w:r>
      <w:r w:rsidR="00945B95" w:rsidRPr="00945B95">
        <w:rPr>
          <w:rFonts w:ascii="Times New Roman" w:hAnsi="Times New Roman" w:cs="Times New Roman"/>
        </w:rPr>
        <w:t xml:space="preserve">where </w:t>
      </w:r>
      <w:r w:rsidR="00945B95" w:rsidRPr="00600189">
        <w:rPr>
          <w:rFonts w:ascii="Times New Roman" w:hAnsi="Times New Roman" w:cs="Times New Roman"/>
          <w:i/>
        </w:rPr>
        <w:sym w:font="Symbol" w:char="F066"/>
      </w:r>
      <w:r w:rsidR="00945B95" w:rsidRPr="00945B95">
        <w:rPr>
          <w:rFonts w:ascii="Times New Roman" w:hAnsi="Times New Roman" w:cs="Times New Roman"/>
        </w:rPr>
        <w:t xml:space="preserve"> is the target DLT rate.</w:t>
      </w:r>
      <w:r>
        <w:rPr>
          <w:rFonts w:ascii="Times New Roman" w:hAnsi="Times New Roman" w:cs="Times New Roman"/>
          <w:i/>
        </w:rPr>
        <w:t xml:space="preserve"> </w:t>
      </w:r>
      <w:r w:rsidR="00BD24F4" w:rsidRPr="00BD24F4">
        <w:rPr>
          <w:rFonts w:ascii="Times New Roman" w:hAnsi="Times New Roman" w:cs="Times New Roman"/>
        </w:rPr>
        <w:t>The default</w:t>
      </w:r>
      <w:r w:rsidR="009227BE">
        <w:rPr>
          <w:rFonts w:ascii="Times New Roman" w:hAnsi="Times New Roman" w:cs="Times New Roman"/>
        </w:rPr>
        <w:t xml:space="preserve"> value</w:t>
      </w:r>
      <w:r w:rsidR="00BD24F4" w:rsidRPr="00BD24F4">
        <w:rPr>
          <w:rFonts w:ascii="Times New Roman" w:hAnsi="Times New Roman" w:cs="Times New Roman"/>
        </w:rPr>
        <w:t xml:space="preserve"> in t</w:t>
      </w:r>
      <w:r w:rsidR="00BD24F4">
        <w:rPr>
          <w:rFonts w:ascii="Times New Roman" w:hAnsi="Times New Roman" w:cs="Times New Roman"/>
        </w:rPr>
        <w:t>he BOIN software</w:t>
      </w:r>
      <w:r w:rsidR="00BD24F4" w:rsidRPr="00BD24F4">
        <w:rPr>
          <w:rFonts w:ascii="Times New Roman" w:hAnsi="Times New Roman" w:cs="Times New Roman"/>
        </w:rPr>
        <w:t xml:space="preserve"> is</w:t>
      </w:r>
      <w:r w:rsidR="00BD24F4">
        <w:rPr>
          <w:rFonts w:ascii="Times New Roman" w:hAnsi="Times New Roman" w:cs="Times New Roman"/>
          <w:i/>
        </w:rPr>
        <w:t xml:space="preserve"> </w:t>
      </w:r>
      <w:r w:rsidR="00BD24F4" w:rsidRPr="00247CEB">
        <w:rPr>
          <w:rFonts w:ascii="Times New Roman" w:hAnsi="Times New Roman" w:cs="Times New Roman"/>
          <w:i/>
        </w:rPr>
        <w:sym w:font="Symbol" w:char="F066"/>
      </w:r>
      <w:r w:rsidR="00BD24F4" w:rsidRPr="00247CEB">
        <w:rPr>
          <w:rFonts w:ascii="Times New Roman" w:hAnsi="Times New Roman" w:cs="Times New Roman"/>
          <w:vertAlign w:val="subscript"/>
        </w:rPr>
        <w:t>2</w:t>
      </w:r>
      <w:r w:rsidR="00BD24F4" w:rsidRPr="00247CEB">
        <w:rPr>
          <w:rFonts w:ascii="Times New Roman" w:hAnsi="Times New Roman" w:cs="Times New Roman"/>
        </w:rPr>
        <w:t>=1.4</w:t>
      </w:r>
      <w:r w:rsidR="00BD24F4" w:rsidRPr="00247CEB">
        <w:rPr>
          <w:rFonts w:ascii="Times New Roman" w:hAnsi="Times New Roman" w:cs="Times New Roman"/>
          <w:i/>
        </w:rPr>
        <w:sym w:font="Symbol" w:char="F066"/>
      </w:r>
      <w:r w:rsidR="00BD24F4">
        <w:rPr>
          <w:rFonts w:ascii="Times New Roman" w:hAnsi="Times New Roman" w:cs="Times New Roman"/>
          <w:i/>
        </w:rPr>
        <w:t>.</w:t>
      </w:r>
    </w:p>
    <w:p w14:paraId="5CC48F96" w14:textId="77777777" w:rsidR="007F6850" w:rsidRDefault="007F6850">
      <w:pPr>
        <w:rPr>
          <w:rFonts w:ascii="Times New Roman" w:hAnsi="Times New Roman" w:cs="Times New Roman"/>
          <w:b/>
        </w:rPr>
      </w:pPr>
      <w:r>
        <w:rPr>
          <w:rFonts w:ascii="Times New Roman" w:hAnsi="Times New Roman" w:cs="Times New Roman"/>
          <w:b/>
        </w:rPr>
        <w:br w:type="page"/>
      </w:r>
    </w:p>
    <w:p w14:paraId="74741BFA" w14:textId="57F9955C" w:rsidR="007F6850" w:rsidRPr="005E2B7A" w:rsidRDefault="007F6850" w:rsidP="005E2B7A">
      <w:pPr>
        <w:spacing w:line="480" w:lineRule="auto"/>
        <w:rPr>
          <w:rFonts w:ascii="Times New Roman" w:hAnsi="Times New Roman" w:cs="Times New Roman"/>
          <w:b/>
        </w:rPr>
      </w:pPr>
      <w:r w:rsidRPr="00247CEB">
        <w:rPr>
          <w:rFonts w:ascii="Times New Roman" w:hAnsi="Times New Roman" w:cs="Times New Roman"/>
          <w:b/>
        </w:rPr>
        <w:lastRenderedPageBreak/>
        <w:t>Problems when matching the sample size of the 3+3 design</w:t>
      </w:r>
    </w:p>
    <w:p w14:paraId="166AA6E2" w14:textId="0FB8C09C" w:rsidR="009C6B63" w:rsidRPr="008A32CD" w:rsidRDefault="007F6850" w:rsidP="00491235">
      <w:pPr>
        <w:spacing w:line="480" w:lineRule="auto"/>
        <w:rPr>
          <w:rFonts w:ascii="Times New Roman" w:hAnsi="Times New Roman" w:cs="Times New Roman"/>
          <w:b/>
        </w:rPr>
      </w:pPr>
      <w:r w:rsidRPr="00247CEB">
        <w:rPr>
          <w:rFonts w:ascii="Times New Roman" w:hAnsi="Times New Roman" w:cs="Times New Roman"/>
        </w:rPr>
        <w:t xml:space="preserve">It might seem appealing to </w:t>
      </w:r>
      <w:r w:rsidR="000102B9">
        <w:rPr>
          <w:rFonts w:ascii="Times New Roman" w:hAnsi="Times New Roman" w:cs="Times New Roman"/>
        </w:rPr>
        <w:t>use</w:t>
      </w:r>
      <w:r w:rsidRPr="00247CEB">
        <w:rPr>
          <w:rFonts w:ascii="Times New Roman" w:hAnsi="Times New Roman" w:cs="Times New Roman"/>
        </w:rPr>
        <w:t xml:space="preserve"> the average sample size of the 3+3 design as the sample size for the designs that are based on fixed s</w:t>
      </w:r>
      <w:r w:rsidR="00C73533">
        <w:rPr>
          <w:rFonts w:ascii="Times New Roman" w:hAnsi="Times New Roman" w:cs="Times New Roman"/>
        </w:rPr>
        <w:t xml:space="preserve">ample sizes, such as the </w:t>
      </w:r>
      <w:proofErr w:type="spellStart"/>
      <w:r w:rsidR="00C73533">
        <w:rPr>
          <w:rFonts w:ascii="Times New Roman" w:hAnsi="Times New Roman" w:cs="Times New Roman"/>
        </w:rPr>
        <w:t>mTPI</w:t>
      </w:r>
      <w:proofErr w:type="spellEnd"/>
      <w:r w:rsidR="00C73533">
        <w:rPr>
          <w:rFonts w:ascii="Times New Roman" w:hAnsi="Times New Roman" w:cs="Times New Roman"/>
        </w:rPr>
        <w:t xml:space="preserve"> and</w:t>
      </w:r>
      <w:r w:rsidRPr="00247CEB">
        <w:rPr>
          <w:rFonts w:ascii="Times New Roman" w:hAnsi="Times New Roman" w:cs="Times New Roman"/>
        </w:rPr>
        <w:t xml:space="preserve"> BOIN design</w:t>
      </w:r>
      <w:r w:rsidR="00C73533">
        <w:rPr>
          <w:rFonts w:ascii="Times New Roman" w:hAnsi="Times New Roman" w:cs="Times New Roman"/>
        </w:rPr>
        <w:t>s</w:t>
      </w:r>
      <w:r w:rsidRPr="00247CEB">
        <w:rPr>
          <w:rFonts w:ascii="Times New Roman" w:hAnsi="Times New Roman" w:cs="Times New Roman"/>
        </w:rPr>
        <w:t>, to matc</w:t>
      </w:r>
      <w:r w:rsidR="004D77AF">
        <w:rPr>
          <w:rFonts w:ascii="Times New Roman" w:hAnsi="Times New Roman" w:cs="Times New Roman"/>
        </w:rPr>
        <w:t>h the average sample si</w:t>
      </w:r>
      <w:r w:rsidR="00814CCE">
        <w:rPr>
          <w:rFonts w:ascii="Times New Roman" w:hAnsi="Times New Roman" w:cs="Times New Roman"/>
        </w:rPr>
        <w:t>ze of different</w:t>
      </w:r>
      <w:r>
        <w:rPr>
          <w:rFonts w:ascii="Times New Roman" w:hAnsi="Times New Roman" w:cs="Times New Roman"/>
        </w:rPr>
        <w:t xml:space="preserve"> designs. However, that</w:t>
      </w:r>
      <w:r w:rsidRPr="00247CEB">
        <w:rPr>
          <w:rFonts w:ascii="Times New Roman" w:hAnsi="Times New Roman" w:cs="Times New Roman"/>
        </w:rPr>
        <w:t xml:space="preserve"> approac</w:t>
      </w:r>
      <w:r>
        <w:rPr>
          <w:rFonts w:ascii="Times New Roman" w:hAnsi="Times New Roman" w:cs="Times New Roman"/>
        </w:rPr>
        <w:t xml:space="preserve">h yields </w:t>
      </w:r>
      <w:r w:rsidR="00277562">
        <w:rPr>
          <w:rFonts w:ascii="Times New Roman" w:hAnsi="Times New Roman" w:cs="Times New Roman"/>
        </w:rPr>
        <w:t xml:space="preserve">severely </w:t>
      </w:r>
      <w:r>
        <w:rPr>
          <w:rFonts w:ascii="Times New Roman" w:hAnsi="Times New Roman" w:cs="Times New Roman"/>
        </w:rPr>
        <w:t>biased results</w:t>
      </w:r>
      <w:r w:rsidRPr="00247CEB">
        <w:rPr>
          <w:rFonts w:ascii="Times New Roman" w:hAnsi="Times New Roman" w:cs="Times New Roman"/>
        </w:rPr>
        <w:t xml:space="preserve"> because the sample size of the 3+3 design is random and takes a bel</w:t>
      </w:r>
      <w:r w:rsidR="00BA243B">
        <w:rPr>
          <w:rFonts w:ascii="Times New Roman" w:hAnsi="Times New Roman" w:cs="Times New Roman"/>
        </w:rPr>
        <w:t>l-shaped distribution. Supplementary Figure S</w:t>
      </w:r>
      <w:r w:rsidR="002460F0">
        <w:rPr>
          <w:rFonts w:ascii="Times New Roman" w:hAnsi="Times New Roman" w:cs="Times New Roman"/>
        </w:rPr>
        <w:t>1</w:t>
      </w:r>
      <w:r w:rsidRPr="00247CEB">
        <w:rPr>
          <w:rFonts w:ascii="Times New Roman" w:hAnsi="Times New Roman" w:cs="Times New Roman"/>
        </w:rPr>
        <w:t xml:space="preserve"> shows the sample size distribution of the 3+3 design based on 10,000 simulated trials when the true DLT rates for 5 dose levels are 0.12, 0.2, 0.3, 0.4 and 0.5 (i.e., scenario 7 with the target DLT rate of 0.3), respectively. </w:t>
      </w:r>
      <w:r>
        <w:rPr>
          <w:rFonts w:ascii="Times New Roman" w:hAnsi="Times New Roman" w:cs="Times New Roman"/>
        </w:rPr>
        <w:t>Using</w:t>
      </w:r>
      <w:r w:rsidRPr="00247CEB">
        <w:rPr>
          <w:rFonts w:ascii="Times New Roman" w:hAnsi="Times New Roman" w:cs="Times New Roman"/>
        </w:rPr>
        <w:t xml:space="preserve"> the mean sample size of the 3+3 design (i.e., 13.9 patients) a</w:t>
      </w:r>
      <w:r w:rsidR="003B4348">
        <w:rPr>
          <w:rFonts w:ascii="Times New Roman" w:hAnsi="Times New Roman" w:cs="Times New Roman"/>
        </w:rPr>
        <w:t xml:space="preserve">s the sample size of the </w:t>
      </w:r>
      <w:proofErr w:type="spellStart"/>
      <w:r w:rsidR="003B4348">
        <w:rPr>
          <w:rFonts w:ascii="Times New Roman" w:hAnsi="Times New Roman" w:cs="Times New Roman"/>
        </w:rPr>
        <w:t>mTPI</w:t>
      </w:r>
      <w:proofErr w:type="spellEnd"/>
      <w:r w:rsidR="003B4348">
        <w:rPr>
          <w:rFonts w:ascii="Times New Roman" w:hAnsi="Times New Roman" w:cs="Times New Roman"/>
        </w:rPr>
        <w:t xml:space="preserve"> and</w:t>
      </w:r>
      <w:r w:rsidRPr="00247CEB">
        <w:rPr>
          <w:rFonts w:ascii="Times New Roman" w:hAnsi="Times New Roman" w:cs="Times New Roman"/>
        </w:rPr>
        <w:t xml:space="preserve"> BOIN design</w:t>
      </w:r>
      <w:r w:rsidR="003B4348">
        <w:rPr>
          <w:rFonts w:ascii="Times New Roman" w:hAnsi="Times New Roman" w:cs="Times New Roman"/>
        </w:rPr>
        <w:t>s</w:t>
      </w:r>
      <w:r w:rsidRPr="00247CEB">
        <w:rPr>
          <w:rFonts w:ascii="Times New Roman" w:hAnsi="Times New Roman" w:cs="Times New Roman"/>
        </w:rPr>
        <w:t xml:space="preserve"> would truncate all larger sample sizes and t</w:t>
      </w:r>
      <w:r w:rsidR="003B4348">
        <w:rPr>
          <w:rFonts w:ascii="Times New Roman" w:hAnsi="Times New Roman" w:cs="Times New Roman"/>
        </w:rPr>
        <w:t xml:space="preserve">hus </w:t>
      </w:r>
      <w:r w:rsidR="00541FC7">
        <w:rPr>
          <w:rFonts w:ascii="Times New Roman" w:hAnsi="Times New Roman" w:cs="Times New Roman"/>
        </w:rPr>
        <w:t>largely</w:t>
      </w:r>
      <w:r w:rsidR="003B4348">
        <w:rPr>
          <w:rFonts w:ascii="Times New Roman" w:hAnsi="Times New Roman" w:cs="Times New Roman"/>
        </w:rPr>
        <w:t xml:space="preserve"> forbid the </w:t>
      </w:r>
      <w:proofErr w:type="spellStart"/>
      <w:r w:rsidR="003B4348">
        <w:rPr>
          <w:rFonts w:ascii="Times New Roman" w:hAnsi="Times New Roman" w:cs="Times New Roman"/>
        </w:rPr>
        <w:t>mTPI</w:t>
      </w:r>
      <w:proofErr w:type="spellEnd"/>
      <w:r w:rsidR="003B4348">
        <w:rPr>
          <w:rFonts w:ascii="Times New Roman" w:hAnsi="Times New Roman" w:cs="Times New Roman"/>
        </w:rPr>
        <w:t xml:space="preserve"> and</w:t>
      </w:r>
      <w:r w:rsidRPr="00247CEB">
        <w:rPr>
          <w:rFonts w:ascii="Times New Roman" w:hAnsi="Times New Roman" w:cs="Times New Roman"/>
        </w:rPr>
        <w:t xml:space="preserve"> BOIN design</w:t>
      </w:r>
      <w:r w:rsidR="003B4348">
        <w:rPr>
          <w:rFonts w:ascii="Times New Roman" w:hAnsi="Times New Roman" w:cs="Times New Roman"/>
        </w:rPr>
        <w:t>s</w:t>
      </w:r>
      <w:r w:rsidRPr="00247CEB">
        <w:rPr>
          <w:rFonts w:ascii="Times New Roman" w:hAnsi="Times New Roman" w:cs="Times New Roman"/>
        </w:rPr>
        <w:t xml:space="preserve"> to reach overly toxic doses.  In other words, that approach makes the </w:t>
      </w:r>
      <w:proofErr w:type="spellStart"/>
      <w:r w:rsidRPr="00247CEB">
        <w:rPr>
          <w:rFonts w:ascii="Times New Roman" w:hAnsi="Times New Roman" w:cs="Times New Roman"/>
        </w:rPr>
        <w:t>mTPI</w:t>
      </w:r>
      <w:proofErr w:type="spellEnd"/>
      <w:r w:rsidRPr="00247CEB">
        <w:rPr>
          <w:rFonts w:ascii="Times New Roman" w:hAnsi="Times New Roman" w:cs="Times New Roman"/>
        </w:rPr>
        <w:t xml:space="preserve"> or BOIN design artificially safer simply because there are not enough patients to reach overly toxic doses. That is the reason why Ji and Wang </w:t>
      </w:r>
      <w:r w:rsidR="00565C1A">
        <w:rPr>
          <w:rFonts w:ascii="Times New Roman" w:hAnsi="Times New Roman" w:cs="Times New Roman"/>
        </w:rPr>
        <w:t xml:space="preserve">(25) </w:t>
      </w:r>
      <w:r w:rsidRPr="00247CEB">
        <w:rPr>
          <w:rFonts w:ascii="Times New Roman" w:hAnsi="Times New Roman" w:cs="Times New Roman"/>
        </w:rPr>
        <w:t xml:space="preserve">observed that the </w:t>
      </w:r>
      <w:proofErr w:type="spellStart"/>
      <w:r w:rsidRPr="00247CEB">
        <w:rPr>
          <w:rFonts w:ascii="Times New Roman" w:hAnsi="Times New Roman" w:cs="Times New Roman"/>
        </w:rPr>
        <w:t>mTPI</w:t>
      </w:r>
      <w:proofErr w:type="spellEnd"/>
      <w:r w:rsidRPr="00247CEB">
        <w:rPr>
          <w:rFonts w:ascii="Times New Roman" w:hAnsi="Times New Roman" w:cs="Times New Roman"/>
        </w:rPr>
        <w:t xml:space="preserve"> is safer than the 3+3 design</w:t>
      </w:r>
      <w:r w:rsidR="006C6A96">
        <w:rPr>
          <w:rFonts w:ascii="Times New Roman" w:hAnsi="Times New Roman" w:cs="Times New Roman"/>
        </w:rPr>
        <w:t xml:space="preserve"> in their simulation study</w:t>
      </w:r>
      <w:r w:rsidR="004D5CC4">
        <w:rPr>
          <w:rFonts w:ascii="Times New Roman" w:hAnsi="Times New Roman" w:cs="Times New Roman"/>
        </w:rPr>
        <w:t xml:space="preserve">. By contrasting the decision rules of </w:t>
      </w:r>
      <w:r w:rsidR="005D1FBB">
        <w:rPr>
          <w:rFonts w:ascii="Times New Roman" w:hAnsi="Times New Roman" w:cs="Times New Roman"/>
        </w:rPr>
        <w:t xml:space="preserve">the </w:t>
      </w:r>
      <w:r w:rsidR="004D5CC4">
        <w:rPr>
          <w:rFonts w:ascii="Times New Roman" w:hAnsi="Times New Roman" w:cs="Times New Roman"/>
        </w:rPr>
        <w:t>two designs</w:t>
      </w:r>
      <w:r w:rsidR="00565C1A">
        <w:rPr>
          <w:rFonts w:ascii="Times New Roman" w:hAnsi="Times New Roman" w:cs="Times New Roman"/>
        </w:rPr>
        <w:t xml:space="preserve"> (</w:t>
      </w:r>
      <w:r w:rsidR="00781A10">
        <w:rPr>
          <w:rFonts w:ascii="Times New Roman" w:hAnsi="Times New Roman" w:cs="Times New Roman"/>
        </w:rPr>
        <w:t xml:space="preserve">Supplementary </w:t>
      </w:r>
      <w:r w:rsidR="00565C1A">
        <w:rPr>
          <w:rFonts w:ascii="Times New Roman" w:hAnsi="Times New Roman" w:cs="Times New Roman"/>
        </w:rPr>
        <w:t>Table S4)</w:t>
      </w:r>
      <w:r w:rsidR="004D5CC4">
        <w:rPr>
          <w:rFonts w:ascii="Times New Roman" w:hAnsi="Times New Roman" w:cs="Times New Roman"/>
        </w:rPr>
        <w:t xml:space="preserve">, it is clear that theoretically the </w:t>
      </w:r>
      <w:proofErr w:type="spellStart"/>
      <w:r w:rsidR="004D5CC4">
        <w:rPr>
          <w:rFonts w:ascii="Times New Roman" w:hAnsi="Times New Roman" w:cs="Times New Roman"/>
        </w:rPr>
        <w:t>mTPI</w:t>
      </w:r>
      <w:proofErr w:type="spellEnd"/>
      <w:r w:rsidR="004D5CC4">
        <w:rPr>
          <w:rFonts w:ascii="Times New Roman" w:hAnsi="Times New Roman" w:cs="Times New Roman"/>
        </w:rPr>
        <w:t xml:space="preserve"> cannot be safer than </w:t>
      </w:r>
      <w:r w:rsidR="00301967">
        <w:rPr>
          <w:rFonts w:ascii="Times New Roman" w:hAnsi="Times New Roman" w:cs="Times New Roman"/>
        </w:rPr>
        <w:t xml:space="preserve">the </w:t>
      </w:r>
      <w:r w:rsidR="004D5CC4">
        <w:rPr>
          <w:rFonts w:ascii="Times New Roman" w:hAnsi="Times New Roman" w:cs="Times New Roman"/>
        </w:rPr>
        <w:t xml:space="preserve">3+3 design </w:t>
      </w:r>
      <w:r w:rsidR="00565C1A">
        <w:rPr>
          <w:rFonts w:ascii="Times New Roman" w:hAnsi="Times New Roman" w:cs="Times New Roman"/>
        </w:rPr>
        <w:t xml:space="preserve">because </w:t>
      </w:r>
      <w:r w:rsidR="004D5CC4">
        <w:rPr>
          <w:rFonts w:ascii="Times New Roman" w:hAnsi="Times New Roman" w:cs="Times New Roman"/>
        </w:rPr>
        <w:t xml:space="preserve">the dose escalation rule of the 3+3 design is more conservative than the </w:t>
      </w:r>
      <w:proofErr w:type="spellStart"/>
      <w:r w:rsidR="004D5CC4">
        <w:rPr>
          <w:rFonts w:ascii="Times New Roman" w:hAnsi="Times New Roman" w:cs="Times New Roman"/>
        </w:rPr>
        <w:t>mTPI</w:t>
      </w:r>
      <w:proofErr w:type="spellEnd"/>
      <w:r w:rsidR="004D5CC4">
        <w:rPr>
          <w:rFonts w:ascii="Times New Roman" w:hAnsi="Times New Roman" w:cs="Times New Roman"/>
        </w:rPr>
        <w:t>.</w:t>
      </w:r>
      <w:r w:rsidR="00565C1A">
        <w:rPr>
          <w:rFonts w:ascii="Times New Roman" w:hAnsi="Times New Roman" w:cs="Times New Roman"/>
        </w:rPr>
        <w:t xml:space="preserve"> Following Ji and Wang (25), two version</w:t>
      </w:r>
      <w:r w:rsidR="003471F1">
        <w:rPr>
          <w:rFonts w:ascii="Times New Roman" w:hAnsi="Times New Roman" w:cs="Times New Roman"/>
        </w:rPr>
        <w:t>s of the 3+3 design are</w:t>
      </w:r>
      <w:r w:rsidR="00565C1A">
        <w:rPr>
          <w:rFonts w:ascii="Times New Roman" w:hAnsi="Times New Roman" w:cs="Times New Roman"/>
        </w:rPr>
        <w:t xml:space="preserve"> listed in </w:t>
      </w:r>
      <w:r w:rsidR="00447B19">
        <w:rPr>
          <w:rFonts w:ascii="Times New Roman" w:hAnsi="Times New Roman" w:cs="Times New Roman"/>
        </w:rPr>
        <w:t xml:space="preserve">Supplementary </w:t>
      </w:r>
      <w:r w:rsidR="00565C1A">
        <w:rPr>
          <w:rFonts w:ascii="Times New Roman" w:hAnsi="Times New Roman" w:cs="Times New Roman"/>
        </w:rPr>
        <w:t>Table S4</w:t>
      </w:r>
      <w:r w:rsidR="00447B19">
        <w:rPr>
          <w:rFonts w:ascii="Times New Roman" w:hAnsi="Times New Roman" w:cs="Times New Roman"/>
        </w:rPr>
        <w:t>,</w:t>
      </w:r>
      <w:r w:rsidR="00565C1A">
        <w:rPr>
          <w:rFonts w:ascii="Times New Roman" w:hAnsi="Times New Roman" w:cs="Times New Roman"/>
        </w:rPr>
        <w:t xml:space="preserve"> with the 3+3</w:t>
      </w:r>
      <w:r w:rsidR="00565C1A" w:rsidRPr="00D66AC1">
        <w:rPr>
          <w:rFonts w:ascii="Times New Roman" w:hAnsi="Times New Roman" w:cs="Times New Roman"/>
          <w:vertAlign w:val="superscript"/>
        </w:rPr>
        <w:t>L</w:t>
      </w:r>
      <w:r w:rsidR="00565C1A">
        <w:rPr>
          <w:rFonts w:ascii="Times New Roman" w:hAnsi="Times New Roman" w:cs="Times New Roman"/>
        </w:rPr>
        <w:t xml:space="preserve"> </w:t>
      </w:r>
      <w:r w:rsidR="000A7BF1">
        <w:rPr>
          <w:rFonts w:ascii="Times New Roman" w:hAnsi="Times New Roman" w:cs="Times New Roman"/>
        </w:rPr>
        <w:t>design targeting</w:t>
      </w:r>
      <w:r w:rsidR="00565C1A">
        <w:rPr>
          <w:rFonts w:ascii="Times New Roman" w:hAnsi="Times New Roman" w:cs="Times New Roman"/>
        </w:rPr>
        <w:t xml:space="preserve"> the MTD with the </w:t>
      </w:r>
      <w:r w:rsidR="003471F1">
        <w:rPr>
          <w:rFonts w:ascii="Times New Roman" w:hAnsi="Times New Roman" w:cs="Times New Roman"/>
        </w:rPr>
        <w:t xml:space="preserve">DLT </w:t>
      </w:r>
      <w:r w:rsidR="00833CFD">
        <w:rPr>
          <w:rFonts w:ascii="Times New Roman" w:hAnsi="Times New Roman" w:cs="Times New Roman"/>
        </w:rPr>
        <w:t xml:space="preserve">rate </w:t>
      </w:r>
      <m:oMath>
        <m:r>
          <w:rPr>
            <w:rFonts w:ascii="Cambria Math" w:hAnsi="Cambria Math" w:cs="Times New Roman"/>
          </w:rPr>
          <m:t>≤</m:t>
        </m:r>
      </m:oMath>
      <w:r w:rsidR="00833CFD">
        <w:rPr>
          <w:rFonts w:ascii="Times New Roman" w:hAnsi="Times New Roman" w:cs="Times New Roman"/>
        </w:rPr>
        <w:t xml:space="preserve"> </w:t>
      </w:r>
      <w:r w:rsidR="003471F1">
        <w:rPr>
          <w:rFonts w:ascii="Times New Roman" w:hAnsi="Times New Roman" w:cs="Times New Roman"/>
        </w:rPr>
        <w:t>1/6,</w:t>
      </w:r>
      <w:r w:rsidR="00565C1A">
        <w:rPr>
          <w:rFonts w:ascii="Times New Roman" w:hAnsi="Times New Roman" w:cs="Times New Roman"/>
        </w:rPr>
        <w:t xml:space="preserve"> and the 3+3</w:t>
      </w:r>
      <w:r w:rsidR="00565C1A">
        <w:rPr>
          <w:rFonts w:ascii="Times New Roman" w:hAnsi="Times New Roman" w:cs="Times New Roman"/>
          <w:vertAlign w:val="superscript"/>
        </w:rPr>
        <w:t>H</w:t>
      </w:r>
      <w:r w:rsidR="00565C1A">
        <w:rPr>
          <w:rFonts w:ascii="Times New Roman" w:hAnsi="Times New Roman" w:cs="Times New Roman"/>
        </w:rPr>
        <w:t xml:space="preserve"> </w:t>
      </w:r>
      <w:r w:rsidR="000A7BF1">
        <w:rPr>
          <w:rFonts w:ascii="Times New Roman" w:hAnsi="Times New Roman" w:cs="Times New Roman"/>
        </w:rPr>
        <w:t>design targeting</w:t>
      </w:r>
      <w:r w:rsidR="00565C1A">
        <w:rPr>
          <w:rFonts w:ascii="Times New Roman" w:hAnsi="Times New Roman" w:cs="Times New Roman"/>
        </w:rPr>
        <w:t xml:space="preserve"> the MTD with the DLT rate </w:t>
      </w:r>
      <m:oMath>
        <m:r>
          <w:rPr>
            <w:rFonts w:ascii="Cambria Math" w:hAnsi="Cambria Math" w:cs="Times New Roman"/>
          </w:rPr>
          <m:t>≤</m:t>
        </m:r>
      </m:oMath>
      <w:r w:rsidR="00565C1A">
        <w:rPr>
          <w:rFonts w:ascii="Times New Roman" w:hAnsi="Times New Roman" w:cs="Times New Roman"/>
        </w:rPr>
        <w:t xml:space="preserve"> 2/</w:t>
      </w:r>
      <w:r w:rsidR="00AE646F">
        <w:rPr>
          <w:rFonts w:ascii="Times New Roman" w:hAnsi="Times New Roman" w:cs="Times New Roman"/>
        </w:rPr>
        <w:t xml:space="preserve">6. The details </w:t>
      </w:r>
      <w:r w:rsidR="00B63722">
        <w:rPr>
          <w:rFonts w:ascii="Times New Roman" w:hAnsi="Times New Roman" w:cs="Times New Roman"/>
        </w:rPr>
        <w:t xml:space="preserve">of these two versions of the 3+3 design </w:t>
      </w:r>
      <w:r w:rsidR="00AE646F">
        <w:rPr>
          <w:rFonts w:ascii="Times New Roman" w:hAnsi="Times New Roman" w:cs="Times New Roman"/>
        </w:rPr>
        <w:t>are provided in Ji and Wang (25).</w:t>
      </w:r>
      <w:r w:rsidR="00565C1A">
        <w:rPr>
          <w:rFonts w:ascii="Times New Roman" w:hAnsi="Times New Roman" w:cs="Times New Roman"/>
        </w:rPr>
        <w:t xml:space="preserve"> </w:t>
      </w:r>
      <w:r w:rsidR="00B12AB5">
        <w:rPr>
          <w:rFonts w:ascii="Times New Roman" w:hAnsi="Times New Roman" w:cs="Times New Roman"/>
        </w:rPr>
        <w:t xml:space="preserve">Clearly, the </w:t>
      </w:r>
      <w:proofErr w:type="spellStart"/>
      <w:r w:rsidR="00B12AB5">
        <w:rPr>
          <w:rFonts w:ascii="Times New Roman" w:hAnsi="Times New Roman" w:cs="Times New Roman"/>
        </w:rPr>
        <w:t>mTPI</w:t>
      </w:r>
      <w:proofErr w:type="spellEnd"/>
      <w:r w:rsidR="00B12AB5">
        <w:rPr>
          <w:rFonts w:ascii="Times New Roman" w:hAnsi="Times New Roman" w:cs="Times New Roman"/>
        </w:rPr>
        <w:t xml:space="preserve"> is more aggressive:</w:t>
      </w:r>
      <w:r w:rsidR="00565C1A">
        <w:rPr>
          <w:rFonts w:ascii="Times New Roman" w:hAnsi="Times New Roman" w:cs="Times New Roman"/>
        </w:rPr>
        <w:t xml:space="preserve"> when 2/6 patients have DLTs, the 3+3</w:t>
      </w:r>
      <w:r w:rsidR="00ED443C" w:rsidRPr="00ED443C">
        <w:rPr>
          <w:rFonts w:ascii="Times New Roman" w:hAnsi="Times New Roman" w:cs="Times New Roman"/>
          <w:vertAlign w:val="superscript"/>
        </w:rPr>
        <w:t xml:space="preserve"> </w:t>
      </w:r>
      <w:r w:rsidR="00ED443C" w:rsidRPr="00D66AC1">
        <w:rPr>
          <w:rFonts w:ascii="Times New Roman" w:hAnsi="Times New Roman" w:cs="Times New Roman"/>
          <w:vertAlign w:val="superscript"/>
        </w:rPr>
        <w:t>L</w:t>
      </w:r>
      <w:r w:rsidR="00565C1A">
        <w:rPr>
          <w:rFonts w:ascii="Times New Roman" w:hAnsi="Times New Roman" w:cs="Times New Roman"/>
        </w:rPr>
        <w:t xml:space="preserve"> design will de</w:t>
      </w:r>
      <w:r w:rsidR="00AB1561">
        <w:rPr>
          <w:rFonts w:ascii="Times New Roman" w:hAnsi="Times New Roman" w:cs="Times New Roman"/>
        </w:rPr>
        <w:t>-escalate the dose, whereas</w:t>
      </w:r>
      <w:r w:rsidR="00565C1A">
        <w:rPr>
          <w:rFonts w:ascii="Times New Roman" w:hAnsi="Times New Roman" w:cs="Times New Roman"/>
        </w:rPr>
        <w:t xml:space="preserve"> the </w:t>
      </w:r>
      <w:proofErr w:type="spellStart"/>
      <w:r w:rsidR="00565C1A">
        <w:rPr>
          <w:rFonts w:ascii="Times New Roman" w:hAnsi="Times New Roman" w:cs="Times New Roman"/>
        </w:rPr>
        <w:t>mTPI</w:t>
      </w:r>
      <w:proofErr w:type="spellEnd"/>
      <w:r w:rsidR="00565C1A">
        <w:rPr>
          <w:rFonts w:ascii="Times New Roman" w:hAnsi="Times New Roman" w:cs="Times New Roman"/>
        </w:rPr>
        <w:t xml:space="preserve"> will continue treating patie</w:t>
      </w:r>
      <w:r w:rsidR="00377A7B">
        <w:rPr>
          <w:rFonts w:ascii="Times New Roman" w:hAnsi="Times New Roman" w:cs="Times New Roman"/>
        </w:rPr>
        <w:t>nts at the same</w:t>
      </w:r>
      <w:r w:rsidR="00565C1A">
        <w:rPr>
          <w:rFonts w:ascii="Times New Roman" w:hAnsi="Times New Roman" w:cs="Times New Roman"/>
        </w:rPr>
        <w:t xml:space="preserve"> dose; and when </w:t>
      </w:r>
      <w:r w:rsidR="00CF5170">
        <w:rPr>
          <w:rFonts w:ascii="Times New Roman" w:hAnsi="Times New Roman" w:cs="Times New Roman"/>
        </w:rPr>
        <w:t>3/6 patients have DLTs</w:t>
      </w:r>
      <w:r w:rsidR="00565C1A">
        <w:rPr>
          <w:rFonts w:ascii="Times New Roman" w:hAnsi="Times New Roman" w:cs="Times New Roman"/>
        </w:rPr>
        <w:t>, the 3+3</w:t>
      </w:r>
      <w:r w:rsidR="00ED443C" w:rsidRPr="00ED443C">
        <w:rPr>
          <w:rFonts w:ascii="Times New Roman" w:hAnsi="Times New Roman" w:cs="Times New Roman"/>
          <w:vertAlign w:val="superscript"/>
        </w:rPr>
        <w:t xml:space="preserve"> </w:t>
      </w:r>
      <w:r w:rsidR="00ED443C">
        <w:rPr>
          <w:rFonts w:ascii="Times New Roman" w:hAnsi="Times New Roman" w:cs="Times New Roman"/>
          <w:vertAlign w:val="superscript"/>
        </w:rPr>
        <w:t>H</w:t>
      </w:r>
      <w:r w:rsidR="00565C1A">
        <w:rPr>
          <w:rFonts w:ascii="Times New Roman" w:hAnsi="Times New Roman" w:cs="Times New Roman"/>
        </w:rPr>
        <w:t xml:space="preserve"> design </w:t>
      </w:r>
      <w:r w:rsidR="00565C1A">
        <w:rPr>
          <w:rFonts w:ascii="Times New Roman" w:hAnsi="Times New Roman" w:cs="Times New Roman"/>
        </w:rPr>
        <w:lastRenderedPageBreak/>
        <w:t xml:space="preserve">will </w:t>
      </w:r>
      <w:r w:rsidR="00AB1561">
        <w:rPr>
          <w:rFonts w:ascii="Times New Roman" w:hAnsi="Times New Roman" w:cs="Times New Roman"/>
        </w:rPr>
        <w:t>deescalate the dose, whereas</w:t>
      </w:r>
      <w:r w:rsidR="00565C1A">
        <w:rPr>
          <w:rFonts w:ascii="Times New Roman" w:hAnsi="Times New Roman" w:cs="Times New Roman"/>
        </w:rPr>
        <w:t xml:space="preserve"> the </w:t>
      </w:r>
      <w:proofErr w:type="spellStart"/>
      <w:r w:rsidR="00565C1A">
        <w:rPr>
          <w:rFonts w:ascii="Times New Roman" w:hAnsi="Times New Roman" w:cs="Times New Roman"/>
        </w:rPr>
        <w:t>mTPI</w:t>
      </w:r>
      <w:proofErr w:type="spellEnd"/>
      <w:r w:rsidR="00565C1A">
        <w:rPr>
          <w:rFonts w:ascii="Times New Roman" w:hAnsi="Times New Roman" w:cs="Times New Roman"/>
        </w:rPr>
        <w:t xml:space="preserve"> will continue treating patie</w:t>
      </w:r>
      <w:r w:rsidR="00377A7B">
        <w:rPr>
          <w:rFonts w:ascii="Times New Roman" w:hAnsi="Times New Roman" w:cs="Times New Roman"/>
        </w:rPr>
        <w:t>nts at the same</w:t>
      </w:r>
      <w:r w:rsidR="00565C1A">
        <w:rPr>
          <w:rFonts w:ascii="Times New Roman" w:hAnsi="Times New Roman" w:cs="Times New Roman"/>
        </w:rPr>
        <w:t xml:space="preserve"> do</w:t>
      </w:r>
      <w:r w:rsidR="00973F81">
        <w:rPr>
          <w:rFonts w:ascii="Times New Roman" w:hAnsi="Times New Roman" w:cs="Times New Roman"/>
        </w:rPr>
        <w:t>se.</w:t>
      </w:r>
      <w:r w:rsidR="00565C1A">
        <w:rPr>
          <w:rFonts w:ascii="Times New Roman" w:hAnsi="Times New Roman" w:cs="Times New Roman"/>
        </w:rPr>
        <w:t xml:space="preserve"> </w:t>
      </w:r>
    </w:p>
    <w:tbl>
      <w:tblPr>
        <w:tblStyle w:val="LightList-Accent1"/>
        <w:tblW w:w="4704" w:type="pct"/>
        <w:tblLook w:val="04A0" w:firstRow="1" w:lastRow="0" w:firstColumn="1" w:lastColumn="0" w:noHBand="0" w:noVBand="1"/>
      </w:tblPr>
      <w:tblGrid>
        <w:gridCol w:w="2094"/>
        <w:gridCol w:w="241"/>
        <w:gridCol w:w="672"/>
        <w:gridCol w:w="668"/>
        <w:gridCol w:w="667"/>
        <w:gridCol w:w="667"/>
        <w:gridCol w:w="667"/>
        <w:gridCol w:w="667"/>
        <w:gridCol w:w="667"/>
        <w:gridCol w:w="667"/>
        <w:gridCol w:w="655"/>
      </w:tblGrid>
      <w:tr w:rsidR="002B056A" w14:paraId="76D25138" w14:textId="77777777" w:rsidTr="00491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4E002683" w14:textId="5F62DEF9" w:rsidR="002B056A" w:rsidRPr="00491235" w:rsidRDefault="002B056A" w:rsidP="000A7ACF">
            <w:pPr>
              <w:jc w:val="center"/>
              <w:rPr>
                <w:rFonts w:ascii="Times New Roman" w:hAnsi="Times New Roman" w:cs="Times New Roman"/>
                <w:sz w:val="22"/>
                <w:szCs w:val="22"/>
              </w:rPr>
            </w:pPr>
            <w:r w:rsidRPr="00491235">
              <w:rPr>
                <w:rFonts w:ascii="Times New Roman" w:hAnsi="Times New Roman" w:cs="Times New Roman"/>
                <w:sz w:val="22"/>
                <w:szCs w:val="22"/>
              </w:rPr>
              <w:t xml:space="preserve">Supplementary Table S4. Dose escalation and de-escalation rule for 3+3 and </w:t>
            </w:r>
            <w:proofErr w:type="spellStart"/>
            <w:r w:rsidRPr="00491235">
              <w:rPr>
                <w:rFonts w:ascii="Times New Roman" w:hAnsi="Times New Roman" w:cs="Times New Roman"/>
                <w:sz w:val="22"/>
                <w:szCs w:val="22"/>
              </w:rPr>
              <w:t>mTPI</w:t>
            </w:r>
            <w:proofErr w:type="spellEnd"/>
            <w:r w:rsidRPr="00491235">
              <w:rPr>
                <w:rFonts w:ascii="Times New Roman" w:hAnsi="Times New Roman" w:cs="Times New Roman"/>
                <w:sz w:val="22"/>
                <w:szCs w:val="22"/>
              </w:rPr>
              <w:t xml:space="preserve"> </w:t>
            </w:r>
          </w:p>
        </w:tc>
      </w:tr>
      <w:tr w:rsidR="00EA446A" w14:paraId="4FB31494" w14:textId="77777777" w:rsidTr="00491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1490F65C" w14:textId="77777777" w:rsidR="00EA446A" w:rsidRPr="00491235" w:rsidRDefault="00EA446A" w:rsidP="000A7ACF">
            <w:pPr>
              <w:jc w:val="center"/>
              <w:rPr>
                <w:rFonts w:ascii="Times New Roman" w:hAnsi="Times New Roman" w:cs="Times New Roman"/>
                <w:b w:val="0"/>
              </w:rPr>
            </w:pPr>
            <w:r w:rsidRPr="007D41C6">
              <w:rPr>
                <w:rFonts w:ascii="Times New Roman" w:hAnsi="Times New Roman" w:cs="Times New Roman"/>
              </w:rPr>
              <w:t>No. of patients</w:t>
            </w:r>
          </w:p>
        </w:tc>
        <w:tc>
          <w:tcPr>
            <w:tcW w:w="145" w:type="pct"/>
            <w:tcBorders>
              <w:bottom w:val="nil"/>
            </w:tcBorders>
          </w:tcPr>
          <w:p w14:paraId="4B2431CB" w14:textId="3FFB9497" w:rsidR="00EA446A" w:rsidDel="00D30AD9"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4" w:type="pct"/>
          </w:tcPr>
          <w:p w14:paraId="26869AF8" w14:textId="1BD9D8B6"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1" w:type="pct"/>
          </w:tcPr>
          <w:p w14:paraId="4B6CD2E2" w14:textId="0F5B74BE" w:rsidR="00EA446A" w:rsidRDefault="00EA446A" w:rsidP="00D95F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00" w:type="pct"/>
          </w:tcPr>
          <w:p w14:paraId="76E1B4A2" w14:textId="429A6076"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Borders>
              <w:bottom w:val="nil"/>
            </w:tcBorders>
          </w:tcPr>
          <w:p w14:paraId="4BDBA655" w14:textId="5A89772C"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4488F1E8" w14:textId="66ADB3F1"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54B521C1"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43DCC619" w14:textId="3270F363"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400" w:type="pct"/>
          </w:tcPr>
          <w:p w14:paraId="07A896E2"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91" w:type="pct"/>
          </w:tcPr>
          <w:p w14:paraId="300F22B4" w14:textId="666CCC2C"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446A" w14:paraId="3A2E4C7F" w14:textId="77777777" w:rsidTr="00491235">
        <w:tc>
          <w:tcPr>
            <w:cnfStyle w:val="001000000000" w:firstRow="0" w:lastRow="0" w:firstColumn="1" w:lastColumn="0" w:oddVBand="0" w:evenVBand="0" w:oddHBand="0" w:evenHBand="0" w:firstRowFirstColumn="0" w:firstRowLastColumn="0" w:lastRowFirstColumn="0" w:lastRowLastColumn="0"/>
            <w:tcW w:w="1257" w:type="pct"/>
          </w:tcPr>
          <w:p w14:paraId="24294CA8" w14:textId="5F6CBC74" w:rsidR="00EA446A" w:rsidRPr="00491235" w:rsidRDefault="00EA446A" w:rsidP="000A7ACF">
            <w:pPr>
              <w:jc w:val="center"/>
              <w:rPr>
                <w:rFonts w:ascii="Times New Roman" w:hAnsi="Times New Roman" w:cs="Times New Roman"/>
                <w:b w:val="0"/>
              </w:rPr>
            </w:pPr>
            <w:r w:rsidRPr="007D41C6">
              <w:rPr>
                <w:rFonts w:ascii="Times New Roman" w:hAnsi="Times New Roman" w:cs="Times New Roman"/>
              </w:rPr>
              <w:t>No. of DLTs</w:t>
            </w:r>
          </w:p>
        </w:tc>
        <w:tc>
          <w:tcPr>
            <w:tcW w:w="145" w:type="pct"/>
            <w:tcBorders>
              <w:top w:val="nil"/>
              <w:bottom w:val="nil"/>
            </w:tcBorders>
          </w:tcPr>
          <w:p w14:paraId="2DB66A66"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4" w:type="pct"/>
          </w:tcPr>
          <w:p w14:paraId="5F6E892B" w14:textId="4697196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01" w:type="pct"/>
          </w:tcPr>
          <w:p w14:paraId="2E91230B"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00" w:type="pct"/>
          </w:tcPr>
          <w:p w14:paraId="10FA3078" w14:textId="4318F4AF" w:rsidR="00EA446A" w:rsidRDefault="007D41C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sidR="00EA446A">
              <w:rPr>
                <w:rFonts w:ascii="Times New Roman" w:hAnsi="Times New Roman" w:cs="Times New Roman"/>
              </w:rPr>
              <w:t>2</w:t>
            </w:r>
          </w:p>
        </w:tc>
        <w:tc>
          <w:tcPr>
            <w:tcW w:w="400" w:type="pct"/>
            <w:tcBorders>
              <w:top w:val="nil"/>
              <w:bottom w:val="nil"/>
            </w:tcBorders>
          </w:tcPr>
          <w:p w14:paraId="69222C68" w14:textId="4CD6B525"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0" w:type="pct"/>
          </w:tcPr>
          <w:p w14:paraId="5F0E7030"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00" w:type="pct"/>
          </w:tcPr>
          <w:p w14:paraId="47F2DC8B"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00" w:type="pct"/>
          </w:tcPr>
          <w:p w14:paraId="4B03AB0B"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00" w:type="pct"/>
          </w:tcPr>
          <w:p w14:paraId="66C5AA13"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391" w:type="pct"/>
          </w:tcPr>
          <w:p w14:paraId="481A7604" w14:textId="6A9A3DA9" w:rsidR="00EA446A" w:rsidRDefault="007D41C6"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m:oMath>
              <m:r>
                <w:rPr>
                  <w:rFonts w:ascii="Cambria Math" w:hAnsi="Cambria Math" w:cs="Times New Roman"/>
                </w:rPr>
                <m:t>≥</m:t>
              </m:r>
            </m:oMath>
            <w:r w:rsidR="00EA446A">
              <w:rPr>
                <w:rFonts w:ascii="Times New Roman" w:hAnsi="Times New Roman" w:cs="Times New Roman"/>
              </w:rPr>
              <w:t>4</w:t>
            </w:r>
          </w:p>
        </w:tc>
      </w:tr>
      <w:tr w:rsidR="00EA446A" w14:paraId="3B4F7D11" w14:textId="77777777" w:rsidTr="00491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1D398432" w14:textId="77777777" w:rsidR="00EA446A" w:rsidRPr="00491235" w:rsidRDefault="00EA446A" w:rsidP="000A7ACF">
            <w:pPr>
              <w:jc w:val="center"/>
              <w:rPr>
                <w:rFonts w:ascii="Times New Roman" w:hAnsi="Times New Roman" w:cs="Times New Roman"/>
                <w:b w:val="0"/>
              </w:rPr>
            </w:pPr>
            <w:r w:rsidRPr="007D41C6">
              <w:rPr>
                <w:rFonts w:ascii="Times New Roman" w:hAnsi="Times New Roman" w:cs="Times New Roman"/>
              </w:rPr>
              <w:t>3+3</w:t>
            </w:r>
            <w:r w:rsidRPr="007D41C6">
              <w:rPr>
                <w:rFonts w:ascii="Times New Roman" w:hAnsi="Times New Roman" w:cs="Times New Roman"/>
                <w:vertAlign w:val="superscript"/>
              </w:rPr>
              <w:t>L</w:t>
            </w:r>
          </w:p>
        </w:tc>
        <w:tc>
          <w:tcPr>
            <w:tcW w:w="145" w:type="pct"/>
            <w:tcBorders>
              <w:top w:val="nil"/>
              <w:bottom w:val="nil"/>
            </w:tcBorders>
          </w:tcPr>
          <w:p w14:paraId="43684AFB"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4" w:type="pct"/>
          </w:tcPr>
          <w:p w14:paraId="429146C2" w14:textId="4A1C86B3"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1" w:type="pct"/>
          </w:tcPr>
          <w:p w14:paraId="5A545D16"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400" w:type="pct"/>
          </w:tcPr>
          <w:p w14:paraId="7184024F"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400" w:type="pct"/>
            <w:tcBorders>
              <w:top w:val="nil"/>
              <w:bottom w:val="nil"/>
            </w:tcBorders>
          </w:tcPr>
          <w:p w14:paraId="7059916C"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372CDED6"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0" w:type="pct"/>
          </w:tcPr>
          <w:p w14:paraId="4F6D824C" w14:textId="5B798CEF"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w:t>
            </w:r>
          </w:p>
        </w:tc>
        <w:tc>
          <w:tcPr>
            <w:tcW w:w="400" w:type="pct"/>
          </w:tcPr>
          <w:p w14:paraId="372C6D2F" w14:textId="77777777" w:rsidR="00EA446A" w:rsidRPr="00491235"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91235">
              <w:rPr>
                <w:rFonts w:ascii="Times New Roman" w:hAnsi="Times New Roman" w:cs="Times New Roman"/>
                <w:b/>
              </w:rPr>
              <w:t>D</w:t>
            </w:r>
          </w:p>
        </w:tc>
        <w:tc>
          <w:tcPr>
            <w:tcW w:w="400" w:type="pct"/>
          </w:tcPr>
          <w:p w14:paraId="3E657A2B"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391" w:type="pct"/>
          </w:tcPr>
          <w:p w14:paraId="560C9225"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r>
      <w:tr w:rsidR="00EA446A" w14:paraId="7535A78A" w14:textId="77777777" w:rsidTr="00491235">
        <w:tc>
          <w:tcPr>
            <w:cnfStyle w:val="001000000000" w:firstRow="0" w:lastRow="0" w:firstColumn="1" w:lastColumn="0" w:oddVBand="0" w:evenVBand="0" w:oddHBand="0" w:evenHBand="0" w:firstRowFirstColumn="0" w:firstRowLastColumn="0" w:lastRowFirstColumn="0" w:lastRowLastColumn="0"/>
            <w:tcW w:w="1257" w:type="pct"/>
          </w:tcPr>
          <w:p w14:paraId="737DD708" w14:textId="77777777" w:rsidR="00EA446A" w:rsidRPr="00491235" w:rsidRDefault="00EA446A" w:rsidP="000A7ACF">
            <w:pPr>
              <w:jc w:val="center"/>
              <w:rPr>
                <w:rFonts w:ascii="Times New Roman" w:hAnsi="Times New Roman" w:cs="Times New Roman"/>
                <w:b w:val="0"/>
              </w:rPr>
            </w:pPr>
            <w:proofErr w:type="spellStart"/>
            <w:proofErr w:type="gramStart"/>
            <w:r w:rsidRPr="007D41C6">
              <w:rPr>
                <w:rFonts w:ascii="Times New Roman" w:hAnsi="Times New Roman" w:cs="Times New Roman"/>
              </w:rPr>
              <w:t>mTPI</w:t>
            </w:r>
            <w:proofErr w:type="spellEnd"/>
            <w:proofErr w:type="gramEnd"/>
            <w:r w:rsidRPr="007D41C6">
              <w:rPr>
                <w:rFonts w:ascii="Times New Roman" w:hAnsi="Times New Roman" w:cs="Times New Roman"/>
              </w:rPr>
              <w:t xml:space="preserve"> (</w:t>
            </w:r>
            <w:proofErr w:type="spellStart"/>
            <w:r w:rsidRPr="007D41C6">
              <w:rPr>
                <w:rFonts w:ascii="Times New Roman" w:hAnsi="Times New Roman" w:cs="Times New Roman"/>
                <w:i/>
              </w:rPr>
              <w:t>p</w:t>
            </w:r>
            <w:r w:rsidRPr="007D41C6">
              <w:rPr>
                <w:rFonts w:ascii="Times New Roman" w:hAnsi="Times New Roman" w:cs="Times New Roman"/>
                <w:vertAlign w:val="subscript"/>
              </w:rPr>
              <w:t>T</w:t>
            </w:r>
            <w:proofErr w:type="spellEnd"/>
            <w:r w:rsidRPr="007D41C6">
              <w:rPr>
                <w:rFonts w:ascii="Times New Roman" w:hAnsi="Times New Roman" w:cs="Times New Roman"/>
              </w:rPr>
              <w:t>=20%)</w:t>
            </w:r>
          </w:p>
        </w:tc>
        <w:tc>
          <w:tcPr>
            <w:tcW w:w="145" w:type="pct"/>
            <w:tcBorders>
              <w:top w:val="nil"/>
              <w:bottom w:val="nil"/>
            </w:tcBorders>
          </w:tcPr>
          <w:p w14:paraId="1D2C1A5C"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4" w:type="pct"/>
          </w:tcPr>
          <w:p w14:paraId="3DAF304A" w14:textId="131163BE"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1" w:type="pct"/>
          </w:tcPr>
          <w:p w14:paraId="04DC4D65"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400" w:type="pct"/>
          </w:tcPr>
          <w:p w14:paraId="1291CC3F"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400" w:type="pct"/>
            <w:tcBorders>
              <w:top w:val="nil"/>
              <w:bottom w:val="nil"/>
            </w:tcBorders>
          </w:tcPr>
          <w:p w14:paraId="7E555B55" w14:textId="0EFC49B4"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0" w:type="pct"/>
          </w:tcPr>
          <w:p w14:paraId="2B9DD2E7"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0" w:type="pct"/>
          </w:tcPr>
          <w:p w14:paraId="60B0A7AE"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400" w:type="pct"/>
          </w:tcPr>
          <w:p w14:paraId="741DAE27" w14:textId="77777777" w:rsidR="00EA446A" w:rsidRPr="00491235"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91235">
              <w:rPr>
                <w:rFonts w:ascii="Times New Roman" w:hAnsi="Times New Roman" w:cs="Times New Roman"/>
                <w:b/>
              </w:rPr>
              <w:t>S</w:t>
            </w:r>
          </w:p>
        </w:tc>
        <w:tc>
          <w:tcPr>
            <w:tcW w:w="400" w:type="pct"/>
          </w:tcPr>
          <w:p w14:paraId="31AEF63F"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391" w:type="pct"/>
          </w:tcPr>
          <w:p w14:paraId="20298DE7"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r>
      <w:tr w:rsidR="00EA446A" w14:paraId="503B7736" w14:textId="77777777" w:rsidTr="00491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2669440F" w14:textId="77777777" w:rsidR="00EA446A" w:rsidRPr="00491235" w:rsidRDefault="00EA446A" w:rsidP="000A7ACF">
            <w:pPr>
              <w:jc w:val="center"/>
              <w:rPr>
                <w:rFonts w:ascii="Times New Roman" w:hAnsi="Times New Roman" w:cs="Times New Roman"/>
                <w:b w:val="0"/>
              </w:rPr>
            </w:pPr>
          </w:p>
        </w:tc>
        <w:tc>
          <w:tcPr>
            <w:tcW w:w="145" w:type="pct"/>
            <w:tcBorders>
              <w:top w:val="nil"/>
              <w:bottom w:val="nil"/>
            </w:tcBorders>
          </w:tcPr>
          <w:p w14:paraId="42A375B7"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4" w:type="pct"/>
          </w:tcPr>
          <w:p w14:paraId="2F64AEB8" w14:textId="3FFC06F3"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1" w:type="pct"/>
          </w:tcPr>
          <w:p w14:paraId="448F9652"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53869A95"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Borders>
              <w:top w:val="nil"/>
              <w:bottom w:val="nil"/>
            </w:tcBorders>
          </w:tcPr>
          <w:p w14:paraId="6DE53B50"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0E216F91"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33C1B8C3"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29D9D553" w14:textId="77777777" w:rsidR="00EA446A" w:rsidRPr="00491235"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24D9ABBE"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91" w:type="pct"/>
          </w:tcPr>
          <w:p w14:paraId="4D9E62A7"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446A" w14:paraId="3D187E12" w14:textId="77777777" w:rsidTr="00491235">
        <w:tc>
          <w:tcPr>
            <w:cnfStyle w:val="001000000000" w:firstRow="0" w:lastRow="0" w:firstColumn="1" w:lastColumn="0" w:oddVBand="0" w:evenVBand="0" w:oddHBand="0" w:evenHBand="0" w:firstRowFirstColumn="0" w:firstRowLastColumn="0" w:lastRowFirstColumn="0" w:lastRowLastColumn="0"/>
            <w:tcW w:w="1257" w:type="pct"/>
          </w:tcPr>
          <w:p w14:paraId="14592497" w14:textId="77777777" w:rsidR="00EA446A" w:rsidRPr="00491235" w:rsidRDefault="00EA446A" w:rsidP="000A7ACF">
            <w:pPr>
              <w:jc w:val="center"/>
              <w:rPr>
                <w:rFonts w:ascii="Times New Roman" w:hAnsi="Times New Roman" w:cs="Times New Roman"/>
                <w:b w:val="0"/>
              </w:rPr>
            </w:pPr>
            <w:r w:rsidRPr="007D41C6">
              <w:rPr>
                <w:rFonts w:ascii="Times New Roman" w:hAnsi="Times New Roman" w:cs="Times New Roman"/>
              </w:rPr>
              <w:t>3+3</w:t>
            </w:r>
            <w:r w:rsidRPr="007D41C6">
              <w:rPr>
                <w:rFonts w:ascii="Times New Roman" w:hAnsi="Times New Roman" w:cs="Times New Roman"/>
                <w:vertAlign w:val="superscript"/>
              </w:rPr>
              <w:t>H</w:t>
            </w:r>
          </w:p>
        </w:tc>
        <w:tc>
          <w:tcPr>
            <w:tcW w:w="145" w:type="pct"/>
            <w:tcBorders>
              <w:top w:val="nil"/>
              <w:bottom w:val="nil"/>
            </w:tcBorders>
          </w:tcPr>
          <w:p w14:paraId="3AFF272E"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4" w:type="pct"/>
          </w:tcPr>
          <w:p w14:paraId="3ADD83C1" w14:textId="13E7B45E"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1" w:type="pct"/>
          </w:tcPr>
          <w:p w14:paraId="5F146737"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400" w:type="pct"/>
          </w:tcPr>
          <w:p w14:paraId="2CC89C99"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400" w:type="pct"/>
            <w:tcBorders>
              <w:top w:val="nil"/>
              <w:bottom w:val="nil"/>
            </w:tcBorders>
          </w:tcPr>
          <w:p w14:paraId="272C577A" w14:textId="54256870" w:rsidR="00EA446A" w:rsidRDefault="00EA446A" w:rsidP="004912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0" w:type="pct"/>
          </w:tcPr>
          <w:p w14:paraId="6B249824"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0" w:type="pct"/>
          </w:tcPr>
          <w:p w14:paraId="75ED9F73"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0" w:type="pct"/>
          </w:tcPr>
          <w:p w14:paraId="380B0114" w14:textId="4384DF5B" w:rsidR="00EA446A" w:rsidRPr="00D66AC1"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w:t>
            </w:r>
          </w:p>
        </w:tc>
        <w:tc>
          <w:tcPr>
            <w:tcW w:w="400" w:type="pct"/>
          </w:tcPr>
          <w:p w14:paraId="19353150" w14:textId="77777777" w:rsidR="00EA446A" w:rsidRPr="00491235"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91235">
              <w:rPr>
                <w:rFonts w:ascii="Times New Roman" w:hAnsi="Times New Roman" w:cs="Times New Roman"/>
                <w:b/>
              </w:rPr>
              <w:t>D</w:t>
            </w:r>
          </w:p>
        </w:tc>
        <w:tc>
          <w:tcPr>
            <w:tcW w:w="391" w:type="pct"/>
          </w:tcPr>
          <w:p w14:paraId="28B183C2" w14:textId="77777777" w:rsidR="00EA446A" w:rsidRDefault="00EA446A" w:rsidP="000A7A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r>
      <w:tr w:rsidR="00EA446A" w14:paraId="65A8EAA5" w14:textId="77777777" w:rsidTr="00491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6FA95526" w14:textId="77777777" w:rsidR="00EA446A" w:rsidRPr="00491235" w:rsidRDefault="00EA446A" w:rsidP="000A7ACF">
            <w:pPr>
              <w:jc w:val="center"/>
              <w:rPr>
                <w:rFonts w:ascii="Times New Roman" w:hAnsi="Times New Roman" w:cs="Times New Roman"/>
                <w:b w:val="0"/>
              </w:rPr>
            </w:pPr>
            <w:proofErr w:type="spellStart"/>
            <w:proofErr w:type="gramStart"/>
            <w:r w:rsidRPr="007D41C6">
              <w:rPr>
                <w:rFonts w:ascii="Times New Roman" w:hAnsi="Times New Roman" w:cs="Times New Roman"/>
              </w:rPr>
              <w:t>mTPI</w:t>
            </w:r>
            <w:proofErr w:type="spellEnd"/>
            <w:proofErr w:type="gramEnd"/>
            <w:r w:rsidRPr="007D41C6">
              <w:rPr>
                <w:rFonts w:ascii="Times New Roman" w:hAnsi="Times New Roman" w:cs="Times New Roman"/>
              </w:rPr>
              <w:t xml:space="preserve"> (</w:t>
            </w:r>
            <w:proofErr w:type="spellStart"/>
            <w:r w:rsidRPr="007D41C6">
              <w:rPr>
                <w:rFonts w:ascii="Times New Roman" w:hAnsi="Times New Roman" w:cs="Times New Roman"/>
                <w:i/>
              </w:rPr>
              <w:t>p</w:t>
            </w:r>
            <w:r w:rsidRPr="007D41C6">
              <w:rPr>
                <w:rFonts w:ascii="Times New Roman" w:hAnsi="Times New Roman" w:cs="Times New Roman"/>
                <w:vertAlign w:val="subscript"/>
              </w:rPr>
              <w:t>T</w:t>
            </w:r>
            <w:proofErr w:type="spellEnd"/>
            <w:r w:rsidRPr="007D41C6">
              <w:rPr>
                <w:rFonts w:ascii="Times New Roman" w:hAnsi="Times New Roman" w:cs="Times New Roman"/>
              </w:rPr>
              <w:t>=30%)</w:t>
            </w:r>
          </w:p>
        </w:tc>
        <w:tc>
          <w:tcPr>
            <w:tcW w:w="145" w:type="pct"/>
            <w:tcBorders>
              <w:top w:val="nil"/>
            </w:tcBorders>
          </w:tcPr>
          <w:p w14:paraId="2B96ECE7"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4" w:type="pct"/>
          </w:tcPr>
          <w:p w14:paraId="4E348020" w14:textId="698EEFEB"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1" w:type="pct"/>
          </w:tcPr>
          <w:p w14:paraId="4F242610"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400" w:type="pct"/>
          </w:tcPr>
          <w:p w14:paraId="38D516DE"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c>
          <w:tcPr>
            <w:tcW w:w="400" w:type="pct"/>
            <w:tcBorders>
              <w:top w:val="nil"/>
            </w:tcBorders>
          </w:tcPr>
          <w:p w14:paraId="61DB216E" w14:textId="0A6B5EED"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0" w:type="pct"/>
          </w:tcPr>
          <w:p w14:paraId="2E9E708C"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0" w:type="pct"/>
          </w:tcPr>
          <w:p w14:paraId="0F5080CE"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p>
        </w:tc>
        <w:tc>
          <w:tcPr>
            <w:tcW w:w="400" w:type="pct"/>
          </w:tcPr>
          <w:p w14:paraId="1E6A1F6D" w14:textId="77777777" w:rsidR="00EA446A" w:rsidRPr="00D66AC1"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AC1">
              <w:rPr>
                <w:rFonts w:ascii="Times New Roman" w:hAnsi="Times New Roman" w:cs="Times New Roman"/>
              </w:rPr>
              <w:t>S</w:t>
            </w:r>
          </w:p>
        </w:tc>
        <w:tc>
          <w:tcPr>
            <w:tcW w:w="400" w:type="pct"/>
          </w:tcPr>
          <w:p w14:paraId="6844621A" w14:textId="77777777" w:rsidR="00EA446A" w:rsidRPr="00491235"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91235">
              <w:rPr>
                <w:rFonts w:ascii="Times New Roman" w:hAnsi="Times New Roman" w:cs="Times New Roman"/>
                <w:b/>
              </w:rPr>
              <w:t>S</w:t>
            </w:r>
          </w:p>
        </w:tc>
        <w:tc>
          <w:tcPr>
            <w:tcW w:w="391" w:type="pct"/>
          </w:tcPr>
          <w:p w14:paraId="2274608E" w14:textId="77777777" w:rsidR="00EA446A" w:rsidRDefault="00EA446A" w:rsidP="000A7A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p>
        </w:tc>
      </w:tr>
    </w:tbl>
    <w:p w14:paraId="0C83D978" w14:textId="0AFCB850" w:rsidR="009C6B63" w:rsidRPr="00565C1A" w:rsidRDefault="009C6B63" w:rsidP="009C6B63">
      <w:pPr>
        <w:rPr>
          <w:rFonts w:ascii="Times New Roman" w:hAnsi="Times New Roman" w:cs="Times New Roman"/>
        </w:rPr>
      </w:pPr>
      <w:r>
        <w:rPr>
          <w:rFonts w:ascii="Times New Roman" w:hAnsi="Times New Roman" w:cs="Times New Roman"/>
        </w:rPr>
        <w:t xml:space="preserve">Notation: E, escalation; D, de-escalation; S, stay at same dose; Se, select the MTD; </w:t>
      </w:r>
      <w:proofErr w:type="spellStart"/>
      <w:r w:rsidRPr="009C1C10">
        <w:rPr>
          <w:rFonts w:ascii="Times New Roman" w:hAnsi="Times New Roman" w:cs="Times New Roman"/>
          <w:i/>
        </w:rPr>
        <w:t>p</w:t>
      </w:r>
      <w:r w:rsidRPr="009C1C10">
        <w:rPr>
          <w:rFonts w:ascii="Times New Roman" w:hAnsi="Times New Roman" w:cs="Times New Roman"/>
          <w:vertAlign w:val="subscript"/>
        </w:rPr>
        <w:t>T</w:t>
      </w:r>
      <w:proofErr w:type="spellEnd"/>
      <w:r>
        <w:rPr>
          <w:rFonts w:ascii="Times New Roman" w:hAnsi="Times New Roman" w:cs="Times New Roman"/>
        </w:rPr>
        <w:t>, target DLT rate.</w:t>
      </w:r>
      <w:r w:rsidR="00565C1A">
        <w:rPr>
          <w:rFonts w:ascii="Times New Roman" w:hAnsi="Times New Roman" w:cs="Times New Roman"/>
        </w:rPr>
        <w:t xml:space="preserve"> </w:t>
      </w:r>
    </w:p>
    <w:p w14:paraId="393A8E1C" w14:textId="77777777" w:rsidR="009C6B63" w:rsidRDefault="009C6B63" w:rsidP="007F6850">
      <w:pPr>
        <w:spacing w:line="480" w:lineRule="auto"/>
        <w:rPr>
          <w:rFonts w:ascii="Times New Roman" w:hAnsi="Times New Roman" w:cs="Times New Roman"/>
        </w:rPr>
      </w:pPr>
      <w:bookmarkStart w:id="0" w:name="_GoBack"/>
      <w:bookmarkEnd w:id="0"/>
    </w:p>
    <w:p w14:paraId="43F77F04" w14:textId="237B2887" w:rsidR="007F6850" w:rsidRPr="00247CEB" w:rsidRDefault="000A7ACF" w:rsidP="00D95F08">
      <w:pPr>
        <w:spacing w:line="480" w:lineRule="auto"/>
        <w:ind w:firstLine="720"/>
        <w:rPr>
          <w:rFonts w:ascii="Times New Roman" w:hAnsi="Times New Roman" w:cs="Times New Roman"/>
        </w:rPr>
      </w:pPr>
      <w:r>
        <w:rPr>
          <w:rFonts w:ascii="Times New Roman" w:hAnsi="Times New Roman" w:cs="Times New Roman"/>
        </w:rPr>
        <w:t>Another issue of using the mean sample size of the 3+3 design as the sample size for the comparative designs is that</w:t>
      </w:r>
      <w:r w:rsidR="007F6850" w:rsidRPr="00247CEB">
        <w:rPr>
          <w:rFonts w:ascii="Times New Roman" w:hAnsi="Times New Roman" w:cs="Times New Roman"/>
        </w:rPr>
        <w:t xml:space="preserve"> the average sample size of the 3+3 design somewhat informs the sample size required to reach the MTD</w:t>
      </w:r>
      <w:r w:rsidR="00D36AF7">
        <w:rPr>
          <w:rFonts w:ascii="Times New Roman" w:hAnsi="Times New Roman" w:cs="Times New Roman"/>
        </w:rPr>
        <w:t xml:space="preserve">, which </w:t>
      </w:r>
      <w:r w:rsidR="00675108">
        <w:rPr>
          <w:rFonts w:ascii="Times New Roman" w:hAnsi="Times New Roman" w:cs="Times New Roman"/>
        </w:rPr>
        <w:t>makes the</w:t>
      </w:r>
      <w:r w:rsidR="00D36AF7">
        <w:rPr>
          <w:rFonts w:ascii="Times New Roman" w:hAnsi="Times New Roman" w:cs="Times New Roman"/>
        </w:rPr>
        <w:t xml:space="preserve"> comparative</w:t>
      </w:r>
      <w:r w:rsidR="00675108">
        <w:rPr>
          <w:rFonts w:ascii="Times New Roman" w:hAnsi="Times New Roman" w:cs="Times New Roman"/>
        </w:rPr>
        <w:t xml:space="preserve"> designs</w:t>
      </w:r>
      <w:r w:rsidR="007F6850" w:rsidRPr="00247CEB">
        <w:rPr>
          <w:rFonts w:ascii="Times New Roman" w:hAnsi="Times New Roman" w:cs="Times New Roman"/>
        </w:rPr>
        <w:t xml:space="preserve"> more likely </w:t>
      </w:r>
      <w:r w:rsidR="00675108">
        <w:rPr>
          <w:rFonts w:ascii="Times New Roman" w:hAnsi="Times New Roman" w:cs="Times New Roman"/>
        </w:rPr>
        <w:t>to</w:t>
      </w:r>
      <w:r w:rsidR="007F6850" w:rsidRPr="00247CEB">
        <w:rPr>
          <w:rFonts w:ascii="Times New Roman" w:hAnsi="Times New Roman" w:cs="Times New Roman"/>
        </w:rPr>
        <w:t xml:space="preserve"> identify the MTD than the 3+3 design.</w:t>
      </w:r>
    </w:p>
    <w:p w14:paraId="08D096AC" w14:textId="77777777" w:rsidR="007F6850" w:rsidRPr="00247CEB" w:rsidRDefault="007F6850" w:rsidP="007F6850">
      <w:pPr>
        <w:jc w:val="center"/>
        <w:rPr>
          <w:rFonts w:ascii="Times New Roman" w:hAnsi="Times New Roman" w:cs="Times New Roman"/>
        </w:rPr>
      </w:pPr>
      <w:r w:rsidRPr="00247CEB">
        <w:rPr>
          <w:rFonts w:ascii="Times New Roman" w:hAnsi="Times New Roman" w:cs="Times New Roman"/>
          <w:noProof/>
        </w:rPr>
        <w:drawing>
          <wp:inline distT="0" distB="0" distL="0" distR="0" wp14:anchorId="0E50EB70" wp14:editId="5164EA4C">
            <wp:extent cx="3486150" cy="3344767"/>
            <wp:effectExtent l="0" t="0" r="0" b="8255"/>
            <wp:docPr id="1" name="Picture 1" descr="Mac HD:Users:yyuan:Dropbox:HengZhou:BOINvsmTPI:plots for paper:sample siz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yyuan:Dropbox:HengZhou:BOINvsmTPI:plots for paper:sample size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081" cy="3348539"/>
                    </a:xfrm>
                    <a:prstGeom prst="rect">
                      <a:avLst/>
                    </a:prstGeom>
                    <a:noFill/>
                    <a:ln>
                      <a:noFill/>
                    </a:ln>
                  </pic:spPr>
                </pic:pic>
              </a:graphicData>
            </a:graphic>
          </wp:inline>
        </w:drawing>
      </w:r>
    </w:p>
    <w:p w14:paraId="0C7A33BD" w14:textId="6B5E4371" w:rsidR="00B87E58" w:rsidRPr="00BA243B" w:rsidRDefault="00BA243B">
      <w:pPr>
        <w:rPr>
          <w:rFonts w:ascii="Times New Roman" w:hAnsi="Times New Roman" w:cs="Times New Roman"/>
        </w:rPr>
      </w:pPr>
      <w:proofErr w:type="gramStart"/>
      <w:r w:rsidRPr="005E2B7A">
        <w:rPr>
          <w:rFonts w:ascii="Times New Roman" w:hAnsi="Times New Roman" w:cs="Times New Roman"/>
          <w:b/>
        </w:rPr>
        <w:t>Supplementary Figure S</w:t>
      </w:r>
      <w:r w:rsidR="002460F0" w:rsidRPr="005E2B7A">
        <w:rPr>
          <w:rFonts w:ascii="Times New Roman" w:hAnsi="Times New Roman" w:cs="Times New Roman"/>
          <w:b/>
        </w:rPr>
        <w:t>1</w:t>
      </w:r>
      <w:r w:rsidR="007F6850" w:rsidRPr="005E2B7A">
        <w:rPr>
          <w:rFonts w:ascii="Times New Roman" w:hAnsi="Times New Roman" w:cs="Times New Roman"/>
          <w:b/>
        </w:rPr>
        <w:t>.</w:t>
      </w:r>
      <w:proofErr w:type="gramEnd"/>
      <w:r w:rsidR="007F6850" w:rsidRPr="00247CEB">
        <w:rPr>
          <w:rFonts w:ascii="Times New Roman" w:hAnsi="Times New Roman" w:cs="Times New Roman"/>
        </w:rPr>
        <w:t xml:space="preserve"> Sample size distribution of the 3+3 design when the true toxicity rates of 5 dose levels are 0.12, 0.2, 0.3, 0.4 and 0.5, respectively. The red vertical </w:t>
      </w:r>
      <w:r w:rsidR="007F6850" w:rsidRPr="00247CEB">
        <w:rPr>
          <w:rFonts w:ascii="Times New Roman" w:hAnsi="Times New Roman" w:cs="Times New Roman"/>
        </w:rPr>
        <w:lastRenderedPageBreak/>
        <w:t xml:space="preserve">line indicates the mean of the sample size. </w:t>
      </w:r>
      <w:r w:rsidR="00232CE8">
        <w:rPr>
          <w:rFonts w:ascii="Times New Roman" w:hAnsi="Times New Roman" w:cs="Times New Roman"/>
        </w:rPr>
        <w:t>Matching mean sample size of the 3+3 design truncates all large sample sizes.</w:t>
      </w:r>
    </w:p>
    <w:sectPr w:rsidR="00B87E58" w:rsidRPr="00BA243B" w:rsidSect="00A60136">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3BD25" w14:textId="77777777" w:rsidR="004C71CF" w:rsidRDefault="004C71CF">
      <w:r>
        <w:separator/>
      </w:r>
    </w:p>
  </w:endnote>
  <w:endnote w:type="continuationSeparator" w:id="0">
    <w:p w14:paraId="553940C6" w14:textId="77777777" w:rsidR="004C71CF" w:rsidRDefault="004C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D03C2" w14:textId="77777777" w:rsidR="002B056A" w:rsidRDefault="002B056A" w:rsidP="00874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601BF" w14:textId="77777777" w:rsidR="002B056A" w:rsidRDefault="002B056A" w:rsidP="00874A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44C5" w14:textId="77777777" w:rsidR="002B056A" w:rsidRDefault="002B056A" w:rsidP="00874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235">
      <w:rPr>
        <w:rStyle w:val="PageNumber"/>
        <w:noProof/>
      </w:rPr>
      <w:t>8</w:t>
    </w:r>
    <w:r>
      <w:rPr>
        <w:rStyle w:val="PageNumber"/>
      </w:rPr>
      <w:fldChar w:fldCharType="end"/>
    </w:r>
  </w:p>
  <w:p w14:paraId="26F2FFED" w14:textId="77777777" w:rsidR="002B056A" w:rsidRDefault="002B056A" w:rsidP="00874AA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81DA8" w14:textId="77777777" w:rsidR="004C71CF" w:rsidRDefault="004C71CF">
      <w:r>
        <w:separator/>
      </w:r>
    </w:p>
  </w:footnote>
  <w:footnote w:type="continuationSeparator" w:id="0">
    <w:p w14:paraId="11FC7C8C" w14:textId="77777777" w:rsidR="004C71CF" w:rsidRDefault="004C7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94C9A"/>
    <w:multiLevelType w:val="hybridMultilevel"/>
    <w:tmpl w:val="0760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50"/>
    <w:rsid w:val="000102B9"/>
    <w:rsid w:val="00031F7A"/>
    <w:rsid w:val="000A7ACF"/>
    <w:rsid w:val="000A7BF1"/>
    <w:rsid w:val="000E4F3A"/>
    <w:rsid w:val="0010237F"/>
    <w:rsid w:val="0010758B"/>
    <w:rsid w:val="00116520"/>
    <w:rsid w:val="001236FB"/>
    <w:rsid w:val="00124F91"/>
    <w:rsid w:val="0013362E"/>
    <w:rsid w:val="0014630D"/>
    <w:rsid w:val="001B1C7D"/>
    <w:rsid w:val="001B7130"/>
    <w:rsid w:val="001D0FDC"/>
    <w:rsid w:val="001E6A3F"/>
    <w:rsid w:val="001F24A2"/>
    <w:rsid w:val="00232CE8"/>
    <w:rsid w:val="00234C68"/>
    <w:rsid w:val="002460F0"/>
    <w:rsid w:val="002578FF"/>
    <w:rsid w:val="0027163B"/>
    <w:rsid w:val="00277562"/>
    <w:rsid w:val="002B056A"/>
    <w:rsid w:val="002D6A6E"/>
    <w:rsid w:val="002E09D5"/>
    <w:rsid w:val="00301967"/>
    <w:rsid w:val="003471F1"/>
    <w:rsid w:val="003539C8"/>
    <w:rsid w:val="00376B39"/>
    <w:rsid w:val="00377A7B"/>
    <w:rsid w:val="00387EA7"/>
    <w:rsid w:val="003B4348"/>
    <w:rsid w:val="003E1EEA"/>
    <w:rsid w:val="004339B6"/>
    <w:rsid w:val="00434492"/>
    <w:rsid w:val="00447B19"/>
    <w:rsid w:val="004620A4"/>
    <w:rsid w:val="004669DA"/>
    <w:rsid w:val="00491235"/>
    <w:rsid w:val="004938BC"/>
    <w:rsid w:val="004C71CF"/>
    <w:rsid w:val="004D5CC4"/>
    <w:rsid w:val="004D77AF"/>
    <w:rsid w:val="00517415"/>
    <w:rsid w:val="00533EC0"/>
    <w:rsid w:val="00541FC7"/>
    <w:rsid w:val="00565C1A"/>
    <w:rsid w:val="005D1FBB"/>
    <w:rsid w:val="005E2B7A"/>
    <w:rsid w:val="00600189"/>
    <w:rsid w:val="00607260"/>
    <w:rsid w:val="00637892"/>
    <w:rsid w:val="00654C63"/>
    <w:rsid w:val="00656075"/>
    <w:rsid w:val="00675108"/>
    <w:rsid w:val="006810C4"/>
    <w:rsid w:val="00697067"/>
    <w:rsid w:val="006C6A96"/>
    <w:rsid w:val="006D4FFF"/>
    <w:rsid w:val="006D5943"/>
    <w:rsid w:val="007321C8"/>
    <w:rsid w:val="00742456"/>
    <w:rsid w:val="00773ADE"/>
    <w:rsid w:val="00781A10"/>
    <w:rsid w:val="007D2356"/>
    <w:rsid w:val="007D41C6"/>
    <w:rsid w:val="007D54A8"/>
    <w:rsid w:val="007F6850"/>
    <w:rsid w:val="0081111E"/>
    <w:rsid w:val="00814CCE"/>
    <w:rsid w:val="00833CFD"/>
    <w:rsid w:val="00867065"/>
    <w:rsid w:val="00872B46"/>
    <w:rsid w:val="00874AA1"/>
    <w:rsid w:val="00884D7D"/>
    <w:rsid w:val="00885A2D"/>
    <w:rsid w:val="00894779"/>
    <w:rsid w:val="008A3093"/>
    <w:rsid w:val="008B05B1"/>
    <w:rsid w:val="00912D7C"/>
    <w:rsid w:val="0091573E"/>
    <w:rsid w:val="009227BE"/>
    <w:rsid w:val="0094296B"/>
    <w:rsid w:val="00944448"/>
    <w:rsid w:val="00945B95"/>
    <w:rsid w:val="009567B6"/>
    <w:rsid w:val="0096248A"/>
    <w:rsid w:val="00973F81"/>
    <w:rsid w:val="0099769F"/>
    <w:rsid w:val="009C5882"/>
    <w:rsid w:val="009C6B63"/>
    <w:rsid w:val="009E7611"/>
    <w:rsid w:val="00A05EA5"/>
    <w:rsid w:val="00A60136"/>
    <w:rsid w:val="00AB1561"/>
    <w:rsid w:val="00AD40F0"/>
    <w:rsid w:val="00AE646F"/>
    <w:rsid w:val="00B05150"/>
    <w:rsid w:val="00B12AB5"/>
    <w:rsid w:val="00B17D69"/>
    <w:rsid w:val="00B57125"/>
    <w:rsid w:val="00B63722"/>
    <w:rsid w:val="00B834D2"/>
    <w:rsid w:val="00B87E58"/>
    <w:rsid w:val="00BA243B"/>
    <w:rsid w:val="00BB4DA8"/>
    <w:rsid w:val="00BD24F4"/>
    <w:rsid w:val="00BD28D0"/>
    <w:rsid w:val="00BD3D29"/>
    <w:rsid w:val="00BD5728"/>
    <w:rsid w:val="00BE6DF4"/>
    <w:rsid w:val="00BF18A0"/>
    <w:rsid w:val="00BF267C"/>
    <w:rsid w:val="00BF352A"/>
    <w:rsid w:val="00C14E29"/>
    <w:rsid w:val="00C73533"/>
    <w:rsid w:val="00C83D80"/>
    <w:rsid w:val="00C8714F"/>
    <w:rsid w:val="00CD1EB6"/>
    <w:rsid w:val="00CE590D"/>
    <w:rsid w:val="00CF5170"/>
    <w:rsid w:val="00D11637"/>
    <w:rsid w:val="00D30AD9"/>
    <w:rsid w:val="00D36AF7"/>
    <w:rsid w:val="00D72934"/>
    <w:rsid w:val="00D95F08"/>
    <w:rsid w:val="00DD49A2"/>
    <w:rsid w:val="00DE29BD"/>
    <w:rsid w:val="00E25ECD"/>
    <w:rsid w:val="00E75E00"/>
    <w:rsid w:val="00E83386"/>
    <w:rsid w:val="00EA2555"/>
    <w:rsid w:val="00EA446A"/>
    <w:rsid w:val="00EC7E5C"/>
    <w:rsid w:val="00ED443C"/>
    <w:rsid w:val="00ED4C18"/>
    <w:rsid w:val="00FB4139"/>
    <w:rsid w:val="00FF4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B4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50"/>
    <w:pPr>
      <w:ind w:left="720"/>
      <w:contextualSpacing/>
    </w:pPr>
  </w:style>
  <w:style w:type="table" w:styleId="LightList-Accent1">
    <w:name w:val="Light List Accent 1"/>
    <w:basedOn w:val="TableNormal"/>
    <w:uiPriority w:val="61"/>
    <w:rsid w:val="007F68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F6850"/>
    <w:rPr>
      <w:color w:val="0000FF" w:themeColor="hyperlink"/>
      <w:u w:val="single"/>
    </w:rPr>
  </w:style>
  <w:style w:type="table" w:styleId="LightShading">
    <w:name w:val="Light Shading"/>
    <w:basedOn w:val="TableNormal"/>
    <w:uiPriority w:val="60"/>
    <w:rsid w:val="007F6850"/>
    <w:rPr>
      <w:color w:val="000000" w:themeColor="text1" w:themeShade="BF"/>
      <w:sz w:val="22"/>
      <w:szCs w:val="22"/>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7F6850"/>
    <w:pPr>
      <w:tabs>
        <w:tab w:val="center" w:pos="4320"/>
        <w:tab w:val="right" w:pos="8640"/>
      </w:tabs>
    </w:pPr>
  </w:style>
  <w:style w:type="character" w:customStyle="1" w:styleId="FooterChar">
    <w:name w:val="Footer Char"/>
    <w:basedOn w:val="DefaultParagraphFont"/>
    <w:link w:val="Footer"/>
    <w:uiPriority w:val="99"/>
    <w:rsid w:val="007F6850"/>
  </w:style>
  <w:style w:type="character" w:styleId="PageNumber">
    <w:name w:val="page number"/>
    <w:basedOn w:val="DefaultParagraphFont"/>
    <w:uiPriority w:val="99"/>
    <w:semiHidden/>
    <w:unhideWhenUsed/>
    <w:rsid w:val="007F6850"/>
  </w:style>
  <w:style w:type="paragraph" w:styleId="BalloonText">
    <w:name w:val="Balloon Text"/>
    <w:basedOn w:val="Normal"/>
    <w:link w:val="BalloonTextChar"/>
    <w:uiPriority w:val="99"/>
    <w:semiHidden/>
    <w:unhideWhenUsed/>
    <w:rsid w:val="007F68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8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4938BC"/>
    <w:rPr>
      <w:sz w:val="16"/>
      <w:szCs w:val="16"/>
    </w:rPr>
  </w:style>
  <w:style w:type="paragraph" w:styleId="CommentText">
    <w:name w:val="annotation text"/>
    <w:basedOn w:val="Normal"/>
    <w:link w:val="CommentTextChar"/>
    <w:uiPriority w:val="99"/>
    <w:semiHidden/>
    <w:unhideWhenUsed/>
    <w:rsid w:val="004938BC"/>
    <w:rPr>
      <w:sz w:val="20"/>
      <w:szCs w:val="20"/>
    </w:rPr>
  </w:style>
  <w:style w:type="character" w:customStyle="1" w:styleId="CommentTextChar">
    <w:name w:val="Comment Text Char"/>
    <w:basedOn w:val="DefaultParagraphFont"/>
    <w:link w:val="CommentText"/>
    <w:uiPriority w:val="99"/>
    <w:semiHidden/>
    <w:rsid w:val="004938BC"/>
    <w:rPr>
      <w:sz w:val="20"/>
      <w:szCs w:val="20"/>
    </w:rPr>
  </w:style>
  <w:style w:type="paragraph" w:styleId="CommentSubject">
    <w:name w:val="annotation subject"/>
    <w:basedOn w:val="CommentText"/>
    <w:next w:val="CommentText"/>
    <w:link w:val="CommentSubjectChar"/>
    <w:uiPriority w:val="99"/>
    <w:semiHidden/>
    <w:unhideWhenUsed/>
    <w:rsid w:val="004938BC"/>
    <w:rPr>
      <w:b/>
      <w:bCs/>
    </w:rPr>
  </w:style>
  <w:style w:type="character" w:customStyle="1" w:styleId="CommentSubjectChar">
    <w:name w:val="Comment Subject Char"/>
    <w:basedOn w:val="CommentTextChar"/>
    <w:link w:val="CommentSubject"/>
    <w:uiPriority w:val="99"/>
    <w:semiHidden/>
    <w:rsid w:val="004938BC"/>
    <w:rPr>
      <w:b/>
      <w:bCs/>
      <w:sz w:val="20"/>
      <w:szCs w:val="20"/>
    </w:rPr>
  </w:style>
  <w:style w:type="table" w:styleId="TableGrid">
    <w:name w:val="Table Grid"/>
    <w:basedOn w:val="TableNormal"/>
    <w:uiPriority w:val="59"/>
    <w:rsid w:val="009C6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3C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50"/>
    <w:pPr>
      <w:ind w:left="720"/>
      <w:contextualSpacing/>
    </w:pPr>
  </w:style>
  <w:style w:type="table" w:styleId="LightList-Accent1">
    <w:name w:val="Light List Accent 1"/>
    <w:basedOn w:val="TableNormal"/>
    <w:uiPriority w:val="61"/>
    <w:rsid w:val="007F685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F6850"/>
    <w:rPr>
      <w:color w:val="0000FF" w:themeColor="hyperlink"/>
      <w:u w:val="single"/>
    </w:rPr>
  </w:style>
  <w:style w:type="table" w:styleId="LightShading">
    <w:name w:val="Light Shading"/>
    <w:basedOn w:val="TableNormal"/>
    <w:uiPriority w:val="60"/>
    <w:rsid w:val="007F6850"/>
    <w:rPr>
      <w:color w:val="000000" w:themeColor="text1" w:themeShade="BF"/>
      <w:sz w:val="22"/>
      <w:szCs w:val="22"/>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7F6850"/>
    <w:pPr>
      <w:tabs>
        <w:tab w:val="center" w:pos="4320"/>
        <w:tab w:val="right" w:pos="8640"/>
      </w:tabs>
    </w:pPr>
  </w:style>
  <w:style w:type="character" w:customStyle="1" w:styleId="FooterChar">
    <w:name w:val="Footer Char"/>
    <w:basedOn w:val="DefaultParagraphFont"/>
    <w:link w:val="Footer"/>
    <w:uiPriority w:val="99"/>
    <w:rsid w:val="007F6850"/>
  </w:style>
  <w:style w:type="character" w:styleId="PageNumber">
    <w:name w:val="page number"/>
    <w:basedOn w:val="DefaultParagraphFont"/>
    <w:uiPriority w:val="99"/>
    <w:semiHidden/>
    <w:unhideWhenUsed/>
    <w:rsid w:val="007F6850"/>
  </w:style>
  <w:style w:type="paragraph" w:styleId="BalloonText">
    <w:name w:val="Balloon Text"/>
    <w:basedOn w:val="Normal"/>
    <w:link w:val="BalloonTextChar"/>
    <w:uiPriority w:val="99"/>
    <w:semiHidden/>
    <w:unhideWhenUsed/>
    <w:rsid w:val="007F68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850"/>
    <w:rPr>
      <w:rFonts w:ascii="Lucida Grande" w:hAnsi="Lucida Grande" w:cs="Lucida Grande"/>
      <w:sz w:val="18"/>
      <w:szCs w:val="18"/>
    </w:rPr>
  </w:style>
  <w:style w:type="character" w:styleId="CommentReference">
    <w:name w:val="annotation reference"/>
    <w:basedOn w:val="DefaultParagraphFont"/>
    <w:uiPriority w:val="99"/>
    <w:semiHidden/>
    <w:unhideWhenUsed/>
    <w:rsid w:val="004938BC"/>
    <w:rPr>
      <w:sz w:val="16"/>
      <w:szCs w:val="16"/>
    </w:rPr>
  </w:style>
  <w:style w:type="paragraph" w:styleId="CommentText">
    <w:name w:val="annotation text"/>
    <w:basedOn w:val="Normal"/>
    <w:link w:val="CommentTextChar"/>
    <w:uiPriority w:val="99"/>
    <w:semiHidden/>
    <w:unhideWhenUsed/>
    <w:rsid w:val="004938BC"/>
    <w:rPr>
      <w:sz w:val="20"/>
      <w:szCs w:val="20"/>
    </w:rPr>
  </w:style>
  <w:style w:type="character" w:customStyle="1" w:styleId="CommentTextChar">
    <w:name w:val="Comment Text Char"/>
    <w:basedOn w:val="DefaultParagraphFont"/>
    <w:link w:val="CommentText"/>
    <w:uiPriority w:val="99"/>
    <w:semiHidden/>
    <w:rsid w:val="004938BC"/>
    <w:rPr>
      <w:sz w:val="20"/>
      <w:szCs w:val="20"/>
    </w:rPr>
  </w:style>
  <w:style w:type="paragraph" w:styleId="CommentSubject">
    <w:name w:val="annotation subject"/>
    <w:basedOn w:val="CommentText"/>
    <w:next w:val="CommentText"/>
    <w:link w:val="CommentSubjectChar"/>
    <w:uiPriority w:val="99"/>
    <w:semiHidden/>
    <w:unhideWhenUsed/>
    <w:rsid w:val="004938BC"/>
    <w:rPr>
      <w:b/>
      <w:bCs/>
    </w:rPr>
  </w:style>
  <w:style w:type="character" w:customStyle="1" w:styleId="CommentSubjectChar">
    <w:name w:val="Comment Subject Char"/>
    <w:basedOn w:val="CommentTextChar"/>
    <w:link w:val="CommentSubject"/>
    <w:uiPriority w:val="99"/>
    <w:semiHidden/>
    <w:rsid w:val="004938BC"/>
    <w:rPr>
      <w:b/>
      <w:bCs/>
      <w:sz w:val="20"/>
      <w:szCs w:val="20"/>
    </w:rPr>
  </w:style>
  <w:style w:type="table" w:styleId="TableGrid">
    <w:name w:val="Table Grid"/>
    <w:basedOn w:val="TableNormal"/>
    <w:uiPriority w:val="59"/>
    <w:rsid w:val="009C6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3C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4D36E-808E-4FEB-9254-1264B113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Mooney, Corinne</cp:lastModifiedBy>
  <cp:revision>64</cp:revision>
  <dcterms:created xsi:type="dcterms:W3CDTF">2016-06-14T18:15:00Z</dcterms:created>
  <dcterms:modified xsi:type="dcterms:W3CDTF">2016-06-29T15:12:00Z</dcterms:modified>
</cp:coreProperties>
</file>