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1B2E7" w14:textId="77777777" w:rsidR="00EB7F9B" w:rsidRPr="00EB7F9B" w:rsidRDefault="00EB7F9B" w:rsidP="00EB7F9B">
      <w:pPr>
        <w:autoSpaceDE w:val="0"/>
        <w:autoSpaceDN w:val="0"/>
        <w:adjustRightInd w:val="0"/>
        <w:spacing w:line="360" w:lineRule="auto"/>
        <w:jc w:val="left"/>
        <w:rPr>
          <w:rFonts w:ascii="黑体" w:eastAsia="黑体" w:cs="黑体"/>
          <w:kern w:val="0"/>
          <w:sz w:val="48"/>
          <w:szCs w:val="48"/>
          <w:lang w:val="zh-CN"/>
        </w:rPr>
      </w:pPr>
      <w:r w:rsidRPr="00EB7F9B">
        <w:rPr>
          <w:rFonts w:ascii="黑体" w:eastAsia="黑体" w:cs="黑体" w:hint="eastAsia"/>
          <w:kern w:val="0"/>
          <w:sz w:val="48"/>
          <w:szCs w:val="48"/>
          <w:lang w:val="zh-CN"/>
        </w:rPr>
        <w:t>具有可调拓扑结构的光学</w:t>
      </w:r>
      <w:r w:rsidRPr="00EB7F9B">
        <w:rPr>
          <w:rFonts w:ascii="黑体" w:eastAsia="黑体" w:cs="黑体"/>
          <w:kern w:val="0"/>
          <w:sz w:val="48"/>
          <w:szCs w:val="48"/>
          <w:lang w:val="zh-CN"/>
        </w:rPr>
        <w:t>Skyrmion</w:t>
      </w:r>
      <w:r w:rsidRPr="00EB7F9B">
        <w:rPr>
          <w:rFonts w:ascii="黑体" w:eastAsia="黑体" w:cs="黑体" w:hint="eastAsia"/>
          <w:kern w:val="0"/>
          <w:sz w:val="48"/>
          <w:szCs w:val="48"/>
          <w:lang w:val="zh-CN"/>
        </w:rPr>
        <w:t>的生成</w:t>
      </w:r>
    </w:p>
    <w:p w14:paraId="5D230261" w14:textId="77777777" w:rsidR="00EB7F9B" w:rsidRDefault="00EB7F9B" w:rsidP="00EB7F9B">
      <w:pPr>
        <w:spacing w:line="360" w:lineRule="auto"/>
        <w:rPr>
          <w:rFonts w:ascii="黑体" w:eastAsia="黑体" w:hAnsi="黑体"/>
          <w:sz w:val="24"/>
          <w:szCs w:val="24"/>
        </w:rPr>
      </w:pPr>
      <w:r w:rsidRPr="009910C8">
        <w:rPr>
          <w:rFonts w:ascii="黑体" w:eastAsia="黑体" w:hAnsi="黑体" w:hint="eastAsia"/>
          <w:sz w:val="24"/>
          <w:szCs w:val="24"/>
          <w:highlight w:val="yellow"/>
        </w:rPr>
        <w:t>摘要：</w:t>
      </w:r>
    </w:p>
    <w:p w14:paraId="697DBC3E" w14:textId="290AC0B7" w:rsidR="00EF5A5E" w:rsidRDefault="00EB7F9B" w:rsidP="00EB7F9B">
      <w:pPr>
        <w:spacing w:line="360" w:lineRule="auto"/>
        <w:rPr>
          <w:rFonts w:ascii="黑体" w:eastAsia="黑体" w:hAnsi="黑体"/>
          <w:sz w:val="24"/>
          <w:szCs w:val="24"/>
        </w:rPr>
      </w:pPr>
      <w:r w:rsidRPr="00EB7F9B">
        <w:rPr>
          <w:rFonts w:ascii="黑体" w:eastAsia="黑体" w:hAnsi="黑体" w:hint="eastAsia"/>
          <w:sz w:val="24"/>
          <w:szCs w:val="24"/>
        </w:rPr>
        <w:t>近年来，光学类</w:t>
      </w:r>
      <w:r w:rsidRPr="00EB7F9B">
        <w:rPr>
          <w:rFonts w:ascii="黑体" w:eastAsia="黑体" w:hAnsi="黑体"/>
          <w:sz w:val="24"/>
          <w:szCs w:val="24"/>
        </w:rPr>
        <w:t>skyrmion，即光中具有复杂矢量结构的拓扑准粒子，受到了越来越多的关注。在这里，我们</w:t>
      </w:r>
      <w:r w:rsidRPr="005B7EC5">
        <w:rPr>
          <w:rFonts w:ascii="黑体" w:eastAsia="黑体" w:hAnsi="黑体"/>
          <w:sz w:val="24"/>
          <w:szCs w:val="24"/>
          <w:highlight w:val="yellow"/>
        </w:rPr>
        <w:t>从理论和实验上提出了一个广义的系列，即可调谐光学skyrmion，揭示了通过简单的参数调谐在各种skyrmionic拓扑之间进行转换的新机制，包括Neel、Bloch和antiskyrmion类型。此外，</w:t>
      </w:r>
      <w:r w:rsidR="006E7912" w:rsidRPr="005B7EC5">
        <w:rPr>
          <w:rFonts w:ascii="黑体" w:eastAsia="黑体" w:hAnsi="黑体" w:hint="eastAsia"/>
          <w:sz w:val="24"/>
          <w:szCs w:val="24"/>
          <w:highlight w:val="yellow"/>
        </w:rPr>
        <w:t>提出了几何</w:t>
      </w:r>
      <w:r w:rsidR="006E7912" w:rsidRPr="005B7EC5">
        <w:rPr>
          <w:rFonts w:ascii="黑体" w:eastAsia="黑体" w:hAnsi="黑体"/>
          <w:sz w:val="24"/>
          <w:szCs w:val="24"/>
          <w:highlight w:val="yellow"/>
        </w:rPr>
        <w:t>Skyrme</w:t>
      </w:r>
      <w:r w:rsidR="006E7912" w:rsidRPr="005B7EC5">
        <w:rPr>
          <w:rFonts w:ascii="微软雅黑" w:eastAsia="微软雅黑" w:hAnsi="微软雅黑" w:cs="微软雅黑" w:hint="eastAsia"/>
          <w:sz w:val="24"/>
          <w:szCs w:val="24"/>
          <w:highlight w:val="yellow"/>
        </w:rPr>
        <w:t>−</w:t>
      </w:r>
      <w:r w:rsidR="006E7912" w:rsidRPr="005B7EC5">
        <w:rPr>
          <w:rFonts w:ascii="黑体" w:eastAsia="黑体" w:hAnsi="黑体"/>
          <w:sz w:val="24"/>
          <w:szCs w:val="24"/>
          <w:highlight w:val="yellow"/>
        </w:rPr>
        <w:t>Poincare</w:t>
      </w:r>
      <w:r w:rsidR="006E7912" w:rsidRPr="005B7EC5">
        <w:rPr>
          <w:rFonts w:ascii="黑体" w:eastAsia="黑体" w:hAnsi="黑体" w:hint="eastAsia"/>
          <w:sz w:val="24"/>
          <w:szCs w:val="24"/>
          <w:highlight w:val="yellow"/>
        </w:rPr>
        <w:t>表示法来可视化可调</w:t>
      </w:r>
      <w:r w:rsidR="006E7912" w:rsidRPr="005B7EC5">
        <w:rPr>
          <w:rFonts w:ascii="黑体" w:eastAsia="黑体" w:hAnsi="黑体"/>
          <w:sz w:val="24"/>
          <w:szCs w:val="24"/>
          <w:highlight w:val="yellow"/>
        </w:rPr>
        <w:t>skyrmion的完整拓扑演化，我们称之为skyrmion</w:t>
      </w:r>
      <w:r w:rsidR="006E7912" w:rsidRPr="005B7EC5">
        <w:rPr>
          <w:rFonts w:ascii="黑体" w:eastAsia="黑体" w:hAnsi="黑体" w:hint="eastAsia"/>
          <w:sz w:val="24"/>
          <w:szCs w:val="24"/>
          <w:highlight w:val="yellow"/>
        </w:rPr>
        <w:t>圆环面</w:t>
      </w:r>
      <w:r w:rsidR="006E7912" w:rsidRPr="005B7EC5">
        <w:rPr>
          <w:rFonts w:ascii="黑体" w:eastAsia="黑体" w:hAnsi="黑体"/>
          <w:sz w:val="24"/>
          <w:szCs w:val="24"/>
          <w:highlight w:val="yellow"/>
        </w:rPr>
        <w:t>。</w:t>
      </w:r>
      <w:r w:rsidRPr="00EB7F9B">
        <w:rPr>
          <w:rFonts w:ascii="黑体" w:eastAsia="黑体" w:hAnsi="黑体"/>
          <w:sz w:val="24"/>
          <w:szCs w:val="24"/>
        </w:rPr>
        <w:t>为了在实验上产生可调谐光学</w:t>
      </w:r>
      <w:r w:rsidR="00967375" w:rsidRPr="00EB7F9B">
        <w:rPr>
          <w:rFonts w:ascii="黑体" w:eastAsia="黑体" w:hAnsi="黑体"/>
          <w:sz w:val="24"/>
          <w:szCs w:val="24"/>
        </w:rPr>
        <w:t>skyrmion</w:t>
      </w:r>
      <w:r w:rsidRPr="00EB7F9B">
        <w:rPr>
          <w:rFonts w:ascii="黑体" w:eastAsia="黑体" w:hAnsi="黑体"/>
          <w:sz w:val="24"/>
          <w:szCs w:val="24"/>
        </w:rPr>
        <w:t>，我们实现了一个基于空间光调制器的数</w:t>
      </w:r>
      <w:r w:rsidRPr="00EB7F9B">
        <w:rPr>
          <w:rFonts w:ascii="黑体" w:eastAsia="黑体" w:hAnsi="黑体" w:hint="eastAsia"/>
          <w:sz w:val="24"/>
          <w:szCs w:val="24"/>
        </w:rPr>
        <w:t>字全息系统，其结果与我们的理论预测非常吻合。</w:t>
      </w:r>
    </w:p>
    <w:p w14:paraId="7B803BE0" w14:textId="0185F139" w:rsidR="00EB7F9B" w:rsidRDefault="00EB7F9B" w:rsidP="00EB7F9B">
      <w:pPr>
        <w:spacing w:line="360" w:lineRule="auto"/>
        <w:rPr>
          <w:rFonts w:ascii="黑体" w:eastAsia="黑体" w:hAnsi="黑体"/>
          <w:sz w:val="24"/>
          <w:szCs w:val="24"/>
        </w:rPr>
      </w:pPr>
    </w:p>
    <w:p w14:paraId="0A83BA1A" w14:textId="544DAFF4" w:rsidR="00EB7F9B" w:rsidRDefault="00EB7F9B" w:rsidP="00EB7F9B">
      <w:pPr>
        <w:spacing w:line="360" w:lineRule="auto"/>
        <w:rPr>
          <w:rFonts w:ascii="黑体" w:eastAsia="黑体" w:hAnsi="黑体"/>
          <w:sz w:val="24"/>
          <w:szCs w:val="24"/>
        </w:rPr>
      </w:pPr>
      <w:r w:rsidRPr="009910C8">
        <w:rPr>
          <w:rFonts w:ascii="黑体" w:eastAsia="黑体" w:hAnsi="黑体" w:hint="eastAsia"/>
          <w:sz w:val="24"/>
          <w:szCs w:val="24"/>
          <w:highlight w:val="yellow"/>
        </w:rPr>
        <w:t>关键词：</w:t>
      </w:r>
      <w:r w:rsidRPr="00EB7F9B">
        <w:rPr>
          <w:rFonts w:ascii="黑体" w:eastAsia="黑体" w:hAnsi="黑体"/>
          <w:sz w:val="24"/>
          <w:szCs w:val="24"/>
        </w:rPr>
        <w:t>skyrmion，拓扑学，结构光，矢量光束，空间光调制器，轨道角动量</w:t>
      </w:r>
    </w:p>
    <w:p w14:paraId="436415AE" w14:textId="71A09F95" w:rsidR="00EB7F9B" w:rsidRDefault="00EB7F9B" w:rsidP="00EB7F9B">
      <w:pPr>
        <w:spacing w:line="360" w:lineRule="auto"/>
        <w:rPr>
          <w:rFonts w:ascii="黑体" w:eastAsia="黑体" w:hAnsi="黑体"/>
          <w:sz w:val="24"/>
          <w:szCs w:val="24"/>
        </w:rPr>
      </w:pPr>
    </w:p>
    <w:p w14:paraId="3CD07404" w14:textId="77777777" w:rsidR="00EB7F9B" w:rsidRPr="00EB7F9B" w:rsidRDefault="00EB7F9B" w:rsidP="00EB7F9B">
      <w:pPr>
        <w:spacing w:line="360" w:lineRule="auto"/>
        <w:rPr>
          <w:rFonts w:ascii="黑体" w:eastAsia="黑体" w:hAnsi="黑体"/>
          <w:sz w:val="24"/>
          <w:szCs w:val="24"/>
        </w:rPr>
      </w:pPr>
      <w:r w:rsidRPr="00EB7F9B">
        <w:rPr>
          <w:rFonts w:ascii="黑体" w:eastAsia="黑体" w:hAnsi="黑体"/>
          <w:sz w:val="24"/>
          <w:szCs w:val="24"/>
        </w:rPr>
        <w:t>Skyrmion是高能物理中拓扑保护的准粒子，是具有明显矢量结构的凝聚态物质。这一概念最近被光学和光子学界确定为一个前沿话题。</w:t>
      </w:r>
    </w:p>
    <w:p w14:paraId="3A16FC22" w14:textId="1C5F4C52" w:rsidR="00EB7F9B" w:rsidRDefault="00EB7F9B" w:rsidP="00EB7F9B">
      <w:pPr>
        <w:spacing w:line="360" w:lineRule="auto"/>
        <w:rPr>
          <w:rFonts w:ascii="黑体" w:eastAsia="黑体" w:hAnsi="黑体"/>
          <w:sz w:val="24"/>
          <w:szCs w:val="24"/>
        </w:rPr>
      </w:pPr>
      <w:r w:rsidRPr="00EB7F9B">
        <w:rPr>
          <w:rFonts w:ascii="黑体" w:eastAsia="黑体" w:hAnsi="黑体" w:hint="eastAsia"/>
          <w:sz w:val="24"/>
          <w:szCs w:val="24"/>
        </w:rPr>
        <w:t>最近，</w:t>
      </w:r>
      <w:r w:rsidRPr="00EB7F9B">
        <w:rPr>
          <w:rFonts w:ascii="黑体" w:eastAsia="黑体" w:hAnsi="黑体"/>
          <w:sz w:val="24"/>
          <w:szCs w:val="24"/>
        </w:rPr>
        <w:t>skyrmion作为最先进的光学结构被建造在光学领域，并被称为光学skyrmions。它们首先是在倏逝波电场中产生的，然后是由不同类型的光场构成的不同形式，例如受限自由空间波的自旋场、傍轴矢量束的斯托克斯矢量、传播光脉冲中的磁矢量以及光子晶体中的伪自旋。光学Skyrmion的发明在纳米计量学、深亚波长显微镜、超快矢量成像和拓扑霍尔器件等领域具有广阔的应用前景，拓宽了现代基础物理和应用物理的前沿。</w:t>
      </w:r>
    </w:p>
    <w:p w14:paraId="0EFFAED9" w14:textId="01E37222" w:rsidR="00EB7F9B" w:rsidRDefault="00EB7F9B" w:rsidP="00EB7F9B">
      <w:pPr>
        <w:spacing w:line="360" w:lineRule="auto"/>
        <w:rPr>
          <w:rFonts w:ascii="黑体" w:eastAsia="黑体" w:hAnsi="黑体"/>
          <w:sz w:val="24"/>
          <w:szCs w:val="24"/>
        </w:rPr>
      </w:pPr>
    </w:p>
    <w:p w14:paraId="6B656611" w14:textId="77777777" w:rsidR="009910C8" w:rsidRPr="009910C8" w:rsidRDefault="009910C8" w:rsidP="009910C8">
      <w:pPr>
        <w:spacing w:line="360" w:lineRule="auto"/>
        <w:rPr>
          <w:rFonts w:ascii="黑体" w:eastAsia="黑体" w:hAnsi="黑体"/>
          <w:sz w:val="24"/>
          <w:szCs w:val="24"/>
        </w:rPr>
      </w:pPr>
      <w:r w:rsidRPr="009910C8">
        <w:rPr>
          <w:rFonts w:ascii="黑体" w:eastAsia="黑体" w:hAnsi="黑体"/>
          <w:sz w:val="24"/>
          <w:szCs w:val="24"/>
        </w:rPr>
        <w:t>skyrmions的进步主要在于其多功能拓扑结构，为矢量场的形状和信息编码提供了新的自由度。</w:t>
      </w:r>
    </w:p>
    <w:p w14:paraId="0D9E37C7" w14:textId="2614A64F" w:rsidR="00EB7F9B" w:rsidRDefault="009910C8" w:rsidP="009910C8">
      <w:pPr>
        <w:spacing w:line="360" w:lineRule="auto"/>
        <w:rPr>
          <w:rFonts w:ascii="黑体" w:eastAsia="黑体" w:hAnsi="黑体"/>
          <w:sz w:val="24"/>
          <w:szCs w:val="24"/>
        </w:rPr>
      </w:pPr>
      <w:r w:rsidRPr="005B7EC5">
        <w:rPr>
          <w:rFonts w:ascii="黑体" w:eastAsia="黑体" w:hAnsi="黑体"/>
          <w:sz w:val="24"/>
          <w:szCs w:val="24"/>
          <w:highlight w:val="yellow"/>
        </w:rPr>
        <w:t>skyrmionic构型可映射到真实空间磁性材料中，并可分为不同的拓扑结构，包括Neel型、Bloch型和反skyrmion型。</w:t>
      </w:r>
      <w:r w:rsidRPr="009910C8">
        <w:rPr>
          <w:rFonts w:ascii="黑体" w:eastAsia="黑体" w:hAnsi="黑体"/>
          <w:sz w:val="24"/>
          <w:szCs w:val="24"/>
        </w:rPr>
        <w:t>然而，控制光学</w:t>
      </w:r>
      <w:r w:rsidR="005B7EC5" w:rsidRPr="009910C8">
        <w:rPr>
          <w:rFonts w:ascii="黑体" w:eastAsia="黑体" w:hAnsi="黑体"/>
          <w:sz w:val="24"/>
          <w:szCs w:val="24"/>
        </w:rPr>
        <w:t>skyrmion</w:t>
      </w:r>
      <w:r w:rsidRPr="009910C8">
        <w:rPr>
          <w:rFonts w:ascii="黑体" w:eastAsia="黑体" w:hAnsi="黑体"/>
          <w:sz w:val="24"/>
          <w:szCs w:val="24"/>
        </w:rPr>
        <w:t>的不同拓扑结构是一个新兴的话题，目前仍处于初级阶段。作为光学skyrmion的第一种方案，等离子</w:t>
      </w:r>
      <w:r w:rsidRPr="009910C8">
        <w:rPr>
          <w:rFonts w:ascii="黑体" w:eastAsia="黑体" w:hAnsi="黑体"/>
          <w:sz w:val="24"/>
          <w:szCs w:val="24"/>
        </w:rPr>
        <w:lastRenderedPageBreak/>
        <w:t>体表面上的倏逝电场只能形成Neel型skyrmions。一年前，报道了一项关于控制在Neel和Bloch类型之间的等离子体skyrmion的研究，但不久之后，这种Bloch类型的skyrmions就被推翻了。最近在光学手性多层膜中报道了Bloch型光学skyrmion的无漏洞观测。对于自由空间中的光学skyrmion，在紧聚焦涡旋光束的自旋场中证明了一个Bloch型skyrmi。不久之后，近轴矢量束的Stokes矢量和紧密聚焦矢量束的自旋场理论上都提出了Neel-和Bloch型skyrmion。探索具有扩展拓扑的中间类skyrmion态也非常重要，例如磁光中meron（半电荷skyrmio）和</w:t>
      </w:r>
      <w:r w:rsidR="004316F6">
        <w:rPr>
          <w:rFonts w:ascii="黑体" w:eastAsia="黑体" w:hAnsi="黑体"/>
          <w:sz w:val="24"/>
          <w:szCs w:val="24"/>
        </w:rPr>
        <w:t>skyrmion</w:t>
      </w:r>
      <w:r w:rsidRPr="009910C8">
        <w:rPr>
          <w:rFonts w:ascii="黑体" w:eastAsia="黑体" w:hAnsi="黑体"/>
          <w:sz w:val="24"/>
          <w:szCs w:val="24"/>
        </w:rPr>
        <w:t>之间的中间态。然而，对于自由空间中拓扑结构可调的skyrmion，还没有实验结果报道。此外，光学反</w:t>
      </w:r>
      <w:r w:rsidR="005B7EC5" w:rsidRPr="009910C8">
        <w:rPr>
          <w:rFonts w:ascii="黑体" w:eastAsia="黑体" w:hAnsi="黑体"/>
          <w:sz w:val="24"/>
          <w:szCs w:val="24"/>
        </w:rPr>
        <w:t>skyrmion</w:t>
      </w:r>
      <w:r w:rsidR="005B7EC5">
        <w:rPr>
          <w:rFonts w:ascii="黑体" w:eastAsia="黑体" w:hAnsi="黑体" w:hint="eastAsia"/>
          <w:sz w:val="24"/>
          <w:szCs w:val="24"/>
        </w:rPr>
        <w:t>s</w:t>
      </w:r>
      <w:r w:rsidRPr="009910C8">
        <w:rPr>
          <w:rFonts w:ascii="黑体" w:eastAsia="黑体" w:hAnsi="黑体"/>
          <w:sz w:val="24"/>
          <w:szCs w:val="24"/>
        </w:rPr>
        <w:t>的概念尚未实现。</w:t>
      </w:r>
    </w:p>
    <w:p w14:paraId="416A8F16" w14:textId="30000666" w:rsidR="009910C8" w:rsidRDefault="009910C8" w:rsidP="009910C8">
      <w:pPr>
        <w:spacing w:line="360" w:lineRule="auto"/>
        <w:rPr>
          <w:rFonts w:ascii="黑体" w:eastAsia="黑体" w:hAnsi="黑体"/>
          <w:sz w:val="24"/>
          <w:szCs w:val="24"/>
        </w:rPr>
      </w:pPr>
    </w:p>
    <w:p w14:paraId="0C0254DE" w14:textId="1FFC270E" w:rsidR="009910C8" w:rsidRDefault="009910C8" w:rsidP="009910C8">
      <w:pPr>
        <w:spacing w:line="360" w:lineRule="auto"/>
        <w:rPr>
          <w:rFonts w:ascii="黑体" w:eastAsia="黑体" w:hAnsi="黑体"/>
          <w:sz w:val="24"/>
          <w:szCs w:val="24"/>
        </w:rPr>
      </w:pPr>
      <w:r w:rsidRPr="00A42175">
        <w:rPr>
          <w:rFonts w:ascii="黑体" w:eastAsia="黑体" w:hAnsi="黑体" w:hint="eastAsia"/>
          <w:sz w:val="24"/>
          <w:szCs w:val="24"/>
          <w:highlight w:val="yellow"/>
        </w:rPr>
        <w:t>本文提出了一个封闭形式的表达式来表征一类一般的光学</w:t>
      </w:r>
      <w:r w:rsidRPr="00A42175">
        <w:rPr>
          <w:rFonts w:ascii="黑体" w:eastAsia="黑体" w:hAnsi="黑体"/>
          <w:sz w:val="24"/>
          <w:szCs w:val="24"/>
          <w:highlight w:val="yellow"/>
        </w:rPr>
        <w:t>skyrmion，其中具有不同纹理（Neel、Bloch和antiskyrmion类型）的skyrmions可以通过简单的参数调整在彼此之间进行拓扑变换。此外，提出了一种新的几何模型skyrmion环面，用于普遍映射可调谐光学skyrmions的拓扑变换。</w:t>
      </w:r>
      <w:r w:rsidRPr="009910C8">
        <w:rPr>
          <w:rFonts w:ascii="黑体" w:eastAsia="黑体" w:hAnsi="黑体"/>
          <w:sz w:val="24"/>
          <w:szCs w:val="24"/>
        </w:rPr>
        <w:t>重要的是，我们在数字全息系统控制的结构矢量光束中实验生成了具有所有拓扑类型的可调谐光学skyrmion，与理论预测非常一致。</w:t>
      </w:r>
    </w:p>
    <w:p w14:paraId="38B68DDB" w14:textId="4E6CD6D6" w:rsidR="009910C8" w:rsidRDefault="009910C8" w:rsidP="009910C8">
      <w:pPr>
        <w:spacing w:line="360" w:lineRule="auto"/>
        <w:rPr>
          <w:rFonts w:ascii="黑体" w:eastAsia="黑体" w:hAnsi="黑体"/>
          <w:sz w:val="24"/>
          <w:szCs w:val="24"/>
        </w:rPr>
      </w:pPr>
    </w:p>
    <w:p w14:paraId="407AA623" w14:textId="17278A30" w:rsidR="009910C8" w:rsidRDefault="009910C8" w:rsidP="009910C8">
      <w:pPr>
        <w:spacing w:line="360" w:lineRule="auto"/>
        <w:rPr>
          <w:rFonts w:ascii="黑体" w:eastAsia="黑体" w:hAnsi="黑体"/>
          <w:sz w:val="24"/>
          <w:szCs w:val="24"/>
        </w:rPr>
      </w:pPr>
      <w:r w:rsidRPr="009910C8">
        <w:rPr>
          <w:rFonts w:ascii="黑体" w:eastAsia="黑体" w:hAnsi="黑体" w:hint="eastAsia"/>
          <w:sz w:val="24"/>
          <w:szCs w:val="24"/>
          <w:highlight w:val="yellow"/>
        </w:rPr>
        <w:t>理论：</w:t>
      </w:r>
    </w:p>
    <w:p w14:paraId="62ED015E" w14:textId="2B7BE902" w:rsidR="009910C8" w:rsidRDefault="001728AE" w:rsidP="009910C8">
      <w:pPr>
        <w:spacing w:line="360" w:lineRule="auto"/>
        <w:rPr>
          <w:rFonts w:ascii="黑体" w:eastAsia="黑体" w:hAnsi="黑体"/>
          <w:sz w:val="24"/>
          <w:szCs w:val="24"/>
        </w:rPr>
      </w:pPr>
      <w:r w:rsidRPr="00A42175">
        <w:rPr>
          <w:rFonts w:ascii="黑体" w:eastAsia="黑体" w:hAnsi="黑体"/>
          <w:b/>
          <w:bCs/>
          <w:sz w:val="24"/>
          <w:szCs w:val="24"/>
          <w:highlight w:val="yellow"/>
        </w:rPr>
        <w:t>Skyrmions的拓扑结构</w:t>
      </w:r>
      <w:r w:rsidRPr="00A42175">
        <w:rPr>
          <w:rFonts w:ascii="黑体" w:eastAsia="黑体" w:hAnsi="黑体"/>
          <w:sz w:val="24"/>
          <w:szCs w:val="24"/>
          <w:highlight w:val="yellow"/>
        </w:rPr>
        <w:t>。skyrmion构型的拓扑性质可以用skyrmion</w:t>
      </w:r>
      <w:r w:rsidRPr="00A42175">
        <w:rPr>
          <w:rFonts w:ascii="黑体" w:eastAsia="黑体" w:hAnsi="黑体" w:hint="eastAsia"/>
          <w:sz w:val="24"/>
          <w:szCs w:val="24"/>
          <w:highlight w:val="yellow"/>
        </w:rPr>
        <w:t>数</w:t>
      </w:r>
      <w:r w:rsidRPr="00A42175">
        <w:rPr>
          <w:rFonts w:ascii="黑体" w:eastAsia="黑体" w:hAnsi="黑体"/>
          <w:sz w:val="24"/>
          <w:szCs w:val="24"/>
          <w:highlight w:val="yellow"/>
        </w:rPr>
        <w:t>来表征，定义为</w:t>
      </w:r>
    </w:p>
    <w:p w14:paraId="4BA6C340" w14:textId="11870103" w:rsidR="001728AE" w:rsidRDefault="001728AE" w:rsidP="001728AE">
      <w:pPr>
        <w:spacing w:line="360" w:lineRule="auto"/>
        <w:jc w:val="center"/>
        <w:rPr>
          <w:rFonts w:ascii="黑体" w:eastAsia="黑体" w:hAnsi="黑体"/>
          <w:sz w:val="24"/>
          <w:szCs w:val="24"/>
        </w:rPr>
      </w:pPr>
      <w:r>
        <w:rPr>
          <w:noProof/>
        </w:rPr>
        <w:drawing>
          <wp:inline distT="0" distB="0" distL="0" distR="0" wp14:anchorId="701AE8F2" wp14:editId="536779FC">
            <wp:extent cx="3400425" cy="5238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0425" cy="523875"/>
                    </a:xfrm>
                    <a:prstGeom prst="rect">
                      <a:avLst/>
                    </a:prstGeom>
                  </pic:spPr>
                </pic:pic>
              </a:graphicData>
            </a:graphic>
          </wp:inline>
        </w:drawing>
      </w:r>
    </w:p>
    <w:p w14:paraId="5DEA8E13" w14:textId="1CC92DC0" w:rsidR="001728AE" w:rsidRDefault="001728AE" w:rsidP="001728AE">
      <w:pPr>
        <w:spacing w:line="360" w:lineRule="auto"/>
        <w:rPr>
          <w:rFonts w:ascii="黑体" w:eastAsia="黑体" w:hAnsi="黑体"/>
          <w:sz w:val="24"/>
          <w:szCs w:val="24"/>
        </w:rPr>
      </w:pPr>
      <w:r w:rsidRPr="00A42175">
        <w:rPr>
          <w:rFonts w:ascii="黑体" w:eastAsia="黑体" w:hAnsi="黑体" w:hint="eastAsia"/>
          <w:sz w:val="24"/>
          <w:szCs w:val="24"/>
          <w:highlight w:val="yellow"/>
        </w:rPr>
        <w:t>其中</w:t>
      </w:r>
      <w:r w:rsidRPr="00A42175">
        <w:rPr>
          <w:rFonts w:ascii="黑体" w:eastAsia="黑体" w:hAnsi="黑体"/>
          <w:sz w:val="24"/>
          <w:szCs w:val="24"/>
          <w:highlight w:val="yellow"/>
        </w:rPr>
        <w:t>n（x，y）表示构造skyrmion的向量场，σ表示限制skyrmio的区域</w:t>
      </w:r>
      <w:r w:rsidRPr="001728AE">
        <w:rPr>
          <w:rFonts w:ascii="黑体" w:eastAsia="黑体" w:hAnsi="黑体"/>
          <w:sz w:val="24"/>
          <w:szCs w:val="24"/>
        </w:rPr>
        <w:t>，可以是无穷大（对于孤立的</w:t>
      </w:r>
      <w:r w:rsidR="004316F6">
        <w:rPr>
          <w:rFonts w:ascii="黑体" w:eastAsia="黑体" w:hAnsi="黑体"/>
          <w:sz w:val="24"/>
          <w:szCs w:val="24"/>
        </w:rPr>
        <w:t>skyrmion</w:t>
      </w:r>
      <w:r w:rsidRPr="001728AE">
        <w:rPr>
          <w:rFonts w:ascii="黑体" w:eastAsia="黑体" w:hAnsi="黑体"/>
          <w:sz w:val="24"/>
          <w:szCs w:val="24"/>
        </w:rPr>
        <w:t>），也可以是周期分布的单元（对于skyrmoin晶格）。skyrmion数是一个整数，它计算向量n（x，y）=n（rcosθ，rsinθ）绕单位球体的圈数，如图1a中的映射所示。</w:t>
      </w:r>
    </w:p>
    <w:p w14:paraId="76BC0686" w14:textId="13D4B249" w:rsidR="001728AE" w:rsidRDefault="001728AE" w:rsidP="009910C8">
      <w:pPr>
        <w:spacing w:line="360" w:lineRule="auto"/>
        <w:rPr>
          <w:rFonts w:ascii="黑体" w:eastAsia="黑体" w:hAnsi="黑体"/>
          <w:sz w:val="24"/>
          <w:szCs w:val="24"/>
        </w:rPr>
      </w:pPr>
      <w:r>
        <w:rPr>
          <w:noProof/>
        </w:rPr>
        <w:lastRenderedPageBreak/>
        <w:drawing>
          <wp:inline distT="0" distB="0" distL="0" distR="0" wp14:anchorId="64E8BE1A" wp14:editId="4FD1C6DB">
            <wp:extent cx="4600575" cy="3314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3314700"/>
                    </a:xfrm>
                    <a:prstGeom prst="rect">
                      <a:avLst/>
                    </a:prstGeom>
                  </pic:spPr>
                </pic:pic>
              </a:graphicData>
            </a:graphic>
          </wp:inline>
        </w:drawing>
      </w:r>
    </w:p>
    <w:p w14:paraId="68079ABB" w14:textId="77777777" w:rsidR="001728AE" w:rsidRPr="001728AE" w:rsidRDefault="001728AE" w:rsidP="001728AE">
      <w:pPr>
        <w:spacing w:line="360" w:lineRule="auto"/>
        <w:rPr>
          <w:rFonts w:ascii="黑体" w:eastAsia="黑体" w:hAnsi="黑体"/>
          <w:sz w:val="24"/>
          <w:szCs w:val="24"/>
        </w:rPr>
      </w:pPr>
      <w:r w:rsidRPr="001728AE">
        <w:rPr>
          <w:rFonts w:ascii="黑体" w:eastAsia="黑体" w:hAnsi="黑体" w:hint="eastAsia"/>
          <w:sz w:val="24"/>
          <w:szCs w:val="24"/>
        </w:rPr>
        <w:t>图</w:t>
      </w:r>
      <w:r w:rsidRPr="001728AE">
        <w:rPr>
          <w:rFonts w:ascii="黑体" w:eastAsia="黑体" w:hAnsi="黑体"/>
          <w:sz w:val="24"/>
          <w:szCs w:val="24"/>
        </w:rPr>
        <w:t>1.（a）从正常的skyrmion配置（由彩色箭头构成）到单位球体表示的映射。</w:t>
      </w:r>
    </w:p>
    <w:p w14:paraId="61C8690B" w14:textId="786C1944" w:rsidR="001728AE" w:rsidRDefault="001728AE" w:rsidP="001728AE">
      <w:pPr>
        <w:spacing w:line="360" w:lineRule="auto"/>
        <w:rPr>
          <w:rFonts w:ascii="黑体" w:eastAsia="黑体" w:hAnsi="黑体"/>
          <w:sz w:val="24"/>
          <w:szCs w:val="24"/>
        </w:rPr>
      </w:pPr>
      <w:r w:rsidRPr="001728AE">
        <w:rPr>
          <w:rFonts w:ascii="黑体" w:eastAsia="黑体" w:hAnsi="黑体" w:hint="eastAsia"/>
          <w:sz w:val="24"/>
          <w:szCs w:val="24"/>
        </w:rPr>
        <w:t>（</w:t>
      </w:r>
      <w:r w:rsidRPr="001728AE">
        <w:rPr>
          <w:rFonts w:ascii="黑体" w:eastAsia="黑体" w:hAnsi="黑体"/>
          <w:sz w:val="24"/>
          <w:szCs w:val="24"/>
        </w:rPr>
        <w:t>b）给定skyrmion半径的横向投影向量（分量Ex和Ey）分布的一些基本情况，其值为m和γ。</w:t>
      </w:r>
    </w:p>
    <w:p w14:paraId="66125138" w14:textId="67C2B393" w:rsidR="001728AE" w:rsidRDefault="001728AE" w:rsidP="001728AE">
      <w:pPr>
        <w:spacing w:line="360" w:lineRule="auto"/>
        <w:rPr>
          <w:rFonts w:ascii="黑体" w:eastAsia="黑体" w:hAnsi="黑体"/>
          <w:sz w:val="24"/>
          <w:szCs w:val="24"/>
        </w:rPr>
      </w:pPr>
    </w:p>
    <w:p w14:paraId="3287957B" w14:textId="6C9EFA43" w:rsidR="001728AE" w:rsidRDefault="001728AE" w:rsidP="001728AE">
      <w:pPr>
        <w:spacing w:line="360" w:lineRule="auto"/>
        <w:rPr>
          <w:rFonts w:ascii="黑体" w:eastAsia="黑体" w:hAnsi="黑体"/>
          <w:sz w:val="24"/>
          <w:szCs w:val="24"/>
        </w:rPr>
      </w:pPr>
      <w:r w:rsidRPr="001728AE">
        <w:rPr>
          <w:rFonts w:ascii="黑体" w:eastAsia="黑体" w:hAnsi="黑体"/>
          <w:sz w:val="24"/>
          <w:szCs w:val="24"/>
        </w:rPr>
        <w:t>对于映射到单位球，向量可以由n=（cosα（θ）sinβ（r），sinα（θ）sin</w:t>
      </w:r>
      <w:r w:rsidRPr="001728AE">
        <w:rPr>
          <w:rFonts w:ascii="黑体" w:eastAsia="黑体" w:hAnsi="黑体" w:hint="eastAsia"/>
          <w:sz w:val="24"/>
          <w:szCs w:val="24"/>
        </w:rPr>
        <w:t>β（</w:t>
      </w:r>
      <w:r w:rsidRPr="001728AE">
        <w:rPr>
          <w:rFonts w:ascii="黑体" w:eastAsia="黑体" w:hAnsi="黑体"/>
          <w:sz w:val="24"/>
          <w:szCs w:val="24"/>
        </w:rPr>
        <w:t>r），cosβ（r</w:t>
      </w:r>
      <w:r>
        <w:rPr>
          <w:rFonts w:ascii="黑体" w:eastAsia="黑体" w:hAnsi="黑体" w:hint="eastAsia"/>
          <w:sz w:val="24"/>
          <w:szCs w:val="24"/>
        </w:rPr>
        <w:t>））</w:t>
      </w:r>
      <w:r w:rsidR="001125C7">
        <w:rPr>
          <w:rFonts w:ascii="黑体" w:eastAsia="黑体" w:hAnsi="黑体" w:hint="eastAsia"/>
          <w:sz w:val="24"/>
          <w:szCs w:val="24"/>
        </w:rPr>
        <w:t>表示</w:t>
      </w:r>
      <w:r w:rsidRPr="001728AE">
        <w:rPr>
          <w:rFonts w:ascii="黑体" w:eastAsia="黑体" w:hAnsi="黑体"/>
          <w:sz w:val="24"/>
          <w:szCs w:val="24"/>
        </w:rPr>
        <w:t>。此外，skyrmion数可以分为两个整数：</w:t>
      </w:r>
    </w:p>
    <w:p w14:paraId="167E688D" w14:textId="77777777" w:rsidR="001728AE" w:rsidRDefault="001728AE" w:rsidP="001728AE">
      <w:pPr>
        <w:spacing w:line="360" w:lineRule="auto"/>
        <w:jc w:val="center"/>
        <w:rPr>
          <w:rFonts w:ascii="黑体" w:eastAsia="黑体" w:hAnsi="黑体"/>
          <w:sz w:val="24"/>
          <w:szCs w:val="24"/>
        </w:rPr>
      </w:pPr>
      <w:r>
        <w:rPr>
          <w:noProof/>
        </w:rPr>
        <w:drawing>
          <wp:inline distT="0" distB="0" distL="0" distR="0" wp14:anchorId="0A7DAD09" wp14:editId="1BC49905">
            <wp:extent cx="3731879" cy="1173736"/>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971" cy="1203329"/>
                    </a:xfrm>
                    <a:prstGeom prst="rect">
                      <a:avLst/>
                    </a:prstGeom>
                  </pic:spPr>
                </pic:pic>
              </a:graphicData>
            </a:graphic>
          </wp:inline>
        </w:drawing>
      </w:r>
    </w:p>
    <w:p w14:paraId="336FED43" w14:textId="264B0304" w:rsidR="001728AE" w:rsidRDefault="00843C03" w:rsidP="001728AE">
      <w:pPr>
        <w:spacing w:line="360" w:lineRule="auto"/>
        <w:rPr>
          <w:rFonts w:ascii="黑体" w:eastAsia="黑体" w:hAnsi="黑体"/>
          <w:sz w:val="24"/>
          <w:szCs w:val="24"/>
        </w:rPr>
      </w:pPr>
      <w:r w:rsidRPr="00843C03">
        <w:rPr>
          <w:rFonts w:ascii="黑体" w:eastAsia="黑体" w:hAnsi="黑体" w:hint="eastAsia"/>
          <w:sz w:val="24"/>
          <w:szCs w:val="24"/>
        </w:rPr>
        <w:t>其中极性</w:t>
      </w:r>
      <m:oMath>
        <m:r>
          <w:rPr>
            <w:rFonts w:ascii="Cambria Math" w:eastAsia="黑体" w:hAnsi="Cambria Math" w:hint="eastAsia"/>
          </w:rPr>
          <m:t>q</m:t>
        </m:r>
        <m:r>
          <w:rPr>
            <w:rFonts w:ascii="Cambria Math" w:eastAsia="黑体" w:hAnsi="Cambria Math"/>
          </w:rPr>
          <m:t>=</m:t>
        </m:r>
        <m:f>
          <m:fPr>
            <m:ctrlPr>
              <w:rPr>
                <w:rFonts w:ascii="Cambria Math" w:eastAsia="黑体" w:hAnsi="Cambria Math"/>
                <w:i/>
              </w:rPr>
            </m:ctrlPr>
          </m:fPr>
          <m:num>
            <m:r>
              <w:rPr>
                <w:rFonts w:ascii="Cambria Math" w:eastAsia="黑体" w:hAnsi="Cambria Math"/>
              </w:rPr>
              <m:t>1</m:t>
            </m:r>
          </m:num>
          <m:den>
            <m:r>
              <w:rPr>
                <w:rFonts w:ascii="Cambria Math" w:eastAsia="黑体" w:hAnsi="Cambria Math"/>
              </w:rPr>
              <m:t>2</m:t>
            </m:r>
          </m:den>
        </m:f>
        <m:sSubSup>
          <m:sSubSupPr>
            <m:ctrlPr>
              <w:rPr>
                <w:rFonts w:ascii="Cambria Math" w:eastAsia="黑体" w:hAnsi="Cambria Math"/>
                <w:i/>
              </w:rPr>
            </m:ctrlPr>
          </m:sSubSupPr>
          <m:e>
            <m:r>
              <w:rPr>
                <w:rFonts w:ascii="Cambria Math" w:eastAsia="黑体" w:hAnsi="Cambria Math"/>
              </w:rPr>
              <m:t>[</m:t>
            </m:r>
            <m:func>
              <m:funcPr>
                <m:ctrlPr>
                  <w:rPr>
                    <w:rFonts w:ascii="Cambria Math" w:eastAsia="黑体" w:hAnsi="Cambria Math"/>
                    <w:i/>
                  </w:rPr>
                </m:ctrlPr>
              </m:funcPr>
              <m:fName>
                <m:r>
                  <m:rPr>
                    <m:sty m:val="p"/>
                  </m:rPr>
                  <w:rPr>
                    <w:rFonts w:ascii="Cambria Math" w:eastAsia="黑体" w:hAnsi="Cambria Math"/>
                  </w:rPr>
                  <m:t>cos</m:t>
                </m:r>
              </m:fName>
              <m:e>
                <m:r>
                  <w:rPr>
                    <w:rFonts w:ascii="Cambria Math" w:eastAsia="黑体" w:hAnsi="Cambria Math"/>
                  </w:rPr>
                  <m:t>β(r)</m:t>
                </m:r>
              </m:e>
            </m:func>
            <m:r>
              <w:rPr>
                <w:rFonts w:ascii="Cambria Math" w:eastAsia="黑体" w:hAnsi="Cambria Math"/>
              </w:rPr>
              <m:t>]</m:t>
            </m:r>
          </m:e>
          <m:sub>
            <m:r>
              <w:rPr>
                <w:rFonts w:ascii="Cambria Math" w:eastAsia="黑体" w:hAnsi="Cambria Math"/>
              </w:rPr>
              <m:t>r=0</m:t>
            </m:r>
          </m:sub>
          <m:sup>
            <m:r>
              <w:rPr>
                <w:rFonts w:ascii="Cambria Math" w:eastAsia="黑体" w:hAnsi="Cambria Math"/>
              </w:rPr>
              <m:t>r=</m:t>
            </m:r>
            <m:sSub>
              <m:sSubPr>
                <m:ctrlPr>
                  <w:rPr>
                    <w:rFonts w:ascii="Cambria Math" w:eastAsia="黑体" w:hAnsi="Cambria Math"/>
                    <w:i/>
                  </w:rPr>
                </m:ctrlPr>
              </m:sSubPr>
              <m:e>
                <m:r>
                  <w:rPr>
                    <w:rFonts w:ascii="Cambria Math" w:eastAsia="黑体" w:hAnsi="Cambria Math"/>
                  </w:rPr>
                  <m:t>r</m:t>
                </m:r>
              </m:e>
              <m:sub>
                <m:r>
                  <w:rPr>
                    <w:rFonts w:ascii="Cambria Math" w:eastAsia="黑体" w:hAnsi="Cambria Math"/>
                  </w:rPr>
                  <m:t>σ</m:t>
                </m:r>
              </m:sub>
            </m:sSub>
          </m:sup>
        </m:sSubSup>
      </m:oMath>
      <w:r w:rsidRPr="00843C03">
        <w:rPr>
          <w:rFonts w:ascii="黑体" w:eastAsia="黑体" w:hAnsi="黑体"/>
          <w:sz w:val="24"/>
          <w:szCs w:val="24"/>
        </w:rPr>
        <w:t>表示矢量的方向[中心r=0处的向下（向上）和边界r</w:t>
      </w:r>
      <w:r w:rsidR="009B0184">
        <w:rPr>
          <w:rFonts w:ascii="微软雅黑" w:eastAsia="微软雅黑" w:hAnsi="微软雅黑" w:hint="eastAsia"/>
          <w:color w:val="000000"/>
          <w:spacing w:val="15"/>
          <w:sz w:val="23"/>
          <w:szCs w:val="23"/>
        </w:rPr>
        <w:t>→rσ</w:t>
      </w:r>
      <w:r w:rsidRPr="00843C03">
        <w:rPr>
          <w:rFonts w:ascii="黑体" w:eastAsia="黑体" w:hAnsi="黑体"/>
          <w:sz w:val="24"/>
          <w:szCs w:val="24"/>
        </w:rPr>
        <w:t>处的向上（向下）q=1（q=</w:t>
      </w:r>
      <w:r w:rsidRPr="00843C03">
        <w:rPr>
          <w:rFonts w:ascii="微软雅黑" w:eastAsia="微软雅黑" w:hAnsi="微软雅黑" w:cs="微软雅黑" w:hint="eastAsia"/>
          <w:sz w:val="24"/>
          <w:szCs w:val="24"/>
        </w:rPr>
        <w:t>−</w:t>
      </w:r>
      <w:r w:rsidRPr="00843C03">
        <w:rPr>
          <w:rFonts w:ascii="黑体" w:eastAsia="黑体" w:hAnsi="黑体"/>
          <w:sz w:val="24"/>
          <w:szCs w:val="24"/>
        </w:rPr>
        <w:t>1）</w:t>
      </w:r>
      <w:r w:rsidR="009B0184">
        <w:rPr>
          <w:rFonts w:ascii="黑体" w:eastAsia="黑体" w:hAnsi="黑体" w:hint="eastAsia"/>
          <w:sz w:val="24"/>
          <w:szCs w:val="24"/>
        </w:rPr>
        <w:t>]</w:t>
      </w:r>
      <w:r w:rsidRPr="00843C03">
        <w:rPr>
          <w:rFonts w:ascii="黑体" w:eastAsia="黑体" w:hAnsi="黑体"/>
          <w:sz w:val="24"/>
          <w:szCs w:val="24"/>
        </w:rPr>
        <w:t>而涡度</w:t>
      </w:r>
      <m:oMath>
        <m:r>
          <w:rPr>
            <w:rFonts w:ascii="Cambria Math" w:eastAsia="黑体" w:hAnsi="Cambria Math" w:hint="eastAsia"/>
          </w:rPr>
          <m:t>m</m:t>
        </m:r>
        <m:r>
          <w:rPr>
            <w:rFonts w:ascii="Cambria Math" w:eastAsia="黑体" w:hAnsi="Cambria Math"/>
          </w:rPr>
          <m:t>=</m:t>
        </m:r>
        <m:f>
          <m:fPr>
            <m:ctrlPr>
              <w:rPr>
                <w:rFonts w:ascii="Cambria Math" w:eastAsia="黑体" w:hAnsi="Cambria Math"/>
                <w:i/>
              </w:rPr>
            </m:ctrlPr>
          </m:fPr>
          <m:num>
            <m:r>
              <w:rPr>
                <w:rFonts w:ascii="Cambria Math" w:eastAsia="黑体" w:hAnsi="Cambria Math"/>
              </w:rPr>
              <m:t>1</m:t>
            </m:r>
          </m:num>
          <m:den>
            <m:r>
              <w:rPr>
                <w:rFonts w:ascii="Cambria Math" w:eastAsia="黑体" w:hAnsi="Cambria Math"/>
              </w:rPr>
              <m:t>2</m:t>
            </m:r>
            <m:r>
              <w:rPr>
                <w:rFonts w:ascii="Cambria Math" w:eastAsia="黑体" w:hAnsi="Cambria Math" w:hint="eastAsia"/>
              </w:rPr>
              <m:t>π</m:t>
            </m:r>
          </m:den>
        </m:f>
        <m:sSubSup>
          <m:sSubSupPr>
            <m:ctrlPr>
              <w:rPr>
                <w:rFonts w:ascii="Cambria Math" w:eastAsia="黑体" w:hAnsi="Cambria Math"/>
                <w:i/>
              </w:rPr>
            </m:ctrlPr>
          </m:sSubSupPr>
          <m:e>
            <m:r>
              <w:rPr>
                <w:rFonts w:ascii="Cambria Math" w:eastAsia="黑体" w:hAnsi="Cambria Math"/>
              </w:rPr>
              <m:t>[α(∅)]</m:t>
            </m:r>
          </m:e>
          <m:sub>
            <m:r>
              <w:rPr>
                <w:rFonts w:ascii="Cambria Math" w:eastAsia="黑体" w:hAnsi="Cambria Math"/>
              </w:rPr>
              <m:t>∅=0</m:t>
            </m:r>
          </m:sub>
          <m:sup>
            <m:r>
              <w:rPr>
                <w:rFonts w:ascii="Cambria Math" w:eastAsia="黑体" w:hAnsi="Cambria Math"/>
              </w:rPr>
              <m:t>∅=2</m:t>
            </m:r>
            <m:r>
              <w:rPr>
                <w:rFonts w:ascii="Cambria Math" w:eastAsia="黑体" w:hAnsi="Cambria Math" w:hint="eastAsia"/>
              </w:rPr>
              <m:t>π</m:t>
            </m:r>
          </m:sup>
        </m:sSubSup>
      </m:oMath>
      <w:r w:rsidRPr="00843C03">
        <w:rPr>
          <w:rFonts w:ascii="黑体" w:eastAsia="黑体" w:hAnsi="黑体"/>
          <w:sz w:val="24"/>
          <w:szCs w:val="24"/>
        </w:rPr>
        <w:t>控制着横向场分量的分布。在螺旋分布的情况下，应添加初始相γ：α（θ）=mθ+γ。如果我们考虑给定半径（或单位球表示中的给定纬度角β）处的横向矢量分量，γ表示圆形阵列中初始矢量的倾斜角（见图1b）。对于m=1 skyrmion，γ=0和γ=π的情况被归类为Neel</w:t>
      </w:r>
      <w:r w:rsidRPr="00843C03">
        <w:rPr>
          <w:rFonts w:ascii="黑体" w:eastAsia="黑体" w:hAnsi="黑体"/>
          <w:sz w:val="24"/>
          <w:szCs w:val="24"/>
        </w:rPr>
        <w:lastRenderedPageBreak/>
        <w:t>型，γ=±π/2的情况是Bloch型。m=</w:t>
      </w:r>
      <w:r w:rsidR="009B0184">
        <w:rPr>
          <w:rFonts w:ascii="黑体" w:eastAsia="黑体" w:hAnsi="黑体"/>
          <w:sz w:val="24"/>
          <w:szCs w:val="24"/>
        </w:rPr>
        <w:t>-1</w:t>
      </w:r>
      <w:r w:rsidRPr="00843C03">
        <w:rPr>
          <w:rFonts w:ascii="黑体" w:eastAsia="黑体" w:hAnsi="黑体"/>
          <w:sz w:val="24"/>
          <w:szCs w:val="24"/>
        </w:rPr>
        <w:t>的情况为</w:t>
      </w:r>
      <w:r w:rsidR="009B0184">
        <w:rPr>
          <w:rFonts w:ascii="黑体" w:eastAsia="黑体" w:hAnsi="黑体" w:hint="eastAsia"/>
          <w:sz w:val="24"/>
          <w:szCs w:val="24"/>
        </w:rPr>
        <w:t>反斯格明子</w:t>
      </w:r>
      <w:r w:rsidRPr="00843C03">
        <w:rPr>
          <w:rFonts w:ascii="黑体" w:eastAsia="黑体" w:hAnsi="黑体" w:hint="eastAsia"/>
          <w:sz w:val="24"/>
          <w:szCs w:val="24"/>
        </w:rPr>
        <w:t>。</w:t>
      </w:r>
    </w:p>
    <w:p w14:paraId="62F2C356" w14:textId="77777777" w:rsidR="009B0184" w:rsidRDefault="009B0184" w:rsidP="001728AE">
      <w:pPr>
        <w:spacing w:line="360" w:lineRule="auto"/>
        <w:rPr>
          <w:rFonts w:ascii="黑体" w:eastAsia="黑体" w:hAnsi="黑体"/>
          <w:sz w:val="24"/>
          <w:szCs w:val="24"/>
        </w:rPr>
      </w:pPr>
    </w:p>
    <w:p w14:paraId="60E9847D" w14:textId="3E106C6D" w:rsidR="001728AE" w:rsidRDefault="009B0184" w:rsidP="009910C8">
      <w:pPr>
        <w:spacing w:line="360" w:lineRule="auto"/>
        <w:rPr>
          <w:rFonts w:ascii="黑体" w:eastAsia="黑体" w:hAnsi="黑体"/>
          <w:sz w:val="24"/>
          <w:szCs w:val="24"/>
        </w:rPr>
      </w:pPr>
      <w:r w:rsidRPr="00AE0E8D">
        <w:rPr>
          <w:rFonts w:ascii="黑体" w:eastAsia="黑体" w:hAnsi="黑体" w:hint="eastAsia"/>
          <w:b/>
          <w:bCs/>
          <w:sz w:val="24"/>
          <w:szCs w:val="24"/>
          <w:highlight w:val="yellow"/>
        </w:rPr>
        <w:t>可调光学</w:t>
      </w:r>
      <w:r w:rsidRPr="00AE0E8D">
        <w:rPr>
          <w:rFonts w:ascii="黑体" w:eastAsia="黑体" w:hAnsi="黑体"/>
          <w:b/>
          <w:bCs/>
          <w:sz w:val="24"/>
          <w:szCs w:val="24"/>
          <w:highlight w:val="yellow"/>
        </w:rPr>
        <w:t>Skyrmion。</w:t>
      </w:r>
      <w:r w:rsidRPr="009B0184">
        <w:rPr>
          <w:rFonts w:ascii="黑体" w:eastAsia="黑体" w:hAnsi="黑体"/>
          <w:sz w:val="24"/>
          <w:szCs w:val="24"/>
        </w:rPr>
        <w:t>为了推导出一个封闭式表达式，允许通过简单参数在具有不同拓扑结构的光学</w:t>
      </w:r>
      <w:r w:rsidR="00BB2C56">
        <w:rPr>
          <w:rFonts w:ascii="黑体" w:eastAsia="黑体" w:hAnsi="黑体"/>
          <w:sz w:val="24"/>
          <w:szCs w:val="24"/>
        </w:rPr>
        <w:t>斯格明子</w:t>
      </w:r>
      <w:r w:rsidRPr="009B0184">
        <w:rPr>
          <w:rFonts w:ascii="黑体" w:eastAsia="黑体" w:hAnsi="黑体"/>
          <w:sz w:val="24"/>
          <w:szCs w:val="24"/>
        </w:rPr>
        <w:t>之间进行调谐，我们从光学</w:t>
      </w:r>
      <w:r w:rsidR="00BB2C56">
        <w:rPr>
          <w:rFonts w:ascii="黑体" w:eastAsia="黑体" w:hAnsi="黑体"/>
          <w:sz w:val="24"/>
          <w:szCs w:val="24"/>
        </w:rPr>
        <w:t>斯格明子</w:t>
      </w:r>
      <w:r w:rsidRPr="009B0184">
        <w:rPr>
          <w:rFonts w:ascii="黑体" w:eastAsia="黑体" w:hAnsi="黑体"/>
          <w:sz w:val="24"/>
          <w:szCs w:val="24"/>
        </w:rPr>
        <w:t>的经典模型开始，这也是光学</w:t>
      </w:r>
      <w:r w:rsidR="00BB2C56">
        <w:rPr>
          <w:rFonts w:ascii="黑体" w:eastAsia="黑体" w:hAnsi="黑体"/>
          <w:sz w:val="24"/>
          <w:szCs w:val="24"/>
        </w:rPr>
        <w:t>斯格明子</w:t>
      </w:r>
      <w:r w:rsidRPr="009B0184">
        <w:rPr>
          <w:rFonts w:ascii="黑体" w:eastAsia="黑体" w:hAnsi="黑体"/>
          <w:sz w:val="24"/>
          <w:szCs w:val="24"/>
        </w:rPr>
        <w:t>的第一个模型。在这个模型中，在受限</w:t>
      </w:r>
      <w:r w:rsidRPr="00E47684">
        <w:rPr>
          <w:rFonts w:ascii="黑体" w:eastAsia="黑体" w:hAnsi="黑体"/>
          <w:sz w:val="24"/>
          <w:szCs w:val="24"/>
          <w:highlight w:val="yellow"/>
        </w:rPr>
        <w:t>表面等离子体激元（SPP）</w:t>
      </w:r>
      <w:r w:rsidRPr="009B0184">
        <w:rPr>
          <w:rFonts w:ascii="黑体" w:eastAsia="黑体" w:hAnsi="黑体"/>
          <w:sz w:val="24"/>
          <w:szCs w:val="24"/>
        </w:rPr>
        <w:t>波中，由电场矢量（E</w:t>
      </w:r>
      <w:r w:rsidR="00F06E7C">
        <w:rPr>
          <w:rFonts w:ascii="黑体" w:eastAsia="黑体" w:hAnsi="黑体" w:hint="eastAsia"/>
          <w:sz w:val="24"/>
          <w:szCs w:val="24"/>
          <w:vertAlign w:val="subscript"/>
        </w:rPr>
        <w:t>x</w:t>
      </w:r>
      <w:r w:rsidRPr="009B0184">
        <w:rPr>
          <w:rFonts w:ascii="黑体" w:eastAsia="黑体" w:hAnsi="黑体"/>
          <w:sz w:val="24"/>
          <w:szCs w:val="24"/>
        </w:rPr>
        <w:t>，E</w:t>
      </w:r>
      <w:r w:rsidR="00F06E7C">
        <w:rPr>
          <w:rFonts w:ascii="黑体" w:eastAsia="黑体" w:hAnsi="黑体" w:hint="eastAsia"/>
          <w:sz w:val="24"/>
          <w:szCs w:val="24"/>
          <w:vertAlign w:val="subscript"/>
        </w:rPr>
        <w:t>y</w:t>
      </w:r>
      <w:r w:rsidRPr="009B0184">
        <w:rPr>
          <w:rFonts w:ascii="黑体" w:eastAsia="黑体" w:hAnsi="黑体"/>
          <w:sz w:val="24"/>
          <w:szCs w:val="24"/>
        </w:rPr>
        <w:t>，E</w:t>
      </w:r>
      <w:r w:rsidR="00F06E7C">
        <w:rPr>
          <w:rFonts w:ascii="黑体" w:eastAsia="黑体" w:hAnsi="黑体"/>
          <w:sz w:val="24"/>
          <w:szCs w:val="24"/>
          <w:vertAlign w:val="subscript"/>
        </w:rPr>
        <w:t>z</w:t>
      </w:r>
      <w:r w:rsidRPr="009B0184">
        <w:rPr>
          <w:rFonts w:ascii="黑体" w:eastAsia="黑体" w:hAnsi="黑体"/>
          <w:sz w:val="24"/>
          <w:szCs w:val="24"/>
        </w:rPr>
        <w:t>）</w:t>
      </w:r>
      <w:r>
        <w:rPr>
          <w:rFonts w:ascii="黑体" w:eastAsia="黑体" w:hAnsi="黑体" w:hint="eastAsia"/>
          <w:sz w:val="24"/>
          <w:szCs w:val="24"/>
          <w:vertAlign w:val="superscript"/>
        </w:rPr>
        <w:t>T</w:t>
      </w:r>
      <w:r w:rsidRPr="009B0184">
        <w:rPr>
          <w:rFonts w:ascii="黑体" w:eastAsia="黑体" w:hAnsi="黑体"/>
          <w:sz w:val="24"/>
          <w:szCs w:val="24"/>
        </w:rPr>
        <w:t>/|E|构造skyrmion矢量场n=（n</w:t>
      </w:r>
      <w:r w:rsidR="00F06E7C">
        <w:rPr>
          <w:rFonts w:ascii="黑体" w:eastAsia="黑体" w:hAnsi="黑体"/>
          <w:sz w:val="24"/>
          <w:szCs w:val="24"/>
          <w:vertAlign w:val="subscript"/>
        </w:rPr>
        <w:t>x</w:t>
      </w:r>
      <w:r w:rsidRPr="009B0184">
        <w:rPr>
          <w:rFonts w:ascii="黑体" w:eastAsia="黑体" w:hAnsi="黑体"/>
          <w:sz w:val="24"/>
          <w:szCs w:val="24"/>
        </w:rPr>
        <w:t>，n</w:t>
      </w:r>
      <w:r w:rsidR="00F06E7C">
        <w:rPr>
          <w:rFonts w:ascii="黑体" w:eastAsia="黑体" w:hAnsi="黑体"/>
          <w:sz w:val="24"/>
          <w:szCs w:val="24"/>
          <w:vertAlign w:val="subscript"/>
        </w:rPr>
        <w:t>y</w:t>
      </w:r>
      <w:r w:rsidRPr="009B0184">
        <w:rPr>
          <w:rFonts w:ascii="黑体" w:eastAsia="黑体" w:hAnsi="黑体"/>
          <w:sz w:val="24"/>
          <w:szCs w:val="24"/>
        </w:rPr>
        <w:t>，n</w:t>
      </w:r>
      <w:r w:rsidR="00F06E7C">
        <w:rPr>
          <w:rFonts w:ascii="黑体" w:eastAsia="黑体" w:hAnsi="黑体"/>
          <w:sz w:val="24"/>
          <w:szCs w:val="24"/>
          <w:vertAlign w:val="subscript"/>
        </w:rPr>
        <w:t>z</w:t>
      </w:r>
      <w:r w:rsidRPr="009B0184">
        <w:rPr>
          <w:rFonts w:ascii="黑体" w:eastAsia="黑体" w:hAnsi="黑体"/>
          <w:sz w:val="24"/>
          <w:szCs w:val="24"/>
        </w:rPr>
        <w:t>）：</w:t>
      </w:r>
    </w:p>
    <w:p w14:paraId="2F47AB6A" w14:textId="0DB2B261" w:rsidR="00F06E7C" w:rsidRPr="00F06E7C" w:rsidRDefault="00F06E7C" w:rsidP="00F06E7C">
      <w:pPr>
        <w:spacing w:line="360" w:lineRule="auto"/>
        <w:jc w:val="center"/>
        <w:rPr>
          <w:rFonts w:ascii="黑体" w:eastAsia="黑体" w:hAnsi="黑体"/>
          <w:sz w:val="24"/>
          <w:szCs w:val="24"/>
        </w:rPr>
      </w:pPr>
      <w:r>
        <w:rPr>
          <w:noProof/>
        </w:rPr>
        <w:drawing>
          <wp:inline distT="0" distB="0" distL="0" distR="0" wp14:anchorId="1B71E511" wp14:editId="7B6D8EFF">
            <wp:extent cx="4162425" cy="1543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1543050"/>
                    </a:xfrm>
                    <a:prstGeom prst="rect">
                      <a:avLst/>
                    </a:prstGeom>
                  </pic:spPr>
                </pic:pic>
              </a:graphicData>
            </a:graphic>
          </wp:inline>
        </w:drawing>
      </w:r>
    </w:p>
    <w:p w14:paraId="2131FA23" w14:textId="35477C68" w:rsidR="001728AE" w:rsidRDefault="00F06E7C" w:rsidP="009910C8">
      <w:pPr>
        <w:spacing w:line="360" w:lineRule="auto"/>
        <w:rPr>
          <w:rFonts w:ascii="黑体" w:eastAsia="黑体" w:hAnsi="黑体"/>
          <w:sz w:val="24"/>
          <w:szCs w:val="24"/>
        </w:rPr>
      </w:pPr>
      <w:r w:rsidRPr="00F06E7C">
        <w:rPr>
          <w:rFonts w:ascii="黑体" w:eastAsia="黑体" w:hAnsi="黑体" w:hint="eastAsia"/>
          <w:sz w:val="24"/>
          <w:szCs w:val="24"/>
        </w:rPr>
        <w:t>其中</w:t>
      </w:r>
      <w:r w:rsidRPr="00F06E7C">
        <w:rPr>
          <w:rFonts w:ascii="黑体" w:eastAsia="黑体" w:hAnsi="黑体"/>
          <w:sz w:val="24"/>
          <w:szCs w:val="24"/>
        </w:rPr>
        <w:t>E</w:t>
      </w:r>
      <w:r>
        <w:rPr>
          <w:rFonts w:ascii="黑体" w:eastAsia="黑体" w:hAnsi="黑体"/>
          <w:sz w:val="24"/>
          <w:szCs w:val="24"/>
          <w:vertAlign w:val="subscript"/>
        </w:rPr>
        <w:t>0</w:t>
      </w:r>
      <w:r w:rsidRPr="00F06E7C">
        <w:rPr>
          <w:rFonts w:ascii="黑体" w:eastAsia="黑体" w:hAnsi="黑体"/>
          <w:sz w:val="24"/>
          <w:szCs w:val="24"/>
        </w:rPr>
        <w:t>是归一化振幅，</w:t>
      </w:r>
      <w:r>
        <w:rPr>
          <w:rFonts w:ascii="黑体" w:eastAsia="黑体" w:hAnsi="黑体" w:hint="eastAsia"/>
          <w:sz w:val="24"/>
          <w:szCs w:val="24"/>
        </w:rPr>
        <w:t>k</w:t>
      </w:r>
      <w:r>
        <w:rPr>
          <w:rFonts w:ascii="黑体" w:eastAsia="黑体" w:hAnsi="黑体" w:hint="eastAsia"/>
          <w:sz w:val="24"/>
          <w:szCs w:val="24"/>
          <w:vertAlign w:val="subscript"/>
        </w:rPr>
        <w:t>|</w:t>
      </w:r>
      <w:r>
        <w:rPr>
          <w:rFonts w:ascii="黑体" w:eastAsia="黑体" w:hAnsi="黑体"/>
          <w:sz w:val="24"/>
          <w:szCs w:val="24"/>
          <w:vertAlign w:val="subscript"/>
        </w:rPr>
        <w:t>|</w:t>
      </w:r>
      <w:r w:rsidRPr="00F06E7C">
        <w:rPr>
          <w:rFonts w:ascii="黑体" w:eastAsia="黑体" w:hAnsi="黑体"/>
          <w:sz w:val="24"/>
          <w:szCs w:val="24"/>
        </w:rPr>
        <w:t>和k</w:t>
      </w:r>
      <w:r>
        <w:rPr>
          <w:rFonts w:ascii="黑体" w:eastAsia="黑体" w:hAnsi="黑体"/>
          <w:sz w:val="24"/>
          <w:szCs w:val="24"/>
          <w:vertAlign w:val="subscript"/>
        </w:rPr>
        <w:t>z</w:t>
      </w:r>
      <w:r w:rsidRPr="00F06E7C">
        <w:rPr>
          <w:rFonts w:ascii="黑体" w:eastAsia="黑体" w:hAnsi="黑体"/>
          <w:sz w:val="24"/>
          <w:szCs w:val="24"/>
        </w:rPr>
        <w:t>分别是横向（平面内）波数和轴向波数，</w:t>
      </w:r>
      <w:r>
        <w:rPr>
          <w:rFonts w:ascii="黑体" w:eastAsia="黑体" w:hAnsi="黑体" w:hint="eastAsia"/>
          <w:sz w:val="24"/>
          <w:szCs w:val="24"/>
        </w:rPr>
        <w:t>r</w:t>
      </w:r>
      <w:r>
        <w:rPr>
          <w:rFonts w:ascii="黑体" w:eastAsia="黑体" w:hAnsi="黑体"/>
          <w:sz w:val="24"/>
          <w:szCs w:val="24"/>
          <w:vertAlign w:val="subscript"/>
        </w:rPr>
        <w:t>||</w:t>
      </w:r>
      <w:r w:rsidRPr="00F06E7C">
        <w:rPr>
          <w:rFonts w:ascii="黑体" w:eastAsia="黑体" w:hAnsi="黑体"/>
          <w:sz w:val="24"/>
          <w:szCs w:val="24"/>
        </w:rPr>
        <w:t>=（x，y）和θ</w:t>
      </w:r>
      <w:r>
        <w:rPr>
          <w:rFonts w:ascii="黑体" w:eastAsia="黑体" w:hAnsi="黑体"/>
          <w:sz w:val="24"/>
          <w:szCs w:val="24"/>
          <w:vertAlign w:val="subscript"/>
        </w:rPr>
        <w:t>n</w:t>
      </w:r>
      <w:r w:rsidRPr="00F06E7C">
        <w:rPr>
          <w:rFonts w:ascii="黑体" w:eastAsia="黑体" w:hAnsi="黑体"/>
          <w:sz w:val="24"/>
          <w:szCs w:val="24"/>
        </w:rPr>
        <w:t>=（cosθ</w:t>
      </w:r>
      <w:r w:rsidRPr="00F06E7C">
        <w:rPr>
          <w:rFonts w:ascii="黑体" w:eastAsia="黑体" w:hAnsi="黑体"/>
          <w:sz w:val="24"/>
          <w:szCs w:val="24"/>
          <w:vertAlign w:val="subscript"/>
        </w:rPr>
        <w:t>n</w:t>
      </w:r>
      <w:r w:rsidRPr="00F06E7C">
        <w:rPr>
          <w:rFonts w:ascii="黑体" w:eastAsia="黑体" w:hAnsi="黑体"/>
          <w:sz w:val="24"/>
          <w:szCs w:val="24"/>
        </w:rPr>
        <w:t>，sinθ</w:t>
      </w:r>
      <w:r w:rsidRPr="00F06E7C">
        <w:rPr>
          <w:rFonts w:ascii="黑体" w:eastAsia="黑体" w:hAnsi="黑体"/>
          <w:sz w:val="24"/>
          <w:szCs w:val="24"/>
          <w:vertAlign w:val="subscript"/>
        </w:rPr>
        <w:t>n</w:t>
      </w:r>
      <w:r w:rsidRPr="00F06E7C">
        <w:rPr>
          <w:rFonts w:ascii="黑体" w:eastAsia="黑体" w:hAnsi="黑体"/>
          <w:sz w:val="24"/>
          <w:szCs w:val="24"/>
        </w:rPr>
        <w:t>）。等式3的物理意义是N个驻波SPP沿均匀分布的面内角θ</w:t>
      </w:r>
      <w:r>
        <w:rPr>
          <w:rFonts w:ascii="黑体" w:eastAsia="黑体" w:hAnsi="黑体"/>
          <w:sz w:val="24"/>
          <w:szCs w:val="24"/>
          <w:vertAlign w:val="subscript"/>
        </w:rPr>
        <w:t>n</w:t>
      </w:r>
      <w:r w:rsidRPr="00F06E7C">
        <w:rPr>
          <w:rFonts w:ascii="黑体" w:eastAsia="黑体" w:hAnsi="黑体"/>
          <w:sz w:val="24"/>
          <w:szCs w:val="24"/>
        </w:rPr>
        <w:t>（</w:t>
      </w:r>
      <w:r>
        <w:rPr>
          <w:rFonts w:ascii="黑体" w:eastAsia="黑体" w:hAnsi="黑体"/>
          <w:sz w:val="24"/>
          <w:szCs w:val="24"/>
        </w:rPr>
        <w:t>n</w:t>
      </w:r>
      <w:r w:rsidRPr="00F06E7C">
        <w:rPr>
          <w:rFonts w:ascii="黑体" w:eastAsia="黑体" w:hAnsi="黑体"/>
          <w:sz w:val="24"/>
          <w:szCs w:val="24"/>
        </w:rPr>
        <w:t>=1，2，…，N）方向的叠加。对于常见的圆形</w:t>
      </w:r>
      <w:r w:rsidR="00BB2C56">
        <w:rPr>
          <w:rFonts w:ascii="黑体" w:eastAsia="黑体" w:hAnsi="黑体"/>
          <w:sz w:val="24"/>
          <w:szCs w:val="24"/>
        </w:rPr>
        <w:t>斯格明子</w:t>
      </w:r>
      <w:r w:rsidRPr="00F06E7C">
        <w:rPr>
          <w:rFonts w:ascii="黑体" w:eastAsia="黑体" w:hAnsi="黑体"/>
          <w:sz w:val="24"/>
          <w:szCs w:val="24"/>
        </w:rPr>
        <w:t>，N应该足够大，理想情况下是N→∞</w:t>
      </w:r>
      <w:r>
        <w:rPr>
          <w:rFonts w:ascii="黑体" w:eastAsia="黑体" w:hAnsi="黑体" w:hint="eastAsia"/>
          <w:sz w:val="24"/>
          <w:szCs w:val="24"/>
        </w:rPr>
        <w:t>。</w:t>
      </w:r>
      <w:r w:rsidRPr="00F06E7C">
        <w:rPr>
          <w:rFonts w:ascii="黑体" w:eastAsia="黑体" w:hAnsi="黑体"/>
          <w:sz w:val="24"/>
          <w:szCs w:val="24"/>
        </w:rPr>
        <w:t>对于skyrmion晶格，N应该是与边界几何有关的整数，例如，设置N=3来模拟θ</w:t>
      </w:r>
      <w:r>
        <w:rPr>
          <w:rFonts w:ascii="黑体" w:eastAsia="黑体" w:hAnsi="黑体"/>
          <w:sz w:val="24"/>
          <w:szCs w:val="24"/>
          <w:vertAlign w:val="subscript"/>
        </w:rPr>
        <w:t>n</w:t>
      </w:r>
      <w:r w:rsidRPr="00F06E7C">
        <w:rPr>
          <w:rFonts w:ascii="黑体" w:eastAsia="黑体" w:hAnsi="黑体"/>
          <w:sz w:val="24"/>
          <w:szCs w:val="24"/>
        </w:rPr>
        <w:t>=[</w:t>
      </w:r>
      <w:r w:rsidRPr="00F06E7C">
        <w:rPr>
          <w:rFonts w:ascii="微软雅黑" w:eastAsia="微软雅黑" w:hAnsi="微软雅黑" w:cs="微软雅黑" w:hint="eastAsia"/>
          <w:sz w:val="24"/>
          <w:szCs w:val="24"/>
        </w:rPr>
        <w:t>−</w:t>
      </w:r>
      <w:r w:rsidRPr="00F06E7C">
        <w:rPr>
          <w:rFonts w:ascii="黑体" w:eastAsia="黑体" w:hAnsi="黑体" w:cs="黑体" w:hint="eastAsia"/>
          <w:sz w:val="24"/>
          <w:szCs w:val="24"/>
        </w:rPr>
        <w:t>π</w:t>
      </w:r>
      <w:r w:rsidRPr="00F06E7C">
        <w:rPr>
          <w:rFonts w:ascii="黑体" w:eastAsia="黑体" w:hAnsi="黑体"/>
          <w:sz w:val="24"/>
          <w:szCs w:val="24"/>
        </w:rPr>
        <w:t>/3</w:t>
      </w:r>
      <w:r>
        <w:rPr>
          <w:rFonts w:ascii="黑体" w:eastAsia="黑体" w:hAnsi="黑体"/>
          <w:sz w:val="24"/>
          <w:szCs w:val="24"/>
        </w:rPr>
        <w:t>,</w:t>
      </w:r>
      <w:r w:rsidRPr="00F06E7C">
        <w:rPr>
          <w:rFonts w:ascii="黑体" w:eastAsia="黑体" w:hAnsi="黑体"/>
          <w:sz w:val="24"/>
          <w:szCs w:val="24"/>
        </w:rPr>
        <w:t>0,</w:t>
      </w:r>
      <w:r w:rsidRPr="00F06E7C">
        <w:rPr>
          <w:rFonts w:ascii="黑体" w:eastAsia="黑体" w:hAnsi="黑体" w:cs="黑体" w:hint="eastAsia"/>
          <w:sz w:val="24"/>
          <w:szCs w:val="24"/>
        </w:rPr>
        <w:t>π</w:t>
      </w:r>
      <w:r w:rsidRPr="00F06E7C">
        <w:rPr>
          <w:rFonts w:ascii="黑体" w:eastAsia="黑体" w:hAnsi="黑体"/>
          <w:sz w:val="24"/>
          <w:szCs w:val="24"/>
        </w:rPr>
        <w:t>/3]的六角skyrmio晶格场</w:t>
      </w:r>
      <w:r>
        <w:rPr>
          <w:rFonts w:ascii="黑体" w:eastAsia="黑体" w:hAnsi="黑体" w:hint="eastAsia"/>
          <w:sz w:val="24"/>
          <w:szCs w:val="24"/>
        </w:rPr>
        <w:t>。</w:t>
      </w:r>
      <w:r w:rsidRPr="00F06E7C">
        <w:rPr>
          <w:rFonts w:ascii="黑体" w:eastAsia="黑体" w:hAnsi="黑体"/>
          <w:sz w:val="24"/>
          <w:szCs w:val="24"/>
        </w:rPr>
        <w:t>图2a显示了使用公式3获得的skyrmionic矢量分布的模拟结果。然而，公式3只能表示Neel型skyrmion（晶格）。在此，我们提出了一种数学上的广义形式，它打破了这一限制：</w:t>
      </w:r>
    </w:p>
    <w:p w14:paraId="12A71449" w14:textId="01D4F1B3" w:rsidR="00DD720E" w:rsidRDefault="00DD720E" w:rsidP="00DD720E">
      <w:pPr>
        <w:spacing w:line="360" w:lineRule="auto"/>
        <w:jc w:val="center"/>
        <w:rPr>
          <w:rFonts w:ascii="黑体" w:eastAsia="黑体" w:hAnsi="黑体"/>
          <w:sz w:val="24"/>
          <w:szCs w:val="24"/>
        </w:rPr>
      </w:pPr>
      <w:r>
        <w:rPr>
          <w:noProof/>
        </w:rPr>
        <w:drawing>
          <wp:inline distT="0" distB="0" distL="0" distR="0" wp14:anchorId="61490D22" wp14:editId="4A89B888">
            <wp:extent cx="3429000" cy="1362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0" cy="1362075"/>
                    </a:xfrm>
                    <a:prstGeom prst="rect">
                      <a:avLst/>
                    </a:prstGeom>
                  </pic:spPr>
                </pic:pic>
              </a:graphicData>
            </a:graphic>
          </wp:inline>
        </w:drawing>
      </w:r>
    </w:p>
    <w:p w14:paraId="047AEC44" w14:textId="50AFB160" w:rsidR="00DD720E" w:rsidRDefault="00DD720E" w:rsidP="009910C8">
      <w:pPr>
        <w:spacing w:line="360" w:lineRule="auto"/>
        <w:rPr>
          <w:rFonts w:ascii="黑体" w:eastAsia="黑体" w:hAnsi="黑体"/>
          <w:sz w:val="24"/>
          <w:szCs w:val="24"/>
        </w:rPr>
      </w:pPr>
      <w:r w:rsidRPr="00DD720E">
        <w:rPr>
          <w:rFonts w:ascii="黑体" w:eastAsia="黑体" w:hAnsi="黑体" w:hint="eastAsia"/>
          <w:sz w:val="24"/>
          <w:szCs w:val="24"/>
        </w:rPr>
        <w:t>与式</w:t>
      </w:r>
      <w:r w:rsidRPr="00DD720E">
        <w:rPr>
          <w:rFonts w:ascii="黑体" w:eastAsia="黑体" w:hAnsi="黑体"/>
          <w:sz w:val="24"/>
          <w:szCs w:val="24"/>
        </w:rPr>
        <w:t>3相比，式4有两个额外的参数，φ</w:t>
      </w:r>
      <w:r w:rsidRPr="00DD720E">
        <w:rPr>
          <w:rFonts w:ascii="黑体" w:eastAsia="黑体" w:hAnsi="黑体"/>
          <w:sz w:val="24"/>
          <w:szCs w:val="24"/>
          <w:vertAlign w:val="subscript"/>
        </w:rPr>
        <w:t>1</w:t>
      </w:r>
      <w:r w:rsidRPr="00DD720E">
        <w:rPr>
          <w:rFonts w:ascii="黑体" w:eastAsia="黑体" w:hAnsi="黑体"/>
          <w:sz w:val="24"/>
          <w:szCs w:val="24"/>
        </w:rPr>
        <w:t>和φ</w:t>
      </w:r>
      <w:r w:rsidRPr="00DD720E">
        <w:rPr>
          <w:rFonts w:ascii="黑体" w:eastAsia="黑体" w:hAnsi="黑体"/>
          <w:sz w:val="24"/>
          <w:szCs w:val="24"/>
          <w:vertAlign w:val="subscript"/>
        </w:rPr>
        <w:t>2</w:t>
      </w:r>
      <w:r w:rsidRPr="00DD720E">
        <w:rPr>
          <w:rFonts w:ascii="黑体" w:eastAsia="黑体" w:hAnsi="黑体"/>
          <w:sz w:val="24"/>
          <w:szCs w:val="24"/>
        </w:rPr>
        <w:t>，其控制可以驱动skyrmionic矢量场覆盖所有三种经典拓扑类型：</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1</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2</w:t>
      </w:r>
      <w:r w:rsidRPr="00BB2C56">
        <w:rPr>
          <w:rFonts w:ascii="黑体" w:eastAsia="黑体" w:hAnsi="黑体"/>
          <w:sz w:val="24"/>
          <w:szCs w:val="24"/>
          <w:highlight w:val="yellow"/>
        </w:rPr>
        <w:t>=0或φ</w:t>
      </w:r>
      <w:r w:rsidRPr="00BB2C56">
        <w:rPr>
          <w:rFonts w:ascii="黑体" w:eastAsia="黑体" w:hAnsi="黑体"/>
          <w:sz w:val="24"/>
          <w:szCs w:val="24"/>
          <w:highlight w:val="yellow"/>
          <w:vertAlign w:val="subscript"/>
        </w:rPr>
        <w:t>1</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2</w:t>
      </w:r>
      <w:r w:rsidRPr="00BB2C56">
        <w:rPr>
          <w:rFonts w:ascii="黑体" w:eastAsia="黑体" w:hAnsi="黑体"/>
          <w:sz w:val="24"/>
          <w:szCs w:val="24"/>
          <w:highlight w:val="yellow"/>
        </w:rPr>
        <w:t>=π</w:t>
      </w:r>
      <w:r w:rsidRPr="00DD720E">
        <w:rPr>
          <w:rFonts w:ascii="黑体" w:eastAsia="黑体" w:hAnsi="黑体"/>
          <w:sz w:val="24"/>
          <w:szCs w:val="24"/>
        </w:rPr>
        <w:t>的Neel型，</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1</w:t>
      </w:r>
      <w:r w:rsidRPr="00BB2C56">
        <w:rPr>
          <w:rFonts w:ascii="黑体" w:eastAsia="黑体" w:hAnsi="黑体"/>
          <w:sz w:val="24"/>
          <w:szCs w:val="24"/>
          <w:highlight w:val="yellow"/>
        </w:rPr>
        <w:t>=</w:t>
      </w:r>
      <w:r w:rsidRPr="00BB2C56">
        <w:rPr>
          <w:rFonts w:ascii="黑体" w:eastAsia="黑体" w:hAnsi="黑体" w:hint="eastAsia"/>
          <w:sz w:val="24"/>
          <w:szCs w:val="24"/>
          <w:highlight w:val="yellow"/>
        </w:rPr>
        <w:t>φ</w:t>
      </w:r>
      <w:r w:rsidRPr="00BB2C56">
        <w:rPr>
          <w:rFonts w:ascii="黑体" w:eastAsia="黑体" w:hAnsi="黑体"/>
          <w:sz w:val="24"/>
          <w:szCs w:val="24"/>
          <w:highlight w:val="yellow"/>
          <w:vertAlign w:val="subscript"/>
        </w:rPr>
        <w:t>2</w:t>
      </w:r>
      <w:r w:rsidRPr="00BB2C56">
        <w:rPr>
          <w:rFonts w:ascii="黑体" w:eastAsia="黑体" w:hAnsi="黑体"/>
          <w:sz w:val="24"/>
          <w:szCs w:val="24"/>
          <w:highlight w:val="yellow"/>
        </w:rPr>
        <w:t>=</w:t>
      </w:r>
      <w:r w:rsidRPr="00BB2C56">
        <w:rPr>
          <w:rFonts w:ascii="黑体" w:eastAsia="黑体" w:hAnsi="黑体" w:hint="eastAsia"/>
          <w:sz w:val="24"/>
          <w:szCs w:val="24"/>
          <w:highlight w:val="yellow"/>
        </w:rPr>
        <w:t>π</w:t>
      </w:r>
      <w:r w:rsidRPr="00BB2C56">
        <w:rPr>
          <w:rFonts w:ascii="黑体" w:eastAsia="黑体" w:hAnsi="黑体"/>
          <w:sz w:val="24"/>
          <w:szCs w:val="24"/>
          <w:highlight w:val="yellow"/>
        </w:rPr>
        <w:t>/2或φ</w:t>
      </w:r>
      <w:r w:rsidRPr="00BB2C56">
        <w:rPr>
          <w:rFonts w:ascii="黑体" w:eastAsia="黑体" w:hAnsi="黑体"/>
          <w:sz w:val="24"/>
          <w:szCs w:val="24"/>
          <w:highlight w:val="yellow"/>
          <w:vertAlign w:val="subscript"/>
        </w:rPr>
        <w:t>1</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2</w:t>
      </w:r>
      <w:r w:rsidRPr="00BB2C56">
        <w:rPr>
          <w:rFonts w:ascii="黑体" w:eastAsia="黑体" w:hAnsi="黑体"/>
          <w:sz w:val="24"/>
          <w:szCs w:val="24"/>
          <w:highlight w:val="yellow"/>
        </w:rPr>
        <w:t>=3π/2</w:t>
      </w:r>
      <w:r w:rsidRPr="00DD720E">
        <w:rPr>
          <w:rFonts w:ascii="黑体" w:eastAsia="黑体" w:hAnsi="黑体"/>
          <w:sz w:val="24"/>
          <w:szCs w:val="24"/>
        </w:rPr>
        <w:t>的Bloch型，以及</w:t>
      </w:r>
      <w:r w:rsidRPr="00BB2C56">
        <w:rPr>
          <w:rFonts w:ascii="黑体" w:eastAsia="黑体" w:hAnsi="黑体"/>
          <w:sz w:val="24"/>
          <w:szCs w:val="24"/>
          <w:highlight w:val="yellow"/>
        </w:rPr>
        <w:t>|φ</w:t>
      </w:r>
      <w:r w:rsidRPr="00BB2C56">
        <w:rPr>
          <w:rFonts w:ascii="黑体" w:eastAsia="黑体" w:hAnsi="黑体"/>
          <w:sz w:val="24"/>
          <w:szCs w:val="24"/>
          <w:highlight w:val="yellow"/>
          <w:vertAlign w:val="subscript"/>
        </w:rPr>
        <w:t>1</w:t>
      </w:r>
      <w:r w:rsidRPr="00BB2C56">
        <w:rPr>
          <w:rFonts w:ascii="黑体" w:eastAsia="黑体" w:hAnsi="黑体" w:hint="eastAsia"/>
          <w:sz w:val="24"/>
          <w:szCs w:val="24"/>
          <w:highlight w:val="yellow"/>
        </w:rPr>
        <w:t>-φ</w:t>
      </w:r>
      <w:r w:rsidRPr="00BB2C56">
        <w:rPr>
          <w:rFonts w:ascii="黑体" w:eastAsia="黑体" w:hAnsi="黑体"/>
          <w:sz w:val="24"/>
          <w:szCs w:val="24"/>
          <w:highlight w:val="yellow"/>
          <w:vertAlign w:val="subscript"/>
        </w:rPr>
        <w:t>2</w:t>
      </w:r>
      <w:r w:rsidRPr="00BB2C56">
        <w:rPr>
          <w:rFonts w:ascii="黑体" w:eastAsia="黑体" w:hAnsi="黑体"/>
          <w:sz w:val="24"/>
          <w:szCs w:val="24"/>
          <w:highlight w:val="yellow"/>
        </w:rPr>
        <w:t>|=π</w:t>
      </w:r>
      <w:r w:rsidRPr="00DD720E">
        <w:rPr>
          <w:rFonts w:ascii="黑体" w:eastAsia="黑体" w:hAnsi="黑体"/>
          <w:sz w:val="24"/>
          <w:szCs w:val="24"/>
        </w:rPr>
        <w:t>的</w:t>
      </w:r>
      <w:r>
        <w:rPr>
          <w:rFonts w:ascii="黑体" w:eastAsia="黑体" w:hAnsi="黑体" w:hint="eastAsia"/>
          <w:sz w:val="24"/>
          <w:szCs w:val="24"/>
        </w:rPr>
        <w:t>反</w:t>
      </w:r>
      <w:r w:rsidRPr="00DD720E">
        <w:rPr>
          <w:rFonts w:ascii="黑体" w:eastAsia="黑体" w:hAnsi="黑体"/>
          <w:sz w:val="24"/>
          <w:szCs w:val="24"/>
        </w:rPr>
        <w:t>kyrmion型.对于这三种拓扑类型，使用公式4获得的数值模拟结果如图2</w:t>
      </w:r>
      <w:r>
        <w:rPr>
          <w:rFonts w:ascii="黑体" w:eastAsia="黑体" w:hAnsi="黑体" w:hint="eastAsia"/>
          <w:sz w:val="24"/>
          <w:szCs w:val="24"/>
        </w:rPr>
        <w:t>a-c</w:t>
      </w:r>
      <w:r w:rsidRPr="00DD720E">
        <w:rPr>
          <w:rFonts w:ascii="黑体" w:eastAsia="黑体" w:hAnsi="黑体"/>
          <w:sz w:val="24"/>
          <w:szCs w:val="24"/>
        </w:rPr>
        <w:t>所示</w:t>
      </w:r>
      <w:r>
        <w:rPr>
          <w:rFonts w:ascii="黑体" w:eastAsia="黑体" w:hAnsi="黑体" w:hint="eastAsia"/>
          <w:sz w:val="24"/>
          <w:szCs w:val="24"/>
        </w:rPr>
        <w:t>。</w:t>
      </w:r>
      <w:r w:rsidRPr="00DD720E">
        <w:rPr>
          <w:rFonts w:ascii="黑体" w:eastAsia="黑体" w:hAnsi="黑体"/>
          <w:sz w:val="24"/>
          <w:szCs w:val="24"/>
        </w:rPr>
        <w:t>通常，φ</w:t>
      </w:r>
      <w:r w:rsidRPr="00DD720E">
        <w:rPr>
          <w:rFonts w:ascii="黑体" w:eastAsia="黑体" w:hAnsi="黑体"/>
          <w:sz w:val="24"/>
          <w:szCs w:val="24"/>
          <w:vertAlign w:val="subscript"/>
        </w:rPr>
        <w:t>1</w:t>
      </w:r>
      <w:r w:rsidRPr="00DD720E">
        <w:rPr>
          <w:rFonts w:ascii="黑体" w:eastAsia="黑体" w:hAnsi="黑体"/>
          <w:sz w:val="24"/>
          <w:szCs w:val="24"/>
        </w:rPr>
        <w:t>和φ</w:t>
      </w:r>
      <w:r w:rsidRPr="00DD720E">
        <w:rPr>
          <w:rFonts w:ascii="黑体" w:eastAsia="黑体" w:hAnsi="黑体"/>
          <w:sz w:val="24"/>
          <w:szCs w:val="24"/>
          <w:vertAlign w:val="subscript"/>
        </w:rPr>
        <w:t>2</w:t>
      </w:r>
      <w:r w:rsidRPr="00DD720E">
        <w:rPr>
          <w:rFonts w:ascii="黑体" w:eastAsia="黑体" w:hAnsi="黑体"/>
          <w:sz w:val="24"/>
          <w:szCs w:val="24"/>
        </w:rPr>
        <w:t>作为参数来动</w:t>
      </w:r>
      <w:r w:rsidRPr="00DD720E">
        <w:rPr>
          <w:rFonts w:ascii="黑体" w:eastAsia="黑体" w:hAnsi="黑体"/>
          <w:sz w:val="24"/>
          <w:szCs w:val="24"/>
        </w:rPr>
        <w:lastRenderedPageBreak/>
        <w:t>态调整三个典型拓扑纹理中的拓扑纹理。</w:t>
      </w:r>
    </w:p>
    <w:p w14:paraId="3FCA0A56" w14:textId="6ABDBFAD" w:rsidR="00DD720E" w:rsidRDefault="00DD720E" w:rsidP="009910C8">
      <w:pPr>
        <w:spacing w:line="360" w:lineRule="auto"/>
        <w:rPr>
          <w:rFonts w:ascii="黑体" w:eastAsia="黑体" w:hAnsi="黑体"/>
          <w:sz w:val="24"/>
          <w:szCs w:val="24"/>
        </w:rPr>
      </w:pPr>
      <w:r>
        <w:rPr>
          <w:noProof/>
        </w:rPr>
        <w:drawing>
          <wp:inline distT="0" distB="0" distL="0" distR="0" wp14:anchorId="43064E4C" wp14:editId="7C29CD81">
            <wp:extent cx="5486400" cy="21361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136140"/>
                    </a:xfrm>
                    <a:prstGeom prst="rect">
                      <a:avLst/>
                    </a:prstGeom>
                  </pic:spPr>
                </pic:pic>
              </a:graphicData>
            </a:graphic>
          </wp:inline>
        </w:drawing>
      </w:r>
    </w:p>
    <w:p w14:paraId="0C6F4CC2" w14:textId="63D1E7CF" w:rsidR="00DD720E" w:rsidRDefault="00186D95" w:rsidP="009910C8">
      <w:pPr>
        <w:spacing w:line="360" w:lineRule="auto"/>
        <w:rPr>
          <w:rFonts w:ascii="黑体" w:eastAsia="黑体" w:hAnsi="黑体"/>
          <w:sz w:val="24"/>
          <w:szCs w:val="24"/>
        </w:rPr>
      </w:pPr>
      <w:r w:rsidRPr="00186D95">
        <w:rPr>
          <w:rFonts w:ascii="黑体" w:eastAsia="黑体" w:hAnsi="黑体" w:hint="eastAsia"/>
          <w:sz w:val="24"/>
          <w:szCs w:val="24"/>
        </w:rPr>
        <w:t>图</w:t>
      </w:r>
      <w:r w:rsidRPr="00186D95">
        <w:rPr>
          <w:rFonts w:ascii="黑体" w:eastAsia="黑体" w:hAnsi="黑体"/>
          <w:sz w:val="24"/>
          <w:szCs w:val="24"/>
        </w:rPr>
        <w:t>2.（a1</w:t>
      </w:r>
      <w:r>
        <w:rPr>
          <w:rFonts w:ascii="黑体" w:eastAsia="黑体" w:hAnsi="黑体"/>
          <w:sz w:val="24"/>
          <w:szCs w:val="24"/>
        </w:rPr>
        <w:t>-</w:t>
      </w:r>
      <w:r>
        <w:rPr>
          <w:rFonts w:ascii="黑体" w:eastAsia="黑体" w:hAnsi="黑体" w:hint="eastAsia"/>
          <w:sz w:val="24"/>
          <w:szCs w:val="24"/>
        </w:rPr>
        <w:t>e1</w:t>
      </w:r>
      <w:r w:rsidRPr="00186D95">
        <w:rPr>
          <w:rFonts w:ascii="黑体" w:eastAsia="黑体" w:hAnsi="黑体"/>
          <w:sz w:val="24"/>
          <w:szCs w:val="24"/>
        </w:rPr>
        <w:t>）的模拟结果三维矢量分布（n</w:t>
      </w:r>
      <w:r w:rsidRPr="00186D95">
        <w:rPr>
          <w:rFonts w:ascii="黑体" w:eastAsia="黑体" w:hAnsi="黑体"/>
          <w:sz w:val="24"/>
          <w:szCs w:val="24"/>
          <w:vertAlign w:val="subscript"/>
        </w:rPr>
        <w:t>x</w:t>
      </w:r>
      <w:r w:rsidRPr="00186D95">
        <w:rPr>
          <w:rFonts w:ascii="黑体" w:eastAsia="黑体" w:hAnsi="黑体"/>
          <w:sz w:val="24"/>
          <w:szCs w:val="24"/>
        </w:rPr>
        <w:t>，n</w:t>
      </w:r>
      <w:r w:rsidRPr="00186D95">
        <w:rPr>
          <w:rFonts w:ascii="黑体" w:eastAsia="黑体" w:hAnsi="黑体"/>
          <w:sz w:val="24"/>
          <w:szCs w:val="24"/>
          <w:vertAlign w:val="subscript"/>
        </w:rPr>
        <w:t>y</w:t>
      </w:r>
      <w:r w:rsidRPr="00186D95">
        <w:rPr>
          <w:rFonts w:ascii="黑体" w:eastAsia="黑体" w:hAnsi="黑体"/>
          <w:sz w:val="24"/>
          <w:szCs w:val="24"/>
        </w:rPr>
        <w:t>，n</w:t>
      </w:r>
      <w:r w:rsidRPr="00186D95">
        <w:rPr>
          <w:rFonts w:ascii="黑体" w:eastAsia="黑体" w:hAnsi="黑体"/>
          <w:sz w:val="24"/>
          <w:szCs w:val="24"/>
          <w:vertAlign w:val="subscript"/>
        </w:rPr>
        <w:t>z</w:t>
      </w:r>
      <w:r w:rsidRPr="00186D95">
        <w:rPr>
          <w:rFonts w:ascii="黑体" w:eastAsia="黑体" w:hAnsi="黑体"/>
          <w:sz w:val="24"/>
          <w:szCs w:val="24"/>
        </w:rPr>
        <w:t>）和（a2</w:t>
      </w:r>
      <w:r w:rsidRPr="00186D95">
        <w:rPr>
          <w:rFonts w:ascii="微软雅黑" w:eastAsia="微软雅黑" w:hAnsi="微软雅黑" w:cs="微软雅黑" w:hint="eastAsia"/>
          <w:sz w:val="24"/>
          <w:szCs w:val="24"/>
        </w:rPr>
        <w:t>−</w:t>
      </w:r>
      <w:r w:rsidRPr="00186D95">
        <w:rPr>
          <w:rFonts w:ascii="黑体" w:eastAsia="黑体" w:hAnsi="黑体"/>
          <w:sz w:val="24"/>
          <w:szCs w:val="24"/>
        </w:rPr>
        <w:t>e2）的横向分量向量（n</w:t>
      </w:r>
      <w:r w:rsidRPr="00186D95">
        <w:rPr>
          <w:rFonts w:ascii="黑体" w:eastAsia="黑体" w:hAnsi="黑体"/>
          <w:sz w:val="24"/>
          <w:szCs w:val="24"/>
          <w:vertAlign w:val="subscript"/>
        </w:rPr>
        <w:t>x</w:t>
      </w:r>
      <w:r w:rsidRPr="00186D95">
        <w:rPr>
          <w:rFonts w:ascii="黑体" w:eastAsia="黑体" w:hAnsi="黑体"/>
          <w:sz w:val="24"/>
          <w:szCs w:val="24"/>
        </w:rPr>
        <w:t>，n</w:t>
      </w:r>
      <w:r w:rsidRPr="00186D95">
        <w:rPr>
          <w:rFonts w:ascii="黑体" w:eastAsia="黑体" w:hAnsi="黑体"/>
          <w:sz w:val="24"/>
          <w:szCs w:val="24"/>
          <w:vertAlign w:val="subscript"/>
        </w:rPr>
        <w:t>y</w:t>
      </w:r>
      <w:r w:rsidRPr="00186D95">
        <w:rPr>
          <w:rFonts w:ascii="黑体" w:eastAsia="黑体" w:hAnsi="黑体"/>
          <w:sz w:val="24"/>
          <w:szCs w:val="24"/>
        </w:rPr>
        <w:t>）</w:t>
      </w:r>
      <w:r>
        <w:rPr>
          <w:rFonts w:ascii="黑体" w:eastAsia="黑体" w:hAnsi="黑体" w:hint="eastAsia"/>
          <w:sz w:val="24"/>
          <w:szCs w:val="24"/>
        </w:rPr>
        <w:t>（a</w:t>
      </w:r>
      <w:r w:rsidRPr="00186D95">
        <w:rPr>
          <w:rFonts w:ascii="微软雅黑" w:eastAsia="微软雅黑" w:hAnsi="微软雅黑" w:cs="微软雅黑" w:hint="eastAsia"/>
          <w:sz w:val="24"/>
          <w:szCs w:val="24"/>
        </w:rPr>
        <w:t>−</w:t>
      </w:r>
      <w:r w:rsidRPr="00186D95">
        <w:rPr>
          <w:rFonts w:ascii="黑体" w:eastAsia="黑体" w:hAnsi="黑体"/>
          <w:sz w:val="24"/>
          <w:szCs w:val="24"/>
        </w:rPr>
        <w:t>d）具有不同拓扑结构的可调谐光学Skyrmion，拓扑结构为（a）Ne-el型（φ</w:t>
      </w:r>
      <w:r w:rsidRPr="00186D95">
        <w:rPr>
          <w:rFonts w:ascii="黑体" w:eastAsia="黑体" w:hAnsi="黑体"/>
          <w:sz w:val="24"/>
          <w:szCs w:val="24"/>
          <w:vertAlign w:val="subscript"/>
        </w:rPr>
        <w:t>1</w:t>
      </w:r>
      <w:r w:rsidRPr="00186D95">
        <w:rPr>
          <w:rFonts w:ascii="黑体" w:eastAsia="黑体" w:hAnsi="黑体"/>
          <w:sz w:val="24"/>
          <w:szCs w:val="24"/>
        </w:rPr>
        <w:t>=φ</w:t>
      </w:r>
      <w:r w:rsidRPr="00186D95">
        <w:rPr>
          <w:rFonts w:ascii="黑体" w:eastAsia="黑体" w:hAnsi="黑体"/>
          <w:sz w:val="24"/>
          <w:szCs w:val="24"/>
          <w:vertAlign w:val="subscript"/>
        </w:rPr>
        <w:t>2</w:t>
      </w:r>
      <w:r w:rsidRPr="00186D95">
        <w:rPr>
          <w:rFonts w:ascii="黑体" w:eastAsia="黑体" w:hAnsi="黑体"/>
          <w:sz w:val="24"/>
          <w:szCs w:val="24"/>
        </w:rPr>
        <w:t>=0），（b）Bloch型（φ</w:t>
      </w:r>
      <w:r w:rsidRPr="00186D95">
        <w:rPr>
          <w:rFonts w:ascii="黑体" w:eastAsia="黑体" w:hAnsi="黑体"/>
          <w:sz w:val="24"/>
          <w:szCs w:val="24"/>
          <w:vertAlign w:val="subscript"/>
        </w:rPr>
        <w:t>1</w:t>
      </w:r>
      <w:r w:rsidRPr="00186D95">
        <w:rPr>
          <w:rFonts w:ascii="黑体" w:eastAsia="黑体" w:hAnsi="黑体"/>
          <w:sz w:val="24"/>
          <w:szCs w:val="24"/>
        </w:rPr>
        <w:t>=φ</w:t>
      </w:r>
      <w:r w:rsidRPr="00186D95">
        <w:rPr>
          <w:rFonts w:ascii="黑体" w:eastAsia="黑体" w:hAnsi="黑体"/>
          <w:sz w:val="24"/>
          <w:szCs w:val="24"/>
          <w:vertAlign w:val="subscript"/>
        </w:rPr>
        <w:t>2</w:t>
      </w:r>
      <w:r w:rsidRPr="00186D95">
        <w:rPr>
          <w:rFonts w:ascii="黑体" w:eastAsia="黑体" w:hAnsi="黑体"/>
          <w:sz w:val="24"/>
          <w:szCs w:val="24"/>
        </w:rPr>
        <w:t>=π/2），（c）反</w:t>
      </w:r>
      <w:r>
        <w:rPr>
          <w:rFonts w:ascii="黑体" w:eastAsia="黑体" w:hAnsi="黑体" w:hint="eastAsia"/>
          <w:sz w:val="24"/>
          <w:szCs w:val="24"/>
        </w:rPr>
        <w:t>斯格明子</w:t>
      </w:r>
      <w:r w:rsidRPr="00186D95">
        <w:rPr>
          <w:rFonts w:ascii="黑体" w:eastAsia="黑体" w:hAnsi="黑体"/>
          <w:sz w:val="24"/>
          <w:szCs w:val="24"/>
        </w:rPr>
        <w:t>（φ</w:t>
      </w:r>
      <w:r w:rsidRPr="00186D95">
        <w:rPr>
          <w:rFonts w:ascii="黑体" w:eastAsia="黑体" w:hAnsi="黑体"/>
          <w:sz w:val="24"/>
          <w:szCs w:val="24"/>
          <w:vertAlign w:val="subscript"/>
        </w:rPr>
        <w:t>1</w:t>
      </w:r>
      <w:r w:rsidRPr="00186D95">
        <w:rPr>
          <w:rFonts w:ascii="黑体" w:eastAsia="黑体" w:hAnsi="黑体"/>
          <w:sz w:val="24"/>
          <w:szCs w:val="24"/>
        </w:rPr>
        <w:t>=0，φ</w:t>
      </w:r>
      <w:r w:rsidRPr="00186D95">
        <w:rPr>
          <w:rFonts w:ascii="黑体" w:eastAsia="黑体" w:hAnsi="黑体"/>
          <w:sz w:val="24"/>
          <w:szCs w:val="24"/>
          <w:vertAlign w:val="subscript"/>
        </w:rPr>
        <w:t>2</w:t>
      </w:r>
      <w:r w:rsidRPr="00186D95">
        <w:rPr>
          <w:rFonts w:ascii="黑体" w:eastAsia="黑体" w:hAnsi="黑体"/>
          <w:sz w:val="24"/>
          <w:szCs w:val="24"/>
        </w:rPr>
        <w:t>=π），和（d）中间态（φ</w:t>
      </w:r>
      <w:r w:rsidRPr="00186D95">
        <w:rPr>
          <w:rFonts w:ascii="黑体" w:eastAsia="黑体" w:hAnsi="黑体"/>
          <w:sz w:val="24"/>
          <w:szCs w:val="24"/>
          <w:vertAlign w:val="subscript"/>
        </w:rPr>
        <w:t>1</w:t>
      </w:r>
      <w:r w:rsidRPr="00186D95">
        <w:rPr>
          <w:rFonts w:ascii="黑体" w:eastAsia="黑体" w:hAnsi="黑体"/>
          <w:sz w:val="24"/>
          <w:szCs w:val="24"/>
        </w:rPr>
        <w:t>=φ</w:t>
      </w:r>
      <w:r w:rsidRPr="00186D95">
        <w:rPr>
          <w:rFonts w:ascii="黑体" w:eastAsia="黑体" w:hAnsi="黑体"/>
          <w:sz w:val="24"/>
          <w:szCs w:val="24"/>
          <w:vertAlign w:val="subscript"/>
        </w:rPr>
        <w:t>2</w:t>
      </w:r>
      <w:r w:rsidRPr="00186D95">
        <w:rPr>
          <w:rFonts w:ascii="黑体" w:eastAsia="黑体" w:hAnsi="黑体"/>
          <w:sz w:val="24"/>
          <w:szCs w:val="24"/>
        </w:rPr>
        <w:t>=</w:t>
      </w:r>
      <w:r>
        <w:rPr>
          <w:rFonts w:ascii="黑体" w:eastAsia="黑体" w:hAnsi="黑体" w:hint="eastAsia"/>
          <w:sz w:val="24"/>
          <w:szCs w:val="24"/>
        </w:rPr>
        <w:t>π</w:t>
      </w:r>
      <w:r w:rsidRPr="00186D95">
        <w:rPr>
          <w:rFonts w:ascii="黑体" w:eastAsia="黑体" w:hAnsi="黑体"/>
          <w:sz w:val="24"/>
          <w:szCs w:val="24"/>
        </w:rPr>
        <w:t>/4）和（e）非</w:t>
      </w:r>
      <w:r>
        <w:rPr>
          <w:rFonts w:ascii="黑体" w:eastAsia="黑体" w:hAnsi="黑体" w:hint="eastAsia"/>
          <w:sz w:val="24"/>
          <w:szCs w:val="24"/>
        </w:rPr>
        <w:t>斯格明子</w:t>
      </w:r>
      <w:r w:rsidRPr="00186D95">
        <w:rPr>
          <w:rFonts w:ascii="黑体" w:eastAsia="黑体" w:hAnsi="黑体"/>
          <w:sz w:val="24"/>
          <w:szCs w:val="24"/>
        </w:rPr>
        <w:t>（φ</w:t>
      </w:r>
      <w:r w:rsidRPr="00186D95">
        <w:rPr>
          <w:rFonts w:ascii="黑体" w:eastAsia="黑体" w:hAnsi="黑体"/>
          <w:sz w:val="24"/>
          <w:szCs w:val="24"/>
          <w:vertAlign w:val="subscript"/>
        </w:rPr>
        <w:t>1</w:t>
      </w:r>
      <w:r w:rsidRPr="00186D95">
        <w:rPr>
          <w:rFonts w:ascii="黑体" w:eastAsia="黑体" w:hAnsi="黑体"/>
          <w:sz w:val="24"/>
          <w:szCs w:val="24"/>
        </w:rPr>
        <w:t>=0，Φ</w:t>
      </w:r>
      <w:r w:rsidRPr="00186D95">
        <w:rPr>
          <w:rFonts w:ascii="黑体" w:eastAsia="黑体" w:hAnsi="黑体"/>
          <w:sz w:val="24"/>
          <w:szCs w:val="24"/>
          <w:vertAlign w:val="subscript"/>
        </w:rPr>
        <w:t>2</w:t>
      </w:r>
      <w:r w:rsidRPr="00186D95">
        <w:rPr>
          <w:rFonts w:ascii="黑体" w:eastAsia="黑体" w:hAnsi="黑体"/>
          <w:sz w:val="24"/>
          <w:szCs w:val="24"/>
        </w:rPr>
        <w:t>=π/2）。</w:t>
      </w:r>
    </w:p>
    <w:p w14:paraId="6382EA0D" w14:textId="06B6D848" w:rsidR="00DD720E" w:rsidRDefault="00DD720E" w:rsidP="009910C8">
      <w:pPr>
        <w:spacing w:line="360" w:lineRule="auto"/>
        <w:rPr>
          <w:rFonts w:ascii="黑体" w:eastAsia="黑体" w:hAnsi="黑体"/>
          <w:sz w:val="24"/>
          <w:szCs w:val="24"/>
        </w:rPr>
      </w:pPr>
    </w:p>
    <w:p w14:paraId="53AFD2EB" w14:textId="05FD9532" w:rsidR="00186D95" w:rsidRPr="00186D95" w:rsidRDefault="00186D95" w:rsidP="00186D95">
      <w:pPr>
        <w:spacing w:line="360" w:lineRule="auto"/>
        <w:rPr>
          <w:rFonts w:ascii="黑体" w:eastAsia="黑体" w:hAnsi="黑体"/>
          <w:sz w:val="24"/>
          <w:szCs w:val="24"/>
        </w:rPr>
      </w:pPr>
      <w:r w:rsidRPr="00186D95">
        <w:rPr>
          <w:rFonts w:ascii="黑体" w:eastAsia="黑体" w:hAnsi="黑体" w:hint="eastAsia"/>
          <w:sz w:val="24"/>
          <w:szCs w:val="24"/>
        </w:rPr>
        <w:t>值得注意的是，</w:t>
      </w:r>
      <w:r w:rsidRPr="00186D95">
        <w:rPr>
          <w:rFonts w:ascii="黑体" w:eastAsia="黑体" w:hAnsi="黑体"/>
          <w:sz w:val="24"/>
          <w:szCs w:val="24"/>
        </w:rPr>
        <w:t>Neel型纹理可以持续变形为Bloch型纹理。通常，中间skyrmion可以用φ</w:t>
      </w:r>
      <w:r w:rsidRPr="00B95C7F">
        <w:rPr>
          <w:rFonts w:ascii="黑体" w:eastAsia="黑体" w:hAnsi="黑体"/>
          <w:sz w:val="24"/>
          <w:szCs w:val="24"/>
          <w:vertAlign w:val="subscript"/>
        </w:rPr>
        <w:t>1</w:t>
      </w:r>
      <w:r w:rsidRPr="00186D95">
        <w:rPr>
          <w:rFonts w:ascii="黑体" w:eastAsia="黑体" w:hAnsi="黑体"/>
          <w:sz w:val="24"/>
          <w:szCs w:val="24"/>
        </w:rPr>
        <w:t>=φ</w:t>
      </w:r>
      <w:r w:rsidRPr="00B95C7F">
        <w:rPr>
          <w:rFonts w:ascii="黑体" w:eastAsia="黑体" w:hAnsi="黑体"/>
          <w:sz w:val="24"/>
          <w:szCs w:val="24"/>
          <w:vertAlign w:val="subscript"/>
        </w:rPr>
        <w:t>2</w:t>
      </w:r>
      <w:r w:rsidRPr="00186D95">
        <w:rPr>
          <w:rFonts w:ascii="黑体" w:eastAsia="黑体" w:hAnsi="黑体"/>
          <w:sz w:val="24"/>
          <w:szCs w:val="24"/>
        </w:rPr>
        <w:t>=φ</w:t>
      </w:r>
      <w:r w:rsidR="0096340F" w:rsidRPr="00186D95">
        <w:rPr>
          <w:rFonts w:ascii="黑体" w:eastAsia="黑体" w:hAnsi="黑体"/>
          <w:sz w:val="24"/>
          <w:szCs w:val="24"/>
        </w:rPr>
        <w:t>∈ [0,2π]</w:t>
      </w:r>
      <w:r w:rsidRPr="00186D95">
        <w:rPr>
          <w:rFonts w:ascii="黑体" w:eastAsia="黑体" w:hAnsi="黑体"/>
          <w:sz w:val="24"/>
          <w:szCs w:val="24"/>
        </w:rPr>
        <w:t>的等式4来解释（对于Neíel型，φ=0，π；对于Bloch型，φ=π/2,3π/2）。视频S1显示了这种演变，图2d显示了一个中间skyrmion的示例。</w:t>
      </w:r>
    </w:p>
    <w:p w14:paraId="2F93F1BD" w14:textId="7A052687" w:rsidR="00186D95" w:rsidRDefault="00186D95" w:rsidP="00186D95">
      <w:pPr>
        <w:spacing w:line="360" w:lineRule="auto"/>
        <w:rPr>
          <w:rFonts w:ascii="黑体" w:eastAsia="黑体" w:hAnsi="黑体"/>
          <w:sz w:val="24"/>
          <w:szCs w:val="24"/>
        </w:rPr>
      </w:pPr>
      <w:r w:rsidRPr="00186D95">
        <w:rPr>
          <w:rFonts w:ascii="黑体" w:eastAsia="黑体" w:hAnsi="黑体" w:hint="eastAsia"/>
          <w:sz w:val="24"/>
          <w:szCs w:val="24"/>
        </w:rPr>
        <w:t>然而，由于它们具有不同的拓扑保护（相反的涡度），因此不可能将反</w:t>
      </w:r>
      <w:r w:rsidRPr="00186D95">
        <w:rPr>
          <w:rFonts w:ascii="黑体" w:eastAsia="黑体" w:hAnsi="黑体"/>
          <w:sz w:val="24"/>
          <w:szCs w:val="24"/>
        </w:rPr>
        <w:t>skyrmion变形为Neel或Bloch型skyrmion。当演化从Neel型或Bloch型skyrmion演化为反skyrmions时，矢量场必须满足非</w:t>
      </w:r>
      <w:r w:rsidR="004316F6">
        <w:rPr>
          <w:rFonts w:ascii="黑体" w:eastAsia="黑体" w:hAnsi="黑体"/>
          <w:sz w:val="24"/>
          <w:szCs w:val="24"/>
        </w:rPr>
        <w:t>skyrmion</w:t>
      </w:r>
      <w:r w:rsidRPr="00186D95">
        <w:rPr>
          <w:rFonts w:ascii="黑体" w:eastAsia="黑体" w:hAnsi="黑体"/>
          <w:sz w:val="24"/>
          <w:szCs w:val="24"/>
        </w:rPr>
        <w:t>的边界状态，如图2e所示。在非</w:t>
      </w:r>
      <w:r w:rsidR="00BB2C56">
        <w:rPr>
          <w:rFonts w:ascii="黑体" w:eastAsia="黑体" w:hAnsi="黑体"/>
          <w:sz w:val="24"/>
          <w:szCs w:val="24"/>
        </w:rPr>
        <w:t>斯格明子</w:t>
      </w:r>
      <w:r w:rsidRPr="00186D95">
        <w:rPr>
          <w:rFonts w:ascii="黑体" w:eastAsia="黑体" w:hAnsi="黑体"/>
          <w:sz w:val="24"/>
          <w:szCs w:val="24"/>
        </w:rPr>
        <w:t>中，横向分量矢量只有一个45°方向，这就是为什么它不是</w:t>
      </w:r>
      <w:r w:rsidR="00BB2C56">
        <w:rPr>
          <w:rFonts w:ascii="黑体" w:eastAsia="黑体" w:hAnsi="黑体"/>
          <w:sz w:val="24"/>
          <w:szCs w:val="24"/>
        </w:rPr>
        <w:t>斯格明子</w:t>
      </w:r>
      <w:r w:rsidRPr="00186D95">
        <w:rPr>
          <w:rFonts w:ascii="黑体" w:eastAsia="黑体" w:hAnsi="黑体"/>
          <w:sz w:val="24"/>
          <w:szCs w:val="24"/>
        </w:rPr>
        <w:t>（</w:t>
      </w:r>
      <w:r w:rsidR="00BB2C56" w:rsidRPr="004316F6">
        <w:rPr>
          <w:rFonts w:ascii="黑体" w:eastAsia="黑体" w:hAnsi="黑体"/>
          <w:sz w:val="24"/>
          <w:szCs w:val="24"/>
          <w:highlight w:val="yellow"/>
        </w:rPr>
        <w:t>斯格明子</w:t>
      </w:r>
      <w:r w:rsidRPr="004316F6">
        <w:rPr>
          <w:rFonts w:ascii="黑体" w:eastAsia="黑体" w:hAnsi="黑体"/>
          <w:sz w:val="24"/>
          <w:szCs w:val="24"/>
          <w:highlight w:val="yellow"/>
        </w:rPr>
        <w:t>要求横向分量覆盖整个方位角范围</w:t>
      </w:r>
      <w:r w:rsidRPr="00186D95">
        <w:rPr>
          <w:rFonts w:ascii="黑体" w:eastAsia="黑体" w:hAnsi="黑体"/>
          <w:sz w:val="24"/>
          <w:szCs w:val="24"/>
        </w:rPr>
        <w:t>）。视频S2（视频S3）显示了从Bloch（Neel）skyrmion到antiskyrmion的演变过程。</w:t>
      </w:r>
    </w:p>
    <w:p w14:paraId="35173E00" w14:textId="728FB78D" w:rsidR="00B95C7F" w:rsidRDefault="00B95C7F" w:rsidP="00186D95">
      <w:pPr>
        <w:spacing w:line="360" w:lineRule="auto"/>
        <w:rPr>
          <w:rFonts w:ascii="黑体" w:eastAsia="黑体" w:hAnsi="黑体"/>
          <w:sz w:val="24"/>
          <w:szCs w:val="24"/>
        </w:rPr>
      </w:pPr>
      <w:r w:rsidRPr="00B95C7F">
        <w:rPr>
          <w:rFonts w:ascii="黑体" w:eastAsia="黑体" w:hAnsi="黑体" w:hint="eastAsia"/>
          <w:sz w:val="24"/>
          <w:szCs w:val="24"/>
        </w:rPr>
        <w:t>等式</w:t>
      </w:r>
      <w:r w:rsidRPr="00B95C7F">
        <w:rPr>
          <w:rFonts w:ascii="黑体" w:eastAsia="黑体" w:hAnsi="黑体"/>
          <w:sz w:val="24"/>
          <w:szCs w:val="24"/>
        </w:rPr>
        <w:t>4中给出的数学表示对于可调谐光学skyrmion是正确的，但它们的</w:t>
      </w:r>
      <w:r w:rsidRPr="004316F6">
        <w:rPr>
          <w:rFonts w:ascii="黑体" w:eastAsia="黑体" w:hAnsi="黑体"/>
          <w:sz w:val="24"/>
          <w:szCs w:val="24"/>
          <w:highlight w:val="yellow"/>
        </w:rPr>
        <w:t>实验实现仍然很麻烦</w:t>
      </w:r>
      <w:r w:rsidRPr="00B95C7F">
        <w:rPr>
          <w:rFonts w:ascii="黑体" w:eastAsia="黑体" w:hAnsi="黑体"/>
          <w:sz w:val="24"/>
          <w:szCs w:val="24"/>
        </w:rPr>
        <w:t>。如果尝试使用SPP生成等式4所述的可调谐skyrmion，则两个参数φ</w:t>
      </w:r>
      <w:r w:rsidRPr="00B95C7F">
        <w:rPr>
          <w:rFonts w:ascii="黑体" w:eastAsia="黑体" w:hAnsi="黑体"/>
          <w:sz w:val="24"/>
          <w:szCs w:val="24"/>
          <w:vertAlign w:val="subscript"/>
        </w:rPr>
        <w:t>1</w:t>
      </w:r>
      <w:r w:rsidRPr="00B95C7F">
        <w:rPr>
          <w:rFonts w:ascii="黑体" w:eastAsia="黑体" w:hAnsi="黑体"/>
          <w:sz w:val="24"/>
          <w:szCs w:val="24"/>
        </w:rPr>
        <w:t>和φ</w:t>
      </w:r>
      <w:r w:rsidRPr="00B95C7F">
        <w:rPr>
          <w:rFonts w:ascii="黑体" w:eastAsia="黑体" w:hAnsi="黑体"/>
          <w:sz w:val="24"/>
          <w:szCs w:val="24"/>
          <w:vertAlign w:val="subscript"/>
        </w:rPr>
        <w:t>2</w:t>
      </w:r>
      <w:r w:rsidRPr="00B95C7F">
        <w:rPr>
          <w:rFonts w:ascii="黑体" w:eastAsia="黑体" w:hAnsi="黑体"/>
          <w:sz w:val="24"/>
          <w:szCs w:val="24"/>
        </w:rPr>
        <w:t>将导致难以满足的极端条件，因为稳定的SPP场比自由空间光场需要更严格</w:t>
      </w:r>
      <w:r w:rsidRPr="00B95C7F">
        <w:rPr>
          <w:rFonts w:ascii="黑体" w:eastAsia="黑体" w:hAnsi="黑体"/>
          <w:sz w:val="24"/>
          <w:szCs w:val="24"/>
        </w:rPr>
        <w:lastRenderedPageBreak/>
        <w:t>的条件。</w:t>
      </w:r>
    </w:p>
    <w:p w14:paraId="0E8199CE" w14:textId="5AB5C8DE" w:rsidR="00B95C7F" w:rsidRDefault="00B95C7F" w:rsidP="00186D95">
      <w:pPr>
        <w:spacing w:line="360" w:lineRule="auto"/>
        <w:rPr>
          <w:rFonts w:ascii="黑体" w:eastAsia="黑体" w:hAnsi="黑体"/>
          <w:sz w:val="24"/>
          <w:szCs w:val="24"/>
        </w:rPr>
      </w:pPr>
      <w:r w:rsidRPr="00B95C7F">
        <w:rPr>
          <w:rFonts w:ascii="黑体" w:eastAsia="黑体" w:hAnsi="黑体" w:hint="eastAsia"/>
          <w:sz w:val="24"/>
          <w:szCs w:val="24"/>
        </w:rPr>
        <w:t>重要的是，最近的进展使得成功实现物质和自由空间中不同光学矢量场的光学</w:t>
      </w:r>
      <w:r w:rsidR="00BB2C56">
        <w:rPr>
          <w:rFonts w:ascii="黑体" w:eastAsia="黑体" w:hAnsi="黑体" w:hint="eastAsia"/>
          <w:sz w:val="24"/>
          <w:szCs w:val="24"/>
        </w:rPr>
        <w:t>斯格明子</w:t>
      </w:r>
      <w:r w:rsidRPr="00B95C7F">
        <w:rPr>
          <w:rFonts w:ascii="黑体" w:eastAsia="黑体" w:hAnsi="黑体" w:hint="eastAsia"/>
          <w:sz w:val="24"/>
          <w:szCs w:val="24"/>
        </w:rPr>
        <w:t>成为可能，但这些仍然局限于少数拓扑纹理。</w:t>
      </w:r>
      <w:r w:rsidRPr="00B95C7F">
        <w:rPr>
          <w:rFonts w:ascii="黑体" w:eastAsia="黑体" w:hAnsi="黑体"/>
          <w:sz w:val="24"/>
          <w:szCs w:val="24"/>
        </w:rPr>
        <w:t>这些进步使我们能够提出一种实用的方案，</w:t>
      </w:r>
      <w:r w:rsidRPr="009F59E2">
        <w:rPr>
          <w:rFonts w:ascii="黑体" w:eastAsia="黑体" w:hAnsi="黑体"/>
          <w:sz w:val="24"/>
          <w:szCs w:val="24"/>
          <w:highlight w:val="yellow"/>
        </w:rPr>
        <w:t>通过结构矢量光束的斯托克斯矢量在自由空间中生成可调谐光学</w:t>
      </w:r>
      <w:r w:rsidR="00BB2C56" w:rsidRPr="009F59E2">
        <w:rPr>
          <w:rFonts w:ascii="黑体" w:eastAsia="黑体" w:hAnsi="黑体"/>
          <w:sz w:val="24"/>
          <w:szCs w:val="24"/>
          <w:highlight w:val="yellow"/>
        </w:rPr>
        <w:t>斯格明子</w:t>
      </w:r>
      <w:r w:rsidRPr="00B95C7F">
        <w:rPr>
          <w:rFonts w:ascii="黑体" w:eastAsia="黑体" w:hAnsi="黑体"/>
          <w:sz w:val="24"/>
          <w:szCs w:val="24"/>
        </w:rPr>
        <w:t>。Stokes矢量s=（s</w:t>
      </w:r>
      <w:r w:rsidRPr="00B95C7F">
        <w:rPr>
          <w:rFonts w:ascii="黑体" w:eastAsia="黑体" w:hAnsi="黑体"/>
          <w:sz w:val="24"/>
          <w:szCs w:val="24"/>
          <w:vertAlign w:val="subscript"/>
        </w:rPr>
        <w:t>1</w:t>
      </w:r>
      <w:r w:rsidRPr="00B95C7F">
        <w:rPr>
          <w:rFonts w:ascii="黑体" w:eastAsia="黑体" w:hAnsi="黑体"/>
          <w:sz w:val="24"/>
          <w:szCs w:val="24"/>
        </w:rPr>
        <w:t>，s</w:t>
      </w:r>
      <w:r w:rsidRPr="00B95C7F">
        <w:rPr>
          <w:rFonts w:ascii="黑体" w:eastAsia="黑体" w:hAnsi="黑体"/>
          <w:sz w:val="24"/>
          <w:szCs w:val="24"/>
          <w:vertAlign w:val="subscript"/>
        </w:rPr>
        <w:t>2</w:t>
      </w:r>
      <w:r w:rsidRPr="00B95C7F">
        <w:rPr>
          <w:rFonts w:ascii="黑体" w:eastAsia="黑体" w:hAnsi="黑体"/>
          <w:sz w:val="24"/>
          <w:szCs w:val="24"/>
        </w:rPr>
        <w:t>，s</w:t>
      </w:r>
      <w:r w:rsidRPr="00B95C7F">
        <w:rPr>
          <w:rFonts w:ascii="黑体" w:eastAsia="黑体" w:hAnsi="黑体"/>
          <w:sz w:val="24"/>
          <w:szCs w:val="24"/>
          <w:vertAlign w:val="subscript"/>
        </w:rPr>
        <w:t>3</w:t>
      </w:r>
      <w:r w:rsidRPr="00B95C7F">
        <w:rPr>
          <w:rFonts w:ascii="黑体" w:eastAsia="黑体" w:hAnsi="黑体"/>
          <w:sz w:val="24"/>
          <w:szCs w:val="24"/>
        </w:rPr>
        <w:t>）可以表示</w:t>
      </w:r>
      <w:r w:rsidRPr="009F59E2">
        <w:rPr>
          <w:rFonts w:ascii="黑体" w:eastAsia="黑体" w:hAnsi="黑体"/>
          <w:sz w:val="24"/>
          <w:szCs w:val="24"/>
          <w:highlight w:val="yellow"/>
        </w:rPr>
        <w:t>任意极化状态</w:t>
      </w:r>
      <w:r w:rsidRPr="00B95C7F">
        <w:rPr>
          <w:rFonts w:ascii="黑体" w:eastAsia="黑体" w:hAnsi="黑体"/>
          <w:sz w:val="24"/>
          <w:szCs w:val="24"/>
        </w:rPr>
        <w:t>，即单位半径球体（称为庞加莱球体）表面上的点。在球坐标中，光场ψ=cos（θ/2）e</w:t>
      </w:r>
      <w:r>
        <w:rPr>
          <w:rFonts w:ascii="黑体" w:eastAsia="黑体" w:hAnsi="黑体"/>
          <w:sz w:val="24"/>
          <w:szCs w:val="24"/>
        </w:rPr>
        <w:t>^(</w:t>
      </w:r>
      <w:r w:rsidRPr="00B95C7F">
        <w:rPr>
          <w:rFonts w:ascii="微软雅黑" w:eastAsia="微软雅黑" w:hAnsi="微软雅黑" w:cs="微软雅黑" w:hint="eastAsia"/>
          <w:sz w:val="24"/>
          <w:szCs w:val="24"/>
        </w:rPr>
        <w:t>−</w:t>
      </w:r>
      <w:r w:rsidRPr="00B95C7F">
        <w:rPr>
          <w:rFonts w:ascii="黑体" w:eastAsia="黑体" w:hAnsi="黑体"/>
          <w:sz w:val="24"/>
          <w:szCs w:val="24"/>
        </w:rPr>
        <w:t>i</w:t>
      </w:r>
      <w:r w:rsidRPr="00B95C7F">
        <w:rPr>
          <w:rFonts w:ascii="黑体" w:eastAsia="黑体" w:hAnsi="黑体" w:cs="黑体" w:hint="eastAsia"/>
          <w:sz w:val="24"/>
          <w:szCs w:val="24"/>
        </w:rPr>
        <w:t>φ</w:t>
      </w:r>
      <w:r w:rsidRPr="00B95C7F">
        <w:rPr>
          <w:rFonts w:ascii="黑体" w:eastAsia="黑体" w:hAnsi="黑体"/>
          <w:sz w:val="24"/>
          <w:szCs w:val="24"/>
        </w:rPr>
        <w:t>/2</w:t>
      </w:r>
      <w:r>
        <w:rPr>
          <w:rFonts w:ascii="黑体" w:eastAsia="黑体" w:hAnsi="黑体" w:hint="eastAsia"/>
          <w:sz w:val="24"/>
          <w:szCs w:val="24"/>
        </w:rPr>
        <w:t>)</w:t>
      </w:r>
      <w:r w:rsidRPr="00B95C7F">
        <w:rPr>
          <w:rFonts w:ascii="黑体" w:eastAsia="黑体" w:hAnsi="黑体"/>
          <w:sz w:val="24"/>
          <w:szCs w:val="24"/>
        </w:rPr>
        <w:t>R+sin（θ/2）e</w:t>
      </w:r>
      <w:r>
        <w:rPr>
          <w:rFonts w:ascii="黑体" w:eastAsia="黑体" w:hAnsi="黑体"/>
          <w:sz w:val="24"/>
          <w:szCs w:val="24"/>
        </w:rPr>
        <w:t>^(</w:t>
      </w:r>
      <w:r w:rsidRPr="00B95C7F">
        <w:rPr>
          <w:rFonts w:ascii="黑体" w:eastAsia="黑体" w:hAnsi="黑体"/>
          <w:sz w:val="24"/>
          <w:szCs w:val="24"/>
        </w:rPr>
        <w:t>iφ/2</w:t>
      </w:r>
      <w:r>
        <w:rPr>
          <w:rFonts w:ascii="黑体" w:eastAsia="黑体" w:hAnsi="黑体"/>
          <w:sz w:val="24"/>
          <w:szCs w:val="24"/>
        </w:rPr>
        <w:t>)</w:t>
      </w:r>
      <w:r w:rsidRPr="00B95C7F">
        <w:rPr>
          <w:rFonts w:ascii="黑体" w:eastAsia="黑体" w:hAnsi="黑体"/>
          <w:sz w:val="24"/>
          <w:szCs w:val="24"/>
        </w:rPr>
        <w:t>L，</w:t>
      </w:r>
      <w:r w:rsidR="00926A48" w:rsidRPr="00926A48">
        <w:rPr>
          <w:rFonts w:ascii="黑体" w:eastAsia="黑体" w:hAnsi="黑体" w:hint="eastAsia"/>
          <w:sz w:val="24"/>
          <w:szCs w:val="24"/>
        </w:rPr>
        <w:t>其中，</w:t>
      </w:r>
      <w:r w:rsidR="00926A48" w:rsidRPr="00926A48">
        <w:rPr>
          <w:rFonts w:ascii="黑体" w:eastAsia="黑体" w:hAnsi="黑体"/>
          <w:sz w:val="24"/>
          <w:szCs w:val="24"/>
        </w:rPr>
        <w:t>R和L分别表示右旋圆偏振( RCP )和左旋圆偏振( LCP )本征态</w:t>
      </w:r>
      <w:r w:rsidRPr="00B95C7F">
        <w:rPr>
          <w:rFonts w:ascii="黑体" w:eastAsia="黑体" w:hAnsi="黑体"/>
          <w:sz w:val="24"/>
          <w:szCs w:val="24"/>
        </w:rPr>
        <w:t>，表示为s=（cosφsinθ，sinφsin</w:t>
      </w:r>
      <w:r w:rsidRPr="00B95C7F">
        <w:rPr>
          <w:rFonts w:ascii="黑体" w:eastAsia="黑体" w:hAnsi="黑体" w:hint="eastAsia"/>
          <w:sz w:val="24"/>
          <w:szCs w:val="24"/>
        </w:rPr>
        <w:t>θ</w:t>
      </w:r>
      <w:r w:rsidRPr="00B95C7F">
        <w:rPr>
          <w:rFonts w:ascii="黑体" w:eastAsia="黑体" w:hAnsi="黑体"/>
          <w:sz w:val="24"/>
          <w:szCs w:val="24"/>
        </w:rPr>
        <w:t>，cosθ）。为了使用Stokes矢量构建skyrmion，我们需要首先构建一个具有定制空间模式的矢量梁，</w:t>
      </w:r>
    </w:p>
    <w:p w14:paraId="0658D050" w14:textId="36C4B789" w:rsidR="00B95C7F" w:rsidRDefault="00B95C7F" w:rsidP="00B95C7F">
      <w:pPr>
        <w:spacing w:line="360" w:lineRule="auto"/>
        <w:jc w:val="center"/>
        <w:rPr>
          <w:rFonts w:ascii="黑体" w:eastAsia="黑体" w:hAnsi="黑体"/>
          <w:sz w:val="24"/>
          <w:szCs w:val="24"/>
        </w:rPr>
      </w:pPr>
      <w:r>
        <w:rPr>
          <w:noProof/>
        </w:rPr>
        <w:drawing>
          <wp:inline distT="0" distB="0" distL="0" distR="0" wp14:anchorId="323E957E" wp14:editId="25F9C6BC">
            <wp:extent cx="34385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361950"/>
                    </a:xfrm>
                    <a:prstGeom prst="rect">
                      <a:avLst/>
                    </a:prstGeom>
                  </pic:spPr>
                </pic:pic>
              </a:graphicData>
            </a:graphic>
          </wp:inline>
        </w:drawing>
      </w:r>
    </w:p>
    <w:p w14:paraId="33C1CE00" w14:textId="477B7C1D" w:rsidR="00B95C7F" w:rsidRDefault="00ED7425" w:rsidP="00186D95">
      <w:pPr>
        <w:spacing w:line="360" w:lineRule="auto"/>
        <w:rPr>
          <w:rFonts w:ascii="黑体" w:eastAsia="黑体" w:hAnsi="黑体"/>
          <w:sz w:val="24"/>
          <w:szCs w:val="24"/>
        </w:rPr>
      </w:pPr>
      <w:r w:rsidRPr="00ED7425">
        <w:rPr>
          <w:rFonts w:ascii="黑体" w:eastAsia="黑体" w:hAnsi="黑体" w:hint="eastAsia"/>
          <w:sz w:val="24"/>
          <w:szCs w:val="24"/>
        </w:rPr>
        <w:t>空间模ψ</w:t>
      </w:r>
      <w:r w:rsidRPr="00ED7425">
        <w:rPr>
          <w:rFonts w:ascii="黑体" w:eastAsia="黑体" w:hAnsi="黑体"/>
          <w:sz w:val="24"/>
          <w:szCs w:val="24"/>
          <w:vertAlign w:val="subscript"/>
        </w:rPr>
        <w:t>1</w:t>
      </w:r>
      <w:r w:rsidRPr="00ED7425">
        <w:rPr>
          <w:rFonts w:ascii="黑体" w:eastAsia="黑体" w:hAnsi="黑体"/>
          <w:sz w:val="24"/>
          <w:szCs w:val="24"/>
        </w:rPr>
        <w:t>和ψ</w:t>
      </w:r>
      <w:r w:rsidRPr="00ED7425">
        <w:rPr>
          <w:rFonts w:ascii="黑体" w:eastAsia="黑体" w:hAnsi="黑体"/>
          <w:sz w:val="24"/>
          <w:szCs w:val="24"/>
          <w:vertAlign w:val="subscript"/>
        </w:rPr>
        <w:t>2</w:t>
      </w:r>
      <w:r w:rsidRPr="00ED7425">
        <w:rPr>
          <w:rFonts w:ascii="黑体" w:eastAsia="黑体" w:hAnsi="黑体"/>
          <w:sz w:val="24"/>
          <w:szCs w:val="24"/>
        </w:rPr>
        <w:t>应该与可调谐skyrmion的形式相同，由公式4给出，即：</w:t>
      </w:r>
    </w:p>
    <w:p w14:paraId="67552F50" w14:textId="04B2B092" w:rsidR="00ED7425" w:rsidRDefault="00ED7425" w:rsidP="00ED7425">
      <w:pPr>
        <w:spacing w:line="360" w:lineRule="auto"/>
        <w:jc w:val="center"/>
        <w:rPr>
          <w:rFonts w:ascii="黑体" w:eastAsia="黑体" w:hAnsi="黑体"/>
          <w:sz w:val="24"/>
          <w:szCs w:val="24"/>
        </w:rPr>
      </w:pPr>
      <w:r>
        <w:rPr>
          <w:noProof/>
        </w:rPr>
        <w:drawing>
          <wp:inline distT="0" distB="0" distL="0" distR="0" wp14:anchorId="6E533DFE" wp14:editId="0A7E1DFB">
            <wp:extent cx="3505200" cy="134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1343025"/>
                    </a:xfrm>
                    <a:prstGeom prst="rect">
                      <a:avLst/>
                    </a:prstGeom>
                  </pic:spPr>
                </pic:pic>
              </a:graphicData>
            </a:graphic>
          </wp:inline>
        </w:drawing>
      </w:r>
    </w:p>
    <w:p w14:paraId="562C90F4" w14:textId="09FA7DE2" w:rsidR="00ED7425" w:rsidRDefault="00ED7425" w:rsidP="00ED7425">
      <w:pPr>
        <w:spacing w:line="360" w:lineRule="auto"/>
        <w:jc w:val="center"/>
        <w:rPr>
          <w:rFonts w:ascii="黑体" w:eastAsia="黑体" w:hAnsi="黑体"/>
          <w:sz w:val="24"/>
          <w:szCs w:val="24"/>
        </w:rPr>
      </w:pPr>
      <w:r>
        <w:rPr>
          <w:noProof/>
        </w:rPr>
        <w:drawing>
          <wp:inline distT="0" distB="0" distL="0" distR="0" wp14:anchorId="69BC000B" wp14:editId="6C5AA7FF">
            <wp:extent cx="3400425" cy="571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571500"/>
                    </a:xfrm>
                    <a:prstGeom prst="rect">
                      <a:avLst/>
                    </a:prstGeom>
                  </pic:spPr>
                </pic:pic>
              </a:graphicData>
            </a:graphic>
          </wp:inline>
        </w:drawing>
      </w:r>
    </w:p>
    <w:p w14:paraId="4F04B22E" w14:textId="01925DAB" w:rsidR="00ED7425" w:rsidRPr="00ED7425" w:rsidRDefault="00ED7425" w:rsidP="00ED7425">
      <w:pPr>
        <w:spacing w:line="360" w:lineRule="auto"/>
        <w:rPr>
          <w:rFonts w:ascii="黑体" w:eastAsia="黑体" w:hAnsi="黑体"/>
          <w:sz w:val="24"/>
          <w:szCs w:val="24"/>
        </w:rPr>
      </w:pPr>
      <w:r w:rsidRPr="00ED7425">
        <w:rPr>
          <w:rFonts w:ascii="黑体" w:eastAsia="黑体" w:hAnsi="黑体" w:hint="eastAsia"/>
          <w:sz w:val="24"/>
          <w:szCs w:val="24"/>
        </w:rPr>
        <w:t>其中，（</w:t>
      </w:r>
      <w:r w:rsidRPr="00ED7425">
        <w:rPr>
          <w:rFonts w:ascii="黑体" w:eastAsia="黑体" w:hAnsi="黑体"/>
          <w:sz w:val="24"/>
          <w:szCs w:val="24"/>
        </w:rPr>
        <w:t>n</w:t>
      </w:r>
      <w:r w:rsidRPr="00ED7425">
        <w:rPr>
          <w:rFonts w:ascii="黑体" w:eastAsia="黑体" w:hAnsi="黑体"/>
          <w:sz w:val="24"/>
          <w:szCs w:val="24"/>
          <w:vertAlign w:val="subscript"/>
        </w:rPr>
        <w:t>x</w:t>
      </w:r>
      <w:r w:rsidRPr="00ED7425">
        <w:rPr>
          <w:rFonts w:ascii="黑体" w:eastAsia="黑体" w:hAnsi="黑体"/>
          <w:sz w:val="24"/>
          <w:szCs w:val="24"/>
        </w:rPr>
        <w:t>，n</w:t>
      </w:r>
      <w:r w:rsidRPr="00ED7425">
        <w:rPr>
          <w:rFonts w:ascii="黑体" w:eastAsia="黑体" w:hAnsi="黑体"/>
          <w:sz w:val="24"/>
          <w:szCs w:val="24"/>
          <w:vertAlign w:val="subscript"/>
        </w:rPr>
        <w:t>y</w:t>
      </w:r>
      <w:r w:rsidRPr="00ED7425">
        <w:rPr>
          <w:rFonts w:ascii="黑体" w:eastAsia="黑体" w:hAnsi="黑体"/>
          <w:sz w:val="24"/>
          <w:szCs w:val="24"/>
        </w:rPr>
        <w:t>，n</w:t>
      </w:r>
      <w:r w:rsidRPr="00ED7425">
        <w:rPr>
          <w:rFonts w:ascii="黑体" w:eastAsia="黑体" w:hAnsi="黑体"/>
          <w:sz w:val="24"/>
          <w:szCs w:val="24"/>
          <w:vertAlign w:val="subscript"/>
        </w:rPr>
        <w:t>z</w:t>
      </w:r>
      <w:r w:rsidRPr="00ED7425">
        <w:rPr>
          <w:rFonts w:ascii="黑体" w:eastAsia="黑体" w:hAnsi="黑体"/>
          <w:sz w:val="24"/>
          <w:szCs w:val="24"/>
        </w:rPr>
        <w:t>）完全基于等式4给出的理论可调谐skyrmion。我们现在可以定制矢量波束，通过其Stokes矢量场实现可调谐skyrmion。例如，图3所示为φ</w:t>
      </w:r>
      <w:r w:rsidRPr="00ED7425">
        <w:rPr>
          <w:rFonts w:ascii="黑体" w:eastAsia="黑体" w:hAnsi="黑体"/>
          <w:sz w:val="24"/>
          <w:szCs w:val="24"/>
          <w:vertAlign w:val="subscript"/>
        </w:rPr>
        <w:t>1</w:t>
      </w:r>
      <w:r w:rsidRPr="00ED7425">
        <w:rPr>
          <w:rFonts w:ascii="黑体" w:eastAsia="黑体" w:hAnsi="黑体"/>
          <w:sz w:val="24"/>
          <w:szCs w:val="24"/>
        </w:rPr>
        <w:t>=φ</w:t>
      </w:r>
      <w:r w:rsidRPr="00ED7425">
        <w:rPr>
          <w:rFonts w:ascii="黑体" w:eastAsia="黑体" w:hAnsi="黑体"/>
          <w:sz w:val="24"/>
          <w:szCs w:val="24"/>
          <w:vertAlign w:val="subscript"/>
        </w:rPr>
        <w:t>2</w:t>
      </w:r>
      <w:r w:rsidRPr="00ED7425">
        <w:rPr>
          <w:rFonts w:ascii="黑体" w:eastAsia="黑体" w:hAnsi="黑体"/>
          <w:sz w:val="24"/>
          <w:szCs w:val="24"/>
        </w:rPr>
        <w:t>=0的Neel型skyrmionic矢量束的数值模拟。图3a，b所示的空间模ψ</w:t>
      </w:r>
      <w:r w:rsidRPr="00ED7425">
        <w:rPr>
          <w:rFonts w:ascii="黑体" w:eastAsia="黑体" w:hAnsi="黑体"/>
          <w:sz w:val="24"/>
          <w:szCs w:val="24"/>
          <w:vertAlign w:val="subscript"/>
        </w:rPr>
        <w:t>1</w:t>
      </w:r>
      <w:r w:rsidRPr="00ED7425">
        <w:rPr>
          <w:rFonts w:ascii="黑体" w:eastAsia="黑体" w:hAnsi="黑体"/>
          <w:sz w:val="24"/>
          <w:szCs w:val="24"/>
        </w:rPr>
        <w:t>（x，y）和ψ</w:t>
      </w:r>
      <w:r w:rsidRPr="00ED7425">
        <w:rPr>
          <w:rFonts w:ascii="黑体" w:eastAsia="黑体" w:hAnsi="黑体"/>
          <w:sz w:val="24"/>
          <w:szCs w:val="24"/>
          <w:vertAlign w:val="subscript"/>
        </w:rPr>
        <w:t>2</w:t>
      </w:r>
      <w:r w:rsidRPr="00ED7425">
        <w:rPr>
          <w:rFonts w:ascii="黑体" w:eastAsia="黑体" w:hAnsi="黑体"/>
          <w:sz w:val="24"/>
          <w:szCs w:val="24"/>
        </w:rPr>
        <w:t>（x，y）分别与横向零阶和一阶贝塞尔模具有相同的振幅和相位分布。需要注意的是，尽管它们具有相同的形式，ψ</w:t>
      </w:r>
      <w:r w:rsidRPr="00ED7425">
        <w:rPr>
          <w:rFonts w:ascii="黑体" w:eastAsia="黑体" w:hAnsi="黑体"/>
          <w:sz w:val="24"/>
          <w:szCs w:val="24"/>
          <w:vertAlign w:val="subscript"/>
        </w:rPr>
        <w:t>1</w:t>
      </w:r>
      <w:r w:rsidRPr="00ED7425">
        <w:rPr>
          <w:rFonts w:ascii="黑体" w:eastAsia="黑体" w:hAnsi="黑体"/>
          <w:sz w:val="24"/>
          <w:szCs w:val="24"/>
        </w:rPr>
        <w:t>（x，y）和ψ</w:t>
      </w:r>
      <w:r w:rsidRPr="00ED7425">
        <w:rPr>
          <w:rFonts w:ascii="黑体" w:eastAsia="黑体" w:hAnsi="黑体"/>
          <w:sz w:val="24"/>
          <w:szCs w:val="24"/>
          <w:vertAlign w:val="subscript"/>
        </w:rPr>
        <w:t>2</w:t>
      </w:r>
      <w:r w:rsidRPr="00ED7425">
        <w:rPr>
          <w:rFonts w:ascii="黑体" w:eastAsia="黑体" w:hAnsi="黑体"/>
          <w:sz w:val="24"/>
          <w:szCs w:val="24"/>
        </w:rPr>
        <w:t>（x，y）是从位于2D表面的表面等离子体场导出的，而贝塞尔光束是传播光束。</w:t>
      </w:r>
    </w:p>
    <w:p w14:paraId="3F6312E4" w14:textId="3088B531" w:rsidR="00B95C7F" w:rsidRDefault="00ED7425" w:rsidP="00ED7425">
      <w:pPr>
        <w:spacing w:line="360" w:lineRule="auto"/>
        <w:rPr>
          <w:rFonts w:ascii="黑体" w:eastAsia="黑体" w:hAnsi="黑体"/>
          <w:sz w:val="24"/>
          <w:szCs w:val="24"/>
        </w:rPr>
      </w:pPr>
      <w:r w:rsidRPr="00ED7425">
        <w:rPr>
          <w:rFonts w:ascii="黑体" w:eastAsia="黑体" w:hAnsi="黑体"/>
          <w:sz w:val="24"/>
          <w:szCs w:val="24"/>
        </w:rPr>
        <w:t>Stokes矢量、强度和极化的分布分别如图3c、d所示，其中可以观察到Neel型skyrmion纹理的中心区域和全极化状态。模拟结果还表明，有助于形成主要刺猬状矢量纹理的有效区域是零阶和一阶贝塞尔模的中心叶，如图3a、b中的红色虚线所</w:t>
      </w:r>
      <w:r w:rsidRPr="00ED7425">
        <w:rPr>
          <w:rFonts w:ascii="黑体" w:eastAsia="黑体" w:hAnsi="黑体"/>
          <w:sz w:val="24"/>
          <w:szCs w:val="24"/>
        </w:rPr>
        <w:lastRenderedPageBreak/>
        <w:t>示，而远离skyrmion中心的贝塞尔光束的旁瓣则有助于重复的径向反转矢量结构，这不会影响skyrmion拓扑。因此，我们可以用基本高斯模和一阶拉盖尔模代替零阶和一阶贝塞尔模</w:t>
      </w:r>
      <w:r w:rsidRPr="00ED7425">
        <w:rPr>
          <w:rFonts w:ascii="微软雅黑" w:eastAsia="微软雅黑" w:hAnsi="微软雅黑" w:cs="微软雅黑" w:hint="eastAsia"/>
          <w:sz w:val="24"/>
          <w:szCs w:val="24"/>
        </w:rPr>
        <w:t>−</w:t>
      </w:r>
      <w:r w:rsidRPr="00ED7425">
        <w:rPr>
          <w:rFonts w:ascii="黑体" w:eastAsia="黑体" w:hAnsi="黑体"/>
          <w:sz w:val="24"/>
          <w:szCs w:val="24"/>
        </w:rPr>
        <w:t>高斯（LG）模式，即LG</w:t>
      </w:r>
      <w:r w:rsidRPr="00ED7425">
        <w:rPr>
          <w:rFonts w:ascii="黑体" w:eastAsia="黑体" w:hAnsi="黑体"/>
          <w:sz w:val="24"/>
          <w:szCs w:val="24"/>
          <w:vertAlign w:val="subscript"/>
        </w:rPr>
        <w:t>0,0</w:t>
      </w:r>
      <w:r w:rsidRPr="00ED7425">
        <w:rPr>
          <w:rFonts w:ascii="黑体" w:eastAsia="黑体" w:hAnsi="黑体"/>
          <w:sz w:val="24"/>
          <w:szCs w:val="24"/>
        </w:rPr>
        <w:t>和LG</w:t>
      </w:r>
      <w:r w:rsidRPr="00ED7425">
        <w:rPr>
          <w:rFonts w:ascii="黑体" w:eastAsia="黑体" w:hAnsi="黑体"/>
          <w:sz w:val="24"/>
          <w:szCs w:val="24"/>
          <w:vertAlign w:val="subscript"/>
        </w:rPr>
        <w:t>0,1</w:t>
      </w:r>
      <w:r w:rsidRPr="00ED7425">
        <w:rPr>
          <w:rFonts w:ascii="黑体" w:eastAsia="黑体" w:hAnsi="黑体"/>
          <w:sz w:val="24"/>
          <w:szCs w:val="24"/>
        </w:rPr>
        <w:t>（图3e，f）。如图3c，d所示，等式5给出的相应LG基矢</w:t>
      </w:r>
      <w:r w:rsidRPr="00ED7425">
        <w:rPr>
          <w:rFonts w:ascii="黑体" w:eastAsia="黑体" w:hAnsi="黑体" w:hint="eastAsia"/>
          <w:sz w:val="24"/>
          <w:szCs w:val="24"/>
        </w:rPr>
        <w:t>量束的斯托克斯矢量场显示出完美的</w:t>
      </w:r>
      <w:r w:rsidRPr="00ED7425">
        <w:rPr>
          <w:rFonts w:ascii="黑体" w:eastAsia="黑体" w:hAnsi="黑体"/>
          <w:sz w:val="24"/>
          <w:szCs w:val="24"/>
        </w:rPr>
        <w:t>Neel型skyrmion。应该注意的是，与非衍射贝塞尔模式相比，LG模式是衍射光束；在这里，我们观察到梁的梁腰平面上的skyrmion。</w:t>
      </w:r>
    </w:p>
    <w:p w14:paraId="4856687C" w14:textId="40B09451" w:rsidR="00ED7425" w:rsidRDefault="00ED7425" w:rsidP="00ED7425">
      <w:pPr>
        <w:spacing w:line="360" w:lineRule="auto"/>
        <w:rPr>
          <w:rFonts w:ascii="黑体" w:eastAsia="黑体" w:hAnsi="黑体"/>
          <w:sz w:val="24"/>
          <w:szCs w:val="24"/>
        </w:rPr>
      </w:pPr>
      <w:r>
        <w:rPr>
          <w:noProof/>
        </w:rPr>
        <w:drawing>
          <wp:inline distT="0" distB="0" distL="0" distR="0" wp14:anchorId="6CB998C9" wp14:editId="26787767">
            <wp:extent cx="6224303" cy="210502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8246" cy="2116504"/>
                    </a:xfrm>
                    <a:prstGeom prst="rect">
                      <a:avLst/>
                    </a:prstGeom>
                  </pic:spPr>
                </pic:pic>
              </a:graphicData>
            </a:graphic>
          </wp:inline>
        </w:drawing>
      </w:r>
    </w:p>
    <w:p w14:paraId="5136C54F" w14:textId="78615668" w:rsidR="00ED7425" w:rsidRDefault="00ED7425" w:rsidP="00ED7425">
      <w:pPr>
        <w:spacing w:line="360" w:lineRule="auto"/>
        <w:rPr>
          <w:rFonts w:ascii="黑体" w:eastAsia="黑体" w:hAnsi="黑体"/>
          <w:sz w:val="24"/>
          <w:szCs w:val="24"/>
        </w:rPr>
      </w:pPr>
      <w:r w:rsidRPr="00ED7425">
        <w:rPr>
          <w:rFonts w:ascii="黑体" w:eastAsia="黑体" w:hAnsi="黑体" w:hint="eastAsia"/>
          <w:sz w:val="24"/>
          <w:szCs w:val="24"/>
        </w:rPr>
        <w:t>图</w:t>
      </w:r>
      <w:r w:rsidRPr="00ED7425">
        <w:rPr>
          <w:rFonts w:ascii="黑体" w:eastAsia="黑体" w:hAnsi="黑体"/>
          <w:sz w:val="24"/>
          <w:szCs w:val="24"/>
        </w:rPr>
        <w:t>3.（a，b）φ</w:t>
      </w:r>
      <w:r w:rsidRPr="00ED7425">
        <w:rPr>
          <w:rFonts w:ascii="黑体" w:eastAsia="黑体" w:hAnsi="黑体"/>
          <w:sz w:val="24"/>
          <w:szCs w:val="24"/>
          <w:vertAlign w:val="subscript"/>
        </w:rPr>
        <w:t>1</w:t>
      </w:r>
      <w:r w:rsidRPr="00ED7425">
        <w:rPr>
          <w:rFonts w:ascii="黑体" w:eastAsia="黑体" w:hAnsi="黑体"/>
          <w:sz w:val="24"/>
          <w:szCs w:val="24"/>
        </w:rPr>
        <w:t>=φ</w:t>
      </w:r>
      <w:r w:rsidRPr="00ED7425">
        <w:rPr>
          <w:rFonts w:ascii="黑体" w:eastAsia="黑体" w:hAnsi="黑体"/>
          <w:sz w:val="24"/>
          <w:szCs w:val="24"/>
          <w:vertAlign w:val="subscript"/>
        </w:rPr>
        <w:t>2</w:t>
      </w:r>
      <w:r w:rsidRPr="00ED7425">
        <w:rPr>
          <w:rFonts w:ascii="黑体" w:eastAsia="黑体" w:hAnsi="黑体"/>
          <w:sz w:val="24"/>
          <w:szCs w:val="24"/>
        </w:rPr>
        <w:t>=0的情况下，（a）ψ</w:t>
      </w:r>
      <w:r w:rsidRPr="000D0EF2">
        <w:rPr>
          <w:rFonts w:ascii="黑体" w:eastAsia="黑体" w:hAnsi="黑体"/>
          <w:sz w:val="24"/>
          <w:szCs w:val="24"/>
          <w:vertAlign w:val="subscript"/>
        </w:rPr>
        <w:t>1</w:t>
      </w:r>
      <w:r w:rsidRPr="00ED7425">
        <w:rPr>
          <w:rFonts w:ascii="黑体" w:eastAsia="黑体" w:hAnsi="黑体"/>
          <w:sz w:val="24"/>
          <w:szCs w:val="24"/>
        </w:rPr>
        <w:t>（x，y）和（b）ψ</w:t>
      </w:r>
      <w:r w:rsidRPr="000D0EF2">
        <w:rPr>
          <w:rFonts w:ascii="黑体" w:eastAsia="黑体" w:hAnsi="黑体"/>
          <w:sz w:val="24"/>
          <w:szCs w:val="24"/>
          <w:vertAlign w:val="subscript"/>
        </w:rPr>
        <w:t>2</w:t>
      </w:r>
      <w:r w:rsidRPr="00ED7425">
        <w:rPr>
          <w:rFonts w:ascii="黑体" w:eastAsia="黑体" w:hAnsi="黑体"/>
          <w:sz w:val="24"/>
          <w:szCs w:val="24"/>
        </w:rPr>
        <w:t>（x，y）的强度（a1，b1）和相位（a2，b2）分布。红色虚线标记了诱导光学</w:t>
      </w:r>
      <w:r w:rsidR="00BB2C56">
        <w:rPr>
          <w:rFonts w:ascii="黑体" w:eastAsia="黑体" w:hAnsi="黑体"/>
          <w:sz w:val="24"/>
          <w:szCs w:val="24"/>
        </w:rPr>
        <w:t>斯格明子</w:t>
      </w:r>
      <w:r w:rsidRPr="00ED7425">
        <w:rPr>
          <w:rFonts w:ascii="黑体" w:eastAsia="黑体" w:hAnsi="黑体"/>
          <w:sz w:val="24"/>
          <w:szCs w:val="24"/>
        </w:rPr>
        <w:t>主要拓扑结构的有效区域。（c）带有横向分量的斯托克斯矢量场中的Skyrmion和（d）相应矢量光束的强度和偏振分布。（e，f）梁腰平面（e）LG</w:t>
      </w:r>
      <w:r w:rsidRPr="000D0EF2">
        <w:rPr>
          <w:rFonts w:ascii="黑体" w:eastAsia="黑体" w:hAnsi="黑体"/>
          <w:sz w:val="24"/>
          <w:szCs w:val="24"/>
          <w:vertAlign w:val="subscript"/>
        </w:rPr>
        <w:t>0,0</w:t>
      </w:r>
      <w:r w:rsidRPr="00ED7425">
        <w:rPr>
          <w:rFonts w:ascii="黑体" w:eastAsia="黑体" w:hAnsi="黑体"/>
          <w:sz w:val="24"/>
          <w:szCs w:val="24"/>
        </w:rPr>
        <w:t>（x，y）和（f）LG</w:t>
      </w:r>
      <w:r w:rsidRPr="000D0EF2">
        <w:rPr>
          <w:rFonts w:ascii="黑体" w:eastAsia="黑体" w:hAnsi="黑体"/>
          <w:sz w:val="24"/>
          <w:szCs w:val="24"/>
          <w:vertAlign w:val="subscript"/>
        </w:rPr>
        <w:t>0,1</w:t>
      </w:r>
      <w:r w:rsidRPr="00ED7425">
        <w:rPr>
          <w:rFonts w:ascii="黑体" w:eastAsia="黑体" w:hAnsi="黑体"/>
          <w:sz w:val="24"/>
          <w:szCs w:val="24"/>
        </w:rPr>
        <w:t>（x，y）模的强度（e1，e2）和相位（f1，f2）分布。（g）Stokes矢量场中的Skyrmion，插入横向分量，（h）基于LG的矢量光束的强度和偏振分布。</w:t>
      </w:r>
    </w:p>
    <w:p w14:paraId="4C45EE64" w14:textId="50E05F9D" w:rsidR="00ED7425" w:rsidRDefault="00ED7425" w:rsidP="00ED7425">
      <w:pPr>
        <w:spacing w:line="360" w:lineRule="auto"/>
        <w:rPr>
          <w:rFonts w:ascii="黑体" w:eastAsia="黑体" w:hAnsi="黑体"/>
          <w:sz w:val="24"/>
          <w:szCs w:val="24"/>
        </w:rPr>
      </w:pPr>
    </w:p>
    <w:p w14:paraId="4AC0F27C" w14:textId="41FF3559" w:rsidR="000D0EF2" w:rsidRDefault="000D0EF2" w:rsidP="00ED7425">
      <w:pPr>
        <w:spacing w:line="360" w:lineRule="auto"/>
        <w:rPr>
          <w:rFonts w:ascii="黑体" w:eastAsia="黑体" w:hAnsi="黑体"/>
          <w:sz w:val="24"/>
          <w:szCs w:val="24"/>
        </w:rPr>
      </w:pPr>
      <w:r w:rsidRPr="000D0EF2">
        <w:rPr>
          <w:rFonts w:ascii="黑体" w:eastAsia="黑体" w:hAnsi="黑体"/>
          <w:b/>
          <w:bCs/>
          <w:sz w:val="24"/>
          <w:szCs w:val="24"/>
        </w:rPr>
        <w:t>Skyrmion环面和Skyrme</w:t>
      </w:r>
      <w:r w:rsidRPr="000D0EF2">
        <w:rPr>
          <w:rFonts w:ascii="微软雅黑" w:eastAsia="微软雅黑" w:hAnsi="微软雅黑" w:cs="微软雅黑" w:hint="eastAsia"/>
          <w:b/>
          <w:bCs/>
          <w:sz w:val="24"/>
          <w:szCs w:val="24"/>
        </w:rPr>
        <w:t>−</w:t>
      </w:r>
      <w:r w:rsidRPr="000D0EF2">
        <w:rPr>
          <w:rFonts w:ascii="黑体" w:eastAsia="黑体" w:hAnsi="黑体"/>
          <w:b/>
          <w:bCs/>
          <w:sz w:val="24"/>
          <w:szCs w:val="24"/>
        </w:rPr>
        <w:t>庞加莱模型。</w:t>
      </w:r>
      <w:r w:rsidRPr="000D0EF2">
        <w:rPr>
          <w:rFonts w:ascii="黑体" w:eastAsia="黑体" w:hAnsi="黑体"/>
          <w:sz w:val="24"/>
          <w:szCs w:val="24"/>
        </w:rPr>
        <w:t>在本节中，我们提出了一个优雅的图形模型，skyrmion环面，来描述可调skyrmio到环面上的一般拓扑状态转换。在不损失通用性的情况下，设置φ</w:t>
      </w:r>
      <w:r w:rsidRPr="000D0EF2">
        <w:rPr>
          <w:rFonts w:ascii="黑体" w:eastAsia="黑体" w:hAnsi="黑体"/>
          <w:sz w:val="24"/>
          <w:szCs w:val="24"/>
          <w:vertAlign w:val="subscript"/>
        </w:rPr>
        <w:t>1</w:t>
      </w:r>
      <w:r w:rsidRPr="000D0EF2">
        <w:rPr>
          <w:rFonts w:ascii="黑体" w:eastAsia="黑体" w:hAnsi="黑体"/>
          <w:sz w:val="24"/>
          <w:szCs w:val="24"/>
        </w:rPr>
        <w:t>=Φ∈[0,2π]和（φ</w:t>
      </w:r>
      <w:r w:rsidRPr="000D0EF2">
        <w:rPr>
          <w:rFonts w:ascii="黑体" w:eastAsia="黑体" w:hAnsi="黑体"/>
          <w:sz w:val="24"/>
          <w:szCs w:val="24"/>
          <w:vertAlign w:val="subscript"/>
        </w:rPr>
        <w:t>2</w:t>
      </w:r>
      <w:r w:rsidRPr="000D0EF2">
        <w:rPr>
          <w:rFonts w:ascii="微软雅黑" w:eastAsia="微软雅黑" w:hAnsi="微软雅黑" w:cs="微软雅黑" w:hint="eastAsia"/>
          <w:sz w:val="24"/>
          <w:szCs w:val="24"/>
        </w:rPr>
        <w:t>−</w:t>
      </w:r>
      <w:r w:rsidRPr="000D0EF2">
        <w:rPr>
          <w:rFonts w:ascii="黑体" w:eastAsia="黑体" w:hAnsi="黑体" w:cs="黑体" w:hint="eastAsia"/>
          <w:sz w:val="24"/>
          <w:szCs w:val="24"/>
        </w:rPr>
        <w:t>φ</w:t>
      </w:r>
      <w:r w:rsidRPr="000D0EF2">
        <w:rPr>
          <w:rFonts w:ascii="黑体" w:eastAsia="黑体" w:hAnsi="黑体"/>
          <w:sz w:val="24"/>
          <w:szCs w:val="24"/>
          <w:vertAlign w:val="subscript"/>
        </w:rPr>
        <w:t>1</w:t>
      </w:r>
      <w:r w:rsidRPr="000D0EF2">
        <w:rPr>
          <w:rFonts w:ascii="黑体" w:eastAsia="黑体" w:hAnsi="黑体"/>
          <w:sz w:val="24"/>
          <w:szCs w:val="24"/>
        </w:rPr>
        <w:t>)=</w:t>
      </w:r>
      <w:r w:rsidRPr="000D0EF2">
        <w:rPr>
          <w:rFonts w:ascii="黑体" w:eastAsia="黑体" w:hAnsi="黑体" w:cs="黑体" w:hint="eastAsia"/>
          <w:sz w:val="24"/>
          <w:szCs w:val="24"/>
        </w:rPr>
        <w:t>Θ∈</w:t>
      </w:r>
      <w:r w:rsidRPr="000D0EF2">
        <w:rPr>
          <w:rFonts w:ascii="黑体" w:eastAsia="黑体" w:hAnsi="黑体"/>
          <w:sz w:val="24"/>
          <w:szCs w:val="24"/>
        </w:rPr>
        <w:t>[</w:t>
      </w:r>
      <w:r w:rsidRPr="000D0EF2">
        <w:rPr>
          <w:rFonts w:ascii="微软雅黑" w:eastAsia="微软雅黑" w:hAnsi="微软雅黑" w:cs="微软雅黑" w:hint="eastAsia"/>
          <w:sz w:val="24"/>
          <w:szCs w:val="24"/>
        </w:rPr>
        <w:t>−</w:t>
      </w:r>
      <w:r w:rsidRPr="000D0EF2">
        <w:rPr>
          <w:rFonts w:ascii="黑体" w:eastAsia="黑体" w:hAnsi="黑体" w:cs="黑体" w:hint="eastAsia"/>
          <w:sz w:val="24"/>
          <w:szCs w:val="24"/>
        </w:rPr>
        <w:t>π</w:t>
      </w:r>
      <w:r>
        <w:rPr>
          <w:rFonts w:ascii="黑体" w:eastAsia="黑体" w:hAnsi="黑体" w:cs="黑体" w:hint="eastAsia"/>
          <w:sz w:val="24"/>
          <w:szCs w:val="24"/>
        </w:rPr>
        <w:t>,</w:t>
      </w:r>
      <w:r w:rsidRPr="000D0EF2">
        <w:rPr>
          <w:rFonts w:ascii="黑体" w:eastAsia="黑体" w:hAnsi="黑体"/>
          <w:sz w:val="24"/>
          <w:szCs w:val="24"/>
        </w:rPr>
        <w:t>π]，我们可以将Φ和Ψ分别视为环向和极向的角度，以将skyrmion的一般拓扑状态映射到环面上的相应点，如图4所示。对于</w:t>
      </w:r>
      <w:r w:rsidRPr="000D0EF2">
        <w:rPr>
          <w:rFonts w:ascii="黑体" w:eastAsia="黑体" w:hAnsi="黑体" w:cs="黑体" w:hint="eastAsia"/>
          <w:sz w:val="24"/>
          <w:szCs w:val="24"/>
        </w:rPr>
        <w:t>Θ</w:t>
      </w:r>
      <w:r w:rsidRPr="000D0EF2">
        <w:rPr>
          <w:rFonts w:ascii="黑体" w:eastAsia="黑体" w:hAnsi="黑体"/>
          <w:sz w:val="24"/>
          <w:szCs w:val="24"/>
        </w:rPr>
        <w:t>=0，在大环面上表示的Neíel（Φ=0，π）和Bloch（Φ=±π/2）类型之间的skyrmio变换。不同取向（</w:t>
      </w:r>
      <w:r w:rsidRPr="000D0EF2">
        <w:rPr>
          <w:rFonts w:ascii="黑体" w:eastAsia="黑体" w:hAnsi="黑体" w:cs="黑体" w:hint="eastAsia"/>
          <w:sz w:val="24"/>
          <w:szCs w:val="24"/>
        </w:rPr>
        <w:t>Θ</w:t>
      </w:r>
      <w:r w:rsidRPr="000D0EF2">
        <w:rPr>
          <w:rFonts w:ascii="黑体" w:eastAsia="黑体" w:hAnsi="黑体"/>
          <w:sz w:val="24"/>
          <w:szCs w:val="24"/>
        </w:rPr>
        <w:t>=±π）的反</w:t>
      </w:r>
      <w:r>
        <w:rPr>
          <w:rFonts w:ascii="黑体" w:eastAsia="黑体" w:hAnsi="黑体" w:hint="eastAsia"/>
          <w:sz w:val="24"/>
          <w:szCs w:val="24"/>
        </w:rPr>
        <w:t>斯格明子</w:t>
      </w:r>
      <w:r w:rsidRPr="000D0EF2">
        <w:rPr>
          <w:rFonts w:ascii="黑体" w:eastAsia="黑体" w:hAnsi="黑体" w:hint="eastAsia"/>
          <w:sz w:val="24"/>
          <w:szCs w:val="24"/>
        </w:rPr>
        <w:t>位于小的环形圆上。</w:t>
      </w:r>
      <w:r w:rsidRPr="000D0EF2">
        <w:rPr>
          <w:rFonts w:ascii="黑体" w:eastAsia="黑体" w:hAnsi="黑体" w:hint="eastAsia"/>
          <w:sz w:val="24"/>
          <w:szCs w:val="24"/>
        </w:rPr>
        <w:lastRenderedPageBreak/>
        <w:t>顶部和底部的两个中间环形圆代表各种</w:t>
      </w:r>
      <w:r>
        <w:rPr>
          <w:rFonts w:ascii="黑体" w:eastAsia="黑体" w:hAnsi="黑体" w:hint="eastAsia"/>
          <w:sz w:val="24"/>
          <w:szCs w:val="24"/>
        </w:rPr>
        <w:t>非斯格明子</w:t>
      </w:r>
      <w:r w:rsidRPr="000D0EF2">
        <w:rPr>
          <w:rFonts w:ascii="黑体" w:eastAsia="黑体" w:hAnsi="黑体" w:hint="eastAsia"/>
          <w:sz w:val="24"/>
          <w:szCs w:val="24"/>
        </w:rPr>
        <w:t>状态。任何环形圆路径都表示一个</w:t>
      </w:r>
      <w:r w:rsidRPr="000D0EF2">
        <w:rPr>
          <w:rFonts w:ascii="黑体" w:eastAsia="黑体" w:hAnsi="黑体"/>
          <w:sz w:val="24"/>
          <w:szCs w:val="24"/>
        </w:rPr>
        <w:t>skyrmion数不变变换。环面上的任何极向圆路径描述了Neíel或Bloch skyrmion（s=1）与反kyrmion之间的动态调谐（s=</w:t>
      </w:r>
      <w:r w:rsidRPr="000D0EF2">
        <w:rPr>
          <w:rFonts w:ascii="微软雅黑" w:eastAsia="微软雅黑" w:hAnsi="微软雅黑" w:cs="微软雅黑" w:hint="eastAsia"/>
          <w:sz w:val="24"/>
          <w:szCs w:val="24"/>
        </w:rPr>
        <w:t>−</w:t>
      </w:r>
      <w:r w:rsidRPr="000D0EF2">
        <w:rPr>
          <w:rFonts w:ascii="黑体" w:eastAsia="黑体" w:hAnsi="黑体"/>
          <w:sz w:val="24"/>
          <w:szCs w:val="24"/>
        </w:rPr>
        <w:t>1).</w:t>
      </w:r>
    </w:p>
    <w:p w14:paraId="76AE5F7C" w14:textId="35364FA7" w:rsidR="001C3C25" w:rsidRDefault="001C3C25" w:rsidP="00ED7425">
      <w:pPr>
        <w:spacing w:line="360" w:lineRule="auto"/>
        <w:rPr>
          <w:rFonts w:ascii="黑体" w:eastAsia="黑体" w:hAnsi="黑体"/>
          <w:sz w:val="24"/>
          <w:szCs w:val="24"/>
        </w:rPr>
      </w:pPr>
      <w:r>
        <w:rPr>
          <w:noProof/>
        </w:rPr>
        <w:drawing>
          <wp:inline distT="0" distB="0" distL="0" distR="0" wp14:anchorId="56AD16B2" wp14:editId="494C9849">
            <wp:extent cx="3657600" cy="2581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2581275"/>
                    </a:xfrm>
                    <a:prstGeom prst="rect">
                      <a:avLst/>
                    </a:prstGeom>
                  </pic:spPr>
                </pic:pic>
              </a:graphicData>
            </a:graphic>
          </wp:inline>
        </w:drawing>
      </w:r>
    </w:p>
    <w:p w14:paraId="7F9A7C6D" w14:textId="30AE0EC7" w:rsidR="001C3C25" w:rsidRDefault="001C3C25" w:rsidP="00ED7425">
      <w:pPr>
        <w:spacing w:line="360" w:lineRule="auto"/>
        <w:rPr>
          <w:rFonts w:ascii="黑体" w:eastAsia="黑体" w:hAnsi="黑体"/>
          <w:sz w:val="24"/>
          <w:szCs w:val="24"/>
        </w:rPr>
      </w:pPr>
      <w:r w:rsidRPr="001C3C25">
        <w:rPr>
          <w:rFonts w:ascii="黑体" w:eastAsia="黑体" w:hAnsi="黑体" w:hint="eastAsia"/>
          <w:sz w:val="24"/>
          <w:szCs w:val="24"/>
        </w:rPr>
        <w:t>图</w:t>
      </w:r>
      <w:r w:rsidRPr="001C3C25">
        <w:rPr>
          <w:rFonts w:ascii="黑体" w:eastAsia="黑体" w:hAnsi="黑体"/>
          <w:sz w:val="24"/>
          <w:szCs w:val="24"/>
        </w:rPr>
        <w:t>4.表示可调谐光学Skyrmion的通用拓扑演化的Skyrmion环面，其上的点为特殊拓扑：红色点，Neíel型；绿色点，Bloch类型；蓝点（极点），反白化。</w:t>
      </w:r>
    </w:p>
    <w:p w14:paraId="2079C309" w14:textId="77777777" w:rsidR="001C3C25" w:rsidRDefault="001C3C25" w:rsidP="00ED7425">
      <w:pPr>
        <w:spacing w:line="360" w:lineRule="auto"/>
        <w:rPr>
          <w:rFonts w:ascii="黑体" w:eastAsia="黑体" w:hAnsi="黑体"/>
          <w:sz w:val="24"/>
          <w:szCs w:val="24"/>
        </w:rPr>
      </w:pPr>
    </w:p>
    <w:p w14:paraId="5EBBF7B8" w14:textId="06D0C026" w:rsidR="000D0EF2" w:rsidRDefault="000D0EF2" w:rsidP="00ED7425">
      <w:pPr>
        <w:spacing w:line="360" w:lineRule="auto"/>
        <w:rPr>
          <w:rFonts w:ascii="黑体" w:eastAsia="黑体" w:hAnsi="黑体"/>
          <w:sz w:val="24"/>
          <w:szCs w:val="24"/>
        </w:rPr>
      </w:pPr>
      <w:r w:rsidRPr="000D0EF2">
        <w:rPr>
          <w:rFonts w:ascii="黑体" w:eastAsia="黑体" w:hAnsi="黑体" w:hint="eastAsia"/>
          <w:sz w:val="24"/>
          <w:szCs w:val="24"/>
        </w:rPr>
        <w:t>用于表示</w:t>
      </w:r>
      <w:r w:rsidRPr="000D0EF2">
        <w:rPr>
          <w:rFonts w:ascii="黑体" w:eastAsia="黑体" w:hAnsi="黑体"/>
          <w:sz w:val="24"/>
          <w:szCs w:val="24"/>
        </w:rPr>
        <w:t>skyrmionic纹理演化的skyrmion环面与轨道角动量（OAM）Poincareí球体之间存在有趣的关系，以表示涡旋束的OAM演化。使用上一节介绍的方法，我们可以推导出相应矢量束的参数形式，作为Φ和</w:t>
      </w:r>
      <w:r w:rsidR="001C3C25" w:rsidRPr="000D0EF2">
        <w:rPr>
          <w:rFonts w:ascii="黑体" w:eastAsia="黑体" w:hAnsi="黑体" w:cs="黑体" w:hint="eastAsia"/>
          <w:sz w:val="24"/>
          <w:szCs w:val="24"/>
        </w:rPr>
        <w:t>Θ</w:t>
      </w:r>
      <w:r w:rsidRPr="000D0EF2">
        <w:rPr>
          <w:rFonts w:ascii="黑体" w:eastAsia="黑体" w:hAnsi="黑体"/>
          <w:sz w:val="24"/>
          <w:szCs w:val="24"/>
        </w:rPr>
        <w:t>的函数：</w:t>
      </w:r>
    </w:p>
    <w:p w14:paraId="1168359E" w14:textId="5F1A6982" w:rsidR="001C3C25" w:rsidRDefault="001C3C25" w:rsidP="001C3C25">
      <w:pPr>
        <w:spacing w:line="360" w:lineRule="auto"/>
        <w:jc w:val="center"/>
        <w:rPr>
          <w:rFonts w:ascii="黑体" w:eastAsia="黑体" w:hAnsi="黑体"/>
          <w:sz w:val="24"/>
          <w:szCs w:val="24"/>
        </w:rPr>
      </w:pPr>
      <w:r>
        <w:rPr>
          <w:noProof/>
        </w:rPr>
        <w:drawing>
          <wp:inline distT="0" distB="0" distL="0" distR="0" wp14:anchorId="134E7AAB" wp14:editId="44C4AED0">
            <wp:extent cx="3419475" cy="542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542925"/>
                    </a:xfrm>
                    <a:prstGeom prst="rect">
                      <a:avLst/>
                    </a:prstGeom>
                  </pic:spPr>
                </pic:pic>
              </a:graphicData>
            </a:graphic>
          </wp:inline>
        </w:drawing>
      </w:r>
    </w:p>
    <w:p w14:paraId="04CE2693" w14:textId="3D697E9F" w:rsidR="001C3C25" w:rsidRDefault="001C3C25" w:rsidP="00ED7425">
      <w:pPr>
        <w:spacing w:line="360" w:lineRule="auto"/>
        <w:rPr>
          <w:rFonts w:ascii="黑体" w:eastAsia="黑体" w:hAnsi="黑体"/>
          <w:sz w:val="24"/>
          <w:szCs w:val="24"/>
        </w:rPr>
      </w:pPr>
      <w:r w:rsidRPr="001C3C25">
        <w:rPr>
          <w:rFonts w:ascii="黑体" w:eastAsia="黑体" w:hAnsi="黑体" w:hint="eastAsia"/>
          <w:sz w:val="24"/>
          <w:szCs w:val="24"/>
        </w:rPr>
        <w:t>其中，Ψ</w:t>
      </w:r>
      <w:r w:rsidRPr="001C3C25">
        <w:rPr>
          <w:rFonts w:ascii="黑体" w:eastAsia="黑体" w:hAnsi="黑体"/>
          <w:sz w:val="24"/>
          <w:szCs w:val="24"/>
          <w:vertAlign w:val="subscript"/>
        </w:rPr>
        <w:t>0</w:t>
      </w:r>
      <w:r w:rsidRPr="001C3C25">
        <w:rPr>
          <w:rFonts w:ascii="黑体" w:eastAsia="黑体" w:hAnsi="黑体"/>
          <w:sz w:val="24"/>
          <w:szCs w:val="24"/>
        </w:rPr>
        <w:t>是零阶贝塞尔（或基本高斯）模，Ψ</w:t>
      </w:r>
      <w:r w:rsidRPr="001C3C25">
        <w:rPr>
          <w:rFonts w:ascii="黑体" w:eastAsia="黑体" w:hAnsi="黑体"/>
          <w:sz w:val="24"/>
          <w:szCs w:val="24"/>
          <w:vertAlign w:val="subscript"/>
        </w:rPr>
        <w:t>±1</w:t>
      </w:r>
      <w:r w:rsidRPr="001C3C25">
        <w:rPr>
          <w:rFonts w:ascii="黑体" w:eastAsia="黑体" w:hAnsi="黑体"/>
          <w:sz w:val="24"/>
          <w:szCs w:val="24"/>
        </w:rPr>
        <w:t>是±1阶贝塞尔模（或LG模），携带±1拓扑电荷的相反OAM。LCP组件的空间模式完全是传统OAM Poincare球体的形式，由经纬度角Φ和</w:t>
      </w:r>
      <w:r w:rsidRPr="001C3C25">
        <w:rPr>
          <w:rFonts w:ascii="黑体" w:eastAsia="黑体" w:hAnsi="黑体" w:hint="eastAsia"/>
          <w:sz w:val="24"/>
          <w:szCs w:val="24"/>
        </w:rPr>
        <w:t>Θ</w:t>
      </w:r>
      <w:r w:rsidRPr="001C3C25">
        <w:rPr>
          <w:rFonts w:ascii="黑体" w:eastAsia="黑体" w:hAnsi="黑体"/>
          <w:sz w:val="24"/>
          <w:szCs w:val="24"/>
        </w:rPr>
        <w:t>驱动，揭示了±1拓扑电荷之间的OAM转换。在OAM Poincare球体中，当</w:t>
      </w:r>
      <w:r w:rsidRPr="001C3C25">
        <w:rPr>
          <w:rFonts w:ascii="黑体" w:eastAsia="黑体" w:hAnsi="黑体" w:hint="eastAsia"/>
          <w:sz w:val="24"/>
          <w:szCs w:val="24"/>
        </w:rPr>
        <w:t>Θ</w:t>
      </w:r>
      <w:r w:rsidRPr="001C3C25">
        <w:rPr>
          <w:rFonts w:ascii="黑体" w:eastAsia="黑体" w:hAnsi="黑体"/>
          <w:sz w:val="24"/>
          <w:szCs w:val="24"/>
        </w:rPr>
        <w:t>=0时，标量模式始终表示具有单个拓扑电荷的OAM，与Φ的值无关。这就是为什么OAM进化被映射到球体上，而纯OAM状态被表示在极点上的原因。然而，当</w:t>
      </w:r>
      <w:r w:rsidRPr="001C3C25">
        <w:rPr>
          <w:rFonts w:ascii="黑体" w:eastAsia="黑体" w:hAnsi="黑体" w:hint="eastAsia"/>
          <w:sz w:val="24"/>
          <w:szCs w:val="24"/>
        </w:rPr>
        <w:t>Θ</w:t>
      </w:r>
      <w:r w:rsidRPr="001C3C25">
        <w:rPr>
          <w:rFonts w:ascii="黑体" w:eastAsia="黑体" w:hAnsi="黑体"/>
          <w:sz w:val="24"/>
          <w:szCs w:val="24"/>
        </w:rPr>
        <w:t>=0时，skyrmionic矢量束增加了一个新的自由度，以区分具有不同Neíel和Bloch纹理的Φ依赖状态。因此，组合的skyrmonic矢量纹理应映射</w:t>
      </w:r>
      <w:r w:rsidRPr="001C3C25">
        <w:rPr>
          <w:rFonts w:ascii="黑体" w:eastAsia="黑体" w:hAnsi="黑体"/>
          <w:sz w:val="24"/>
          <w:szCs w:val="24"/>
        </w:rPr>
        <w:lastRenderedPageBreak/>
        <w:t>到圆环上。因此，圆环映射可作为裁剪一般skyrmionic拓扑变换的有用工具，类似于裁剪OAM的Poincareísphere。因此，许多相关应用程序，如spin</w:t>
      </w:r>
      <w:r w:rsidRPr="001C3C25">
        <w:rPr>
          <w:rFonts w:ascii="微软雅黑" w:eastAsia="微软雅黑" w:hAnsi="微软雅黑" w:cs="微软雅黑" w:hint="eastAsia"/>
          <w:sz w:val="24"/>
          <w:szCs w:val="24"/>
        </w:rPr>
        <w:t>−</w:t>
      </w:r>
      <w:r w:rsidRPr="001C3C25">
        <w:rPr>
          <w:rFonts w:ascii="黑体" w:eastAsia="黑体" w:hAnsi="黑体"/>
          <w:sz w:val="24"/>
          <w:szCs w:val="24"/>
        </w:rPr>
        <w:t>轨道转换、几何相变、编码和通信，有望在光学</w:t>
      </w:r>
      <w:r w:rsidR="00BB2C56">
        <w:rPr>
          <w:rFonts w:ascii="黑体" w:eastAsia="黑体" w:hAnsi="黑体"/>
          <w:sz w:val="24"/>
          <w:szCs w:val="24"/>
        </w:rPr>
        <w:t>斯格明子</w:t>
      </w:r>
      <w:r w:rsidRPr="001C3C25">
        <w:rPr>
          <w:rFonts w:ascii="黑体" w:eastAsia="黑体" w:hAnsi="黑体"/>
          <w:sz w:val="24"/>
          <w:szCs w:val="24"/>
        </w:rPr>
        <w:t>中进行类似的研究。</w:t>
      </w:r>
    </w:p>
    <w:p w14:paraId="6F521CEB" w14:textId="17E268B0" w:rsidR="001C3C25" w:rsidRDefault="001C3C25" w:rsidP="00ED7425">
      <w:pPr>
        <w:spacing w:line="360" w:lineRule="auto"/>
        <w:rPr>
          <w:rFonts w:ascii="黑体" w:eastAsia="黑体" w:hAnsi="黑体"/>
          <w:sz w:val="24"/>
          <w:szCs w:val="24"/>
        </w:rPr>
      </w:pPr>
    </w:p>
    <w:p w14:paraId="63D6DEDC" w14:textId="0CDEBE00" w:rsidR="001C3C25" w:rsidRDefault="001C3C25" w:rsidP="00ED7425">
      <w:pPr>
        <w:spacing w:line="360" w:lineRule="auto"/>
        <w:rPr>
          <w:rFonts w:ascii="黑体" w:eastAsia="黑体" w:hAnsi="黑体"/>
          <w:sz w:val="24"/>
          <w:szCs w:val="24"/>
        </w:rPr>
      </w:pPr>
      <w:r w:rsidRPr="001C3C25">
        <w:rPr>
          <w:rFonts w:ascii="黑体" w:eastAsia="黑体" w:hAnsi="黑体" w:hint="eastAsia"/>
          <w:sz w:val="24"/>
          <w:szCs w:val="24"/>
          <w:highlight w:val="yellow"/>
        </w:rPr>
        <w:t>实验</w:t>
      </w:r>
    </w:p>
    <w:p w14:paraId="70411C11" w14:textId="25723420" w:rsidR="001C3C25" w:rsidRDefault="00082BC7" w:rsidP="00ED7425">
      <w:pPr>
        <w:spacing w:line="360" w:lineRule="auto"/>
        <w:rPr>
          <w:rFonts w:ascii="黑体" w:eastAsia="黑体" w:hAnsi="黑体"/>
          <w:sz w:val="24"/>
          <w:szCs w:val="24"/>
        </w:rPr>
      </w:pPr>
      <w:r w:rsidRPr="00082BC7">
        <w:rPr>
          <w:rFonts w:ascii="黑体" w:eastAsia="黑体" w:hAnsi="黑体" w:hint="eastAsia"/>
          <w:sz w:val="24"/>
          <w:szCs w:val="24"/>
        </w:rPr>
        <w:t>为了在实验上实现可调谐光学</w:t>
      </w:r>
      <w:r w:rsidRPr="00082BC7">
        <w:rPr>
          <w:rFonts w:ascii="黑体" w:eastAsia="黑体" w:hAnsi="黑体"/>
          <w:sz w:val="24"/>
          <w:szCs w:val="24"/>
        </w:rPr>
        <w:t>skyrmion</w:t>
      </w:r>
      <w:r w:rsidRPr="00082BC7">
        <w:rPr>
          <w:rFonts w:ascii="黑体" w:eastAsia="黑体" w:hAnsi="黑体" w:hint="eastAsia"/>
          <w:sz w:val="24"/>
          <w:szCs w:val="24"/>
        </w:rPr>
        <w:t>，我们实现了一种高度稳定的光学装置，能够产生几乎任何偏振状态和空间轮廓的任意光束，</w:t>
      </w:r>
      <w:r w:rsidRPr="00082BC7">
        <w:rPr>
          <w:rFonts w:ascii="黑体" w:eastAsia="黑体" w:hAnsi="黑体"/>
          <w:sz w:val="24"/>
          <w:szCs w:val="24"/>
        </w:rPr>
        <w:t>如图5所示。这种光学装置使用空间光调制器（SLM）任意控制光场的空间分布。设置从水平极化HeNe（632.8nm）激光束开始，经过准直和扩展，完全覆盖SLM的液晶屏幕。SLM的屏幕被数字分割成两个独立的屏幕，每个屏幕都由一个独立的数字全息图寻址，该全息图以第一衍射顺序生成两个独立光场。全息图是根据等式10给出的所需skyrmion选择的。为了更好地近似贝塞尔或LG模式，我们使用复振幅调制</w:t>
      </w:r>
      <w:r w:rsidRPr="00082BC7">
        <w:rPr>
          <w:rFonts w:ascii="黑体" w:eastAsia="黑体" w:hAnsi="黑体" w:hint="eastAsia"/>
          <w:sz w:val="24"/>
          <w:szCs w:val="24"/>
        </w:rPr>
        <w:t>调制所需模式的振幅和相位（更多详细信息，请参阅参考文献</w:t>
      </w:r>
      <w:r w:rsidRPr="00082BC7">
        <w:rPr>
          <w:rFonts w:ascii="黑体" w:eastAsia="黑体" w:hAnsi="黑体"/>
          <w:sz w:val="24"/>
          <w:szCs w:val="24"/>
        </w:rPr>
        <w:t>30）。</w:t>
      </w:r>
    </w:p>
    <w:p w14:paraId="29466ABF" w14:textId="1EF45660" w:rsidR="00082BC7" w:rsidRDefault="00082BC7" w:rsidP="00ED7425">
      <w:pPr>
        <w:spacing w:line="360" w:lineRule="auto"/>
        <w:rPr>
          <w:rFonts w:ascii="黑体" w:eastAsia="黑体" w:hAnsi="黑体"/>
          <w:sz w:val="24"/>
          <w:szCs w:val="24"/>
        </w:rPr>
      </w:pPr>
      <w:r>
        <w:rPr>
          <w:noProof/>
        </w:rPr>
        <w:drawing>
          <wp:inline distT="0" distB="0" distL="0" distR="0" wp14:anchorId="0E2C5A79" wp14:editId="5697925F">
            <wp:extent cx="3286125" cy="2505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505075"/>
                    </a:xfrm>
                    <a:prstGeom prst="rect">
                      <a:avLst/>
                    </a:prstGeom>
                  </pic:spPr>
                </pic:pic>
              </a:graphicData>
            </a:graphic>
          </wp:inline>
        </w:drawing>
      </w:r>
    </w:p>
    <w:p w14:paraId="1EA25D32" w14:textId="12218C77" w:rsidR="00082BC7" w:rsidRDefault="00082BC7" w:rsidP="00ED7425">
      <w:pPr>
        <w:spacing w:line="360" w:lineRule="auto"/>
        <w:rPr>
          <w:rFonts w:ascii="黑体" w:eastAsia="黑体" w:hAnsi="黑体"/>
          <w:sz w:val="24"/>
          <w:szCs w:val="24"/>
        </w:rPr>
      </w:pPr>
      <w:r w:rsidRPr="00082BC7">
        <w:rPr>
          <w:rFonts w:ascii="黑体" w:eastAsia="黑体" w:hAnsi="黑体" w:hint="eastAsia"/>
          <w:sz w:val="24"/>
          <w:szCs w:val="24"/>
        </w:rPr>
        <w:t>图</w:t>
      </w:r>
      <w:r w:rsidRPr="00082BC7">
        <w:rPr>
          <w:rFonts w:ascii="黑体" w:eastAsia="黑体" w:hAnsi="黑体"/>
          <w:sz w:val="24"/>
          <w:szCs w:val="24"/>
        </w:rPr>
        <w:t>5.用于生成可调谐光学</w:t>
      </w:r>
      <w:r>
        <w:rPr>
          <w:rFonts w:ascii="黑体" w:eastAsia="黑体" w:hAnsi="黑体" w:hint="eastAsia"/>
          <w:sz w:val="24"/>
          <w:szCs w:val="24"/>
        </w:rPr>
        <w:t>斯格明子</w:t>
      </w:r>
      <w:r w:rsidRPr="00082BC7">
        <w:rPr>
          <w:rFonts w:ascii="黑体" w:eastAsia="黑体" w:hAnsi="黑体"/>
          <w:sz w:val="24"/>
          <w:szCs w:val="24"/>
        </w:rPr>
        <w:t>的光学装置的示意图。</w:t>
      </w:r>
      <w:r>
        <w:rPr>
          <w:rFonts w:ascii="黑体" w:eastAsia="黑体" w:hAnsi="黑体" w:hint="eastAsia"/>
          <w:sz w:val="24"/>
          <w:szCs w:val="24"/>
        </w:rPr>
        <w:t>L1</w:t>
      </w:r>
      <w:r w:rsidRPr="00082BC7">
        <w:rPr>
          <w:rFonts w:ascii="微软雅黑" w:eastAsia="微软雅黑" w:hAnsi="微软雅黑" w:cs="微软雅黑" w:hint="eastAsia"/>
          <w:sz w:val="24"/>
          <w:szCs w:val="24"/>
        </w:rPr>
        <w:t>−</w:t>
      </w:r>
      <w:r w:rsidRPr="00082BC7">
        <w:rPr>
          <w:rFonts w:ascii="黑体" w:eastAsia="黑体" w:hAnsi="黑体"/>
          <w:sz w:val="24"/>
          <w:szCs w:val="24"/>
        </w:rPr>
        <w:t>L4，透镜；PBS，偏振分束器；SLM：空间光调制器；HWP，半波片；QWP，四分之一波片；M、 镜子；Sf，空间滤波器；CCD：电荷耦合器件相机。</w:t>
      </w:r>
    </w:p>
    <w:p w14:paraId="17B6BF23" w14:textId="2C165F3D" w:rsidR="00082BC7" w:rsidRDefault="00082BC7" w:rsidP="00ED7425">
      <w:pPr>
        <w:spacing w:line="360" w:lineRule="auto"/>
        <w:rPr>
          <w:rFonts w:ascii="黑体" w:eastAsia="黑体" w:hAnsi="黑体"/>
          <w:sz w:val="24"/>
          <w:szCs w:val="24"/>
        </w:rPr>
      </w:pPr>
    </w:p>
    <w:p w14:paraId="3382D133" w14:textId="6BC8F9CE" w:rsidR="00082BC7" w:rsidRPr="00082BC7" w:rsidRDefault="00082BC7" w:rsidP="00082BC7">
      <w:pPr>
        <w:spacing w:line="360" w:lineRule="auto"/>
        <w:rPr>
          <w:rFonts w:ascii="黑体" w:eastAsia="黑体" w:hAnsi="黑体"/>
          <w:sz w:val="24"/>
          <w:szCs w:val="24"/>
        </w:rPr>
      </w:pPr>
      <w:r w:rsidRPr="00082BC7">
        <w:rPr>
          <w:rFonts w:ascii="黑体" w:eastAsia="黑体" w:hAnsi="黑体" w:hint="eastAsia"/>
          <w:sz w:val="24"/>
          <w:szCs w:val="24"/>
        </w:rPr>
        <w:t>例如，为了生成</w:t>
      </w:r>
      <w:r w:rsidRPr="00082BC7">
        <w:rPr>
          <w:rFonts w:ascii="黑体" w:eastAsia="黑体" w:hAnsi="黑体"/>
          <w:sz w:val="24"/>
          <w:szCs w:val="24"/>
        </w:rPr>
        <w:t>skyrmion（</w:t>
      </w:r>
      <w:r w:rsidRPr="001C3C25">
        <w:rPr>
          <w:rFonts w:ascii="黑体" w:eastAsia="黑体" w:hAnsi="黑体" w:hint="eastAsia"/>
          <w:sz w:val="24"/>
          <w:szCs w:val="24"/>
        </w:rPr>
        <w:t>Θ</w:t>
      </w:r>
      <w:r w:rsidRPr="00082BC7">
        <w:rPr>
          <w:rFonts w:ascii="黑体" w:eastAsia="黑体" w:hAnsi="黑体"/>
          <w:sz w:val="24"/>
          <w:szCs w:val="24"/>
        </w:rPr>
        <w:t>=0），只存在LCP分量的第二项，即Ψ</w:t>
      </w:r>
      <w:r w:rsidRPr="00082BC7">
        <w:rPr>
          <w:rFonts w:ascii="黑体" w:eastAsia="黑体" w:hAnsi="黑体"/>
          <w:sz w:val="24"/>
          <w:szCs w:val="24"/>
          <w:vertAlign w:val="subscript"/>
        </w:rPr>
        <w:t>1</w:t>
      </w:r>
      <w:r w:rsidRPr="00082BC7">
        <w:rPr>
          <w:rFonts w:ascii="黑体" w:eastAsia="黑体" w:hAnsi="黑体"/>
          <w:sz w:val="24"/>
          <w:szCs w:val="24"/>
        </w:rPr>
        <w:t>。因此，在SLM</w:t>
      </w:r>
      <w:r w:rsidRPr="00082BC7">
        <w:rPr>
          <w:rFonts w:ascii="黑体" w:eastAsia="黑体" w:hAnsi="黑体"/>
          <w:sz w:val="24"/>
          <w:szCs w:val="24"/>
        </w:rPr>
        <w:lastRenderedPageBreak/>
        <w:t>的一侧，我们将模式Ψ</w:t>
      </w:r>
      <w:r w:rsidRPr="00082BC7">
        <w:rPr>
          <w:rFonts w:ascii="黑体" w:eastAsia="黑体" w:hAnsi="黑体"/>
          <w:sz w:val="24"/>
          <w:szCs w:val="24"/>
          <w:vertAlign w:val="subscript"/>
        </w:rPr>
        <w:t>0</w:t>
      </w:r>
      <w:r w:rsidRPr="00082BC7">
        <w:rPr>
          <w:rFonts w:ascii="黑体" w:eastAsia="黑体" w:hAnsi="黑体"/>
          <w:sz w:val="24"/>
          <w:szCs w:val="24"/>
        </w:rPr>
        <w:t>编码为（基本高斯模式），另一侧编码为模式Ψ</w:t>
      </w:r>
      <w:r w:rsidRPr="00082BC7">
        <w:rPr>
          <w:rFonts w:ascii="黑体" w:eastAsia="黑体" w:hAnsi="黑体"/>
          <w:sz w:val="24"/>
          <w:szCs w:val="24"/>
          <w:vertAlign w:val="subscript"/>
        </w:rPr>
        <w:t>1</w:t>
      </w:r>
      <w:r w:rsidRPr="00082BC7">
        <w:rPr>
          <w:rFonts w:ascii="黑体" w:eastAsia="黑体" w:hAnsi="黑体"/>
          <w:sz w:val="24"/>
          <w:szCs w:val="24"/>
        </w:rPr>
        <w:t>（一阶贝塞尔或LG模式）。编码全息图的一个示例如图5中的插图所示。这里还可以看到，每个全息图都与一个线性光栅叠加，以分离不同的衍射级数，并使用由两个透镜组成的望远镜和位于第一个透镜焦平面的空间滤波器过滤第一个衍射。然后，这两个光场被重定向到由偏振分束器（PBS）和两个反射镜组成的共光路三角Sagnac干涉仪。</w:t>
      </w:r>
    </w:p>
    <w:p w14:paraId="71506EDD" w14:textId="7233FF38" w:rsidR="00082BC7" w:rsidRDefault="00082BC7" w:rsidP="00082BC7">
      <w:pPr>
        <w:spacing w:line="360" w:lineRule="auto"/>
        <w:rPr>
          <w:rFonts w:ascii="黑体" w:eastAsia="黑体" w:hAnsi="黑体"/>
          <w:sz w:val="24"/>
          <w:szCs w:val="24"/>
        </w:rPr>
      </w:pPr>
      <w:r w:rsidRPr="00082BC7">
        <w:rPr>
          <w:rFonts w:ascii="黑体" w:eastAsia="黑体" w:hAnsi="黑体" w:hint="eastAsia"/>
          <w:sz w:val="24"/>
          <w:szCs w:val="24"/>
        </w:rPr>
        <w:t>在进入干涉仪之前，两束光束被旋转到对角偏振状态。这样，当两束光束穿过</w:t>
      </w:r>
      <w:r w:rsidRPr="00082BC7">
        <w:rPr>
          <w:rFonts w:ascii="黑体" w:eastAsia="黑体" w:hAnsi="黑体"/>
          <w:sz w:val="24"/>
          <w:szCs w:val="24"/>
        </w:rPr>
        <w:t>PBS后进入干涉仪时，它们中的每一束都被分成两个新的光束，具有沿相反光路行进的正交线性偏振态（水平和垂直）。往返后，所有四束光束从PBS的另一侧退出干涉仪，其中两束为水平偏振，两束为垂直偏振。最后，其中一束的水平偏振分量与另一束的垂直偏振分量同轴对齐。为了改善同轴叠加，通过编码在每个数字全息图上的线性光栅的周期进行数字微调。重要的是，SLM的屏幕并非完全平坦，因此产生的光学像差会导致实验结果和理论结果之间的微小偏差。尽管如此，这种畸变可以通</w:t>
      </w:r>
      <w:r w:rsidRPr="00082BC7">
        <w:rPr>
          <w:rFonts w:ascii="黑体" w:eastAsia="黑体" w:hAnsi="黑体" w:hint="eastAsia"/>
          <w:sz w:val="24"/>
          <w:szCs w:val="24"/>
        </w:rPr>
        <w:t>过在</w:t>
      </w:r>
      <w:r w:rsidRPr="00082BC7">
        <w:rPr>
          <w:rFonts w:ascii="黑体" w:eastAsia="黑体" w:hAnsi="黑体"/>
          <w:sz w:val="24"/>
          <w:szCs w:val="24"/>
        </w:rPr>
        <w:t>SLM上添加校正遮罩来消除。此类更正超出了本文的范围，因为我们的目的只是演示概念。</w:t>
      </w:r>
    </w:p>
    <w:p w14:paraId="4FD2F377" w14:textId="059705C4" w:rsidR="00A56A8D" w:rsidRDefault="00A56A8D" w:rsidP="00082BC7">
      <w:pPr>
        <w:spacing w:line="360" w:lineRule="auto"/>
        <w:rPr>
          <w:rFonts w:ascii="黑体" w:eastAsia="黑体" w:hAnsi="黑体"/>
          <w:sz w:val="24"/>
          <w:szCs w:val="24"/>
        </w:rPr>
      </w:pPr>
      <w:r w:rsidRPr="00A56A8D">
        <w:rPr>
          <w:rFonts w:ascii="黑体" w:eastAsia="黑体" w:hAnsi="黑体" w:hint="eastAsia"/>
          <w:sz w:val="24"/>
          <w:szCs w:val="24"/>
        </w:rPr>
        <w:t>光学</w:t>
      </w:r>
      <w:r w:rsidR="00BB2C56">
        <w:rPr>
          <w:rFonts w:ascii="黑体" w:eastAsia="黑体" w:hAnsi="黑体" w:hint="eastAsia"/>
          <w:sz w:val="24"/>
          <w:szCs w:val="24"/>
        </w:rPr>
        <w:t>斯格明子</w:t>
      </w:r>
      <w:r w:rsidRPr="00A56A8D">
        <w:rPr>
          <w:rFonts w:ascii="黑体" w:eastAsia="黑体" w:hAnsi="黑体" w:hint="eastAsia"/>
          <w:sz w:val="24"/>
          <w:szCs w:val="24"/>
        </w:rPr>
        <w:t>的实验重建是通过斯托克斯旋光法实现的，更具体地说，是通过重建斯托克斯参数</w:t>
      </w:r>
      <w:r w:rsidRPr="00A56A8D">
        <w:rPr>
          <w:rFonts w:ascii="黑体" w:eastAsia="黑体" w:hAnsi="黑体"/>
          <w:sz w:val="24"/>
          <w:szCs w:val="24"/>
        </w:rPr>
        <w:t>S</w:t>
      </w:r>
      <w:r w:rsidRPr="00A56A8D">
        <w:rPr>
          <w:rFonts w:ascii="黑体" w:eastAsia="黑体" w:hAnsi="黑体"/>
          <w:sz w:val="24"/>
          <w:szCs w:val="24"/>
          <w:vertAlign w:val="subscript"/>
        </w:rPr>
        <w:t>0</w:t>
      </w:r>
      <w:r w:rsidRPr="00A56A8D">
        <w:rPr>
          <w:rFonts w:ascii="黑体" w:eastAsia="黑体" w:hAnsi="黑体"/>
          <w:sz w:val="24"/>
          <w:szCs w:val="24"/>
        </w:rPr>
        <w:t>、S</w:t>
      </w:r>
      <w:r w:rsidRPr="00A56A8D">
        <w:rPr>
          <w:rFonts w:ascii="黑体" w:eastAsia="黑体" w:hAnsi="黑体"/>
          <w:sz w:val="24"/>
          <w:szCs w:val="24"/>
          <w:vertAlign w:val="subscript"/>
        </w:rPr>
        <w:t>1</w:t>
      </w:r>
      <w:r w:rsidRPr="00A56A8D">
        <w:rPr>
          <w:rFonts w:ascii="黑体" w:eastAsia="黑体" w:hAnsi="黑体"/>
          <w:sz w:val="24"/>
          <w:szCs w:val="24"/>
        </w:rPr>
        <w:t>、S</w:t>
      </w:r>
      <w:r w:rsidRPr="00A56A8D">
        <w:rPr>
          <w:rFonts w:ascii="黑体" w:eastAsia="黑体" w:hAnsi="黑体"/>
          <w:sz w:val="24"/>
          <w:szCs w:val="24"/>
          <w:vertAlign w:val="subscript"/>
        </w:rPr>
        <w:t>2</w:t>
      </w:r>
      <w:r w:rsidRPr="00A56A8D">
        <w:rPr>
          <w:rFonts w:ascii="黑体" w:eastAsia="黑体" w:hAnsi="黑体"/>
          <w:sz w:val="24"/>
          <w:szCs w:val="24"/>
        </w:rPr>
        <w:t>和S</w:t>
      </w:r>
      <w:r w:rsidRPr="00A56A8D">
        <w:rPr>
          <w:rFonts w:ascii="黑体" w:eastAsia="黑体" w:hAnsi="黑体"/>
          <w:sz w:val="24"/>
          <w:szCs w:val="24"/>
          <w:vertAlign w:val="subscript"/>
        </w:rPr>
        <w:t>3</w:t>
      </w:r>
      <w:r w:rsidRPr="00A56A8D">
        <w:rPr>
          <w:rFonts w:ascii="黑体" w:eastAsia="黑体" w:hAnsi="黑体"/>
          <w:sz w:val="24"/>
          <w:szCs w:val="24"/>
        </w:rPr>
        <w:t>实现的，这些参数是通过一组强度测量值计算得出的。为此，在干涉仪的输出端口处建立了第二级，其中一系列相位延迟器和电荷耦合器件相机（CCD）允许测量所需的强度，根据这些强度，使用关系式重建斯托克斯参数</w:t>
      </w:r>
    </w:p>
    <w:p w14:paraId="1C883606" w14:textId="5779605D" w:rsidR="00A56A8D" w:rsidRDefault="00A56A8D" w:rsidP="00A56A8D">
      <w:pPr>
        <w:spacing w:line="360" w:lineRule="auto"/>
        <w:jc w:val="center"/>
        <w:rPr>
          <w:rFonts w:ascii="黑体" w:eastAsia="黑体" w:hAnsi="黑体"/>
          <w:sz w:val="24"/>
          <w:szCs w:val="24"/>
        </w:rPr>
      </w:pPr>
      <w:r>
        <w:rPr>
          <w:noProof/>
        </w:rPr>
        <w:drawing>
          <wp:inline distT="0" distB="0" distL="0" distR="0" wp14:anchorId="710273A2" wp14:editId="061B0631">
            <wp:extent cx="3409950" cy="609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0" cy="609600"/>
                    </a:xfrm>
                    <a:prstGeom prst="rect">
                      <a:avLst/>
                    </a:prstGeom>
                  </pic:spPr>
                </pic:pic>
              </a:graphicData>
            </a:graphic>
          </wp:inline>
        </w:drawing>
      </w:r>
    </w:p>
    <w:p w14:paraId="2EFDD872" w14:textId="06ACC922" w:rsidR="00A56A8D" w:rsidRPr="00A56A8D" w:rsidRDefault="00A56A8D" w:rsidP="00A56A8D">
      <w:pPr>
        <w:spacing w:line="360" w:lineRule="auto"/>
        <w:rPr>
          <w:rFonts w:ascii="黑体" w:eastAsia="黑体" w:hAnsi="黑体"/>
          <w:sz w:val="24"/>
          <w:szCs w:val="24"/>
        </w:rPr>
      </w:pPr>
      <w:r w:rsidRPr="00A56A8D">
        <w:rPr>
          <w:rFonts w:ascii="黑体" w:eastAsia="黑体" w:hAnsi="黑体" w:hint="eastAsia"/>
          <w:sz w:val="24"/>
          <w:szCs w:val="24"/>
        </w:rPr>
        <w:t>其中，</w:t>
      </w:r>
      <w:r w:rsidRPr="00A56A8D">
        <w:rPr>
          <w:rFonts w:ascii="黑体" w:eastAsia="黑体" w:hAnsi="黑体"/>
          <w:sz w:val="24"/>
          <w:szCs w:val="24"/>
        </w:rPr>
        <w:t>I</w:t>
      </w:r>
      <w:r w:rsidRPr="00A56A8D">
        <w:rPr>
          <w:rFonts w:ascii="黑体" w:eastAsia="黑体" w:hAnsi="黑体"/>
          <w:sz w:val="24"/>
          <w:szCs w:val="24"/>
          <w:vertAlign w:val="subscript"/>
        </w:rPr>
        <w:t>H</w:t>
      </w:r>
      <w:r w:rsidRPr="00A56A8D">
        <w:rPr>
          <w:rFonts w:ascii="黑体" w:eastAsia="黑体" w:hAnsi="黑体"/>
          <w:sz w:val="24"/>
          <w:szCs w:val="24"/>
        </w:rPr>
        <w:t>、I</w:t>
      </w:r>
      <w:r w:rsidRPr="00A56A8D">
        <w:rPr>
          <w:rFonts w:ascii="黑体" w:eastAsia="黑体" w:hAnsi="黑体"/>
          <w:sz w:val="24"/>
          <w:szCs w:val="24"/>
          <w:vertAlign w:val="subscript"/>
        </w:rPr>
        <w:t>V</w:t>
      </w:r>
      <w:r w:rsidRPr="00A56A8D">
        <w:rPr>
          <w:rFonts w:ascii="黑体" w:eastAsia="黑体" w:hAnsi="黑体"/>
          <w:sz w:val="24"/>
          <w:szCs w:val="24"/>
        </w:rPr>
        <w:t>、I</w:t>
      </w:r>
      <w:r w:rsidRPr="00A56A8D">
        <w:rPr>
          <w:rFonts w:ascii="黑体" w:eastAsia="黑体" w:hAnsi="黑体"/>
          <w:sz w:val="24"/>
          <w:szCs w:val="24"/>
          <w:vertAlign w:val="subscript"/>
        </w:rPr>
        <w:t>D</w:t>
      </w:r>
      <w:r w:rsidRPr="00A56A8D">
        <w:rPr>
          <w:rFonts w:ascii="黑体" w:eastAsia="黑体" w:hAnsi="黑体"/>
          <w:sz w:val="24"/>
          <w:szCs w:val="24"/>
        </w:rPr>
        <w:t>和I</w:t>
      </w:r>
      <w:r w:rsidRPr="00A56A8D">
        <w:rPr>
          <w:rFonts w:ascii="黑体" w:eastAsia="黑体" w:hAnsi="黑体"/>
          <w:sz w:val="24"/>
          <w:szCs w:val="24"/>
          <w:vertAlign w:val="subscript"/>
        </w:rPr>
        <w:t>R</w:t>
      </w:r>
      <w:r w:rsidRPr="00A56A8D">
        <w:rPr>
          <w:rFonts w:ascii="黑体" w:eastAsia="黑体" w:hAnsi="黑体"/>
          <w:sz w:val="24"/>
          <w:szCs w:val="24"/>
        </w:rPr>
        <w:t>分别表示水平、垂直、对角和RCP分量的强度。为了在实验上测量I</w:t>
      </w:r>
      <w:r w:rsidRPr="00A56A8D">
        <w:rPr>
          <w:rFonts w:ascii="黑体" w:eastAsia="黑体" w:hAnsi="黑体"/>
          <w:sz w:val="24"/>
          <w:szCs w:val="24"/>
          <w:vertAlign w:val="subscript"/>
        </w:rPr>
        <w:t>H</w:t>
      </w:r>
      <w:r w:rsidRPr="00A56A8D">
        <w:rPr>
          <w:rFonts w:ascii="黑体" w:eastAsia="黑体" w:hAnsi="黑体"/>
          <w:sz w:val="24"/>
          <w:szCs w:val="24"/>
        </w:rPr>
        <w:t>、I</w:t>
      </w:r>
      <w:r w:rsidRPr="00A56A8D">
        <w:rPr>
          <w:rFonts w:ascii="黑体" w:eastAsia="黑体" w:hAnsi="黑体"/>
          <w:sz w:val="24"/>
          <w:szCs w:val="24"/>
          <w:vertAlign w:val="subscript"/>
        </w:rPr>
        <w:t>V</w:t>
      </w:r>
      <w:r w:rsidRPr="00A56A8D">
        <w:rPr>
          <w:rFonts w:ascii="黑体" w:eastAsia="黑体" w:hAnsi="黑体"/>
          <w:sz w:val="24"/>
          <w:szCs w:val="24"/>
        </w:rPr>
        <w:t>和I</w:t>
      </w:r>
      <w:r w:rsidRPr="00A56A8D">
        <w:rPr>
          <w:rFonts w:ascii="黑体" w:eastAsia="黑体" w:hAnsi="黑体"/>
          <w:sz w:val="24"/>
          <w:szCs w:val="24"/>
          <w:vertAlign w:val="subscript"/>
        </w:rPr>
        <w:t>D</w:t>
      </w:r>
      <w:r w:rsidRPr="00A56A8D">
        <w:rPr>
          <w:rFonts w:ascii="黑体" w:eastAsia="黑体" w:hAnsi="黑体"/>
          <w:sz w:val="24"/>
          <w:szCs w:val="24"/>
        </w:rPr>
        <w:t>，我们将光场分别穿过设置为0°、45°和95°的线性偏振器，同时通过同时穿过45°的四分之一波片（QWP）和90°的线性极化器来获得红外偏振分量的强度（更多详细信息，请参阅参考文献31）。图6a显示了在特定情况下φ</w:t>
      </w:r>
      <w:r w:rsidRPr="00A56A8D">
        <w:rPr>
          <w:rFonts w:ascii="黑体" w:eastAsia="黑体" w:hAnsi="黑体"/>
          <w:sz w:val="24"/>
          <w:szCs w:val="24"/>
          <w:vertAlign w:val="subscript"/>
        </w:rPr>
        <w:t>1</w:t>
      </w:r>
      <w:r w:rsidRPr="00A56A8D">
        <w:rPr>
          <w:rFonts w:ascii="黑体" w:eastAsia="黑体" w:hAnsi="黑体"/>
          <w:sz w:val="24"/>
          <w:szCs w:val="24"/>
        </w:rPr>
        <w:t>=φ</w:t>
      </w:r>
      <w:r w:rsidRPr="00A56A8D">
        <w:rPr>
          <w:rFonts w:ascii="黑体" w:eastAsia="黑体" w:hAnsi="黑体"/>
          <w:sz w:val="24"/>
          <w:szCs w:val="24"/>
          <w:vertAlign w:val="subscript"/>
        </w:rPr>
        <w:t>2</w:t>
      </w:r>
      <w:r w:rsidRPr="00A56A8D">
        <w:rPr>
          <w:rFonts w:ascii="黑体" w:eastAsia="黑体" w:hAnsi="黑体"/>
          <w:sz w:val="24"/>
          <w:szCs w:val="24"/>
        </w:rPr>
        <w:t>=0时，实验斯托克斯参数及其与相应偏振分布（图6b）重叠的强度分布的示例。在这个示例中，光束中心包括一个纯RCP状态（S</w:t>
      </w:r>
      <w:r w:rsidRPr="00A56A8D">
        <w:rPr>
          <w:rFonts w:ascii="黑体" w:eastAsia="黑体" w:hAnsi="黑体"/>
          <w:sz w:val="24"/>
          <w:szCs w:val="24"/>
          <w:vertAlign w:val="subscript"/>
        </w:rPr>
        <w:t>3</w:t>
      </w:r>
      <w:r w:rsidRPr="00A56A8D">
        <w:rPr>
          <w:rFonts w:ascii="黑体" w:eastAsia="黑体" w:hAnsi="黑体"/>
          <w:sz w:val="24"/>
          <w:szCs w:val="24"/>
        </w:rPr>
        <w:t>=1），由深蓝色表示。这种情况是因为光束由LCP基本高斯模和LCP-LG模的同轴叠加组成的，LCP LG模在其中</w:t>
      </w:r>
      <w:r w:rsidRPr="00A56A8D">
        <w:rPr>
          <w:rFonts w:ascii="黑体" w:eastAsia="黑体" w:hAnsi="黑体"/>
          <w:sz w:val="24"/>
          <w:szCs w:val="24"/>
        </w:rPr>
        <w:lastRenderedPageBreak/>
        <w:t>心有一个零点。因此，组合模式中心的点作为一个纯RCP（S</w:t>
      </w:r>
      <w:r w:rsidRPr="00A56A8D">
        <w:rPr>
          <w:rFonts w:ascii="黑体" w:eastAsia="黑体" w:hAnsi="黑体"/>
          <w:sz w:val="24"/>
          <w:szCs w:val="24"/>
          <w:vertAlign w:val="subscript"/>
        </w:rPr>
        <w:t>3</w:t>
      </w:r>
      <w:r w:rsidRPr="00A56A8D">
        <w:rPr>
          <w:rFonts w:ascii="黑体" w:eastAsia="黑体" w:hAnsi="黑体"/>
          <w:sz w:val="24"/>
          <w:szCs w:val="24"/>
        </w:rPr>
        <w:t>=+1）状态存在，它正好对应于一个通用C点。本示例中使用的全息图如图5（数字全息图）中的插图所示，从左到右对应于基本高斯模式和一阶LG模式。</w:t>
      </w:r>
    </w:p>
    <w:p w14:paraId="6672B4C9" w14:textId="5AFF193C" w:rsidR="00A56A8D" w:rsidRDefault="00A56A8D" w:rsidP="00A56A8D">
      <w:pPr>
        <w:spacing w:line="360" w:lineRule="auto"/>
        <w:rPr>
          <w:rFonts w:ascii="黑体" w:eastAsia="黑体" w:hAnsi="黑体"/>
          <w:sz w:val="24"/>
          <w:szCs w:val="24"/>
        </w:rPr>
      </w:pPr>
      <w:r w:rsidRPr="00A56A8D">
        <w:rPr>
          <w:rFonts w:ascii="黑体" w:eastAsia="黑体" w:hAnsi="黑体" w:hint="eastAsia"/>
          <w:sz w:val="24"/>
          <w:szCs w:val="24"/>
        </w:rPr>
        <w:t>重要的是，通过简单地改变</w:t>
      </w:r>
      <w:r w:rsidRPr="00A56A8D">
        <w:rPr>
          <w:rFonts w:ascii="黑体" w:eastAsia="黑体" w:hAnsi="黑体"/>
          <w:sz w:val="24"/>
          <w:szCs w:val="24"/>
        </w:rPr>
        <w:t>SLM上显示的全息图，可以根据等式10选择圆环上表示的所有拓扑结构</w:t>
      </w:r>
      <w:r>
        <w:rPr>
          <w:rFonts w:ascii="黑体" w:eastAsia="黑体" w:hAnsi="黑体" w:hint="eastAsia"/>
          <w:sz w:val="24"/>
          <w:szCs w:val="24"/>
        </w:rPr>
        <w:t>。</w:t>
      </w:r>
    </w:p>
    <w:p w14:paraId="07780BF6" w14:textId="318C0423" w:rsidR="00A56A8D" w:rsidRDefault="00A56A8D" w:rsidP="00A56A8D">
      <w:pPr>
        <w:spacing w:line="360" w:lineRule="auto"/>
        <w:rPr>
          <w:rFonts w:ascii="黑体" w:eastAsia="黑体" w:hAnsi="黑体"/>
          <w:sz w:val="24"/>
          <w:szCs w:val="24"/>
        </w:rPr>
      </w:pPr>
      <w:r>
        <w:rPr>
          <w:noProof/>
        </w:rPr>
        <w:drawing>
          <wp:inline distT="0" distB="0" distL="0" distR="0" wp14:anchorId="197A566E" wp14:editId="05528711">
            <wp:extent cx="348615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1704975"/>
                    </a:xfrm>
                    <a:prstGeom prst="rect">
                      <a:avLst/>
                    </a:prstGeom>
                  </pic:spPr>
                </pic:pic>
              </a:graphicData>
            </a:graphic>
          </wp:inline>
        </w:drawing>
      </w:r>
    </w:p>
    <w:p w14:paraId="63876F54" w14:textId="6B67E846" w:rsidR="00A56A8D" w:rsidRDefault="00A56A8D" w:rsidP="00A56A8D">
      <w:pPr>
        <w:spacing w:line="360" w:lineRule="auto"/>
        <w:rPr>
          <w:rFonts w:ascii="黑体" w:eastAsia="黑体" w:hAnsi="黑体"/>
          <w:sz w:val="24"/>
          <w:szCs w:val="24"/>
        </w:rPr>
      </w:pPr>
      <w:r w:rsidRPr="00A56A8D">
        <w:rPr>
          <w:rFonts w:ascii="黑体" w:eastAsia="黑体" w:hAnsi="黑体" w:hint="eastAsia"/>
          <w:sz w:val="24"/>
          <w:szCs w:val="24"/>
        </w:rPr>
        <w:t>图</w:t>
      </w:r>
      <w:r w:rsidRPr="00A56A8D">
        <w:rPr>
          <w:rFonts w:ascii="黑体" w:eastAsia="黑体" w:hAnsi="黑体"/>
          <w:sz w:val="24"/>
          <w:szCs w:val="24"/>
        </w:rPr>
        <w:t>6.实验重建的（a）斯托克斯参数和（b）矢量场的强度分布与其对应的极化分布重叠。</w:t>
      </w:r>
    </w:p>
    <w:p w14:paraId="0C46B321" w14:textId="0F52A978" w:rsidR="00A56A8D" w:rsidRDefault="00A56A8D" w:rsidP="00A56A8D">
      <w:pPr>
        <w:spacing w:line="360" w:lineRule="auto"/>
        <w:rPr>
          <w:rFonts w:ascii="黑体" w:eastAsia="黑体" w:hAnsi="黑体"/>
          <w:sz w:val="24"/>
          <w:szCs w:val="24"/>
        </w:rPr>
      </w:pPr>
    </w:p>
    <w:p w14:paraId="713C2813" w14:textId="32EDA7D8" w:rsidR="00A56A8D" w:rsidRDefault="00A56A8D" w:rsidP="00A56A8D">
      <w:pPr>
        <w:spacing w:line="360" w:lineRule="auto"/>
        <w:rPr>
          <w:rFonts w:ascii="黑体" w:eastAsia="黑体" w:hAnsi="黑体"/>
          <w:sz w:val="24"/>
          <w:szCs w:val="24"/>
        </w:rPr>
      </w:pPr>
      <w:r w:rsidRPr="00A56A8D">
        <w:rPr>
          <w:rFonts w:ascii="黑体" w:eastAsia="黑体" w:hAnsi="黑体" w:hint="eastAsia"/>
          <w:sz w:val="24"/>
          <w:szCs w:val="24"/>
        </w:rPr>
        <w:t>利用我们的数字全息系统，我们实现了在</w:t>
      </w:r>
      <w:r w:rsidRPr="00A56A8D">
        <w:rPr>
          <w:rFonts w:ascii="黑体" w:eastAsia="黑体" w:hAnsi="黑体"/>
          <w:sz w:val="24"/>
          <w:szCs w:val="24"/>
        </w:rPr>
        <w:t>skyrmion环面上控制生成具有任意拓扑纹理的Stokes skyrmions。图7显示了我们在skyrmion环面典型点处基于LG的可调谐Stokes skyrmions实验生成的结果，包括测量的强度和偏振分布、Stokes矢量场以及矢量场中心区域的放大，以清楚区分拓扑纹理。从我们的实验结果中，我们可以清楚地识别纹理（Neíel型skyrmion的刺猬，Bloch型skyrmaion的涡旋，以及antiskyrmion中的鞍）。重要的是，矢量场显示出与理论预测的微小实</w:t>
      </w:r>
      <w:r w:rsidRPr="00A56A8D">
        <w:rPr>
          <w:rFonts w:ascii="黑体" w:eastAsia="黑体" w:hAnsi="黑体" w:hint="eastAsia"/>
          <w:sz w:val="24"/>
          <w:szCs w:val="24"/>
        </w:rPr>
        <w:t>验偏差，但这些误差是可以容忍的，因为我们对</w:t>
      </w:r>
      <w:r w:rsidRPr="00A56A8D">
        <w:rPr>
          <w:rFonts w:ascii="黑体" w:eastAsia="黑体" w:hAnsi="黑体"/>
          <w:sz w:val="24"/>
          <w:szCs w:val="24"/>
        </w:rPr>
        <w:t>skyrmionic结构的3D拓扑感兴趣，在那里没有观察到明显的偏差。为了验证，我们使用等式1数值计算了我们的实验结果的skyrmion数，结果如图7所示。实验skyrmi数与相应的理论预测吻合得很好：s的反skyrmions=</w:t>
      </w:r>
      <w:r w:rsidRPr="00A56A8D">
        <w:rPr>
          <w:rFonts w:ascii="微软雅黑" w:eastAsia="微软雅黑" w:hAnsi="微软雅黑" w:cs="微软雅黑" w:hint="eastAsia"/>
          <w:sz w:val="24"/>
          <w:szCs w:val="24"/>
        </w:rPr>
        <w:t>−</w:t>
      </w:r>
      <w:r w:rsidRPr="00A56A8D">
        <w:rPr>
          <w:rFonts w:ascii="黑体" w:eastAsia="黑体" w:hAnsi="黑体"/>
          <w:sz w:val="24"/>
          <w:szCs w:val="24"/>
        </w:rPr>
        <w:t>1和Bloch-和Neel类型skyrmions，s=1。</w:t>
      </w:r>
      <w:r w:rsidRPr="00A56A8D">
        <w:rPr>
          <w:rFonts w:ascii="黑体" w:eastAsia="黑体" w:hAnsi="黑体" w:hint="eastAsia"/>
          <w:sz w:val="24"/>
          <w:szCs w:val="24"/>
        </w:rPr>
        <w:t>视频</w:t>
      </w:r>
      <w:r w:rsidRPr="00A56A8D">
        <w:rPr>
          <w:rFonts w:ascii="黑体" w:eastAsia="黑体" w:hAnsi="黑体"/>
          <w:sz w:val="24"/>
          <w:szCs w:val="24"/>
        </w:rPr>
        <w:t>S4和S5中显示了基于LG和贝塞尔的案例的其他实验结果</w:t>
      </w:r>
      <w:r w:rsidRPr="00A56A8D">
        <w:rPr>
          <w:rFonts w:ascii="微软雅黑" w:eastAsia="微软雅黑" w:hAnsi="微软雅黑" w:cs="微软雅黑" w:hint="eastAsia"/>
          <w:sz w:val="24"/>
          <w:szCs w:val="24"/>
        </w:rPr>
        <w:t>−</w:t>
      </w:r>
      <w:r w:rsidRPr="00A56A8D">
        <w:rPr>
          <w:rFonts w:ascii="黑体" w:eastAsia="黑体" w:hAnsi="黑体"/>
          <w:sz w:val="24"/>
          <w:szCs w:val="24"/>
        </w:rPr>
        <w:t>高斯模式。</w:t>
      </w:r>
    </w:p>
    <w:p w14:paraId="4A727D35" w14:textId="5564295D" w:rsidR="00A56A8D" w:rsidRDefault="00A56A8D" w:rsidP="00082BC7">
      <w:pPr>
        <w:spacing w:line="360" w:lineRule="auto"/>
        <w:rPr>
          <w:rFonts w:ascii="黑体" w:eastAsia="黑体" w:hAnsi="黑体"/>
          <w:sz w:val="24"/>
          <w:szCs w:val="24"/>
        </w:rPr>
      </w:pPr>
      <w:r>
        <w:rPr>
          <w:noProof/>
        </w:rPr>
        <w:lastRenderedPageBreak/>
        <w:drawing>
          <wp:inline distT="0" distB="0" distL="0" distR="0" wp14:anchorId="552B9DD1" wp14:editId="42DA8D1B">
            <wp:extent cx="5486400" cy="2229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9485"/>
                    </a:xfrm>
                    <a:prstGeom prst="rect">
                      <a:avLst/>
                    </a:prstGeom>
                  </pic:spPr>
                </pic:pic>
              </a:graphicData>
            </a:graphic>
          </wp:inline>
        </w:drawing>
      </w:r>
    </w:p>
    <w:p w14:paraId="7E93A57B" w14:textId="0D3ABE04" w:rsidR="00A56A8D" w:rsidRDefault="00A56A8D" w:rsidP="00082BC7">
      <w:pPr>
        <w:spacing w:line="360" w:lineRule="auto"/>
        <w:rPr>
          <w:rFonts w:ascii="黑体" w:eastAsia="黑体" w:hAnsi="黑体"/>
          <w:sz w:val="24"/>
          <w:szCs w:val="24"/>
        </w:rPr>
      </w:pPr>
      <w:r w:rsidRPr="00A56A8D">
        <w:rPr>
          <w:rFonts w:ascii="黑体" w:eastAsia="黑体" w:hAnsi="黑体" w:hint="eastAsia"/>
          <w:sz w:val="24"/>
          <w:szCs w:val="24"/>
        </w:rPr>
        <w:t>图</w:t>
      </w:r>
      <w:r w:rsidRPr="00A56A8D">
        <w:rPr>
          <w:rFonts w:ascii="黑体" w:eastAsia="黑体" w:hAnsi="黑体"/>
          <w:sz w:val="24"/>
          <w:szCs w:val="24"/>
        </w:rPr>
        <w:t>7.可调谐Stokes skyrmion的实验结果，其受控拓扑纹理对应于skyrmion-torus上的选定点，如灰色框所示。每个框包括测得的skyrmion光束的强度和偏振分布、Stokes skyrmions的矢量分布以及矢量场的平面放大形式，以清楚地区分拓扑结构。数值计算的skyrmion数在不同的面板中有相应的注释。</w:t>
      </w:r>
    </w:p>
    <w:p w14:paraId="21985674" w14:textId="6C39600D" w:rsidR="00A56A8D" w:rsidRDefault="00A56A8D" w:rsidP="00082BC7">
      <w:pPr>
        <w:spacing w:line="360" w:lineRule="auto"/>
        <w:rPr>
          <w:rFonts w:ascii="黑体" w:eastAsia="黑体" w:hAnsi="黑体"/>
          <w:sz w:val="24"/>
          <w:szCs w:val="24"/>
        </w:rPr>
      </w:pPr>
    </w:p>
    <w:p w14:paraId="7026D099" w14:textId="23756905" w:rsidR="00A56A8D" w:rsidRDefault="00E353A8" w:rsidP="00082BC7">
      <w:pPr>
        <w:spacing w:line="360" w:lineRule="auto"/>
        <w:rPr>
          <w:rFonts w:ascii="黑体" w:eastAsia="黑体" w:hAnsi="黑体"/>
          <w:sz w:val="24"/>
          <w:szCs w:val="24"/>
        </w:rPr>
      </w:pPr>
      <w:r>
        <w:rPr>
          <w:noProof/>
        </w:rPr>
        <w:drawing>
          <wp:inline distT="0" distB="0" distL="0" distR="0" wp14:anchorId="7783BC20" wp14:editId="66E2BCE4">
            <wp:extent cx="5486400" cy="30848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84830"/>
                    </a:xfrm>
                    <a:prstGeom prst="rect">
                      <a:avLst/>
                    </a:prstGeom>
                  </pic:spPr>
                </pic:pic>
              </a:graphicData>
            </a:graphic>
          </wp:inline>
        </w:drawing>
      </w:r>
    </w:p>
    <w:p w14:paraId="6A4AB7C3" w14:textId="5F6C999B" w:rsidR="00E353A8" w:rsidRDefault="00E353A8" w:rsidP="00082BC7">
      <w:pPr>
        <w:spacing w:line="360" w:lineRule="auto"/>
        <w:rPr>
          <w:rFonts w:ascii="黑体" w:eastAsia="黑体" w:hAnsi="黑体"/>
          <w:sz w:val="24"/>
          <w:szCs w:val="24"/>
        </w:rPr>
      </w:pPr>
      <w:r w:rsidRPr="00E353A8">
        <w:rPr>
          <w:rFonts w:ascii="黑体" w:eastAsia="黑体" w:hAnsi="黑体" w:hint="eastAsia"/>
          <w:sz w:val="24"/>
          <w:szCs w:val="24"/>
        </w:rPr>
        <w:t>图</w:t>
      </w:r>
      <w:r w:rsidRPr="00E353A8">
        <w:rPr>
          <w:rFonts w:ascii="黑体" w:eastAsia="黑体" w:hAnsi="黑体"/>
          <w:sz w:val="24"/>
          <w:szCs w:val="24"/>
        </w:rPr>
        <w:t>8.模Ψ</w:t>
      </w:r>
      <w:r w:rsidRPr="00E353A8">
        <w:rPr>
          <w:rFonts w:ascii="黑体" w:eastAsia="黑体" w:hAnsi="黑体"/>
          <w:sz w:val="24"/>
          <w:szCs w:val="24"/>
          <w:vertAlign w:val="subscript"/>
        </w:rPr>
        <w:t>p，l</w:t>
      </w:r>
      <w:r w:rsidRPr="00E353A8">
        <w:rPr>
          <w:rFonts w:ascii="黑体" w:eastAsia="黑体" w:hAnsi="黑体"/>
          <w:sz w:val="24"/>
          <w:szCs w:val="24"/>
        </w:rPr>
        <w:t>的Stokes矢量场中复杂高阶kπskyrmion的理论结果。每个面板的插图显示了相应的横向组件分布。第一行、第二行和第三行分别对应于用于l=1、2和3的参数的涡度数为1、2、3的结果。第一列、第二列和第三列分别对应于参数p=0、1和2的1π、3π和5π径向扭曲的结果。</w:t>
      </w:r>
    </w:p>
    <w:p w14:paraId="644DC312" w14:textId="3983E2D0" w:rsidR="00E353A8" w:rsidRDefault="00E353A8" w:rsidP="00082BC7">
      <w:pPr>
        <w:spacing w:line="360" w:lineRule="auto"/>
        <w:rPr>
          <w:rFonts w:ascii="黑体" w:eastAsia="黑体" w:hAnsi="黑体"/>
          <w:sz w:val="24"/>
          <w:szCs w:val="24"/>
        </w:rPr>
      </w:pPr>
      <w:r w:rsidRPr="00E353A8">
        <w:rPr>
          <w:rFonts w:ascii="黑体" w:eastAsia="黑体" w:hAnsi="黑体" w:hint="eastAsia"/>
          <w:sz w:val="24"/>
          <w:szCs w:val="24"/>
          <w:highlight w:val="yellow"/>
        </w:rPr>
        <w:lastRenderedPageBreak/>
        <w:t>讨论</w:t>
      </w:r>
    </w:p>
    <w:p w14:paraId="13A12267" w14:textId="494076D7" w:rsidR="00E353A8" w:rsidRDefault="00E353A8" w:rsidP="00082BC7">
      <w:pPr>
        <w:spacing w:line="360" w:lineRule="auto"/>
        <w:rPr>
          <w:rFonts w:ascii="黑体" w:eastAsia="黑体" w:hAnsi="黑体"/>
          <w:sz w:val="24"/>
          <w:szCs w:val="24"/>
        </w:rPr>
      </w:pPr>
      <w:r w:rsidRPr="00E353A8">
        <w:rPr>
          <w:rFonts w:ascii="黑体" w:eastAsia="黑体" w:hAnsi="黑体" w:hint="eastAsia"/>
          <w:sz w:val="24"/>
          <w:szCs w:val="24"/>
        </w:rPr>
        <w:t>虽然广义可调谐光学</w:t>
      </w:r>
      <w:r w:rsidRPr="00E353A8">
        <w:rPr>
          <w:rFonts w:ascii="黑体" w:eastAsia="黑体" w:hAnsi="黑体"/>
          <w:sz w:val="24"/>
          <w:szCs w:val="24"/>
        </w:rPr>
        <w:t>skyrmion模型是从SPP电场的情况中得到启发并使用Stokes矢量场实现的，但它不限于这些情况，并且可以自由扩展。由于可调谐skyrmion的新概念对广义拓扑具有普遍的数学参数化，因此该矢量可以参考其他类型的结构光光学场进行进一步探索。例如，我们还可以使用紧聚焦光束中的自旋矢量、传播结构脉冲中的电磁矢量以及非线性介质中的伪自旋。这也是一个令人兴奋的方向，即在skyrmion之外创建更多具有复杂拓扑状态的准粒子，例如skyrmion</w:t>
      </w:r>
      <w:r>
        <w:rPr>
          <w:rFonts w:ascii="黑体" w:eastAsia="黑体" w:hAnsi="黑体" w:hint="eastAsia"/>
          <w:sz w:val="24"/>
          <w:szCs w:val="24"/>
        </w:rPr>
        <w:t>包</w:t>
      </w:r>
      <w:r w:rsidRPr="00E353A8">
        <w:rPr>
          <w:rFonts w:ascii="黑体" w:eastAsia="黑体" w:hAnsi="黑体"/>
          <w:sz w:val="24"/>
          <w:szCs w:val="24"/>
        </w:rPr>
        <w:t>和skyrmions</w:t>
      </w:r>
      <w:r>
        <w:rPr>
          <w:rFonts w:ascii="黑体" w:eastAsia="黑体" w:hAnsi="黑体" w:hint="eastAsia"/>
          <w:sz w:val="24"/>
          <w:szCs w:val="24"/>
        </w:rPr>
        <w:t>管</w:t>
      </w:r>
      <w:r w:rsidRPr="00E353A8">
        <w:rPr>
          <w:rFonts w:ascii="黑体" w:eastAsia="黑体" w:hAnsi="黑体"/>
          <w:sz w:val="24"/>
          <w:szCs w:val="24"/>
        </w:rPr>
        <w:t>，以及merons和bimeron，以形成结构光。</w:t>
      </w:r>
      <w:r w:rsidRPr="00E353A8">
        <w:rPr>
          <w:rFonts w:ascii="黑体" w:eastAsia="黑体" w:hAnsi="黑体" w:hint="eastAsia"/>
          <w:sz w:val="24"/>
          <w:szCs w:val="24"/>
        </w:rPr>
        <w:t>尽管在这项工作中，我们使用了</w:t>
      </w:r>
      <w:r w:rsidRPr="00E353A8">
        <w:rPr>
          <w:rFonts w:ascii="黑体" w:eastAsia="黑体" w:hAnsi="黑体"/>
          <w:sz w:val="24"/>
          <w:szCs w:val="24"/>
        </w:rPr>
        <w:t>SLM来产生天基电子束，但数字镜像设备是产生天基离子束的另一种方法，与SLM相比，它具有几个优点，例如刷新率高、偏振独立性好和成本低。</w:t>
      </w:r>
    </w:p>
    <w:p w14:paraId="491BE814" w14:textId="461CC0D2" w:rsidR="00E353A8" w:rsidRPr="00E353A8" w:rsidRDefault="00E353A8" w:rsidP="00082BC7">
      <w:pPr>
        <w:spacing w:line="360" w:lineRule="auto"/>
        <w:rPr>
          <w:rFonts w:ascii="黑体" w:eastAsia="黑体" w:hAnsi="黑体"/>
          <w:sz w:val="24"/>
          <w:szCs w:val="24"/>
        </w:rPr>
      </w:pPr>
      <w:r w:rsidRPr="00E353A8">
        <w:rPr>
          <w:rFonts w:ascii="黑体" w:eastAsia="黑体" w:hAnsi="黑体" w:hint="eastAsia"/>
          <w:sz w:val="24"/>
          <w:szCs w:val="24"/>
        </w:rPr>
        <w:t>上述结果仅显示了</w:t>
      </w:r>
      <w:r w:rsidRPr="00E353A8">
        <w:rPr>
          <w:rFonts w:ascii="黑体" w:eastAsia="黑体" w:hAnsi="黑体"/>
          <w:sz w:val="24"/>
          <w:szCs w:val="24"/>
        </w:rPr>
        <w:t>skyrmion数为±1的情况。尽管如此，我们的模型可以很容易地扩展到拓扑越来越复杂的高阶skyrmions，而这些拓扑在以前的光学skyrmions方法中很难实现。为此，我们只需将等式10中的单拓扑电荷涡旋模Ψ±替换为具有径向和方位指数ψ</w:t>
      </w:r>
      <w:r w:rsidRPr="00E353A8">
        <w:rPr>
          <w:rFonts w:ascii="黑体" w:eastAsia="黑体" w:hAnsi="黑体"/>
          <w:sz w:val="24"/>
          <w:szCs w:val="24"/>
          <w:vertAlign w:val="subscript"/>
        </w:rPr>
        <w:t>p，l</w:t>
      </w:r>
      <w:r w:rsidRPr="00E353A8">
        <w:rPr>
          <w:rFonts w:ascii="黑体" w:eastAsia="黑体" w:hAnsi="黑体"/>
          <w:sz w:val="24"/>
          <w:szCs w:val="24"/>
        </w:rPr>
        <w:t>的一般LG模：</w:t>
      </w:r>
    </w:p>
    <w:p w14:paraId="5F5ECB5F" w14:textId="043C7C75" w:rsidR="00E353A8" w:rsidRDefault="00E353A8" w:rsidP="00E353A8">
      <w:pPr>
        <w:spacing w:line="360" w:lineRule="auto"/>
        <w:jc w:val="center"/>
        <w:rPr>
          <w:rFonts w:ascii="黑体" w:eastAsia="黑体" w:hAnsi="黑体"/>
          <w:sz w:val="24"/>
          <w:szCs w:val="24"/>
        </w:rPr>
      </w:pPr>
      <w:r>
        <w:rPr>
          <w:noProof/>
        </w:rPr>
        <w:drawing>
          <wp:inline distT="0" distB="0" distL="0" distR="0" wp14:anchorId="20A22CCC" wp14:editId="089D44E3">
            <wp:extent cx="3371850" cy="514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514350"/>
                    </a:xfrm>
                    <a:prstGeom prst="rect">
                      <a:avLst/>
                    </a:prstGeom>
                  </pic:spPr>
                </pic:pic>
              </a:graphicData>
            </a:graphic>
          </wp:inline>
        </w:drawing>
      </w:r>
    </w:p>
    <w:p w14:paraId="1F7F3866" w14:textId="75DD60A6" w:rsidR="00E353A8" w:rsidRDefault="00C02CE0" w:rsidP="00082BC7">
      <w:pPr>
        <w:spacing w:line="360" w:lineRule="auto"/>
        <w:rPr>
          <w:rFonts w:ascii="黑体" w:eastAsia="黑体" w:hAnsi="黑体"/>
          <w:sz w:val="24"/>
          <w:szCs w:val="24"/>
        </w:rPr>
      </w:pPr>
      <w:r w:rsidRPr="00C02CE0">
        <w:rPr>
          <w:rFonts w:ascii="黑体" w:eastAsia="黑体" w:hAnsi="黑体" w:hint="eastAsia"/>
          <w:sz w:val="24"/>
          <w:szCs w:val="24"/>
        </w:rPr>
        <w:t>该方程在其</w:t>
      </w:r>
      <w:r w:rsidRPr="00C02CE0">
        <w:rPr>
          <w:rFonts w:ascii="黑体" w:eastAsia="黑体" w:hAnsi="黑体"/>
          <w:sz w:val="24"/>
          <w:szCs w:val="24"/>
        </w:rPr>
        <w:t>Stokes域中表示更一般的拓扑skyrmion。指数p控制skyrmion的径向多扭曲结构，即所谓的skyrmionium或kπ靶skyrmium，指数l控制skyrmaion中较高的涡度数，即以前称为高阶skyrmions的结构。图8显示了基于方程12的Neíel型复合高阶kπskyrmion的一组结果。</w:t>
      </w:r>
    </w:p>
    <w:p w14:paraId="48D1C980" w14:textId="72026EA9" w:rsidR="00C02CE0" w:rsidRDefault="00C02CE0" w:rsidP="00082BC7">
      <w:pPr>
        <w:spacing w:line="360" w:lineRule="auto"/>
        <w:rPr>
          <w:rFonts w:ascii="黑体" w:eastAsia="黑体" w:hAnsi="黑体"/>
          <w:sz w:val="24"/>
          <w:szCs w:val="24"/>
        </w:rPr>
      </w:pPr>
      <w:r w:rsidRPr="00C02CE0">
        <w:rPr>
          <w:rFonts w:ascii="黑体" w:eastAsia="黑体" w:hAnsi="黑体" w:hint="eastAsia"/>
          <w:sz w:val="24"/>
          <w:szCs w:val="24"/>
        </w:rPr>
        <w:t>值得一提的是，尽管本研究中研究的</w:t>
      </w:r>
      <w:r w:rsidRPr="00C02CE0">
        <w:rPr>
          <w:rFonts w:ascii="黑体" w:eastAsia="黑体" w:hAnsi="黑体"/>
          <w:sz w:val="24"/>
          <w:szCs w:val="24"/>
        </w:rPr>
        <w:t>skyrmion与全庞加莱光束及其相关极化奇异性有一些相似之处，但仍存在明显差异。因此，有必要揭示可调谐拓扑skyrmion的新概念与庞加莱光束之间的关系。例如，Neíel toBloch skyrmion对应于具有lemontype C点的Poincareí梁，而antiskyrmion则对应于starttype C点。因此，研究其他类型的复skyrmion和具有偏振奇异性的Poincare∧光束之间的关系仍然很有趣。</w:t>
      </w:r>
    </w:p>
    <w:p w14:paraId="625C48FF" w14:textId="6071CB03" w:rsidR="00C02CE0" w:rsidRDefault="00C02CE0" w:rsidP="00C02CE0">
      <w:pPr>
        <w:spacing w:line="360" w:lineRule="auto"/>
        <w:rPr>
          <w:rFonts w:ascii="黑体" w:eastAsia="黑体" w:hAnsi="黑体"/>
          <w:sz w:val="24"/>
          <w:szCs w:val="24"/>
        </w:rPr>
      </w:pPr>
      <w:r w:rsidRPr="00C02CE0">
        <w:rPr>
          <w:rFonts w:ascii="黑体" w:eastAsia="黑体" w:hAnsi="黑体" w:hint="eastAsia"/>
          <w:sz w:val="24"/>
          <w:szCs w:val="24"/>
        </w:rPr>
        <w:t>最后，尽管提出生成不同拓扑</w:t>
      </w:r>
      <w:r w:rsidRPr="00C02CE0">
        <w:rPr>
          <w:rFonts w:ascii="黑体" w:eastAsia="黑体" w:hAnsi="黑体"/>
          <w:sz w:val="24"/>
          <w:szCs w:val="24"/>
        </w:rPr>
        <w:t>skyrmion的新技术具有重大意义，但另一个有趣的方向是研究表征此类结构的新技术。</w:t>
      </w:r>
      <w:r w:rsidRPr="00C02CE0">
        <w:rPr>
          <w:rFonts w:ascii="黑体" w:eastAsia="黑体" w:hAnsi="黑体" w:hint="eastAsia"/>
          <w:sz w:val="24"/>
          <w:szCs w:val="24"/>
        </w:rPr>
        <w:t>更准确地说，对于给定的</w:t>
      </w:r>
      <w:r w:rsidRPr="00C02CE0">
        <w:rPr>
          <w:rFonts w:ascii="黑体" w:eastAsia="黑体" w:hAnsi="黑体"/>
          <w:sz w:val="24"/>
          <w:szCs w:val="24"/>
        </w:rPr>
        <w:t>skyrmion</w:t>
      </w:r>
      <w:r>
        <w:rPr>
          <w:rFonts w:ascii="黑体" w:eastAsia="黑体" w:hAnsi="黑体" w:hint="eastAsia"/>
          <w:sz w:val="24"/>
          <w:szCs w:val="24"/>
        </w:rPr>
        <w:t>光束</w:t>
      </w:r>
      <w:r w:rsidRPr="00C02CE0">
        <w:rPr>
          <w:rFonts w:ascii="黑体" w:eastAsia="黑体" w:hAnsi="黑体"/>
          <w:sz w:val="24"/>
          <w:szCs w:val="24"/>
        </w:rPr>
        <w:t>，需要精</w:t>
      </w:r>
      <w:r w:rsidRPr="00C02CE0">
        <w:rPr>
          <w:rFonts w:ascii="黑体" w:eastAsia="黑体" w:hAnsi="黑体"/>
          <w:sz w:val="24"/>
          <w:szCs w:val="24"/>
        </w:rPr>
        <w:lastRenderedPageBreak/>
        <w:t>确地量化其在skyrmio环面上的拓扑状态，坐标为（Φ，</w:t>
      </w:r>
      <w:r w:rsidRPr="00C02CE0">
        <w:rPr>
          <w:rFonts w:ascii="黑体" w:eastAsia="黑体" w:hAnsi="黑体" w:hint="eastAsia"/>
          <w:sz w:val="24"/>
          <w:szCs w:val="24"/>
        </w:rPr>
        <w:t>Θ</w:t>
      </w:r>
      <w:r w:rsidRPr="00C02CE0">
        <w:rPr>
          <w:rFonts w:ascii="黑体" w:eastAsia="黑体" w:hAnsi="黑体"/>
          <w:sz w:val="24"/>
          <w:szCs w:val="24"/>
        </w:rPr>
        <w:t>）。我们可以预见，最近一些先进的矢量光束测量方法，如状态层析成像方法，为这方面提供了一条有希望的途径。</w:t>
      </w:r>
    </w:p>
    <w:p w14:paraId="08862D6D" w14:textId="798771E2" w:rsidR="00C02CE0" w:rsidRDefault="00C02CE0" w:rsidP="00C02CE0">
      <w:pPr>
        <w:spacing w:line="360" w:lineRule="auto"/>
        <w:rPr>
          <w:rFonts w:ascii="黑体" w:eastAsia="黑体" w:hAnsi="黑体"/>
          <w:sz w:val="24"/>
          <w:szCs w:val="24"/>
        </w:rPr>
      </w:pPr>
      <w:r w:rsidRPr="00C02CE0">
        <w:rPr>
          <w:rFonts w:ascii="黑体" w:eastAsia="黑体" w:hAnsi="黑体" w:hint="eastAsia"/>
          <w:sz w:val="24"/>
          <w:szCs w:val="24"/>
          <w:highlight w:val="yellow"/>
        </w:rPr>
        <w:t>结论</w:t>
      </w:r>
    </w:p>
    <w:p w14:paraId="176785DF" w14:textId="5711685A" w:rsidR="00C02CE0" w:rsidRDefault="00C02CE0" w:rsidP="00C02CE0">
      <w:pPr>
        <w:spacing w:line="360" w:lineRule="auto"/>
        <w:rPr>
          <w:rFonts w:ascii="黑体" w:eastAsia="黑体" w:hAnsi="黑体"/>
          <w:sz w:val="24"/>
          <w:szCs w:val="24"/>
        </w:rPr>
      </w:pPr>
      <w:r w:rsidRPr="00C02CE0">
        <w:rPr>
          <w:rFonts w:ascii="黑体" w:eastAsia="黑体" w:hAnsi="黑体" w:hint="eastAsia"/>
          <w:sz w:val="24"/>
          <w:szCs w:val="24"/>
        </w:rPr>
        <w:t>我们提出了一个扩展的可调谐光学</w:t>
      </w:r>
      <w:r w:rsidRPr="00C02CE0">
        <w:rPr>
          <w:rFonts w:ascii="黑体" w:eastAsia="黑体" w:hAnsi="黑体"/>
          <w:sz w:val="24"/>
          <w:szCs w:val="24"/>
        </w:rPr>
        <w:t>skyrmion家族，可以实现各种skyrmionic拓扑纹理之间的灵活转换。提出了一个图形模型skyrmion环面，用于普遍表示可调谐光学skyrmions的拓扑演化。我们从一个精心设计的数字全息系统中，在定制矢量光束的斯托克斯矢量场中实验产生了这种可调谐光学</w:t>
      </w:r>
      <w:r w:rsidR="00BB2C56">
        <w:rPr>
          <w:rFonts w:ascii="黑体" w:eastAsia="黑体" w:hAnsi="黑体"/>
          <w:sz w:val="24"/>
          <w:szCs w:val="24"/>
        </w:rPr>
        <w:t>斯格明子</w:t>
      </w:r>
      <w:r w:rsidRPr="00C02CE0">
        <w:rPr>
          <w:rFonts w:ascii="黑体" w:eastAsia="黑体" w:hAnsi="黑体"/>
          <w:sz w:val="24"/>
          <w:szCs w:val="24"/>
        </w:rPr>
        <w:t>。这是已知的第一代实验性自由空间拓扑可调光学skyrmion，也是首次实现光学反skyrmions。我们的方法可以很容易地扩展到高阶拓扑，为光信息存储、通信和使用天米拓扑态的加密提供一个新的平台。</w:t>
      </w:r>
    </w:p>
    <w:p w14:paraId="426BC70E" w14:textId="2F52EC9E" w:rsidR="00C02CE0" w:rsidRDefault="00C02CE0" w:rsidP="00C02CE0">
      <w:pPr>
        <w:spacing w:line="360" w:lineRule="auto"/>
        <w:rPr>
          <w:rFonts w:ascii="黑体" w:eastAsia="黑体" w:hAnsi="黑体"/>
          <w:sz w:val="24"/>
          <w:szCs w:val="24"/>
        </w:rPr>
      </w:pPr>
      <w:r w:rsidRPr="00C02CE0">
        <w:rPr>
          <w:rFonts w:ascii="黑体" w:eastAsia="黑体" w:hAnsi="黑体" w:hint="eastAsia"/>
          <w:sz w:val="24"/>
          <w:szCs w:val="24"/>
        </w:rPr>
        <w:t>最后，我们注意到，当我们准备本文时，报道了一个探索矢量光束中光学</w:t>
      </w:r>
      <w:r w:rsidRPr="00C02CE0">
        <w:rPr>
          <w:rFonts w:ascii="黑体" w:eastAsia="黑体" w:hAnsi="黑体"/>
          <w:sz w:val="24"/>
          <w:szCs w:val="24"/>
        </w:rPr>
        <w:t>skyrmion的独立实验。45它关注3D skyrmion结构，而我们关注2D skyrmio结构的可调性。与传统的2D skyrmion（自旋纹理局限于2D平面）不同，3D skyrmions作为一种广义形式，在传播时可以在多个横向平面中包含多个拓扑纹理。因此，改进我们控制拓扑可调3D</w:t>
      </w:r>
      <w:r w:rsidR="00BB2C56">
        <w:rPr>
          <w:rFonts w:ascii="黑体" w:eastAsia="黑体" w:hAnsi="黑体"/>
          <w:sz w:val="24"/>
          <w:szCs w:val="24"/>
        </w:rPr>
        <w:t>斯格明子</w:t>
      </w:r>
      <w:r w:rsidRPr="00C02CE0">
        <w:rPr>
          <w:rFonts w:ascii="黑体" w:eastAsia="黑体" w:hAnsi="黑体"/>
          <w:sz w:val="24"/>
          <w:szCs w:val="24"/>
        </w:rPr>
        <w:t>的方法也是一个有意义的未来方向。</w:t>
      </w:r>
    </w:p>
    <w:p w14:paraId="0AF756B2" w14:textId="77777777" w:rsidR="00E353A8" w:rsidRPr="00A56A8D" w:rsidRDefault="00E353A8" w:rsidP="00082BC7">
      <w:pPr>
        <w:spacing w:line="360" w:lineRule="auto"/>
        <w:rPr>
          <w:rFonts w:ascii="黑体" w:eastAsia="黑体" w:hAnsi="黑体"/>
          <w:sz w:val="24"/>
          <w:szCs w:val="24"/>
        </w:rPr>
      </w:pPr>
    </w:p>
    <w:sectPr w:rsidR="00E353A8" w:rsidRPr="00A56A8D" w:rsidSect="0086065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7BD47" w14:textId="77777777" w:rsidR="0006089C" w:rsidRDefault="0006089C" w:rsidP="00830B9A">
      <w:r>
        <w:separator/>
      </w:r>
    </w:p>
  </w:endnote>
  <w:endnote w:type="continuationSeparator" w:id="0">
    <w:p w14:paraId="43913247" w14:textId="77777777" w:rsidR="0006089C" w:rsidRDefault="0006089C" w:rsidP="00830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CACB1" w14:textId="77777777" w:rsidR="0006089C" w:rsidRDefault="0006089C" w:rsidP="00830B9A">
      <w:r>
        <w:separator/>
      </w:r>
    </w:p>
  </w:footnote>
  <w:footnote w:type="continuationSeparator" w:id="0">
    <w:p w14:paraId="6D4B3B77" w14:textId="77777777" w:rsidR="0006089C" w:rsidRDefault="0006089C" w:rsidP="00830B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B54"/>
    <w:rsid w:val="00050853"/>
    <w:rsid w:val="0006089C"/>
    <w:rsid w:val="00082BC7"/>
    <w:rsid w:val="000D0EF2"/>
    <w:rsid w:val="001125C7"/>
    <w:rsid w:val="001728AE"/>
    <w:rsid w:val="00186D95"/>
    <w:rsid w:val="001C3C25"/>
    <w:rsid w:val="002E5814"/>
    <w:rsid w:val="0033419B"/>
    <w:rsid w:val="003951E3"/>
    <w:rsid w:val="0040391C"/>
    <w:rsid w:val="004316F6"/>
    <w:rsid w:val="004818F6"/>
    <w:rsid w:val="00501EC5"/>
    <w:rsid w:val="005B7EC5"/>
    <w:rsid w:val="006001BF"/>
    <w:rsid w:val="006E7912"/>
    <w:rsid w:val="0075251C"/>
    <w:rsid w:val="007A0CC4"/>
    <w:rsid w:val="00830B9A"/>
    <w:rsid w:val="00843C03"/>
    <w:rsid w:val="00873555"/>
    <w:rsid w:val="008A7104"/>
    <w:rsid w:val="008C3688"/>
    <w:rsid w:val="00926A48"/>
    <w:rsid w:val="00951B7C"/>
    <w:rsid w:val="0096340F"/>
    <w:rsid w:val="00967375"/>
    <w:rsid w:val="009910C8"/>
    <w:rsid w:val="009B0184"/>
    <w:rsid w:val="009F59E2"/>
    <w:rsid w:val="00A20839"/>
    <w:rsid w:val="00A41B40"/>
    <w:rsid w:val="00A42175"/>
    <w:rsid w:val="00A56A8D"/>
    <w:rsid w:val="00AB2B54"/>
    <w:rsid w:val="00AE0E8D"/>
    <w:rsid w:val="00B4524B"/>
    <w:rsid w:val="00B87384"/>
    <w:rsid w:val="00B95C7F"/>
    <w:rsid w:val="00BB2C56"/>
    <w:rsid w:val="00BD2362"/>
    <w:rsid w:val="00C02CE0"/>
    <w:rsid w:val="00C268AA"/>
    <w:rsid w:val="00C9409E"/>
    <w:rsid w:val="00CC59F4"/>
    <w:rsid w:val="00CD2105"/>
    <w:rsid w:val="00DD720E"/>
    <w:rsid w:val="00E353A8"/>
    <w:rsid w:val="00E47684"/>
    <w:rsid w:val="00E743C4"/>
    <w:rsid w:val="00E9328D"/>
    <w:rsid w:val="00EB7F9B"/>
    <w:rsid w:val="00ED6932"/>
    <w:rsid w:val="00ED7425"/>
    <w:rsid w:val="00EF3D57"/>
    <w:rsid w:val="00EF5A5E"/>
    <w:rsid w:val="00F06E7C"/>
    <w:rsid w:val="00F552B2"/>
    <w:rsid w:val="00F9497E"/>
    <w:rsid w:val="00FC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3D2A2"/>
  <w15:chartTrackingRefBased/>
  <w15:docId w15:val="{A8C8ABF5-14FB-4E64-9528-87A00A16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A41B40"/>
    <w:rPr>
      <w:rFonts w:eastAsia="黑体"/>
    </w:rPr>
    <w:tblPr>
      <w:tblBorders>
        <w:top w:val="single" w:sz="12" w:space="0" w:color="auto"/>
        <w:bottom w:val="single" w:sz="12" w:space="0" w:color="auto"/>
      </w:tblBorders>
    </w:tblPr>
    <w:tblStylePr w:type="firstRow">
      <w:tblPr/>
      <w:tcPr>
        <w:tcBorders>
          <w:bottom w:val="single" w:sz="4" w:space="0" w:color="auto"/>
        </w:tcBorders>
      </w:tcPr>
    </w:tblStylePr>
  </w:style>
  <w:style w:type="paragraph" w:styleId="a4">
    <w:name w:val="header"/>
    <w:basedOn w:val="a"/>
    <w:link w:val="a5"/>
    <w:uiPriority w:val="99"/>
    <w:unhideWhenUsed/>
    <w:rsid w:val="00830B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30B9A"/>
    <w:rPr>
      <w:sz w:val="18"/>
      <w:szCs w:val="18"/>
    </w:rPr>
  </w:style>
  <w:style w:type="paragraph" w:styleId="a6">
    <w:name w:val="footer"/>
    <w:basedOn w:val="a"/>
    <w:link w:val="a7"/>
    <w:uiPriority w:val="99"/>
    <w:unhideWhenUsed/>
    <w:rsid w:val="00830B9A"/>
    <w:pPr>
      <w:tabs>
        <w:tab w:val="center" w:pos="4153"/>
        <w:tab w:val="right" w:pos="8306"/>
      </w:tabs>
      <w:snapToGrid w:val="0"/>
      <w:jc w:val="left"/>
    </w:pPr>
    <w:rPr>
      <w:sz w:val="18"/>
      <w:szCs w:val="18"/>
    </w:rPr>
  </w:style>
  <w:style w:type="character" w:customStyle="1" w:styleId="a7">
    <w:name w:val="页脚 字符"/>
    <w:basedOn w:val="a0"/>
    <w:link w:val="a6"/>
    <w:uiPriority w:val="99"/>
    <w:rsid w:val="00830B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3626">
      <w:bodyDiv w:val="1"/>
      <w:marLeft w:val="0"/>
      <w:marRight w:val="0"/>
      <w:marTop w:val="0"/>
      <w:marBottom w:val="0"/>
      <w:divBdr>
        <w:top w:val="none" w:sz="0" w:space="0" w:color="auto"/>
        <w:left w:val="none" w:sz="0" w:space="0" w:color="auto"/>
        <w:bottom w:val="none" w:sz="0" w:space="0" w:color="auto"/>
        <w:right w:val="none" w:sz="0" w:space="0" w:color="auto"/>
      </w:divBdr>
    </w:div>
    <w:div w:id="189296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2999</TotalTime>
  <Pages>14</Pages>
  <Words>1403</Words>
  <Characters>7998</Characters>
  <Application>Microsoft Office Word</Application>
  <DocSecurity>0</DocSecurity>
  <Lines>66</Lines>
  <Paragraphs>18</Paragraphs>
  <ScaleCrop>false</ScaleCrop>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楚鸿 庄</dc:creator>
  <cp:keywords/>
  <dc:description/>
  <cp:lastModifiedBy>楚鸿 庄</cp:lastModifiedBy>
  <cp:revision>22</cp:revision>
  <dcterms:created xsi:type="dcterms:W3CDTF">2022-09-25T05:23:00Z</dcterms:created>
  <dcterms:modified xsi:type="dcterms:W3CDTF">2022-12-08T06:02:00Z</dcterms:modified>
</cp:coreProperties>
</file>