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LoRA + CRHC: Parameter-Efficient MobileSAM Adaptation for Label-Efficient Remote-Sensing Segmentation</w:t>
      </w:r>
    </w:p>
    <w:p>
      <w:pPr>
        <w:pStyle w:val="Author"/>
      </w:pPr>
      <w:r>
        <w:t xml:space="preserve">AdaSAM Research Team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Foundation segmentation models are attractive for dense prediction under limited annotation, but adapting them efficiently requires controlling both trainable parameters and multi-level feature fusion. We study LoveDA with a frozen MobileSAM encoder, rank-4 LoRA on TinyViT attention projections (qkv and proj), and Class-Conditioned Regional Hierarchical Calibration (CRHC). CRHC uses regional semantic probabilities and learned class-by-level preferences to calibrate P3, P4 and embedding features; it does not skip feature computation or reduce FLOPs. In single-seed screening, LoRA + CRHC obtains 45.54, 46.93 and 49.61 mIoU at 5</w:t>
      </w:r>
    </w:p>
    <w:bookmarkStart w:id="9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Pixel-level annotation is expensive in remote-sensing segmentation. Foundation models such as Segment Anything (SAM) provide a useful starting representation, but adapting them to a target domain requires choices about which parameters to train and how to combine multi-level features</w:t>
      </w:r>
      <w:r>
        <w:t xml:space="preserve"> </w:t>
      </w:r>
      <w:r>
        <w:t xml:space="preserve">[1], [2], [3]</w:t>
      </w:r>
      <w:r>
        <w:t xml:space="preserve">. Parameter-efficient adaptation is attractive only when the comparison preserves the label budget and reports the trainable parameter count alongside accuracy</w:t>
      </w:r>
      <w:r>
        <w:t xml:space="preserve"> </w:t>
      </w:r>
      <w:r>
        <w:t xml:space="preserve">[4], [5], [6]</w:t>
      </w:r>
      <w:r>
        <w:t xml:space="preserve">.</w:t>
      </w:r>
    </w:p>
    <w:p>
      <w:pPr>
        <w:pStyle w:val="BodyText"/>
      </w:pPr>
      <w:r>
        <w:t xml:space="preserve">The practical question is not simply whether a parameter-efficient module improves one score. Under scarce labels, LoRA capacity, regional semantics, feature-level fusion and random seed interact. A comparison that changes several of these factors at once cannot tell a practitioner which intervention deserves additional annotation or compute. Likewise, feature calibration must not be confused with sparse computation: all feature levels remain computed in the current implementation.</w:t>
      </w:r>
    </w:p>
    <w:p>
      <w:pPr>
        <w:pStyle w:val="BodyText"/>
      </w:pPr>
      <w:r>
        <w:t xml:space="preserve">We therefore study the following question:</w:t>
      </w:r>
      <w:r>
        <w:t xml:space="preserve"> </w:t>
      </w:r>
      <w:r>
        <w:rPr>
          <w:i/>
          <w:iCs/>
        </w:rPr>
        <w:t xml:space="preserve">how can a frozen MobileSAM encoder be adapted with few trainable parameters while using regional and class-conditioned hierarchy information?</w:t>
      </w:r>
      <w:r>
        <w:t xml:space="preserve"> </w:t>
      </w:r>
      <w:r>
        <w:t xml:space="preserve">Our contributions are threefold: (1) a LoveDA label- and parameter-efficient benchmark pairing rank-4 LoRA with a frozen MobileSAM encoder; (2) CRHC, a class-conditioned regional hierarchical feature-calibration mechanism that learns pixel-level fusion weights over P3, P4 and embedding; and (3) an evidence-graded analysis that reports label-matched accuracy and parameter efficiency while preserving negative results and explicitly separating calibration from sparse computation.</w:t>
      </w:r>
    </w:p>
    <w:p>
      <w:pPr>
        <w:pStyle w:val="BodyText"/>
      </w:pPr>
      <w:r>
        <w:t xml:space="preserve">Our claims are deliberately bounded. The LoveDA results are single-seed screening evidence, not a verified leaderboard: the current bundles lack multi-seed replication, focused CRHC ablations and cross-dataset confirmation. We do not claim stable gains across seeds, FLOP reduction, real-time deployment, state-of-the-art accuracy or universal transfer.</w:t>
      </w:r>
    </w:p>
    <w:bookmarkEnd w:id="9"/>
    <w:bookmarkStart w:id="13" w:name="evaluation-question-and-protoco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Evaluation Question and Protocol</w:t>
      </w:r>
    </w:p>
    <w:bookmarkStart w:id="10" w:name="task-and-dataset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Task and datasets</w:t>
      </w:r>
    </w:p>
    <w:p>
      <w:pPr>
        <w:pStyle w:val="FirstParagraph"/>
      </w:pPr>
      <w:r>
        <w:t xml:space="preserve">We study label-efficient remote-sensing semantic segmentation rather than novel-class generalization. LoveDA is the primary benchmark, using its 2,522-image training split with a fixed 20% internal validation partition and official validation images as test. Vaihingen is reserved for the next cross-dataset mechanism check; NEU-Seg and iSAID are not sources of the primary claim.</w:t>
      </w:r>
    </w:p>
    <w:bookmarkEnd w:id="10"/>
    <w:bookmarkStart w:id="11" w:name="matched-factor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Matched factors</w:t>
      </w:r>
    </w:p>
    <w:p>
      <w:pPr>
        <w:pStyle w:val="FirstParagraph"/>
      </w:pPr>
      <w:r>
        <w:t xml:space="preserve">The current primary comparison uses LoRA rank 4 on TinyViT qkv and projection layers with either Dense Sum or CRHC fusion. LoveDA label ratios are 5, 10 and 20%; the current results use seed 42 and are screening-level. The fixed protocol uses 512</w:t>
      </w:r>
      <m:oMath>
        <m:r>
          <m:rPr>
            <m:sty m:val="p"/>
          </m:rPr>
          <m:t>×</m:t>
        </m:r>
      </m:oMath>
      <w:r>
        <w:t xml:space="preserve">512 inputs, remote-strong augmentation, class-balanced cross-entropy, Lovasz weight 0.5 and a cosine schedule. We report mIoU and trainable parameters; multi-seed statistics, focused ablations and a fixed efficiency record are pending.</w:t>
      </w:r>
    </w:p>
    <w:bookmarkEnd w:id="11"/>
    <w:bookmarkStart w:id="12" w:name="evidence-statu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Evidence status</w:t>
      </w:r>
    </w:p>
    <w:p>
      <w:pPr>
        <w:pStyle w:val="FirstParagraph"/>
      </w:pPr>
      <w:r>
        <w:t xml:space="preserve">The experiment manifest requires a split manifest, seed, resolved configuration, checkpoint, metrics artifact, commit, environment and timing record. The current matrix has machine-readable metrics and repeated runs but is marked</w:t>
      </w:r>
      <w:r>
        <w:t xml:space="preserve"> </w:t>
      </w:r>
      <w:r>
        <w:rPr>
          <w:i/>
          <w:iCs/>
        </w:rPr>
        <w:t xml:space="preserve">screening</w:t>
      </w:r>
      <w:r>
        <w:t xml:space="preserve"> </w:t>
      </w:r>
      <w:r>
        <w:t xml:space="preserve">because several bundles lack archived checkpoints and complete provenance. This status is part of the result, not an editorial footnote.</w:t>
      </w:r>
    </w:p>
    <w:bookmarkEnd w:id="12"/>
    <w:bookmarkEnd w:id="13"/>
    <w:bookmarkStart w:id="17" w:name="intervention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Interventions</w:t>
      </w:r>
    </w:p>
    <w:bookmarkStart w:id="14" w:name="Xeb0471623cd58a5d810767be72a804219a36c8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Frozen foundation and lightweight adaptation</w:t>
      </w:r>
    </w:p>
    <w:p>
      <w:pPr>
        <w:pStyle w:val="FirstParagraph"/>
      </w:pPr>
      <w:r>
        <w:t xml:space="preserve">MobileSAM supplies the frozen foundation representation</w:t>
      </w:r>
      <w:r>
        <w:t xml:space="preserve"> </w:t>
      </w:r>
      <w:r>
        <w:t xml:space="preserve">[4]</w:t>
      </w:r>
      <w:r>
        <w:t xml:space="preserve">. We insert rank-4 LoRA modules into TinyViT attention qkv and projection layers, leaving the encoder’s original weights frozen. The comparison baseline fuses P3, P4 and embedding features with Dense Sum.</w:t>
      </w:r>
    </w:p>
    <w:bookmarkEnd w:id="14"/>
    <w:bookmarkStart w:id="15" w:name="label-preserving-augmentati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Label-preserving augmentation</w:t>
      </w:r>
    </w:p>
    <w:p>
      <w:pPr>
        <w:pStyle w:val="FirstParagraph"/>
      </w:pPr>
      <w:r>
        <w:t xml:space="preserve">The primary protocol uses the same labeled subsets, validation split, remote-strong augmentation, class-balanced cross-entropy, Lovasz auxiliary weight and cosine schedule for Dense Sum and CRHC. Validation and test images are never used for subset selection.</w:t>
      </w:r>
    </w:p>
    <w:bookmarkEnd w:id="15"/>
    <w:bookmarkStart w:id="16" w:name="auxiliary-retention-studie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Auxiliary retention studies</w:t>
      </w:r>
    </w:p>
    <w:p>
      <w:pPr>
        <w:pStyle w:val="FirstParagraph"/>
      </w:pPr>
      <w:r>
        <w:t xml:space="preserve">CRHC first obtains coarse regional semantic probabilities from high-level features, learns class-by-level preferences over P3, P4 and embedding, maps those preferences to pixel-level weights and applies a residual correction to Dense Sum. All three feature levels remain computed. HRCS sample selection is retained only as exploratory negative evidence and is not part of the core method.</w:t>
      </w:r>
    </w:p>
    <w:bookmarkEnd w:id="16"/>
    <w:bookmarkEnd w:id="17"/>
    <w:bookmarkStart w:id="23" w:name="resul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Results</w:t>
      </w:r>
    </w:p>
    <w:bookmarkStart w:id="19" w:name="loveda-label-budget-compariso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LoveDA label-budget comparison</w:t>
      </w:r>
    </w:p>
    <w:p>
      <w:pPr>
        <w:pStyle w:val="FirstParagraph"/>
      </w:pPr>
      <w:r>
        <w:t xml:space="preserve">Table </w:t>
      </w:r>
      <w:hyperlink w:anchor="tab:budge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current single-seed screening comparison between LoRA + Dense Sum and LoRA + CRHC. CRHC is lower by 0.29 points at 5% labels, but higher by 0.62 and 0.40 points at 10% and 20%, respectively. The result supports a budget-dependent signal, not a claim of improvement at every budget.</w:t>
      </w:r>
    </w:p>
    <w:bookmarkStart w:id="18" w:name="tab:budget"/>
    <w:p>
      <w:pPr>
        <w:pStyle w:val="TableCaption"/>
      </w:pPr>
      <w:r>
        <w:t xml:space="preserve">LoveDA LoRA + Dense Sum versus LoRA + CRHC. Single-seed screening mIoU (percent).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veDA LoRA + Dense Sum versus LoRA + CRHC. Single-seed screening mIoU (percent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LoRA + Dense Sum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LoRA + CRHC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+0.40</w:t>
            </w:r>
          </w:p>
        </w:tc>
      </w:tr>
    </w:tbl>
    <w:bookmarkEnd w:id="18"/>
    <w:bookmarkEnd w:id="19"/>
    <w:bookmarkStart w:id="20" w:name="Xb7ae3e98871331c43640ea749c62d2a1b068a3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Parameter efficiency and calibration status</w:t>
      </w:r>
    </w:p>
    <w:p>
      <w:pPr>
        <w:pStyle w:val="FirstParagraph"/>
      </w:pPr>
      <w:r>
        <w:t xml:space="preserve">CRHC has 347,845 trainable parameters, compared with 6,368,131 for full MobileSAM fine-tuning. At 20% labels, its 49.61 mIoU is 0.58 points below the label-matched full-finetuning result of 50.19%. The separate 100%-label reference is 53.98% and is not used in this comparison.</w:t>
      </w:r>
    </w:p>
    <w:bookmarkEnd w:id="20"/>
    <w:bookmarkStart w:id="21" w:name="Xbcafe4ec4b0b4ba25e5b6ce498950da3ce2bb27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Negative representation-selection evidence</w:t>
      </w:r>
    </w:p>
    <w:p>
      <w:pPr>
        <w:pStyle w:val="FirstParagraph"/>
      </w:pPr>
      <w:r>
        <w:t xml:space="preserve">In the label-free 5% subset experiment, HRCS obtains 45.95 mIoU versus 45.83 for random selection, while embedding k-center obtains 42.71. HRCS is therefore exploratory negative evidence: feature-space diversity alone is not established as task-effective supervision, and HRCS is not a second core contribution.</w:t>
      </w:r>
    </w:p>
    <w:bookmarkEnd w:id="21"/>
    <w:bookmarkStart w:id="22" w:name="Xe051372f13abf4ed50ab3924fd516005d3ef0d6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Auxiliary cross-dataset and negative evidence</w:t>
      </w:r>
    </w:p>
    <w:p>
      <w:pPr>
        <w:pStyle w:val="FirstParagraph"/>
      </w:pPr>
      <w:r>
        <w:t xml:space="preserve">Vaihingen is reserved for the next fair cross-dataset mechanism test: 10% labels, seed 42, LoRA rank 4, and direct Dense Sum versus regional_semantic comparison. It uses its own CE/Dice protocol and cannot be treated as a direct reproduction of LoveDA.</w:t>
      </w:r>
    </w:p>
    <w:bookmarkEnd w:id="22"/>
    <w:bookmarkEnd w:id="23"/>
    <w:bookmarkStart w:id="24" w:name="discuss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Discussion</w:t>
      </w:r>
    </w:p>
    <w:p>
      <w:pPr>
        <w:pStyle w:val="FirstParagraph"/>
      </w:pPr>
      <w:r>
        <w:t xml:space="preserve">The central result is an initial parameter-efficient adaptation signal. CRHC improves LoRA at 10% and 20% LoveDA labels but not at 5%, indicating budget-dependent behavior. Its value is feature calibration and fusion, not sparse computation. The current evidence is insufficient to claim stable gains, causal class-level scale laws or cross-dataset transfer.</w:t>
      </w:r>
    </w:p>
    <w:p>
      <w:pPr>
        <w:pStyle w:val="BodyText"/>
      </w:pPr>
      <w:r>
        <w:t xml:space="preserve">The HRCS result reinforces the need to separate representation diversity from task-effective supervision. The next decision is determined by multi-seed LoRA–CRHC replication and focused ablations, not by the small HRCS difference.</w:t>
      </w:r>
    </w:p>
    <w:bookmarkEnd w:id="24"/>
    <w:bookmarkStart w:id="25" w:name="limitations-and-next-experimen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Limitations and Next Experiments</w:t>
      </w:r>
    </w:p>
    <w:p>
      <w:pPr>
        <w:pStyle w:val="FirstParagraph"/>
      </w:pPr>
      <w:r>
        <w:t xml:space="preserve">The primary limitations are single-seed LoRA–CRHC comparisons, missing focused CRHC ablations, incomplete checkpoint/provenance bundles and no completed cross-dataset validation. The minimum paper-ready follow-up is to run LoveDA seeds 123 and 456 for LoRA + Dense Sum and LoRA + CRHC at 10% and 20%, add global-shared, no-prototype, uniform and shuffled hierarchy ablations, run Vaihingen 10% seed 42, and archive commit, environment, checkpoint and timing artifacts.</w:t>
      </w:r>
    </w:p>
    <w:bookmarkEnd w:id="25"/>
    <w:bookmarkStart w:id="33" w:name="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LoveDA-centered study presents LoRA + CRHC for parameter-efficient MobileSAM adaptation under limited labels. CRHC calibrates regional, class-conditioned hierarchy features and shows preliminary gains over LoRA + Dense Sum at 10% and 20% labels, while the 5% decrease and HRCS negative result define the claim boundary. Multi-seed replication, ablations and cross-dataset validation are required before stronger conclusions about robustness or generalization.</w:t>
      </w:r>
    </w:p>
    <w:bookmarkStart w:id="32" w:name="refs"/>
    <w:bookmarkStart w:id="26" w:name="ref-kirillov2023sa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Kirillov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“Segment anything,”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ICCV</w:t>
      </w:r>
      <w:r>
        <w:t xml:space="preserve">, 2023.</w:t>
      </w:r>
    </w:p>
    <w:bookmarkEnd w:id="26"/>
    <w:bookmarkStart w:id="27" w:name="ref-chen2023samadapte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Chen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“SAM-adapter: Adapting SAM in underperformed scenes,”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ICCV workshops</w:t>
      </w:r>
      <w:r>
        <w:t xml:space="preserve">, 2023.</w:t>
      </w:r>
    </w:p>
    <w:bookmarkEnd w:id="27"/>
    <w:bookmarkStart w:id="28" w:name="ref-xiao2024catsa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Xiao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“CAT-SAM: Conditional tuning for few-shot adaptation of segment anything model,”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ECCV</w:t>
      </w:r>
      <w:r>
        <w:t xml:space="preserve">, 2024.</w:t>
      </w:r>
    </w:p>
    <w:bookmarkEnd w:id="28"/>
    <w:bookmarkStart w:id="29" w:name="ref-zhang2023mobilesa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C. Zhang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“Faster segment anything: Towards lightweight SAM for mobile applications,”</w:t>
      </w:r>
      <w:r>
        <w:t xml:space="preserve"> </w:t>
      </w:r>
      <w:r>
        <w:rPr>
          <w:i/>
          <w:iCs/>
        </w:rPr>
        <w:t xml:space="preserve">arXiv preprint arXiv:2306.14289</w:t>
      </w:r>
      <w:r>
        <w:t xml:space="preserve">, 2023.</w:t>
      </w:r>
    </w:p>
    <w:bookmarkEnd w:id="29"/>
    <w:bookmarkStart w:id="30" w:name="ref-xiong2024efficientsa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Y. Xiong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“EfficientSAM: Leveraged masked image pretraining for efficient segment anything,”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CVPR</w:t>
      </w:r>
      <w:r>
        <w:t xml:space="preserve">, 2024.</w:t>
      </w:r>
    </w:p>
    <w:bookmarkEnd w:id="30"/>
    <w:bookmarkStart w:id="31" w:name="ref-zhao2023fastsa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X. Zhao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“Fast segment anything,”</w:t>
      </w:r>
      <w:r>
        <w:t xml:space="preserve"> </w:t>
      </w:r>
      <w:r>
        <w:rPr>
          <w:i/>
          <w:iCs/>
        </w:rPr>
        <w:t xml:space="preserve">arXiv preprint arXiv:2306.12156</w:t>
      </w:r>
      <w:r>
        <w:t xml:space="preserve">, 2023.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Times New Roma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hAnsi="Times New Roman" w:eastAsia="Times New Roman" w:cs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hAnsi="Times New Roman" w:eastAsia="Times New Roman" w:cs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hAnsi="Times New Roman" w:eastAsia="Times New Roman" w:cs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hAnsi="Times New Roman" w:eastAsia="Times New Roman" w:cs="Times New Roman"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hAnsi="Times New Roman" w:eastAsia="Times New Roman" w:cs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  <w:rFonts w:ascii="Times New Roman" w:hAnsi="Times New Roman" w:eastAsia="Times New Roman" w:cs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hAnsi="Times New Roman" w:eastAsia="Times New Roman" w:cs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  <w:rFonts w:ascii="Times New Roman" w:hAnsi="Times New Roman" w:eastAsia="Times New Roman" w:cs="Times New Roman"/>
    </w:rPr>
  </w:style>
  <w:style w:type="character" w:customStyle="1" w:styleId="DataTypeTok">
    <w:name w:val="DataTypeTok"/>
    <w:basedOn w:val="VerbatimChar"/>
    <w:rPr>
      <w:color w:val="902000"/>
      <w:rFonts w:ascii="Times New Roman" w:hAnsi="Times New Roman" w:eastAsia="Times New Roman" w:cs="Times New Roman"/>
    </w:rPr>
  </w:style>
  <w:style w:type="character" w:customStyle="1" w:styleId="DecValTok">
    <w:name w:val="DecVal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BaseNTok">
    <w:name w:val="BaseN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FloatTok">
    <w:name w:val="FloatTok"/>
    <w:basedOn w:val="VerbatimChar"/>
    <w:rPr>
      <w:color w:val="40a070"/>
      <w:rFonts w:ascii="Times New Roman" w:hAnsi="Times New Roman" w:eastAsia="Times New Roman" w:cs="Times New Roman"/>
    </w:rPr>
  </w:style>
  <w:style w:type="character" w:customStyle="1" w:styleId="ConstantTok">
    <w:name w:val="ConstantTok"/>
    <w:basedOn w:val="VerbatimChar"/>
    <w:rPr>
      <w:color w:val="880000"/>
      <w:rFonts w:ascii="Times New Roman" w:hAnsi="Times New Roman" w:eastAsia="Times New Roman" w:cs="Times New Roman"/>
    </w:rPr>
  </w:style>
  <w:style w:type="character" w:customStyle="1" w:styleId="CharTok">
    <w:name w:val="Char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pecialCharTok">
    <w:name w:val="SpecialChar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tringTok">
    <w:name w:val="String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VerbatimStringTok">
    <w:name w:val="VerbatimStringTok"/>
    <w:basedOn w:val="VerbatimChar"/>
    <w:rPr>
      <w:color w:val="4070a0"/>
      <w:rFonts w:ascii="Times New Roman" w:hAnsi="Times New Roman" w:eastAsia="Times New Roman" w:cs="Times New Roman"/>
    </w:rPr>
  </w:style>
  <w:style w:type="character" w:customStyle="1" w:styleId="SpecialStringTok">
    <w:name w:val="SpecialStringTok"/>
    <w:basedOn w:val="VerbatimChar"/>
    <w:rPr>
      <w:color w:val="bb6688"/>
      <w:rFonts w:ascii="Times New Roman" w:hAnsi="Times New Roman" w:eastAsia="Times New Roman" w:cs="Times New Roman"/>
    </w:rPr>
  </w:style>
  <w:style w:type="character" w:customStyle="1" w:styleId="ImportTok">
    <w:name w:val="ImportTok"/>
    <w:basedOn w:val="VerbatimChar"/>
    <w:rPr>
      <w:b/>
      <w:color w:val="008000"/>
      <w:rFonts w:ascii="Times New Roman" w:hAnsi="Times New Roman" w:eastAsia="Times New Roman" w:cs="Times New Roman"/>
    </w:rPr>
  </w:style>
  <w:style w:type="character" w:customStyle="1" w:styleId="CommentTok">
    <w:name w:val="CommentTok"/>
    <w:basedOn w:val="VerbatimChar"/>
    <w:rPr>
      <w:i/>
      <w:color w:val="60a0b0"/>
      <w:rFonts w:ascii="Times New Roman" w:hAnsi="Times New Roman" w:eastAsia="Times New Roman" w:cs="Times New Roman"/>
    </w:rPr>
  </w:style>
  <w:style w:type="character" w:customStyle="1" w:styleId="DocumentationTok">
    <w:name w:val="DocumentationTok"/>
    <w:basedOn w:val="VerbatimChar"/>
    <w:rPr>
      <w:i/>
      <w:color w:val="ba2121"/>
      <w:rFonts w:ascii="Times New Roman" w:hAnsi="Times New Roman" w:eastAsia="Times New Roman" w:cs="Times New Roman"/>
    </w:rPr>
  </w:style>
  <w:style w:type="character" w:customStyle="1" w:styleId="AnnotationTok">
    <w:name w:val="Annotation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CommentVarTok">
    <w:name w:val="CommentVar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OtherTok">
    <w:name w:val="OtherTok"/>
    <w:basedOn w:val="VerbatimChar"/>
    <w:rPr>
      <w:color w:val="007020"/>
      <w:rFonts w:ascii="Times New Roman" w:hAnsi="Times New Roman" w:eastAsia="Times New Roman" w:cs="Times New Roman"/>
    </w:rPr>
  </w:style>
  <w:style w:type="character" w:customStyle="1" w:styleId="FunctionTok">
    <w:name w:val="FunctionTok"/>
    <w:basedOn w:val="VerbatimChar"/>
    <w:rPr>
      <w:color w:val="06287e"/>
      <w:rFonts w:ascii="Times New Roman" w:hAnsi="Times New Roman" w:eastAsia="Times New Roman" w:cs="Times New Roman"/>
    </w:rPr>
  </w:style>
  <w:style w:type="character" w:customStyle="1" w:styleId="VariableTok">
    <w:name w:val="VariableTok"/>
    <w:basedOn w:val="VerbatimChar"/>
    <w:rPr>
      <w:color w:val="19177c"/>
      <w:rFonts w:ascii="Times New Roman" w:hAnsi="Times New Roman" w:eastAsia="Times New Roman" w:cs="Times New Roman"/>
    </w:rPr>
  </w:style>
  <w:style w:type="character" w:customStyle="1" w:styleId="ControlFlowTok">
    <w:name w:val="ControlFlowTok"/>
    <w:basedOn w:val="VerbatimChar"/>
    <w:rPr>
      <w:b/>
      <w:color w:val="007020"/>
      <w:rFonts w:ascii="Times New Roman" w:hAnsi="Times New Roman" w:eastAsia="Times New Roman" w:cs="Times New Roman"/>
    </w:rPr>
  </w:style>
  <w:style w:type="character" w:customStyle="1" w:styleId="OperatorTok">
    <w:name w:val="OperatorTok"/>
    <w:basedOn w:val="VerbatimChar"/>
    <w:rPr>
      <w:color w:val="666666"/>
      <w:rFonts w:ascii="Times New Roman" w:hAnsi="Times New Roman" w:eastAsia="Times New Roman" w:cs="Times New Roman"/>
    </w:rPr>
  </w:style>
  <w:style w:type="character" w:customStyle="1" w:styleId="BuiltInTok">
    <w:name w:val="BuiltInTok"/>
    <w:basedOn w:val="VerbatimChar"/>
    <w:rPr>
      <w:color w:val="008000"/>
      <w:rFonts w:ascii="Times New Roman" w:hAnsi="Times New Roman" w:eastAsia="Times New Roman" w:cs="Times New Roman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</w:rPr>
  </w:style>
  <w:style w:type="character" w:customStyle="1" w:styleId="PreprocessorTok">
    <w:name w:val="PreprocessorTok"/>
    <w:basedOn w:val="VerbatimChar"/>
    <w:rPr>
      <w:color w:val="bc7a00"/>
      <w:rFonts w:ascii="Times New Roman" w:hAnsi="Times New Roman" w:eastAsia="Times New Roman" w:cs="Times New Roman"/>
    </w:rPr>
  </w:style>
  <w:style w:type="character" w:customStyle="1" w:styleId="AttributeTok">
    <w:name w:val="AttributeTok"/>
    <w:basedOn w:val="VerbatimChar"/>
    <w:rPr>
      <w:color w:val="7d9029"/>
      <w:rFonts w:ascii="Times New Roman" w:hAnsi="Times New Roman" w:eastAsia="Times New Roman" w:cs="Times New Roman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</w:rPr>
  </w:style>
  <w:style w:type="character" w:customStyle="1" w:styleId="InformationTok">
    <w:name w:val="Information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WarningTok">
    <w:name w:val="WarningTok"/>
    <w:basedOn w:val="VerbatimChar"/>
    <w:rPr>
      <w:b/>
      <w:i/>
      <w:color w:val="60a0b0"/>
      <w:rFonts w:ascii="Times New Roman" w:hAnsi="Times New Roman" w:eastAsia="Times New Roman" w:cs="Times New Roman"/>
    </w:rPr>
  </w:style>
  <w:style w:type="character" w:customStyle="1" w:styleId="AlertTok">
    <w:name w:val="AlertTok"/>
    <w:basedOn w:val="VerbatimChar"/>
    <w:rPr>
      <w:b/>
      <w:color w:val="ff0000"/>
      <w:rFonts w:ascii="Times New Roman" w:hAnsi="Times New Roman" w:eastAsia="Times New Roman" w:cs="Times New Roman"/>
    </w:rPr>
  </w:style>
  <w:style w:type="character" w:customStyle="1" w:styleId="ErrorTok">
    <w:name w:val="ErrorTok"/>
    <w:basedOn w:val="VerbatimChar"/>
    <w:rPr>
      <w:b/>
      <w:color w:val="ff0000"/>
      <w:rFonts w:ascii="Times New Roman" w:hAnsi="Times New Roman" w:eastAsia="Times New Roman" w:cs="Times New Roman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Times New Roman"/>
        <a:cs typeface="Times New Roman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LoRA + CRHC: Parameter-Efficient MobileSAM Adaptation for Label-Efficient Remote-Sensing Segmentation</dc:title>
  <dc:creator>AdaSAM Research Team</dc:creator>
  <cp:keywords/>
  <dcterms:created xsi:type="dcterms:W3CDTF">2026-08-18T13:26:49Z</dcterms:created>
  <dcterms:modified xsi:type="dcterms:W3CDTF">2026-08-18T13:26:49Z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Foundation segmentation models are attractive for dense prediction under limited annotation, but adapting them efficiently requires controlling both trainable parameters and multi-level feature fusion. We study LoveDA with a frozen MobileSAM encoder, rank-4 LoRA on TinyViT attention projections (qkv and proj), and Class-Conditioned Regional Hierarchical Calibration (CRHC). CRHC uses regional semantic probabilities and learned class-by-level preferences to calibrate P3, P4 and embedding features; it does not skip feature computation or reduce FLOPs. In single-seed screening, LoRA + CRHC obtains 45.54, 46.93 and 49.61 mIoU at 5</vt:lpwstr>
  </property>
  <property fmtid="{D5CDD505-2E9C-101B-9397-08002B2CF9AE}" pid="3" name="bibliography">
    <vt:lpwstr/>
  </property>
  <property fmtid="{D5CDD505-2E9C-101B-9397-08002B2CF9AE}" pid="4" name="csl">
    <vt:lpwstr>D:\Temp\codex_tool_install\ieee.csl</vt:lpwstr>
  </property>
  <property fmtid="{D5CDD505-2E9C-101B-9397-08002B2CF9AE}" pid="5" name="date">
    <vt:lpwstr/>
  </property>
</Properties>
</file>