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 w:val="0"/>
        <w:suppressLineNumbers w:val="0"/>
        <w:bidi w:val="0"/>
        <w:ind w:left="0" w:right="0"/>
        <w:jc w:val="center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 xml:space="preserve">全球首发—鸿蒙开源平台OpenGL   </w:t>
      </w:r>
    </w:p>
    <w:p>
      <w:pPr>
        <w:pStyle w:val="3"/>
        <w:keepNext w:val="0"/>
        <w:keepLines w:val="0"/>
        <w:widowControl w:val="0"/>
        <w:suppressLineNumbers w:val="0"/>
        <w:bidi w:val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前言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 xml:space="preserve">    基于安卓平台的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OpenG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L</w:t>
      </w:r>
      <w:r>
        <w:rPr>
          <w:rFonts w:hint="default" w:ascii="宋体" w:hAnsi="宋体" w:eastAsia="宋体" w:cs="宋体"/>
          <w:kern w:val="2"/>
          <w:sz w:val="21"/>
          <w:szCs w:val="21"/>
          <w:highlight w:val="none"/>
          <w:lang w:eastAsia="zh-CN" w:bidi="ar"/>
          <w:woUserID w:val="1"/>
        </w:rPr>
        <w:t>(http://androidxref.com/9.0.0_r3/)，实现功能的鸿蒙化迁移和重构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，全球首发鸿蒙平台的OpenGL-ISRC，代码已经开源到（https://gitee.com/iscas-ohos/OpenGL_ISRC/tree/main），欢迎各位下载使用并提出宝贵意见！</w:t>
      </w:r>
    </w:p>
    <w:p>
      <w:pPr>
        <w:pStyle w:val="3"/>
        <w:keepNext w:val="0"/>
        <w:keepLines w:val="0"/>
        <w:widowControl w:val="0"/>
        <w:suppressLineNumbers w:val="0"/>
        <w:bidi w:val="0"/>
        <w:ind w:left="0" w:right="0"/>
        <w:jc w:val="both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背景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 xml:space="preserve">    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OpenGL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（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Open Graphics Library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是用于渲染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2D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3D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矢量图形的跨语言、跨平台的应用程序编程接口（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API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），可绘制从简单的图形到复杂的三维景象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操作在GPU之上，实现硬件加速渲染 。目前，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Microsoft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SGI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IBM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DEC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SUN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HP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等大公司都采用了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OpenGL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做为三维图形标准，著名的动画制作软件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Soft Image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和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3D Studio MAX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、仿真软件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Open Inventor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VR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软件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World Tool Kit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CAM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软件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ProEngineer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、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GIS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软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ARC/INFO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等等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都是以OpenGL为基础制作完成的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。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OpenGL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是个与硬件无关的软件接口，可以在不同的平台之间移植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 xml:space="preserve">    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OpenGL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ES是OpenGL的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高性能</w:t>
      </w:r>
      <w:r>
        <w:rPr>
          <w:rFonts w:hint="eastAsia" w:ascii="宋体" w:hAnsi="宋体" w:eastAsia="宋体" w:cs="宋体"/>
          <w:kern w:val="2"/>
          <w:sz w:val="21"/>
          <w:szCs w:val="21"/>
          <w:lang w:eastAsia="zh-CN" w:bidi="ar"/>
          <w:woUserID w:val="1"/>
        </w:rPr>
        <w:t>版本，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删减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了其中的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低效能的操作方式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，Android就是使用的这种标准，因此鸿蒙平台的OpenGL-ISRC也是使用的这种标准。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</w:pPr>
    </w:p>
    <w:p>
      <w:pPr>
        <w:pStyle w:val="3"/>
        <w:keepNext w:val="0"/>
        <w:keepLines w:val="0"/>
        <w:widowControl w:val="0"/>
        <w:suppressLineNumbers w:val="0"/>
        <w:bidi w:val="0"/>
        <w:ind w:left="0" w:right="0"/>
        <w:jc w:val="both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鸿蒙OpenGL-ISRC的结构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  <w:t xml:space="preserve">  </w:t>
      </w:r>
      <w:bookmarkStart w:id="0" w:name="_GoBack"/>
      <w:r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  <w:drawing>
          <wp:inline distT="0" distB="0" distL="114300" distR="114300">
            <wp:extent cx="1407160" cy="4174490"/>
            <wp:effectExtent l="0" t="0" r="2540" b="165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  <w:t xml:space="preserve">   </w:t>
      </w:r>
      <w:r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  <w:drawing>
          <wp:inline distT="0" distB="0" distL="114300" distR="114300">
            <wp:extent cx="1530985" cy="2931160"/>
            <wp:effectExtent l="0" t="0" r="12065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  <w:t xml:space="preserve">    </w:t>
      </w:r>
      <w:r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  <w:drawing>
          <wp:inline distT="0" distB="0" distL="114300" distR="114300">
            <wp:extent cx="1295400" cy="2058670"/>
            <wp:effectExtent l="0" t="0" r="0" b="177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highlight w:val="yellow"/>
          <w:woUserID w:val="1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  <w:t xml:space="preserve"> (1)  Android的OpenGL库    (2)  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  <w:highlight w:val="none"/>
          <w:woUserID w:val="1"/>
        </w:rPr>
        <w:t>Harmony的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  <w:t>OpenGL-ISRC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  <w:highlight w:val="none"/>
          <w:woUserID w:val="1"/>
        </w:rPr>
        <w:t>库</w:t>
      </w:r>
      <w:r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  <w:t xml:space="preserve">  (3)Harmony的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  <w:woUserID w:val="1"/>
        </w:rPr>
        <w:t>OpenGL</w:t>
      </w:r>
      <w:r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  <w:t>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  <w:t>图1 ：OpenGL库对比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 xml:space="preserve">    由图1可知，OpenGL-ISRC整体的结构和Android OpenGL类似，不同之处在于OpenGL-ISRC由两个包组成，分别是android.opengl和ohos.opengl。android.opengl里放置的是目前支持版本的OpenGLES标准，ohos.opengl放置的是常用的图像处理类。且类的数量少于</w:t>
      </w:r>
      <w:r>
        <w:rPr>
          <w:rFonts w:hint="default" w:ascii="Calibri" w:hAnsi="Calibri" w:eastAsia="宋体" w:cs="Times New Roman"/>
          <w:kern w:val="2"/>
          <w:sz w:val="21"/>
          <w:szCs w:val="21"/>
          <w:highlight w:val="none"/>
          <w:woUserID w:val="1"/>
        </w:rPr>
        <w:t>Android的OpenGL。下面对这几点给出解释。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  <w:t>为什么其中一个包名是android.opengl？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0" w:firstLineChars="20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采用C++实现接口的方式，通过so库的调用实现接口的调用。对于目前支持版本的OpenGLES标准这部分，Android已经开源了其生成的so库，为了避免功能重复开发，此处直接使用Android的so库，因此包名必须是android.opengl。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  <w:t>OpenGL-ISRC为什么由两个包组成？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highlight w:val="none"/>
          <w:lang w:eastAsia="zh-CN" w:bidi="ar"/>
          <w:woUserID w:val="1"/>
        </w:rPr>
        <w:t xml:space="preserve">   对于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图像处理类的实现，若继续采用Android so库调用的方式，需要将图像处理类放置于android.opengl包下，此时运行鸿蒙环境，会出现方法声明重复的错误，见图2，表明图像处理类中的方法与鸿蒙底层存在的某些方法存在冲突，因此继续使用Android so库调用的方式不再可行。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drawing>
          <wp:inline distT="0" distB="0" distL="114300" distR="114300">
            <wp:extent cx="5267325" cy="4184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图2：图像处理类放置于android.opengl包下的报错情况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highlight w:val="none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highlight w:val="none"/>
          <w:lang w:eastAsia="zh-CN" w:bidi="ar"/>
          <w:woUserID w:val="1"/>
        </w:rPr>
        <w:t xml:space="preserve">     在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OpenGL-ISRC中，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highlight w:val="none"/>
          <w:lang w:eastAsia="zh-CN" w:bidi="ar"/>
          <w:woUserID w:val="1"/>
        </w:rPr>
        <w:t>图像处理类这一部分，依旧采用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C++实现接口，通过so库调用实现接口调用的方式。与android.opengl里的类不同的是，我们对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highlight w:val="none"/>
          <w:lang w:eastAsia="zh-CN" w:bidi="ar"/>
          <w:woUserID w:val="1"/>
        </w:rPr>
        <w:t>图像处理的类的接口进行了鸿蒙化的移植重构，生成了全新的so库进行调用，适配了鸿蒙底层的环境，也避免了此处对安卓的依赖。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  <w:t>OpenGL-ISRC为什么缺少EGL类？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 xml:space="preserve">    鸿蒙SDK自带OpenGL库，见图1.(3),内部含有EGL类。OpenGL-ISRC是基于鸿蒙平台，所以直接使用了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highlight w:val="none"/>
          <w:lang w:eastAsia="zh-CN" w:bidi="ar"/>
          <w:woUserID w:val="1"/>
        </w:rPr>
        <w:t>鸿蒙SDK自带OpenGL库的EGL类，避免了功能的重复开发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  <w:woUserID w:val="1"/>
        </w:rPr>
        <w:t>OpenGL-ISRC中的GLSuefaceprovider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 xml:space="preserve">    OpenGL-ISRC中的GLSuefaceProvider在功能上和Android的GLSurfaceView相同。因为鸿蒙中的SurfaceView命名为SuefaceProvider，根据命名一致原则，OpenGL-ISRC中的GLSurfaceView命名为GLSuefaceProvider。</w:t>
      </w:r>
    </w:p>
    <w:p>
      <w:pPr>
        <w:pStyle w:val="3"/>
        <w:bidi w:val="0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OpenGL-ISRC和鸿蒙SDK OpenGL的区别</w:t>
      </w:r>
    </w:p>
    <w:p>
      <w:pPr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 xml:space="preserve">     OpenGL-ISRC是鸿蒙开源系统的功能相对完整的OpenGL ES库。从使用上来说，OpenGL-ISRC具有较大的独立性，与鸿蒙SDK OpenGL在实现方式、完善程度、功能提供等方面都存在较大不同。</w:t>
      </w:r>
    </w:p>
    <w:p>
      <w:pPr>
        <w:ind w:left="0" w:leftChars="0" w:firstLine="420" w:firstLineChars="200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（1） OpenGL-ISRC采用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C++实现接口，通过so库调用实现接口调用的方式，而</w:t>
      </w: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鸿蒙SDK OpenGL 的接口采用java实现的方式，二者的使用较为独立，不存在冲突；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0" w:firstLineChars="20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（2）图1.(2)和(3)的对比中可以看出，OpenGL-ISRC的所提供的功能是相对完善的，鸿蒙SDK OpenGL目前还缺少很多标准类，已存在的标准类内部功能也有不完整的现象。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 xml:space="preserve">    （3）</w:t>
      </w: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OpenGL-ISRC封装使用了鸿蒙SDK OpenGL的EGL类，避免功能重复开发，因此二者是互相完善的关系；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0" w:firstLineChars="200"/>
        <w:jc w:val="both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（4）由于鸿蒙SDK OpenGL的不完整性，OpenGL-ISRC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支持的OpenGLES标准类的实现使用了安卓so库的调用，没有使用</w:t>
      </w: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鸿蒙SDK OpenGL的</w:t>
      </w: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eastAsia="zh-CN" w:bidi="ar"/>
          <w:woUserID w:val="1"/>
        </w:rPr>
        <w:t>OpenGLES标准。</w:t>
      </w:r>
    </w:p>
    <w:p>
      <w:pPr>
        <w:pStyle w:val="3"/>
        <w:bidi w:val="0"/>
        <w:rPr>
          <w:rFonts w:hint="default" w:ascii="宋体" w:hAnsi="宋体" w:eastAsia="宋体" w:cs="宋体"/>
          <w:kern w:val="2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lang w:eastAsia="zh-CN" w:bidi="ar"/>
          <w:woUserID w:val="1"/>
        </w:rPr>
        <w:t>OpenGL-ISRC的使用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4"/>
          <w:lang w:val="en-US" w:eastAsia="zh-CN" w:bidi="ar"/>
          <w:woUserID w:val="1"/>
        </w:rPr>
        <w:t>GlSurfaceProvider</w:t>
      </w:r>
      <w:r>
        <w:rPr>
          <w:rFonts w:hint="default" w:cs="宋体"/>
          <w:b/>
          <w:bCs/>
          <w:kern w:val="2"/>
          <w:sz w:val="21"/>
          <w:szCs w:val="24"/>
          <w:lang w:eastAsia="zh-CN" w:bidi="ar"/>
          <w:woUserID w:val="1"/>
        </w:rPr>
        <w:t>的使用</w:t>
      </w:r>
      <w:r>
        <w:rPr>
          <w:rFonts w:hint="default" w:ascii="宋体" w:hAnsi="宋体" w:eastAsia="宋体" w:cs="宋体"/>
          <w:b/>
          <w:bCs/>
          <w:kern w:val="2"/>
          <w:sz w:val="21"/>
          <w:szCs w:val="24"/>
          <w:lang w:val="en-US" w:eastAsia="zh-CN" w:bidi="ar"/>
          <w:woUserID w:val="1"/>
        </w:rPr>
        <w:t>示例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 xml:space="preserve">   此处创建了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  <w:t>GlSurfaceProvider</w:t>
      </w: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控件，add到layout中进行显示，如图3所示。为了增强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  <w:t>GlSurfaceProvider</w:t>
      </w: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的可视化效果，在GlRenderer里面设置了一个红色的三角图形（三角具体属性见开源代码：https://gitee.com/iscas-ohos/OpenGL_ISRC/tree/main），显示效果如图4所示。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  <w:woUserID w:val="1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  <w:woUserID w:val="1"/>
        </w:rPr>
        <w:drawing>
          <wp:inline distT="0" distB="0" distL="114300" distR="114300">
            <wp:extent cx="5268595" cy="184150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 xml:space="preserve">图3 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  <w:t xml:space="preserve"> GlSurfaceProvider</w:t>
      </w: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>的使用demo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</w:pPr>
    </w:p>
    <w:p>
      <w:pPr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1771650" cy="3488690"/>
            <wp:effectExtent l="0" t="0" r="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 xml:space="preserve">图4 </w:t>
      </w:r>
      <w:r>
        <w:rPr>
          <w:rFonts w:hint="default"/>
          <w:lang w:eastAsia="zh-CN"/>
          <w:woUserID w:val="1"/>
        </w:rPr>
        <w:t xml:space="preserve"> 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  <w:t>GlSurfaceProvider</w:t>
      </w: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>显示效果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宋体" w:hAnsi="宋体" w:eastAsia="宋体" w:cs="宋体"/>
          <w:b/>
          <w:bCs/>
          <w:kern w:val="2"/>
          <w:sz w:val="21"/>
          <w:szCs w:val="24"/>
          <w:lang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4"/>
          <w:lang w:val="en-US" w:eastAsia="zh-CN" w:bidi="ar"/>
          <w:woUserID w:val="1"/>
        </w:rPr>
        <w:t>EGL</w:t>
      </w:r>
      <w:r>
        <w:rPr>
          <w:rFonts w:hint="default" w:cs="宋体"/>
          <w:b/>
          <w:bCs/>
          <w:kern w:val="2"/>
          <w:sz w:val="21"/>
          <w:szCs w:val="24"/>
          <w:lang w:eastAsia="zh-CN" w:bidi="ar"/>
          <w:woUserID w:val="1"/>
        </w:rPr>
        <w:t>和ETC1的使用</w:t>
      </w:r>
      <w:r>
        <w:rPr>
          <w:rFonts w:hint="default" w:ascii="宋体" w:hAnsi="宋体" w:eastAsia="宋体" w:cs="宋体"/>
          <w:b/>
          <w:bCs/>
          <w:kern w:val="2"/>
          <w:sz w:val="21"/>
          <w:szCs w:val="24"/>
          <w:lang w:val="en-US" w:eastAsia="zh-CN" w:bidi="ar"/>
          <w:woUserID w:val="1"/>
        </w:rPr>
        <w:t>示例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0" w:leftChars="0" w:right="0" w:rightChars="0" w:firstLine="420" w:firstLineChars="200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>为了验证了EGL的显示效果，</w:t>
      </w: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在initView()方法中</w:t>
      </w: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>给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  <w:t>Viewport</w:t>
      </w: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设置了紫色方块视图属性（见开源代码：https://gitee.com/iscas-ohos/OpenGL_ISRC/tree/main）。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0" w:leftChars="0" w:right="0" w:rightChars="0" w:firstLine="420" w:firstLineChars="200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为了验证ETC1的有效性，将ETC1.getEncodedDataSize()的结果输出到一个Text中进行显示。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0" w:leftChars="0" w:right="0" w:rightChars="0" w:firstLine="420" w:firstLineChars="200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当EGL显示紫色方块，Text上显示ETC1.getEncodedDataSize()的结果时，证明</w:t>
      </w:r>
      <w:r>
        <w:rPr>
          <w:rFonts w:hint="default" w:cs="宋体"/>
          <w:kern w:val="2"/>
          <w:sz w:val="21"/>
          <w:szCs w:val="24"/>
          <w:lang w:val="en-US" w:eastAsia="zh-CN" w:bidi="ar"/>
          <w:woUserID w:val="1"/>
        </w:rPr>
        <w:t>EGL</w:t>
      </w: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和ETC1类可成功使用，二者的显示效果如图6所示。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rPr>
          <w:rFonts w:hint="default" w:ascii="宋体" w:hAnsi="宋体" w:eastAsia="宋体" w:cs="宋体"/>
          <w:b/>
          <w:bCs/>
          <w:kern w:val="2"/>
          <w:sz w:val="21"/>
          <w:szCs w:val="24"/>
          <w:lang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4"/>
          <w:lang w:eastAsia="zh-CN" w:bidi="ar"/>
          <w:woUserID w:val="1"/>
        </w:rPr>
        <w:drawing>
          <wp:inline distT="0" distB="0" distL="114300" distR="114300">
            <wp:extent cx="5274310" cy="23202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 xml:space="preserve">图5 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  <w:t>EGL</w:t>
      </w: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>和ETC1的使用demo</w:t>
      </w:r>
    </w:p>
    <w:p>
      <w:pPr>
        <w:jc w:val="center"/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jc w:val="center"/>
        <w:rPr>
          <w:rFonts w:hint="default" w:ascii="宋体" w:hAnsi="宋体" w:eastAsia="宋体" w:cs="宋体"/>
          <w:b/>
          <w:bCs/>
          <w:kern w:val="2"/>
          <w:sz w:val="21"/>
          <w:szCs w:val="24"/>
          <w:lang w:eastAsia="zh-CN" w:bidi="ar"/>
          <w:woUserID w:val="1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4"/>
          <w:lang w:eastAsia="zh-CN" w:bidi="ar"/>
          <w:woUserID w:val="1"/>
        </w:rPr>
        <w:drawing>
          <wp:inline distT="0" distB="0" distL="114300" distR="114300">
            <wp:extent cx="1781175" cy="3200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jc w:val="center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>图</w:t>
      </w: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6</w:t>
      </w:r>
      <w:r>
        <w:rPr>
          <w:rFonts w:hint="default" w:ascii="宋体" w:hAnsi="宋体" w:eastAsia="宋体" w:cs="宋体"/>
          <w:kern w:val="2"/>
          <w:sz w:val="21"/>
          <w:szCs w:val="24"/>
          <w:lang w:eastAsia="zh-CN" w:bidi="ar"/>
          <w:woUserID w:val="1"/>
        </w:rPr>
        <w:t>：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"/>
          <w:woUserID w:val="1"/>
        </w:rPr>
        <w:t>EGL</w:t>
      </w: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的显示效果、ETC1的输出效果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jc w:val="both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jc w:val="both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jc w:val="both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jc w:val="both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</w:p>
    <w:p>
      <w:pPr>
        <w:pStyle w:val="3"/>
        <w:bidi w:val="0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项目贡献人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right="0" w:rightChars="0"/>
        <w:jc w:val="both"/>
        <w:rPr>
          <w:rFonts w:hint="default" w:cs="宋体"/>
          <w:kern w:val="2"/>
          <w:sz w:val="21"/>
          <w:szCs w:val="24"/>
          <w:lang w:eastAsia="zh-CN" w:bidi="ar"/>
          <w:woUserID w:val="1"/>
        </w:rPr>
      </w:pPr>
      <w:r>
        <w:rPr>
          <w:rFonts w:hint="default" w:cs="宋体"/>
          <w:kern w:val="2"/>
          <w:sz w:val="21"/>
          <w:szCs w:val="24"/>
          <w:lang w:eastAsia="zh-CN" w:bidi="ar"/>
          <w:woUserID w:val="1"/>
        </w:rPr>
        <w:t>戴研 郑森文 朱伟  陈美汝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EA9E3"/>
    <w:multiLevelType w:val="singleLevel"/>
    <w:tmpl w:val="F3FEA9E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DC7B06"/>
    <w:multiLevelType w:val="singleLevel"/>
    <w:tmpl w:val="F8DC7B0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3FA1533"/>
    <w:rsid w:val="16DF9EEC"/>
    <w:rsid w:val="183C240D"/>
    <w:rsid w:val="1AA24D9F"/>
    <w:rsid w:val="1B65916A"/>
    <w:rsid w:val="1E620168"/>
    <w:rsid w:val="1FF7D1D2"/>
    <w:rsid w:val="1FFB7A13"/>
    <w:rsid w:val="26FF7C6E"/>
    <w:rsid w:val="28DA2E89"/>
    <w:rsid w:val="2A4254F9"/>
    <w:rsid w:val="2D1F32F4"/>
    <w:rsid w:val="2D6F842C"/>
    <w:rsid w:val="2DF78341"/>
    <w:rsid w:val="2F53AF91"/>
    <w:rsid w:val="2FB7912A"/>
    <w:rsid w:val="2FF85DD9"/>
    <w:rsid w:val="319A7377"/>
    <w:rsid w:val="323B4D81"/>
    <w:rsid w:val="34B70380"/>
    <w:rsid w:val="3703E1BF"/>
    <w:rsid w:val="3776177D"/>
    <w:rsid w:val="38B18812"/>
    <w:rsid w:val="3AE174A3"/>
    <w:rsid w:val="3BFE9741"/>
    <w:rsid w:val="3D3FBCF1"/>
    <w:rsid w:val="3DFB94AF"/>
    <w:rsid w:val="3E3F0D85"/>
    <w:rsid w:val="3F6EAC09"/>
    <w:rsid w:val="3F9E2630"/>
    <w:rsid w:val="3FBF45C2"/>
    <w:rsid w:val="3FBF7733"/>
    <w:rsid w:val="3FDF6F13"/>
    <w:rsid w:val="3FE85CD5"/>
    <w:rsid w:val="3FFBE570"/>
    <w:rsid w:val="3FFC7D0C"/>
    <w:rsid w:val="42DB6752"/>
    <w:rsid w:val="43446334"/>
    <w:rsid w:val="44A84E71"/>
    <w:rsid w:val="477DCE1E"/>
    <w:rsid w:val="4AF914C5"/>
    <w:rsid w:val="4BBF05EA"/>
    <w:rsid w:val="4CDB12A4"/>
    <w:rsid w:val="4DBF1BF3"/>
    <w:rsid w:val="4DCAF8C6"/>
    <w:rsid w:val="4FBF6EC3"/>
    <w:rsid w:val="55FDC324"/>
    <w:rsid w:val="56B3BDDB"/>
    <w:rsid w:val="573E1E21"/>
    <w:rsid w:val="578FF31D"/>
    <w:rsid w:val="57AA73F8"/>
    <w:rsid w:val="59536E82"/>
    <w:rsid w:val="5B487E91"/>
    <w:rsid w:val="5B9F3BF5"/>
    <w:rsid w:val="5BBECF36"/>
    <w:rsid w:val="5BEF41F1"/>
    <w:rsid w:val="5CF9550F"/>
    <w:rsid w:val="5D77706D"/>
    <w:rsid w:val="5EFBE493"/>
    <w:rsid w:val="5EFC9B26"/>
    <w:rsid w:val="5EFEBDE8"/>
    <w:rsid w:val="5F774D16"/>
    <w:rsid w:val="5FFBB3F5"/>
    <w:rsid w:val="633DAFE7"/>
    <w:rsid w:val="63FB213C"/>
    <w:rsid w:val="66968A54"/>
    <w:rsid w:val="66EB7AAE"/>
    <w:rsid w:val="67D27EAB"/>
    <w:rsid w:val="68CA2609"/>
    <w:rsid w:val="68CC1AED"/>
    <w:rsid w:val="69BB0F42"/>
    <w:rsid w:val="69DF2B04"/>
    <w:rsid w:val="6A637494"/>
    <w:rsid w:val="6A7E0289"/>
    <w:rsid w:val="6BAFE02D"/>
    <w:rsid w:val="6BCF62E6"/>
    <w:rsid w:val="6BFABC11"/>
    <w:rsid w:val="6BFFEF30"/>
    <w:rsid w:val="6CD3A16D"/>
    <w:rsid w:val="6D535020"/>
    <w:rsid w:val="6DAFADEA"/>
    <w:rsid w:val="6DFD9EB4"/>
    <w:rsid w:val="6E5F49A6"/>
    <w:rsid w:val="6EFB62C9"/>
    <w:rsid w:val="6EFF318E"/>
    <w:rsid w:val="6F593B47"/>
    <w:rsid w:val="6F7578AE"/>
    <w:rsid w:val="6F7B3948"/>
    <w:rsid w:val="6F7D7C2A"/>
    <w:rsid w:val="6F9C9EBF"/>
    <w:rsid w:val="6FAC884D"/>
    <w:rsid w:val="6FEEB4AE"/>
    <w:rsid w:val="6FFC284A"/>
    <w:rsid w:val="6FFF37D2"/>
    <w:rsid w:val="70DE2EF1"/>
    <w:rsid w:val="711E260B"/>
    <w:rsid w:val="72F6CBF4"/>
    <w:rsid w:val="7365DC2E"/>
    <w:rsid w:val="73BF86A5"/>
    <w:rsid w:val="73DAB8D7"/>
    <w:rsid w:val="73ECFA49"/>
    <w:rsid w:val="73EE2286"/>
    <w:rsid w:val="73FBA1F0"/>
    <w:rsid w:val="75DC922E"/>
    <w:rsid w:val="75FF3273"/>
    <w:rsid w:val="76BE3AB5"/>
    <w:rsid w:val="76E24ECD"/>
    <w:rsid w:val="76FE4657"/>
    <w:rsid w:val="76FF1BEC"/>
    <w:rsid w:val="773F9167"/>
    <w:rsid w:val="77D67F58"/>
    <w:rsid w:val="77DF0883"/>
    <w:rsid w:val="77F7ACB8"/>
    <w:rsid w:val="77FF647E"/>
    <w:rsid w:val="79B888E8"/>
    <w:rsid w:val="79EE74DE"/>
    <w:rsid w:val="7ABB7D51"/>
    <w:rsid w:val="7B5F8EBF"/>
    <w:rsid w:val="7B77E695"/>
    <w:rsid w:val="7B7FA157"/>
    <w:rsid w:val="7BB3CF79"/>
    <w:rsid w:val="7BBDB6BC"/>
    <w:rsid w:val="7BBF27E1"/>
    <w:rsid w:val="7BCD96ED"/>
    <w:rsid w:val="7BDBD4A7"/>
    <w:rsid w:val="7BF8B2A5"/>
    <w:rsid w:val="7C5F4108"/>
    <w:rsid w:val="7D777132"/>
    <w:rsid w:val="7D7F7983"/>
    <w:rsid w:val="7DBD92F8"/>
    <w:rsid w:val="7DD72721"/>
    <w:rsid w:val="7DEEBCF9"/>
    <w:rsid w:val="7DFDDF79"/>
    <w:rsid w:val="7DFE13C2"/>
    <w:rsid w:val="7DFFD048"/>
    <w:rsid w:val="7E7FE8A1"/>
    <w:rsid w:val="7ECF5630"/>
    <w:rsid w:val="7EE1AD8B"/>
    <w:rsid w:val="7EFD2E17"/>
    <w:rsid w:val="7EFF106E"/>
    <w:rsid w:val="7EFF896F"/>
    <w:rsid w:val="7EFFC1B2"/>
    <w:rsid w:val="7F3F38FB"/>
    <w:rsid w:val="7F57F9F3"/>
    <w:rsid w:val="7F5E1E3B"/>
    <w:rsid w:val="7F7382FD"/>
    <w:rsid w:val="7F76B54E"/>
    <w:rsid w:val="7F76BBCC"/>
    <w:rsid w:val="7F79C282"/>
    <w:rsid w:val="7F7B550F"/>
    <w:rsid w:val="7F7B6CAE"/>
    <w:rsid w:val="7F7C06DB"/>
    <w:rsid w:val="7F7FA7B1"/>
    <w:rsid w:val="7FAF1E63"/>
    <w:rsid w:val="7FAF275C"/>
    <w:rsid w:val="7FB59111"/>
    <w:rsid w:val="7FB5A490"/>
    <w:rsid w:val="7FBF6DD0"/>
    <w:rsid w:val="7FBFE1EF"/>
    <w:rsid w:val="7FCB7F0C"/>
    <w:rsid w:val="7FCD17FE"/>
    <w:rsid w:val="7FCFAC09"/>
    <w:rsid w:val="7FD50CF5"/>
    <w:rsid w:val="7FD7E9A0"/>
    <w:rsid w:val="7FDBFED3"/>
    <w:rsid w:val="7FDFD52F"/>
    <w:rsid w:val="7FE9FBB2"/>
    <w:rsid w:val="7FFF317B"/>
    <w:rsid w:val="7FFFF498"/>
    <w:rsid w:val="8A1F0143"/>
    <w:rsid w:val="8AFBA52B"/>
    <w:rsid w:val="8E7110AB"/>
    <w:rsid w:val="8FFFA67E"/>
    <w:rsid w:val="95FFE991"/>
    <w:rsid w:val="977FE87D"/>
    <w:rsid w:val="97F22F93"/>
    <w:rsid w:val="9BD542EE"/>
    <w:rsid w:val="9E957133"/>
    <w:rsid w:val="9ED7E212"/>
    <w:rsid w:val="9FF2C707"/>
    <w:rsid w:val="9FFF9469"/>
    <w:rsid w:val="9FFFE26D"/>
    <w:rsid w:val="A97F623E"/>
    <w:rsid w:val="AF4B011B"/>
    <w:rsid w:val="AF7CAB68"/>
    <w:rsid w:val="AFBF8780"/>
    <w:rsid w:val="B0E28A88"/>
    <w:rsid w:val="B5FEE733"/>
    <w:rsid w:val="BA7F0945"/>
    <w:rsid w:val="BBEFC816"/>
    <w:rsid w:val="BBFFB3C5"/>
    <w:rsid w:val="BCDED8A7"/>
    <w:rsid w:val="BDF214F4"/>
    <w:rsid w:val="BE7F6CB4"/>
    <w:rsid w:val="BE9F6754"/>
    <w:rsid w:val="BEDA6007"/>
    <w:rsid w:val="BEE7CCB2"/>
    <w:rsid w:val="BEEFCB4B"/>
    <w:rsid w:val="BFCF0DB1"/>
    <w:rsid w:val="BFE6F841"/>
    <w:rsid w:val="BFEDB2CC"/>
    <w:rsid w:val="BFFA2EBF"/>
    <w:rsid w:val="BFFA8E51"/>
    <w:rsid w:val="BFFDC4F5"/>
    <w:rsid w:val="CAB933B1"/>
    <w:rsid w:val="CB2F773C"/>
    <w:rsid w:val="CDCB1E8A"/>
    <w:rsid w:val="CF3F713F"/>
    <w:rsid w:val="D2F9F3AA"/>
    <w:rsid w:val="D3FFE8AF"/>
    <w:rsid w:val="D4EFF09A"/>
    <w:rsid w:val="D5DE8897"/>
    <w:rsid w:val="D63F7FA7"/>
    <w:rsid w:val="D7CCD3B1"/>
    <w:rsid w:val="D7EEE566"/>
    <w:rsid w:val="D7FFE22D"/>
    <w:rsid w:val="DAD31A6C"/>
    <w:rsid w:val="DBCDF7EA"/>
    <w:rsid w:val="DBFA1161"/>
    <w:rsid w:val="DBFE69A1"/>
    <w:rsid w:val="DD767146"/>
    <w:rsid w:val="DF3F739C"/>
    <w:rsid w:val="DF9C7121"/>
    <w:rsid w:val="DFE781CB"/>
    <w:rsid w:val="E2F60D7F"/>
    <w:rsid w:val="E3FE2203"/>
    <w:rsid w:val="E3FE2DB3"/>
    <w:rsid w:val="E6FDE1B5"/>
    <w:rsid w:val="E7979F09"/>
    <w:rsid w:val="E7DF68CB"/>
    <w:rsid w:val="E7FE3684"/>
    <w:rsid w:val="EB9D82B7"/>
    <w:rsid w:val="EB9F1F3A"/>
    <w:rsid w:val="EBAD6EC2"/>
    <w:rsid w:val="EDF74E3B"/>
    <w:rsid w:val="EE71668C"/>
    <w:rsid w:val="EEBB2AC9"/>
    <w:rsid w:val="EEFD96E3"/>
    <w:rsid w:val="EF7F7E29"/>
    <w:rsid w:val="EFB7B906"/>
    <w:rsid w:val="EFE395E1"/>
    <w:rsid w:val="EFFF70E4"/>
    <w:rsid w:val="F0DBCD82"/>
    <w:rsid w:val="F37D56CC"/>
    <w:rsid w:val="F4DFC779"/>
    <w:rsid w:val="F572EEC2"/>
    <w:rsid w:val="F5F61275"/>
    <w:rsid w:val="F5FF24B6"/>
    <w:rsid w:val="F6FF395F"/>
    <w:rsid w:val="F7372593"/>
    <w:rsid w:val="F773642C"/>
    <w:rsid w:val="F7BB008A"/>
    <w:rsid w:val="F7BF71FC"/>
    <w:rsid w:val="F7D628CA"/>
    <w:rsid w:val="F7DD1F23"/>
    <w:rsid w:val="F7EEC240"/>
    <w:rsid w:val="F7F7358E"/>
    <w:rsid w:val="F7FAD702"/>
    <w:rsid w:val="F9FB1151"/>
    <w:rsid w:val="F9FF8F8E"/>
    <w:rsid w:val="FB5F2265"/>
    <w:rsid w:val="FB97D0E8"/>
    <w:rsid w:val="FB97D976"/>
    <w:rsid w:val="FBF75102"/>
    <w:rsid w:val="FC7FCACD"/>
    <w:rsid w:val="FCB8443E"/>
    <w:rsid w:val="FCBF8B78"/>
    <w:rsid w:val="FCDD562D"/>
    <w:rsid w:val="FCE3A68C"/>
    <w:rsid w:val="FD7BC330"/>
    <w:rsid w:val="FDDC5620"/>
    <w:rsid w:val="FDDF2F5A"/>
    <w:rsid w:val="FDEA700A"/>
    <w:rsid w:val="FDF7EEEB"/>
    <w:rsid w:val="FDFD5E6C"/>
    <w:rsid w:val="FDFE7C1C"/>
    <w:rsid w:val="FDFF4772"/>
    <w:rsid w:val="FDFF7D87"/>
    <w:rsid w:val="FDFFFEB1"/>
    <w:rsid w:val="FE2B0428"/>
    <w:rsid w:val="FE7E5932"/>
    <w:rsid w:val="FE9E0FB0"/>
    <w:rsid w:val="FEDAD1AF"/>
    <w:rsid w:val="FEFF23F3"/>
    <w:rsid w:val="FF1F0B10"/>
    <w:rsid w:val="FF278789"/>
    <w:rsid w:val="FF799FA1"/>
    <w:rsid w:val="FF975B27"/>
    <w:rsid w:val="FF9A423C"/>
    <w:rsid w:val="FFA71339"/>
    <w:rsid w:val="FFAB2F16"/>
    <w:rsid w:val="FFBC822C"/>
    <w:rsid w:val="FFBF5C71"/>
    <w:rsid w:val="FFBFCE42"/>
    <w:rsid w:val="FFDDCFB1"/>
    <w:rsid w:val="FFE03638"/>
    <w:rsid w:val="FFE70183"/>
    <w:rsid w:val="FFEF0EC2"/>
    <w:rsid w:val="FFF5DBBF"/>
    <w:rsid w:val="FFFAD078"/>
    <w:rsid w:val="FFFDDA63"/>
    <w:rsid w:val="FFFDE542"/>
    <w:rsid w:val="FFFF0E2D"/>
    <w:rsid w:val="FFFF5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HTML Preformatted"/>
    <w:basedOn w:val="1"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WWO_wpscloud_20210107170454-f33be61969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2018-05-31T09:24:00Z</dcterms:created>
  <dcterms:modified xsi:type="dcterms:W3CDTF">2021-01-13T10:25:16Z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