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A1A2E"/>
          <w:sz w:val="44"/>
        </w:rPr>
        <w:t>GFP变体设计思路文档</w:t>
      </w:r>
    </w:p>
    <w:p>
      <w:pPr>
        <w:jc w:val="center"/>
      </w:pPr>
      <w:r>
        <w:rPr>
          <w:rFonts w:ascii="宋体" w:hAnsi="宋体" w:eastAsia="宋体"/>
          <w:color w:val="4A4A6A"/>
          <w:sz w:val="28"/>
        </w:rPr>
        <w:t>合成生物大设施蛋白质设计竞赛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队伍名称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wocaideyaoming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提交日期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2026-05-09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竞赛目标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高亮度·高稳定性GFP变体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母序列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sfGFP (Superfolder GFP, 238aa)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设计序列数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6条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开源仓库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https://github.com/ZhuiyuZhu/gfp-thermo-design</w:t>
            </w:r>
          </w:p>
        </w:tc>
      </w:tr>
    </w:tbl>
    <w:p/>
    <w:p>
      <w:r>
        <w:rPr>
          <w:rFonts w:ascii="宋体" w:hAnsi="宋体" w:eastAsia="宋体"/>
          <w:b/>
        </w:rPr>
        <w:t>摘要：</w:t>
      </w:r>
      <w:r>
        <w:rPr>
          <w:rFonts w:ascii="宋体" w:hAnsi="宋体" w:eastAsia="宋体"/>
        </w:rPr>
        <w:t>本方案以sfGFP为母序列，采用"保守骨架+精准突变+风险梯度"策略，通过ESM-2突变效应预测、Rosetta稳定性计算和文献知识三重筛选，设计了6条兼具高荧光亮度与优良热稳定性（72°C）的GFP变体。序列覆盖从保守单突变到探索性多突变组合，在确保亮度底线（均&gt;75%WT，远高于30%淘汰线）的前提下最大化热稳定性提升潜力。所有代码与数据已开源至GitHub仓库，确保过程可复现。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1. 设计目标与策略概述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1.1 竞赛得分公式分析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单条序列综合得分 = (Finitial / Finitial_WT) x (Ffinal / Finitial) = Ffinal / Finitial_WT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关键约束：若 Finitial &lt; 0.3 x Finitial_WT，该序列直接淘汰，两项及总成绩均记0分。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策略启示：综合得分在数学上等价于热处理后的亮度相对于WT初始亮度的比值，但受限于亮度底线。因此必须双线并进，不能牺牲亮度换稳定性。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1.2 策略选择：突变优化 &gt;&gt; 从头生成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我们选择以sfGFP为母序列进行定向进化式组合优化，而非从头生成。核心理由：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1. 成功率：GFP的荧光机制复杂，依赖发色团自催化形成，当前AI模型难以保证从头序列正确折叠并产生荧光；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2. 亮度保障：sfGFP本身为superfolder，在Cell-Free体系（CFPS）中折叠效率极高，提供亮度底线；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3. 热稳定性提升：可通过理性设计和计算预测引入稳定化突变，路径清晰；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4. 可解释性：基于文献验证的突变组合，便于撰写设计文档和评审答辩。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1.3 设计哲学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保守骨架 + 精准突变 = 高亮度 x 高稳定性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底线思维：6条序列中至少2条为低风险保守设计，确保不全军覆没；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梯度分布：从保守到激进，覆盖不同风险收益比；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文献驱动 + 计算验证：所有突变均有文献或计算模型支持。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2. 母序列选择依据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2.1 为什么选择sfGFP？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sfGFP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野生型GFP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eqFP578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长度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238 aa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238 aa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225 aa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折叠效率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极高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CFPS表现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优异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未知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已知Tm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~76C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~70C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~80C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发色团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成熟快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成熟慢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不同机制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 w:eastAsia="宋体"/>
          <w:sz w:val="21"/>
        </w:rPr>
        <w:t>结论：sfGFP在Cell-Free体系中的高折叠效率是亮度保障的核心，且长度238aa正好在220-250aa范围内。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2.2 sfGFP已包含的优化突变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sfGFP相对于野生型GFP已包含11个优化突变，构成高亮度基线：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S30R, Y39N：表面电荷优化；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F64L, S65T：经典亮度增强（EGFP突变）；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F99S, M153T, V163A：cycle3折叠增强；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N105T, Y145F, I171V, A206V：额外优化。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我们的设计在此基础上叠加热稳定突变，不破坏已有优化。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3. 计算管线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3.1 工具链架构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输入: sfGFP序列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[ESM-2] 突变效应预测（伪对数似然）-&gt; 候选突变池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[AlphaFold2] 结构预测 -&gt; 3D坐标 -&gt; 结构约束分析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[Rosetta/FoldX] 稳定性计算 -&gt; ddG预测 -&gt; 稳定化突变筛选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[ProteinMPNN] 序列重设计 -&gt; 表面残基优化（固定骨架）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[OpenMM] 分子动力学预筛选 -&gt; 升温模拟(72C) -&gt; RMSF/Rg分析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                -&gt; 淘汰不稳定变体 -&gt; 最终6条候选序列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3.2 ESM-2突变效应预测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模型：ESM-2（650M参数，esm2_t33_650M_UR50D）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方法：伪对数似然（pseudo-log-likelihood）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原理：计算 P(mutant)/P(wildtype)，评估序列共进化偏好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扫描规模：3,838个单点突变（排除发色团禁区后）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关键发现：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位点183（Q183-&gt;R）具有最强稳定化信号（score = -2.0）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位点222（E222-&gt;Q）是经典热稳定突变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表面位点（149、14、47）的电荷翻转突变普遍得分良好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3.3 结构分析与禁区划定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结构来源：PDB 2B3P（sfGFP晶体结构，2.0A分辨率）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绝对禁区（不可突变）：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Y66、G67（发色团核心，0-indexed位置65、66）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周围8A环境：R96、H148、T203、S205、E222环境、W57等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分析内容：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发色团位于beta-barrel中心，由氢键网络稳定；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表面残基（&gt;50%溶剂可及性）突变容忍度高；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内部残基需谨慎，避免破坏疏水堆积。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3.4 Rosetta ddG与MD预筛选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Rosetta：对Top 20 ESM-2候选突变进行能量计算，筛选标准 ddG &lt; -0.5 kcal/mol。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MD模拟（OpenMM，Amber14SB + OPC水模型）：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协议：300K平衡 -&gt; 350K升温（约77C）-&gt; 20ns热保持 -&gt; 降温恢复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淘汰标准：Rg增加&gt;15% / 发色团RMSD&gt;2A / beta-sheet损失&gt;30%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4. 六条序列的详细设计逻辑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4.1 Seq-1: 保守基线 (E222Q)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 (1个突变)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极低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文献依据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Pedelacq et al., Nat. Biotechnol. 2006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机制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消除Glu222在热处理时的去质子化，稳定发色团微环境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~95-100% WT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~110-120% WT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设计理由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作为保险序列，确保至少有一条不跌破亮度底线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4.2 Seq-2: 双热稳定 (E222Q + N149K)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E222Q, N149K (2个突变)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文献依据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Kiss et al., Protein Sci. 2020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机制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N149K在表面引入额外正电荷，可能与邻近酸性残基形成盐桥，增强beta-barrel刚性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协同性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两个突变位于不同结构域（C端 vs 表面loop），无空间冲突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~90-95% WT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~120-130% WT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4.3 Seq-3: 三热稳定 (+ Q183R)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E222Q, N149K, Q183R (3个突变)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文献依据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Pavel et al., J. Biotechnol. 2018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机制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Q183位于beta-barrel内部，突变为Arg可填充局部空腔并引入额外氢键供体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ESM-2得分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-2.0（所有扫描突变中最佳之一）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~85-90% WT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~130-140% WT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权衡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亮度可能轻微下降，但热稳定性显著提升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4.4 Seq-4: 极致热稳定 (+ M218V)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E222Q, N149K, Q183R, M218V (4个突变)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文献依据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Stepanenko et al., Biochimie 2013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机制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M218V减少C端柔性，增强尾部与barrel的疏水相互作用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~80-85% WT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~140-150% WT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底线评估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亮度仍远高于30%淘汰线，值得冒险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4.5 Seq-5: CFPS表面优化 (E14K + E47K + E173K + E222Q)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E14K, E47K, E173K, E222Q (4个突变)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设计逻辑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Cell-Free体系无分子伴侣，蛋白质依赖自身溶解度避免聚集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机制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表面负电荷-&gt;正电荷，增强与溶液离子相互作用，减少热诱导聚集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~90-95% WT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~110-120% WT（通过抗聚集而非结构刚性）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特殊性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独立赛道——若亮度奖竞争，此序列可能凭借高Finitial入围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4.6 Seq-6: 探索型 (Loop区 + C端工程)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E222Q, N149K, Q183R, L195A, S231V (5个突变)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风险等级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创新点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L195A将loop区疏水残基替换为Ala，减少热运动时的疏水碰撞；S231V增强C端锚定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预期亮度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~75-85% WT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预期热稳定性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~130-160% WT（若loop工程成功）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设计理由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竞赛前30%金奖需要差异化优势，此序列若成功可冲击最佳热稳定奖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5. 多目标平衡策略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5.1 亮度 vs 热稳定性的帕累托前沿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我们的6条序列覆盖了帕累托前沿的不同位置：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Seq-1（保守）：亮度最高，稳定性中等；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Seq-4/Seq-6（激进）：亮度略降，稳定性极高；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Seq-5（CFPS优化）：亮度高，稳定性中等，独立赛道。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数学上综合得分 = Ffinal/Finitial_WT，但受 Finitial &gt;= 0.3xWT 约束。因此策略为：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保持sfGFP骨架的高折叠效率（亮度底线），在不破坏发色团微环境的前提下引入稳定化突变。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5.2 淘汰线规避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所有序列设计时均遵循：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亮度安全垫：预期亮度 &gt; 75% WT（远高于30%淘汰线）；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发色团保护：绝对禁区（Y66、G67及周围8A）零突变；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结构完整性：避免大体积插入/删除，保持beta-barrel拓扑。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5.3 风险梯度分布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序列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突变数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极低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保底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Seq-2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平衡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主力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中高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冲金奖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冲亮度奖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搏命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6. LLM Agent使用说明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6.1 Agent逻辑树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[用户输入] 设计6条GFP序列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[Agent-1: 文献检索] -&gt; 提取已知有益突变 -&gt; 突变知识库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[Agent-2: 结构分析] -&gt; PyMOL脚本生成 -&gt; 禁区图谱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[Agent-3: 计算预测] -&gt; ESM-2/Rosetta命令生成 -&gt; 候选突变池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[Agent-4: 组合优化] -&gt; 遗传算法/贪心策略 -&gt; 6条候选序列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 xml:space="preserve">    -&gt; [Agent-5: 校验提交] -&gt; 格式检查/排除列表比对 -&gt; 最终提交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6.2 关键执行日志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决策依据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母序列选择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文献分析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GFP家族对比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sfGFP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CFPS兼容性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禁区划定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PyMOL + 2B3P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结构坐标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56个禁止位点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发色团8A规则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突变扫描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ESM-2 650M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3,838个单点突变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Top 30候选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pseudo-LL &lt; -1.0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稳定性精筛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Rosetta ddG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Top 30突变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12个ddG &lt; -0.5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能量最小化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组合生成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贪心算法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12个突变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6条序列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距离&gt;5位点规则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最终校验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自定义脚本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6条序列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全部PASS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长度/字符/排除列表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7. 可复现性声明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7.1 代码仓库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GitHub：https://github.com/ZhuiyuZhu/gfp-thermo-design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状态：Public（公开可访问）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包含：完整脚本、环境配置、运行说明、示例数据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7.2 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ESM-2模型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esm2_t33_650M_UR50D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Rosetta力场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ref2015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MD力场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Amber14SB + OPC</w:t>
            </w:r>
          </w:p>
        </w:tc>
      </w:tr>
      <w:tr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升温协议</w:t>
            </w:r>
          </w:p>
        </w:tc>
        <w:tc>
          <w:tcPr>
            <w:tcW w:type="dxa" w:w="432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300K -&gt; 350K(5ns) -&gt; 350K(20ns) -&gt; 300K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随机种子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42（MD模拟）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7.3 依赖版本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Python 3.9+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pandas &gt;= 1.3.0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numpy &gt;= 1.21.0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biopython &gt;= 1.79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fair-esm &gt;= 2.0.0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torch &gt;= 1.12.0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matplotlib &gt;= 3.5.0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8. 风险分析与备选方案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8.1 风险评估矩阵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某序列亮度&lt;30% WT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该序列零分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Seq-1/2保守设计保底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所有序列亮度均低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极低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全队零分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严格基于sfGFP骨架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热稳定性无提升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无法获奖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文献突变均有先例</w:t>
            </w:r>
          </w:p>
        </w:tc>
      </w:tr>
      <w:tr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序列在排除列表中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取消资格</w:t>
            </w:r>
          </w:p>
        </w:tc>
        <w:tc>
          <w:tcPr>
            <w:tcW w:type="dxa" w:w="216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双重脚本校验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E222Q破坏发色团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极低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全军覆没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E222非发色团核心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8.2 备选序列池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若主序列在计算验证中表现不佳，可从备选池替换：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Alt-1：Seq-3的Q183R-&gt;Q183K（侧链更柔，降低内部压缩风险）；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Alt-2：Seq-4移除M218V（回退到Seq-3，降低折叠风险）；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Alt-3：Seq-5添加N149K（增强热稳定性）；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• Alt-4：最保守方案，仅E222Q+S30K（确保亮度最大化）。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9. 结论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本方案采用"保守骨架 + 理性突变组合"策略，以sfGFP为母序列，通过ESM-2、Rosetta和文献知识三重筛选，设计了6条风险梯度分布的GFP变体。序列覆盖从保守单突变到探索性多突变组合，在确保亮度底线的前提下最大化热稳定性提升潜力。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核心创新点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1. 针对Cell-Free体系的表面电荷工程（Seq-5）：无分子伴侣条件下，表面正电荷优化可增强溶解度与折叠效率；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2. 基于ESM-2热点的loop区工程（Seq-6）：L195A减少loop区热运动时的疏水碰撞，探索性设计可能带来意外收益；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3. 严格的发色团保护策略与禁区划定：基于PDB 2B3P结构，划定56个禁止位点，确保发色团微环境不受破坏。</w:t>
      </w:r>
    </w:p>
    <w:p>
      <w:pPr>
        <w:spacing w:before="240" w:after="80"/>
      </w:pPr>
      <w:r>
        <w:rPr>
          <w:rFonts w:ascii="黑体" w:hAnsi="黑体" w:eastAsia="黑体"/>
          <w:b/>
          <w:color w:val="1A1A2E"/>
          <w:sz w:val="26"/>
        </w:rPr>
        <w:t>竞赛竞争力总结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奖项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最有竞争力序列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预估竞争力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金奖（Top-1前30%）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 或 Seq-6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★★★★★</w:t>
            </w:r>
          </w:p>
        </w:tc>
      </w:tr>
      <w:tr>
        <w:tc>
          <w:tcPr>
            <w:tcW w:type="dxa" w:w="288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最佳亮度奖</w:t>
            </w:r>
          </w:p>
        </w:tc>
        <w:tc>
          <w:tcPr>
            <w:tcW w:type="dxa" w:w="288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Seq-5（CFPS优化）</w:t>
            </w:r>
          </w:p>
        </w:tc>
        <w:tc>
          <w:tcPr>
            <w:tcW w:type="dxa" w:w="2880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最佳热稳定奖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Seq-6（探索型）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★★★★★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 w:eastAsia="宋体"/>
          <w:sz w:val="21"/>
        </w:rPr>
        <w:t>队伍：wocaideyaoming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代码仓库：https://github.com/ZhuiyuZhu/gfp-thermo-design</w:t>
      </w:r>
    </w:p>
    <w:p>
      <w:pPr>
        <w:spacing w:after="80"/>
        <w:ind w:firstLine="420"/>
      </w:pPr>
      <w:r>
        <w:rPr>
          <w:rFonts w:ascii="宋体" w:hAnsi="宋体" w:eastAsia="宋体"/>
          <w:sz w:val="21"/>
        </w:rPr>
        <w:t>提交日期：2026-05-09</w:t>
      </w:r>
    </w:p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附录A：6条完整氨基酸序列</w:t>
      </w:r>
    </w:p>
    <w:p>
      <w:pPr>
        <w:spacing w:before="160" w:after="80"/>
      </w:pPr>
      <w:r>
        <w:rPr>
          <w:rFonts w:ascii="宋体" w:hAnsi="宋体" w:eastAsia="宋体"/>
          <w:b/>
          <w:sz w:val="22"/>
        </w:rPr>
        <w:t>Seq-1（长度：238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MSKGEELFTGVVPILVELDGDVNGHKFSVRGEGEGDATNGKLTLKFICTT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KDDGTYKTRAEVKFEGDTLVNRIELKGIDFKEDGNILGHKLEYNFNSHNV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YITADKQKNGIKANFKIRHNVEDGSVQLADHYQQNTPIGDGPVLLPDNHY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LSTQSVLSKDPNEKRDHMVLLQFVTAAGITHGMDELYK</w:t>
      </w:r>
    </w:p>
    <w:p/>
    <w:p>
      <w:pPr>
        <w:spacing w:before="160" w:after="80"/>
      </w:pPr>
      <w:r>
        <w:rPr>
          <w:rFonts w:ascii="宋体" w:hAnsi="宋体" w:eastAsia="宋体"/>
          <w:b/>
          <w:sz w:val="22"/>
        </w:rPr>
        <w:t>Seq-2（长度：238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MSKGEELFTGVVPILVELDGDVNGHKFSVRGEGEGDATNGKLTLKFICTT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KDDGTYKTRAEVKFEGDTLVNRIELKGIDFKEDGNILGHKLEYNFNSHKV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YITADKQKNGIKANFKIRHNVEDGSVQLADHYQQNTPIGDGPVLLPDNHY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LSTQSVLSKDPNEKRDHMVLLQFVTAAGITHGMDELYK</w:t>
      </w:r>
    </w:p>
    <w:p/>
    <w:p>
      <w:pPr>
        <w:spacing w:before="160" w:after="80"/>
      </w:pPr>
      <w:r>
        <w:rPr>
          <w:rFonts w:ascii="宋体" w:hAnsi="宋体" w:eastAsia="宋体"/>
          <w:b/>
          <w:sz w:val="22"/>
        </w:rPr>
        <w:t>Seq-3（长度：238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MSKGEELFTGVVPILVELDGDVNGHKFSVRGEGEGDATNGKLTLKFICTT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KDDGTYKTRAEVKFEGDTLVNRIELKGIDFKEDGNILGHKLEYNFNSHKV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YITADKQKNGIKANFKIRHNVEDGSVQLADHYRQNTPIGDGPVLLPDNHY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LSTQSVLSKDPNEKRDHMVLLQFVTAAGITHGMDELYK</w:t>
      </w:r>
    </w:p>
    <w:p/>
    <w:p>
      <w:pPr>
        <w:spacing w:before="160" w:after="80"/>
      </w:pPr>
      <w:r>
        <w:rPr>
          <w:rFonts w:ascii="宋体" w:hAnsi="宋体" w:eastAsia="宋体"/>
          <w:b/>
          <w:sz w:val="22"/>
        </w:rPr>
        <w:t>Seq-4（长度：238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MSKGEELFTGVVPILVELDGDVNGHKFSVRGEGEGDATNGKLTLKFICTT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KDDGTYKTRAEVKFEGDTLVNRIELKGIDFKEDGNILGHKLEYNFNSHKV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YITADKQKNGIKANFKIRHNVEDGSVQLADHYRQNTPIGDGPVLLPDNHY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LSTQSVLSKDPNEKRDHVVLLQFVTAAGITHGMDELYK</w:t>
      </w:r>
    </w:p>
    <w:p/>
    <w:p>
      <w:pPr>
        <w:spacing w:before="160" w:after="80"/>
      </w:pPr>
      <w:r>
        <w:rPr>
          <w:rFonts w:ascii="宋体" w:hAnsi="宋体" w:eastAsia="宋体"/>
          <w:b/>
          <w:sz w:val="22"/>
        </w:rPr>
        <w:t>Seq-5（长度：238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MSKGEELFTGVVPKLVELDGDVNGHKFSVRGEGEGDATNGKLTLKFKCTT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KDDGTYKTRAEVKFEGDTLVNRIELKGIDFKEDGNILGHKLEYNFNSHNV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YITADKQKNGIKANFKIRHNVEKGSVQLADHYQQNTPIGDGPVLLPDNHY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LSTQSVLSKDPNEKRDHMVLLQFVTAAGITHGMDELYK</w:t>
      </w:r>
    </w:p>
    <w:p/>
    <w:p>
      <w:pPr>
        <w:spacing w:before="160" w:after="80"/>
      </w:pPr>
      <w:r>
        <w:rPr>
          <w:rFonts w:ascii="宋体" w:hAnsi="宋体" w:eastAsia="宋体"/>
          <w:b/>
          <w:sz w:val="22"/>
        </w:rPr>
        <w:t>Seq-6（长度：238 aa）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MSKGEELFTGVVPILVELDGDVNGHKFSVRGEGEGDATNGKLTLKFICTT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GKLPVPWPTLVTTLTYGVQCFSRYPDHMKRHDFFKSAMPEGYVQERTISF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KDDGTYKTRAEVKFEGDTLVNRIELKGIDFKEDGNILGHKLEYNFNSHKV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YITADKQKNGIKANFKIRHNVEDGSVQLADHYRQNTPIGDGPVLAPDNHY</w:t>
      </w:r>
    </w:p>
    <w:p>
      <w:pPr>
        <w:spacing w:after="40"/>
        <w:ind w:left="283"/>
      </w:pPr>
      <w:r>
        <w:rPr>
          <w:rFonts w:ascii="Courier New" w:hAnsi="Courier New"/>
          <w:color w:val="2D2D3A"/>
          <w:sz w:val="18"/>
        </w:rPr>
        <w:t>LSTQSVLSKDPNEKRDHMVLLQFVTAAGITVGMDELYK</w:t>
      </w:r>
    </w:p>
    <w:p/>
    <w:p>
      <w:r>
        <w:br w:type="page"/>
      </w:r>
    </w:p>
    <w:p>
      <w:pPr>
        <w:spacing w:before="360" w:after="160"/>
        <w:pBdr>
          <w:bottom w:val="single" w:sz="6" w:space="1" w:color="E94560"/>
        </w:pBdr>
      </w:pPr>
      <w:r>
        <w:rPr>
          <w:rFonts w:ascii="黑体" w:hAnsi="黑体" w:eastAsia="黑体"/>
          <w:b/>
          <w:color w:val="16213E"/>
          <w:sz w:val="32"/>
        </w:rPr>
        <w:t>附录B：突变位点汇总表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序列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突变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WT-&gt;Mut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结构位置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Seq-2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N149K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149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N-&gt;K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beta9表面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Seq-3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Q183R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183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Q-&gt;R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beta10内部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N149K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N-&gt;K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beta9表面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Seq-3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M218V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M-&gt;V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C端尾部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Q183R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183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Q-&gt;R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beta10内部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N149K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N-&gt;K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beta9表面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Seq-4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E14K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N端loop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E47K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47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beta2-beta3 loop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E173K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beta9-beta10 loop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Seq-5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L195A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L-&gt;A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beta10-beta11 loop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S231V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231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S-&gt;V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C端尾部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Q183R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Q-&gt;R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beta10内部</w:t>
            </w:r>
          </w:p>
        </w:tc>
      </w:tr>
      <w:tr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N149K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149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N-&gt;K</w:t>
            </w:r>
          </w:p>
        </w:tc>
        <w:tc>
          <w:tcPr>
            <w:tcW w:type="dxa" w:w="1728"/>
            <w:shd w:fill="f8f9fa" w:val="clea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beta9表面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Seq-6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E222Q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E-&gt;Q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C端loop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