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Теорема о прогнозе разнообразия: почему толпа бывает умнее эксперта</w:t>
      </w:r>
    </w:p>
    <w:p>
      <w:pPr>
        <w:pStyle w:val="Subtitle"/>
      </w:pPr>
      <w:r>
        <w:t xml:space="preserve">Доклад по дисциплине «Математическое моделирование»</w:t>
      </w:r>
    </w:p>
    <w:p>
      <w:pPr>
        <w:pStyle w:val="Author"/>
      </w:pPr>
      <w:r>
        <w:t xml:space="preserve">Жукова Арина Александровна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 доклада — разобрать теорему о прогнозе разнообразия (Diversity Prediction Theorem), проследить её исторические корни, сформулировать математическую суть и показать на примерах, почему коллективные решения часто оказываются точнее индивидуальных, даже если в группе нет выдающихся экспертов.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В рамках доклада необходимо:</w:t>
      </w:r>
    </w:p>
    <w:p>
      <w:pPr>
        <w:pStyle w:val="Compact"/>
        <w:numPr>
          <w:ilvl w:val="0"/>
          <w:numId w:val="1001"/>
        </w:numPr>
      </w:pPr>
      <w:r>
        <w:t xml:space="preserve">кратко осветить историю вопроса: от Гальтона до Пейджа;</w:t>
      </w:r>
    </w:p>
    <w:p>
      <w:pPr>
        <w:pStyle w:val="Compact"/>
        <w:numPr>
          <w:ilvl w:val="0"/>
          <w:numId w:val="1001"/>
        </w:numPr>
      </w:pPr>
      <w:r>
        <w:t xml:space="preserve">объяснить теорему о прогнозе разнообразия «на пальцах» и формально;</w:t>
      </w:r>
    </w:p>
    <w:p>
      <w:pPr>
        <w:pStyle w:val="Compact"/>
        <w:numPr>
          <w:ilvl w:val="0"/>
          <w:numId w:val="1001"/>
        </w:numPr>
      </w:pPr>
      <w:r>
        <w:t xml:space="preserve">привести простой численный пример (см.</w:t>
      </w:r>
      <w:r>
        <w:t xml:space="preserve"> </w:t>
      </w:r>
      <w:hyperlink w:anchor="tbl-example">
        <w:r>
          <w:rPr>
            <w:rStyle w:val="Hyperlink"/>
          </w:rPr>
          <w:t xml:space="preserve">табл. 1</w:t>
        </w:r>
      </w:hyperlink>
      <w:r>
        <w:t xml:space="preserve">);</w:t>
      </w:r>
    </w:p>
    <w:p>
      <w:pPr>
        <w:pStyle w:val="Compact"/>
        <w:numPr>
          <w:ilvl w:val="0"/>
          <w:numId w:val="1001"/>
        </w:numPr>
      </w:pPr>
      <w:r>
        <w:t xml:space="preserve">обсудить, при каких условиях коллективный разум действительно работает (см.</w:t>
      </w:r>
      <w:r>
        <w:t xml:space="preserve"> </w:t>
      </w:r>
      <w:r>
        <w:t xml:space="preserve">[1,2]</w:t>
      </w:r>
      <w:r>
        <w:t xml:space="preserve">);</w:t>
      </w:r>
    </w:p>
    <w:p>
      <w:pPr>
        <w:pStyle w:val="Compact"/>
        <w:numPr>
          <w:ilvl w:val="0"/>
          <w:numId w:val="1001"/>
        </w:numPr>
      </w:pPr>
      <w:r>
        <w:t xml:space="preserve">сделать выводы о практической значимости для управления и аналитики.</w:t>
      </w:r>
    </w:p>
    <w:bookmarkEnd w:id="21"/>
    <w:bookmarkStart w:id="25" w:name="теоретическое-введение"/>
    <w:p>
      <w:pPr>
        <w:pStyle w:val="Heading1"/>
      </w:pPr>
      <w:r>
        <w:t xml:space="preserve">3. Теоретическое введение</w:t>
      </w:r>
    </w:p>
    <w:bookmarkStart w:id="22" w:name="Xc37f9795b69e204be4c82bcc2b85c1d8cb3c507"/>
    <w:p>
      <w:pPr>
        <w:pStyle w:val="Heading2"/>
      </w:pPr>
      <w:r>
        <w:t xml:space="preserve">3.1 Исторический контекст: как толпа стала «мудрой»</w:t>
      </w:r>
    </w:p>
    <w:p>
      <w:pPr>
        <w:pStyle w:val="FirstParagraph"/>
      </w:pPr>
      <w:r>
        <w:t xml:space="preserve">Идея о том, что коллектив может быть умнее отдельного специалиста, витала в воздухе давно, но научное оформление она получила чуть больше ста лет назад благодаря случаю на сельскохозяйственной выставке.</w:t>
      </w:r>
    </w:p>
    <w:p>
      <w:pPr>
        <w:pStyle w:val="BodyText"/>
      </w:pPr>
      <w:r>
        <w:rPr>
          <w:b/>
          <w:bCs/>
        </w:rPr>
        <w:t xml:space="preserve">Фрэнсис Гальтон и бык на ярмарке (1906 год).</w:t>
      </w:r>
      <w:r>
        <w:t xml:space="preserve"> </w:t>
      </w:r>
      <w:r>
        <w:t xml:space="preserve">Английский учёный-энциклопедист, антрополог и статистик сэр Фрэнсис Гальтон посетил выставку домашнего скота в Плимуте. Там проводился конкурс: посетителям предлагали угадать вес выставленного быка. Гальтон, будучи человеком скептического склада и высокого мнения об экспертах, попросил у организаторов 787 заполненных бюллетеней. Он хотел доказать, что «простая толпа» глупа и её среднее мнение будет далеко от истины.</w:t>
      </w:r>
    </w:p>
    <w:p>
      <w:pPr>
        <w:pStyle w:val="BodyText"/>
      </w:pPr>
      <w:r>
        <w:t xml:space="preserve">Он вычислил среднее арифметическое всех предположений. Истинный вес быка составлял 1198 фунтов.</w:t>
      </w:r>
      <w:r>
        <w:t xml:space="preserve"> </w:t>
      </w:r>
      <w:r>
        <w:rPr>
          <w:b/>
          <w:bCs/>
        </w:rPr>
        <w:t xml:space="preserve">Среднее толпы оказалось 1197 фунтов.</w:t>
      </w:r>
      <w:r>
        <w:t xml:space="preserve"> </w:t>
      </w:r>
      <w:r>
        <w:t xml:space="preserve">Ошибка составила менее 0.1% — толпа побила не только большинство индивидуальных участников, но и оценки скотоводов-экспертов. Гальтон, вопреки собственным ожиданиям, опубликовал статью «Глас народа» (Vox Populi, 1907), где признал коллективный разум статистическим феноменом</w:t>
      </w:r>
      <w:r>
        <w:t xml:space="preserve"> </w:t>
      </w:r>
      <w:r>
        <w:t xml:space="preserve">[3]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Развитие идеи в XXI веке.</w:t>
      </w:r>
      <w:r>
        <w:t xml:space="preserve"> </w:t>
      </w:r>
      <w:r>
        <w:t xml:space="preserve">Феномен оставался скорее эмпирическим наблюдением, пока в 2000-х годах профессор Мичиганского университета</w:t>
      </w:r>
      <w:r>
        <w:t xml:space="preserve"> </w:t>
      </w:r>
      <w:r>
        <w:rPr>
          <w:b/>
          <w:bCs/>
        </w:rPr>
        <w:t xml:space="preserve">Скотт Пейдж</w:t>
      </w:r>
      <w:r>
        <w:t xml:space="preserve"> </w:t>
      </w:r>
      <w:r>
        <w:t xml:space="preserve">не придал ему строгую математическую форму. В своих работах</w:t>
      </w:r>
      <w:r>
        <w:t xml:space="preserve"> </w:t>
      </w:r>
      <w:r>
        <w:t xml:space="preserve">[4]</w:t>
      </w:r>
      <w:r>
        <w:t xml:space="preserve"> </w:t>
      </w:r>
      <w:r>
        <w:t xml:space="preserve">он вывел тождество, известное сегодня как</w:t>
      </w:r>
      <w:r>
        <w:t xml:space="preserve"> </w:t>
      </w:r>
      <w:r>
        <w:rPr>
          <w:i/>
          <w:iCs/>
        </w:rPr>
        <w:t xml:space="preserve">теорема о прогнозе разнообразия</w:t>
      </w:r>
      <w:r>
        <w:t xml:space="preserve">. Параллельно журналист Джеймс Шуровьески обобщил множество кейсов — от угадывания количества драже в банке до поиска пропавшей подлодки — в книге «Мудрость толпы»</w:t>
      </w:r>
      <w:r>
        <w:t xml:space="preserve"> </w:t>
      </w:r>
      <w:r>
        <w:t xml:space="preserve">[2]</w:t>
      </w:r>
      <w:r>
        <w:t xml:space="preserve">, выделив четыре условия «умной толпы»: разнообразие, независимость, децентрализация и агрегация.</w:t>
      </w:r>
    </w:p>
    <w:p>
      <w:pPr>
        <w:pStyle w:val="BodyText"/>
      </w:pPr>
      <w:r>
        <w:t xml:space="preserve">Таким образом, теорема Пейджа закрыла вопрос «почему это работает», сведя его к простой алгебре.</w:t>
      </w:r>
    </w:p>
    <w:bookmarkEnd w:id="22"/>
    <w:bookmarkStart w:id="23" w:name="интуиция-и-формальная-запись"/>
    <w:p>
      <w:pPr>
        <w:pStyle w:val="Heading2"/>
      </w:pPr>
      <w:r>
        <w:t xml:space="preserve">3.2 Интуиция и формальная запись</w:t>
      </w:r>
    </w:p>
    <w:p>
      <w:pPr>
        <w:pStyle w:val="FirstParagraph"/>
      </w:pPr>
      <w:r>
        <w:rPr>
          <w:b/>
          <w:bCs/>
        </w:rPr>
        <w:t xml:space="preserve">Интуиция:</w:t>
      </w:r>
      <w:r>
        <w:t xml:space="preserve"> </w:t>
      </w:r>
      <w:r>
        <w:t xml:space="preserve">ошибка коллективного прогноза равна средней индивидуальной ошибке минус разнообразие прогнозов. Разнообразие выступает как «скидка» на коллективную ошибку.</w:t>
      </w:r>
    </w:p>
    <w:p>
      <w:pPr>
        <w:pStyle w:val="BodyText"/>
      </w:pPr>
      <w:r>
        <w:rPr>
          <w:b/>
          <w:bCs/>
        </w:rPr>
        <w:t xml:space="preserve">Формальная запись.</w:t>
      </w:r>
      <w:r>
        <w:t xml:space="preserve"> </w:t>
      </w:r>
      <w:r>
        <w:t xml:space="preserve">Пусть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человек независимо дают численные прогнозы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относительно истинного значения</w:t>
      </w:r>
      <w:r>
        <w:t xml:space="preserve"> </w:t>
      </w:r>
      <m:oMath>
        <m:r>
          <m:t>μ</m:t>
        </m:r>
      </m:oMath>
      <w:r>
        <w:t xml:space="preserve">. Обозначим коллективный прогноз как среднее арифметическое: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Тогда выполняется тождество: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t> </m:t>
          </m:r>
          <m:r>
            <m:rPr>
              <m:sty m:val="p"/>
            </m:rPr>
            <m:t>−</m:t>
          </m:r>
          <m:r>
            <m:t> 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</m:e>
                <m:sup>
                  <m:r>
                    <m:t>2</m:t>
                  </m:r>
                </m:sup>
              </m:sSup>
            </m:e>
          </m:nary>
        </m:oMath>
      </m:oMathPara>
    </w:p>
    <w:p>
      <w:pPr>
        <w:pStyle w:val="FirstParagraph"/>
      </w:pPr>
      <w:r>
        <w:t xml:space="preserve">Где:</w:t>
      </w:r>
    </w:p>
    <w:p>
      <w:pPr>
        <w:pStyle w:val="Compact"/>
        <w:numPr>
          <w:ilvl w:val="0"/>
          <w:numId w:val="1002"/>
        </w:numPr>
      </w:pP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</m:e>
          <m:sup>
            <m:r>
              <m:t>2</m:t>
            </m:r>
          </m:sup>
        </m:sSup>
      </m:oMath>
      <w:r>
        <w:t xml:space="preserve"> </w:t>
      </w:r>
      <w:r>
        <w:t xml:space="preserve">— квадрат ошибки толпы,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∑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</m:e>
          <m:sup>
            <m:r>
              <m:t>2</m:t>
            </m:r>
          </m:sup>
        </m:sSup>
      </m:oMath>
      <w:r>
        <w:t xml:space="preserve"> </w:t>
      </w:r>
      <w:r>
        <w:t xml:space="preserve">— средняя индивидуальная ошибка,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∑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−</m:t>
                </m:r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</m:d>
          </m:e>
          <m:sup>
            <m:r>
              <m:t>2</m:t>
            </m:r>
          </m:sup>
        </m:sSup>
      </m:oMath>
      <w:r>
        <w:t xml:space="preserve"> </w:t>
      </w:r>
      <w:r>
        <w:t xml:space="preserve">— дисперсия (разнообразие) прогнозов.</w:t>
      </w:r>
    </w:p>
    <w:p>
      <w:pPr>
        <w:pStyle w:val="FirstParagraph"/>
      </w:pPr>
      <w:r>
        <w:rPr>
          <w:b/>
          <w:bCs/>
        </w:rPr>
        <w:t xml:space="preserve">Ключевой вывод:</w:t>
      </w:r>
      <w:r>
        <w:t xml:space="preserve"> </w:t>
      </w:r>
      <w:r>
        <w:t xml:space="preserve">при фиксированной средней ошибке участников, чем больше разброс их мнений (дисперсия), тем меньше ошибка группы.</w:t>
      </w:r>
    </w:p>
    <w:bookmarkEnd w:id="23"/>
    <w:bookmarkStart w:id="24" w:name="условия-когда-это-работает-на-практике"/>
    <w:p>
      <w:pPr>
        <w:pStyle w:val="Heading2"/>
      </w:pPr>
      <w:r>
        <w:t xml:space="preserve">3.3 Условия, когда это работает на практике</w:t>
      </w:r>
    </w:p>
    <w:p>
      <w:pPr>
        <w:pStyle w:val="FirstParagraph"/>
      </w:pPr>
      <w:r>
        <w:t xml:space="preserve">Тождество истинно всегда, но чтобы разнообразие действительно приносило пользу, а не становилось источником хаоса, требуются три институциональных условия: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Независимость</w:t>
      </w:r>
      <w:r>
        <w:t xml:space="preserve"> </w:t>
      </w:r>
      <w:r>
        <w:t xml:space="preserve">— люди не подстраиваются под мнение друг друга.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Децентрализация</w:t>
      </w:r>
      <w:r>
        <w:t xml:space="preserve"> </w:t>
      </w:r>
      <w:r>
        <w:t xml:space="preserve">— каждый опирается на собственные знания и опыт.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Агрегация</w:t>
      </w:r>
      <w:r>
        <w:t xml:space="preserve"> </w:t>
      </w:r>
      <w:r>
        <w:t xml:space="preserve">— существует механизм сбора и усреднения частных оценок.</w:t>
      </w:r>
    </w:p>
    <w:bookmarkEnd w:id="24"/>
    <w:bookmarkEnd w:id="25"/>
    <w:bookmarkStart w:id="31" w:name="выполнение-работы-численный-эксперимент"/>
    <w:p>
      <w:pPr>
        <w:pStyle w:val="Heading1"/>
      </w:pPr>
      <w:r>
        <w:t xml:space="preserve">4. Выполнение работы (численный эксперимент)</w:t>
      </w:r>
    </w:p>
    <w:p>
      <w:pPr>
        <w:pStyle w:val="FirstParagraph"/>
      </w:pPr>
      <w:r>
        <w:t xml:space="preserve">Представим, что мы просим четырех студентов угадать температуру в аудитории (истина: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22.0</m:t>
        </m:r>
      </m:oMath>
      <w:r>
        <w:t xml:space="preserve"> </w:t>
      </w:r>
      <w:r>
        <w:t xml:space="preserve">°C). Студенты называют: 20, 21, 23, 24. Их оценки и расчёты приведены в таблице.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tbl-examp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Таблица 1: Пример коллективного прогноза температуры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783"/>
              <w:gridCol w:w="1218"/>
              <w:gridCol w:w="2088"/>
              <w:gridCol w:w="3829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Студент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Прогноз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Ошибка</w:t>
                  </w:r>
                  <w:r>
                    <w:t xml:space="preserve"> </w:t>
                  </w:r>
                  <m:oMath>
                    <m:sSup>
                      <m:e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μ</m:t>
                            </m:r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Отклонение от среднего</w:t>
                  </w:r>
                  <w:r>
                    <w:t xml:space="preserve"> </w:t>
                  </w:r>
                  <m:oMath>
                    <m:sSup>
                      <m:e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4.0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4.0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1.0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1.0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1.0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1.0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4.0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4.0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Среднее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22.0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2.5</w:t>
                  </w:r>
                  <w:r>
                    <w:t xml:space="preserve"> </w:t>
                  </w:r>
                  <w:r>
                    <w:t xml:space="preserve">(средняя инд. ошибка)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2.5</w:t>
                  </w:r>
                  <w:r>
                    <w:t xml:space="preserve"> </w:t>
                  </w:r>
                  <w:r>
                    <w:t xml:space="preserve">(разнообразие)</w:t>
                  </w:r>
                </w:p>
              </w:tc>
            </w:tr>
          </w:tbl>
          <w:bookmarkEnd w:id="26"/>
          <w:p/>
        </w:tc>
      </w:tr>
    </w:tbl>
    <w:p>
      <w:pPr>
        <w:pStyle w:val="BodyText"/>
      </w:pPr>
      <w:r>
        <w:t xml:space="preserve">Подставляем в теорему:</w:t>
      </w:r>
    </w:p>
    <w:p>
      <w:pPr>
        <w:pStyle w:val="Compact"/>
        <w:numPr>
          <w:ilvl w:val="0"/>
          <w:numId w:val="1004"/>
        </w:numPr>
      </w:pPr>
      <w:r>
        <w:t xml:space="preserve">Ошибка толпы:</w:t>
      </w:r>
      <w:r>
        <w:t xml:space="preserve">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22</m:t>
                </m:r>
                <m:r>
                  <m:rPr>
                    <m:sty m:val="p"/>
                  </m:rPr>
                  <m:t>−</m:t>
                </m:r>
                <m:r>
                  <m:t>22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</w:p>
    <w:p>
      <w:pPr>
        <w:pStyle w:val="Compact"/>
        <w:numPr>
          <w:ilvl w:val="0"/>
          <w:numId w:val="1004"/>
        </w:numPr>
      </w:pPr>
      <w:r>
        <w:t xml:space="preserve">Проверка тождества:</w:t>
      </w:r>
      <w:r>
        <w:t xml:space="preserve"> </w:t>
      </w:r>
      <m:oMath>
        <m:r>
          <m:t>2.5</m:t>
        </m:r>
        <m:r>
          <m:rPr>
            <m:sty m:val="p"/>
          </m:rPr>
          <m:t>−</m:t>
        </m:r>
        <m:r>
          <m:t>2.5</m:t>
        </m:r>
        <m:r>
          <m:rPr>
            <m:sty m:val="p"/>
          </m:rPr>
          <m:t>=</m:t>
        </m:r>
        <m:r>
          <m:t>0</m:t>
        </m:r>
      </m:oMath>
    </w:p>
    <w:p>
      <w:pPr>
        <w:pStyle w:val="FirstParagraph"/>
      </w:pPr>
      <w:r>
        <w:rPr>
          <w:b/>
          <w:bCs/>
        </w:rPr>
        <w:t xml:space="preserve">Интерпретация:</w:t>
      </w:r>
      <w:r>
        <w:t xml:space="preserve"> </w:t>
      </w:r>
      <w:r>
        <w:t xml:space="preserve">Ни один студент не угадал точно (ошибки 4, 1, 1, 4), но их среднее (22.0) совпало с истиной. Разнообразие «съело» все ошибки. Если бы все сказали, например, 23, ошибка группы была бы 1.0 и не скомпенсировалась бы.</w:t>
      </w:r>
    </w:p>
    <w:p>
      <w:pPr>
        <w:pStyle w:val="BodyText"/>
      </w:pPr>
      <w:r>
        <w:t xml:space="preserve">Иллюстрация того, как смещённые, но разнонаправленные прогнозы дают точный центр, показана на</w:t>
      </w:r>
      <w:r>
        <w:t xml:space="preserve"> </w:t>
      </w:r>
      <w:hyperlink w:anchor="fig-diversity">
        <w:r>
          <w:rPr>
            <w:rStyle w:val="Hyperlink"/>
          </w:rPr>
          <w:t xml:space="preserve">рис. 1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diversity"/>
          <w:p>
            <w:pPr>
              <w:pStyle w:val="Compact"/>
              <w:jc w:val="center"/>
            </w:pPr>
            <w:r>
              <w:drawing>
                <wp:inline>
                  <wp:extent cx="4267200" cy="2114164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/diversity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21141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Разнообразие прогнозов компенсирует индивидуальные ошибки</w:t>
            </w:r>
          </w:p>
          <w:bookmarkEnd w:id="30"/>
        </w:tc>
      </w:tr>
    </w:tbl>
    <w:bookmarkEnd w:id="31"/>
    <w:bookmarkStart w:id="32" w:name="выводы"/>
    <w:p>
      <w:pPr>
        <w:pStyle w:val="Heading1"/>
      </w:pPr>
      <w:r>
        <w:t xml:space="preserve">5. Выводы</w:t>
      </w:r>
    </w:p>
    <w:p>
      <w:pPr>
        <w:pStyle w:val="Compact"/>
        <w:numPr>
          <w:ilvl w:val="0"/>
          <w:numId w:val="1005"/>
        </w:numPr>
      </w:pPr>
      <w:r>
        <w:t xml:space="preserve">Теорема о прогнозе разнообразия имеет как минимум вековую эмпирическую историю (опыт Гальтона) и строгое математическое обоснование (тождество Пейджа).</w:t>
      </w:r>
    </w:p>
    <w:p>
      <w:pPr>
        <w:pStyle w:val="Compact"/>
        <w:numPr>
          <w:ilvl w:val="0"/>
          <w:numId w:val="1005"/>
        </w:numPr>
      </w:pPr>
      <w:r>
        <w:t xml:space="preserve">Это не метафора, а алгебраический закон: ошибка группы = средняя ошибка – разнообразие.</w:t>
      </w:r>
    </w:p>
    <w:p>
      <w:pPr>
        <w:pStyle w:val="Compact"/>
        <w:numPr>
          <w:ilvl w:val="0"/>
          <w:numId w:val="1005"/>
        </w:numPr>
      </w:pPr>
      <w:r>
        <w:t xml:space="preserve">Разнообразие мнений так же важно для точности, как и компетентность. «Умная толпа» всегда лучше «толпы клонов».</w:t>
      </w:r>
    </w:p>
    <w:p>
      <w:pPr>
        <w:pStyle w:val="Compact"/>
        <w:numPr>
          <w:ilvl w:val="0"/>
          <w:numId w:val="1005"/>
        </w:numPr>
      </w:pPr>
      <w:r>
        <w:t xml:space="preserve">Практический рецепт: в менеджменте, прогнозировании и экспертных оценках необходимо сознательно культивировать когнитивное разнообразие, а не собирать людей с одинаковым бэкграундом.</w:t>
      </w:r>
    </w:p>
    <w:bookmarkEnd w:id="32"/>
    <w:bookmarkStart w:id="39" w:name="список-литературы"/>
    <w:p>
      <w:pPr>
        <w:pStyle w:val="Heading1"/>
      </w:pPr>
      <w:r>
        <w:t xml:space="preserve">Список литературы</w:t>
      </w:r>
    </w:p>
    <w:bookmarkStart w:id="38" w:name="refs"/>
    <w:bookmarkStart w:id="33" w:name="ref-scott_page_diversity_2007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Page S. E. The Difference: How the Power of Diversity Creates Better Groups, Firms, Schools, and Societies. Princeton, NJ: Princeton University Press, 2007.</w:t>
      </w:r>
    </w:p>
    <w:bookmarkEnd w:id="33"/>
    <w:bookmarkStart w:id="34" w:name="ref-surowiecki_wisdom_2005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Surowiecki J. The Wisdom of Crowds. New York: Anchor Books, 2005.</w:t>
      </w:r>
    </w:p>
    <w:bookmarkEnd w:id="34"/>
    <w:bookmarkStart w:id="36" w:name="ref-galton_vox_1907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Galton F.</w:t>
      </w:r>
      <w:r>
        <w:t xml:space="preserve"> </w:t>
      </w:r>
      <w:hyperlink r:id="rId35">
        <w:r>
          <w:rPr>
            <w:rStyle w:val="Hyperlink"/>
          </w:rPr>
          <w:t xml:space="preserve">Vox Populi</w:t>
        </w:r>
      </w:hyperlink>
      <w:r>
        <w:t xml:space="preserve"> </w:t>
      </w:r>
      <w:r>
        <w:t xml:space="preserve">// Nature. 1907. Т. 75, № 1949. С. 450–451.</w:t>
      </w:r>
    </w:p>
    <w:bookmarkEnd w:id="36"/>
    <w:bookmarkStart w:id="37" w:name="ref-scott_page_difference_2008"/>
    <w:p>
      <w:pPr>
        <w:pStyle w:val="Bibliography"/>
      </w:pPr>
      <w:r>
        <w:t xml:space="preserve">4.</w:t>
      </w:r>
      <w:r>
        <w:t xml:space="preserve"> </w:t>
      </w:r>
      <w:r>
        <w:t xml:space="preserve">	</w:t>
      </w:r>
      <w:r>
        <w:t xml:space="preserve">Page S. E. The Difference: How the Power of Diversity Creates Better Groups, Firms, Schools, and Societies // Princeton University Press. 2008.</w:t>
      </w:r>
    </w:p>
    <w:bookmarkEnd w:id="37"/>
    <w:bookmarkEnd w:id="38"/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7" Target="media/rId27.png" /><Relationship Type="http://schemas.openxmlformats.org/officeDocument/2006/relationships/hyperlink" Id="rId35" Target="https://doi.org/10.1038/075450a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5" Target="https://doi.org/10.1038/075450a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Теорема о прогнозе разнообразия: почему толпа бывает умнее эксперта</dc:title>
  <dc:creator>Жукова Арина Александровна</dc:creator>
  <dc:language>ru-RU</dc:language>
  <cp:keywords/>
  <dcterms:created xsi:type="dcterms:W3CDTF">2026-05-01T16:00:49Z</dcterms:created>
  <dcterms:modified xsi:type="dcterms:W3CDTF">2026-05-01T16:00:49Z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Доклад по дисциплине «Математическое моделирование»</vt:lpwstr>
  </property>
  <property fmtid="{D5CDD505-2E9C-101B-9397-08002B2CF9AE}" pid="16" name="toc-title">
    <vt:lpwstr>Содержание</vt:lpwstr>
  </property>
</Properties>
</file>