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5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неравновесной агрегации: диффузионно-ограниченная агрегация (DLA)</w:t>
      </w:r>
    </w:p>
    <w:p>
      <w:pPr>
        <w:pStyle w:val="Subtitle"/>
      </w:pPr>
      <w:r>
        <w:t xml:space="preserve">Этап 1: Модель. Презентация по научной проблеме</w:t>
      </w:r>
    </w:p>
    <w:p>
      <w:pPr>
        <w:pStyle w:val="Author"/>
      </w:pPr>
      <w:r>
        <w:t xml:space="preserve">Жукова Арина, Садова Диана, Агаев Арсений, Диденко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процесса неравновесной агрегации и его математическое моделирование. Основное внимание уделяется модели агрегации, ограниченной диффузией (Diffusion Limited Aggregation, DLA), а также методам анализа полученных структур, в частности, определению их фрактальной размерности.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теоретические основы процессов неравновесной агрегации и фрактальных структур.</w:t>
      </w:r>
    </w:p>
    <w:p>
      <w:pPr>
        <w:pStyle w:val="Compact"/>
        <w:numPr>
          <w:ilvl w:val="0"/>
          <w:numId w:val="1001"/>
        </w:numPr>
      </w:pPr>
      <w:r>
        <w:t xml:space="preserve">Разработать концептуальное описание модели DLA на квадратной решетке в соответствии с принципами, изложенными в литературе.</w:t>
      </w:r>
    </w:p>
    <w:p>
      <w:pPr>
        <w:pStyle w:val="Compact"/>
        <w:numPr>
          <w:ilvl w:val="0"/>
          <w:numId w:val="1001"/>
        </w:numPr>
      </w:pPr>
      <w:r>
        <w:t xml:space="preserve">Подготовить теоретическое введение, описывающее алгоритм модели, методы определения фрактальной размерности и примеры математических фракталов.</w:t>
      </w:r>
    </w:p>
    <w:bookmarkEnd w:id="21"/>
    <w:bookmarkStart w:id="5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7" w:name="неравновесная-агрегация-и-фракталы"/>
    <w:p>
      <w:pPr>
        <w:pStyle w:val="Heading2"/>
      </w:pPr>
      <w:r>
        <w:t xml:space="preserve">3.1 Неравновесная агрегация и фракталы</w:t>
      </w:r>
    </w:p>
    <w:p>
      <w:pPr>
        <w:pStyle w:val="FirstParagraph"/>
      </w:pPr>
      <w:r>
        <w:t xml:space="preserve">Многие физические процессы в природе характеризуются неравновесной агрегацией — необратимым слипанием частиц с образованием кластера. Примерами являются образование сажи, рост осадков при электроосаждении, формирование</w:t>
      </w:r>
      <w:r>
        <w:t xml:space="preserve"> </w:t>
      </w:r>
      <w:r>
        <w:t xml:space="preserve">“вязких пальцев”</w:t>
      </w:r>
      <w:r>
        <w:t xml:space="preserve"> </w:t>
      </w:r>
      <w:r>
        <w:t xml:space="preserve">при вытеснении нефти водой. В условиях, далеких от равновесия, когда обратный переход частиц в раствор маловероятен, вырастают не компактные, а сильно разветвленные структуры, называемые фракталами.</w:t>
      </w:r>
    </w:p>
    <w:p>
      <w:pPr>
        <w:pStyle w:val="BodyText"/>
      </w:pPr>
      <w:r>
        <w:t xml:space="preserve">Термин</w:t>
      </w:r>
      <w:r>
        <w:t xml:space="preserve"> </w:t>
      </w:r>
      <w:r>
        <w:t xml:space="preserve">“фрактал”</w:t>
      </w:r>
      <w:r>
        <w:t xml:space="preserve"> </w:t>
      </w:r>
      <w:r>
        <w:t xml:space="preserve">(от лат.</w:t>
      </w:r>
      <w:r>
        <w:t xml:space="preserve"> </w:t>
      </w:r>
      <w:r>
        <w:rPr>
          <w:i/>
          <w:iCs/>
        </w:rPr>
        <w:t xml:space="preserve">fractus</w:t>
      </w:r>
      <w:r>
        <w:t xml:space="preserve"> </w:t>
      </w:r>
      <w:r>
        <w:t xml:space="preserve">— дробный) был введен Бенуа Мандельбротом для обозначения множеств, обладающих свойством самоподобия и имеющих дробную размерность. Фрактальная размерность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является количественной характеристикой, описывающей, как масса объекта заполняет пространство. В отличие от привычных евклидовых размерностей (1 для линии, 2 для плоскости), для фракталов масса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связана с радиусом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степенным образом: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1"/>
          <w:p>
            <w:pPr>
              <w:pStyle w:val="Compact"/>
              <w:jc w:val="center"/>
            </w:pPr>
            <w:bookmarkStart w:id="25" w:name="fig-f1"/>
            <w:r>
              <w:drawing>
                <wp:inline>
                  <wp:extent cx="1232033" cy="48126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ф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033" cy="48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где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— нецелое число.</w:t>
      </w:r>
    </w:p>
    <w:p>
      <w:pPr>
        <w:pStyle w:val="BodyText"/>
      </w:pPr>
      <w:r>
        <w:t xml:space="preserve">Например, размерность кластера DLA на плоскости составляет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≈ 1.71 ± 0.02.</w:t>
      </w:r>
    </w:p>
    <w:bookmarkEnd w:id="27"/>
    <w:bookmarkStart w:id="33" w:name="Xb99e9be991d22e051af4d6bf167f9630b166a49"/>
    <w:p>
      <w:pPr>
        <w:pStyle w:val="Heading2"/>
      </w:pPr>
      <w:r>
        <w:t xml:space="preserve">3.2 Модель диффузионно-ограниченной агрегации (DLA)</w:t>
      </w:r>
    </w:p>
    <w:p>
      <w:pPr>
        <w:pStyle w:val="FirstParagraph"/>
      </w:pPr>
      <w:r>
        <w:t xml:space="preserve">Простейшей и наиболее изученной моделью неравновесной агрегации является модель DLA. В данной работе рассматривается её решеточная реализация.</w:t>
      </w:r>
    </w:p>
    <w:p>
      <w:pPr>
        <w:pStyle w:val="BodyText"/>
      </w:pPr>
      <w:r>
        <w:rPr>
          <w:b/>
          <w:bCs/>
        </w:rPr>
        <w:t xml:space="preserve">Основные принципы модели: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Среда:</w:t>
      </w:r>
      <w:r>
        <w:t xml:space="preserve"> </w:t>
      </w:r>
      <w:r>
        <w:t xml:space="preserve">Используется регулярная (например, квадратная) сетка на плоскости.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Затравка:</w:t>
      </w:r>
      <w:r>
        <w:t xml:space="preserve"> </w:t>
      </w:r>
      <w:r>
        <w:t xml:space="preserve">В центре сетки помещается одна неподвижная частица-затравка.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Генерация частиц:</w:t>
      </w:r>
      <w:r>
        <w:t xml:space="preserve"> </w:t>
      </w:r>
      <w:r>
        <w:t xml:space="preserve">На достаточном удалении от кластера (например, на окружности радиусом немного больше максимального радиуса кластера Rmax) случайным образом генерируется новая частица. Угловая координата выбирается равномерно из интервала [0, 2π]: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f2"/>
          <w:p>
            <w:pPr>
              <w:pStyle w:val="Compact"/>
              <w:jc w:val="center"/>
            </w:pPr>
            <w:bookmarkStart w:id="31" w:name="fig-f2"/>
            <w:r>
              <w:drawing>
                <wp:inline>
                  <wp:extent cx="1600200" cy="34864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ф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8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Диффузия:</w:t>
      </w:r>
      <w:r>
        <w:t xml:space="preserve"> </w:t>
      </w:r>
      <w:r>
        <w:t xml:space="preserve">Частица начинает случайное блуждание по узлам решетки. На каждом шаге она с равной вероятностью перемещается в один из четырех соседних узлов.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Агрегация (прилипание):</w:t>
      </w:r>
      <w:r>
        <w:t xml:space="preserve"> </w:t>
      </w:r>
      <w:r>
        <w:t xml:space="preserve">Если в результате блуждания частица попадает в узел, соседний с любым уже занятым узлом кластера, она останавливается и</w:t>
      </w:r>
      <w:r>
        <w:t xml:space="preserve"> </w:t>
      </w:r>
      <w:r>
        <w:t xml:space="preserve">“прилипает”</w:t>
      </w:r>
      <w:r>
        <w:t xml:space="preserve"> </w:t>
      </w:r>
      <w:r>
        <w:t xml:space="preserve">к нему, становясь частью кластера.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Удаление:</w:t>
      </w:r>
      <w:r>
        <w:t xml:space="preserve"> </w:t>
      </w:r>
      <w:r>
        <w:t xml:space="preserve">Если частица уходит далеко от кластера (например, за окружность радиусом</w:t>
      </w:r>
      <w:r>
        <w:t xml:space="preserve"> </w:t>
      </w:r>
      <w:r>
        <w:rPr>
          <w:i/>
          <w:iCs/>
        </w:rPr>
        <w:t xml:space="preserve">2Rmax</w:t>
      </w:r>
      <w:r>
        <w:t xml:space="preserve">), она уничтожается, и процесс начинается заново с генерации новой частицы.</w:t>
      </w:r>
    </w:p>
    <w:p>
      <w:pPr>
        <w:pStyle w:val="FirstParagraph"/>
      </w:pPr>
      <w:r>
        <w:t xml:space="preserve">Процесс повторяется многократно, что приводит к росту древовидного, разветвленного кластера.</w:t>
      </w:r>
    </w:p>
    <w:bookmarkEnd w:id="33"/>
    <w:bookmarkStart w:id="52" w:name="X293e9f4974c5fc324e07c7a88f3d19125524731"/>
    <w:p>
      <w:pPr>
        <w:pStyle w:val="Heading2"/>
      </w:pPr>
      <w:r>
        <w:t xml:space="preserve">3.3 Методы определения фрактальной размерности</w:t>
      </w:r>
    </w:p>
    <w:p>
      <w:pPr>
        <w:pStyle w:val="FirstParagraph"/>
      </w:pPr>
      <w:r>
        <w:t xml:space="preserve">Для анализа выращенных кластеров используются различные методы определения их фрактальной размерности</w:t>
      </w:r>
      <w:r>
        <w:t xml:space="preserve"> </w:t>
      </w:r>
      <w:r>
        <w:rPr>
          <w:i/>
          <w:iCs/>
        </w:rPr>
        <w:t xml:space="preserve">D</w:t>
      </w:r>
      <w:r>
        <w:t xml:space="preserve">.</w:t>
      </w:r>
    </w:p>
    <w:bookmarkStart w:id="34" w:name="метод-сфер-ящиков"/>
    <w:p>
      <w:pPr>
        <w:pStyle w:val="Heading3"/>
      </w:pPr>
      <w:r>
        <w:t xml:space="preserve">3.3.1 Метод сфер (ящиков)</w:t>
      </w:r>
    </w:p>
    <w:p>
      <w:pPr>
        <w:pStyle w:val="FirstParagraph"/>
      </w:pPr>
      <w:r>
        <w:t xml:space="preserve">Данный метод применим, если у кластера есть выделенная центральная точка. Строятся концентрические сферы (окружности на плоскости) различных радиусов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 центром в этой точке. Для каждой сферы подсчитывается масса</w:t>
      </w:r>
      <w:r>
        <w:t xml:space="preserve"> </w:t>
      </w:r>
      <w:r>
        <w:rPr>
          <w:i/>
          <w:iCs/>
        </w:rPr>
        <w:t xml:space="preserve">m(R)</w:t>
      </w:r>
      <w:r>
        <w:t xml:space="preserve"> </w:t>
      </w:r>
      <w:r>
        <w:t xml:space="preserve">— количество частиц кластера, попавших внутрь. Затем строится график зависимости ln</w:t>
      </w:r>
      <w:r>
        <w:t xml:space="preserve"> </w:t>
      </w:r>
      <w:r>
        <w:rPr>
          <w:i/>
          <w:iCs/>
        </w:rPr>
        <w:t xml:space="preserve">m(R)</w:t>
      </w:r>
      <w:r>
        <w:t xml:space="preserve"> </w:t>
      </w:r>
      <w:r>
        <w:t xml:space="preserve">от ln</w:t>
      </w:r>
      <w:r>
        <w:t xml:space="preserve"> </w:t>
      </w:r>
      <w:r>
        <w:rPr>
          <w:i/>
          <w:iCs/>
        </w:rPr>
        <w:t xml:space="preserve">R</w:t>
      </w:r>
      <w:r>
        <w:t xml:space="preserve">. Если точки ложатся на прямую линию, то её угловой коэффициент (тангенс угла наклона) и будет фрактальной размерностью</w:t>
      </w:r>
      <w:r>
        <w:t xml:space="preserve"> </w:t>
      </w:r>
      <w:r>
        <w:rPr>
          <w:i/>
          <w:iCs/>
        </w:rPr>
        <w:t xml:space="preserve">D</w:t>
      </w:r>
      <w:r>
        <w:t xml:space="preserve">.</w:t>
      </w:r>
    </w:p>
    <w:bookmarkEnd w:id="34"/>
    <w:bookmarkStart w:id="40" w:name="метод-подсчета-клеток-box-counting"/>
    <w:p>
      <w:pPr>
        <w:pStyle w:val="Heading3"/>
      </w:pPr>
      <w:r>
        <w:t xml:space="preserve">3.3.2 Метод подсчета клеток (Box Counting)</w:t>
      </w:r>
    </w:p>
    <w:p>
      <w:pPr>
        <w:pStyle w:val="FirstParagraph"/>
      </w:pPr>
      <w:r>
        <w:t xml:space="preserve">Этот метод не требует наличия центра. Вся область, содержащая кластер, покрывается сеткой с размером ячейки</w:t>
      </w:r>
      <w:r>
        <w:t xml:space="preserve"> </w:t>
      </w:r>
      <w:r>
        <w:rPr>
          <w:i/>
          <w:iCs/>
        </w:rPr>
        <w:t xml:space="preserve">L(i)</w:t>
      </w:r>
      <w:r>
        <w:t xml:space="preserve">. Подсчитывается число ячеек</w:t>
      </w:r>
      <w:r>
        <w:t xml:space="preserve"> </w:t>
      </w:r>
      <w:r>
        <w:rPr>
          <w:i/>
          <w:iCs/>
        </w:rPr>
        <w:t xml:space="preserve">N(i)</w:t>
      </w:r>
      <w:r>
        <w:t xml:space="preserve">, в которые попала хотя бы одна частица кластера. Процедура повторяется для разных размеров ячеек (например, каждый раз уменьшая размер вдвое). Если выполняется соотношение,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f3"/>
          <w:p>
            <w:pPr>
              <w:pStyle w:val="Compact"/>
              <w:jc w:val="center"/>
            </w:pPr>
            <w:bookmarkStart w:id="38" w:name="fig-f3"/>
            <w:r>
              <w:drawing>
                <wp:inline>
                  <wp:extent cx="1049153" cy="36576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ф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153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9"/>
        </w:tc>
      </w:tr>
    </w:tbl>
    <w:p>
      <w:pPr>
        <w:pStyle w:val="BodyText"/>
      </w:pPr>
      <w:r>
        <w:t xml:space="preserve">то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— искомая размерность. Этот метод хорошо подходит для анализа как искусственных, так и природных объектов, например, береговой линии.</w:t>
      </w:r>
    </w:p>
    <w:bookmarkEnd w:id="40"/>
    <w:bookmarkStart w:id="51" w:name="метод-радиуса-гирации"/>
    <w:p>
      <w:pPr>
        <w:pStyle w:val="Heading3"/>
      </w:pPr>
      <w:r>
        <w:t xml:space="preserve">3.3.3 Метод радиуса гирации</w:t>
      </w:r>
    </w:p>
    <w:p>
      <w:pPr>
        <w:pStyle w:val="FirstParagraph"/>
      </w:pPr>
      <w:r>
        <w:t xml:space="preserve">В процессе роста кластера от центра удобно использовать радиус гирации</w:t>
      </w:r>
      <w:r>
        <w:t xml:space="preserve"> </w:t>
      </w:r>
      <w:r>
        <w:rPr>
          <w:i/>
          <w:iCs/>
        </w:rPr>
        <w:t xml:space="preserve">R(g)</w:t>
      </w:r>
      <w:r>
        <w:t xml:space="preserve">, который характеризует средний разброс частиц относительно центра масс. Для кластера из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частиц с координатами</w:t>
      </w:r>
      <w:r>
        <w:t xml:space="preserve"> </w:t>
      </w:r>
      <w:r>
        <w:rPr>
          <w:i/>
          <w:iCs/>
        </w:rPr>
        <w:t xml:space="preserve">rᵢ</w:t>
      </w:r>
      <w:r>
        <w:t xml:space="preserve"> </w:t>
      </w:r>
      <w:r>
        <w:t xml:space="preserve">радиус гирации определяется, как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f4"/>
          <w:p>
            <w:pPr>
              <w:pStyle w:val="Compact"/>
              <w:jc w:val="center"/>
            </w:pPr>
            <w:bookmarkStart w:id="44" w:name="fig-f4"/>
            <w:r>
              <w:drawing>
                <wp:inline>
                  <wp:extent cx="1600200" cy="533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ф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5"/>
        </w:tc>
      </w:tr>
    </w:tbl>
    <w:p>
      <w:pPr>
        <w:pStyle w:val="BodyText"/>
      </w:pPr>
      <w:r>
        <w:t xml:space="preserve">В этом случае также выполняется соотношение, согласно которому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f5"/>
          <w:p>
            <w:pPr>
              <w:pStyle w:val="Compact"/>
              <w:jc w:val="center"/>
            </w:pPr>
            <w:bookmarkStart w:id="49" w:name="fig-f5"/>
            <w:r>
              <w:drawing>
                <wp:inline>
                  <wp:extent cx="847023" cy="45238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ф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023" cy="452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50"/>
        </w:tc>
      </w:tr>
    </w:tbl>
    <w:bookmarkEnd w:id="51"/>
    <w:bookmarkEnd w:id="52"/>
    <w:bookmarkStart w:id="53" w:name="примеры-математических-фракталов"/>
    <w:p>
      <w:pPr>
        <w:pStyle w:val="Heading2"/>
      </w:pPr>
      <w:r>
        <w:t xml:space="preserve">3.4 Примеры математических фракталов</w:t>
      </w:r>
    </w:p>
    <w:p>
      <w:pPr>
        <w:pStyle w:val="FirstParagraph"/>
      </w:pPr>
      <w:r>
        <w:t xml:space="preserve">Для лучшего понимания концепции фракталов полезно рассмотреть классические примеры, размерность которых вычисляется аналитически: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Множество Кантора (</w:t>
      </w:r>
      <w:r>
        <w:rPr>
          <w:b/>
          <w:bCs/>
        </w:rPr>
        <w:t xml:space="preserve">“Канторова пыль”</w:t>
      </w:r>
      <w:r>
        <w:rPr>
          <w:b/>
          <w:bCs/>
        </w:rPr>
        <w:t xml:space="preserve">):</w:t>
      </w:r>
      <w:r>
        <w:t xml:space="preserve"> </w:t>
      </w:r>
      <w:r>
        <w:t xml:space="preserve">Получается путем многократного удаления средней трети из отрезков. Имеет размерность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</w:rPr>
        <w:t xml:space="preserve"> </w:t>
      </w:r>
      <w:r>
        <w:t xml:space="preserve"> </w:t>
      </w:r>
      <w:r>
        <w:t xml:space="preserve">= ln2/ln4 ≈ 0.631.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Кривая Коха (</w:t>
      </w:r>
      <w:r>
        <w:rPr>
          <w:b/>
          <w:bCs/>
        </w:rPr>
        <w:t xml:space="preserve">“Снежинка Коха”</w:t>
      </w:r>
      <w:r>
        <w:rPr>
          <w:b/>
          <w:bCs/>
        </w:rPr>
        <w:t xml:space="preserve">):</w:t>
      </w:r>
      <w:r>
        <w:t xml:space="preserve"> </w:t>
      </w:r>
      <w:r>
        <w:t xml:space="preserve">Строится путем замены средней трети каждого отрезка на два отрезка, образующих угол. Её размерность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ln4/ln3≈ 1.262.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Треугольник (салфетка) Серпинского:</w:t>
      </w:r>
      <w:r>
        <w:t xml:space="preserve"> </w:t>
      </w:r>
      <w:r>
        <w:t xml:space="preserve">Строится путем многократного удаления центральных треугольников. Его размерность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ln3/ln2 ≈ 1.585.</w:t>
      </w:r>
    </w:p>
    <w:p>
      <w:pPr>
        <w:pStyle w:val="FirstParagraph"/>
      </w:pPr>
      <w:r>
        <w:t xml:space="preserve">Эти примеры демонстрируют, что фрактальная размерность находится между топологической размерностью объекта и размерностью пространства, в котором он находится.</w:t>
      </w:r>
    </w:p>
    <w:bookmarkEnd w:id="53"/>
    <w:bookmarkEnd w:id="54"/>
    <w:bookmarkStart w:id="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первого этапа проекта была изучена научная проблема, связанная с неравновесной агрегацией и образованием фрактальных структур. Рассмотрена классическая модель диффузионно-ограниченной агрегации (DLA), описаны её ключевые алгоритмические шаги. Также были проанализированы основные методы количественного анализа фрактальных кластеров и приведены примеры идеальных математических фракталов. Полученные теоретические знания служат основой для последующей программной реализации модели и проведения вычислительных экспериментов.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p>
      <w:pPr>
        <w:pStyle w:val="Compact"/>
        <w:numPr>
          <w:ilvl w:val="0"/>
          <w:numId w:val="1005"/>
        </w:numPr>
      </w:pPr>
      <w:r>
        <w:t xml:space="preserve">Witten T. A., Sander L. M. Diffusion-limited aggregation, a kinetic critical phenomenon // Physical Review Letters. – 1981. – Т. 47, № 19. – С. 1400-1403.</w:t>
      </w:r>
    </w:p>
    <w:p>
      <w:pPr>
        <w:pStyle w:val="Compact"/>
        <w:numPr>
          <w:ilvl w:val="0"/>
          <w:numId w:val="1005"/>
        </w:numPr>
      </w:pPr>
      <w:r>
        <w:t xml:space="preserve">Мандельброт Б. Фрактальная геометрия природы. – Москва: Институт компьютерных исследований, 2002. – 656 с. (Оригинал: Mandelbrot B. B. The Fractal Geometry of Nature. – W. H. Freeman and Company, 1982).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неравновесной агрегации: диффузионно-ограниченная агрегация (DLA)</dc:title>
  <dc:creator>Жукова Арина, Садова Диана, Агаев Арсений, Диденко Дмитрий</dc:creator>
  <dc:language>ru-RU</dc:language>
  <cp:keywords/>
  <dcterms:created xsi:type="dcterms:W3CDTF">2026-03-20T08:37:16Z</dcterms:created>
  <dcterms:modified xsi:type="dcterms:W3CDTF">2026-03-20T08:37:16Z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1: Модель. Презентация по научной проблеме</vt:lpwstr>
  </property>
  <property fmtid="{D5CDD505-2E9C-101B-9397-08002B2CF9AE}" pid="16" name="toc-title">
    <vt:lpwstr>Содержание</vt:lpwstr>
  </property>
</Properties>
</file>