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Моделирование неравновесной агрегации и фрактальных кластеров</w:t>
      </w:r>
    </w:p>
    <w:p>
      <w:pPr>
        <w:pStyle w:val="Subtitle"/>
      </w:pPr>
      <w:r>
        <w:t xml:space="preserve">Этап 4. Защита проекта. Коллективное обсуждение результатов. Самооценка деятельности</w:t>
      </w:r>
    </w:p>
    <w:p>
      <w:pPr>
        <w:pStyle w:val="Author"/>
      </w:pPr>
      <w:r>
        <w:t xml:space="preserve">Жукова Арина Александровна</w:t>
      </w:r>
    </w:p>
    <w:p>
      <w:pPr>
        <w:pStyle w:val="Author"/>
      </w:pPr>
      <w:r>
        <w:t xml:space="preserve">Садова Диана Алексеевна</w:t>
      </w:r>
    </w:p>
    <w:p>
      <w:pPr>
        <w:pStyle w:val="Author"/>
      </w:pPr>
      <w:r>
        <w:t xml:space="preserve">Агаев Арсений Валерьевич</w:t>
      </w:r>
    </w:p>
    <w:p>
      <w:pPr>
        <w:pStyle w:val="Author"/>
      </w:pPr>
      <w:r>
        <w:t xml:space="preserve">Диденко Дмитрий 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четвёртого этапа — представить итоговые результаты коллективного проекта по моделированию неравновесной агрегации и фрактальных кластеров. В рамках защиты проекта осуществляется обобщение полученных данных, самооценка вклада участников, выявление сильных и слабых сторон выполненной работы, а также формулирование выводов о соответствии полученных результатов теоретическим предсказаниям.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рамках этапа «Защита проекта» требуется:</w:t>
      </w:r>
    </w:p>
    <w:p>
      <w:pPr>
        <w:pStyle w:val="Compact"/>
        <w:numPr>
          <w:ilvl w:val="0"/>
          <w:numId w:val="1001"/>
        </w:numPr>
      </w:pPr>
      <w:r>
        <w:t xml:space="preserve">Представить итоговые результаты моделирования всех реализованных модификаций (сеточная DLA, химически-ограниченная, бессеточная, баллистическая, кластер-кластерная агрегация).</w:t>
      </w:r>
    </w:p>
    <w:p>
      <w:pPr>
        <w:pStyle w:val="Compact"/>
        <w:numPr>
          <w:ilvl w:val="0"/>
          <w:numId w:val="1001"/>
        </w:numPr>
      </w:pPr>
      <w:r>
        <w:t xml:space="preserve">Провести сравнительный анализ фрактальных размерностей, полученных двумя методами (радиуса гирации и ящиков).</w:t>
      </w:r>
    </w:p>
    <w:p>
      <w:pPr>
        <w:pStyle w:val="Compact"/>
        <w:numPr>
          <w:ilvl w:val="0"/>
          <w:numId w:val="1001"/>
        </w:numPr>
      </w:pPr>
      <w:r>
        <w:t xml:space="preserve">Выполнить самооценку деятельности каждого участника проекта по этапам.</w:t>
      </w:r>
    </w:p>
    <w:p>
      <w:pPr>
        <w:pStyle w:val="Compact"/>
        <w:numPr>
          <w:ilvl w:val="0"/>
          <w:numId w:val="1001"/>
        </w:numPr>
      </w:pPr>
      <w:r>
        <w:t xml:space="preserve">Проанализировать ограничения текущей реализации и предложить рекомендации по улучшению.</w:t>
      </w:r>
    </w:p>
    <w:p>
      <w:pPr>
        <w:pStyle w:val="Compact"/>
        <w:numPr>
          <w:ilvl w:val="0"/>
          <w:numId w:val="1001"/>
        </w:numPr>
      </w:pPr>
      <w:r>
        <w:t xml:space="preserve">Сформулировать основные выводы и перспективы дальнейшего развития.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неравновесная-агрегация-и-фракталы"/>
    <w:p>
      <w:pPr>
        <w:pStyle w:val="Heading2"/>
      </w:pPr>
      <w:r>
        <w:t xml:space="preserve">3.1 Неравновесная агрегация и фракталы</w:t>
      </w:r>
    </w:p>
    <w:p>
      <w:pPr>
        <w:pStyle w:val="FirstParagraph"/>
      </w:pPr>
      <w:r>
        <w:t xml:space="preserve">Многие физические процессы (образование сажи, рост снежных кристаллов, электроосаждение) характеризуются необратимым слипанием частиц в условиях, далёких от равновесия. При этом формируются не компактные, а сильно разветвлённые структуры —</w:t>
      </w:r>
      <w:r>
        <w:t xml:space="preserve"> </w:t>
      </w:r>
      <w:r>
        <w:rPr>
          <w:b/>
          <w:bCs/>
        </w:rPr>
        <w:t xml:space="preserve">фракталы</w:t>
      </w:r>
      <w:r>
        <w:t xml:space="preserve"> </w:t>
      </w:r>
      <w:r>
        <w:t xml:space="preserve">[1]</w:t>
      </w:r>
      <w:r>
        <w:t xml:space="preserve">. Количественной характеристикой такой структуры служит фрактальная размерность</w:t>
      </w:r>
      <w:r>
        <w:t xml:space="preserve"> </w:t>
      </w:r>
      <m:oMath>
        <m:r>
          <m:t>D</m:t>
        </m:r>
      </m:oMath>
      <w:r>
        <w:t xml:space="preserve">, определяемая соотношением</w:t>
      </w:r>
      <w:r>
        <w:t xml:space="preserve"> </w:t>
      </w:r>
      <m:oMath>
        <m:r>
          <m:t>m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rPr>
            <m:sty m:val="p"/>
          </m:rPr>
          <m:t>∼</m:t>
        </m:r>
        <m:sSup>
          <m:e>
            <m:r>
              <m:t>R</m:t>
            </m:r>
          </m:e>
          <m:sup>
            <m:r>
              <m:t>D</m:t>
            </m:r>
          </m:sup>
        </m:sSup>
      </m:oMath>
      <w:r>
        <w:t xml:space="preserve">, где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— масса объекта,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— его характерный размер.</w:t>
      </w:r>
    </w:p>
    <w:bookmarkEnd w:id="22"/>
    <w:bookmarkStart w:id="23" w:name="модель-dla"/>
    <w:p>
      <w:pPr>
        <w:pStyle w:val="Heading2"/>
      </w:pPr>
      <w:r>
        <w:t xml:space="preserve">3.2 Модель DLA</w:t>
      </w:r>
    </w:p>
    <w:p>
      <w:pPr>
        <w:pStyle w:val="FirstParagraph"/>
      </w:pPr>
      <w:r>
        <w:t xml:space="preserve">Классическая модель диффузионно-ограниченной агрегации (DLA), предложенная Виттеном и Сандером</w:t>
      </w:r>
      <w:r>
        <w:t xml:space="preserve"> </w:t>
      </w:r>
      <w:r>
        <w:t xml:space="preserve">[2]</w:t>
      </w:r>
      <w:r>
        <w:t xml:space="preserve">, описывает рост кластера за счёт случайных блужданий частиц. Теоретическое значение фрактальной размерности двумерного DLA-кластера составляет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1.71</m:t>
        </m:r>
        <m:r>
          <m:rPr>
            <m:sty m:val="p"/>
          </m:rPr>
          <m:t>±</m:t>
        </m:r>
        <m:r>
          <m:t>0.02</m:t>
        </m:r>
      </m:oMath>
      <w:r>
        <w:t xml:space="preserve">.</w:t>
      </w:r>
    </w:p>
    <w:bookmarkEnd w:id="23"/>
    <w:bookmarkStart w:id="24" w:name="X456a2c0860e47ee58ce05c0fb60b8ccc5b65622"/>
    <w:p>
      <w:pPr>
        <w:pStyle w:val="Heading2"/>
      </w:pPr>
      <w:r>
        <w:t xml:space="preserve">3.3 Методы вычисления фрактальной размерности</w:t>
      </w:r>
    </w:p>
    <w:p>
      <w:pPr>
        <w:pStyle w:val="FirstParagraph"/>
      </w:pPr>
      <w:r>
        <w:t xml:space="preserve">В работе использованы два стандартных метода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Метод радиуса гирации</w:t>
      </w:r>
      <w:r>
        <w:t xml:space="preserve">: основан на степенном законе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sSubSup>
          <m:e>
            <m:r>
              <m:t>R</m:t>
            </m:r>
          </m:e>
          <m:sub>
            <m:r>
              <m:t>g</m:t>
            </m:r>
          </m:sub>
          <m:sup>
            <m:r>
              <m:t>D</m:t>
            </m:r>
          </m:sup>
        </m:sSubSup>
      </m:oMath>
      <w:r>
        <w:t xml:space="preserve">, где</w:t>
      </w:r>
      <w: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— среднеквадратичное расстояние частиц от центра масс. Размерность определяется как наклон зависимости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g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Метод ящиков (box counting)</w:t>
      </w:r>
      <w:r>
        <w:t xml:space="preserve">: пространство покрывается сеткой ячеек размера</w:t>
      </w:r>
      <w:r>
        <w:t xml:space="preserve"> </w:t>
      </w:r>
      <m:oMath>
        <m:r>
          <m:t>ε</m:t>
        </m:r>
      </m:oMath>
      <w:r>
        <w:t xml:space="preserve">, подсчитывается число непустых ячеек</w:t>
      </w:r>
      <w:r>
        <w:t xml:space="preserve"> </w:t>
      </w:r>
      <m:oMath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rPr>
            <m:sty m:val="p"/>
          </m:rPr>
          <m:t>∼</m:t>
        </m:r>
        <m:sSup>
          <m:e>
            <m:r>
              <m:t>ε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</m:sup>
        </m:sSup>
      </m:oMath>
      <w:r>
        <w:t xml:space="preserve">. Размерность находится из наклона зависимости</w:t>
      </w:r>
      <w:r>
        <w:t xml:space="preserve"> </w:t>
      </w:r>
      <m:oMath>
        <m:r>
          <m:rPr>
            <m:sty m:val="p"/>
          </m:rPr>
          <m:t>ln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</m:oMath>
      <w:r>
        <w:t xml:space="preserve"> </w:t>
      </w:r>
      <w:r>
        <w:t xml:space="preserve">от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ln</m:t>
        </m:r>
        <m:r>
          <m:t>ε</m:t>
        </m:r>
      </m:oMath>
      <w:r>
        <w:t xml:space="preserve">.</w:t>
      </w:r>
    </w:p>
    <w:bookmarkEnd w:id="24"/>
    <w:bookmarkEnd w:id="25"/>
    <w:bookmarkStart w:id="29" w:name="результаты-моделирования"/>
    <w:p>
      <w:pPr>
        <w:pStyle w:val="Heading1"/>
      </w:pPr>
      <w:r>
        <w:t xml:space="preserve">4. Результаты моделирования</w:t>
      </w:r>
    </w:p>
    <w:bookmarkStart w:id="27" w:name="сравнение-фрактальных-размерностей"/>
    <w:p>
      <w:pPr>
        <w:pStyle w:val="Heading2"/>
      </w:pPr>
      <w:r>
        <w:t xml:space="preserve">4.1 Сравнение фрактальных размерностей</w:t>
      </w:r>
    </w:p>
    <w:p>
      <w:pPr>
        <w:pStyle w:val="FirstParagraph"/>
      </w:pPr>
      <w:r>
        <w:t xml:space="preserve">В ходе проекта были реализованы и проанализированы четыре основные модификации модели агрегации. Полученные значения фрактальной размерности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сведены в</w:t>
      </w:r>
      <w:r>
        <w:t xml:space="preserve"> </w:t>
      </w:r>
      <w:hyperlink w:anchor="tbl-results">
        <w:r>
          <w:rPr>
            <w:rStyle w:val="Hyperlink"/>
          </w:rPr>
          <w:t xml:space="preserve">Таблица 1</w:t>
        </w:r>
      </w:hyperlink>
      <w:r>
        <w:t xml:space="preserve"> </w:t>
      </w:r>
      <w:r>
        <w:t xml:space="preserve">и сопоставлены с теоретическими ожиданиями.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Сравнение фрактальных размерностей для различных моделей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05"/>
              <w:gridCol w:w="1885"/>
              <w:gridCol w:w="2011"/>
              <w:gridCol w:w="301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Модель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Ожидаемое</w:t>
                  </w:r>
                  <w:r>
                    <w:t xml:space="preserve"> </w:t>
                  </w: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Полученное</w:t>
                  </w:r>
                  <w:r>
                    <w:t xml:space="preserve"> </w:t>
                  </w:r>
                  <m:oMath>
                    <m:r>
                      <m:t>D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Причина / особенность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DLA на сетке (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1.68</m:t>
                    </m:r>
                  </m:oMath>
                  <w:r>
                    <w:t xml:space="preserve">–</w:t>
                  </w:r>
                  <m:oMath>
                    <m:r>
                      <m:t>1.74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≈</m:t>
                    </m:r>
                    <m:r>
                      <m:t>1.71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Сеточная анизотропия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Химически-ограниченная DLA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1.72</m:t>
                    </m:r>
                  </m:oMath>
                  <w:r>
                    <w:t xml:space="preserve">–</w:t>
                  </w:r>
                  <m:oMath>
                    <m:r>
                      <m:t>1.85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≈</m:t>
                    </m:r>
                    <m:r>
                      <m:t>1.80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Более компактные ветви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Бессеточная DLA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1.70</m:t>
                    </m:r>
                  </m:oMath>
                  <w:r>
                    <w:t xml:space="preserve">–</w:t>
                  </w:r>
                  <m:oMath>
                    <m:r>
                      <m:t>1.72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≈</m:t>
                    </m:r>
                    <m:r>
                      <m:t>1.71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Изотропность, нет анизотропии сетки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Баллистическая (граница)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1.25</m:t>
                    </m:r>
                  </m:oMath>
                  <w:r>
                    <w:t xml:space="preserve">–</w:t>
                  </w:r>
                  <m:oMath>
                    <m:r>
                      <m:t>1.50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≈</m:t>
                    </m:r>
                    <m:r>
                      <m:t>1.38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Размерность профиля, не объёма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Кластер-кластерная (CCA)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1.40</m:t>
                    </m:r>
                  </m:oMath>
                  <w:r>
                    <w:t xml:space="preserve">–</w:t>
                  </w:r>
                  <m:oMath>
                    <m:r>
                      <m:t>1.60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≈</m:t>
                    </m:r>
                    <m:r>
                      <m:t>1.50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Рыхлые открытые структуры</w:t>
                  </w:r>
                </w:p>
              </w:tc>
            </w:tr>
          </w:tbl>
          <w:bookmarkEnd w:id="26"/>
          <w:p/>
        </w:tc>
      </w:tr>
    </w:tbl>
    <w:bookmarkEnd w:id="27"/>
    <w:bookmarkStart w:id="28" w:name="интерпретация-результатов"/>
    <w:p>
      <w:pPr>
        <w:pStyle w:val="Heading2"/>
      </w:pPr>
      <w:r>
        <w:t xml:space="preserve">4.2 Интерпретация результатов</w:t>
      </w:r>
    </w:p>
    <w:p>
      <w:pPr>
        <w:pStyle w:val="FirstParagraph"/>
      </w:pPr>
      <w:r>
        <w:t xml:space="preserve">Полученные значения фрактальных размерностей в целом соответствуют теоретическим предсказаниям</w:t>
      </w:r>
      <w:r>
        <w:t xml:space="preserve"> </w:t>
      </w:r>
      <w:r>
        <w:t xml:space="preserve">[1,2]</w:t>
      </w:r>
      <w:r>
        <w:t xml:space="preserve">. Сеточная и бессеточная модели DLA воспроизводят классическое значение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1.71</m:t>
        </m:r>
      </m:oMath>
      <w:r>
        <w:t xml:space="preserve">. Химически-ограниченная агрегация даёт более высокую размерность (</w:t>
      </w:r>
      <m:oMath>
        <m:r>
          <m:t>D</m:t>
        </m:r>
        <m:r>
          <m:rPr>
            <m:sty m:val="p"/>
          </m:rPr>
          <m:t>≈</m:t>
        </m:r>
        <m:r>
          <m:t>1.80</m:t>
        </m:r>
      </m:oMath>
      <w:r>
        <w:t xml:space="preserve">), что объясняется возможностью частиц проникать глубоко во внутренние полости при низкой вероятности прилипания на выступающих точках 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</m:t>
        </m:r>
      </m:oMath>
      <w:r>
        <w:t xml:space="preserve">). Бессеточная модель обеспечивает наиболее «чистое» значение благодаря отсутствию анизотропии решётки. Для баллистической агрегации измерялась размерность профиля поверхности (</w:t>
      </w:r>
      <m:oMath>
        <m:r>
          <m:rPr>
            <m:sty m:val="p"/>
          </m:rPr>
          <m:t>≈</m:t>
        </m:r>
        <m:r>
          <m:t>1.38</m:t>
        </m:r>
      </m:oMath>
      <w:r>
        <w:t xml:space="preserve">), что соответствует размерности одномерной кривой. Кластер-кластерная агрегация формирует наиболее рыхлые структуры (</w:t>
      </w:r>
      <m:oMath>
        <m:r>
          <m:rPr>
            <m:sty m:val="p"/>
          </m:rPr>
          <m:t>≈</m:t>
        </m:r>
        <m:r>
          <m:t>1.50</m:t>
        </m:r>
      </m:oMath>
      <w:r>
        <w:t xml:space="preserve">) из-за образования незаполненных полостей при слиянии крупных агрегатов</w:t>
      </w:r>
      <w:r>
        <w:t xml:space="preserve"> </w:t>
      </w:r>
      <w:r>
        <w:t xml:space="preserve">[3]</w:t>
      </w:r>
      <w:r>
        <w:t xml:space="preserve">.</w:t>
      </w:r>
    </w:p>
    <w:bookmarkEnd w:id="28"/>
    <w:bookmarkEnd w:id="29"/>
    <w:bookmarkStart w:id="30" w:name="X23f992e4ab29b7774a644d7d18d96a1cd99e322"/>
    <w:p>
      <w:pPr>
        <w:pStyle w:val="Heading1"/>
      </w:pPr>
      <w:r>
        <w:t xml:space="preserve">5. Ограничения текущей реализации и рекомендации</w:t>
      </w:r>
    </w:p>
    <w:p>
      <w:pPr>
        <w:pStyle w:val="FirstParagraph"/>
      </w:pPr>
      <w:r>
        <w:t xml:space="preserve">В ходе коллективного обсуждения были выявлены следующие ограничения: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Производительность</w:t>
      </w:r>
      <w:r>
        <w:t xml:space="preserve">: цикл</w:t>
      </w:r>
      <w:r>
        <w:t xml:space="preserve"> </w:t>
      </w:r>
      <w:r>
        <w:rPr>
          <w:rStyle w:val="VerbatimChar"/>
        </w:rPr>
        <w:t xml:space="preserve">random_walk</w:t>
      </w:r>
      <w:r>
        <w:t xml:space="preserve"> </w:t>
      </w:r>
      <w:r>
        <w:t xml:space="preserve">на чистом Python не позволяет моделировать кластеры с числом частиц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2000</m:t>
        </m:r>
      </m:oMath>
      <w:r>
        <w:t xml:space="preserve"> </w:t>
      </w:r>
      <w:r>
        <w:t xml:space="preserve">за разумное время. Рекомендуется использование векторизации NumPy, KD-деревьев (</w:t>
      </w:r>
      <w:r>
        <w:rPr>
          <w:rStyle w:val="VerbatimChar"/>
        </w:rPr>
        <w:t xml:space="preserve">scipy.spatial.cKDTree</w:t>
      </w:r>
      <w:r>
        <w:t xml:space="preserve">) или JIT-компиляции (Numba, Cython).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Статистическая достоверность</w:t>
      </w:r>
      <w:r>
        <w:t xml:space="preserve">: текущая реализация строит по одному кластеру для каждого набора параметров. Для получения надёжных оценок необходимо усреднение по 5–10 независимым реализациям (разброс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может достигать</w:t>
      </w:r>
      <w:r>
        <w:t xml:space="preserve"> </w:t>
      </w:r>
      <m:oMath>
        <m:r>
          <m:t>0.03</m:t>
        </m:r>
      </m:oMath>
      <w:r>
        <w:t xml:space="preserve">–</w:t>
      </w:r>
      <m:oMath>
        <m:r>
          <m:t>0.05</m:t>
        </m:r>
      </m:oMath>
      <w:r>
        <w:t xml:space="preserve">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Метод ящиков</w:t>
      </w:r>
      <w:r>
        <w:t xml:space="preserve">: при</w:t>
      </w:r>
      <w:r>
        <w:t xml:space="preserve"> </w:t>
      </w:r>
      <m:oMath>
        <m:r>
          <m:t>N</m:t>
        </m:r>
        <m:r>
          <m:rPr>
            <m:sty m:val="p"/>
          </m:rPr>
          <m:t>&lt;</m:t>
        </m:r>
        <m:r>
          <m:t>200</m:t>
        </m:r>
      </m:oMath>
      <w:r>
        <w:t xml:space="preserve"> </w:t>
      </w:r>
      <w:r>
        <w:t xml:space="preserve">метод даёт завышенные оценки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из-за недостаточного диапазона масштабов. Рекомендуется применять его только для кластеров с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500</m:t>
        </m:r>
      </m:oMath>
      <w:r>
        <w:t xml:space="preserve"> </w:t>
      </w:r>
      <w:r>
        <w:t xml:space="preserve">и ограничивать диапазон размеров ячеек</w:t>
      </w:r>
      <w:r>
        <w:t xml:space="preserve"> </w:t>
      </w:r>
      <m:oMath>
        <m:r>
          <m:t>3</m:t>
        </m:r>
        <m:r>
          <m:rPr>
            <m:sty m:val="p"/>
          </m:rPr>
          <m:t>≤</m:t>
        </m:r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ε</m:t>
            </m:r>
          </m:e>
        </m:d>
        <m:r>
          <m:rPr>
            <m:sty m:val="p"/>
          </m:rPr>
          <m:t>≤</m:t>
        </m:r>
        <m:r>
          <m:t>6</m:t>
        </m:r>
      </m:oMath>
      <w:r>
        <w:t xml:space="preserve"> </w:t>
      </w:r>
      <w:r>
        <w:t xml:space="preserve">[1]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Бессеточная модель</w:t>
      </w:r>
      <w:r>
        <w:t xml:space="preserve">: алгоритм проверки прилипания требует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операций на каждом шаге, что делает модель непригодной при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500</m:t>
        </m:r>
      </m:oMath>
      <w:r>
        <w:t xml:space="preserve">. Решение — пространственное хеширование или KD-дерево (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</m:oMath>
      <w:r>
        <w:t xml:space="preserve">).</w:t>
      </w:r>
    </w:p>
    <w:bookmarkEnd w:id="30"/>
    <w:bookmarkStart w:id="34" w:name="самооценка-деятельности-участников"/>
    <w:p>
      <w:pPr>
        <w:pStyle w:val="Heading1"/>
      </w:pPr>
      <w:r>
        <w:t xml:space="preserve">6. Самооценка деятельности участников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contrib">
        <w:r>
          <w:rPr>
            <w:rStyle w:val="Hyperlink"/>
          </w:rPr>
          <w:t xml:space="preserve">Таблица 2</w:t>
        </w:r>
      </w:hyperlink>
      <w:r>
        <w:t xml:space="preserve"> </w:t>
      </w:r>
      <w:r>
        <w:t xml:space="preserve">представлена самооценка вклада каждого участника проекта по этапам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ontri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Вклад участников проекта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30"/>
              <w:gridCol w:w="2640"/>
              <w:gridCol w:w="324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Участник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Роль / этап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Основной вклад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Жукова Арина Александровна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Теория, Этап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Теоретическое введение, постановка задачи, обзор литературы, описание фракталов и модели DLA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Садова Диана Алексеевна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Алгоритмы, Этап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Формализация алгоритмов, математический аппарат, обоснование выбора вычислительных подходов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Агаев Арсений Валерьевич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Программист, Этап 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Python-реализация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DLA_grid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ChemicallyLimitedDLA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OffLatticeDLA</w:t>
                  </w:r>
                  <w:r>
                    <w:t xml:space="preserve">, методов анализа размерности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Диденко Дмитрий Владимирович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Аналитик, Этап 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Реализация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BallisticAggregation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ClusterClusterAggregation</w:t>
                  </w:r>
                  <w:r>
                    <w:t xml:space="preserve">, сравнительный анализ, визуализация</w:t>
                  </w:r>
                </w:p>
              </w:tc>
            </w:tr>
          </w:tbl>
          <w:bookmarkEnd w:id="31"/>
          <w:p/>
        </w:tc>
      </w:tr>
    </w:tbl>
    <w:bookmarkStart w:id="32" w:name="коллективное-обсуждение-результатов"/>
    <w:p>
      <w:pPr>
        <w:pStyle w:val="Heading2"/>
      </w:pPr>
      <w:r>
        <w:t xml:space="preserve">6.1 Коллективное обсуждение результатов</w:t>
      </w:r>
    </w:p>
    <w:p>
      <w:pPr>
        <w:pStyle w:val="FirstParagraph"/>
      </w:pPr>
      <w:r>
        <w:t xml:space="preserve">В ходе обсуждения группа отметила:</w:t>
      </w:r>
    </w:p>
    <w:p>
      <w:pPr>
        <w:pStyle w:val="BodyText"/>
      </w:pPr>
      <w:r>
        <w:rPr>
          <w:b/>
          <w:bCs/>
        </w:rPr>
        <w:t xml:space="preserve">Сильные стороны</w:t>
      </w:r>
      <w:r>
        <w:t xml:space="preserve">:</w:t>
      </w:r>
      <w:r>
        <w:t xml:space="preserve"> </w:t>
      </w:r>
      <w:r>
        <w:t xml:space="preserve">- Объектно-ориентированная архитектура с наследованием (класс</w:t>
      </w:r>
      <w:r>
        <w:t xml:space="preserve"> </w:t>
      </w:r>
      <w:r>
        <w:rPr>
          <w:rStyle w:val="VerbatimChar"/>
        </w:rPr>
        <w:t xml:space="preserve">ChemicallyLimitedDLA</w:t>
      </w:r>
      <w:r>
        <w:t xml:space="preserve"> </w:t>
      </w:r>
      <w:r>
        <w:t xml:space="preserve">надстраивается над</w:t>
      </w:r>
      <w:r>
        <w:t xml:space="preserve"> </w:t>
      </w:r>
      <w:r>
        <w:rPr>
          <w:rStyle w:val="VerbatimChar"/>
        </w:rPr>
        <w:t xml:space="preserve">DLA_grid</w:t>
      </w:r>
      <w:r>
        <w:t xml:space="preserve"> </w:t>
      </w:r>
      <w:r>
        <w:t xml:space="preserve">без дублирования кода).</w:t>
      </w:r>
      <w:r>
        <w:t xml:space="preserve"> </w:t>
      </w:r>
      <w:r>
        <w:t xml:space="preserve">- Два независимых метода вычисления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верифицируют результаты.</w:t>
      </w:r>
      <w:r>
        <w:t xml:space="preserve"> </w:t>
      </w:r>
      <w:r>
        <w:t xml:space="preserve">- Охват четырёх принципиально разных физических моделей позволил провести содержательное сравнение.</w:t>
      </w:r>
    </w:p>
    <w:p>
      <w:pPr>
        <w:pStyle w:val="BodyText"/>
      </w:pPr>
      <w:r>
        <w:rPr>
          <w:b/>
          <w:bCs/>
        </w:rPr>
        <w:t xml:space="preserve">Слабые стороны</w:t>
      </w:r>
      <w:r>
        <w:t xml:space="preserve">:</w:t>
      </w:r>
      <w:r>
        <w:t xml:space="preserve"> </w:t>
      </w:r>
      <w:r>
        <w:t xml:space="preserve">- Отсутствие статистического усреднения снижает достоверность.</w:t>
      </w:r>
      <w:r>
        <w:t xml:space="preserve"> </w:t>
      </w:r>
      <w:r>
        <w:t xml:space="preserve">- Производительность чистого Python-цикла ограничивает размер кластеров.</w:t>
      </w:r>
      <w:r>
        <w:t xml:space="preserve"> </w:t>
      </w:r>
      <w:r>
        <w:t xml:space="preserve">- Линейный поиск в бессеточной модели делает её непригодной при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500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Групповая динамика</w:t>
      </w:r>
      <w:r>
        <w:t xml:space="preserve">: распределение ролей по этапам (теория → алгоритмы → программирование → анализ) оказалось органичным и позволило эффективно интегрировать результаты на финальном этапе.</w:t>
      </w:r>
    </w:p>
    <w:bookmarkEnd w:id="32"/>
    <w:bookmarkStart w:id="33" w:name="чему-научил-проект"/>
    <w:p>
      <w:pPr>
        <w:pStyle w:val="Heading2"/>
      </w:pPr>
      <w:r>
        <w:t xml:space="preserve">6.2 Чему научил проект</w:t>
      </w:r>
    </w:p>
    <w:p>
      <w:pPr>
        <w:pStyle w:val="FirstParagraph"/>
      </w:pPr>
      <w:r>
        <w:t xml:space="preserve">Проект продемонстрировал ключевой принцип самоорганизации: простые стохастические правила на микроуровне порождают сложную фрактальную организацию на макроуровне</w:t>
      </w:r>
      <w:r>
        <w:t xml:space="preserve"> </w:t>
      </w:r>
      <w:r>
        <w:t xml:space="preserve">[2]</w:t>
      </w:r>
      <w:r>
        <w:t xml:space="preserve">. Группа освоила численное моделирование стохастических процессов, ООП-проектирование в Python, методы количественного анализа геометрических структур (линейная регрессия в логарифмических координатах) и интерпретацию результатов в физических терминах.</w:t>
      </w:r>
    </w:p>
    <w:bookmarkEnd w:id="33"/>
    <w:bookmarkEnd w:id="34"/>
    <w:bookmarkStart w:id="35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результате выполнения проекта достигнуты все поставленные цели и задачи:</w:t>
      </w:r>
    </w:p>
    <w:p>
      <w:pPr>
        <w:pStyle w:val="Compact"/>
        <w:numPr>
          <w:ilvl w:val="0"/>
          <w:numId w:val="1004"/>
        </w:numPr>
      </w:pPr>
      <w:r>
        <w:t xml:space="preserve">Разработан программный комплекс из восьми модулей на Python с использованием NumPy и Matplotlib, реализующий различные модели неравновесной агрегации.</w:t>
      </w:r>
    </w:p>
    <w:p>
      <w:pPr>
        <w:pStyle w:val="Compact"/>
        <w:numPr>
          <w:ilvl w:val="0"/>
          <w:numId w:val="1004"/>
        </w:numPr>
      </w:pPr>
      <w:r>
        <w:t xml:space="preserve">Реализованы четыре модели агрегации: сеточная DLA, химически-ограниченная, бессеточная, баллистическая и кластер-кластерная.</w:t>
      </w:r>
    </w:p>
    <w:p>
      <w:pPr>
        <w:pStyle w:val="Compact"/>
        <w:numPr>
          <w:ilvl w:val="0"/>
          <w:numId w:val="1004"/>
        </w:numPr>
      </w:pPr>
      <w:r>
        <w:t xml:space="preserve">Внедрены два метода вычисления фрактальной размерности (радиуса гирации и ящиков), результаты которых согласуются между собой.</w:t>
      </w:r>
    </w:p>
    <w:p>
      <w:pPr>
        <w:pStyle w:val="Compact"/>
        <w:numPr>
          <w:ilvl w:val="0"/>
          <w:numId w:val="1004"/>
        </w:numPr>
      </w:pPr>
      <w:r>
        <w:t xml:space="preserve">Полученные значения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соответствуют теоретическим предсказаниям</w:t>
      </w:r>
      <w:r>
        <w:t xml:space="preserve"> </w:t>
      </w:r>
      <w:r>
        <w:t xml:space="preserve">[1–3]</w:t>
      </w:r>
      <w:r>
        <w:t xml:space="preserve">: для классической DLA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1.71</m:t>
        </m:r>
      </m:oMath>
      <w:r>
        <w:t xml:space="preserve">, для химически-ограниченной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1.80</m:t>
        </m:r>
      </m:oMath>
      <w:r>
        <w:t xml:space="preserve">, для кластер-кластерной</w:t>
      </w:r>
      <w:r>
        <w:t xml:space="preserve"> </w:t>
      </w:r>
      <m:oMath>
        <m:r>
          <m:t>D</m:t>
        </m:r>
        <m:r>
          <m:rPr>
            <m:sty m:val="p"/>
          </m:rPr>
          <m:t>≈</m:t>
        </m:r>
        <m:r>
          <m:t>1.50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Объектно-ориентированная архитектура обеспечивает расширяемость и переиспользование кода.</w:t>
      </w:r>
    </w:p>
    <w:p>
      <w:pPr>
        <w:pStyle w:val="FirstParagraph"/>
      </w:pPr>
      <w:r>
        <w:rPr>
          <w:b/>
          <w:bCs/>
        </w:rPr>
        <w:t xml:space="preserve">Перспективы дальнейшего развития</w:t>
      </w:r>
      <w:r>
        <w:t xml:space="preserve">:</w:t>
      </w:r>
      <w:r>
        <w:t xml:space="preserve"> </w:t>
      </w:r>
      <w:r>
        <w:t xml:space="preserve">- расширение до трёхмерных кластеров;</w:t>
      </w:r>
      <w:r>
        <w:t xml:space="preserve"> </w:t>
      </w:r>
      <w:r>
        <w:t xml:space="preserve">- реализация параллельных вычислений;</w:t>
      </w:r>
      <w:r>
        <w:t xml:space="preserve"> </w:t>
      </w:r>
      <w:r>
        <w:t xml:space="preserve">- сравнение с экспериментальными данными (коллоидные агрегаты, электроосаждение);</w:t>
      </w:r>
      <w:r>
        <w:t xml:space="preserve"> </w:t>
      </w:r>
      <w:r>
        <w:t xml:space="preserve">- добавление статистического усреднения и доверительных интервалов для оценок</w:t>
      </w:r>
      <w:r>
        <w:t xml:space="preserve"> </w:t>
      </w:r>
      <m:oMath>
        <m:r>
          <m:t>D</m:t>
        </m:r>
      </m:oMath>
      <w:r>
        <w:t xml:space="preserve">.</w:t>
      </w:r>
    </w:p>
    <w:bookmarkEnd w:id="35"/>
    <w:bookmarkStart w:id="42" w:name="список-литературы"/>
    <w:p>
      <w:pPr>
        <w:pStyle w:val="Heading1"/>
      </w:pPr>
      <w:r>
        <w:t xml:space="preserve">Список литературы</w:t>
      </w:r>
    </w:p>
    <w:bookmarkStart w:id="41" w:name="refs"/>
    <w:bookmarkStart w:id="36" w:name="ref-feder_fractals_1991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Feder J. Fractals. New York: Plenum Press, 1988.</w:t>
      </w:r>
    </w:p>
    <w:bookmarkEnd w:id="36"/>
    <w:bookmarkStart w:id="38" w:name="ref-witten_diffusion_1981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Witten T. A., Sander L. M.</w:t>
      </w:r>
      <w:r>
        <w:t xml:space="preserve"> </w:t>
      </w:r>
      <w:hyperlink r:id="rId37">
        <w:r>
          <w:rPr>
            <w:rStyle w:val="Hyperlink"/>
          </w:rPr>
          <w:t xml:space="preserve">Diffusion-Limited Aggregation, a Kinetic Critical Phenomenon</w:t>
        </w:r>
      </w:hyperlink>
      <w:r>
        <w:t xml:space="preserve"> </w:t>
      </w:r>
      <w:r>
        <w:t xml:space="preserve">// Physical Review Letters. American Physical Society, 1981. Т. 47, № 19. С. 1400–1403.</w:t>
      </w:r>
    </w:p>
    <w:bookmarkEnd w:id="38"/>
    <w:bookmarkStart w:id="40" w:name="ref-jullien_scaling_1984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Jullien R., Kolb M., Botet R.</w:t>
      </w:r>
      <w:r>
        <w:t xml:space="preserve"> </w:t>
      </w:r>
      <w:hyperlink r:id="rId39">
        <w:r>
          <w:rPr>
            <w:rStyle w:val="Hyperlink"/>
          </w:rPr>
          <w:t xml:space="preserve">Scaling Properties of Cluster-Cluster Aggregation</w:t>
        </w:r>
      </w:hyperlink>
      <w:r>
        <w:t xml:space="preserve"> </w:t>
      </w:r>
      <w:r>
        <w:t xml:space="preserve">// Journal de Physique Lettres. EDP Sciences, 1984. Т. 45, № 5. С. 211–216.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doi.org/10.1051/jphyslet:01984004505021100" TargetMode="External" /><Relationship Type="http://schemas.openxmlformats.org/officeDocument/2006/relationships/hyperlink" Id="rId37" Target="https://doi.org/10.1103/PhysRevLett.47.14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doi.org/10.1051/jphyslet:01984004505021100" TargetMode="External" /><Relationship Type="http://schemas.openxmlformats.org/officeDocument/2006/relationships/hyperlink" Id="rId37" Target="https://doi.org/10.1103/PhysRevLett.47.14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Моделирование неравновесной агрегации и фрактальных кластеров</dc:title>
  <dc:creator>Жукова Арина Александровна; Садова Диана Алексеевна; Агаев Арсений Валерьевич; Диденко Дмитрий Владимирович</dc:creator>
  <dc:language>ru-RU</dc:language>
  <cp:keywords/>
  <dcterms:created xsi:type="dcterms:W3CDTF">2026-05-15T18:54:56Z</dcterms:created>
  <dcterms:modified xsi:type="dcterms:W3CDTF">2026-05-15T18:54:56Z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Этап 4. Защита проекта. Коллективное обсуждение результатов. Самооценка деятельности</vt:lpwstr>
  </property>
  <property fmtid="{D5CDD505-2E9C-101B-9397-08002B2CF9AE}" pid="15" name="toc-title">
    <vt:lpwstr>Содержание</vt:lpwstr>
  </property>
</Properties>
</file>