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Доклад:</w:t>
      </w:r>
      <w:r>
        <w:t xml:space="preserve"> </w:t>
      </w:r>
      <w:r>
        <w:t xml:space="preserve">Электронные</w:t>
      </w:r>
      <w:r>
        <w:t xml:space="preserve"> </w:t>
      </w:r>
      <w:r>
        <w:t xml:space="preserve">цифровые</w:t>
      </w:r>
      <w:r>
        <w:t xml:space="preserve"> </w:t>
      </w:r>
      <w:r>
        <w:t xml:space="preserve">подписи.</w:t>
      </w:r>
      <w:r>
        <w:t xml:space="preserve"> </w:t>
      </w:r>
      <w:r>
        <w:t xml:space="preserve">Механизмы</w:t>
      </w:r>
      <w:r>
        <w:t xml:space="preserve"> </w:t>
      </w:r>
      <w:r>
        <w:t xml:space="preserve">цифровой</w:t>
      </w:r>
      <w:r>
        <w:t xml:space="preserve"> </w:t>
      </w:r>
      <w:r>
        <w:t xml:space="preserve">подписи.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вводная-част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Вводная часть</w:t>
      </w:r>
    </w:p>
    <w:bookmarkStart w:id="20" w:name="актуальность-тем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Актуальность темы</w:t>
      </w:r>
    </w:p>
    <w:p>
      <w:pPr>
        <w:pStyle w:val="FirstParagraph"/>
      </w:pPr>
      <w:r>
        <w:t xml:space="preserve">С развитием цифровых технологий возрастает потребность в защищенных методах передачи информации. ЭЦП позволяет:</w:t>
      </w:r>
    </w:p>
    <w:p>
      <w:pPr>
        <w:numPr>
          <w:ilvl w:val="0"/>
          <w:numId w:val="1001"/>
        </w:numPr>
      </w:pPr>
      <w:r>
        <w:t xml:space="preserve">гарантировать подлинность документа;</w:t>
      </w:r>
    </w:p>
    <w:p>
      <w:pPr>
        <w:numPr>
          <w:ilvl w:val="0"/>
          <w:numId w:val="1001"/>
        </w:numPr>
      </w:pPr>
      <w:r>
        <w:t xml:space="preserve">предотвращать мошенничество и подделку данных;</w:t>
      </w:r>
    </w:p>
    <w:p>
      <w:pPr>
        <w:numPr>
          <w:ilvl w:val="0"/>
          <w:numId w:val="1001"/>
        </w:numPr>
      </w:pPr>
      <w:r>
        <w:t xml:space="preserve">ускорять бизнес-процессы за счет отказа от бумажного документооборота.</w:t>
      </w:r>
    </w:p>
    <w:p>
      <w:pPr>
        <w:pStyle w:val="FirstParagraph"/>
      </w:pPr>
      <w:r>
        <w:t xml:space="preserve">Актуальность темы обусловлена также широким внедрением ЭЦП в государственные системы (например, в электронные торги, налоговую отчетность, цифровые сервисы).</w:t>
      </w:r>
    </w:p>
    <w:bookmarkEnd w:id="20"/>
    <w:bookmarkStart w:id="21" w:name="объект-и-предмет-исследования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Объект и предмет исследования</w:t>
      </w:r>
    </w:p>
    <w:p>
      <w:pPr>
        <w:pStyle w:val="FirstParagraph"/>
      </w:pPr>
      <w:r>
        <w:t xml:space="preserve">Объект исследования: электронные цифровые подписи и их применение.</w:t>
      </w:r>
    </w:p>
    <w:p>
      <w:pPr>
        <w:pStyle w:val="BodyText"/>
      </w:pPr>
      <w:r>
        <w:t xml:space="preserve">Предмет исследования: криптографические механизмы формирования и проверки ЭЦП.</w:t>
      </w:r>
    </w:p>
    <w:bookmarkEnd w:id="21"/>
    <w:bookmarkStart w:id="22" w:name="практическая-значимость-работы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Практическая значимость работы</w:t>
      </w:r>
    </w:p>
    <w:p>
      <w:pPr>
        <w:pStyle w:val="FirstParagraph"/>
      </w:pPr>
      <w:r>
        <w:t xml:space="preserve">Результаты исследования могут быть использованы:</w:t>
      </w:r>
    </w:p>
    <w:p>
      <w:pPr>
        <w:numPr>
          <w:ilvl w:val="0"/>
          <w:numId w:val="1002"/>
        </w:numPr>
      </w:pPr>
      <w:r>
        <w:t xml:space="preserve">при разработке защищенных информационных систем;</w:t>
      </w:r>
    </w:p>
    <w:p>
      <w:pPr>
        <w:numPr>
          <w:ilvl w:val="0"/>
          <w:numId w:val="1002"/>
        </w:numPr>
      </w:pPr>
      <w:r>
        <w:t xml:space="preserve">в законодательном регулировании ЭЦП;</w:t>
      </w:r>
    </w:p>
    <w:p>
      <w:pPr>
        <w:numPr>
          <w:ilvl w:val="0"/>
          <w:numId w:val="1002"/>
        </w:numPr>
      </w:pPr>
      <w:r>
        <w:t xml:space="preserve">для повышения осведомленности пользователей о безопасности цифровых подписей.</w:t>
      </w:r>
    </w:p>
    <w:bookmarkEnd w:id="22"/>
    <w:bookmarkEnd w:id="23"/>
    <w:bookmarkStart w:id="27" w:name="цель-гипотеза-задачи-исследов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Цель, гипотеза, задачи исследования</w:t>
      </w:r>
    </w:p>
    <w:bookmarkStart w:id="24" w:name="цель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Цель:</w:t>
      </w:r>
    </w:p>
    <w:p>
      <w:pPr>
        <w:pStyle w:val="FirstParagraph"/>
      </w:pPr>
      <w:r>
        <w:t xml:space="preserve">изучить механизмы цифровой подписи и предложить рекомендации по их применению.</w:t>
      </w:r>
    </w:p>
    <w:bookmarkEnd w:id="24"/>
    <w:bookmarkStart w:id="25" w:name="гипотез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Гипотеза:</w:t>
      </w:r>
    </w:p>
    <w:p>
      <w:pPr>
        <w:pStyle w:val="FirstParagraph"/>
      </w:pPr>
      <w:r>
        <w:t xml:space="preserve">современные алгоритмы ЭЦП обеспечивают достаточную защиту, но требуют адаптации к новым угрозам.</w:t>
      </w:r>
    </w:p>
    <w:bookmarkEnd w:id="25"/>
    <w:bookmarkStart w:id="26" w:name="задач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Задачи:</w:t>
      </w:r>
    </w:p>
    <w:p>
      <w:pPr>
        <w:numPr>
          <w:ilvl w:val="0"/>
          <w:numId w:val="1003"/>
        </w:numPr>
      </w:pPr>
      <w:r>
        <w:t xml:space="preserve">Изучить принципы работы ЭЦП.</w:t>
      </w:r>
    </w:p>
    <w:p>
      <w:pPr>
        <w:numPr>
          <w:ilvl w:val="0"/>
          <w:numId w:val="1003"/>
        </w:numPr>
      </w:pPr>
      <w:r>
        <w:t xml:space="preserve">Проанализировать криптографические алгоритмы.</w:t>
      </w:r>
    </w:p>
    <w:p>
      <w:pPr>
        <w:numPr>
          <w:ilvl w:val="0"/>
          <w:numId w:val="1003"/>
        </w:numPr>
      </w:pPr>
      <w:r>
        <w:t xml:space="preserve">Оценить уязвимости и перспективы развития.</w:t>
      </w:r>
    </w:p>
    <w:bookmarkEnd w:id="26"/>
    <w:bookmarkEnd w:id="27"/>
    <w:bookmarkStart w:id="31" w:name="материалы-и-методы-исследован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Материалы и методы исследования</w:t>
      </w:r>
    </w:p>
    <w:bookmarkStart w:id="28" w:name="теоретическая-база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Теоретическая база:</w:t>
      </w:r>
    </w:p>
    <w:p>
      <w:pPr>
        <w:pStyle w:val="FirstParagraph"/>
      </w:pPr>
      <w:r>
        <w:t xml:space="preserve">научные статьи, стандарты (ГОСТ Р 34.10, PKCS), законодательство (ФЗ №63).</w:t>
      </w:r>
    </w:p>
    <w:bookmarkEnd w:id="28"/>
    <w:bookmarkStart w:id="29" w:name="методы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Методы:</w:t>
      </w:r>
    </w:p>
    <w:p>
      <w:pPr>
        <w:pStyle w:val="FirstParagraph"/>
      </w:pPr>
      <w:r>
        <w:t xml:space="preserve">криптоанализ, моделирование, сравнительный анализ.</w:t>
      </w:r>
    </w:p>
    <w:bookmarkEnd w:id="29"/>
    <w:bookmarkStart w:id="30" w:name="инструменты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Инструменты:</w:t>
      </w:r>
    </w:p>
    <w:p>
      <w:pPr>
        <w:pStyle w:val="FirstParagraph"/>
      </w:pPr>
      <w:r>
        <w:t xml:space="preserve">программные библиотеки (OpenSSL, CryptoAPI), тестовые среды.</w:t>
      </w:r>
    </w:p>
    <w:bookmarkEnd w:id="30"/>
    <w:bookmarkEnd w:id="31"/>
    <w:bookmarkStart w:id="46" w:name="основная-часть-доклад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rPr>
          <w:bCs/>
          <w:b/>
        </w:rPr>
        <w:t xml:space="preserve">Основная часть доклада</w:t>
      </w:r>
    </w:p>
    <w:bookmarkStart w:id="35" w:name="X51f45491ebe75741be917a5d07b06d1e76ce6c6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rPr>
          <w:bCs/>
          <w:b/>
        </w:rPr>
        <w:t xml:space="preserve">Принципы работы электронной цифровой подписи</w:t>
      </w:r>
    </w:p>
    <w:p>
      <w:pPr>
        <w:pStyle w:val="FirstParagraph"/>
      </w:pPr>
      <w:r>
        <w:t xml:space="preserve">Электронная цифровая подпись (ЭЦП) – это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информацию.</w:t>
      </w:r>
    </w:p>
    <w:bookmarkStart w:id="32" w:name="виды-эцп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Виды ЭЦП: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Простая электронная подпись.</w:t>
      </w:r>
      <w:r>
        <w:t xml:space="preserve"> </w:t>
      </w:r>
      <w:r>
        <w:t xml:space="preserve">Это логин/пароль или код из СМС, которые вводятся для авторизации в интернет‑магазине, портале «Госуслуги» или внутренней корпоративной сети, подтверждая личность. Простая электронная подпись имеет юридическую силу при оказании страховых, государственных и муниципальных услуг, а также если участники документооборота договорятся о её признании.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Неквалифицированная электронная подпись.</w:t>
      </w:r>
      <w:r>
        <w:t xml:space="preserve"> </w:t>
      </w:r>
      <w:r>
        <w:t xml:space="preserve">Это зашифрованная комбинация символов, которая подтверждает личность пользователя и позволяет обнаружить внесение изменений в документ после его подписания. Подходит для внутреннего документооборота и работы на портале nalog.ru. Документ, подписанный неквалифицированной ЭП, получает юридическую значимость, если имеется указание закона или достигнута договорённость между сторонами.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Квалифицированная электронная подпись.</w:t>
      </w:r>
      <w:r>
        <w:t xml:space="preserve"> </w:t>
      </w:r>
      <w:r>
        <w:t xml:space="preserve">Самая защищённая подпись, создаётся с использованием средств шифрования, сертифицированных ФСБ. Выдаётся квалифицированная ЭП только в удостоверяющих центрах, аккредитованных Минкомсвязи России. Любой документ, который законом не запрещено оформлять в электронном виде, можно подписывать квалифицированной электронной подписью. Он будет иметь полную юридическую силу.</w:t>
      </w:r>
    </w:p>
    <w:bookmarkEnd w:id="32"/>
    <w:bookmarkStart w:id="33" w:name="основные-функции-эцп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Основные функции ЭЦП: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Аутентификация</w:t>
      </w:r>
      <w:r>
        <w:t xml:space="preserve"> </w:t>
      </w:r>
      <w:r>
        <w:t xml:space="preserve">– подтверждение авторства документа.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Целостность</w:t>
      </w:r>
      <w:r>
        <w:t xml:space="preserve"> </w:t>
      </w:r>
      <w:r>
        <w:t xml:space="preserve">– гарантия отсутствия изменений после подписания.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Неотрекаемость</w:t>
      </w:r>
      <w:r>
        <w:t xml:space="preserve"> </w:t>
      </w:r>
      <w:r>
        <w:t xml:space="preserve">– невозможность отказа от подписи.</w:t>
      </w:r>
    </w:p>
    <w:bookmarkEnd w:id="33"/>
    <w:bookmarkStart w:id="34" w:name="криптографические-основы-эцп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rPr>
          <w:bCs/>
          <w:b/>
        </w:rPr>
        <w:t xml:space="preserve">Криптографические основы ЭЦП</w:t>
      </w:r>
    </w:p>
    <w:p>
      <w:pPr>
        <w:pStyle w:val="FirstParagraph"/>
      </w:pPr>
      <w:r>
        <w:t xml:space="preserve">ЭЦП строится на асимметричной криптографии, где используются: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Закрытый ключ</w:t>
      </w:r>
      <w:r>
        <w:t xml:space="preserve"> </w:t>
      </w:r>
      <w:r>
        <w:t xml:space="preserve">(приватный) – доступен только владельцу, с его помощью документ шифруется. Закрытый ключ не содержит в себе ничего, кроме механизма, с помощью которого он может шифровать документы.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Открытый ключ</w:t>
      </w:r>
      <w:r>
        <w:t xml:space="preserve"> </w:t>
      </w:r>
      <w:r>
        <w:t xml:space="preserve">(публичный) – доступен для всех, с его помощью документ дешифруется. В сертификате хранятся данные о владельце подписи, срок действия подписи и другие служебные данные</w:t>
      </w:r>
    </w:p>
    <w:p>
      <w:pPr>
        <w:pStyle w:val="FirstParagraph"/>
      </w:pPr>
      <w:r>
        <w:t xml:space="preserve">Процесс формирования и проверки подписи: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Формирование подписи</w:t>
      </w:r>
      <w:r>
        <w:t xml:space="preserve">:</w:t>
      </w:r>
    </w:p>
    <w:p>
      <w:pPr>
        <w:numPr>
          <w:ilvl w:val="1"/>
          <w:numId w:val="1008"/>
        </w:numPr>
      </w:pPr>
      <w:r>
        <w:t xml:space="preserve">Документ хешируется (например, SHA-256).</w:t>
      </w:r>
    </w:p>
    <w:p>
      <w:pPr>
        <w:numPr>
          <w:ilvl w:val="1"/>
          <w:numId w:val="1008"/>
        </w:numPr>
      </w:pPr>
      <w:r>
        <w:t xml:space="preserve">Хеш подписывается закрытым ключом (алгоритмы RSA, ECDSA и др.).</w:t>
      </w:r>
    </w:p>
    <w:p>
      <w:pPr>
        <w:numPr>
          <w:ilvl w:val="1"/>
          <w:numId w:val="1008"/>
        </w:numPr>
      </w:pPr>
      <w:r>
        <w:t xml:space="preserve">Подпись прикрепляется к документу.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Проверка подписи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Получатель вычисляет хеш документа.</w:t>
      </w:r>
    </w:p>
    <w:p>
      <w:pPr>
        <w:numPr>
          <w:ilvl w:val="1"/>
          <w:numId w:val="1009"/>
        </w:numPr>
      </w:pPr>
      <w:r>
        <w:t xml:space="preserve">Расшифровывает подпись открытым ключом.</w:t>
      </w:r>
    </w:p>
    <w:p>
      <w:pPr>
        <w:numPr>
          <w:ilvl w:val="1"/>
          <w:numId w:val="1009"/>
        </w:numPr>
      </w:pPr>
      <w:r>
        <w:t xml:space="preserve">Сравнивает полученный хеш с вычисленным.</w:t>
      </w:r>
    </w:p>
    <w:bookmarkEnd w:id="34"/>
    <w:bookmarkEnd w:id="35"/>
    <w:bookmarkStart w:id="40" w:name="основные-алгоритмы-цифровой-подпис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rPr>
          <w:bCs/>
          <w:b/>
        </w:rPr>
        <w:t xml:space="preserve">Основные алгоритмы цифровой подписи</w:t>
      </w:r>
    </w:p>
    <w:bookmarkStart w:id="36" w:name="rsa-rivest-shamir-adleman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rPr>
          <w:bCs/>
          <w:b/>
        </w:rPr>
        <w:t xml:space="preserve">RSA (Rivest-Shamir-Adleman)</w:t>
      </w:r>
    </w:p>
    <w:p>
      <w:pPr>
        <w:pStyle w:val="FirstParagraph"/>
      </w:pPr>
      <w:r>
        <w:rPr>
          <w:bCs/>
          <w:b/>
        </w:rPr>
        <w:t xml:space="preserve">RSA (Rivest-Shamir-Adleman)</w:t>
      </w:r>
      <w:r>
        <w:t xml:space="preserve"> </w:t>
      </w:r>
      <w:r>
        <w:t xml:space="preserve">- криптографический алгоритм с открытым ключом, который используется для безопасной передачи данных и создания цифровых подписей</w:t>
      </w:r>
    </w:p>
    <w:p>
      <w:pPr>
        <w:pStyle w:val="BodyText"/>
      </w:pPr>
      <w:r>
        <w:rPr>
          <w:bCs/>
          <w:b/>
        </w:rPr>
        <w:t xml:space="preserve">Преимущества</w:t>
      </w:r>
      <w:r>
        <w:t xml:space="preserve">:</w:t>
      </w:r>
    </w:p>
    <w:p>
      <w:pPr>
        <w:numPr>
          <w:ilvl w:val="0"/>
          <w:numId w:val="1010"/>
        </w:numPr>
      </w:pPr>
      <w:r>
        <w:t xml:space="preserve">Широкая поддержка в ПО.</w:t>
      </w:r>
    </w:p>
    <w:p>
      <w:pPr>
        <w:numPr>
          <w:ilvl w:val="0"/>
          <w:numId w:val="1010"/>
        </w:numPr>
      </w:pPr>
      <w:r>
        <w:t xml:space="preserve">Простота реализации.</w:t>
      </w:r>
    </w:p>
    <w:p>
      <w:pPr>
        <w:numPr>
          <w:ilvl w:val="0"/>
          <w:numId w:val="1010"/>
        </w:numPr>
      </w:pPr>
      <w:r>
        <w:t xml:space="preserve">Высокий уровень безопасности.</w:t>
      </w:r>
    </w:p>
    <w:p>
      <w:pPr>
        <w:numPr>
          <w:ilvl w:val="0"/>
          <w:numId w:val="1010"/>
        </w:numPr>
      </w:pPr>
      <w:r>
        <w:t xml:space="preserve">Возможность безопасного обмена ключами.</w:t>
      </w:r>
    </w:p>
    <w:p>
      <w:pPr>
        <w:pStyle w:val="FirstParagraph"/>
      </w:pPr>
      <w:r>
        <w:rPr>
          <w:bCs/>
          <w:b/>
        </w:rPr>
        <w:t xml:space="preserve">Недостатки</w:t>
      </w:r>
      <w:r>
        <w:t xml:space="preserve">:</w:t>
      </w:r>
    </w:p>
    <w:p>
      <w:pPr>
        <w:numPr>
          <w:ilvl w:val="0"/>
          <w:numId w:val="1011"/>
        </w:numPr>
      </w:pPr>
      <w:r>
        <w:t xml:space="preserve">Большая длина ключа → высокие вычислительные затраты.</w:t>
      </w:r>
    </w:p>
    <w:p>
      <w:pPr>
        <w:numPr>
          <w:ilvl w:val="0"/>
          <w:numId w:val="1011"/>
        </w:numPr>
      </w:pPr>
      <w:r>
        <w:t xml:space="preserve">Уязвим к квантовым атакам (квантовые компьютеры обладают способностью атаковать алгоритм RSA, потенциально расшифровывая данные).</w:t>
      </w:r>
    </w:p>
    <w:p>
      <w:pPr>
        <w:numPr>
          <w:ilvl w:val="0"/>
          <w:numId w:val="1011"/>
        </w:numPr>
      </w:pPr>
      <w:r>
        <w:t xml:space="preserve">Большой размер ключа.</w:t>
      </w:r>
    </w:p>
    <w:bookmarkEnd w:id="36"/>
    <w:bookmarkStart w:id="37" w:name="X6c089f7e5d467e1bf3044cc68d4c135bc84c043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rPr>
          <w:bCs/>
          <w:b/>
        </w:rPr>
        <w:t xml:space="preserve">ECDSA (Elliptic Curve Digital Signature Algorithm)</w:t>
      </w:r>
    </w:p>
    <w:p>
      <w:pPr>
        <w:pStyle w:val="FirstParagraph"/>
      </w:pPr>
      <w:r>
        <w:t xml:space="preserve">Использует эллиптические кривые (ECC), что позволяет уменьшить длину ключа (256–521 бит).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Преимущества</w:t>
      </w:r>
      <w:r>
        <w:t xml:space="preserve">:</w:t>
      </w:r>
    </w:p>
    <w:p>
      <w:pPr>
        <w:numPr>
          <w:ilvl w:val="1"/>
          <w:numId w:val="1013"/>
        </w:numPr>
      </w:pPr>
      <w:r>
        <w:t xml:space="preserve">Высокая скорость работы.</w:t>
      </w:r>
    </w:p>
    <w:p>
      <w:pPr>
        <w:numPr>
          <w:ilvl w:val="1"/>
          <w:numId w:val="1013"/>
        </w:numPr>
      </w:pPr>
      <w:r>
        <w:t xml:space="preserve">Меньший размер ключа при сопоставимой безопасности с RSA.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Недостатки</w:t>
      </w:r>
      <w:r>
        <w:t xml:space="preserve">:</w:t>
      </w:r>
    </w:p>
    <w:p>
      <w:pPr>
        <w:numPr>
          <w:ilvl w:val="1"/>
          <w:numId w:val="1014"/>
        </w:numPr>
      </w:pPr>
      <w:r>
        <w:t xml:space="preserve">Сложность реализации (риск ошибок в генерации случайных чисел).</w:t>
      </w:r>
    </w:p>
    <w:p>
      <w:pPr>
        <w:numPr>
          <w:ilvl w:val="1"/>
          <w:numId w:val="1014"/>
        </w:numPr>
      </w:pPr>
      <w:r>
        <w:t xml:space="preserve">Частичная уязвимость к квантовым вычислениям.</w:t>
      </w:r>
    </w:p>
    <w:bookmarkEnd w:id="37"/>
    <w:bookmarkStart w:id="38" w:name="X7c3f31bd621588605cb8d377c7a0a1f86a1b4a6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rPr>
          <w:bCs/>
          <w:b/>
        </w:rPr>
        <w:t xml:space="preserve">EdDSA (Edwards-curve Digital Signature Algorithm)</w:t>
      </w:r>
    </w:p>
    <w:p>
      <w:pPr>
        <w:pStyle w:val="FirstParagraph"/>
      </w:pPr>
      <w:r>
        <w:t xml:space="preserve">Основан на эллиптических кривых в форме Эдвардса (например, Curve25519).</w:t>
      </w:r>
    </w:p>
    <w:p>
      <w:pPr>
        <w:pStyle w:val="BodyText"/>
      </w:pPr>
      <w:r>
        <w:rPr>
          <w:bCs/>
          <w:b/>
        </w:rPr>
        <w:t xml:space="preserve">Преимущества</w:t>
      </w:r>
      <w:r>
        <w:t xml:space="preserve">:</w:t>
      </w:r>
    </w:p>
    <w:p>
      <w:pPr>
        <w:numPr>
          <w:ilvl w:val="0"/>
          <w:numId w:val="1015"/>
        </w:numPr>
      </w:pPr>
      <w:r>
        <w:t xml:space="preserve">Высокая скорость и безопасность.</w:t>
      </w:r>
    </w:p>
    <w:p>
      <w:pPr>
        <w:numPr>
          <w:ilvl w:val="0"/>
          <w:numId w:val="1015"/>
        </w:numPr>
      </w:pPr>
      <w:r>
        <w:t xml:space="preserve">Устойчивость к timing-атакам.</w:t>
      </w:r>
    </w:p>
    <w:p>
      <w:pPr>
        <w:numPr>
          <w:ilvl w:val="0"/>
          <w:numId w:val="1015"/>
        </w:numPr>
      </w:pPr>
      <w:r>
        <w:t xml:space="preserve">Детерминированность (не требует случайных чисел).</w:t>
      </w:r>
    </w:p>
    <w:bookmarkEnd w:id="38"/>
    <w:bookmarkStart w:id="39" w:name="гост-р-34.10-2012-российский-стандарт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rPr>
          <w:bCs/>
          <w:b/>
        </w:rPr>
        <w:t xml:space="preserve">ГОСТ Р 34.10-2012 (Российский стандарт)</w:t>
      </w:r>
    </w:p>
    <w:p>
      <w:pPr>
        <w:pStyle w:val="FirstParagraph"/>
      </w:pPr>
      <w:r>
        <w:t xml:space="preserve">Использует эллиптические кривые (256 или 512 бит).</w:t>
      </w:r>
    </w:p>
    <w:p>
      <w:pPr>
        <w:pStyle w:val="BodyText"/>
      </w:pPr>
      <w:r>
        <w:rPr>
          <w:bCs/>
          <w:b/>
        </w:rPr>
        <w:t xml:space="preserve">Особенности</w:t>
      </w:r>
      <w:r>
        <w:t xml:space="preserve">:</w:t>
      </w:r>
    </w:p>
    <w:p>
      <w:pPr>
        <w:numPr>
          <w:ilvl w:val="0"/>
          <w:numId w:val="1016"/>
        </w:numPr>
      </w:pPr>
      <w:r>
        <w:t xml:space="preserve">Соответствует требованиям ФСБ России.</w:t>
      </w:r>
    </w:p>
    <w:p>
      <w:pPr>
        <w:numPr>
          <w:ilvl w:val="0"/>
          <w:numId w:val="1016"/>
        </w:numPr>
      </w:pPr>
      <w:r>
        <w:t xml:space="preserve">Используется в государственных системах и банковской сфере.</w:t>
      </w:r>
    </w:p>
    <w:bookmarkEnd w:id="39"/>
    <w:bookmarkEnd w:id="40"/>
    <w:bookmarkStart w:id="41" w:name="инфраструктура-открытых-ключей-pki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rPr>
          <w:bCs/>
          <w:b/>
        </w:rPr>
        <w:t xml:space="preserve">Инфраструктура открытых ключей (PKI)</w:t>
      </w:r>
    </w:p>
    <w:p>
      <w:pPr>
        <w:pStyle w:val="FirstParagraph"/>
      </w:pPr>
      <w:r>
        <w:t xml:space="preserve">Для работы ЭЦП необходима PKI, которая включает: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Центры сертификации (CA)</w:t>
      </w:r>
      <w:r>
        <w:t xml:space="preserve"> </w:t>
      </w:r>
      <w:r>
        <w:t xml:space="preserve">– выдают цифровые сертификаты.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Реестры отозванных сертификатов (CRL, OCSP)</w:t>
      </w:r>
      <w:r>
        <w:t xml:space="preserve"> </w:t>
      </w:r>
      <w:r>
        <w:t xml:space="preserve">– проверяют действительность ключей.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Юридические регуляторы</w:t>
      </w:r>
      <w:r>
        <w:t xml:space="preserve"> </w:t>
      </w:r>
      <w:r>
        <w:t xml:space="preserve">(например, ФЗ №63 в РФ).</w:t>
      </w:r>
    </w:p>
    <w:bookmarkEnd w:id="41"/>
    <w:bookmarkStart w:id="44" w:name="угрозы-и-перспективы-развития-эцп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rPr>
          <w:bCs/>
          <w:b/>
        </w:rPr>
        <w:t xml:space="preserve">Угрозы и перспективы развития ЭЦП</w:t>
      </w:r>
    </w:p>
    <w:bookmarkStart w:id="42" w:name="основные-угрозы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rPr>
          <w:bCs/>
          <w:b/>
        </w:rPr>
        <w:t xml:space="preserve">Основные угрозы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Квантовые вычисления</w:t>
      </w:r>
      <w:r>
        <w:t xml:space="preserve">: RSA и ECDSA могут быть взломаны алгоритмом Шора.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Кража закрытых ключей</w:t>
      </w:r>
      <w:r>
        <w:t xml:space="preserve"> </w:t>
      </w:r>
      <w:r>
        <w:t xml:space="preserve">(фишинг, вредоносное ПО).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Ошибки реализации</w:t>
      </w:r>
      <w:r>
        <w:t xml:space="preserve"> </w:t>
      </w:r>
      <w:r>
        <w:t xml:space="preserve">(например, повторное использование nonce в ECDSA).</w:t>
      </w:r>
    </w:p>
    <w:bookmarkEnd w:id="42"/>
    <w:bookmarkStart w:id="43" w:name="постквантовая-криптография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rPr>
          <w:bCs/>
          <w:b/>
        </w:rPr>
        <w:t xml:space="preserve">Постквантовая криптография</w:t>
      </w:r>
    </w:p>
    <w:p>
      <w:pPr>
        <w:pStyle w:val="FirstParagraph"/>
      </w:pPr>
      <w:r>
        <w:t xml:space="preserve">Разрабатываются новые алгоритмы, устойчивые к квантовым атакам: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Lattice-based (решетки)</w:t>
      </w:r>
      <w:r>
        <w:t xml:space="preserve"> </w:t>
      </w:r>
      <w:r>
        <w:t xml:space="preserve">– NIST рекомендует CRYSTALS-Dilithium.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Hash-based (XMSS, SPHINCS+)</w:t>
      </w:r>
      <w:r>
        <w:t xml:space="preserve"> </w:t>
      </w:r>
      <w:r>
        <w:t xml:space="preserve">– используются в блокчейн-технологиях.</w:t>
      </w:r>
    </w:p>
    <w:bookmarkEnd w:id="43"/>
    <w:bookmarkEnd w:id="44"/>
    <w:bookmarkStart w:id="45" w:name="практическое-применение-эцп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rPr>
          <w:bCs/>
          <w:b/>
        </w:rPr>
        <w:t xml:space="preserve">Практическое применение ЭЦП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Электронный документооборот</w:t>
      </w:r>
      <w:r>
        <w:t xml:space="preserve"> </w:t>
      </w:r>
      <w:r>
        <w:t xml:space="preserve">(договоры, отчетность).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Госуслуги</w:t>
      </w:r>
      <w:r>
        <w:t xml:space="preserve"> </w:t>
      </w:r>
      <w:r>
        <w:t xml:space="preserve">(налоговая декларация, портал Госуслуг).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Криптовалюты</w:t>
      </w:r>
      <w:r>
        <w:t xml:space="preserve"> </w:t>
      </w:r>
      <w:r>
        <w:t xml:space="preserve">(Bitcoin использует ECDSA, Ethereum переходит на EdDSA).</w:t>
      </w:r>
    </w:p>
    <w:bookmarkEnd w:id="45"/>
    <w:bookmarkEnd w:id="46"/>
    <w:bookmarkStart w:id="4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ЭЦП — важный инструмент цифровой экономики. Современные алгоритмы обеспечивают надежность, но требуют постоянного совершенствования. Внедрение постквантовой криптографии и повышение осведомленности пользователей — ключевые направления развития.</w:t>
      </w:r>
    </w:p>
    <w:bookmarkStart w:id="47" w:name="выводы-1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Выводы:</w:t>
      </w:r>
    </w:p>
    <w:p>
      <w:pPr>
        <w:numPr>
          <w:ilvl w:val="0"/>
          <w:numId w:val="1021"/>
        </w:numPr>
      </w:pPr>
      <w:r>
        <w:t xml:space="preserve">ЭЦП обеспечивает безопасность и юридическую значимость электронных документов.</w:t>
      </w:r>
    </w:p>
    <w:p>
      <w:pPr>
        <w:numPr>
          <w:ilvl w:val="0"/>
          <w:numId w:val="1021"/>
        </w:numPr>
      </w:pPr>
      <w:r>
        <w:t xml:space="preserve">Современные алгоритмы (ECDSA, EdDSA, ГОСТ) эффективнее RSA.</w:t>
      </w:r>
    </w:p>
    <w:p>
      <w:pPr>
        <w:numPr>
          <w:ilvl w:val="0"/>
          <w:numId w:val="1021"/>
        </w:numPr>
      </w:pPr>
      <w:r>
        <w:t xml:space="preserve">Квантовые вычисления требуют перехода на постквантовые стандарты.</w:t>
      </w:r>
    </w:p>
    <w:p>
      <w:pPr>
        <w:numPr>
          <w:ilvl w:val="0"/>
          <w:numId w:val="1021"/>
        </w:numPr>
      </w:pPr>
      <w:r>
        <w:t xml:space="preserve">PKI играет ключевую роль в доверии к ЭЦП.</w:t>
      </w:r>
    </w:p>
    <w:bookmarkEnd w:id="47"/>
    <w:bookmarkEnd w:id="48"/>
    <w:bookmarkStart w:id="50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22"/>
        </w:numPr>
      </w:pPr>
      <w:r>
        <w:t xml:space="preserve">Понятие электронной подписи и ее виды [Электронный ресурс] - URL: https://its.1c.ru/db/eldocs/content/4/hdoc (дата обращения: 30.04.2025)</w:t>
      </w:r>
    </w:p>
    <w:p>
      <w:pPr>
        <w:numPr>
          <w:ilvl w:val="0"/>
          <w:numId w:val="1022"/>
        </w:numPr>
      </w:pPr>
      <w:r>
        <w:t xml:space="preserve">Алгоритм ECDSA [Электронный ресурс] - URL:https://habr.com/ru/articles/675918/ (дата обращения: 30.04.2025)</w:t>
      </w:r>
    </w:p>
    <w:p>
      <w:pPr>
        <w:numPr>
          <w:ilvl w:val="0"/>
          <w:numId w:val="1022"/>
        </w:numPr>
      </w:pPr>
      <w:r>
        <w:t xml:space="preserve">Федеральный закон №63-ФЗ «Об электронной подписи» (06.04.2011, ред. от 30.12.2021).</w:t>
      </w:r>
    </w:p>
    <w:p>
      <w:pPr>
        <w:numPr>
          <w:ilvl w:val="0"/>
          <w:numId w:val="1022"/>
        </w:numPr>
      </w:pPr>
      <w:r>
        <w:t xml:space="preserve">ГОСТ Р 34.10-2012 «Информационная технология. Криптографическая защита информации. Процессы формирования и проверки электронной цифровой подписи».</w:t>
      </w:r>
    </w:p>
    <w:p>
      <w:pPr>
        <w:numPr>
          <w:ilvl w:val="0"/>
          <w:numId w:val="1022"/>
        </w:numPr>
      </w:pPr>
      <w:r>
        <w:t xml:space="preserve">NIST FIPS 186-5 Digital Signature Standard (DSS) (2023). [Электронный ресурс] – URL: https://csrc.nist.gov/publications/detail/fips/186/5/final (дата обращения: 30.04.2025)</w:t>
      </w:r>
    </w:p>
    <w:p>
      <w:pPr>
        <w:numPr>
          <w:ilvl w:val="0"/>
          <w:numId w:val="1022"/>
        </w:numPr>
      </w:pPr>
      <w:r>
        <w:t xml:space="preserve">NIST SP 800-208 Recommendation for Stateful Hash-Based Signature Schemes (2020). [Электронный ресурс] – URL: https://doi.org/10.6028/NIST.SP.800-208 (дата обращения: 30.04.2025)</w:t>
      </w:r>
    </w:p>
    <w:p>
      <w:pPr>
        <w:numPr>
          <w:ilvl w:val="0"/>
          <w:numId w:val="1022"/>
        </w:numPr>
      </w:pPr>
      <w:r>
        <w:t xml:space="preserve">RFC 8032: Edwards-curve Digital Signature Algorithm (EdDSA) (2017). [Электронный ресурс] – URL: https://www.rfc-editor.org/rfc/rfc8032 (дата обращения: 30.04.2025)</w:t>
      </w:r>
    </w:p>
    <w:p>
      <w:pPr>
        <w:numPr>
          <w:ilvl w:val="0"/>
          <w:numId w:val="1022"/>
        </w:numPr>
      </w:pPr>
      <w:r>
        <w:t xml:space="preserve">КриптоПро: Технологии электронной подписи и шифрования. [Электронный ресурс] – URL: https://www.cryptopro.ru (дата обращения: 30.04.2025)</w:t>
      </w:r>
    </w:p>
    <w:bookmarkStart w:id="49" w:name="refs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Доклад: Электронные цифровые подписи. Механизмы цифровой подписи.</dc:title>
  <dc:creator>Жукова Арина Александровна</dc:creator>
  <dc:language>ru-RU</dc:language>
  <cp:keywords/>
  <dcterms:created xsi:type="dcterms:W3CDTF">2025-05-02T19:09:10Z</dcterms:created>
  <dcterms:modified xsi:type="dcterms:W3CDTF">2025-05-02T19:09:10Z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