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Испльзование</w:t>
      </w:r>
      <w:r>
        <w:t xml:space="preserve"> </w:t>
      </w:r>
      <w:r>
        <w:t xml:space="preserve">nikto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Александровна,</w:t>
      </w:r>
      <w:r>
        <w:t xml:space="preserve"> </w:t>
      </w:r>
      <w:r>
        <w:t xml:space="preserve">НПИбд-03-23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выявлять возможные уязвимости в веб-серверах при помощи nikto.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Использовать nikto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Nikto — базовый сканер безопасности веб-сервера. Он сканирует и обнаруживает уязвимости в веб-приложениях, вызванные неправильной конфигурацией, файлами по умолчанию, небезопасными файлами и устаревшими серверными приложениями. Поскольку nikto построен на LibWhisker2, он сразу после установки поддерживает кросс-платформенное развертывание, SSL (криптографический протокол для более безопасной связи), методы аутентификации хоста (NTLM/Basic), прокси и несколько методов уклонения от идентификаторов. Он также поддерживает перечисление под доменов, проверку безопасности приложений (XSS, SQL-инъекции и т.д.) и способен с помощью атаки паролей на основе словаря угадывать учетные данные авторизации.</w:t>
      </w:r>
    </w:p>
    <w:bookmarkEnd w:id="22"/>
    <w:bookmarkStart w:id="35" w:name="выполнение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работы</w:t>
      </w:r>
    </w:p>
    <w:p>
      <w:pPr>
        <w:numPr>
          <w:ilvl w:val="0"/>
          <w:numId w:val="1001"/>
        </w:numPr>
        <w:pStyle w:val="Compact"/>
      </w:pPr>
      <w:r>
        <w:t xml:space="preserve">Запускаем сервер при помощи команд</w:t>
      </w:r>
      <w:r>
        <w:t xml:space="preserve"> </w:t>
      </w:r>
      <w:r>
        <w:rPr>
          <w:rStyle w:val="VerbatimChar"/>
        </w:rPr>
        <w:t xml:space="preserve">systemctl start "то, что запускаем"</w:t>
      </w:r>
      <w:r>
        <w:t xml:space="preserve">.</w:t>
      </w:r>
    </w:p>
    <w:p>
      <w:pPr>
        <w:pStyle w:val="CaptionedFigure"/>
      </w:pPr>
      <w:r>
        <w:drawing>
          <wp:inline>
            <wp:extent cx="3137835" cy="924025"/>
            <wp:effectExtent b="0" l="0" r="0" t="0"/>
            <wp:docPr descr="Запуск сервер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numPr>
          <w:ilvl w:val="0"/>
          <w:numId w:val="1002"/>
        </w:numPr>
        <w:pStyle w:val="Compact"/>
      </w:pPr>
      <w:r>
        <w:t xml:space="preserve">Через терминал запускаем приложение для сканирования nikto</w:t>
      </w:r>
    </w:p>
    <w:p>
      <w:pPr>
        <w:pStyle w:val="CaptionedFigure"/>
      </w:pPr>
      <w:r>
        <w:drawing>
          <wp:inline>
            <wp:extent cx="2569945" cy="404261"/>
            <wp:effectExtent b="0" l="0" r="0" t="0"/>
            <wp:docPr descr="Запуск приложе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45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приложения</w:t>
      </w:r>
    </w:p>
    <w:p>
      <w:pPr>
        <w:numPr>
          <w:ilvl w:val="0"/>
          <w:numId w:val="1003"/>
        </w:numPr>
        <w:pStyle w:val="Compact"/>
      </w:pPr>
      <w:r>
        <w:t xml:space="preserve">Запускаем сканирование, указывая ссылку http</w:t>
      </w:r>
    </w:p>
    <w:p>
      <w:pPr>
        <w:pStyle w:val="CaptionedFigure"/>
      </w:pPr>
      <w:r>
        <w:drawing>
          <wp:inline>
            <wp:extent cx="3733800" cy="3232778"/>
            <wp:effectExtent b="0" l="0" r="0" t="0"/>
            <wp:docPr descr="Запуск сканирования через ссылку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сканирования через ссылку</w:t>
      </w:r>
    </w:p>
    <w:p>
      <w:pPr>
        <w:numPr>
          <w:ilvl w:val="0"/>
          <w:numId w:val="1004"/>
        </w:numPr>
        <w:pStyle w:val="Compact"/>
      </w:pPr>
      <w:r>
        <w:t xml:space="preserve">Запускаем сканирование, указывая ip-адрес и порт</w:t>
      </w:r>
    </w:p>
    <w:p>
      <w:pPr>
        <w:pStyle w:val="CaptionedFigure"/>
      </w:pPr>
      <w:r>
        <w:drawing>
          <wp:inline>
            <wp:extent cx="3733800" cy="2984674"/>
            <wp:effectExtent b="0" l="0" r="0" t="0"/>
            <wp:docPr descr="Запуск сканирования через ip и порт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сканирования через ip и порт</w:t>
      </w:r>
    </w:p>
    <w:p>
      <w:pPr>
        <w:pStyle w:val="BodyText"/>
      </w:pPr>
      <w:r>
        <w:t xml:space="preserve">Можем указывать различные параметры, в зависимости от требований:</w:t>
      </w:r>
    </w:p>
    <w:p>
      <w:pPr>
        <w:pStyle w:val="SourceCode"/>
      </w:pPr>
      <w:r>
        <w:rPr>
          <w:rStyle w:val="VerbatimChar"/>
        </w:rPr>
        <w:t xml:space="preserve">-h      Указывает целевой веб-сервер для сканирования. Например, -h example.com</w:t>
      </w:r>
      <w:r>
        <w:br/>
      </w:r>
      <w:r>
        <w:br/>
      </w:r>
      <w:r>
        <w:rPr>
          <w:rStyle w:val="VerbatimChar"/>
        </w:rPr>
        <w:t xml:space="preserve">-p      Указывает порт, на котором работает веб-сервер.</w:t>
      </w:r>
      <w:r>
        <w:br/>
      </w:r>
      <w:r>
        <w:br/>
      </w:r>
      <w:r>
        <w:rPr>
          <w:rStyle w:val="VerbatimChar"/>
        </w:rPr>
        <w:t xml:space="preserve">-ssl    Активирует сканирование через SSL/TLS.</w:t>
      </w:r>
      <w:r>
        <w:br/>
      </w:r>
      <w:r>
        <w:br/>
      </w:r>
      <w:r>
        <w:rPr>
          <w:rStyle w:val="VerbatimChar"/>
        </w:rPr>
        <w:t xml:space="preserve">-id     Указывает пользовательский User-Agent для передачи веб-серверу.</w:t>
      </w:r>
      <w:r>
        <w:br/>
      </w:r>
      <w:r>
        <w:br/>
      </w:r>
      <w:r>
        <w:rPr>
          <w:rStyle w:val="VerbatimChar"/>
        </w:rPr>
        <w:t xml:space="preserve">-o      Указывает файл для сохранения результатов сканирования.</w:t>
      </w:r>
      <w:r>
        <w:br/>
      </w:r>
      <w:r>
        <w:br/>
      </w:r>
      <w:r>
        <w:rPr>
          <w:rStyle w:val="VerbatimChar"/>
        </w:rPr>
        <w:t xml:space="preserve">-Plugins    Активирует определенные плагины для сканирования. Например, -Plugins auto,nikto</w:t>
      </w:r>
      <w:r>
        <w:br/>
      </w:r>
      <w:r>
        <w:br/>
      </w:r>
      <w:r>
        <w:rPr>
          <w:rStyle w:val="VerbatimChar"/>
        </w:rPr>
        <w:t xml:space="preserve">-Tuning     Указывает профиль настроек для сканирования. Например, -Tuning 3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данного этапа были приобретены практические навыки использования базового сканера безопасности веб-серверов nikto.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5"/>
        </w:numPr>
        <w:pStyle w:val="Compact"/>
      </w:pPr>
      <w:r>
        <w:t xml:space="preserve">Парасрам, Ш. Kali Linux: Тестирование на проникновение и безопасность : Для профессионалов. Kali Linux / Ш. Парасрам, А. Замм, Т. Хериянто, и др. – Санкт-Петербург : Питер, 2022. – 448 сс.</w:t>
      </w:r>
    </w:p>
    <w:bookmarkStart w:id="37" w:name="refs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4</dc:title>
  <dc:creator>Жукова Арина Александровна, НПИбд-03-23</dc:creator>
  <dc:language>ru-RU</dc:language>
  <cp:keywords/>
  <dcterms:created xsi:type="dcterms:W3CDTF">2025-04-26T17:21:11Z</dcterms:created>
  <dcterms:modified xsi:type="dcterms:W3CDTF">2025-04-26T17:21:11Z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Испльзование nikto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