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2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Отчёт:</w:t>
      </w:r>
      <w:r>
        <w:t xml:space="preserve"> </w:t>
      </w:r>
      <w:r>
        <w:t xml:space="preserve">Внешний</w:t>
      </w:r>
      <w:r>
        <w:t xml:space="preserve"> </w:t>
      </w:r>
      <w:r>
        <w:t xml:space="preserve">курс</w:t>
      </w:r>
    </w:p>
    <w:p>
      <w:pPr>
        <w:pStyle w:val="Subtitle"/>
      </w:pPr>
      <w:r>
        <w:t xml:space="preserve">Раздел</w:t>
      </w:r>
      <w:r>
        <w:t xml:space="preserve"> </w:t>
      </w:r>
      <w:r>
        <w:t xml:space="preserve">3.</w:t>
      </w:r>
      <w:r>
        <w:t xml:space="preserve"> </w:t>
      </w:r>
      <w:r>
        <w:t xml:space="preserve">Криптография</w:t>
      </w:r>
      <w:r>
        <w:t xml:space="preserve"> </w:t>
      </w:r>
      <w:r>
        <w:t xml:space="preserve">на</w:t>
      </w:r>
      <w:r>
        <w:t xml:space="preserve"> </w:t>
      </w:r>
      <w:r>
        <w:t xml:space="preserve">практике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курса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курса</w:t>
      </w:r>
    </w:p>
    <w:p>
      <w:pPr>
        <w:pStyle w:val="FirstParagraph"/>
      </w:pPr>
      <w:r>
        <w:t xml:space="preserve">Заложить основы для понимания основных принципов работы в сети</w:t>
      </w:r>
    </w:p>
    <w:bookmarkEnd w:id="20"/>
    <w:bookmarkStart w:id="21" w:name="задач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Задачи</w:t>
      </w:r>
    </w:p>
    <w:p>
      <w:pPr>
        <w:numPr>
          <w:ilvl w:val="0"/>
          <w:numId w:val="1001"/>
        </w:numPr>
      </w:pPr>
      <w:r>
        <w:t xml:space="preserve">понять, как работает Интернет, и какие у него</w:t>
      </w:r>
      <w:r>
        <w:t xml:space="preserve"> </w:t>
      </w:r>
      <w:r>
        <w:t xml:space="preserve">“</w:t>
      </w:r>
      <w:r>
        <w:t xml:space="preserve">слабые</w:t>
      </w:r>
      <w:r>
        <w:t xml:space="preserve">”</w:t>
      </w:r>
      <w:r>
        <w:t xml:space="preserve"> </w:t>
      </w:r>
      <w:r>
        <w:t xml:space="preserve">места</w:t>
      </w:r>
    </w:p>
    <w:p>
      <w:pPr>
        <w:numPr>
          <w:ilvl w:val="0"/>
          <w:numId w:val="1001"/>
        </w:numPr>
      </w:pPr>
      <w:r>
        <w:t xml:space="preserve">уяснить, почему 1245YOURNAME – плохой пароль</w:t>
      </w:r>
    </w:p>
    <w:p>
      <w:pPr>
        <w:numPr>
          <w:ilvl w:val="0"/>
          <w:numId w:val="1001"/>
        </w:numPr>
      </w:pPr>
      <w:r>
        <w:t xml:space="preserve">научиться отличать шифрование от электронной подписи</w:t>
      </w:r>
    </w:p>
    <w:p>
      <w:pPr>
        <w:numPr>
          <w:ilvl w:val="0"/>
          <w:numId w:val="1001"/>
        </w:numPr>
      </w:pPr>
      <w:r>
        <w:t xml:space="preserve">узнать, как работают электронные платежи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Криптографические примитивы:</w:t>
      </w:r>
    </w:p>
    <w:p>
      <w:pPr>
        <w:numPr>
          <w:ilvl w:val="0"/>
          <w:numId w:val="1002"/>
        </w:numPr>
        <w:pStyle w:val="Compact"/>
      </w:pPr>
      <w:r>
        <w:t xml:space="preserve">Симметричное шифрование использует общий секретный ключ для шифрования и дешифрования данных. Включает генерацию ключа, функцию шифрования и функцию дешифрования.</w:t>
      </w:r>
    </w:p>
    <w:p>
      <w:pPr>
        <w:numPr>
          <w:ilvl w:val="0"/>
          <w:numId w:val="1002"/>
        </w:numPr>
        <w:pStyle w:val="Compact"/>
      </w:pPr>
      <w:r>
        <w:t xml:space="preserve">Аутентификация — процесс подтверждения подлинности участников коммуникации.</w:t>
      </w:r>
    </w:p>
    <w:p>
      <w:pPr>
        <w:numPr>
          <w:ilvl w:val="0"/>
          <w:numId w:val="1002"/>
        </w:numPr>
        <w:pStyle w:val="Compact"/>
      </w:pPr>
      <w:r>
        <w:t xml:space="preserve">Цифровая подпись в асимметричной криптографии используется для подтверждения авторства и целостности данных. У каждой стороны есть пара ключей: открытый и секретный.</w:t>
      </w:r>
    </w:p>
    <w:p>
      <w:pPr>
        <w:numPr>
          <w:ilvl w:val="0"/>
          <w:numId w:val="1002"/>
        </w:numPr>
        <w:pStyle w:val="Compact"/>
      </w:pPr>
      <w:r>
        <w:t xml:space="preserve">Хэш-функция преобразует входные данные в фиксированную строку. Применяется для хранения паролей, подтверждения целостности данных и в блокчейне. Важное свойство — стойкость к коллизиям и сложность обращения функции.</w:t>
      </w:r>
    </w:p>
    <w:p>
      <w:pPr>
        <w:pStyle w:val="FirstParagraph"/>
      </w:pPr>
      <w:r>
        <w:t xml:space="preserve">Криптография делится на:</w:t>
      </w:r>
    </w:p>
    <w:p>
      <w:pPr>
        <w:numPr>
          <w:ilvl w:val="0"/>
          <w:numId w:val="1003"/>
        </w:numPr>
        <w:pStyle w:val="Compact"/>
      </w:pPr>
      <w:r>
        <w:t xml:space="preserve">Симметричную — с использованием общих секретных ключей.</w:t>
      </w:r>
    </w:p>
    <w:p>
      <w:pPr>
        <w:numPr>
          <w:ilvl w:val="0"/>
          <w:numId w:val="1003"/>
        </w:numPr>
        <w:pStyle w:val="Compact"/>
      </w:pPr>
      <w:r>
        <w:t xml:space="preserve">Асимметричную (с открытым ключом) — с парой ключей у каждой стороны.</w:t>
      </w:r>
      <w:r>
        <w:t xml:space="preserve"> </w:t>
      </w:r>
      <w:r>
        <w:t xml:space="preserve">Цифровая подпись обеспечивает целостность, аутентификацию и неотказуемость сообщения.</w:t>
      </w:r>
    </w:p>
    <w:p>
      <w:pPr>
        <w:pStyle w:val="FirstParagraph"/>
      </w:pPr>
      <w:r>
        <w:t xml:space="preserve">Области применения цифровой подписи:</w:t>
      </w:r>
    </w:p>
    <w:p>
      <w:pPr>
        <w:numPr>
          <w:ilvl w:val="0"/>
          <w:numId w:val="1004"/>
        </w:numPr>
        <w:pStyle w:val="Compact"/>
      </w:pPr>
      <w:r>
        <w:t xml:space="preserve">Обновление софта. Разработчики подписывают программный код с помощью секретного ключа. Пользователи проверяют подпись перед установкой обновления.</w:t>
      </w:r>
    </w:p>
    <w:p>
      <w:pPr>
        <w:numPr>
          <w:ilvl w:val="0"/>
          <w:numId w:val="1004"/>
        </w:numPr>
        <w:pStyle w:val="Compact"/>
      </w:pPr>
      <w:r>
        <w:t xml:space="preserve">Сертификаты. Удостоверяющие центры связывают публичные ключи с физическими лицами. Пользователи могут проверить подлинность сертификатов и публичных ключей.</w:t>
      </w:r>
    </w:p>
    <w:p>
      <w:pPr>
        <w:pStyle w:val="FirstParagraph"/>
      </w:pPr>
      <w:r>
        <w:t xml:space="preserve">Пример: пользователь Алиса получает сертификат от удостоверяющего центра, который подтверждает её публичный ключ. Другие пользователи могут проверить сертификат и установить аутентифицированный канал с Алисой.</w:t>
      </w:r>
      <w:r>
        <w:t xml:space="preserve"> </w:t>
      </w:r>
      <w:r>
        <w:t xml:space="preserve">Блокчейн — это система, основанная на технологии распределённого реестра, где данные хранятся в виде последовательности блоков, содержащих транзакции.</w:t>
      </w:r>
    </w:p>
    <w:p>
      <w:pPr>
        <w:pStyle w:val="BodyText"/>
      </w:pPr>
      <w:r>
        <w:t xml:space="preserve">Криптовалюта — разновидность цифровых денег, построенных на основе технологии блокчейн. Для их корректной работы используются криптографические примитивы.</w:t>
      </w:r>
    </w:p>
    <w:p>
      <w:pPr>
        <w:pStyle w:val="BodyText"/>
      </w:pPr>
      <w:r>
        <w:t xml:space="preserve">Майнеры — участники блокчейна, которые создают новые блоки, добавляя их в сеть.</w:t>
      </w:r>
    </w:p>
    <w:p>
      <w:pPr>
        <w:pStyle w:val="BodyText"/>
      </w:pPr>
      <w:r>
        <w:t xml:space="preserve">Консенсус в блокчейне — это публичная структура данных (ledger), где хранится история всех переводов. Свойства консенсуса: постоянство, согласованность данных среди участников, живучесть (возможность добавления новых транзакций) и открытость (возможность участия в блокчейне для любого человека).</w:t>
      </w:r>
    </w:p>
    <w:p>
      <w:pPr>
        <w:pStyle w:val="BodyText"/>
      </w:pPr>
      <w:r>
        <w:t xml:space="preserve">Транзакция — это перевод денег от одного человека к другому. Транзакции формируются любыми участниками, а блоки — майнерами.</w:t>
      </w:r>
    </w:p>
    <w:bookmarkEnd w:id="22"/>
    <w:bookmarkStart w:id="91" w:name="Xdfac2e7ece5f10b34b958e46ac22340bfe49c91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Прохождение раздела криптография на практике</w:t>
      </w:r>
    </w:p>
    <w:bookmarkStart w:id="43" w:name="введение-в-криптографию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rPr>
          <w:bCs/>
          <w:b/>
        </w:rPr>
        <w:t xml:space="preserve">Введение в криптографию</w:t>
      </w:r>
    </w:p>
    <w:p>
      <w:pPr>
        <w:pStyle w:val="FirstParagraph"/>
      </w:pPr>
      <w:r>
        <w:rPr>
          <w:bCs/>
          <w:b/>
        </w:rPr>
        <w:t xml:space="preserve">№1</w:t>
      </w:r>
    </w:p>
    <w:p>
      <w:pPr>
        <w:pStyle w:val="BodyText"/>
      </w:pPr>
      <w:r>
        <w:rPr>
          <w:bCs/>
          <w:b/>
        </w:rPr>
        <w:t xml:space="preserve">Формулировка задания:</w:t>
      </w:r>
      <w:r>
        <w:t xml:space="preserve"> </w:t>
      </w:r>
      <w:r>
        <w:rPr>
          <w:iCs/>
          <w:i/>
        </w:rPr>
        <w:t xml:space="preserve">В асимметричных криптографических примитивах:</w:t>
      </w:r>
    </w:p>
    <w:p>
      <w:pPr>
        <w:pStyle w:val="BodyText"/>
      </w:pPr>
      <w:r>
        <w:rPr>
          <w:bCs/>
          <w:b/>
        </w:rPr>
        <w:t xml:space="preserve">Варианты ответа:</w:t>
      </w:r>
    </w:p>
    <w:p>
      <w:pPr>
        <w:numPr>
          <w:ilvl w:val="0"/>
          <w:numId w:val="1005"/>
        </w:numPr>
        <w:pStyle w:val="Compact"/>
      </w:pPr>
      <w:r>
        <w:t xml:space="preserve">☐ обе стороны имеют пару ключей</w:t>
      </w:r>
    </w:p>
    <w:p>
      <w:pPr>
        <w:numPr>
          <w:ilvl w:val="0"/>
          <w:numId w:val="1005"/>
        </w:numPr>
        <w:pStyle w:val="Compact"/>
      </w:pPr>
      <w:r>
        <w:t xml:space="preserve">☐ одна сторона публикует свой секретный ключ, другая - держит его в секрете</w:t>
      </w:r>
    </w:p>
    <w:p>
      <w:pPr>
        <w:numPr>
          <w:ilvl w:val="0"/>
          <w:numId w:val="1005"/>
        </w:numPr>
        <w:pStyle w:val="Compact"/>
      </w:pPr>
      <w:r>
        <w:t xml:space="preserve">☐ обе стороны имеют общий секретный ключ</w:t>
      </w:r>
    </w:p>
    <w:p>
      <w:pPr>
        <w:numPr>
          <w:ilvl w:val="0"/>
          <w:numId w:val="1005"/>
        </w:numPr>
        <w:pStyle w:val="Compact"/>
      </w:pPr>
      <w:r>
        <w:t xml:space="preserve">☒ одна сторона имеет только секретный ключ, а другая – пару из открытого и секретного ключей</w:t>
      </w:r>
    </w:p>
    <w:p>
      <w:pPr>
        <w:pStyle w:val="FirstParagraph"/>
      </w:pPr>
      <w:r>
        <w:rPr>
          <w:bCs/>
          <w:b/>
        </w:rPr>
        <w:t xml:space="preserve">Обоснование ответа:</w:t>
      </w:r>
      <w:r>
        <w:br/>
      </w:r>
      <w:r>
        <w:t xml:space="preserve">В асимметричной криптографии используется пара ключей: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Открытый ключ</w:t>
      </w:r>
      <w:r>
        <w:t xml:space="preserve"> </w:t>
      </w:r>
      <w:r>
        <w:t xml:space="preserve">- публикуется и используется для шифрования/проверки подписи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Секретный ключ</w:t>
      </w:r>
      <w:r>
        <w:t xml:space="preserve"> </w:t>
      </w:r>
      <w:r>
        <w:t xml:space="preserve">- хранится в тайне и используется для расшифровки/создания подписи</w:t>
      </w:r>
    </w:p>
    <w:p>
      <w:pPr>
        <w:pStyle w:val="BodyText"/>
      </w:pPr>
      <w:bookmarkStart w:id="26" w:name="fig:011"/>
      <w:r>
        <w:drawing>
          <wp:inline>
            <wp:extent cx="3733800" cy="2777066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7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BodyText"/>
      </w:pPr>
      <w:r>
        <w:rPr>
          <w:bCs/>
          <w:b/>
        </w:rPr>
        <w:t xml:space="preserve">№2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Свойства криптографической хэш-функции:</w:t>
      </w:r>
    </w:p>
    <w:p>
      <w:pPr>
        <w:pStyle w:val="BodyText"/>
      </w:pPr>
      <w:r>
        <w:rPr>
          <w:bCs/>
          <w:b/>
        </w:rPr>
        <w:t xml:space="preserve">2. Варианты ответа</w:t>
      </w:r>
    </w:p>
    <w:p>
      <w:pPr>
        <w:numPr>
          <w:ilvl w:val="0"/>
          <w:numId w:val="1006"/>
        </w:numPr>
        <w:pStyle w:val="Compact"/>
      </w:pPr>
      <w:r>
        <w:t xml:space="preserve">☒ стойкая к коллизиям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☒ фиксированный размер вывода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☒ эффективно вычисляется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☐ обеспечивает конфиденциальность захэшированных данных</w:t>
      </w:r>
    </w:p>
    <w:p>
      <w:pPr>
        <w:pStyle w:val="FirstParagraph"/>
      </w:pPr>
      <w:bookmarkStart w:id="30" w:name="fig:012"/>
      <w:r>
        <w:drawing>
          <wp:inline>
            <wp:extent cx="3733800" cy="188897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414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8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Хэш-функции гарантируют целостность данных и устойчивость к коллизиям, но</w:t>
      </w:r>
      <w:r>
        <w:t xml:space="preserve"> </w:t>
      </w:r>
      <w:r>
        <w:rPr>
          <w:bCs/>
          <w:b/>
        </w:rPr>
        <w:t xml:space="preserve">не шифруют информацию</w:t>
      </w:r>
      <w:r>
        <w:t xml:space="preserve">, поэтому конфиденциальность не обеспечивается.</w:t>
      </w:r>
    </w:p>
    <w:p>
      <w:pPr>
        <w:pStyle w:val="BodyText"/>
      </w:pPr>
      <w:r>
        <w:rPr>
          <w:bCs/>
          <w:b/>
        </w:rPr>
        <w:t xml:space="preserve">№3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К алгоритмам цифровой подписи относятся:</w:t>
      </w:r>
    </w:p>
    <w:p>
      <w:pPr>
        <w:pStyle w:val="BodyText"/>
      </w:pPr>
      <w:r>
        <w:rPr>
          <w:bCs/>
          <w:b/>
        </w:rPr>
        <w:t xml:space="preserve">2. Варианты ответа</w:t>
      </w:r>
    </w:p>
    <w:p>
      <w:pPr>
        <w:numPr>
          <w:ilvl w:val="0"/>
          <w:numId w:val="1007"/>
        </w:numPr>
        <w:pStyle w:val="Compact"/>
      </w:pPr>
      <w:r>
        <w:t xml:space="preserve">☒ RSA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☒ ECDSA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☒ ГОСТ Р 34.10-2012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☐ AES</w:t>
      </w:r>
    </w:p>
    <w:p>
      <w:pPr>
        <w:pStyle w:val="FirstParagraph"/>
      </w:pPr>
      <w:bookmarkStart w:id="34" w:name="fig:013"/>
      <w:r>
        <w:drawing>
          <wp:inline>
            <wp:extent cx="3733800" cy="1990742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420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0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RSA, ECDSA и ГОСТ Р 34.10-2012 — стандартные алгоритмы цифровой подписи. AES — алгоритм симметричного шифрования.</w:t>
      </w:r>
    </w:p>
    <w:p>
      <w:pPr>
        <w:pStyle w:val="BodyText"/>
      </w:pPr>
      <w:r>
        <w:rPr>
          <w:bCs/>
          <w:b/>
        </w:rPr>
        <w:t xml:space="preserve">№4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Код аутентификации сообщения (MAC) относится к:</w:t>
      </w:r>
    </w:p>
    <w:p>
      <w:pPr>
        <w:pStyle w:val="BodyText"/>
      </w:pPr>
      <w:r>
        <w:rPr>
          <w:bCs/>
          <w:b/>
        </w:rPr>
        <w:t xml:space="preserve">2. Варианты ответа</w:t>
      </w:r>
    </w:p>
    <w:p>
      <w:pPr>
        <w:numPr>
          <w:ilvl w:val="0"/>
          <w:numId w:val="1008"/>
        </w:numPr>
        <w:pStyle w:val="Compact"/>
      </w:pPr>
      <w:r>
        <w:t xml:space="preserve">☒ симметричным примитивам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☐ асимметричным примитивам</w:t>
      </w:r>
    </w:p>
    <w:p>
      <w:pPr>
        <w:pStyle w:val="FirstParagraph"/>
      </w:pPr>
      <w:bookmarkStart w:id="38" w:name="fig:014"/>
      <w:r>
        <w:drawing>
          <wp:inline>
            <wp:extent cx="3733800" cy="161398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422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3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MAC использует</w:t>
      </w:r>
      <w:r>
        <w:t xml:space="preserve"> </w:t>
      </w:r>
      <w:r>
        <w:rPr>
          <w:bCs/>
          <w:b/>
        </w:rPr>
        <w:t xml:space="preserve">общий секретный ключ</w:t>
      </w:r>
      <w:r>
        <w:t xml:space="preserve"> </w:t>
      </w:r>
      <w:r>
        <w:t xml:space="preserve">для генерации и проверки кода, что характерно для симметричной криптографии.</w:t>
      </w:r>
    </w:p>
    <w:p>
      <w:pPr>
        <w:pStyle w:val="BodyText"/>
      </w:pPr>
      <w:r>
        <w:rPr>
          <w:bCs/>
          <w:b/>
        </w:rPr>
        <w:t xml:space="preserve">№5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Обмен ключами Диффи-Хеллмана — это:</w:t>
      </w:r>
    </w:p>
    <w:p>
      <w:pPr>
        <w:pStyle w:val="BodyText"/>
      </w:pPr>
      <w:r>
        <w:rPr>
          <w:bCs/>
          <w:b/>
        </w:rPr>
        <w:t xml:space="preserve">2. Варианты ответа</w:t>
      </w:r>
    </w:p>
    <w:p>
      <w:pPr>
        <w:numPr>
          <w:ilvl w:val="0"/>
          <w:numId w:val="1009"/>
        </w:numPr>
        <w:pStyle w:val="Compact"/>
      </w:pPr>
      <w:r>
        <w:t xml:space="preserve">☒ асимметричный примитив генерации общего секретного ключа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☐ симметричный примитив генерации общего секретного ключа</w:t>
      </w:r>
    </w:p>
    <w:p>
      <w:pPr>
        <w:pStyle w:val="FirstParagraph"/>
      </w:pPr>
      <w:bookmarkStart w:id="42" w:name="fig:015"/>
      <w:r>
        <w:drawing>
          <wp:inline>
            <wp:extent cx="3733800" cy="170576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425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5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Протокол Диффи-Хеллмана позволяет двум сторонам безопасно сгенерировать общий секретный ключ через незащищённый канал, используя асимметричные методы.</w:t>
      </w:r>
    </w:p>
    <w:p>
      <w:r>
        <w:pict>
          <v:rect style="width:0;height:1.5pt" o:hralign="center" o:hrstd="t" o:hr="t"/>
        </w:pict>
      </w:r>
    </w:p>
    <w:bookmarkEnd w:id="43"/>
    <w:bookmarkStart w:id="64" w:name="цифровая-подпись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rPr>
          <w:bCs/>
          <w:b/>
        </w:rPr>
        <w:t xml:space="preserve">Цифровая подпись</w:t>
      </w:r>
    </w:p>
    <w:p>
      <w:pPr>
        <w:pStyle w:val="FirstParagraph"/>
      </w:pPr>
      <w:r>
        <w:rPr>
          <w:bCs/>
          <w:b/>
        </w:rPr>
        <w:t xml:space="preserve">№1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Протокол электронной цифровой подписи относится к:</w:t>
      </w:r>
    </w:p>
    <w:p>
      <w:pPr>
        <w:pStyle w:val="BodyText"/>
      </w:pPr>
      <w:r>
        <w:rPr>
          <w:bCs/>
          <w:b/>
        </w:rPr>
        <w:t xml:space="preserve">2. Варианты ответа</w:t>
      </w:r>
    </w:p>
    <w:p>
      <w:pPr>
        <w:numPr>
          <w:ilvl w:val="0"/>
          <w:numId w:val="1010"/>
        </w:numPr>
        <w:pStyle w:val="Compact"/>
      </w:pPr>
      <w:r>
        <w:t xml:space="preserve">☒ протоколам с публичным (открытым) ключом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☐ протоколам с симметричным ключом</w:t>
      </w:r>
    </w:p>
    <w:p>
      <w:pPr>
        <w:pStyle w:val="FirstParagraph"/>
      </w:pPr>
      <w:bookmarkStart w:id="47" w:name="fig:021"/>
      <w:r>
        <w:drawing>
          <wp:inline>
            <wp:extent cx="3733800" cy="189244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432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2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ЭЦП основана на асимметричной криптографии, где используется пара ключей: секретный (для подписи) и открытый (для проверки).</w:t>
      </w:r>
    </w:p>
    <w:p>
      <w:pPr>
        <w:pStyle w:val="BodyText"/>
      </w:pPr>
      <w:r>
        <w:rPr>
          <w:bCs/>
          <w:b/>
        </w:rPr>
        <w:t xml:space="preserve">№2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Алгоритм верификации ЭЦП требует на вход:</w:t>
      </w:r>
    </w:p>
    <w:p>
      <w:pPr>
        <w:pStyle w:val="BodyText"/>
      </w:pPr>
      <w:r>
        <w:rPr>
          <w:bCs/>
          <w:b/>
        </w:rPr>
        <w:t xml:space="preserve">2. Варианты ответа</w:t>
      </w:r>
    </w:p>
    <w:p>
      <w:pPr>
        <w:numPr>
          <w:ilvl w:val="0"/>
          <w:numId w:val="1011"/>
        </w:numPr>
        <w:pStyle w:val="Compact"/>
      </w:pPr>
      <w:r>
        <w:t xml:space="preserve">☒ подпись, открытый ключ, сообщение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☐ подпись, секретный ключ</w:t>
      </w:r>
    </w:p>
    <w:p>
      <w:pPr>
        <w:pStyle w:val="FirstParagraph"/>
      </w:pPr>
      <w:bookmarkStart w:id="51" w:name="fig:022"/>
      <w:r>
        <w:drawing>
          <wp:inline>
            <wp:extent cx="3733800" cy="1762095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434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2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Для проверки подписи необходимы: сама подпись, открытый ключ отправителя и исходное сообщение.</w:t>
      </w:r>
    </w:p>
    <w:p>
      <w:pPr>
        <w:pStyle w:val="BodyText"/>
      </w:pPr>
      <w:r>
        <w:rPr>
          <w:bCs/>
          <w:b/>
        </w:rPr>
        <w:t xml:space="preserve">№3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Электронная цифровая подпись не обеспечивает:</w:t>
      </w:r>
    </w:p>
    <w:p>
      <w:pPr>
        <w:pStyle w:val="BodyText"/>
      </w:pPr>
      <w:r>
        <w:rPr>
          <w:bCs/>
          <w:b/>
        </w:rPr>
        <w:t xml:space="preserve">2. Варианты ответа</w:t>
      </w:r>
    </w:p>
    <w:p>
      <w:pPr>
        <w:numPr>
          <w:ilvl w:val="0"/>
          <w:numId w:val="1012"/>
        </w:numPr>
        <w:pStyle w:val="Compact"/>
      </w:pPr>
      <w:r>
        <w:t xml:space="preserve">☒ конфиденциальность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☐ целостность</w:t>
      </w:r>
    </w:p>
    <w:p>
      <w:pPr>
        <w:pStyle w:val="FirstParagraph"/>
      </w:pPr>
      <w:bookmarkStart w:id="55" w:name="fig:023"/>
      <w:r>
        <w:drawing>
          <wp:inline>
            <wp:extent cx="3733800" cy="1880728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4414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ЭЦП гарантирует аутентификацию, целостность и неотрекаемость, но</w:t>
      </w:r>
      <w:r>
        <w:t xml:space="preserve"> </w:t>
      </w:r>
      <w:r>
        <w:rPr>
          <w:bCs/>
          <w:b/>
        </w:rPr>
        <w:t xml:space="preserve">не шифрует данные</w:t>
      </w:r>
      <w:r>
        <w:t xml:space="preserve">, поэтому конфиденциальность отсутствует.</w:t>
      </w:r>
    </w:p>
    <w:p>
      <w:pPr>
        <w:pStyle w:val="BodyText"/>
      </w:pPr>
      <w:r>
        <w:rPr>
          <w:bCs/>
          <w:b/>
        </w:rPr>
        <w:t xml:space="preserve">№4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Какой тип сертификата ЭП нужен для отправки отчётности в ФНС?</w:t>
      </w:r>
    </w:p>
    <w:p>
      <w:pPr>
        <w:pStyle w:val="BodyText"/>
      </w:pPr>
      <w:r>
        <w:rPr>
          <w:bCs/>
          <w:b/>
        </w:rPr>
        <w:t xml:space="preserve">2. Варианты ответа</w:t>
      </w:r>
    </w:p>
    <w:p>
      <w:pPr>
        <w:numPr>
          <w:ilvl w:val="0"/>
          <w:numId w:val="1013"/>
        </w:numPr>
        <w:pStyle w:val="Compact"/>
      </w:pPr>
      <w:r>
        <w:t xml:space="preserve">☒ усиленная квалифицированная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☐ простая</w:t>
      </w:r>
    </w:p>
    <w:p>
      <w:pPr>
        <w:pStyle w:val="FirstParagraph"/>
      </w:pPr>
      <w:bookmarkStart w:id="59" w:name="fig:024"/>
      <w:r>
        <w:drawing>
          <wp:inline>
            <wp:extent cx="3733800" cy="180809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444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8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Для взаимодействия с государственными органами РФ требуется</w:t>
      </w:r>
      <w:r>
        <w:t xml:space="preserve"> </w:t>
      </w:r>
      <w:r>
        <w:rPr>
          <w:bCs/>
          <w:b/>
        </w:rPr>
        <w:t xml:space="preserve">усиленная квалифицированная ЭП</w:t>
      </w:r>
      <w:r>
        <w:t xml:space="preserve">, соответствующая требованиям ФЗ-63.</w:t>
      </w:r>
    </w:p>
    <w:p>
      <w:pPr>
        <w:pStyle w:val="BodyText"/>
      </w:pPr>
      <w:r>
        <w:rPr>
          <w:bCs/>
          <w:b/>
        </w:rPr>
        <w:t xml:space="preserve">№5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В какой организации можно получить квалифицированный сертификат ключа проверки ЭП?</w:t>
      </w:r>
    </w:p>
    <w:p>
      <w:pPr>
        <w:pStyle w:val="BodyText"/>
      </w:pPr>
      <w:r>
        <w:rPr>
          <w:bCs/>
          <w:b/>
        </w:rPr>
        <w:t xml:space="preserve">2. Варианты ответа</w:t>
      </w:r>
    </w:p>
    <w:p>
      <w:pPr>
        <w:numPr>
          <w:ilvl w:val="0"/>
          <w:numId w:val="1014"/>
        </w:numPr>
        <w:pStyle w:val="Compact"/>
      </w:pPr>
      <w:r>
        <w:t xml:space="preserve">☒ в удостоверяющем (сертификационном) центре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☐ в Минкомсвязи РФ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☐ в любой организации с лицензией ФСБ</w:t>
      </w:r>
    </w:p>
    <w:p>
      <w:pPr>
        <w:pStyle w:val="FirstParagraph"/>
      </w:pPr>
      <w:bookmarkStart w:id="63" w:name="fig:025"/>
      <w:r>
        <w:drawing>
          <wp:inline>
            <wp:extent cx="3733800" cy="1926296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4505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6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Квалифицированные сертификаты выдаются только</w:t>
      </w:r>
      <w:r>
        <w:t xml:space="preserve"> </w:t>
      </w:r>
      <w:r>
        <w:rPr>
          <w:bCs/>
          <w:b/>
        </w:rPr>
        <w:t xml:space="preserve">аккредитованными удостоверяющими центрами</w:t>
      </w:r>
      <w:r>
        <w:t xml:space="preserve">, регулируемыми законодательством РФ.</w:t>
      </w:r>
    </w:p>
    <w:p>
      <w:r>
        <w:pict>
          <v:rect style="width:0;height:1.5pt" o:hralign="center" o:hrstd="t" o:hr="t"/>
        </w:pict>
      </w:r>
    </w:p>
    <w:bookmarkEnd w:id="64"/>
    <w:bookmarkStart w:id="77" w:name="электронные-платежи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rPr>
          <w:bCs/>
          <w:b/>
        </w:rPr>
        <w:t xml:space="preserve">Электронные платежи</w:t>
      </w:r>
    </w:p>
    <w:p>
      <w:pPr>
        <w:pStyle w:val="FirstParagraph"/>
      </w:pPr>
      <w:r>
        <w:rPr>
          <w:bCs/>
          <w:b/>
        </w:rPr>
        <w:t xml:space="preserve">№1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Выберите все платежные системы:</w:t>
      </w:r>
    </w:p>
    <w:p>
      <w:pPr>
        <w:pStyle w:val="BodyText"/>
      </w:pPr>
      <w:r>
        <w:rPr>
          <w:bCs/>
          <w:b/>
        </w:rPr>
        <w:t xml:space="preserve">2. Варианты ответа</w:t>
      </w:r>
    </w:p>
    <w:p>
      <w:pPr>
        <w:numPr>
          <w:ilvl w:val="0"/>
          <w:numId w:val="1015"/>
        </w:numPr>
        <w:pStyle w:val="Compact"/>
      </w:pPr>
      <w:r>
        <w:t xml:space="preserve">☒ MasterCard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☒ MMP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☐ Bitcoin (криптовалюта, а не платежная система)</w:t>
      </w:r>
    </w:p>
    <w:p>
      <w:pPr>
        <w:pStyle w:val="FirstParagraph"/>
      </w:pPr>
      <w:bookmarkStart w:id="68" w:name="fig:031"/>
      <w:r>
        <w:drawing>
          <wp:inline>
            <wp:extent cx="3733800" cy="2168386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453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MasterCard и MMP — традиционные платежные системы. Bitcoin относится к криптовалютам.</w:t>
      </w:r>
    </w:p>
    <w:p>
      <w:pPr>
        <w:pStyle w:val="BodyText"/>
      </w:pPr>
      <w:r>
        <w:rPr>
          <w:bCs/>
          <w:b/>
        </w:rPr>
        <w:t xml:space="preserve">№2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Пример многофакторной аутентификации:</w:t>
      </w:r>
    </w:p>
    <w:p>
      <w:pPr>
        <w:pStyle w:val="BodyText"/>
      </w:pPr>
      <w:r>
        <w:rPr>
          <w:bCs/>
          <w:b/>
        </w:rPr>
        <w:t xml:space="preserve">2. Варианты ответа</w:t>
      </w:r>
    </w:p>
    <w:p>
      <w:pPr>
        <w:numPr>
          <w:ilvl w:val="0"/>
          <w:numId w:val="1016"/>
        </w:numPr>
        <w:pStyle w:val="Compact"/>
      </w:pPr>
      <w:r>
        <w:t xml:space="preserve">☒ комбинация пароля + код в SMS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☒ комбинация SMS + отпечаток пальца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☒ комбинация PIN + пароль</w:t>
      </w:r>
    </w:p>
    <w:p>
      <w:pPr>
        <w:pStyle w:val="FirstParagraph"/>
      </w:pPr>
      <w:bookmarkStart w:id="72" w:name="fig:032"/>
      <w:r>
        <w:drawing>
          <wp:inline>
            <wp:extent cx="3733800" cy="209895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460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Многофакторная аутентификация требует</w:t>
      </w:r>
      <w:r>
        <w:t xml:space="preserve"> </w:t>
      </w:r>
      <w:r>
        <w:rPr>
          <w:bCs/>
          <w:b/>
        </w:rPr>
        <w:t xml:space="preserve">не менее двух независимых факторов</w:t>
      </w:r>
      <w:r>
        <w:t xml:space="preserve"> </w:t>
      </w:r>
      <w:r>
        <w:t xml:space="preserve">(знание, владение, биометрия).</w:t>
      </w:r>
    </w:p>
    <w:p>
      <w:pPr>
        <w:pStyle w:val="BodyText"/>
      </w:pPr>
      <w:r>
        <w:rPr>
          <w:bCs/>
          <w:b/>
        </w:rPr>
        <w:t xml:space="preserve">№3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При онлайн-платежах сегодня используется:</w:t>
      </w:r>
    </w:p>
    <w:p>
      <w:pPr>
        <w:pStyle w:val="BodyText"/>
      </w:pPr>
      <w:r>
        <w:rPr>
          <w:bCs/>
          <w:b/>
        </w:rPr>
        <w:t xml:space="preserve">2. Варианты ответа</w:t>
      </w:r>
    </w:p>
    <w:p>
      <w:pPr>
        <w:numPr>
          <w:ilvl w:val="0"/>
          <w:numId w:val="1017"/>
        </w:numPr>
        <w:pStyle w:val="Compact"/>
      </w:pPr>
      <w:r>
        <w:t xml:space="preserve">☒ многофакторная аутентификация покупателя перед банком-эмитентом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☐ однофакторная аутентификация</w:t>
      </w:r>
    </w:p>
    <w:p>
      <w:pPr>
        <w:pStyle w:val="FirstParagraph"/>
      </w:pPr>
      <w:bookmarkStart w:id="76" w:name="fig:033"/>
      <w:r>
        <w:drawing>
          <wp:inline>
            <wp:extent cx="3733800" cy="195817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464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8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Для повышения безопасности банки используют многофакторную аутентификацию (например, пароль + SMS).</w:t>
      </w:r>
    </w:p>
    <w:p>
      <w:r>
        <w:pict>
          <v:rect style="width:0;height:1.5pt" o:hralign="center" o:hrstd="t" o:hr="t"/>
        </w:pict>
      </w:r>
    </w:p>
    <w:bookmarkEnd w:id="77"/>
    <w:bookmarkStart w:id="90" w:name="блокчейн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rPr>
          <w:bCs/>
          <w:b/>
        </w:rPr>
        <w:t xml:space="preserve">Блокчейн</w:t>
      </w:r>
    </w:p>
    <w:p>
      <w:pPr>
        <w:pStyle w:val="FirstParagraph"/>
      </w:pPr>
      <w:r>
        <w:rPr>
          <w:bCs/>
          <w:b/>
        </w:rPr>
        <w:t xml:space="preserve">№1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Какое свойство хэш-функции используется в доказательстве работы (PoW)?</w:t>
      </w:r>
    </w:p>
    <w:p>
      <w:pPr>
        <w:pStyle w:val="BodyText"/>
      </w:pPr>
      <w:r>
        <w:rPr>
          <w:bCs/>
          <w:b/>
        </w:rPr>
        <w:t xml:space="preserve">2. Варианты ответа</w:t>
      </w:r>
    </w:p>
    <w:p>
      <w:pPr>
        <w:numPr>
          <w:ilvl w:val="0"/>
          <w:numId w:val="1018"/>
        </w:numPr>
        <w:pStyle w:val="Compact"/>
      </w:pPr>
      <w:r>
        <w:t xml:space="preserve">☒ сложность нахождения прообраза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☐ фиксированная длина выходных данных</w:t>
      </w:r>
    </w:p>
    <w:p>
      <w:pPr>
        <w:pStyle w:val="FirstParagraph"/>
      </w:pPr>
      <w:bookmarkStart w:id="81" w:name="fig:041"/>
      <w:r>
        <w:drawing>
          <wp:inline>
            <wp:extent cx="3733800" cy="1841671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472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1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PoW основан на вычислительной сложности подбора входных данных для получения заданного хэша.</w:t>
      </w:r>
    </w:p>
    <w:p>
      <w:pPr>
        <w:pStyle w:val="BodyText"/>
      </w:pPr>
      <w:r>
        <w:rPr>
          <w:bCs/>
          <w:b/>
        </w:rPr>
        <w:t xml:space="preserve">№2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Свойства консенсуса в блокчейне:</w:t>
      </w:r>
    </w:p>
    <w:p>
      <w:pPr>
        <w:pStyle w:val="BodyText"/>
      </w:pPr>
      <w:r>
        <w:rPr>
          <w:bCs/>
          <w:b/>
        </w:rPr>
        <w:t xml:space="preserve">2. Варианты ответа</w:t>
      </w:r>
    </w:p>
    <w:p>
      <w:pPr>
        <w:numPr>
          <w:ilvl w:val="0"/>
          <w:numId w:val="1019"/>
        </w:numPr>
        <w:pStyle w:val="Compact"/>
      </w:pPr>
      <w:r>
        <w:t xml:space="preserve">☒ консенсус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☒ постоянство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☒ живучесть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☒ открытость</w:t>
      </w:r>
    </w:p>
    <w:p>
      <w:pPr>
        <w:pStyle w:val="FirstParagraph"/>
      </w:pPr>
      <w:bookmarkStart w:id="85" w:name="fig:042"/>
      <w:r>
        <w:drawing>
          <wp:inline>
            <wp:extent cx="3733800" cy="2098238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474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8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Консенсус обеспечивает согласованность данных, постоянство — неизменность, живучесть — устойчивость к сбоям, открытость — прозрачность.</w:t>
      </w:r>
    </w:p>
    <w:p>
      <w:pPr>
        <w:pStyle w:val="BodyText"/>
      </w:pPr>
      <w:r>
        <w:rPr>
          <w:bCs/>
          <w:b/>
        </w:rPr>
        <w:t xml:space="preserve">№3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Секретные ключи участников блокчейна:</w:t>
      </w:r>
    </w:p>
    <w:p>
      <w:pPr>
        <w:pStyle w:val="BodyText"/>
      </w:pPr>
      <w:r>
        <w:rPr>
          <w:bCs/>
          <w:b/>
        </w:rPr>
        <w:t xml:space="preserve">2. Варианты ответа</w:t>
      </w:r>
    </w:p>
    <w:p>
      <w:pPr>
        <w:numPr>
          <w:ilvl w:val="0"/>
          <w:numId w:val="1020"/>
        </w:numPr>
        <w:pStyle w:val="Compact"/>
      </w:pPr>
      <w:r>
        <w:t xml:space="preserve">☒ цифровая подпись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☐ шифрование</w:t>
      </w:r>
    </w:p>
    <w:p>
      <w:pPr>
        <w:pStyle w:val="FirstParagraph"/>
      </w:pPr>
      <w:bookmarkStart w:id="89" w:name="fig:043"/>
      <w:r>
        <w:drawing>
          <wp:inline>
            <wp:extent cx="3733800" cy="1884111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480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4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Участники используют</w:t>
      </w:r>
      <w:r>
        <w:t xml:space="preserve"> </w:t>
      </w:r>
      <w:r>
        <w:rPr>
          <w:bCs/>
          <w:b/>
        </w:rPr>
        <w:t xml:space="preserve">секретные ключи цифровой подписи</w:t>
      </w:r>
      <w:r>
        <w:t xml:space="preserve"> </w:t>
      </w:r>
      <w:r>
        <w:t xml:space="preserve">для подтверждения транзакций.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0" w:name="сертификат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Сертификат</w:t>
      </w:r>
    </w:p>
    <w:p>
      <w:pPr>
        <w:pStyle w:val="FirstParagraph"/>
      </w:pPr>
      <w:bookmarkStart w:id="95" w:name="fig:0"/>
      <w:r>
        <w:drawing>
          <wp:inline>
            <wp:extent cx="3733800" cy="1833083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483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3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BodyText"/>
      </w:pPr>
      <w:bookmarkStart w:id="99" w:name="fig:1"/>
      <w:r>
        <w:drawing>
          <wp:inline>
            <wp:extent cx="3733800" cy="1808315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4853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8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bookmarkEnd w:id="100"/>
    <w:bookmarkStart w:id="101" w:name="вывод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</w:t>
      </w:r>
    </w:p>
    <w:p>
      <w:pPr>
        <w:pStyle w:val="FirstParagraph"/>
      </w:pPr>
      <w:r>
        <w:t xml:space="preserve">По прохождению данного раздела курса были изучены цифровые подписи, безопасность платежей и блокчейн. Наиболее сложными были задания на идентификацию платежных систем и свойства консенсуса.</w:t>
      </w:r>
    </w:p>
    <w:bookmarkEnd w:id="101"/>
    <w:bookmarkStart w:id="103" w:name="список-литературы"/>
    <w:p>
      <w:pPr>
        <w:pStyle w:val="Heading1"/>
      </w:pPr>
      <w:r>
        <w:t xml:space="preserve">Список литературы</w:t>
      </w:r>
    </w:p>
    <w:bookmarkStart w:id="102" w:name="refs"/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2" Target="media/rId92.png" /><Relationship Type="http://schemas.openxmlformats.org/officeDocument/2006/relationships/image" Id="rId96" Target="media/rId9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Отчёт: Внешний курс</dc:title>
  <dc:creator>Жукова Арина Александровна</dc:creator>
  <dc:language>ru-RU</dc:language>
  <cp:keywords/>
  <dcterms:created xsi:type="dcterms:W3CDTF">2025-05-17T11:48:04Z</dcterms:created>
  <dcterms:modified xsi:type="dcterms:W3CDTF">2025-05-17T11:48:04Z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Раздел 3. Криптография на практике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