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6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№16</w:t>
      </w:r>
    </w:p>
    <w:p>
      <w:pPr>
        <w:pStyle w:val="Subtitle"/>
      </w:pPr>
      <w:r>
        <w:t xml:space="preserve">Базовая защита от атак типа «brute force»</w:t>
      </w:r>
    </w:p>
    <w:p>
      <w:pPr>
        <w:pStyle w:val="Author"/>
      </w:pPr>
      <w:r>
        <w:t xml:space="preserve">Жукова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 атак типа «brute force».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Fail2ban для отслеживания работы установленных на сервере служб.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работу Fail2ban посредством попыток несанкционированного доступа с клиента на сервер через SSH.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для Vagrant, фиксирующий действия по установке и настройке Fail2ban.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Fail2ban — это программное средство для защиты серверов от атак типа «brute force». Оно отслеживает логи сервисов (например, SSH, Apache, Postfix) и автоматически блокирует IP-адреса, с которых поступают подозрительные запросы (например, множественные неудачные попытки входа). Блокировка осуществляется путём добавления правил в фаервол (например, iptables или firewalld).</w:t>
      </w:r>
    </w:p>
    <w:p>
      <w:pPr>
        <w:pStyle w:val="BodyText"/>
      </w:pPr>
      <w:r>
        <w:t xml:space="preserve">Основные параметры конфигурации Fail2ban: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 </w:t>
      </w:r>
      <w:r>
        <w:t xml:space="preserve">— IP-адреса, которые не будут блокироваться.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bantime</w:t>
      </w:r>
      <w:r>
        <w:t xml:space="preserve"> </w:t>
      </w:r>
      <w:r>
        <w:t xml:space="preserve">— время блокировки в секундах.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findtime</w:t>
      </w:r>
      <w:r>
        <w:t xml:space="preserve"> </w:t>
      </w:r>
      <w:r>
        <w:t xml:space="preserve">— интервал времени, за который анализируются попытки доступа.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maxretry</w:t>
      </w:r>
      <w:r>
        <w:t xml:space="preserve"> </w:t>
      </w:r>
      <w:r>
        <w:t xml:space="preserve">— количество неудачных попыток до блокировки.</w:t>
      </w:r>
    </w:p>
    <w:p>
      <w:pPr>
        <w:pStyle w:val="BodyText"/>
      </w:pPr>
      <w:r>
        <w:t xml:space="preserve">Конфигурационные файлы: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/etc/fail2ban/fail2ban.conf</w:t>
      </w:r>
      <w:r>
        <w:t xml:space="preserve"> </w:t>
      </w:r>
      <w:r>
        <w:t xml:space="preserve">— основные настройки демона.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/etc/fail2ban/jail.conf</w:t>
      </w:r>
      <w:r>
        <w:t xml:space="preserve"> </w:t>
      </w:r>
      <w:r>
        <w:t xml:space="preserve">— глобальные настройки блокировок.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/etc/fail2ban/jail.d/*.local</w:t>
      </w:r>
      <w:r>
        <w:t xml:space="preserve"> </w:t>
      </w:r>
      <w:r>
        <w:t xml:space="preserve">— локальные переопределения настроек.</w:t>
      </w:r>
    </w:p>
    <w:bookmarkEnd w:id="22"/>
    <w:bookmarkStart w:id="9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6" w:name="защита-с-помощью-fail2ban"/>
    <w:p>
      <w:pPr>
        <w:pStyle w:val="Heading2"/>
      </w:pPr>
      <w:r>
        <w:t xml:space="preserve">4.1 Защита с помощью Fail2ban</w:t>
      </w:r>
    </w:p>
    <w:p>
      <w:pPr>
        <w:pStyle w:val="Compact"/>
        <w:numPr>
          <w:ilvl w:val="0"/>
          <w:numId w:val="1002"/>
        </w:numPr>
      </w:pPr>
      <w:r>
        <w:t xml:space="preserve">Устанавливаем пакет fail2ban с помощью менеджера пакетов dnf: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fail2ban</w:t>
      </w:r>
    </w:p>
    <w:p>
      <w:pPr>
        <w:pStyle w:val="CaptionedFigure"/>
      </w:pPr>
      <w:r>
        <w:drawing>
          <wp:inline>
            <wp:extent cx="5334000" cy="1736830"/>
            <wp:effectExtent b="0" l="0" r="0" t="0"/>
            <wp:docPr descr="Установка fail2ban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fail2ban</w:t>
      </w:r>
    </w:p>
    <w:p>
      <w:pPr>
        <w:pStyle w:val="Compact"/>
        <w:numPr>
          <w:ilvl w:val="0"/>
          <w:numId w:val="1003"/>
        </w:numPr>
      </w:pPr>
      <w:r>
        <w:t xml:space="preserve">Запускаем и включаем автозагрузку сервиса: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fail2ban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fail2ban</w:t>
      </w:r>
    </w:p>
    <w:p>
      <w:pPr>
        <w:pStyle w:val="CaptionedFigure"/>
      </w:pPr>
      <w:r>
        <w:drawing>
          <wp:inline>
            <wp:extent cx="5334000" cy="796343"/>
            <wp:effectExtent b="0" l="0" r="0" t="0"/>
            <wp:docPr descr="Запуск fail2ban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6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fail2ban</w:t>
      </w:r>
    </w:p>
    <w:p>
      <w:pPr>
        <w:pStyle w:val="Compact"/>
        <w:numPr>
          <w:ilvl w:val="0"/>
          <w:numId w:val="1004"/>
        </w:numPr>
      </w:pPr>
      <w:r>
        <w:t xml:space="preserve">В отдельном терминале запускаем мониторинг логов: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/var/log/fail2ban.log</w:t>
      </w:r>
    </w:p>
    <w:p>
      <w:pPr>
        <w:pStyle w:val="CaptionedFigure"/>
      </w:pPr>
      <w:r>
        <w:drawing>
          <wp:inline>
            <wp:extent cx="5334000" cy="1400461"/>
            <wp:effectExtent b="0" l="0" r="0" t="0"/>
            <wp:docPr descr="Просмотр логов fail2ban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логов fail2ban</w:t>
      </w:r>
    </w:p>
    <w:p>
      <w:pPr>
        <w:pStyle w:val="Compact"/>
        <w:numPr>
          <w:ilvl w:val="0"/>
          <w:numId w:val="1005"/>
        </w:numPr>
      </w:pPr>
      <w:r>
        <w:t xml:space="preserve">Создаём файл для локальных настроек: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/etc/fail2ban/jail.d/customisation.local</w:t>
      </w:r>
    </w:p>
    <w:p>
      <w:pPr>
        <w:pStyle w:val="CaptionedFigure"/>
      </w:pPr>
      <w:r>
        <w:drawing>
          <wp:inline>
            <wp:extent cx="5334000" cy="179222"/>
            <wp:effectExtent b="0" l="0" r="0" t="0"/>
            <wp:docPr descr="Создание конфигурационного файла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конфигурационного файла</w:t>
      </w:r>
    </w:p>
    <w:p>
      <w:pPr>
        <w:pStyle w:val="Compact"/>
        <w:numPr>
          <w:ilvl w:val="0"/>
          <w:numId w:val="1006"/>
        </w:numPr>
      </w:pPr>
      <w:r>
        <w:t xml:space="preserve">Редактируем файл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[DEFAULT]</w:t>
      </w:r>
      <w:r>
        <w:br/>
      </w:r>
      <w:r>
        <w:rPr>
          <w:rStyle w:val="DataTypeTok"/>
        </w:rPr>
        <w:t xml:space="preserve">bantime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br/>
      </w:r>
      <w:r>
        <w:rPr>
          <w:rStyle w:val="KeywordTok"/>
        </w:rPr>
        <w:t xml:space="preserve">[sshd]</w:t>
      </w:r>
      <w:r>
        <w:br/>
      </w:r>
      <w:r>
        <w:rPr>
          <w:rStyle w:val="DataTypeTok"/>
        </w:rPr>
        <w:t xml:space="preserve">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ssh,2022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[sshd-ddos]</w:t>
      </w:r>
      <w:r>
        <w:br/>
      </w:r>
      <w:r>
        <w:rPr>
          <w:rStyle w:val="DataTypeTok"/>
        </w:rPr>
        <w:t xml:space="preserve">filter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sshd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[selinux-ssh]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</w:p>
    <w:p>
      <w:pPr>
        <w:pStyle w:val="CaptionedFigure"/>
      </w:pPr>
      <w:r>
        <w:drawing>
          <wp:inline>
            <wp:extent cx="5334000" cy="2657803"/>
            <wp:effectExtent b="0" l="0" r="0" t="0"/>
            <wp:docPr descr="Настройка защиты SSH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защиты SSH</w:t>
      </w:r>
    </w:p>
    <w:p>
      <w:pPr>
        <w:pStyle w:val="Compact"/>
        <w:numPr>
          <w:ilvl w:val="0"/>
          <w:numId w:val="1007"/>
        </w:numPr>
      </w:pPr>
      <w:r>
        <w:t xml:space="preserve">Применяем изменения: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fail2ban</w:t>
      </w:r>
    </w:p>
    <w:p>
      <w:pPr>
        <w:pStyle w:val="CaptionedFigure"/>
      </w:pPr>
      <w:r>
        <w:drawing>
          <wp:inline>
            <wp:extent cx="4013734" cy="394635"/>
            <wp:effectExtent b="0" l="0" r="0" t="0"/>
            <wp:docPr descr="Перезапуск fail2ban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734" cy="39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fail2ban</w:t>
      </w:r>
    </w:p>
    <w:p>
      <w:pPr>
        <w:pStyle w:val="Compact"/>
        <w:numPr>
          <w:ilvl w:val="0"/>
          <w:numId w:val="1008"/>
        </w:numPr>
      </w:pPr>
      <w:r>
        <w:t xml:space="preserve">Просмотр журнала после настройки SSH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/var/log/fail2ban.log</w:t>
      </w:r>
    </w:p>
    <w:p>
      <w:pPr>
        <w:pStyle w:val="CaptionedFigure"/>
      </w:pPr>
      <w:r>
        <w:drawing>
          <wp:inline>
            <wp:extent cx="5334000" cy="3342933"/>
            <wp:effectExtent b="0" l="0" r="0" t="0"/>
            <wp:docPr descr="Логи после настройки SSH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2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 после настройки SSH</w:t>
      </w:r>
    </w:p>
    <w:p>
      <w:pPr>
        <w:pStyle w:val="Compact"/>
        <w:numPr>
          <w:ilvl w:val="0"/>
          <w:numId w:val="1009"/>
        </w:numPr>
      </w:pPr>
      <w:r>
        <w:t xml:space="preserve">Добавляем в тот же файл секции для защиты Apache:</w:t>
      </w:r>
    </w:p>
    <w:p>
      <w:pPr>
        <w:pStyle w:val="SourceCode"/>
      </w:pPr>
      <w:r>
        <w:rPr>
          <w:rStyle w:val="KeywordTok"/>
        </w:rPr>
        <w:t xml:space="preserve">[apache-auth]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[apache-badbots]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[apache-noscript]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[apache-overflows]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[apache-nohome]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[apache-botsearch]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[apache-fakegooglebot]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[apache-modsecurity]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[apache-shellshock]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</w:p>
    <w:p>
      <w:pPr>
        <w:pStyle w:val="CaptionedFigure"/>
      </w:pPr>
      <w:r>
        <w:drawing>
          <wp:inline>
            <wp:extent cx="5334000" cy="4014536"/>
            <wp:effectExtent b="0" l="0" r="0" t="0"/>
            <wp:docPr descr="Настройка защиты HTTP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4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защиты HTTP</w:t>
      </w:r>
    </w:p>
    <w:p>
      <w:pPr>
        <w:pStyle w:val="BodyText"/>
      </w:pPr>
      <w:r>
        <w:t xml:space="preserve">Перезапуск fail2ban после настройки HTTP</w:t>
      </w:r>
    </w:p>
    <w:p>
      <w:pPr>
        <w:pStyle w:val="Compact"/>
        <w:numPr>
          <w:ilvl w:val="0"/>
          <w:numId w:val="1010"/>
        </w:numPr>
      </w:pPr>
      <w:r>
        <w:t xml:space="preserve">Просмотр журнала после настройки HTTP</w:t>
      </w:r>
    </w:p>
    <w:p>
      <w:pPr>
        <w:pStyle w:val="CaptionedFigure"/>
      </w:pPr>
      <w:r>
        <w:drawing>
          <wp:inline>
            <wp:extent cx="5334000" cy="2883609"/>
            <wp:effectExtent b="0" l="0" r="0" t="0"/>
            <wp:docPr descr="Логи после HTTP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 после HTTP</w:t>
      </w:r>
    </w:p>
    <w:p>
      <w:pPr>
        <w:pStyle w:val="Compact"/>
        <w:numPr>
          <w:ilvl w:val="0"/>
          <w:numId w:val="1011"/>
        </w:numPr>
      </w:pPr>
      <w:r>
        <w:t xml:space="preserve">Добавляем секции для Postfix и Dovecot:</w:t>
      </w:r>
    </w:p>
    <w:p>
      <w:pPr>
        <w:pStyle w:val="SourceCode"/>
      </w:pPr>
      <w:r>
        <w:rPr>
          <w:rStyle w:val="KeywordTok"/>
        </w:rPr>
        <w:t xml:space="preserve">[postfix]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[postfix-rbl]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[dovecot]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[postfix-sasl]</w:t>
      </w:r>
      <w:r>
        <w:br/>
      </w:r>
      <w:r>
        <w:rPr>
          <w:rStyle w:val="DataTypeTok"/>
        </w:rPr>
        <w:t xml:space="preserve">enabled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true</w:t>
      </w:r>
    </w:p>
    <w:p>
      <w:pPr>
        <w:pStyle w:val="CaptionedFigure"/>
      </w:pPr>
      <w:r>
        <w:drawing>
          <wp:inline>
            <wp:extent cx="4533498" cy="3869355"/>
            <wp:effectExtent b="0" l="0" r="0" t="0"/>
            <wp:docPr descr="Настройка защиты почты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498" cy="3869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защиты почты</w:t>
      </w:r>
    </w:p>
    <w:p>
      <w:pPr>
        <w:pStyle w:val="BodyText"/>
      </w:pPr>
      <w:r>
        <w:t xml:space="preserve">Перезапускаем fail2ban после настройки почты</w:t>
      </w:r>
    </w:p>
    <w:p>
      <w:pPr>
        <w:pStyle w:val="Compact"/>
        <w:numPr>
          <w:ilvl w:val="0"/>
          <w:numId w:val="1012"/>
        </w:numPr>
      </w:pPr>
      <w:r>
        <w:t xml:space="preserve">Просмотр журнала после настройки почты</w:t>
      </w:r>
    </w:p>
    <w:p>
      <w:pPr>
        <w:pStyle w:val="CaptionedFigure"/>
      </w:pPr>
      <w:r>
        <w:drawing>
          <wp:inline>
            <wp:extent cx="5334000" cy="2635207"/>
            <wp:effectExtent b="0" l="0" r="0" t="0"/>
            <wp:docPr descr="Логи после почты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 после почты</w:t>
      </w:r>
    </w:p>
    <w:bookmarkEnd w:id="56"/>
    <w:bookmarkStart w:id="84" w:name="проверка-работы-fail2ban"/>
    <w:p>
      <w:pPr>
        <w:pStyle w:val="Heading2"/>
      </w:pPr>
      <w:r>
        <w:t xml:space="preserve">4.2 Проверка работы Fail2ban</w:t>
      </w:r>
    </w:p>
    <w:p>
      <w:pPr>
        <w:pStyle w:val="Compact"/>
        <w:numPr>
          <w:ilvl w:val="0"/>
          <w:numId w:val="1013"/>
        </w:numPr>
      </w:pPr>
      <w:r>
        <w:t xml:space="preserve">Проверка статуса fail2ban</w:t>
      </w:r>
    </w:p>
    <w:p>
      <w:pPr>
        <w:pStyle w:val="CaptionedFigure"/>
      </w:pPr>
      <w:r>
        <w:drawing>
          <wp:inline>
            <wp:extent cx="5334000" cy="1082040"/>
            <wp:effectExtent b="0" l="0" r="0" t="0"/>
            <wp:docPr descr="Статус fail2ban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fail2ban</w:t>
      </w:r>
    </w:p>
    <w:p>
      <w:pPr>
        <w:pStyle w:val="Compact"/>
        <w:numPr>
          <w:ilvl w:val="0"/>
          <w:numId w:val="1014"/>
        </w:numPr>
      </w:pPr>
      <w:r>
        <w:t xml:space="preserve">Проверка статуса защиты SSH</w:t>
      </w:r>
    </w:p>
    <w:p>
      <w:pPr>
        <w:pStyle w:val="CaptionedFigure"/>
      </w:pPr>
      <w:r>
        <w:drawing>
          <wp:inline>
            <wp:extent cx="5334000" cy="1498489"/>
            <wp:effectExtent b="0" l="0" r="0" t="0"/>
            <wp:docPr descr="Статус sshd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8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sshd</w:t>
      </w:r>
    </w:p>
    <w:p>
      <w:pPr>
        <w:pStyle w:val="Compact"/>
        <w:numPr>
          <w:ilvl w:val="0"/>
          <w:numId w:val="1015"/>
        </w:numPr>
      </w:pPr>
      <w:r>
        <w:t xml:space="preserve">Установка максимального количества ошибок для SSH</w:t>
      </w:r>
    </w:p>
    <w:p>
      <w:pPr>
        <w:pStyle w:val="CaptionedFigure"/>
      </w:pPr>
      <w:r>
        <w:drawing>
          <wp:inline>
            <wp:extent cx="4716378" cy="423511"/>
            <wp:effectExtent b="0" l="0" r="0" t="0"/>
            <wp:docPr descr="Установка maxretry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378" cy="423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maxretry</w:t>
      </w:r>
    </w:p>
    <w:p>
      <w:pPr>
        <w:pStyle w:val="Compact"/>
        <w:numPr>
          <w:ilvl w:val="0"/>
          <w:numId w:val="1016"/>
        </w:numPr>
      </w:pPr>
      <w:r>
        <w:t xml:space="preserve">Попытка входа с клиента с неправильным паролем</w:t>
      </w:r>
    </w:p>
    <w:p>
      <w:pPr>
        <w:pStyle w:val="CaptionedFigure"/>
      </w:pPr>
      <w:r>
        <w:drawing>
          <wp:inline>
            <wp:extent cx="5334000" cy="1134893"/>
            <wp:effectExtent b="0" l="0" r="0" t="0"/>
            <wp:docPr descr="Неправильный вход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4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Неправильный вход</w:t>
      </w:r>
    </w:p>
    <w:p>
      <w:pPr>
        <w:pStyle w:val="Compact"/>
        <w:numPr>
          <w:ilvl w:val="0"/>
          <w:numId w:val="1017"/>
        </w:numPr>
      </w:pPr>
      <w:r>
        <w:t xml:space="preserve">Проверка блокировки IP-адреса клиента</w:t>
      </w:r>
    </w:p>
    <w:p>
      <w:pPr>
        <w:pStyle w:val="CaptionedFigure"/>
      </w:pPr>
      <w:r>
        <w:drawing>
          <wp:inline>
            <wp:extent cx="5334000" cy="1477346"/>
            <wp:effectExtent b="0" l="0" r="0" t="0"/>
            <wp:docPr descr="Блокировка IP" title="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Блокировка IP</w:t>
      </w:r>
    </w:p>
    <w:p>
      <w:pPr>
        <w:pStyle w:val="Compact"/>
        <w:numPr>
          <w:ilvl w:val="0"/>
          <w:numId w:val="1018"/>
        </w:numPr>
      </w:pPr>
      <w:r>
        <w:t xml:space="preserve">Разблокировка IP-адреса клиента</w:t>
      </w:r>
    </w:p>
    <w:p>
      <w:pPr>
        <w:pStyle w:val="CaptionedFigure"/>
      </w:pPr>
      <w:r>
        <w:drawing>
          <wp:inline>
            <wp:extent cx="5334000" cy="438180"/>
            <wp:effectExtent b="0" l="0" r="0" t="0"/>
            <wp:docPr descr="Разблокировка IP" title="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Разблокировка IP</w:t>
      </w:r>
    </w:p>
    <w:p>
      <w:pPr>
        <w:pStyle w:val="Compact"/>
        <w:numPr>
          <w:ilvl w:val="0"/>
          <w:numId w:val="1019"/>
        </w:numPr>
      </w:pPr>
      <w:r>
        <w:t xml:space="preserve">Проверка снятия блокировки</w:t>
      </w:r>
    </w:p>
    <w:p>
      <w:pPr>
        <w:pStyle w:val="CaptionedFigure"/>
      </w:pPr>
      <w:r>
        <w:drawing>
          <wp:inline>
            <wp:extent cx="5334000" cy="3476349"/>
            <wp:effectExtent b="0" l="0" r="0" t="0"/>
            <wp:docPr descr="Снятие блокировки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блокировки</w:t>
      </w:r>
    </w:p>
    <w:p>
      <w:pPr>
        <w:pStyle w:val="Compact"/>
        <w:numPr>
          <w:ilvl w:val="0"/>
          <w:numId w:val="1020"/>
        </w:numPr>
      </w:pPr>
      <w:r>
        <w:t xml:space="preserve">Добавление IP-адреса клиента в ignoreip. Редактируем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[DEFAULT]</w:t>
      </w:r>
      <w:r>
        <w:br/>
      </w:r>
      <w:r>
        <w:rPr>
          <w:rStyle w:val="DataTypeTok"/>
        </w:rPr>
        <w:t xml:space="preserve">bantime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DataTypeTok"/>
        </w:rPr>
        <w:t xml:space="preserve">ignoreip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127.0.0.1/8 &lt;client_ip&gt;</w:t>
      </w:r>
    </w:p>
    <w:p>
      <w:pPr>
        <w:pStyle w:val="CaptionedFigure"/>
      </w:pPr>
      <w:r>
        <w:drawing>
          <wp:inline>
            <wp:extent cx="5334000" cy="1292816"/>
            <wp:effectExtent b="0" l="0" r="0" t="0"/>
            <wp:docPr descr="Добавление ignoreip" title="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ignoreip</w:t>
      </w:r>
    </w:p>
    <w:p>
      <w:pPr>
        <w:pStyle w:val="BodyText"/>
      </w:pPr>
      <w:r>
        <w:t xml:space="preserve">Перезапуск fail2ban</w:t>
      </w:r>
    </w:p>
    <w:p>
      <w:pPr>
        <w:pStyle w:val="Compact"/>
        <w:numPr>
          <w:ilvl w:val="0"/>
          <w:numId w:val="1021"/>
        </w:numPr>
      </w:pPr>
      <w:r>
        <w:t xml:space="preserve">Повторная попытка входа с клиента и проверка статуса После нескольких неудачных попыток:</w:t>
      </w:r>
    </w:p>
    <w:p>
      <w:pPr>
        <w:pStyle w:val="CaptionedFigure"/>
      </w:pPr>
      <w:r>
        <w:drawing>
          <wp:inline>
            <wp:extent cx="5334000" cy="1500909"/>
            <wp:effectExtent b="0" l="0" r="0" t="0"/>
            <wp:docPr descr="Статус после ignoreip" title="" id="82" name="Picture"/>
            <a:graphic>
              <a:graphicData uri="http://schemas.openxmlformats.org/drawingml/2006/picture">
                <pic:pic>
                  <pic:nvPicPr>
                    <pic:cNvPr descr="image/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после ignoreip</w:t>
      </w:r>
    </w:p>
    <w:bookmarkEnd w:id="84"/>
    <w:bookmarkStart w:id="94" w:name="X15490050d3871a104e1c9f0460ba8209903e81c"/>
    <w:p>
      <w:pPr>
        <w:pStyle w:val="Heading2"/>
      </w:pPr>
      <w:r>
        <w:t xml:space="preserve">4.3 Внесение изменений в настройки внутреннего окружения виртуальных машин</w:t>
      </w:r>
    </w:p>
    <w:p>
      <w:pPr>
        <w:pStyle w:val="Compact"/>
        <w:numPr>
          <w:ilvl w:val="0"/>
          <w:numId w:val="1022"/>
        </w:numPr>
      </w:pPr>
      <w:r>
        <w:t xml:space="preserve">Копирование конфигурационных файлов. Создаём файл</w:t>
      </w:r>
      <w:r>
        <w:t xml:space="preserve"> </w:t>
      </w:r>
      <w:r>
        <w:rPr>
          <w:rStyle w:val="VerbatimChar"/>
        </w:rPr>
        <w:t xml:space="preserve">/vagrant/provision/server/protect.sh</w:t>
      </w:r>
      <w:r>
        <w:t xml:space="preserve">. Делаем его исполняемым</w:t>
      </w:r>
    </w:p>
    <w:p>
      <w:pPr>
        <w:pStyle w:val="CaptionedFigure"/>
      </w:pPr>
      <w:r>
        <w:drawing>
          <wp:inline>
            <wp:extent cx="5334000" cy="1924482"/>
            <wp:effectExtent b="0" l="0" r="0" t="0"/>
            <wp:docPr descr="Создание скрипта" title="" id="86" name="Picture"/>
            <a:graphic>
              <a:graphicData uri="http://schemas.openxmlformats.org/drawingml/2006/picture">
                <pic:pic>
                  <pic:nvPicPr>
                    <pic:cNvPr descr="image/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скрипта</w:t>
      </w:r>
    </w:p>
    <w:p>
      <w:pPr>
        <w:pStyle w:val="CaptionedFigure"/>
      </w:pPr>
      <w:r>
        <w:drawing>
          <wp:inline>
            <wp:extent cx="4456496" cy="2483317"/>
            <wp:effectExtent b="0" l="0" r="0" t="0"/>
            <wp:docPr descr="Изменение скрипта" title="" id="89" name="Picture"/>
            <a:graphic>
              <a:graphicData uri="http://schemas.openxmlformats.org/drawingml/2006/picture">
                <pic:pic>
                  <pic:nvPicPr>
                    <pic:cNvPr descr="image/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96" cy="248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скрипта</w:t>
      </w:r>
    </w:p>
    <w:p>
      <w:pPr>
        <w:pStyle w:val="Compact"/>
        <w:numPr>
          <w:ilvl w:val="0"/>
          <w:numId w:val="1023"/>
        </w:numPr>
      </w:pPr>
      <w:r>
        <w:t xml:space="preserve">Добавление скрипта в Vagrantfile</w:t>
      </w:r>
    </w:p>
    <w:p>
      <w:pPr>
        <w:pStyle w:val="CaptionedFigure"/>
      </w:pPr>
      <w:r>
        <w:drawing>
          <wp:inline>
            <wp:extent cx="5334000" cy="2673963"/>
            <wp:effectExtent b="0" l="0" r="0" t="0"/>
            <wp:docPr descr="Добавление в Vagrantfile" title="" id="92" name="Picture"/>
            <a:graphic>
              <a:graphicData uri="http://schemas.openxmlformats.org/drawingml/2006/picture">
                <pic:pic>
                  <pic:nvPicPr>
                    <pic:cNvPr descr="image/2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в Vagrantfile</w:t>
      </w:r>
    </w:p>
    <w:bookmarkEnd w:id="94"/>
    <w:bookmarkEnd w:id="95"/>
    <w:bookmarkStart w:id="9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установки, настройки и использования Fail2ban для защиты сервера от атак типа «brute force». Были настроены правила для защиты служб SSH, HTTP и почтовых сервисов, проверена работа блокировки и разблокировки IP-адресов, а также создан скрипт автоматизации развёртывания конфигурации Fail2ban для виртуальных машин.</w:t>
      </w:r>
    </w:p>
    <w:bookmarkEnd w:id="96"/>
    <w:bookmarkStart w:id="97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Принцип работы Fail2ban</w:t>
      </w:r>
      <w:r>
        <w:t xml:space="preserve">: Fail2ban анализирует логи служб, ищет признаки атак (например, неудачные попытки входа) и автоматически добавляет правила в фаервол для блокировки IP-адресов на заданное время.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Приоритет файлов</w:t>
      </w:r>
      <w:r>
        <w:t xml:space="preserve">: Настройки в</w:t>
      </w:r>
      <w:r>
        <w:t xml:space="preserve"> </w:t>
      </w:r>
      <w:r>
        <w:rPr>
          <w:rStyle w:val="VerbatimChar"/>
        </w:rPr>
        <w:t xml:space="preserve">jail.local</w:t>
      </w:r>
      <w:r>
        <w:t xml:space="preserve"> </w:t>
      </w:r>
      <w:r>
        <w:t xml:space="preserve">и файлах в</w:t>
      </w:r>
      <w:r>
        <w:t xml:space="preserve"> </w:t>
      </w:r>
      <w:r>
        <w:rPr>
          <w:rStyle w:val="VerbatimChar"/>
        </w:rPr>
        <w:t xml:space="preserve">jail.d/</w:t>
      </w:r>
      <w:r>
        <w:t xml:space="preserve"> </w:t>
      </w:r>
      <w:r>
        <w:t xml:space="preserve">имеют приоритет над</w:t>
      </w:r>
      <w:r>
        <w:t xml:space="preserve"> </w:t>
      </w:r>
      <w:r>
        <w:rPr>
          <w:rStyle w:val="VerbatimChar"/>
        </w:rPr>
        <w:t xml:space="preserve">jail.conf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Оповещение администратора</w:t>
      </w:r>
      <w:r>
        <w:t xml:space="preserve">: Можно настроить через параметр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в конфигурации, указав отправку email или выполнение произвольного скрипта.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Настройки для веб-службы в jail.conf</w:t>
      </w:r>
      <w:r>
        <w:t xml:space="preserve">: Секции вида</w:t>
      </w:r>
      <w:r>
        <w:t xml:space="preserve"> </w:t>
      </w:r>
      <w:r>
        <w:rPr>
          <w:rStyle w:val="VerbatimChar"/>
        </w:rPr>
        <w:t xml:space="preserve">[apache-auth]</w:t>
      </w:r>
      <w:r>
        <w:t xml:space="preserve"> </w:t>
      </w:r>
      <w:r>
        <w:t xml:space="preserve">содержат параметры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maxretry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bantime</w:t>
      </w:r>
      <w:r>
        <w:t xml:space="preserve"> </w:t>
      </w:r>
      <w:r>
        <w:t xml:space="preserve">и др.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Настройки для почтовой службы в jail.conf</w:t>
      </w:r>
      <w:r>
        <w:t xml:space="preserve">: Секции</w:t>
      </w:r>
      <w:r>
        <w:t xml:space="preserve"> </w:t>
      </w:r>
      <w:r>
        <w:rPr>
          <w:rStyle w:val="VerbatimChar"/>
        </w:rPr>
        <w:t xml:space="preserve">[postfix]</w:t>
      </w:r>
      <w:r>
        <w:t xml:space="preserve">,</w:t>
      </w:r>
      <w:r>
        <w:t xml:space="preserve"> </w:t>
      </w:r>
      <w:r>
        <w:rPr>
          <w:rStyle w:val="VerbatimChar"/>
        </w:rPr>
        <w:t xml:space="preserve">[dovecot]</w:t>
      </w:r>
      <w:r>
        <w:t xml:space="preserve"> </w:t>
      </w:r>
      <w:r>
        <w:t xml:space="preserve">аналогично содержат параметры для мониторинга логов и блокировки.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Действия при обнаружении атаки</w:t>
      </w:r>
      <w:r>
        <w:t xml:space="preserve">: Блокировка IP, отправка уведомления, запуск скрипта. Описания действий находятся в</w:t>
      </w:r>
      <w:r>
        <w:t xml:space="preserve"> </w:t>
      </w:r>
      <w:r>
        <w:rPr>
          <w:rStyle w:val="VerbatimChar"/>
        </w:rPr>
        <w:t xml:space="preserve">/etc/fail2ban/action.d/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Список действующих правил</w:t>
      </w:r>
      <w:r>
        <w:t xml:space="preserve">:</w:t>
      </w:r>
      <w:r>
        <w:t xml:space="preserve"> </w:t>
      </w:r>
      <w:r>
        <w:rPr>
          <w:rStyle w:val="VerbatimChar"/>
        </w:rPr>
        <w:t xml:space="preserve">fail2ban-client status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Статистика заблокированных адресов</w:t>
      </w:r>
      <w:r>
        <w:t xml:space="preserve">:</w:t>
      </w:r>
      <w:r>
        <w:t xml:space="preserve"> </w:t>
      </w:r>
      <w:r>
        <w:rPr>
          <w:rStyle w:val="VerbatimChar"/>
        </w:rPr>
        <w:t xml:space="preserve">fail2ban-client status &lt;jail&gt;</w:t>
      </w:r>
      <w:r>
        <w:t xml:space="preserve"> </w:t>
      </w:r>
      <w:r>
        <w:t xml:space="preserve">или просмотр логов.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Разблокировка IP</w:t>
      </w:r>
      <w:r>
        <w:t xml:space="preserve">:</w:t>
      </w:r>
      <w:r>
        <w:t xml:space="preserve"> </w:t>
      </w:r>
      <w:r>
        <w:rPr>
          <w:rStyle w:val="VerbatimChar"/>
        </w:rPr>
        <w:t xml:space="preserve">fail2ban-client set &lt;jail&gt; unbanip &lt;IP&gt;</w:t>
      </w:r>
    </w:p>
    <w:bookmarkEnd w:id="97"/>
    <w:bookmarkStart w:id="9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5"/>
        </w:numPr>
      </w:pPr>
      <w:r>
        <w:t xml:space="preserve">Сайт Fail2ban. — URL: https://www.fail2ban.org</w:t>
      </w:r>
      <w:r>
        <w:t xml:space="preserve"> </w:t>
      </w:r>
      <w:r>
        <w:t xml:space="preserve">```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6" Target="media/rId2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Жукова Арина Александровна</dc:creator>
  <dc:language>ru-RU</dc:language>
  <cp:keywords/>
  <dcterms:created xsi:type="dcterms:W3CDTF">2025-12-20T12:33:24Z</dcterms:created>
  <dcterms:modified xsi:type="dcterms:W3CDTF">2025-12-20T12:33:24Z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Базовая защита от атак типа «brute force»</vt:lpwstr>
  </property>
  <property fmtid="{D5CDD505-2E9C-101B-9397-08002B2CF9AE}" pid="16" name="toc-title">
    <vt:lpwstr>Содержание</vt:lpwstr>
  </property>
</Properties>
</file>