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7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31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35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2.png" ContentType="image/png"/>
  <Override PartName="/word/media/rId190.png" ContentType="image/png"/>
  <Override PartName="/word/media/rId186.png" ContentType="image/png"/>
  <Override PartName="/word/media/rId194.png" ContentType="image/png"/>
  <Override PartName="/word/media/rId198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сервер NFSv4.</w:t>
      </w:r>
    </w:p>
    <w:p>
      <w:pPr>
        <w:pStyle w:val="Compact"/>
        <w:numPr>
          <w:ilvl w:val="0"/>
          <w:numId w:val="1001"/>
        </w:numPr>
      </w:pPr>
      <w:r>
        <w:t xml:space="preserve">Подмонтировать удалённый ресурс на клиенте.</w:t>
      </w:r>
    </w:p>
    <w:p>
      <w:pPr>
        <w:pStyle w:val="Compact"/>
        <w:numPr>
          <w:ilvl w:val="0"/>
          <w:numId w:val="1001"/>
        </w:numPr>
      </w:pPr>
      <w:r>
        <w:t xml:space="preserve">Подключить каталог с контентом веб-сервера к дереву NFS.</w:t>
      </w:r>
    </w:p>
    <w:p>
      <w:pPr>
        <w:pStyle w:val="Compact"/>
        <w:numPr>
          <w:ilvl w:val="0"/>
          <w:numId w:val="1001"/>
        </w:numPr>
      </w:pPr>
      <w:r>
        <w:t xml:space="preserve">Подключить каталог для удалённой работы пользователя к дереву NFS.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Vagrant, фиксирующие действия по установке и настройке сервера NFSv4.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NFS (Network File System) — это протокол сетевого доступа к файловым системам, позволяющий монтировать удалённые файловые системы через сеть. Работает по клиент-серверной архитектуре. Клиенты получают прозрачный доступ к ресурсам сервера, отправляя RPC-запросы.</w:t>
      </w:r>
    </w:p>
    <w:p>
      <w:pPr>
        <w:pStyle w:val="BodyText"/>
      </w:pPr>
      <w:r>
        <w:t xml:space="preserve">Основные компоненты:</w:t>
      </w:r>
      <w:r>
        <w:t xml:space="preserve"> </w:t>
      </w:r>
      <w:r>
        <w:t xml:space="preserve">- Сервер NFS экспортирует каталоги через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- Клиенты монтируют эти каталоги в своём пространстве имён</w:t>
      </w:r>
      <w:r>
        <w:t xml:space="preserve"> </w:t>
      </w:r>
      <w:r>
        <w:t xml:space="preserve">- Протокол монтирования (mountd) управляет процессом монтирования</w:t>
      </w:r>
      <w:r>
        <w:t xml:space="preserve"> </w:t>
      </w:r>
      <w:r>
        <w:t xml:space="preserve">- Для безопасности используются опции like</w:t>
      </w:r>
      <w:r>
        <w:t xml:space="preserve"> </w:t>
      </w:r>
      <w:r>
        <w:rPr>
          <w:rStyle w:val="VerbatimChar"/>
        </w:rPr>
        <w:t xml:space="preserve">root_squash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all_squash</w:t>
      </w:r>
    </w:p>
    <w:bookmarkEnd w:id="22"/>
    <w:bookmarkStart w:id="2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87" w:name="настройка-сервера-nfsv4"/>
    <w:p>
      <w:pPr>
        <w:pStyle w:val="Heading2"/>
      </w:pPr>
      <w:r>
        <w:t xml:space="preserve">4.1 Настройка сервера NFSv4</w:t>
      </w:r>
    </w:p>
    <w:p>
      <w:pPr>
        <w:pStyle w:val="Compact"/>
        <w:numPr>
          <w:ilvl w:val="0"/>
          <w:numId w:val="1002"/>
        </w:numPr>
      </w:pPr>
      <w:r>
        <w:t xml:space="preserve">Установка nfs-utils на сервере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6796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nfs-utils на сервере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Создание корневого каталога NFS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1896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каталога /srv/nfs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Настройка экспорта 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1262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 /etc/exports</w:t>
            </w:r>
          </w:p>
          <w:bookmarkEnd w:id="34"/>
        </w:tc>
      </w:tr>
    </w:tbl>
    <w:p>
      <w:pPr>
        <w:numPr>
          <w:ilvl w:val="0"/>
          <w:numId w:val="1005"/>
        </w:numPr>
      </w:pPr>
      <w:r>
        <w:t xml:space="preserve">Настройка SELinux контекста безопасности.</w:t>
      </w:r>
    </w:p>
    <w:p>
      <w:pPr>
        <w:numPr>
          <w:ilvl w:val="0"/>
          <w:numId w:val="1005"/>
        </w:numPr>
      </w:pPr>
      <w:r>
        <w:t xml:space="preserve">Применение изменений SELinux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187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SELinux контекста, применение изменений</w:t>
            </w:r>
          </w:p>
          <w:bookmarkEnd w:id="38"/>
        </w:tc>
      </w:tr>
    </w:tbl>
    <w:p>
      <w:pPr>
        <w:pStyle w:val="Compact"/>
        <w:numPr>
          <w:ilvl w:val="0"/>
          <w:numId w:val="1006"/>
        </w:numPr>
      </w:pPr>
      <w:r>
        <w:t xml:space="preserve">Запуск службы NFS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  <w:r>
              <w:drawing>
                <wp:inline>
                  <wp:extent cx="3733800" cy="16656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службы NFS</w:t>
            </w:r>
          </w:p>
          <w:bookmarkEnd w:id="42"/>
        </w:tc>
      </w:tr>
    </w:tbl>
    <w:p>
      <w:pPr>
        <w:pStyle w:val="Compact"/>
        <w:numPr>
          <w:ilvl w:val="0"/>
          <w:numId w:val="1007"/>
        </w:numPr>
      </w:pPr>
      <w:r>
        <w:t xml:space="preserve">Включение автозапуска NFS 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7"/>
          <w:p>
            <w:pPr>
              <w:pStyle w:val="Compact"/>
              <w:jc w:val="center"/>
            </w:pPr>
            <w:r>
              <w:drawing>
                <wp:inline>
                  <wp:extent cx="3733800" cy="26388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Включение автозапуска NFS</w:t>
            </w:r>
          </w:p>
          <w:bookmarkEnd w:id="46"/>
        </w:tc>
      </w:tr>
    </w:tbl>
    <w:p>
      <w:pPr>
        <w:pStyle w:val="Compact"/>
        <w:numPr>
          <w:ilvl w:val="0"/>
          <w:numId w:val="1008"/>
        </w:numPr>
      </w:pPr>
      <w:r>
        <w:t xml:space="preserve">Настройка firewall для службы NFS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3733800" cy="53507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Настройтка межсетевого экрана для работы сервера NFS</w:t>
            </w:r>
          </w:p>
          <w:bookmarkEnd w:id="50"/>
        </w:tc>
      </w:tr>
    </w:tbl>
    <w:p>
      <w:pPr>
        <w:pStyle w:val="Compact"/>
        <w:numPr>
          <w:ilvl w:val="0"/>
          <w:numId w:val="1009"/>
        </w:numPr>
      </w:pPr>
      <w:r>
        <w:t xml:space="preserve">Установка nfs-utils на клиенте 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158286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nfs-utils на клиенте</w:t>
            </w:r>
          </w:p>
          <w:bookmarkEnd w:id="54"/>
        </w:tc>
      </w:tr>
    </w:tbl>
    <w:p>
      <w:pPr>
        <w:pStyle w:val="Compact"/>
        <w:numPr>
          <w:ilvl w:val="0"/>
          <w:numId w:val="1010"/>
        </w:numPr>
      </w:pPr>
      <w:r>
        <w:t xml:space="preserve">Проверка экспортируемых ресурсов с клиента (</w:t>
      </w:r>
      <w:hyperlink w:anchor="fig-012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46088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экспорта с клиента</w:t>
            </w:r>
          </w:p>
          <w:bookmarkEnd w:id="58"/>
        </w:tc>
      </w:tr>
    </w:tbl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При выполнении команды showmount -e server.aazhukova.net возникает ошибка:</w:t>
      </w:r>
      <w:r>
        <w:t xml:space="preserve"> </w:t>
      </w:r>
      <w:r>
        <w:rPr>
          <w:rStyle w:val="VerbatimChar"/>
        </w:rPr>
        <w:t xml:space="preserve">clnt_create: RPC: Unable to receive</w:t>
      </w:r>
      <w:r>
        <w:t xml:space="preserve">.</w:t>
      </w:r>
    </w:p>
    <w:p>
      <w:pPr>
        <w:pStyle w:val="BodyText"/>
      </w:pPr>
      <w:r>
        <w:t xml:space="preserve">Данная ошибка указывает на то, что клиент не может установить RPC-соединение с сервером NFS</w:t>
      </w:r>
    </w:p>
    <w:p>
      <w:pPr>
        <w:pStyle w:val="Compact"/>
        <w:numPr>
          <w:ilvl w:val="0"/>
          <w:numId w:val="1011"/>
        </w:numPr>
      </w:pPr>
      <w:r>
        <w:t xml:space="preserve">Остановка firewall на сервере (</w:t>
      </w:r>
      <w:hyperlink w:anchor="fig-013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21399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Остановка firewall на сервере</w:t>
            </w:r>
          </w:p>
          <w:bookmarkEnd w:id="62"/>
        </w:tc>
      </w:tr>
    </w:tbl>
    <w:p>
      <w:pPr>
        <w:pStyle w:val="Compact"/>
        <w:numPr>
          <w:ilvl w:val="0"/>
          <w:numId w:val="1012"/>
        </w:numPr>
      </w:pPr>
      <w:r>
        <w:t xml:space="preserve">Повторная проверка экспорта после отключения firewall (</w:t>
      </w:r>
      <w:hyperlink w:anchor="fig-014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4"/>
          <w:p>
            <w:pPr>
              <w:pStyle w:val="Compact"/>
              <w:jc w:val="center"/>
            </w:pPr>
            <w:r>
              <w:drawing>
                <wp:inline>
                  <wp:extent cx="3733800" cy="48319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экспорта после отключения firewall</w:t>
            </w:r>
          </w:p>
          <w:bookmarkEnd w:id="66"/>
        </w:tc>
      </w:tr>
    </w:tbl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После отключения firewall на сервере команда</w:t>
      </w:r>
      <w:r>
        <w:t xml:space="preserve"> </w:t>
      </w:r>
      <w:r>
        <w:rPr>
          <w:rStyle w:val="VerbatimChar"/>
        </w:rPr>
        <w:t xml:space="preserve">showmount -e server.aazhukova.net</w:t>
      </w:r>
      <w:r>
        <w:t xml:space="preserve"> </w:t>
      </w:r>
      <w:r>
        <w:t xml:space="preserve">успешно выполнилась и показала список экспортируемых ресурсов:</w:t>
      </w:r>
    </w:p>
    <w:p>
      <w:pPr>
        <w:pStyle w:val="SourceCode"/>
      </w:pPr>
      <w:r>
        <w:rPr>
          <w:rStyle w:val="VerbatimChar"/>
        </w:rPr>
        <w:t xml:space="preserve">Export list for server.aazhukova.net:</w:t>
      </w:r>
      <w:r>
        <w:br/>
      </w:r>
      <w:r>
        <w:rPr>
          <w:rStyle w:val="VerbatimChar"/>
        </w:rPr>
        <w:t xml:space="preserve">/srv/nfs *</w:t>
      </w:r>
    </w:p>
    <w:p>
      <w:pPr>
        <w:pStyle w:val="FirstParagraph"/>
      </w:pPr>
      <w:r>
        <w:t xml:space="preserve">Это подтверждает, что проблема с доступом к NFS-серверу была именно в настройках межсетевого экрана. После отключения firewall RPC-запросы смогли свободно достигать сервера, и клиент получил информацию об экспортируемых каталогах.</w:t>
      </w:r>
    </w:p>
    <w:p>
      <w:pPr>
        <w:pStyle w:val="Compact"/>
        <w:numPr>
          <w:ilvl w:val="0"/>
          <w:numId w:val="1013"/>
        </w:numPr>
      </w:pPr>
      <w:r>
        <w:t xml:space="preserve">Запуск firewall на сервере (</w:t>
      </w:r>
      <w:hyperlink w:anchor="fig-015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5"/>
          <w:p>
            <w:pPr>
              <w:pStyle w:val="Compact"/>
              <w:jc w:val="center"/>
            </w:pPr>
            <w:r>
              <w:drawing>
                <wp:inline>
                  <wp:extent cx="3733800" cy="24112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firewall на сервере</w:t>
            </w:r>
          </w:p>
          <w:bookmarkEnd w:id="70"/>
        </w:tc>
      </w:tr>
    </w:tbl>
    <w:p>
      <w:pPr>
        <w:pStyle w:val="Compact"/>
        <w:numPr>
          <w:ilvl w:val="0"/>
          <w:numId w:val="1014"/>
        </w:numPr>
      </w:pPr>
      <w:r>
        <w:t xml:space="preserve">Просмотр используемых TCP служб (</w:t>
      </w:r>
      <w:hyperlink w:anchor="fig-016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6"/>
          <w:p>
            <w:pPr>
              <w:pStyle w:val="Compact"/>
              <w:jc w:val="center"/>
            </w:pPr>
            <w:r>
              <w:drawing>
                <wp:inline>
                  <wp:extent cx="3733800" cy="183946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9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TCP служб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t xml:space="preserve">Просмотр используемых UDP служб (</w:t>
      </w:r>
      <w:hyperlink w:anchor="fig-017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3733800" cy="116264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UDP служб</w:t>
            </w:r>
          </w:p>
          <w:bookmarkEnd w:id="78"/>
        </w:tc>
      </w:tr>
    </w:tbl>
    <w:p>
      <w:pPr>
        <w:pStyle w:val="Compact"/>
        <w:numPr>
          <w:ilvl w:val="0"/>
          <w:numId w:val="1016"/>
        </w:numPr>
      </w:pPr>
      <w:r>
        <w:t xml:space="preserve">Добавление службы rpc-bind и mountd в настройки межсетевого экрана на сервере (</w:t>
      </w:r>
      <w:hyperlink w:anchor="fig-018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8"/>
          <w:p>
            <w:pPr>
              <w:pStyle w:val="Compact"/>
              <w:jc w:val="center"/>
            </w:pPr>
            <w:r>
              <w:drawing>
                <wp:inline>
                  <wp:extent cx="3733800" cy="137484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4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Добавление службы rpc-bind и mountd</w:t>
            </w:r>
          </w:p>
          <w:bookmarkEnd w:id="82"/>
        </w:tc>
      </w:tr>
    </w:tbl>
    <w:p>
      <w:pPr>
        <w:pStyle w:val="Compact"/>
        <w:numPr>
          <w:ilvl w:val="0"/>
          <w:numId w:val="1017"/>
        </w:numPr>
      </w:pPr>
      <w:r>
        <w:t xml:space="preserve">Проверка подключения удаленного ресурса (</w:t>
      </w:r>
      <w:hyperlink w:anchor="fig-022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22"/>
          <w:p>
            <w:pPr>
              <w:pStyle w:val="Compact"/>
              <w:jc w:val="center"/>
            </w:pPr>
            <w:r>
              <w:drawing>
                <wp:inline>
                  <wp:extent cx="3733800" cy="46927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подключения после настройки firewall</w:t>
            </w:r>
          </w:p>
          <w:bookmarkEnd w:id="86"/>
        </w:tc>
      </w:tr>
    </w:tbl>
    <w:bookmarkEnd w:id="87"/>
    <w:bookmarkStart w:id="112" w:name="монтирование-nfs-на-клиенте"/>
    <w:p>
      <w:pPr>
        <w:pStyle w:val="Heading2"/>
      </w:pPr>
      <w:r>
        <w:t xml:space="preserve">4.2 Монтирование NFS на клиенте</w:t>
      </w:r>
    </w:p>
    <w:p>
      <w:pPr>
        <w:pStyle w:val="Compact"/>
        <w:numPr>
          <w:ilvl w:val="0"/>
          <w:numId w:val="1018"/>
        </w:numPr>
      </w:pPr>
      <w:r>
        <w:t xml:space="preserve">Создание точки монтирования на клиенте (</w:t>
      </w:r>
      <w:hyperlink w:anchor="fig-023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3"/>
          <w:p>
            <w:pPr>
              <w:pStyle w:val="Compact"/>
              <w:jc w:val="center"/>
            </w:pPr>
            <w:r>
              <w:drawing>
                <wp:inline>
                  <wp:extent cx="3733800" cy="26217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точки монтирования /mnt/nfs</w:t>
            </w:r>
          </w:p>
          <w:bookmarkEnd w:id="91"/>
        </w:tc>
      </w:tr>
    </w:tbl>
    <w:p>
      <w:pPr>
        <w:pStyle w:val="Compact"/>
        <w:numPr>
          <w:ilvl w:val="0"/>
          <w:numId w:val="1019"/>
        </w:numPr>
      </w:pPr>
      <w:r>
        <w:t xml:space="preserve">Монтирование удаленного ресурса (</w:t>
      </w:r>
      <w:hyperlink w:anchor="fig-024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4"/>
          <w:p>
            <w:pPr>
              <w:pStyle w:val="Compact"/>
              <w:jc w:val="center"/>
            </w:pPr>
            <w:r>
              <w:drawing>
                <wp:inline>
                  <wp:extent cx="3733800" cy="13185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Монтирование NFS ресурса</w:t>
            </w:r>
          </w:p>
          <w:bookmarkEnd w:id="95"/>
        </w:tc>
      </w:tr>
    </w:tbl>
    <w:p>
      <w:pPr>
        <w:pStyle w:val="Compact"/>
        <w:numPr>
          <w:ilvl w:val="0"/>
          <w:numId w:val="1020"/>
        </w:numPr>
      </w:pPr>
      <w:r>
        <w:t xml:space="preserve">Проверка монтирования командой mount (</w:t>
      </w:r>
      <w:hyperlink w:anchor="fig-025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5"/>
          <w:p>
            <w:pPr>
              <w:pStyle w:val="Compact"/>
              <w:jc w:val="center"/>
            </w:pPr>
            <w:r>
              <w:drawing>
                <wp:inline>
                  <wp:extent cx="3733800" cy="285133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1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смонтированных ресурсов</w:t>
            </w:r>
          </w:p>
          <w:bookmarkEnd w:id="99"/>
        </w:tc>
      </w:tr>
    </w:tbl>
    <w:p>
      <w:pPr>
        <w:pStyle w:val="Compact"/>
        <w:numPr>
          <w:ilvl w:val="0"/>
          <w:numId w:val="1021"/>
        </w:numPr>
      </w:pPr>
      <w:r>
        <w:t xml:space="preserve">Добавление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клиенте (</w:t>
      </w:r>
      <w:hyperlink w:anchor="fig-026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6"/>
          <w:p>
            <w:pPr>
              <w:pStyle w:val="Compact"/>
              <w:jc w:val="center"/>
            </w:pPr>
            <w:r>
              <w:drawing>
                <wp:inline>
                  <wp:extent cx="3733800" cy="15514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Добавление записи в fstab</w:t>
            </w:r>
          </w:p>
          <w:bookmarkEnd w:id="103"/>
        </w:tc>
      </w:tr>
    </w:tbl>
    <w:p>
      <w:pPr>
        <w:pStyle w:val="Compact"/>
        <w:numPr>
          <w:ilvl w:val="0"/>
          <w:numId w:val="1022"/>
        </w:numPr>
      </w:pPr>
      <w:r>
        <w:t xml:space="preserve">Проверка статуса remote-fs.target (</w:t>
      </w:r>
      <w:hyperlink w:anchor="fig-027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7"/>
          <w:p>
            <w:pPr>
              <w:pStyle w:val="Compact"/>
              <w:jc w:val="center"/>
            </w:pPr>
            <w:r>
              <w:drawing>
                <wp:inline>
                  <wp:extent cx="3733800" cy="77987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службы remote-fs</w:t>
            </w:r>
          </w:p>
          <w:bookmarkEnd w:id="107"/>
        </w:tc>
      </w:tr>
    </w:tbl>
    <w:p>
      <w:pPr>
        <w:numPr>
          <w:ilvl w:val="0"/>
          <w:numId w:val="1023"/>
        </w:numPr>
      </w:pPr>
      <w:r>
        <w:t xml:space="preserve">Перезагрузка клиента</w:t>
      </w:r>
    </w:p>
    <w:p>
      <w:pPr>
        <w:numPr>
          <w:ilvl w:val="0"/>
          <w:numId w:val="1023"/>
        </w:numPr>
      </w:pPr>
      <w:r>
        <w:t xml:space="preserve">Проверка автоматического монтирования после перезагрузки (</w:t>
      </w:r>
      <w:hyperlink w:anchor="fig-029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9"/>
          <w:p>
            <w:pPr>
              <w:pStyle w:val="Compact"/>
              <w:jc w:val="center"/>
            </w:pPr>
            <w:r>
              <w:drawing>
                <wp:inline>
                  <wp:extent cx="3733800" cy="104219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автомонтирования после перезагрузки</w:t>
            </w:r>
          </w:p>
          <w:bookmarkEnd w:id="111"/>
        </w:tc>
      </w:tr>
    </w:tbl>
    <w:bookmarkEnd w:id="112"/>
    <w:bookmarkStart w:id="145" w:name="подключение-каталогов-к-дереву-nfs"/>
    <w:p>
      <w:pPr>
        <w:pStyle w:val="Heading2"/>
      </w:pPr>
      <w:r>
        <w:t xml:space="preserve">4.3 Подключение каталогов к дереву NFS</w:t>
      </w:r>
    </w:p>
    <w:p>
      <w:pPr>
        <w:pStyle w:val="Compact"/>
        <w:numPr>
          <w:ilvl w:val="0"/>
          <w:numId w:val="1024"/>
        </w:numPr>
      </w:pPr>
      <w:r>
        <w:t xml:space="preserve">Создание каталога для веб-контента. Bind-монтирование каталога веб-сервера. Проверка содержимого каталога на сервере (</w:t>
      </w:r>
      <w:hyperlink w:anchor="fig-030">
        <w:r>
          <w:rPr>
            <w:rStyle w:val="Hyperlink"/>
          </w:rPr>
          <w:t xml:space="preserve">рис. 23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30"/>
          <w:p>
            <w:pPr>
              <w:pStyle w:val="Compact"/>
              <w:jc w:val="center"/>
            </w:pPr>
            <w:r>
              <w:drawing>
                <wp:inline>
                  <wp:extent cx="3733800" cy="53522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каталога. Bind-монтирование. Проверка содержимого</w:t>
            </w:r>
          </w:p>
          <w:bookmarkEnd w:id="116"/>
        </w:tc>
      </w:tr>
    </w:tbl>
    <w:p>
      <w:pPr>
        <w:pStyle w:val="Compact"/>
        <w:numPr>
          <w:ilvl w:val="0"/>
          <w:numId w:val="1025"/>
        </w:numPr>
      </w:pPr>
      <w:r>
        <w:t xml:space="preserve">Проверка содержимого на клиенте (</w:t>
      </w:r>
      <w:hyperlink w:anchor="fig-033">
        <w:r>
          <w:rPr>
            <w:rStyle w:val="Hyperlink"/>
          </w:rPr>
          <w:t xml:space="preserve">рис. 24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33"/>
          <w:p>
            <w:pPr>
              <w:pStyle w:val="Compact"/>
              <w:jc w:val="center"/>
            </w:pPr>
            <w:r>
              <w:drawing>
                <wp:inline>
                  <wp:extent cx="3733800" cy="638383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содержимого на клиенте</w:t>
            </w:r>
          </w:p>
          <w:bookmarkEnd w:id="120"/>
        </w:tc>
      </w:tr>
    </w:tbl>
    <w:p>
      <w:pPr>
        <w:pStyle w:val="Compact"/>
        <w:numPr>
          <w:ilvl w:val="0"/>
          <w:numId w:val="1026"/>
        </w:numPr>
      </w:pPr>
      <w:r>
        <w:t xml:space="preserve">Добавление экспорта каталога веб-сервера (</w:t>
      </w:r>
      <w:hyperlink w:anchor="fig-034">
        <w:r>
          <w:rPr>
            <w:rStyle w:val="Hyperlink"/>
          </w:rPr>
          <w:t xml:space="preserve">рис. 25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34"/>
          <w:p>
            <w:pPr>
              <w:pStyle w:val="Compact"/>
              <w:jc w:val="center"/>
            </w:pPr>
            <w:r>
              <w:drawing>
                <wp:inline>
                  <wp:extent cx="3733800" cy="50774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экспорта веб-каталога</w:t>
            </w:r>
          </w:p>
          <w:bookmarkEnd w:id="124"/>
        </w:tc>
      </w:tr>
    </w:tbl>
    <w:p>
      <w:pPr>
        <w:pStyle w:val="Compact"/>
        <w:numPr>
          <w:ilvl w:val="0"/>
          <w:numId w:val="1027"/>
        </w:numPr>
      </w:pPr>
      <w:r>
        <w:t xml:space="preserve">Обновление экспортируемых каталогов (</w:t>
      </w:r>
      <w:hyperlink w:anchor="fig-035">
        <w:r>
          <w:rPr>
            <w:rStyle w:val="Hyperlink"/>
          </w:rPr>
          <w:t xml:space="preserve">рис. 26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35"/>
          <w:p>
            <w:pPr>
              <w:pStyle w:val="Compact"/>
              <w:jc w:val="center"/>
            </w:pPr>
            <w:r>
              <w:drawing>
                <wp:inline>
                  <wp:extent cx="3733800" cy="410622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Обновление экспортируемых каталогов</w:t>
            </w:r>
          </w:p>
          <w:bookmarkEnd w:id="128"/>
        </w:tc>
      </w:tr>
    </w:tbl>
    <w:p>
      <w:pPr>
        <w:pStyle w:val="Compact"/>
        <w:numPr>
          <w:ilvl w:val="0"/>
          <w:numId w:val="1028"/>
        </w:numPr>
      </w:pPr>
      <w:r>
        <w:t xml:space="preserve">Проверка каталога на клиенте после экспорта (</w:t>
      </w:r>
      <w:hyperlink w:anchor="fig-036">
        <w:r>
          <w:rPr>
            <w:rStyle w:val="Hyperlink"/>
          </w:rPr>
          <w:t xml:space="preserve">рис. 27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36"/>
          <w:p>
            <w:pPr>
              <w:pStyle w:val="Compact"/>
              <w:jc w:val="center"/>
            </w:pPr>
            <w:r>
              <w:drawing>
                <wp:inline>
                  <wp:extent cx="3676850" cy="39463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850" cy="39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Проверка веб-каталога на клиенте</w:t>
            </w:r>
          </w:p>
          <w:bookmarkEnd w:id="132"/>
        </w:tc>
      </w:tr>
    </w:tbl>
    <w:p>
      <w:pPr>
        <w:pStyle w:val="Compact"/>
        <w:numPr>
          <w:ilvl w:val="0"/>
          <w:numId w:val="1029"/>
        </w:numPr>
      </w:pPr>
      <w:r>
        <w:t xml:space="preserve">Добавление записи в fstab сервера для bind-монтирования (</w:t>
      </w:r>
      <w:hyperlink w:anchor="fig-037">
        <w:r>
          <w:rPr>
            <w:rStyle w:val="Hyperlink"/>
          </w:rPr>
          <w:t xml:space="preserve">рис. 28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37"/>
          <w:p>
            <w:pPr>
              <w:pStyle w:val="Compact"/>
              <w:jc w:val="center"/>
            </w:pPr>
            <w:r>
              <w:drawing>
                <wp:inline>
                  <wp:extent cx="3733800" cy="398936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9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Добавление bind-монтирования в fstab сервера</w:t>
            </w:r>
          </w:p>
          <w:bookmarkEnd w:id="136"/>
        </w:tc>
      </w:tr>
    </w:tbl>
    <w:p>
      <w:pPr>
        <w:pStyle w:val="Compact"/>
        <w:numPr>
          <w:ilvl w:val="0"/>
          <w:numId w:val="1030"/>
        </w:numPr>
      </w:pPr>
      <w:r>
        <w:t xml:space="preserve">Повторный экспорт каталогов (</w:t>
      </w:r>
      <w:hyperlink w:anchor="fig-038">
        <w:r>
          <w:rPr>
            <w:rStyle w:val="Hyperlink"/>
          </w:rPr>
          <w:t xml:space="preserve">рис. 29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8"/>
          <w:p>
            <w:pPr>
              <w:pStyle w:val="Compact"/>
              <w:jc w:val="center"/>
            </w:pPr>
            <w:r>
              <w:drawing>
                <wp:inline>
                  <wp:extent cx="3378467" cy="21175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467" cy="2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Повторный экспорт каталогов</w:t>
            </w:r>
          </w:p>
          <w:bookmarkEnd w:id="140"/>
        </w:tc>
      </w:tr>
    </w:tbl>
    <w:p>
      <w:pPr>
        <w:pStyle w:val="Compact"/>
        <w:numPr>
          <w:ilvl w:val="0"/>
          <w:numId w:val="1031"/>
        </w:numPr>
      </w:pPr>
      <w:r>
        <w:t xml:space="preserve">Финальная проверка каталога на клиенте (</w:t>
      </w:r>
      <w:hyperlink w:anchor="fig-039">
        <w:r>
          <w:rPr>
            <w:rStyle w:val="Hyperlink"/>
          </w:rPr>
          <w:t xml:space="preserve">рис. 30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9"/>
          <w:p>
            <w:pPr>
              <w:pStyle w:val="Compact"/>
              <w:jc w:val="center"/>
            </w:pPr>
            <w:r>
              <w:drawing>
                <wp:inline>
                  <wp:extent cx="3733800" cy="50685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Финальная проверка на клиенте</w:t>
            </w:r>
          </w:p>
          <w:bookmarkEnd w:id="144"/>
        </w:tc>
      </w:tr>
    </w:tbl>
    <w:bookmarkEnd w:id="145"/>
    <w:bookmarkStart w:id="177" w:name="X6660544e413af3df35683147d62bb89683f42c1"/>
    <w:p>
      <w:pPr>
        <w:pStyle w:val="Heading2"/>
      </w:pPr>
      <w:r>
        <w:t xml:space="preserve">4.4 Подключение каталогов для работы пользователей</w:t>
      </w:r>
    </w:p>
    <w:p>
      <w:pPr>
        <w:pStyle w:val="Compact"/>
        <w:numPr>
          <w:ilvl w:val="0"/>
          <w:numId w:val="1032"/>
        </w:numPr>
      </w:pPr>
      <w:r>
        <w:t xml:space="preserve">Создание личного каталога пользователя. Создание тестового файла на сервере. Создание общего каталога для пользователя в NFS (</w:t>
      </w:r>
      <w:hyperlink w:anchor="fig-040">
        <w:r>
          <w:rPr>
            <w:rStyle w:val="Hyperlink"/>
          </w:rPr>
          <w:t xml:space="preserve">рис. 31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40"/>
          <w:p>
            <w:pPr>
              <w:pStyle w:val="Compact"/>
              <w:jc w:val="center"/>
            </w:pPr>
            <w:r>
              <w:drawing>
                <wp:inline>
                  <wp:extent cx="3733800" cy="47263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Создание каталога common, файла, общего каталога</w:t>
            </w:r>
          </w:p>
          <w:bookmarkEnd w:id="149"/>
        </w:tc>
      </w:tr>
    </w:tbl>
    <w:p>
      <w:pPr>
        <w:pStyle w:val="Compact"/>
        <w:numPr>
          <w:ilvl w:val="0"/>
          <w:numId w:val="1033"/>
        </w:numPr>
      </w:pPr>
      <w:r>
        <w:t xml:space="preserve">Bind-монтирование пользовательского каталога (</w:t>
      </w:r>
      <w:hyperlink w:anchor="fig-043">
        <w:r>
          <w:rPr>
            <w:rStyle w:val="Hyperlink"/>
          </w:rPr>
          <w:t xml:space="preserve">рис. 32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43"/>
          <w:p>
            <w:pPr>
              <w:pStyle w:val="Compact"/>
              <w:jc w:val="center"/>
            </w:pPr>
            <w:r>
              <w:drawing>
                <wp:inline>
                  <wp:extent cx="3733800" cy="152264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Bind-монтирование пользовательского каталога</w:t>
            </w:r>
          </w:p>
          <w:bookmarkEnd w:id="153"/>
        </w:tc>
      </w:tr>
    </w:tbl>
    <w:p>
      <w:pPr>
        <w:pStyle w:val="Compact"/>
        <w:numPr>
          <w:ilvl w:val="0"/>
          <w:numId w:val="1034"/>
        </w:numPr>
      </w:pPr>
      <w:r>
        <w:t xml:space="preserve">Добавление экспорта пользовательского каталога (</w:t>
      </w:r>
      <w:hyperlink w:anchor="fig-044">
        <w:r>
          <w:rPr>
            <w:rStyle w:val="Hyperlink"/>
          </w:rPr>
          <w:t xml:space="preserve">рис. 33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44"/>
          <w:p>
            <w:pPr>
              <w:pStyle w:val="Compact"/>
              <w:jc w:val="center"/>
            </w:pPr>
            <w:r>
              <w:drawing>
                <wp:inline>
                  <wp:extent cx="3733800" cy="61109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Экспорт пользовательского каталога</w:t>
            </w:r>
          </w:p>
          <w:bookmarkEnd w:id="157"/>
        </w:tc>
      </w:tr>
    </w:tbl>
    <w:p>
      <w:pPr>
        <w:pStyle w:val="Compact"/>
        <w:numPr>
          <w:ilvl w:val="0"/>
          <w:numId w:val="1035"/>
        </w:numPr>
      </w:pPr>
      <w:r>
        <w:t xml:space="preserve">Добавление bind-монтирования в fstab сервера (</w:t>
      </w:r>
      <w:hyperlink w:anchor="fig-045">
        <w:r>
          <w:rPr>
            <w:rStyle w:val="Hyperlink"/>
          </w:rPr>
          <w:t xml:space="preserve">рис. 34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45"/>
          <w:p>
            <w:pPr>
              <w:pStyle w:val="Compact"/>
              <w:jc w:val="center"/>
            </w:pPr>
            <w:r>
              <w:drawing>
                <wp:inline>
                  <wp:extent cx="3733800" cy="3989368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9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Добавление пользовательского bind в fstab</w:t>
            </w:r>
          </w:p>
          <w:bookmarkEnd w:id="160"/>
        </w:tc>
      </w:tr>
    </w:tbl>
    <w:p>
      <w:pPr>
        <w:pStyle w:val="Compact"/>
        <w:numPr>
          <w:ilvl w:val="0"/>
          <w:numId w:val="1036"/>
        </w:numPr>
      </w:pPr>
      <w:r>
        <w:t xml:space="preserve">Обновление экспортируемых каталогов (</w:t>
      </w:r>
      <w:hyperlink w:anchor="fig-046">
        <w:r>
          <w:rPr>
            <w:rStyle w:val="Hyperlink"/>
          </w:rPr>
          <w:t xml:space="preserve">рис. 35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46"/>
          <w:p>
            <w:pPr>
              <w:pStyle w:val="Compact"/>
              <w:jc w:val="center"/>
            </w:pPr>
            <w:r>
              <w:drawing>
                <wp:inline>
                  <wp:extent cx="3368842" cy="20213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842" cy="20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Обновление экспорта пользовательских каталогов</w:t>
            </w:r>
          </w:p>
          <w:bookmarkEnd w:id="164"/>
        </w:tc>
      </w:tr>
    </w:tbl>
    <w:p>
      <w:pPr>
        <w:pStyle w:val="Compact"/>
        <w:numPr>
          <w:ilvl w:val="0"/>
          <w:numId w:val="1037"/>
        </w:numPr>
      </w:pPr>
      <w:r>
        <w:t xml:space="preserve">Проверка пользовательского каталога на клиенте (</w:t>
      </w:r>
      <w:hyperlink w:anchor="fig-047">
        <w:r>
          <w:rPr>
            <w:rStyle w:val="Hyperlink"/>
          </w:rPr>
          <w:t xml:space="preserve">рис. 36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47"/>
          <w:p>
            <w:pPr>
              <w:pStyle w:val="Compact"/>
              <w:jc w:val="center"/>
            </w:pPr>
            <w:r>
              <w:drawing>
                <wp:inline>
                  <wp:extent cx="3638349" cy="39463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349" cy="39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Проверка пользовательского каталога на клиенте</w:t>
            </w:r>
          </w:p>
          <w:bookmarkEnd w:id="168"/>
        </w:tc>
      </w:tr>
    </w:tbl>
    <w:p>
      <w:pPr>
        <w:pStyle w:val="Compact"/>
        <w:numPr>
          <w:ilvl w:val="0"/>
          <w:numId w:val="1038"/>
        </w:numPr>
      </w:pPr>
      <w:r>
        <w:t xml:space="preserve">Создание файла на клиенте под пользователем. Попытка создания файла под root на клиенте (</w:t>
      </w:r>
      <w:hyperlink w:anchor="fig-048">
        <w:r>
          <w:rPr>
            <w:rStyle w:val="Hyperlink"/>
          </w:rPr>
          <w:t xml:space="preserve">рис. 37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48"/>
          <w:p>
            <w:pPr>
              <w:pStyle w:val="Compact"/>
              <w:jc w:val="center"/>
            </w:pPr>
            <w:r>
              <w:drawing>
                <wp:inline>
                  <wp:extent cx="3733800" cy="743248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3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Создание файла на клиенте</w:t>
            </w:r>
          </w:p>
          <w:bookmarkEnd w:id="172"/>
        </w:tc>
      </w:tr>
    </w:tbl>
    <w:p>
      <w:pPr>
        <w:pStyle w:val="Compact"/>
        <w:numPr>
          <w:ilvl w:val="0"/>
          <w:numId w:val="1039"/>
        </w:numPr>
      </w:pPr>
      <w:r>
        <w:t xml:space="preserve">Проверка изменений на сервере (</w:t>
      </w:r>
      <w:hyperlink w:anchor="fig-050">
        <w:r>
          <w:rPr>
            <w:rStyle w:val="Hyperlink"/>
          </w:rPr>
          <w:t xml:space="preserve">рис. 38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50"/>
          <w:p>
            <w:pPr>
              <w:pStyle w:val="Compact"/>
              <w:jc w:val="center"/>
            </w:pPr>
            <w:r>
              <w:drawing>
                <wp:inline>
                  <wp:extent cx="3733800" cy="402204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Проверка изменений на сервере</w:t>
            </w:r>
          </w:p>
          <w:bookmarkEnd w:id="176"/>
        </w:tc>
      </w:tr>
    </w:tbl>
    <w:bookmarkEnd w:id="177"/>
    <w:bookmarkStart w:id="202" w:name="настройка-vagrant"/>
    <w:p>
      <w:pPr>
        <w:pStyle w:val="Heading2"/>
      </w:pPr>
      <w:r>
        <w:t xml:space="preserve">4.5 Настройка Vagrant</w:t>
      </w:r>
    </w:p>
    <w:p>
      <w:pPr>
        <w:pStyle w:val="Compact"/>
        <w:numPr>
          <w:ilvl w:val="0"/>
          <w:numId w:val="1040"/>
        </w:numPr>
      </w:pPr>
      <w:r>
        <w:t xml:space="preserve">Создаём каталоги для конфигурации на сервере. Копирование конфигурационных файлов. Создание исполняемого скрипта на сервере. (</w:t>
      </w:r>
      <w:hyperlink w:anchor="fig-051">
        <w:r>
          <w:rPr>
            <w:rStyle w:val="Hyperlink"/>
          </w:rPr>
          <w:t xml:space="preserve">рис. 39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051"/>
          <w:p>
            <w:pPr>
              <w:pStyle w:val="Compact"/>
              <w:jc w:val="center"/>
            </w:pPr>
            <w:r>
              <w:drawing>
                <wp:inline>
                  <wp:extent cx="3733800" cy="833274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каталогов для конфигурации</w:t>
            </w:r>
          </w:p>
          <w:bookmarkEnd w:id="1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53"/>
          <w:p>
            <w:pPr>
              <w:pStyle w:val="Compact"/>
              <w:jc w:val="center"/>
            </w:pPr>
            <w:r>
              <w:drawing>
                <wp:inline>
                  <wp:extent cx="3733800" cy="4505339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5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Скрипт на сервере</w:t>
            </w:r>
          </w:p>
          <w:bookmarkEnd w:id="185"/>
        </w:tc>
      </w:tr>
    </w:tbl>
    <w:p>
      <w:pPr>
        <w:pStyle w:val="Compact"/>
        <w:numPr>
          <w:ilvl w:val="0"/>
          <w:numId w:val="1041"/>
        </w:numPr>
      </w:pPr>
      <w:r>
        <w:t xml:space="preserve">Создание каталога для клиентской конфигурации. Создание исполняемого скрипта на клиенте (</w:t>
      </w:r>
      <w:hyperlink w:anchor="fig-055">
        <w:r>
          <w:rPr>
            <w:rStyle w:val="Hyperlink"/>
          </w:rPr>
          <w:t xml:space="preserve">рис. 41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55"/>
          <w:p>
            <w:pPr>
              <w:pStyle w:val="Compact"/>
              <w:jc w:val="center"/>
            </w:pPr>
            <w:r>
              <w:drawing>
                <wp:inline>
                  <wp:extent cx="3733800" cy="802025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Создание файлов и каталогов на клиенте</w:t>
            </w:r>
          </w:p>
          <w:bookmarkEnd w:id="1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54"/>
          <w:p>
            <w:pPr>
              <w:pStyle w:val="Compact"/>
              <w:jc w:val="center"/>
            </w:pPr>
            <w:r>
              <w:drawing>
                <wp:inline>
                  <wp:extent cx="3733800" cy="1719284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Скрипт на клиенте</w:t>
            </w:r>
          </w:p>
          <w:bookmarkEnd w:id="193"/>
        </w:tc>
      </w:tr>
    </w:tbl>
    <w:p>
      <w:pPr>
        <w:pStyle w:val="Compact"/>
        <w:numPr>
          <w:ilvl w:val="0"/>
          <w:numId w:val="1042"/>
        </w:numPr>
      </w:pPr>
      <w:r>
        <w:t xml:space="preserve">Добавление конфигурации в Vagrantfile (</w:t>
      </w:r>
      <w:hyperlink w:anchor="fig-056">
        <w:r>
          <w:rPr>
            <w:rStyle w:val="Hyperlink"/>
          </w:rPr>
          <w:t xml:space="preserve">рис. 43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56"/>
          <w:p>
            <w:pPr>
              <w:pStyle w:val="Compact"/>
              <w:jc w:val="center"/>
            </w:pPr>
            <w:r>
              <w:drawing>
                <wp:inline>
                  <wp:extent cx="3733800" cy="170688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Vagrantfile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57"/>
          <w:p>
            <w:pPr>
              <w:pStyle w:val="Compact"/>
              <w:jc w:val="center"/>
            </w:pPr>
            <w:r>
              <w:drawing>
                <wp:inline>
                  <wp:extent cx="3733800" cy="1767372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Vagrantfile</w:t>
            </w:r>
          </w:p>
          <w:bookmarkEnd w:id="201"/>
        </w:tc>
      </w:tr>
    </w:tbl>
    <w:bookmarkEnd w:id="202"/>
    <w:bookmarkEnd w:id="203"/>
    <w:bookmarkStart w:id="20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настройки сервера NFSv4. Освоены:</w:t>
      </w:r>
      <w:r>
        <w:t xml:space="preserve"> </w:t>
      </w:r>
      <w:r>
        <w:t xml:space="preserve">- Установка и базовая настройка NFS-сервера</w:t>
      </w:r>
      <w:r>
        <w:t xml:space="preserve"> </w:t>
      </w:r>
      <w:r>
        <w:t xml:space="preserve">- Настройка прав доступа и экспорта каталогов</w:t>
      </w:r>
      <w:r>
        <w:t xml:space="preserve"> </w:t>
      </w:r>
      <w:r>
        <w:t xml:space="preserve">- Монтирование удалённых ресурсов на клиенте</w:t>
      </w:r>
      <w:r>
        <w:t xml:space="preserve"> </w:t>
      </w:r>
      <w:r>
        <w:t xml:space="preserve">- Интеграция с веб-сервером и пользовательскими каталогами</w:t>
      </w:r>
      <w:r>
        <w:t xml:space="preserve"> </w:t>
      </w:r>
      <w:r>
        <w:t xml:space="preserve">- Автоматизация развёртывания через Vagrant</w:t>
      </w:r>
    </w:p>
    <w:bookmarkEnd w:id="204"/>
    <w:bookmarkStart w:id="205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Compact"/>
        <w:numPr>
          <w:ilvl w:val="0"/>
          <w:numId w:val="1043"/>
        </w:numPr>
      </w:pPr>
      <w:r>
        <w:t xml:space="preserve">Файл конфигурации, содержащий общие ресурсы NFS —</w:t>
      </w:r>
      <w:r>
        <w:t xml:space="preserve"> </w:t>
      </w:r>
      <w:r>
        <w:rPr>
          <w:rStyle w:val="VerbatimChar"/>
        </w:rPr>
        <w:t xml:space="preserve">/etc/exports</w:t>
      </w:r>
    </w:p>
    <w:p>
      <w:pPr>
        <w:pStyle w:val="Compact"/>
        <w:numPr>
          <w:ilvl w:val="0"/>
          <w:numId w:val="1043"/>
        </w:numPr>
      </w:pPr>
      <w:r>
        <w:t xml:space="preserve">Для полного доступа к серверу NFS в брандмауэре должны быть открыты порты для служб: nfs, mountd, rpc-bind</w:t>
      </w:r>
    </w:p>
    <w:p>
      <w:pPr>
        <w:pStyle w:val="Compact"/>
        <w:numPr>
          <w:ilvl w:val="0"/>
          <w:numId w:val="104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следует использовать опцию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для автоматического монтирования NFS-ресурсов при загрузке</w:t>
      </w:r>
    </w:p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31" Target="media/rId3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5" Target="media/rId35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86" Target="media/rId186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Жукова Арина Александровна</dc:creator>
  <dc:language>ru-RU</dc:language>
  <cp:keywords/>
  <dcterms:created xsi:type="dcterms:W3CDTF">2025-11-29T18:19:55Z</dcterms:created>
  <dcterms:modified xsi:type="dcterms:W3CDTF">2025-11-29T18:19:55Z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NFS</vt:lpwstr>
  </property>
  <property fmtid="{D5CDD505-2E9C-101B-9397-08002B2CF9AE}" pid="16" name="toc-title">
    <vt:lpwstr>Содержание</vt:lpwstr>
  </property>
</Properties>
</file>