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Доклад:</w:t>
      </w:r>
      <w:r>
        <w:t xml:space="preserve"> </w:t>
      </w:r>
      <w:r>
        <w:t xml:space="preserve">Адресация</w:t>
      </w:r>
      <w:r>
        <w:t xml:space="preserve"> </w:t>
      </w:r>
      <w:r>
        <w:t xml:space="preserve">IP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вводная-часть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Вводная часть</w:t>
      </w:r>
    </w:p>
    <w:bookmarkStart w:id="20" w:name="актуальность-тем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Актуальность темы</w:t>
      </w:r>
    </w:p>
    <w:p>
      <w:pPr>
        <w:pStyle w:val="FirstParagraph"/>
      </w:pPr>
      <w:r>
        <w:t xml:space="preserve">Актуальность темы исследования обусловлена всеобъемлющей цифровизацией общества и стремительным ростом количества интернет-устройств («Интернет вещей», мобильные гаджеты, умная инфраструктура). Классическая система адресации IPv4, основанная на 32-битных адресах, исчерпала свои ресурсы, что создает серьезные препятствия для развития глобальной сети. Это делает критически важным глубокое изучение и повсеместное внедрение протокола IPv6.</w:t>
      </w:r>
    </w:p>
    <w:bookmarkEnd w:id="20"/>
    <w:bookmarkStart w:id="21" w:name="объект-и-предмет-исследова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Объект и предмет исследования</w:t>
      </w:r>
    </w:p>
    <w:p>
      <w:pPr>
        <w:pStyle w:val="FirstParagraph"/>
      </w:pPr>
      <w:r>
        <w:rPr>
          <w:bCs/>
          <w:b/>
        </w:rPr>
        <w:t xml:space="preserve">Объект:</w:t>
      </w:r>
      <w:r>
        <w:t xml:space="preserve"> </w:t>
      </w:r>
      <w:r>
        <w:t xml:space="preserve">сетевая инфраструктура на базе стека протоколов TCP/IP</w:t>
      </w:r>
    </w:p>
    <w:p>
      <w:pPr>
        <w:pStyle w:val="BodyText"/>
      </w:pPr>
      <w:r>
        <w:rPr>
          <w:bCs/>
          <w:b/>
        </w:rPr>
        <w:t xml:space="preserve">Предмет:</w:t>
      </w:r>
      <w:r>
        <w:t xml:space="preserve"> </w:t>
      </w:r>
      <w:r>
        <w:t xml:space="preserve">система IP-адресации, ее эволюция и ключевые технологии</w:t>
      </w:r>
    </w:p>
    <w:bookmarkEnd w:id="21"/>
    <w:bookmarkStart w:id="22" w:name="практическая-значимость-работы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Практическая значимость работы</w:t>
      </w:r>
    </w:p>
    <w:p>
      <w:pPr>
        <w:numPr>
          <w:ilvl w:val="0"/>
          <w:numId w:val="1001"/>
        </w:numPr>
        <w:pStyle w:val="Compact"/>
      </w:pPr>
      <w:r>
        <w:t xml:space="preserve">Для сетевых инженеров и администраторов при проектировании и оптимизации сетей</w:t>
      </w:r>
    </w:p>
    <w:p>
      <w:pPr>
        <w:numPr>
          <w:ilvl w:val="0"/>
          <w:numId w:val="1001"/>
        </w:numPr>
        <w:pStyle w:val="Compact"/>
      </w:pPr>
      <w:r>
        <w:t xml:space="preserve">Для студентов IT-специальностей как учебный материал</w:t>
      </w:r>
    </w:p>
    <w:p>
      <w:pPr>
        <w:numPr>
          <w:ilvl w:val="0"/>
          <w:numId w:val="1001"/>
        </w:numPr>
        <w:pStyle w:val="Compact"/>
      </w:pPr>
      <w:r>
        <w:t xml:space="preserve">Для разработчиков ПО при создании приложений с dual-stack поддержкой</w:t>
      </w:r>
    </w:p>
    <w:bookmarkEnd w:id="22"/>
    <w:bookmarkEnd w:id="23"/>
    <w:bookmarkStart w:id="27" w:name="цель-гипотеза-задачи-исследов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Цель, гипотеза, задачи исследования</w:t>
      </w:r>
    </w:p>
    <w:bookmarkStart w:id="24" w:name="цел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Цель:</w:t>
      </w:r>
    </w:p>
    <w:p>
      <w:pPr>
        <w:pStyle w:val="FirstParagraph"/>
      </w:pPr>
      <w:r>
        <w:t xml:space="preserve">Комплексный анализ архитектуры и принципов IP-адресации в сетях передачи данных, включая сравнительное изучение протоколов IPv4 и IPv6, а также оценка методов и технологий, обеспечивающих их эффективное функционирование в современных условиях.</w:t>
      </w:r>
    </w:p>
    <w:bookmarkEnd w:id="24"/>
    <w:bookmarkStart w:id="25" w:name="гипотез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Гипотеза:</w:t>
      </w:r>
    </w:p>
    <w:p>
      <w:pPr>
        <w:pStyle w:val="FirstParagraph"/>
      </w:pPr>
      <w:r>
        <w:t xml:space="preserve">Несмотря на доминирование IPv4 в настоящее время, его технические ограничения и сложности эксплуатации делают неизбежным полный переход на протокол IPv6 в среднесрочной перспективе. При этом эффективное управление сетевыми ресурсами возможно только при условии комплексного использования технологий бесклассовой адресации (CIDR) для IPv4 и механизмов автоконфигурации для IPv6.</w:t>
      </w:r>
    </w:p>
    <w:bookmarkEnd w:id="25"/>
    <w:bookmarkStart w:id="26" w:name="задач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Задачи:</w:t>
      </w:r>
    </w:p>
    <w:p>
      <w:pPr>
        <w:numPr>
          <w:ilvl w:val="0"/>
          <w:numId w:val="1002"/>
        </w:numPr>
        <w:pStyle w:val="Compact"/>
      </w:pPr>
      <w:r>
        <w:t xml:space="preserve">Изучить теоретические основы IP-адресации: структуру и классы адресов IPv4</w:t>
      </w:r>
    </w:p>
    <w:p>
      <w:pPr>
        <w:numPr>
          <w:ilvl w:val="0"/>
          <w:numId w:val="1002"/>
        </w:numPr>
        <w:pStyle w:val="Compact"/>
      </w:pPr>
      <w:r>
        <w:t xml:space="preserve">Проанализировать эволюцию подхода к адресации: переход от классовой модели к бесклассовой (CIDR)</w:t>
      </w:r>
    </w:p>
    <w:p>
      <w:pPr>
        <w:numPr>
          <w:ilvl w:val="0"/>
          <w:numId w:val="1002"/>
        </w:numPr>
        <w:pStyle w:val="Compact"/>
      </w:pPr>
      <w:r>
        <w:t xml:space="preserve">Исследовать причины исчерпания IPv4-адресов и технологии, позволившие отсрочить кризис (NAT)</w:t>
      </w:r>
    </w:p>
    <w:p>
      <w:pPr>
        <w:numPr>
          <w:ilvl w:val="0"/>
          <w:numId w:val="1002"/>
        </w:numPr>
        <w:pStyle w:val="Compact"/>
      </w:pPr>
      <w:r>
        <w:t xml:space="preserve">Рассмотреть архитектуру и преимущества протокола IPv6</w:t>
      </w:r>
    </w:p>
    <w:p>
      <w:pPr>
        <w:numPr>
          <w:ilvl w:val="0"/>
          <w:numId w:val="1002"/>
        </w:numPr>
        <w:pStyle w:val="Compact"/>
      </w:pPr>
      <w:r>
        <w:t xml:space="preserve">Провести сравнительный анализ характеристик IPv4 и IPv6</w:t>
      </w:r>
    </w:p>
    <w:bookmarkEnd w:id="26"/>
    <w:bookmarkEnd w:id="27"/>
    <w:bookmarkStart w:id="30" w:name="материалы-и-методы-исследова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Материалы и методы исследования</w:t>
      </w:r>
    </w:p>
    <w:bookmarkStart w:id="28" w:name="материалы-исследова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Материалы исследования</w:t>
      </w:r>
    </w:p>
    <w:p>
      <w:pPr>
        <w:numPr>
          <w:ilvl w:val="0"/>
          <w:numId w:val="1003"/>
        </w:numPr>
        <w:pStyle w:val="Compact"/>
      </w:pPr>
      <w:r>
        <w:t xml:space="preserve">Учебные пособия и научная литература</w:t>
      </w:r>
    </w:p>
    <w:p>
      <w:pPr>
        <w:numPr>
          <w:ilvl w:val="0"/>
          <w:numId w:val="1003"/>
        </w:numPr>
        <w:pStyle w:val="Compact"/>
      </w:pPr>
      <w:r>
        <w:t xml:space="preserve">Спецификации и стандарты (RFC)</w:t>
      </w:r>
    </w:p>
    <w:p>
      <w:pPr>
        <w:numPr>
          <w:ilvl w:val="0"/>
          <w:numId w:val="1003"/>
        </w:numPr>
        <w:pStyle w:val="Compact"/>
      </w:pPr>
      <w:r>
        <w:t xml:space="preserve">Научные статьи и аналитические обзоры</w:t>
      </w:r>
    </w:p>
    <w:bookmarkEnd w:id="28"/>
    <w:bookmarkStart w:id="29" w:name="методы-исследова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Методы исследования</w:t>
      </w:r>
    </w:p>
    <w:p>
      <w:pPr>
        <w:numPr>
          <w:ilvl w:val="0"/>
          <w:numId w:val="1004"/>
        </w:numPr>
        <w:pStyle w:val="Compact"/>
      </w:pPr>
      <w:r>
        <w:t xml:space="preserve">Теоретический анализ</w:t>
      </w:r>
    </w:p>
    <w:p>
      <w:pPr>
        <w:numPr>
          <w:ilvl w:val="0"/>
          <w:numId w:val="1004"/>
        </w:numPr>
        <w:pStyle w:val="Compact"/>
      </w:pPr>
      <w:r>
        <w:t xml:space="preserve">Сравнительный анализ</w:t>
      </w:r>
    </w:p>
    <w:p>
      <w:pPr>
        <w:numPr>
          <w:ilvl w:val="0"/>
          <w:numId w:val="1004"/>
        </w:numPr>
        <w:pStyle w:val="Compact"/>
      </w:pPr>
      <w:r>
        <w:t xml:space="preserve">Структурно-функциональный метод</w:t>
      </w:r>
    </w:p>
    <w:p>
      <w:pPr>
        <w:numPr>
          <w:ilvl w:val="0"/>
          <w:numId w:val="1004"/>
        </w:numPr>
        <w:pStyle w:val="Compact"/>
      </w:pPr>
      <w:r>
        <w:t xml:space="preserve">Обобщение</w:t>
      </w:r>
    </w:p>
    <w:bookmarkEnd w:id="29"/>
    <w:bookmarkEnd w:id="30"/>
    <w:bookmarkStart w:id="46" w:name="основная-част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Основная часть</w:t>
      </w:r>
    </w:p>
    <w:bookmarkStart w:id="31" w:name="введение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IP-адресация является фундаментальным понятием в сетевых технологиях, лежащим в основе коммуникации в глобальной сети Интернет и большинстве локальных сетей. Она обеспечивает идентификацию и локализацию устройств в сетевом пространстве, позволяя маршрутизаторам и другим сетевым устройствам правильно направлять потоки данных от отправителя к получателю. Данный доклад посвящен изучению архитектуры и принципов IP-адресации, рассматривая как устоявшийся стандарт IPv4, так и его перспективного преемника — IPv6. Цель работы — систематизировать знания о структуре, типах, методах назначения и современных проблемах IP-адресации.</w:t>
      </w:r>
    </w:p>
    <w:bookmarkEnd w:id="31"/>
    <w:bookmarkStart w:id="32" w:name="протокол-ip-и-его-роль-в-стеке-tcpip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Протокол IP и его роль в стеке TCP/IP</w:t>
      </w:r>
    </w:p>
    <w:p>
      <w:pPr>
        <w:pStyle w:val="FirstParagraph"/>
      </w:pPr>
      <w:r>
        <w:t xml:space="preserve">Протокол IP (Internet Protocol) работает на сетевом (межсетевом) уровне стека TCP/IP. Его основная задача — обеспечить адресацию и доставку пакетов (датаграмм) от исходного узла до узла назначения в составной сети, которая может состоять из множества разнородных подсетей. IP является протоколом без установления соединения (connectionless) и не гарантирует доставку пакетов — эти функции делегированы вышележащим протоколам, таким как TCP.</w:t>
      </w:r>
    </w:p>
    <w:p>
      <w:pPr>
        <w:pStyle w:val="BodyText"/>
      </w:pPr>
      <w:r>
        <w:t xml:space="preserve">Оосновной услугой сетевого уровня является обеспечение передачи данных без каких-либо изменений между транспортными логическими объектами». Именно IP реализует эту услугу, опираясь на систему IP-адресов.</w:t>
      </w:r>
    </w:p>
    <w:bookmarkEnd w:id="32"/>
    <w:bookmarkStart w:id="37" w:name="адресация-ipv4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Адресация IPv4</w:t>
      </w:r>
    </w:p>
    <w:bookmarkStart w:id="33" w:name="структура-и-форматы-адреса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Структура и форматы адреса</w:t>
      </w:r>
    </w:p>
    <w:p>
      <w:pPr>
        <w:pStyle w:val="FirstParagraph"/>
      </w:pPr>
      <w:r>
        <w:t xml:space="preserve">IPv4-адрес представляет собой 32-битное число, которое для удобства восприятия записывается в виде четырёх десятичных чисел (от 0 до 255), разделённых точками, например,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Это так называемая точечно-десятичная нотация (dotted-decimal notation).</w:t>
      </w:r>
    </w:p>
    <w:p>
      <w:pPr>
        <w:pStyle w:val="BodyText"/>
      </w:pPr>
      <w:r>
        <w:t xml:space="preserve">Пространство IPv4-адресов делится на классы (A, B, C, D, E), хотя сегодня классовая адресация во многом уступила место бесклассовой (CIDR).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Класс A:</w:t>
      </w:r>
      <w:r>
        <w:t xml:space="preserve"> </w:t>
      </w:r>
      <w:r>
        <w:t xml:space="preserve">Первый бит</w:t>
      </w:r>
      <w:r>
        <w:t xml:space="preserve"> </w:t>
      </w:r>
      <w:r>
        <w:rPr>
          <w:rStyle w:val="VerbatimChar"/>
        </w:rPr>
        <w:t xml:space="preserve">0</w:t>
      </w:r>
      <w:r>
        <w:t xml:space="preserve">. Диапазон сетей: 1.0.0.0 — 126.0.0.0. Предназначен для очень крупных сетей.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Класс B:</w:t>
      </w:r>
      <w:r>
        <w:t xml:space="preserve"> </w:t>
      </w:r>
      <w:r>
        <w:t xml:space="preserve">Первые два бита</w:t>
      </w:r>
      <w:r>
        <w:t xml:space="preserve"> </w:t>
      </w:r>
      <w:r>
        <w:rPr>
          <w:rStyle w:val="VerbatimChar"/>
        </w:rPr>
        <w:t xml:space="preserve">10</w:t>
      </w:r>
      <w:r>
        <w:t xml:space="preserve">. Диапазон сетей: 128.0.0.0 — 191.255.0.0. Для сетей среднего размера.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Класс C:</w:t>
      </w:r>
      <w:r>
        <w:t xml:space="preserve"> </w:t>
      </w:r>
      <w:r>
        <w:t xml:space="preserve">Первые три бита</w:t>
      </w:r>
      <w:r>
        <w:t xml:space="preserve"> </w:t>
      </w:r>
      <w:r>
        <w:rPr>
          <w:rStyle w:val="VerbatimChar"/>
        </w:rPr>
        <w:t xml:space="preserve">110</w:t>
      </w:r>
      <w:r>
        <w:t xml:space="preserve">. Диапазон сетей: 192.0.0.0 — 223.255.255.0. Для небольших сетей.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Класс D:</w:t>
      </w:r>
      <w:r>
        <w:t xml:space="preserve"> </w:t>
      </w:r>
      <w:r>
        <w:t xml:space="preserve">Первые четыре бита</w:t>
      </w:r>
      <w:r>
        <w:t xml:space="preserve"> </w:t>
      </w:r>
      <w:r>
        <w:rPr>
          <w:rStyle w:val="VerbatimChar"/>
        </w:rPr>
        <w:t xml:space="preserve">1110</w:t>
      </w:r>
      <w:r>
        <w:t xml:space="preserve">. Диапазон: 224.0.0.0 — 239.255.255.255. Адреса групповой рассылки (multicast).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Класс E:</w:t>
      </w:r>
      <w:r>
        <w:t xml:space="preserve"> </w:t>
      </w:r>
      <w:r>
        <w:t xml:space="preserve">Первые четыре бита</w:t>
      </w:r>
      <w:r>
        <w:t xml:space="preserve"> </w:t>
      </w:r>
      <w:r>
        <w:rPr>
          <w:rStyle w:val="VerbatimChar"/>
        </w:rPr>
        <w:t xml:space="preserve">1111</w:t>
      </w:r>
      <w:r>
        <w:t xml:space="preserve">. Диапазон: 240.0.0.0 — 255.255.255.255. Зарезервирован для экспериментальных целей.</w:t>
      </w:r>
    </w:p>
    <w:bookmarkEnd w:id="33"/>
    <w:bookmarkStart w:id="34" w:name="X7b07d9e3fa272f47d6c685c566b87432b6dde60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Маска подсети и бесклассовая адресация (CIDR)</w:t>
      </w:r>
    </w:p>
    <w:p>
      <w:pPr>
        <w:pStyle w:val="FirstParagraph"/>
      </w:pPr>
      <w:r>
        <w:t xml:space="preserve">Классовый подход оказался неэффективным и привёл к расточительству IP-адресов. Ему на смену пришла технология бесклассовой междоменной маршрутизации (Classless Inter-Domain Routing, CIDR).</w:t>
      </w:r>
    </w:p>
    <w:p>
      <w:pPr>
        <w:pStyle w:val="BodyText"/>
      </w:pPr>
      <w:r>
        <w:t xml:space="preserve">CIDR вводит понятие</w:t>
      </w:r>
      <w:r>
        <w:t xml:space="preserve"> </w:t>
      </w:r>
      <w:r>
        <w:rPr>
          <w:bCs/>
          <w:b/>
        </w:rPr>
        <w:t xml:space="preserve">маски подсети</w:t>
      </w:r>
      <w:r>
        <w:t xml:space="preserve"> </w:t>
      </w:r>
      <w:r>
        <w:t xml:space="preserve">— 32-битного числа, которое определяет, какая часть IP-адреса относится к номеру сети, а какая — к номеру узла. Биты маски, установленные в</w:t>
      </w:r>
      <w:r>
        <w:t xml:space="preserve"> </w:t>
      </w:r>
      <w:r>
        <w:rPr>
          <w:rStyle w:val="VerbatimChar"/>
        </w:rPr>
        <w:t xml:space="preserve">1</w:t>
      </w:r>
      <w:r>
        <w:t xml:space="preserve">, соответствуют битам сети в IP-адресе, а биты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битам узла. Маска также записывается в точечно-десятичной форме (например,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) или в виде префикса после символа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/24</w:t>
      </w:r>
      <w:r>
        <w:t xml:space="preserve">, что эквивалентно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).</w:t>
      </w:r>
    </w:p>
    <w:p>
      <w:pPr>
        <w:pStyle w:val="BodyText"/>
      </w:pPr>
      <w:r>
        <w:t xml:space="preserve">Например,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означает:</w:t>
      </w:r>
      <w:r>
        <w:t xml:space="preserve"> </w:t>
      </w:r>
      <w:r>
        <w:t xml:space="preserve">* Адрес сети:</w:t>
      </w:r>
      <w:r>
        <w:t xml:space="preserve"> </w:t>
      </w:r>
      <w:r>
        <w:rPr>
          <w:rStyle w:val="VerbatimChar"/>
        </w:rPr>
        <w:t xml:space="preserve">192.168.1.0</w:t>
      </w:r>
      <w:r>
        <w:t xml:space="preserve"> </w:t>
      </w:r>
      <w:r>
        <w:t xml:space="preserve">* Маска: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* Диапазон адресов узлов: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192.168.1.254</w:t>
      </w:r>
      <w:r>
        <w:t xml:space="preserve"> </w:t>
      </w:r>
      <w:r>
        <w:t xml:space="preserve">* Широковещательный адрес:</w:t>
      </w:r>
      <w:r>
        <w:t xml:space="preserve"> </w:t>
      </w:r>
      <w:r>
        <w:rPr>
          <w:rStyle w:val="VerbatimChar"/>
        </w:rPr>
        <w:t xml:space="preserve">192.168.1.255</w:t>
      </w:r>
    </w:p>
    <w:p>
      <w:pPr>
        <w:pStyle w:val="BodyText"/>
      </w:pPr>
      <w:r>
        <w:t xml:space="preserve">CIDR позволил гибко дробить крупные сетевые блоки на подсети (процесс subnetting) и агрегировать множество мелких сетей в одну запись в таблице маршрутизации (supernetting), что значительно замедлило исчерпание IPv4-адресов и сократило размеры таблиц маршрутизации.</w:t>
      </w:r>
    </w:p>
    <w:bookmarkEnd w:id="34"/>
    <w:bookmarkStart w:id="35" w:name="специальные-ipv4-адреса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Специальные IPv4-адреса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Private Addresses (частные адреса):</w:t>
      </w:r>
      <w:r>
        <w:t xml:space="preserve"> </w:t>
      </w:r>
      <w:r>
        <w:t xml:space="preserve">Определены в RFC 1918. Не маршрутизируются в Интернете и используются внутри частных сетей.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10.0.0.0/8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172.16.0.0/12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192.168.0.0/16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Loopback Address (адрес обратной петли):</w:t>
      </w:r>
      <w:r>
        <w:t xml:space="preserve"> </w:t>
      </w:r>
      <w:r>
        <w:rPr>
          <w:rStyle w:val="VerbatimChar"/>
        </w:rPr>
        <w:t xml:space="preserve">127.0.0.0/8</w:t>
      </w:r>
      <w:r>
        <w:t xml:space="preserve"> </w:t>
      </w:r>
      <w:r>
        <w:t xml:space="preserve">(чаще всего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). Используется для тестирования сетевого стека самого узла.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Link-Local Addresses (APIPA):</w:t>
      </w:r>
      <w:r>
        <w:t xml:space="preserve"> </w:t>
      </w:r>
      <w:r>
        <w:rPr>
          <w:rStyle w:val="VerbatimChar"/>
        </w:rPr>
        <w:t xml:space="preserve">169.254.0.0/16</w:t>
      </w:r>
      <w:r>
        <w:t xml:space="preserve">. Автоматически назначаются узлу, если он не смог получить адрес от DHCP-сервера.</w:t>
      </w:r>
    </w:p>
    <w:bookmarkEnd w:id="35"/>
    <w:bookmarkStart w:id="36" w:name="кризис-ipv4-и-технология-nat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Кризис IPv4 и технология NAT</w:t>
      </w:r>
    </w:p>
    <w:p>
      <w:pPr>
        <w:pStyle w:val="FirstParagraph"/>
      </w:pPr>
      <w:r>
        <w:t xml:space="preserve">Ограниченное пространство IPv4-адресов (около 4,3 млрд) привело к их практическому исчерпанию. Одним из ключевых решений, отсрочивших этот кризис, стала технология трансляции сетевых адресов (Network Address Translation, NAT).</w:t>
      </w:r>
    </w:p>
    <w:p>
      <w:pPr>
        <w:pStyle w:val="BodyText"/>
      </w:pPr>
      <w:r>
        <w:t xml:space="preserve">NAT позволяет множеству устройств в частной сети использовать один или несколько публичных IPv4-адресов для выхода в Интернет. Маршрутизатор с NAT подменяет приватные IP-адреса и порты отправителей в исходящих пакетах на свои публичные, и выполняет обратную подмену для входящих пакетов. Это позволило значительно сократить потребление публичных IPv4-адресов.</w:t>
      </w:r>
    </w:p>
    <w:bookmarkEnd w:id="36"/>
    <w:bookmarkEnd w:id="37"/>
    <w:bookmarkStart w:id="42" w:name="адресация-ipv6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Адресация IPv6</w:t>
      </w:r>
    </w:p>
    <w:bookmarkStart w:id="38" w:name="X6fb0c1a997881e778b72f663abf6206a76b6da4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Необходимость перехода и структура адреса</w:t>
      </w:r>
    </w:p>
    <w:p>
      <w:pPr>
        <w:pStyle w:val="FirstParagraph"/>
      </w:pPr>
      <w:r>
        <w:t xml:space="preserve">Протокол IPv6 был разработан как долгосрочное решение проблемы исчерпания адресов. Он использует 128-битные адреса, что обеспечивает колоссальное адресное пространство (~</w:t>
      </w:r>
      <w:r>
        <w:t xml:space="preserve"> </w:t>
      </w:r>
      <w:r>
        <w:t xml:space="preserve">~3.4×10^38 адресов).</w:t>
      </w:r>
    </w:p>
    <w:p>
      <w:pPr>
        <w:pStyle w:val="BodyText"/>
      </w:pPr>
      <w:r>
        <w:t xml:space="preserve">IPv6-адрес записывается в виде восьми шестнадцатеричных 16-битных групп, разделённых двоеточиями:</w:t>
      </w:r>
      <w:r>
        <w:t xml:space="preserve"> </w:t>
      </w:r>
      <w:r>
        <w:rPr>
          <w:rStyle w:val="VerbatimChar"/>
        </w:rPr>
        <w:t xml:space="preserve">2001:0db8:85a3:0000:0000:8a2e:0370:7334</w:t>
      </w:r>
    </w:p>
    <w:p>
      <w:pPr>
        <w:pStyle w:val="BodyText"/>
      </w:pPr>
      <w:r>
        <w:t xml:space="preserve">Для сокращения записи допускается:</w:t>
      </w:r>
    </w:p>
    <w:p>
      <w:pPr>
        <w:numPr>
          <w:ilvl w:val="0"/>
          <w:numId w:val="1008"/>
        </w:numPr>
      </w:pPr>
      <w:r>
        <w:t xml:space="preserve">Отбрасывать ведущие нули в каждой группе:</w:t>
      </w:r>
      <w:r>
        <w:t xml:space="preserve"> </w:t>
      </w:r>
      <w:r>
        <w:rPr>
          <w:rStyle w:val="VerbatimChar"/>
        </w:rPr>
        <w:t xml:space="preserve">2001:db8:85a3:0:0:8a2e:370:7334</w:t>
      </w:r>
    </w:p>
    <w:p>
      <w:pPr>
        <w:numPr>
          <w:ilvl w:val="0"/>
          <w:numId w:val="1008"/>
        </w:numPr>
      </w:pPr>
      <w:r>
        <w:t xml:space="preserve">Заменять одну или несколько последовательных групп, состоящих только из нулей, на двойное двоеточие (</w:t>
      </w:r>
      <w:r>
        <w:rPr>
          <w:rStyle w:val="VerbatimChar"/>
        </w:rPr>
        <w:t xml:space="preserve">::</w:t>
      </w:r>
      <w:r>
        <w:t xml:space="preserve">):</w:t>
      </w:r>
      <w:r>
        <w:t xml:space="preserve"> </w:t>
      </w:r>
      <w:r>
        <w:rPr>
          <w:rStyle w:val="VerbatimChar"/>
        </w:rPr>
        <w:t xml:space="preserve">2001:db8:85a3::8a2e:370:7334</w:t>
      </w:r>
      <w:r>
        <w:t xml:space="preserve">. Такая замена может быть выполнена только один раз в адресе.</w:t>
      </w:r>
    </w:p>
    <w:bookmarkEnd w:id="38"/>
    <w:bookmarkStart w:id="39" w:name="типы-ipv6-адресов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Типы IPv6-адресов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Unicast:</w:t>
      </w:r>
      <w:r>
        <w:t xml:space="preserve"> </w:t>
      </w:r>
      <w:r>
        <w:t xml:space="preserve">Адрес, идентифицирующий один интерфейс. Пакет, отправленный на unicast-адрес, доставляется единственному интерфейсу.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Multicast:</w:t>
      </w:r>
      <w:r>
        <w:t xml:space="preserve"> </w:t>
      </w:r>
      <w:r>
        <w:t xml:space="preserve">Адрес, идентифицирующий группу интерфейсов. Пакет, отправленный на multicast-адрес, доставляется всем интерфейсам этой группы. Широковещание (broadcast) в IPv6 отсутствует, его функции выполняет multicast.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Anycast:</w:t>
      </w:r>
      <w:r>
        <w:t xml:space="preserve"> </w:t>
      </w:r>
      <w:r>
        <w:t xml:space="preserve">Адрес, также идентифицирующий группу интерфейсов, но пакет доставляется только</w:t>
      </w:r>
      <w:r>
        <w:t xml:space="preserve"> </w:t>
      </w:r>
      <w:r>
        <w:rPr>
          <w:iCs/>
          <w:i/>
        </w:rPr>
        <w:t xml:space="preserve">ближайшему</w:t>
      </w:r>
      <w:r>
        <w:t xml:space="preserve"> </w:t>
      </w:r>
      <w:r>
        <w:t xml:space="preserve">из них (с точки зрения метрики маршрутизации). Anycast-адреса берутся из пространства unicast-адресов.</w:t>
      </w:r>
    </w:p>
    <w:bookmarkEnd w:id="39"/>
    <w:bookmarkStart w:id="40" w:name="основные-форматы-unicast-адресов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Основные форматы unicast-адресов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Global Unicast Address (GUA):</w:t>
      </w:r>
      <w:r>
        <w:t xml:space="preserve"> </w:t>
      </w:r>
      <w:r>
        <w:t xml:space="preserve">Аналог публичного IPv4-адреса. Имеют структуру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 </w:t>
      </w:r>
      <w:r>
        <w:t xml:space="preserve">(первые три бита</w:t>
      </w:r>
      <w:r>
        <w:t xml:space="preserve"> </w:t>
      </w:r>
      <w:r>
        <w:rPr>
          <w:rStyle w:val="VerbatimChar"/>
        </w:rPr>
        <w:t xml:space="preserve">001</w:t>
      </w:r>
      <w:r>
        <w:t xml:space="preserve">). Включают в себя префикс маршрутизации, идентификатор подсети и идентификатор интерфейса.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Link-Local Address (LLA):</w:t>
      </w:r>
      <w:r>
        <w:t xml:space="preserve"> </w:t>
      </w:r>
      <w:r>
        <w:t xml:space="preserve">Автоматически конфигурируются на каждом интерфейсе и используются для связи within a single network segment (как протоколы маршрутизации, соседнего обнаружения). Имеют фиксированный префикс</w:t>
      </w:r>
      <w:r>
        <w:t xml:space="preserve"> </w:t>
      </w:r>
      <w:r>
        <w:rPr>
          <w:rStyle w:val="VerbatimChar"/>
        </w:rPr>
        <w:t xml:space="preserve">fe80::/10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Unique Local Address (ULA):</w:t>
      </w:r>
      <w:r>
        <w:t xml:space="preserve"> </w:t>
      </w:r>
      <w:r>
        <w:t xml:space="preserve">Аналог частных IPv4-адресов (RFC 1918). Имеют префикс</w:t>
      </w:r>
      <w:r>
        <w:t xml:space="preserve"> </w:t>
      </w:r>
      <w:r>
        <w:rPr>
          <w:rStyle w:val="VerbatimChar"/>
        </w:rPr>
        <w:t xml:space="preserve">fc00::/7</w:t>
      </w:r>
      <w:r>
        <w:t xml:space="preserve">. Не маршрутизируются в глобальном Интернете.</w:t>
      </w:r>
    </w:p>
    <w:bookmarkEnd w:id="40"/>
    <w:bookmarkStart w:id="41" w:name="методы-назначения-ip-адресов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Методы назначения IP-адресов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Статическая настройка:</w:t>
      </w:r>
      <w:r>
        <w:t xml:space="preserve"> </w:t>
      </w:r>
      <w:r>
        <w:t xml:space="preserve">Адрес, маска и шлюз по умолчанию вводятся администратором вручную в настройках сетевого интерфейса.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Динамическая настройка (DHCP):</w:t>
      </w:r>
      <w:r>
        <w:t xml:space="preserve"> </w:t>
      </w:r>
      <w:r>
        <w:t xml:space="preserve">Протокол Dynamic Host Configuration Protocol позволяет узлам автоматически получать IP-адрес и другие параметры сети (маску, шлюз, адреса DNS-серверов) от специального сервера. Это основной метод назначения адресов в современных сетях.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Автоконфигурация (только для IPv6):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Stateless Address Autoconfiguration (SLAAC):</w:t>
      </w:r>
      <w:r>
        <w:t xml:space="preserve"> </w:t>
      </w:r>
      <w:r>
        <w:t xml:space="preserve">Узел самостоятельно формирует свой адрес, используя полученный от маршрутизатора префикс сети и свой MAC-адрес (как правило, преобразованный в формат EUI-64).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Stateful DHCPv6:</w:t>
      </w:r>
      <w:r>
        <w:t xml:space="preserve"> </w:t>
      </w:r>
      <w:r>
        <w:t xml:space="preserve">Аналогичен DHCP в IPv4, сервер выдаёт адреса и manages их состояние.</w:t>
      </w:r>
    </w:p>
    <w:bookmarkEnd w:id="41"/>
    <w:bookmarkEnd w:id="42"/>
    <w:bookmarkStart w:id="43" w:name="заключение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IP-адресация прошла долгий путь от классовой модели IPv4 до гибкой бесклассовой системы CIDR и, наконец, к просторному и функциональному IPv6. Понимание принципов адресации — от структуры адреса и маски подсети до методов динамического назначения — является обязательным для любого специалиста в области сетевых технологий. Несмотря на широкое распространение механизмов вроде NAT, будущее сетей неразрывно связано с повсеместным внедрением IPv6, который не только решает проблему нехватки адресов, но и предлагает улучшения в области безопасности, производительности и управляемости. Миграция на IPv6 остается одной из ключевых задач современной интернет-инфраструктуры.</w:t>
      </w:r>
    </w:p>
    <w:bookmarkEnd w:id="43"/>
    <w:bookmarkStart w:id="45" w:name="список-использованной-литературы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Список использованной литературы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Кулябов Д. С., Королькова А. В.</w:t>
      </w:r>
      <w:r>
        <w:t xml:space="preserve"> </w:t>
      </w:r>
      <w:r>
        <w:t xml:space="preserve">Архитектура и принципы построения современных сетей и систем телекоммуникаций: Учеб. пособие. — М.: РУДН, 2008. — 281 с. (Использованы материалы Главы 5</w:t>
      </w:r>
      <w:r>
        <w:t xml:space="preserve"> </w:t>
      </w:r>
      <w:r>
        <w:t xml:space="preserve">“</w:t>
      </w:r>
      <w:r>
        <w:t xml:space="preserve">Сетевой уровень</w:t>
      </w:r>
      <w:r>
        <w:t xml:space="preserve">”</w:t>
      </w:r>
      <w:r>
        <w:t xml:space="preserve">, разделы 5.1</w:t>
      </w:r>
      <w:r>
        <w:t xml:space="preserve"> </w:t>
      </w:r>
      <w:r>
        <w:t xml:space="preserve">“</w:t>
      </w:r>
      <w:r>
        <w:t xml:space="preserve">Протокол IPv4</w:t>
      </w:r>
      <w:r>
        <w:t xml:space="preserve">”</w:t>
      </w:r>
      <w:r>
        <w:t xml:space="preserve"> </w:t>
      </w:r>
      <w:r>
        <w:t xml:space="preserve">и 5.2</w:t>
      </w:r>
      <w:r>
        <w:t xml:space="preserve"> </w:t>
      </w:r>
      <w:r>
        <w:t xml:space="preserve">“</w:t>
      </w:r>
      <w:r>
        <w:t xml:space="preserve">Протокол IPv6</w:t>
      </w:r>
      <w:r>
        <w:t xml:space="preserve">”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Олифер В. Г., Олифер Н. А.</w:t>
      </w:r>
      <w:r>
        <w:t xml:space="preserve"> </w:t>
      </w:r>
      <w:r>
        <w:t xml:space="preserve">Компьютерные сети. Принципы, технологии, протоколы: Учебник для вузов. — 4-е изд. — СПб.: Питер, 2010. — 944 с.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Таненбаум Э., Уэзеролл Д.</w:t>
      </w:r>
      <w:r>
        <w:t xml:space="preserve"> </w:t>
      </w:r>
      <w:r>
        <w:t xml:space="preserve">Компьютерные сети. — 5-е изд. — СПб.: Питер, 2012. — 960 с.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RFC 791.</w:t>
      </w:r>
      <w:r>
        <w:t xml:space="preserve"> </w:t>
      </w:r>
      <w:r>
        <w:t xml:space="preserve">Internet Protocol, DARPA Internet Program, Protocol Specification, September 1981.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RFC 1918.</w:t>
      </w:r>
      <w:r>
        <w:t xml:space="preserve"> </w:t>
      </w:r>
      <w:r>
        <w:t xml:space="preserve">Address Allocation for Private Internets, February 1996.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RFC 4632.</w:t>
      </w:r>
      <w:r>
        <w:t xml:space="preserve"> </w:t>
      </w:r>
      <w:r>
        <w:t xml:space="preserve">Classless Inter-domain Routing (CIDR): The Internet Address Assignment and Aggregation Plan, August 2006.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RFC 2460.</w:t>
      </w:r>
      <w:r>
        <w:t xml:space="preserve"> </w:t>
      </w:r>
      <w:r>
        <w:t xml:space="preserve">Internet Protocol, Version 6 (IPv6) Specification, December 1998.</w:t>
      </w:r>
    </w:p>
    <w:bookmarkStart w:id="44" w:name="refs"/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Доклад: Адресация IP</dc:title>
  <dc:creator>Жукова Арина Александровна</dc:creator>
  <dc:language>ru-RU</dc:language>
  <cp:keywords/>
  <dcterms:created xsi:type="dcterms:W3CDTF">2025-11-07T19:28:38Z</dcterms:created>
  <dcterms:modified xsi:type="dcterms:W3CDTF">2025-11-07T19:28:38Z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Сетевые технологии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