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5"/>
      </w:pPr>
      <w:r>
        <w:t xml:space="preserve">以语行治：政府治理的语言面向与效用机制</w:t>
      </w:r>
    </w:p>
    <w:p>
      <w:pPr>
        <w:pStyle w:val="Author"/>
      </w:pPr>
      <w:r>
        <w:t xml:space="preserve">胡悦</w:t>
      </w:r>
    </w:p>
    <w:p>
      <w:pPr>
        <w:pStyle w:val="Author"/>
      </w:pPr>
      <w:r>
        <w:t xml:space="preserve">朱萌</w:t>
      </w:r>
      <w:r>
        <w:rPr>
          <w:rStyle w:val="ad"/>
        </w:rPr>
        <w:footnoteReference w:id="20"/>
      </w:r>
    </w:p>
    <w:p>
      <w:pPr>
        <w:pStyle w:val="Abstract"/>
      </w:pPr>
      <w:r>
        <w:rPr>
          <w:bCs/>
          <w:b/>
        </w:rPr>
        <w:t xml:space="preserve">摘要</w:t>
      </w:r>
      <w:r>
        <w:t xml:space="preserve">：语言通常被视为政府传播治理理念、传达治理政策的核心载体，但针对语言本身的治理，即语言规划，其治理效能却未被予以足够重视，导致这一手段虽有协调多层次关系、解决治理难题之能，却在治理实践中未得到足够重视和应用。本文运用系统功能类型学方法，提出语言规划在国家治理、群体治理和个体治理三个层面的贯通功能。进而，在综合前沿政治语言学研究成果基础上，指出语言规划实现治理能力提升的三条实践路径。最后，本文针对新时期城市治理、共同富裕、新媒体治理等政府核心治理领域，揭示语言规划在解决现实治理挑战、推动治理能力现代化上的重要功用，并为新时期语言规划方向与策略提出建议。</w:t>
      </w:r>
    </w:p>
    <w:p>
      <w:pPr>
        <w:pStyle w:val="Abstract"/>
      </w:pPr>
      <w:r>
        <w:rPr>
          <w:bCs/>
          <w:b/>
        </w:rPr>
        <w:t xml:space="preserve">关键词</w:t>
      </w:r>
      <w:r>
        <w:t xml:space="preserve">：语言规划；国家治理；群体治理；个体治理；系统功能类型学。</w:t>
      </w:r>
    </w:p>
    <w:bookmarkStart w:id="21" w:name="引言"/>
    <w:p>
      <w:pPr>
        <w:pStyle w:val="1"/>
      </w:pPr>
      <w:r>
        <w:t xml:space="preserve">引言</w:t>
      </w:r>
    </w:p>
    <w:p>
      <w:pPr>
        <w:pStyle w:val="FirstParagraph"/>
      </w:pPr>
      <w:r>
        <w:t xml:space="preserve">语言，是人类的根本特征，对人类社会的文化走向、制度设置、价值塑造都具有关键性作用</w:t>
      </w:r>
      <w:r>
        <w:t xml:space="preserve">(</w:t>
      </w:r>
      <w:hyperlink w:anchor="ref-MaKeSiEnGeSi1961">
        <w:r>
          <w:rPr>
            <w:rStyle w:val="ae"/>
          </w:rPr>
          <w:t xml:space="preserve">Marx &amp; Engels, 1961</w:t>
        </w:r>
      </w:hyperlink>
      <w:r>
        <w:t xml:space="preserve">;</w:t>
      </w:r>
      <w:r>
        <w:t xml:space="preserve"> </w:t>
      </w:r>
      <w:hyperlink w:anchor="ref-Mead2012">
        <w:r>
          <w:rPr>
            <w:rStyle w:val="ae"/>
          </w:rPr>
          <w:t xml:space="preserve">Mead, 2012</w:t>
        </w:r>
      </w:hyperlink>
      <w:r>
        <w:t xml:space="preserve">)</w:t>
      </w:r>
      <w:r>
        <w:t xml:space="preserve">。</w:t>
      </w:r>
      <w:r>
        <w:t xml:space="preserve"> </w:t>
      </w:r>
      <w:r>
        <w:t xml:space="preserve">这一点在政治领域也不例外。</w:t>
      </w:r>
      <w:r>
        <w:t xml:space="preserve"> </w:t>
      </w:r>
      <w:r>
        <w:t xml:space="preserve">语言从古至今都是政治生活的核心载体和政治认知塑造的重要途径</w:t>
      </w:r>
      <w:r>
        <w:t xml:space="preserve">(</w:t>
      </w:r>
      <w:hyperlink w:anchor="ref-WangChunHui2020a">
        <w:r>
          <w:rPr>
            <w:rStyle w:val="ae"/>
          </w:rPr>
          <w:t xml:space="preserve">王春辉, 2020b</w:t>
        </w:r>
      </w:hyperlink>
      <w:r>
        <w:t xml:space="preserve">)</w:t>
      </w:r>
      <w:r>
        <w:t xml:space="preserve">。</w:t>
      </w:r>
      <w:r>
        <w:t xml:space="preserve"> </w:t>
      </w:r>
      <w:r>
        <w:t xml:space="preserve">它构架着政治过程中各种问题的论述；政府通过对词汇和理论的解释，将治国理念和方针进行阐释，以便服务于政治稳定、经济发展和文化传承</w:t>
      </w:r>
      <w:r>
        <w:t xml:space="preserve">(</w:t>
      </w:r>
      <w:hyperlink w:anchor="ref-MillerRose1990">
        <w:r>
          <w:rPr>
            <w:rStyle w:val="ae"/>
          </w:rPr>
          <w:t xml:space="preserve">Miller &amp; Rose, 1990</w:t>
        </w:r>
      </w:hyperlink>
      <w:r>
        <w:t xml:space="preserve">)</w:t>
      </w:r>
      <w:r>
        <w:t xml:space="preserve">。</w:t>
      </w:r>
      <w:r>
        <w:t xml:space="preserve"> </w:t>
      </w:r>
      <w:r>
        <w:t xml:space="preserve">在政府治理实践中，语言更是实现政府间政策扩散、在民众中进行政策落实以及搭建政民互动等关键环节中的主导媒介。</w:t>
      </w:r>
    </w:p>
    <w:p>
      <w:pPr>
        <w:pStyle w:val="a0"/>
      </w:pPr>
      <w:r>
        <w:t xml:space="preserve">当前，深化改革的总任务和推进治理能力现代化的总目标都对政府治理的综合性和高效性提出了更高的需求</w:t>
      </w:r>
      <w:r>
        <w:t xml:space="preserve">(</w:t>
      </w:r>
      <w:hyperlink w:anchor="ref-LiYuMing2018">
        <w:r>
          <w:rPr>
            <w:rStyle w:val="ae"/>
          </w:rPr>
          <w:t xml:space="preserve">李宇明, 2018</w:t>
        </w:r>
      </w:hyperlink>
      <w:r>
        <w:t xml:space="preserve">)</w:t>
      </w:r>
      <w:r>
        <w:t xml:space="preserve">。</w:t>
      </w:r>
      <w:r>
        <w:t xml:space="preserve"> </w:t>
      </w:r>
      <w:r>
        <w:t xml:space="preserve">习近平总书记指出语言是了解一个国家最好的钥匙，语言文字工作要服务好国内国际两个大局。</w:t>
      </w:r>
      <w:r>
        <w:t xml:space="preserve"> </w:t>
      </w:r>
      <w:r>
        <w:t xml:space="preserve">如何精准传达政策信息和政治方向，如何掌握网络话语权和实现群体动员，如何搭建高效政民信息互通和意见互动，都成为新时期政府治理能力提升的重要方向，而无一不与语言使用和使用者息息相关。</w:t>
      </w:r>
    </w:p>
    <w:p>
      <w:pPr>
        <w:pStyle w:val="a0"/>
      </w:pPr>
      <w:r>
        <w:t xml:space="preserve">在这一意义上，理解语言的治理角色与功能在理论和实践上都愈发迫切。</w:t>
      </w:r>
      <w:r>
        <w:t xml:space="preserve"> </w:t>
      </w:r>
      <w:r>
        <w:t xml:space="preserve">然而，针对这方面的理论研究尚不多见。</w:t>
      </w:r>
      <w:r>
        <w:t xml:space="preserve"> </w:t>
      </w:r>
      <w:r>
        <w:t xml:space="preserve">最为相关的，当属对于语言规划（language planning）的研究。</w:t>
      </w:r>
      <w:r>
        <w:t xml:space="preserve"> </w:t>
      </w:r>
      <w:r>
        <w:t xml:space="preserve">此方面研究将官方语言设定、教育语言政策、多族群语言关系等囊括在</w:t>
      </w:r>
      <w:r>
        <w:t xml:space="preserve">“</w:t>
      </w:r>
      <w:r>
        <w:t xml:space="preserve">语言规划</w:t>
      </w:r>
      <w:r>
        <w:t xml:space="preserve">”</w:t>
      </w:r>
      <w:r>
        <w:t xml:space="preserve">（或</w:t>
      </w:r>
      <w:r>
        <w:t xml:space="preserve">“</w:t>
      </w:r>
      <w:r>
        <w:t xml:space="preserve">语言政策</w:t>
      </w:r>
      <w:r>
        <w:t xml:space="preserve">”</w:t>
      </w:r>
      <w:r>
        <w:t xml:space="preserve">，language policy）这一核心概念中。</w:t>
      </w:r>
      <w:r>
        <w:t xml:space="preserve"> </w:t>
      </w:r>
      <w:r>
        <w:t xml:space="preserve">通过对语言规划的类型学分析和政策比较，体现语言在处理政治社会关系中的调节作用</w:t>
      </w:r>
      <w:r>
        <w:t xml:space="preserve">(</w:t>
      </w:r>
      <w:hyperlink w:anchor="ref-Hu2019">
        <w:r>
          <w:rPr>
            <w:rStyle w:val="ae"/>
          </w:rPr>
          <w:t xml:space="preserve">Hu, 2019</w:t>
        </w:r>
      </w:hyperlink>
      <w:r>
        <w:t xml:space="preserve">;</w:t>
      </w:r>
      <w:r>
        <w:t xml:space="preserve"> </w:t>
      </w:r>
      <w:hyperlink w:anchor="ref-HuLiu2020">
        <w:r>
          <w:rPr>
            <w:rStyle w:val="ae"/>
          </w:rPr>
          <w:t xml:space="preserve">Hu &amp; Liu, 2020</w:t>
        </w:r>
      </w:hyperlink>
      <w:r>
        <w:t xml:space="preserve">)</w:t>
      </w:r>
      <w:r>
        <w:t xml:space="preserve">。</w:t>
      </w:r>
      <w:r>
        <w:t xml:space="preserve"> </w:t>
      </w:r>
      <w:r>
        <w:t xml:space="preserve">然而，现有研究多将语言规划视为一种针对语言环境的公共政策工具；对语言与社会政治运行连结的广泛性认识尚待深入。</w:t>
      </w:r>
      <w:r>
        <w:t xml:space="preserve"> </w:t>
      </w:r>
      <w:r>
        <w:t xml:space="preserve">相应的一个结果是相关实证研究也多出现在和流动人口、民族关系等与语言直接关联话题的讨论上。比如,</w:t>
      </w:r>
      <w:r>
        <w:t xml:space="preserve"> </w:t>
      </w:r>
      <w:hyperlink w:anchor="ref-WuXiaoJun2013">
        <w:r>
          <w:rPr>
            <w:rStyle w:val="ae"/>
          </w:rPr>
          <w:t xml:space="preserve">武小军</w:t>
        </w:r>
      </w:hyperlink>
      <w:r>
        <w:t xml:space="preserve"> </w:t>
      </w:r>
      <w:r>
        <w:t xml:space="preserve">(</w:t>
      </w:r>
      <w:hyperlink w:anchor="ref-WuXiaoJun2013">
        <w:r>
          <w:rPr>
            <w:rStyle w:val="ae"/>
          </w:rPr>
          <w:t xml:space="preserve">2013</w:t>
        </w:r>
      </w:hyperlink>
      <w:r>
        <w:t xml:space="preserve">)</w:t>
      </w:r>
      <w:r>
        <w:t xml:space="preserve">;</w:t>
      </w:r>
      <w:hyperlink w:anchor="ref-DaiManChunZhuNingYan2011">
        <w:r>
          <w:rPr>
            <w:rStyle w:val="ae"/>
          </w:rPr>
          <w:t xml:space="preserve">戴曼纯 &amp; 朱宁燕</w:t>
        </w:r>
      </w:hyperlink>
      <w:r>
        <w:t xml:space="preserve"> </w:t>
      </w:r>
      <w:r>
        <w:t xml:space="preserve">(</w:t>
      </w:r>
      <w:hyperlink w:anchor="ref-DaiManChunZhuNingYan2011">
        <w:r>
          <w:rPr>
            <w:rStyle w:val="ae"/>
          </w:rPr>
          <w:t xml:space="preserve">2011</w:t>
        </w:r>
      </w:hyperlink>
      <w:r>
        <w:t xml:space="preserve">)</w:t>
      </w:r>
      <w:r>
        <w:t xml:space="preserve">;</w:t>
      </w:r>
      <w:hyperlink w:anchor="ref-LiuHuaXiaYuanQingHuan2017">
        <w:r>
          <w:rPr>
            <w:rStyle w:val="ae"/>
          </w:rPr>
          <w:t xml:space="preserve">刘华夏 &amp; 袁青欢</w:t>
        </w:r>
      </w:hyperlink>
      <w:r>
        <w:t xml:space="preserve"> </w:t>
      </w:r>
      <w:r>
        <w:t xml:space="preserve">(</w:t>
      </w:r>
      <w:hyperlink w:anchor="ref-LiuHuaXiaYuanQingHuan2017">
        <w:r>
          <w:rPr>
            <w:rStyle w:val="ae"/>
          </w:rPr>
          <w:t xml:space="preserve">2017</w:t>
        </w:r>
      </w:hyperlink>
      <w:r>
        <w:t xml:space="preserve">)</w:t>
      </w:r>
      <w:r>
        <w:t xml:space="preserve">。</w:t>
      </w:r>
      <w:r>
        <w:t xml:space="preserve"> </w:t>
      </w:r>
      <w:r>
        <w:t xml:space="preserve">由此导致是对语言规划功用理解仅限于调节民族关系、解决人口融入等具体议题上。</w:t>
      </w:r>
      <w:r>
        <w:t xml:space="preserve"> </w:t>
      </w:r>
      <w:r>
        <w:t xml:space="preserve">然而越来越多的新近政治语言学研究却揭示，语言在社会发展、政民关系、制度建设方面具有普遍且深渊的影响</w:t>
      </w:r>
      <w:r>
        <w:t xml:space="preserve">(</w:t>
      </w:r>
      <w:hyperlink w:anchor="ref-Hu2020b">
        <w:r>
          <w:rPr>
            <w:rStyle w:val="ae"/>
          </w:rPr>
          <w:t xml:space="preserve">Hu, 2020</w:t>
        </w:r>
      </w:hyperlink>
      <w:r>
        <w:t xml:space="preserve">;</w:t>
      </w:r>
      <w:r>
        <w:t xml:space="preserve"> </w:t>
      </w:r>
      <w:hyperlink w:anchor="ref-WangChunHui2019a">
        <w:r>
          <w:rPr>
            <w:rStyle w:val="ae"/>
          </w:rPr>
          <w:t xml:space="preserve">王春辉, 2019</w:t>
        </w:r>
      </w:hyperlink>
      <w:r>
        <w:t xml:space="preserve">)</w:t>
      </w:r>
      <w:r>
        <w:t xml:space="preserve">。</w:t>
      </w:r>
      <w:r>
        <w:t xml:space="preserve"> </w:t>
      </w:r>
      <w:r>
        <w:t xml:space="preserve">无法理解这种语言在政府治理中的遍及性功用，也就不能意识到在这一基础性治理面向上治理能力必要性和关键性。</w:t>
      </w:r>
    </w:p>
    <w:p>
      <w:pPr>
        <w:pStyle w:val="a0"/>
      </w:pPr>
      <w:r>
        <w:t xml:space="preserve">有鉴于此，本文就语言在国家、群体和个体层次上的治理效能进行系统性论述。</w:t>
      </w:r>
      <w:r>
        <w:t xml:space="preserve"> </w:t>
      </w:r>
      <w:r>
        <w:t xml:space="preserve">与语言规划研究常见的政策比较方式不同，本文采用系统功能类型学视角，在梳理政治语言学前沿成果基础上，总结出语言对国家治理、群体治理和改善发展环境方面扮演的重要角色，同时指出语言在增进国家认同、群体团结、社会政治心态稳定的核心功能。</w:t>
      </w:r>
      <w:r>
        <w:t xml:space="preserve"> </w:t>
      </w:r>
      <w:r>
        <w:t xml:space="preserve">进而，本文提出基于语言规划进行政府治理（即</w:t>
      </w:r>
      <w:r>
        <w:t xml:space="preserve">“</w:t>
      </w:r>
      <w:r>
        <w:t xml:space="preserve">语言治理</w:t>
      </w:r>
      <w:r>
        <w:t xml:space="preserve">”</w:t>
      </w:r>
      <w:r>
        <w:t xml:space="preserve">）的三条主要途径，从群体关系、群体认同和个体认知三个维度实现对社会政治的全方位调控，并以此体现语言治理实现社会平稳过渡、增强社会融合、巩固良性群体间关系的长效机制。</w:t>
      </w:r>
      <w:r>
        <w:t xml:space="preserve"> </w:t>
      </w:r>
      <w:r>
        <w:t xml:space="preserve">最后，结合新时期发展需求和挑战，本文提出了语言对我国城市治理、乡村振兴、新媒体治理的重要作用。</w:t>
      </w:r>
      <w:r>
        <w:t xml:space="preserve"> </w:t>
      </w:r>
      <w:r>
        <w:t xml:space="preserve">本文指出只有了解了基于语言政治功能进行的语言规划后，才能够解决新时代我国发展面临的一系列问题，为进一步地实现</w:t>
      </w:r>
      <w:r>
        <w:t xml:space="preserve">“</w:t>
      </w:r>
      <w:r>
        <w:t xml:space="preserve">共建、共治、共享</w:t>
      </w:r>
      <w:r>
        <w:t xml:space="preserve">”</w:t>
      </w:r>
      <w:r>
        <w:t xml:space="preserve">的社会良性发展和制度建构提供借鉴思路。</w:t>
      </w:r>
    </w:p>
    <w:bookmarkEnd w:id="21"/>
    <w:bookmarkStart w:id="25" w:name="语言在政治治理中的角色与功能"/>
    <w:p>
      <w:pPr>
        <w:pStyle w:val="1"/>
      </w:pPr>
      <w:r>
        <w:t xml:space="preserve">语言在政治治理中的角色与功能</w:t>
      </w:r>
    </w:p>
    <w:p>
      <w:pPr>
        <w:pStyle w:val="FirstParagraph"/>
      </w:pPr>
      <w:r>
        <w:t xml:space="preserve">语言作为人类最重要的交际与思维的符号体系，是传递信息与价值，交流思想与情感，认知世界和社会的工具，是组织社会、承载文化、提升认知、发展经济的有效途径。</w:t>
      </w:r>
      <w:r>
        <w:t xml:space="preserve"> </w:t>
      </w:r>
      <w:r>
        <w:t xml:space="preserve">不同视角、不同学科对其功能与作用给予了各种不同阐释。</w:t>
      </w:r>
      <w:r>
        <w:t xml:space="preserve"> </w:t>
      </w:r>
      <w:r>
        <w:t xml:space="preserve">如，经济学家有关语言技能是一种经济优势的观点</w:t>
      </w:r>
      <w:r>
        <w:t xml:space="preserve">(</w:t>
      </w:r>
      <w:hyperlink w:anchor="ref-LiangEtAl2018">
        <w:r>
          <w:rPr>
            <w:rStyle w:val="ae"/>
          </w:rPr>
          <w:t xml:space="preserve">Liang et al., 2018</w:t>
        </w:r>
      </w:hyperlink>
      <w:r>
        <w:t xml:space="preserve">)</w:t>
      </w:r>
      <w:r>
        <w:t xml:space="preserve">；</w:t>
      </w:r>
      <w:r>
        <w:t xml:space="preserve"> </w:t>
      </w:r>
      <w:r>
        <w:t xml:space="preserve">社会学家强调语言的个人性与社会性</w:t>
      </w:r>
      <w:r>
        <w:t xml:space="preserve">(</w:t>
      </w:r>
      <w:hyperlink w:anchor="ref-Mead2012">
        <w:r>
          <w:rPr>
            <w:rStyle w:val="ae"/>
          </w:rPr>
          <w:t xml:space="preserve">Mead, 2012</w:t>
        </w:r>
      </w:hyperlink>
      <w:r>
        <w:t xml:space="preserve">)</w:t>
      </w:r>
      <w:r>
        <w:t xml:space="preserve">；</w:t>
      </w:r>
      <w:r>
        <w:t xml:space="preserve"> </w:t>
      </w:r>
      <w:r>
        <w:t xml:space="preserve">政治学家认为语言与国家构建息息相关</w:t>
      </w:r>
      <w:r>
        <w:t xml:space="preserve">(</w:t>
      </w:r>
      <w:hyperlink w:anchor="ref-Benedict2005">
        <w:r>
          <w:rPr>
            <w:rStyle w:val="ae"/>
          </w:rPr>
          <w:t xml:space="preserve">Benedict, 2005</w:t>
        </w:r>
      </w:hyperlink>
      <w:r>
        <w:t xml:space="preserve">)</w:t>
      </w:r>
      <w:r>
        <w:t xml:space="preserve">。</w:t>
      </w:r>
      <w:r>
        <w:t xml:space="preserve"> </w:t>
      </w:r>
      <w:r>
        <w:t xml:space="preserve">针对语言的治理效能，本文借用系统功能类型学（systemic functional typology）视角进行分析。</w:t>
      </w:r>
      <w:r>
        <w:t xml:space="preserve"> </w:t>
      </w:r>
      <w:r>
        <w:t xml:space="preserve">系统功能类型学原为一种系统功能语言学方法，旨在揭示语言在社会运行上的功能性特点</w:t>
      </w:r>
      <w:r>
        <w:t xml:space="preserve">(</w:t>
      </w:r>
      <w:hyperlink w:anchor="ref-Cummings2019">
        <w:r>
          <w:rPr>
            <w:rStyle w:val="ae"/>
          </w:rPr>
          <w:t xml:space="preserve">Cummings, 2019</w:t>
        </w:r>
      </w:hyperlink>
      <w:r>
        <w:t xml:space="preserve">;</w:t>
      </w:r>
      <w:r>
        <w:t xml:space="preserve"> </w:t>
      </w:r>
      <w:hyperlink w:anchor="ref-GuoWen2007">
        <w:r>
          <w:rPr>
            <w:rStyle w:val="ae"/>
          </w:rPr>
          <w:t xml:space="preserve">GuoWen, 2007</w:t>
        </w:r>
      </w:hyperlink>
      <w:r>
        <w:t xml:space="preserve">;</w:t>
      </w:r>
      <w:r>
        <w:t xml:space="preserve"> </w:t>
      </w:r>
      <w:hyperlink w:anchor="ref-HallidayEtAl1964">
        <w:r>
          <w:rPr>
            <w:rStyle w:val="ae"/>
          </w:rPr>
          <w:t xml:space="preserve">Halliday et al., 1964</w:t>
        </w:r>
      </w:hyperlink>
      <w:r>
        <w:t xml:space="preserve">)</w:t>
      </w:r>
      <w:r>
        <w:t xml:space="preserve">。</w:t>
      </w:r>
      <w:r>
        <w:t xml:space="preserve"> </w:t>
      </w:r>
      <w:r>
        <w:t xml:space="preserve">本文将这种视角与政府治理需求相结合，提出语言规划作为一种公共制度体系和公共政策手段对国家治理、群体治理和个体治理三个层次上的功能特点：</w:t>
      </w:r>
    </w:p>
    <w:bookmarkStart w:id="22" w:name="语言与国家治理"/>
    <w:p>
      <w:pPr>
        <w:pStyle w:val="2"/>
      </w:pPr>
      <w:r>
        <w:t xml:space="preserve">语言与国家治理</w:t>
      </w:r>
    </w:p>
    <w:p>
      <w:pPr>
        <w:pStyle w:val="FirstParagraph"/>
      </w:pPr>
      <w:r>
        <w:t xml:space="preserve">国家治理指国家政权的所有者、管理者和利益相关者等多元行动者在一个国家的范围内对社会公共事务的合作管理，以维护公共秩序、增进国家利益、实现社会团结</w:t>
      </w:r>
      <w:r>
        <w:t xml:space="preserve">(</w:t>
      </w:r>
      <w:hyperlink w:anchor="ref-HeZengKe2014">
        <w:r>
          <w:rPr>
            <w:rStyle w:val="ae"/>
          </w:rPr>
          <w:t xml:space="preserve">何增科, 2014</w:t>
        </w:r>
      </w:hyperlink>
      <w:r>
        <w:t xml:space="preserve">)</w:t>
      </w:r>
      <w:r>
        <w:t xml:space="preserve">。其中，语言是影响治理有效性和执政合法性的关键性因素</w:t>
      </w:r>
      <w:r>
        <w:t xml:space="preserve">(</w:t>
      </w:r>
      <w:hyperlink w:anchor="ref-Hu2020b">
        <w:r>
          <w:rPr>
            <w:rStyle w:val="ae"/>
          </w:rPr>
          <w:t xml:space="preserve">Hu, 2020</w:t>
        </w:r>
      </w:hyperlink>
      <w:r>
        <w:t xml:space="preserve">)</w:t>
      </w:r>
      <w:r>
        <w:t xml:space="preserve">。</w:t>
      </w:r>
      <w:r>
        <w:t xml:space="preserve"> </w:t>
      </w:r>
      <w:r>
        <w:t xml:space="preserve">政治生活中，国家通过合理安排语言政治权力，从而实现语言政治权力的善治，因此语言治理需要乃至必须体现政治的立场和政治的高度。</w:t>
      </w:r>
      <w:r>
        <w:t xml:space="preserve"> </w:t>
      </w:r>
      <w:r>
        <w:t xml:space="preserve">具体而言，主要体现在国家通用语和方言两个方面：</w:t>
      </w:r>
    </w:p>
    <w:p>
      <w:pPr>
        <w:pStyle w:val="a0"/>
      </w:pPr>
      <w:r>
        <w:t xml:space="preserve">国家通用语言对于加强国家整合和塑造民族认同具有重要作用。</w:t>
      </w:r>
      <w:r>
        <w:t xml:space="preserve"> </w:t>
      </w:r>
      <w:r>
        <w:t xml:space="preserve">国家通用语言的掌握消除了各地区和各民族因语言差异带来的不安，消弭了地域保护主义，加强了各民族、各地区经济文化的交流，进而构建了统一的民族或国族身份，促使各民族产生想象的共同体，维护了国家统一和民族团结</w:t>
      </w:r>
      <w:r>
        <w:t xml:space="preserve">(</w:t>
      </w:r>
      <w:hyperlink w:anchor="ref-ZhangWeiGuo2020">
        <w:r>
          <w:rPr>
            <w:rStyle w:val="ae"/>
          </w:rPr>
          <w:t xml:space="preserve">张卫国, 2020</w:t>
        </w:r>
      </w:hyperlink>
      <w:r>
        <w:t xml:space="preserve">;</w:t>
      </w:r>
      <w:r>
        <w:t xml:space="preserve"> </w:t>
      </w:r>
      <w:hyperlink w:anchor="ref-HuangShaoAnWangLuCong2020">
        <w:r>
          <w:rPr>
            <w:rStyle w:val="ae"/>
          </w:rPr>
          <w:t xml:space="preserve">黄少安 &amp; 王麓淙, 2020</w:t>
        </w:r>
      </w:hyperlink>
      <w:r>
        <w:t xml:space="preserve">)</w:t>
      </w:r>
      <w:r>
        <w:t xml:space="preserve">。</w:t>
      </w:r>
    </w:p>
    <w:p>
      <w:pPr>
        <w:pStyle w:val="a0"/>
      </w:pPr>
      <w:r>
        <w:t xml:space="preserve">从秦始皇统一文字到汉武帝独尊儒术，从孝文帝</w:t>
      </w:r>
      <w:r>
        <w:t xml:space="preserve">“</w:t>
      </w:r>
      <w:r>
        <w:t xml:space="preserve">断北语，从正音</w:t>
      </w:r>
      <w:r>
        <w:t xml:space="preserve">”</w:t>
      </w:r>
      <w:r>
        <w:t xml:space="preserve">到隋文帝科举选拔，从宋代《广韵》、明代《洪武正韵》到清代</w:t>
      </w:r>
      <w:r>
        <w:t xml:space="preserve">“</w:t>
      </w:r>
      <w:r>
        <w:t xml:space="preserve">以官音统一天下之语言</w:t>
      </w:r>
      <w:r>
        <w:t xml:space="preserve">”</w:t>
      </w:r>
      <w:r>
        <w:t xml:space="preserve">、民国时代</w:t>
      </w:r>
      <w:r>
        <w:t xml:space="preserve">“</w:t>
      </w:r>
      <w:r>
        <w:t xml:space="preserve">国语运动</w:t>
      </w:r>
      <w:r>
        <w:t xml:space="preserve">”</w:t>
      </w:r>
      <w:r>
        <w:t xml:space="preserve">“</w:t>
      </w:r>
      <w:r>
        <w:t xml:space="preserve">白话文运动</w:t>
      </w:r>
      <w:r>
        <w:t xml:space="preserve">”</w:t>
      </w:r>
      <w:r>
        <w:t xml:space="preserve">，再到新中国的推广普通话、简化汉字、汉语拼音方案推广、语言文字信息化、语言文字法律法规体系、微语言治理等。上述波澜壮阔、传承延绵的中华语言治理历史无不表明了语言是国家认同建构的重要对象及核心构成要素。</w:t>
      </w:r>
      <w:r>
        <w:t xml:space="preserve"> </w:t>
      </w:r>
      <w:r>
        <w:t xml:space="preserve">民族国家通常会以不同的方式制定各类语言政策，实施语言规划，配合语言民族主义或语言爱国主义，以此巩固、发展和强化公民的国家认同。</w:t>
      </w:r>
    </w:p>
    <w:p>
      <w:pPr>
        <w:pStyle w:val="a0"/>
      </w:pPr>
      <w:r>
        <w:t xml:space="preserve">从语言功能的角度来看，就地方治理和基层治理而言，方言和民族语言有助于加强政策宣导效果，提高官民沟通效率。</w:t>
      </w:r>
      <w:r>
        <w:t xml:space="preserve"> </w:t>
      </w:r>
      <w:r>
        <w:t xml:space="preserve">交际便利与否是语言使用的关键因素，国家通用语言使用的便利性低于方言和民族语言</w:t>
      </w:r>
      <w:r>
        <w:t xml:space="preserve">(</w:t>
      </w:r>
      <w:hyperlink w:anchor="ref-LiuHuaXiaYuanQingHuan2017">
        <w:r>
          <w:rPr>
            <w:rStyle w:val="ae"/>
          </w:rPr>
          <w:t xml:space="preserve">刘华夏 &amp; 袁青欢, 2017</w:t>
        </w:r>
      </w:hyperlink>
      <w:r>
        <w:t xml:space="preserve">)</w:t>
      </w:r>
      <w:r>
        <w:t xml:space="preserve">，在少数民族聚居使用民族语言或者在地方使用方言更有利于政策的传达和民众的理解。</w:t>
      </w:r>
    </w:p>
    <w:p>
      <w:pPr>
        <w:pStyle w:val="a0"/>
      </w:pPr>
      <w:r>
        <w:t xml:space="preserve">以汉语为例，有官话、晋语、吴语、闽语、粤语、客家话、赣语、湘语、徽语、平话和土话等十大方言，还可进一步细分为97个方言片，101个方言小片。</w:t>
      </w:r>
      <w:r>
        <w:t xml:space="preserve"> </w:t>
      </w:r>
      <w:r>
        <w:t xml:space="preserve">很多方言土语之间无法通话，尤其是在条件艰苦的偏远山村，普通百姓在日常生活中仍较多使用方言交流。</w:t>
      </w:r>
      <w:r>
        <w:t xml:space="preserve"> </w:t>
      </w:r>
      <w:r>
        <w:t xml:space="preserve">如果国家机关在执行公务或者广播电视等大众传播媒介在进项宣传时，采取本地人用本地话讲本地事的形式，更易达到预期效果。</w:t>
      </w:r>
    </w:p>
    <w:p>
      <w:pPr>
        <w:pStyle w:val="a0"/>
      </w:pPr>
      <w:r>
        <w:t xml:space="preserve">面对多数国家内部语言方言差异巨大的客观事实，包括方言在内的各类语言成为国家治理中不可或缺的一部分，因语言沟通障碍而影响了地方政府工作开展并引发对语言服务的需求，已成为亟需解决的问题。</w:t>
      </w:r>
      <w:r>
        <w:t xml:space="preserve"> </w:t>
      </w:r>
      <w:r>
        <w:t xml:space="preserve">但方言对地方保护主义以及民族语言对分裂势力的影响不容小觑，我们也需时刻注意分裂型语言民族主义</w:t>
      </w:r>
      <w:r>
        <w:t xml:space="preserve">(</w:t>
      </w:r>
      <w:hyperlink w:anchor="ref-ChenPing2008">
        <w:r>
          <w:rPr>
            <w:rStyle w:val="ae"/>
          </w:rPr>
          <w:t xml:space="preserve">陈平, 2008</w:t>
        </w:r>
      </w:hyperlink>
      <w:r>
        <w:t xml:space="preserve">)</w:t>
      </w:r>
      <w:r>
        <w:t xml:space="preserve">。</w:t>
      </w:r>
    </w:p>
    <w:p>
      <w:pPr>
        <w:pStyle w:val="a0"/>
      </w:pPr>
      <w:r>
        <w:t xml:space="preserve">总之，国家通用语作为国家记忆和文化的主要载体一直以来受到各国政策制定者的关注和争相推广。</w:t>
      </w:r>
      <w:r>
        <w:t xml:space="preserve"> </w:t>
      </w:r>
      <w:r>
        <w:t xml:space="preserve">国族的共同记忆、历史传统、文化、价值等要素的培育和传递，都需要统一的民族语言作为基础</w:t>
      </w:r>
      <w:r>
        <w:t xml:space="preserve">(</w:t>
      </w:r>
      <w:hyperlink w:anchor="ref-Anthony2002">
        <w:r>
          <w:rPr>
            <w:rStyle w:val="ae"/>
          </w:rPr>
          <w:t xml:space="preserve">Anthony, 2002</w:t>
        </w:r>
      </w:hyperlink>
      <w:r>
        <w:t xml:space="preserve">)</w:t>
      </w:r>
      <w:r>
        <w:t xml:space="preserve">。</w:t>
      </w:r>
      <w:r>
        <w:t xml:space="preserve"> </w:t>
      </w:r>
      <w:r>
        <w:t xml:space="preserve">如，先秦的雅言、汉魏的正音、隋唐的雅韵及字样、宋元而至明清的官话以及近现代的国语和普通话等语言治理之策就一直是中国国家治理的重要组成部分。</w:t>
      </w:r>
    </w:p>
    <w:p>
      <w:pPr>
        <w:pStyle w:val="a0"/>
      </w:pPr>
      <w:r>
        <w:t xml:space="preserve">与此同时，方言和民族语言作为一种语言力量，是一把双刃剑。既可以有效传达政治信息和推动政策目标的实施，从而提高地方治理绩效；也可以被用来实施民族分裂和种族异化、谋取不正当利益，成为民族运动领导层得心应手的政治工具</w:t>
      </w:r>
      <w:r>
        <w:t xml:space="preserve">(</w:t>
      </w:r>
      <w:hyperlink w:anchor="ref-DaiManChunZhuNingYan2011">
        <w:r>
          <w:rPr>
            <w:rStyle w:val="ae"/>
          </w:rPr>
          <w:t xml:space="preserve">戴曼纯 &amp; 朱宁燕, 2011</w:t>
        </w:r>
      </w:hyperlink>
      <w:r>
        <w:t xml:space="preserve">)</w:t>
      </w:r>
      <w:r>
        <w:t xml:space="preserve">。</w:t>
      </w:r>
    </w:p>
    <w:bookmarkEnd w:id="22"/>
    <w:bookmarkStart w:id="23" w:name="语言与群体治理"/>
    <w:p>
      <w:pPr>
        <w:pStyle w:val="2"/>
      </w:pPr>
      <w:r>
        <w:t xml:space="preserve">语言与群体治理</w:t>
      </w:r>
    </w:p>
    <w:p>
      <w:pPr>
        <w:pStyle w:val="FirstParagraph"/>
      </w:pPr>
      <w:r>
        <w:t xml:space="preserve">上述有关语言规划和语言治理的研究主要从宏观角度出发，停留在语言对国家认同、政治秩序塑造以及治理能力的探讨上。</w:t>
      </w:r>
      <w:r>
        <w:t xml:space="preserve"> </w:t>
      </w:r>
      <w:r>
        <w:t xml:space="preserve">实际上，国内外也有大量学者提出语言治理对群体心理方面的重要作用，强调语言是建构社会身份认同和划定群体边界的重要特征。</w:t>
      </w:r>
    </w:p>
    <w:p>
      <w:pPr>
        <w:pStyle w:val="a0"/>
      </w:pPr>
      <w:r>
        <w:t xml:space="preserve">群体治理强调民众的自我管理能力，指在没有政府的参与下，通过自我协作、信任关系、社会交往以及非正式协议等自治手段，以自下而上的权力运作方式来管理社会团体和社会组织</w:t>
      </w:r>
      <w:r>
        <w:t xml:space="preserve">(</w:t>
      </w:r>
      <w:hyperlink w:anchor="ref-Ostrom2015">
        <w:r>
          <w:rPr>
            <w:rStyle w:val="ae"/>
          </w:rPr>
          <w:t xml:space="preserve">Ostrom, 2015</w:t>
        </w:r>
      </w:hyperlink>
      <w:r>
        <w:t xml:space="preserve">)</w:t>
      </w:r>
      <w:r>
        <w:t xml:space="preserve">。</w:t>
      </w:r>
      <w:r>
        <w:t xml:space="preserve"> </w:t>
      </w:r>
      <w:r>
        <w:t xml:space="preserve">现实利益理论（Realistic Interest Theory）提出，个体通过人际互动塑造群体利益（shared interests）。</w:t>
      </w:r>
      <w:r>
        <w:t xml:space="preserve"> </w:t>
      </w:r>
      <w:r>
        <w:t xml:space="preserve">而语言对于满足人际交往和社会互动的紧迫需求，在更广泛意义上团结松散民众，形成集体凝聚力发挥着重要作用[XXX]。</w:t>
      </w:r>
    </w:p>
    <w:p>
      <w:pPr>
        <w:pStyle w:val="a0"/>
      </w:pPr>
      <w:r>
        <w:t xml:space="preserve">语言被认为是厘定文化群体(cultural communities)边界的核心指标。</w:t>
      </w:r>
      <w:r>
        <w:t xml:space="preserve"> </w:t>
      </w:r>
      <w:r>
        <w:t xml:space="preserve">社会成员可以利用外貌、仪式、行为等多种方式彰显群体归属，但人类社会自古以来最简单也是最有效表明自己身份和判断他人身份的手段就是语言，并且可以通过学习一门新的语言改变或提高自己的身份</w:t>
      </w:r>
      <w:r>
        <w:t xml:space="preserve">(</w:t>
      </w:r>
      <w:hyperlink w:anchor="ref-WangKeFei2011">
        <w:r>
          <w:rPr>
            <w:rStyle w:val="ae"/>
          </w:rPr>
          <w:t xml:space="preserve">王克非, 2011</w:t>
        </w:r>
      </w:hyperlink>
      <w:r>
        <w:t xml:space="preserve">)</w:t>
      </w:r>
      <w:r>
        <w:t xml:space="preserve">。</w:t>
      </w:r>
      <w:r>
        <w:t xml:space="preserve"> </w:t>
      </w:r>
      <w:r>
        <w:t xml:space="preserve">人们在听到某种特定语言类型后，会由此对语言使用者产生一些直观感受和印象</w:t>
      </w:r>
      <w:r>
        <w:t xml:space="preserve">(</w:t>
      </w:r>
      <w:hyperlink w:anchor="ref-LiuHong1993">
        <w:r>
          <w:rPr>
            <w:rStyle w:val="ae"/>
          </w:rPr>
          <w:t xml:space="preserve">刘虹, 1993</w:t>
        </w:r>
      </w:hyperlink>
      <w:r>
        <w:t xml:space="preserve">)</w:t>
      </w:r>
      <w:r>
        <w:t xml:space="preserve">，即对不同种类的语言类型使用人群具有不同的感情和态度差异。</w:t>
      </w:r>
      <w:r>
        <w:t xml:space="preserve"> </w:t>
      </w:r>
      <w:hyperlink w:anchor="ref-LiuHuaXiaYuanQingHuan2017">
        <w:r>
          <w:rPr>
            <w:rStyle w:val="ae"/>
          </w:rPr>
          <w:t xml:space="preserve">刘华夏 &amp; 袁青欢</w:t>
        </w:r>
      </w:hyperlink>
      <w:r>
        <w:t xml:space="preserve"> </w:t>
      </w:r>
      <w:r>
        <w:t xml:space="preserve">(</w:t>
      </w:r>
      <w:hyperlink w:anchor="ref-LiuHuaXiaYuanQingHuan2017">
        <w:r>
          <w:rPr>
            <w:rStyle w:val="ae"/>
          </w:rPr>
          <w:t xml:space="preserve">2017</w:t>
        </w:r>
      </w:hyperlink>
      <w:r>
        <w:t xml:space="preserve">)</w:t>
      </w:r>
      <w:r>
        <w:t xml:space="preserve"> </w:t>
      </w:r>
      <w:r>
        <w:t xml:space="preserve">就基于对不同个体语言能力差异的研究指出，语言差异会影响群体之间的相互认同，乃至形成心理隔阂，从而造成社会认知和社会判断的固化。</w:t>
      </w:r>
      <w:r>
        <w:t xml:space="preserve"> </w:t>
      </w:r>
      <w:r>
        <w:t xml:space="preserve">因语言而划定的群体边界，使人们在心理和文化上对</w:t>
      </w:r>
      <w:r>
        <w:t xml:space="preserve">“</w:t>
      </w:r>
      <w:r>
        <w:t xml:space="preserve">我者</w:t>
      </w:r>
      <w:r>
        <w:t xml:space="preserve">”</w:t>
      </w:r>
      <w:r>
        <w:t xml:space="preserve">与</w:t>
      </w:r>
      <w:r>
        <w:t xml:space="preserve">“</w:t>
      </w:r>
      <w:r>
        <w:t xml:space="preserve">他者</w:t>
      </w:r>
      <w:r>
        <w:t xml:space="preserve">”</w:t>
      </w:r>
      <w:r>
        <w:t xml:space="preserve">做出判断，即对属于本群体内部的人有着较高的信任，更能相互包容和团结，更能遵守群体规范，从而有利于破除集体行动的困境。</w:t>
      </w:r>
    </w:p>
    <w:p>
      <w:pPr>
        <w:pStyle w:val="a0"/>
      </w:pPr>
      <w:r>
        <w:t xml:space="preserve">国外移民研究也表明，语言是社会融合的前提条件，是正式进入的必备要求。</w:t>
      </w:r>
      <w:r>
        <w:t xml:space="preserve"> </w:t>
      </w:r>
      <w:r>
        <w:t xml:space="preserve">如果人们持有不同语言即不会相互融入，同时还会体验到来自主流社会的敌意和排斥，因此由自身母语方言到当地方言的转变被看作是移民文化适应和社会融入的关键标志</w:t>
      </w:r>
      <w:r>
        <w:t xml:space="preserve">(</w:t>
      </w:r>
      <w:hyperlink w:anchor="ref-DustmannFabbri2003">
        <w:r>
          <w:rPr>
            <w:rStyle w:val="ae"/>
          </w:rPr>
          <w:t xml:space="preserve">Dustmann &amp; Fabbri, 2003</w:t>
        </w:r>
      </w:hyperlink>
      <w:r>
        <w:t xml:space="preserve">;</w:t>
      </w:r>
      <w:r>
        <w:t xml:space="preserve"> </w:t>
      </w:r>
      <w:hyperlink w:anchor="ref-RendallEtAl2010">
        <w:r>
          <w:rPr>
            <w:rStyle w:val="ae"/>
          </w:rPr>
          <w:t xml:space="preserve">Rendall et al., 2010</w:t>
        </w:r>
      </w:hyperlink>
      <w:r>
        <w:t xml:space="preserve">)</w:t>
      </w:r>
      <w:r>
        <w:t xml:space="preserve">。</w:t>
      </w:r>
      <w:r>
        <w:t xml:space="preserve"> </w:t>
      </w:r>
      <w:r>
        <w:t xml:space="preserve">在这种意义上，对通行语和流行语的掌握程度也就塑造了社会个体对于主体社会的融入程度。</w:t>
      </w:r>
      <w:r>
        <w:t xml:space="preserve"> </w:t>
      </w:r>
      <w:hyperlink w:anchor="ref-VroomeEtAl2013">
        <w:r>
          <w:rPr>
            <w:rStyle w:val="ae"/>
          </w:rPr>
          <w:t xml:space="preserve">Vroome et al.</w:t>
        </w:r>
      </w:hyperlink>
      <w:r>
        <w:t xml:space="preserve"> </w:t>
      </w:r>
      <w:r>
        <w:t xml:space="preserve">(</w:t>
      </w:r>
      <w:hyperlink w:anchor="ref-VroomeEtAl2013">
        <w:r>
          <w:rPr>
            <w:rStyle w:val="ae"/>
          </w:rPr>
          <w:t xml:space="preserve">2013</w:t>
        </w:r>
      </w:hyperlink>
      <w:r>
        <w:t xml:space="preserve">)</w:t>
      </w:r>
      <w:r>
        <w:t xml:space="preserve"> </w:t>
      </w:r>
      <w:r>
        <w:t xml:space="preserve">通过对美国移民和少数族裔的研究发现掌握英语更好的少数群体的社会融入程度往往更高，这表明语言对少数族群融入主流社会的意愿能够产生显著的影响。</w:t>
      </w:r>
    </w:p>
    <w:bookmarkEnd w:id="23"/>
    <w:bookmarkStart w:id="24" w:name="语言与个体治理"/>
    <w:p>
      <w:pPr>
        <w:pStyle w:val="2"/>
      </w:pPr>
      <w:r>
        <w:t xml:space="preserve">语言与个体治理</w:t>
      </w:r>
    </w:p>
    <w:p>
      <w:pPr>
        <w:pStyle w:val="FirstParagraph"/>
      </w:pPr>
      <w:hyperlink w:anchor="ref-Giddens2000">
        <w:r>
          <w:rPr>
            <w:rStyle w:val="ae"/>
          </w:rPr>
          <w:t xml:space="preserve">Giddens</w:t>
        </w:r>
      </w:hyperlink>
      <w:r>
        <w:t xml:space="preserve"> </w:t>
      </w:r>
      <w:r>
        <w:t xml:space="preserve">(</w:t>
      </w:r>
      <w:hyperlink w:anchor="ref-Giddens2000">
        <w:r>
          <w:rPr>
            <w:rStyle w:val="ae"/>
          </w:rPr>
          <w:t xml:space="preserve">2000</w:t>
        </w:r>
      </w:hyperlink>
      <w:r>
        <w:t xml:space="preserve">)</w:t>
      </w:r>
      <w:r>
        <w:t xml:space="preserve"> </w:t>
      </w:r>
      <w:r>
        <w:t xml:space="preserve">认为，个体治理包含</w:t>
      </w:r>
      <w:r>
        <w:t xml:space="preserve">“</w:t>
      </w:r>
      <w:r>
        <w:t xml:space="preserve">解放政治</w:t>
      </w:r>
      <w:r>
        <w:t xml:space="preserve">”</w:t>
      </w:r>
      <w:r>
        <w:t xml:space="preserve">和</w:t>
      </w:r>
      <w:r>
        <w:t xml:space="preserve">“</w:t>
      </w:r>
      <w:r>
        <w:t xml:space="preserve">生活政治</w:t>
      </w:r>
      <w:r>
        <w:t xml:space="preserve">”</w:t>
      </w:r>
      <w:r>
        <w:t xml:space="preserve">的双元混合，前者是关于对社会地位和社会权利（力）的争取，而后者则偏重于对社会认同和自我实现的追求。</w:t>
      </w:r>
      <w:r>
        <w:t xml:space="preserve"> </w:t>
      </w:r>
      <w:r>
        <w:t xml:space="preserve">当前，中国社会结构发生巨大变革。个体的话语表达、经济活动、自我组织和自我管理等空间被逐渐释放出来，个体的自主意识、权利意识和竞争意识日益增强。</w:t>
      </w:r>
      <w:r>
        <w:t xml:space="preserve"> </w:t>
      </w:r>
      <w:r>
        <w:t xml:space="preserve">现代性社会的时空分离与压缩的特征以及在此基础上形成的个体</w:t>
      </w:r>
      <w:r>
        <w:t xml:space="preserve">“</w:t>
      </w:r>
      <w:r>
        <w:t xml:space="preserve">脱域</w:t>
      </w:r>
      <w:r>
        <w:t xml:space="preserve">”</w:t>
      </w:r>
      <w:r>
        <w:t xml:space="preserve">与</w:t>
      </w:r>
      <w:r>
        <w:t xml:space="preserve">“</w:t>
      </w:r>
      <w:r>
        <w:t xml:space="preserve">延异</w:t>
      </w:r>
      <w:r>
        <w:t xml:space="preserve">”</w:t>
      </w:r>
      <w:r>
        <w:t xml:space="preserve">现象</w:t>
      </w:r>
      <w:r>
        <w:t xml:space="preserve">(</w:t>
      </w:r>
      <w:hyperlink w:anchor="ref-Giddens2000">
        <w:r>
          <w:rPr>
            <w:rStyle w:val="ae"/>
          </w:rPr>
          <w:t xml:space="preserve">Giddens, 2000</w:t>
        </w:r>
      </w:hyperlink>
      <w:r>
        <w:t xml:space="preserve">)</w:t>
      </w:r>
      <w:r>
        <w:t xml:space="preserve">，造成个体治理的</w:t>
      </w:r>
      <w:r>
        <w:t xml:space="preserve">“</w:t>
      </w:r>
      <w:r>
        <w:t xml:space="preserve">内卷化</w:t>
      </w:r>
      <w:r>
        <w:t xml:space="preserve">”</w:t>
      </w:r>
      <w:r>
        <w:t xml:space="preserve">和</w:t>
      </w:r>
      <w:r>
        <w:t xml:space="preserve">“</w:t>
      </w:r>
      <w:r>
        <w:t xml:space="preserve">无根化</w:t>
      </w:r>
      <w:r>
        <w:t xml:space="preserve">”</w:t>
      </w:r>
      <w:r>
        <w:t xml:space="preserve">。</w:t>
      </w:r>
      <w:r>
        <w:t xml:space="preserve"> </w:t>
      </w:r>
      <w:r>
        <w:t xml:space="preserve">可见，场域的改变使得传统社会对个体治理的运作路径面临极大的挑战，以个体利益、个体成就为导向的价值追求促使中国传统社会一直以来的集体化治理模式和治理框架逐步瓦解</w:t>
      </w:r>
      <w:r>
        <w:t xml:space="preserve">(</w:t>
      </w:r>
      <w:hyperlink w:anchor="ref-HongBo2018">
        <w:r>
          <w:rPr>
            <w:rStyle w:val="ae"/>
          </w:rPr>
          <w:t xml:space="preserve">洪波, 2018</w:t>
        </w:r>
      </w:hyperlink>
      <w:r>
        <w:t xml:space="preserve">)</w:t>
      </w:r>
      <w:r>
        <w:t xml:space="preserve">。</w:t>
      </w:r>
      <w:r>
        <w:t xml:space="preserve"> </w:t>
      </w:r>
      <w:r>
        <w:t xml:space="preserve">而语言作为重要的资本符号，能够伴随文化资本、经济资本和社会资本参与到资本转换中</w:t>
      </w:r>
      <w:r>
        <w:t xml:space="preserve">(</w:t>
      </w:r>
      <w:hyperlink w:anchor="ref-YingJiZhuoMa2018">
        <w:r>
          <w:rPr>
            <w:rStyle w:val="ae"/>
          </w:rPr>
          <w:t xml:space="preserve">英吉卓玛, 2018</w:t>
        </w:r>
      </w:hyperlink>
      <w:r>
        <w:t xml:space="preserve">)</w:t>
      </w:r>
      <w:r>
        <w:t xml:space="preserve">，对个体能力和个体认知产生重要影响。</w:t>
      </w:r>
    </w:p>
    <w:p>
      <w:pPr>
        <w:pStyle w:val="a0"/>
      </w:pPr>
      <w:r>
        <w:t xml:space="preserve">就个体能力而言，人力资本理论和教育经济学理论普遍认为，语言作为人类经济活动工具，在信息传递上具有价值、效用、成本和收益等经济特性</w:t>
      </w:r>
      <w:r>
        <w:t xml:space="preserve">(</w:t>
      </w:r>
      <w:hyperlink w:anchor="ref-ZhangWeiGuo2011">
        <w:r>
          <w:rPr>
            <w:rStyle w:val="ae"/>
          </w:rPr>
          <w:t xml:space="preserve">张卫国, 2011</w:t>
        </w:r>
      </w:hyperlink>
      <w:r>
        <w:t xml:space="preserve">)</w:t>
      </w:r>
      <w:r>
        <w:t xml:space="preserve">。</w:t>
      </w:r>
      <w:r>
        <w:t xml:space="preserve"> </w:t>
      </w:r>
      <w:r>
        <w:t xml:space="preserve">成本——收益视角下的语言能力，是对个体信息获取成本和信息获取能力的考量；</w:t>
      </w:r>
      <w:r>
        <w:t xml:space="preserve"> </w:t>
      </w:r>
      <w:r>
        <w:t xml:space="preserve">一种语言掌握越好，信息沟通成本越低，信息收益越大，个体越容易了解与掌握相关的政治、经济、法律等社会生活中的知识和惯例</w:t>
      </w:r>
      <w:r>
        <w:t xml:space="preserve">(</w:t>
      </w:r>
      <w:hyperlink w:anchor="ref-ZhangWeiGuoSunTao2016">
        <w:r>
          <w:rPr>
            <w:rStyle w:val="ae"/>
          </w:rPr>
          <w:t xml:space="preserve">张卫国 &amp; 孙涛, 2016</w:t>
        </w:r>
      </w:hyperlink>
      <w:r>
        <w:t xml:space="preserve">)</w:t>
      </w:r>
      <w:r>
        <w:t xml:space="preserve">。</w:t>
      </w:r>
      <w:r>
        <w:t xml:space="preserve"> </w:t>
      </w:r>
      <w:r>
        <w:t xml:space="preserve">社会语言学也表明，掌握一门语言能够有效提高个体在获取信息和资源的能力，获取更多的公共资源和发展机会。</w:t>
      </w:r>
      <w:r>
        <w:t xml:space="preserve"> </w:t>
      </w:r>
      <w:r>
        <w:t xml:space="preserve">实证研究显示，语言水平相对较高的人群由于交流障碍更少，且拥有更好学习新技能和表现自身能力的交流工具，因此更受人才市场青睐。这类人群因而在社会中更具有竞争力，更有可能适应现有生活环境，攀升到较高的社会地位；其个人社会定位也更为稳定[XXX]。</w:t>
      </w:r>
      <w:r>
        <w:t xml:space="preserve"> </w:t>
      </w:r>
      <w:r>
        <w:t xml:space="preserve">提高个体语言水平，促进个体之间的交往互动，有利于建立良好的人际关系，打造舒适的生活环境和工作环境，进而增强个体的社会适应能力、影响力、竞争力和资源获取能力。</w:t>
      </w:r>
    </w:p>
    <w:p>
      <w:pPr>
        <w:pStyle w:val="a0"/>
      </w:pPr>
      <w:r>
        <w:t xml:space="preserve">从个体认知来看，语言与自我认知塑造相连接。</w:t>
      </w:r>
      <w:r>
        <w:t xml:space="preserve"> </w:t>
      </w:r>
      <w:r>
        <w:t xml:space="preserve">具体而言，由于人们的自我定位很大程度上是在与他人接触后的内省获得的。</w:t>
      </w:r>
      <w:r>
        <w:t xml:space="preserve"> </w:t>
      </w:r>
      <w:r>
        <w:t xml:space="preserve">个体对于主流语种掌握能力越突出，其社会融入和社会经济生活就越顺畅，交流成本就更低，相应的在拓展人际网络中的阻碍也更少，更利于个体融入当地社群，因而对自身和社会的评价也就越高。</w:t>
      </w:r>
      <w:r>
        <w:t xml:space="preserve"> </w:t>
      </w:r>
      <w:r>
        <w:t xml:space="preserve">当一个人擅长并非所有人都掌握但又普遍认同的语言（如一种通用语），语言就成为证明其能力的依据；语言掌握程度越高，其自我认同和自信也就越强。</w:t>
      </w:r>
      <w:r>
        <w:t xml:space="preserve"> </w:t>
      </w:r>
      <w:r>
        <w:t xml:space="preserve">譬如，</w:t>
      </w:r>
      <w:hyperlink w:anchor="ref-QiHongLiHong2004">
        <w:r>
          <w:rPr>
            <w:rStyle w:val="ae"/>
          </w:rPr>
          <w:t xml:space="preserve">祁虹 &amp; 黎宏</w:t>
        </w:r>
      </w:hyperlink>
      <w:r>
        <w:t xml:space="preserve"> </w:t>
      </w:r>
      <w:r>
        <w:t xml:space="preserve">(</w:t>
      </w:r>
      <w:hyperlink w:anchor="ref-QiHongLiHong2004">
        <w:r>
          <w:rPr>
            <w:rStyle w:val="ae"/>
          </w:rPr>
          <w:t xml:space="preserve">2004</w:t>
        </w:r>
      </w:hyperlink>
      <w:r>
        <w:t xml:space="preserve">)</w:t>
      </w:r>
      <w:r>
        <w:t xml:space="preserve"> </w:t>
      </w:r>
      <w:r>
        <w:t xml:space="preserve">对语言学习者自我认知的研究表明，语言能力的提高对个人自信心具有显著的积极作用。</w:t>
      </w:r>
      <w:r>
        <w:t xml:space="preserve"> </w:t>
      </w:r>
      <w:r>
        <w:t xml:space="preserve">更进一步，在学习语言的过程中，学习者不仅内化了语言能力，还在与目标文化的交互中完成意义建构或意义生成，从而实现了自我建构和自我评价的提高</w:t>
      </w:r>
      <w:r>
        <w:t xml:space="preserve">(</w:t>
      </w:r>
      <w:hyperlink w:anchor="ref-SuFang2020">
        <w:r>
          <w:rPr>
            <w:rStyle w:val="ae"/>
          </w:rPr>
          <w:t xml:space="preserve">苏芳, 2020</w:t>
        </w:r>
      </w:hyperlink>
      <w:r>
        <w:t xml:space="preserve">)</w:t>
      </w:r>
      <w:r>
        <w:t xml:space="preserve">。</w:t>
      </w:r>
      <w:r>
        <w:t xml:space="preserve"> </w:t>
      </w:r>
      <w:r>
        <w:t xml:space="preserve">相反，语言掌握程度低会使使用者的自我评价也随之降低。</w:t>
      </w:r>
      <w:r>
        <w:t xml:space="preserve"> </w:t>
      </w:r>
      <w:hyperlink w:anchor="ref-WrightTaylor1995">
        <w:r>
          <w:rPr>
            <w:rStyle w:val="ae"/>
          </w:rPr>
          <w:t xml:space="preserve">Wright &amp; Taylor</w:t>
        </w:r>
      </w:hyperlink>
      <w:r>
        <w:t xml:space="preserve"> </w:t>
      </w:r>
      <w:r>
        <w:t xml:space="preserve">(</w:t>
      </w:r>
      <w:hyperlink w:anchor="ref-WrightTaylor1995">
        <w:r>
          <w:rPr>
            <w:rStyle w:val="ae"/>
          </w:rPr>
          <w:t xml:space="preserve">1995</w:t>
        </w:r>
      </w:hyperlink>
      <w:r>
        <w:t xml:space="preserve">)</w:t>
      </w:r>
      <w:r>
        <w:t xml:space="preserve"> </w:t>
      </w:r>
      <w:r>
        <w:t xml:space="preserve">就发现在母语教育对少数民族儿童的学业和心理发展的研究中发现，少数民族学生在不熟悉教学语言情况下，极易导致自信水平下降，从而持有更多的消极自我评价。</w:t>
      </w:r>
    </w:p>
    <w:bookmarkEnd w:id="24"/>
    <w:bookmarkEnd w:id="25"/>
    <w:bookmarkStart w:id="29" w:name="语言治理的实现途径"/>
    <w:p>
      <w:pPr>
        <w:pStyle w:val="1"/>
      </w:pPr>
      <w:r>
        <w:t xml:space="preserve">语言治理的实现途径</w:t>
      </w:r>
    </w:p>
    <w:p>
      <w:pPr>
        <w:pStyle w:val="FirstParagraph"/>
      </w:pPr>
      <w:r>
        <w:t xml:space="preserve">上述基于系统功能类型学视角，呈现了语言治理对国家、社会群体及公众个人政治社会心理的多维度、多层次影响。</w:t>
      </w:r>
      <w:r>
        <w:t xml:space="preserve"> </w:t>
      </w:r>
      <w:r>
        <w:t xml:space="preserve">而作为治理决策者和实施者的政府，如何有效实施和推行语言治理，最大化其治理效能呢？</w:t>
      </w:r>
      <w:r>
        <w:t xml:space="preserve"> </w:t>
      </w:r>
      <w:r>
        <w:t xml:space="preserve">本文提出</w:t>
      </w:r>
      <w:r>
        <w:rPr>
          <w:bCs/>
          <w:b/>
        </w:rPr>
        <w:t xml:space="preserve">阐释政策规范</w:t>
      </w:r>
      <w:r>
        <w:t xml:space="preserve">、</w:t>
      </w:r>
      <w:r>
        <w:rPr>
          <w:bCs/>
          <w:b/>
        </w:rPr>
        <w:t xml:space="preserve">调整群体关系</w:t>
      </w:r>
      <w:r>
        <w:t xml:space="preserve">和</w:t>
      </w:r>
      <w:r>
        <w:rPr>
          <w:bCs/>
          <w:b/>
        </w:rPr>
        <w:t xml:space="preserve">改善发展环境</w:t>
      </w:r>
      <w:r>
        <w:t xml:space="preserve">三条路径：</w:t>
      </w:r>
    </w:p>
    <w:bookmarkStart w:id="26" w:name="阐释政策规范"/>
    <w:p>
      <w:pPr>
        <w:pStyle w:val="2"/>
      </w:pPr>
      <w:r>
        <w:t xml:space="preserve">阐释政策规范</w:t>
      </w:r>
    </w:p>
    <w:p>
      <w:pPr>
        <w:pStyle w:val="FirstParagraph"/>
      </w:pPr>
      <w:r>
        <w:t xml:space="preserve">语言规划是语言生活领域的国家意志体现，是国家在语言生活领域的治理方案，不仅对人们的社会地位认知、社会融入程度，社会参与意愿具有导向作用，还会直接影响民族关系、社会稳定、经济发展模式。</w:t>
      </w:r>
      <w:r>
        <w:t xml:space="preserve"> </w:t>
      </w:r>
      <w:r>
        <w:t xml:space="preserve">因此，国家会有目的、有计划、有组织地对语言文字及其使用进行干预与管理，通过立法或者政府调节手段，使语言文字更好地为国家服务</w:t>
      </w:r>
      <w:r>
        <w:t xml:space="preserve">(</w:t>
      </w:r>
      <w:hyperlink w:anchor="ref-DaiManChunHeZhanRu2010">
        <w:r>
          <w:rPr>
            <w:rStyle w:val="ae"/>
          </w:rPr>
          <w:t xml:space="preserve">戴曼纯 &amp; 贺战茹, 2010</w:t>
        </w:r>
      </w:hyperlink>
      <w:r>
        <w:t xml:space="preserve">)</w:t>
      </w:r>
      <w:r>
        <w:t xml:space="preserve">。</w:t>
      </w:r>
      <w:r>
        <w:t xml:space="preserve"> </w:t>
      </w:r>
      <w:r>
        <w:t xml:space="preserve">同时，语言规划作为治理工具，也承载着对价值取向和路径模式的贯彻。</w:t>
      </w:r>
      <w:r>
        <w:t xml:space="preserve"> </w:t>
      </w:r>
      <w:r>
        <w:t xml:space="preserve">而政府治理理念差异也造就了多样的语言规划策略。</w:t>
      </w:r>
      <w:r>
        <w:t xml:space="preserve"> </w:t>
      </w:r>
      <w:r>
        <w:t xml:space="preserve">如，十月革命后，苏联将大多数语言的文字系统改换成拉丁字母文字，包括为少数民族创制的拉丁化新文字；越南民主共和国成立后，即宣布拉丁字母的越南文为</w:t>
      </w:r>
      <w:r>
        <w:t xml:space="preserve">“</w:t>
      </w:r>
      <w:r>
        <w:t xml:space="preserve">国文</w:t>
      </w:r>
      <w:r>
        <w:t xml:space="preserve">”</w:t>
      </w:r>
      <w:r>
        <w:t xml:space="preserve">，彻底废除了传统社会长期使用的汉文和喃字；北朝鲜独立后，也彻底废除了传统社会长期使用的汉文而改用谚文，即现今的朝鲜文</w:t>
      </w:r>
      <w:r>
        <w:t xml:space="preserve">(</w:t>
      </w:r>
      <w:hyperlink w:anchor="ref-MaRong2004a">
        <w:r>
          <w:rPr>
            <w:rStyle w:val="ae"/>
          </w:rPr>
          <w:t xml:space="preserve">马戎, 2004</w:t>
        </w:r>
      </w:hyperlink>
      <w:r>
        <w:t xml:space="preserve">)</w:t>
      </w:r>
      <w:r>
        <w:t xml:space="preserve">。</w:t>
      </w:r>
      <w:r>
        <w:t xml:space="preserve"> </w:t>
      </w:r>
      <w:r>
        <w:t xml:space="preserve">可见，各国政府努力促进语言规划的本土性转化，在立足具体国情的基础上对语言结构和使用进行总体规划，从而促进本国经济发展、推动民族融合。</w:t>
      </w:r>
    </w:p>
    <w:p>
      <w:pPr>
        <w:pStyle w:val="a0"/>
      </w:pPr>
      <w:r>
        <w:t xml:space="preserve">不仅如此，传统的政治经济学和族群政治也从政策成本、族群权力、迁移风险等诸多方面探讨过语言规划对族群稳定、经济发展和政策制定等政治结构和决策的影响，强调语言规划在跨族群社会和国际交往中的作用</w:t>
      </w:r>
      <w:r>
        <w:t xml:space="preserve">(</w:t>
      </w:r>
      <w:hyperlink w:anchor="ref-CookLiu2016">
        <w:r>
          <w:rPr>
            <w:rStyle w:val="ae"/>
          </w:rPr>
          <w:t xml:space="preserve">Cook &amp; Liu, 2016</w:t>
        </w:r>
      </w:hyperlink>
      <w:r>
        <w:t xml:space="preserve">;</w:t>
      </w:r>
      <w:r>
        <w:t xml:space="preserve"> </w:t>
      </w:r>
      <w:hyperlink w:anchor="ref-LiuPizzi2018">
        <w:r>
          <w:rPr>
            <w:rStyle w:val="ae"/>
          </w:rPr>
          <w:t xml:space="preserve">Liu &amp; Pizzi, 2018</w:t>
        </w:r>
      </w:hyperlink>
      <w:r>
        <w:t xml:space="preserve">)</w:t>
      </w:r>
      <w:r>
        <w:t xml:space="preserve">。</w:t>
      </w:r>
      <w:r>
        <w:t xml:space="preserve"> </w:t>
      </w:r>
      <w:r>
        <w:t xml:space="preserve">例如，</w:t>
      </w:r>
      <w:hyperlink w:anchor="ref-Liu2015">
        <w:r>
          <w:rPr>
            <w:rStyle w:val="ae"/>
          </w:rPr>
          <w:t xml:space="preserve">Liu</w:t>
        </w:r>
      </w:hyperlink>
      <w:r>
        <w:t xml:space="preserve"> </w:t>
      </w:r>
      <w:r>
        <w:t xml:space="preserve">(</w:t>
      </w:r>
      <w:hyperlink w:anchor="ref-Liu2015">
        <w:r>
          <w:rPr>
            <w:rStyle w:val="ae"/>
          </w:rPr>
          <w:t xml:space="preserve">2015</w:t>
        </w:r>
      </w:hyperlink>
      <w:r>
        <w:t xml:space="preserve">)</w:t>
      </w:r>
      <w:r>
        <w:t xml:space="preserve"> </w:t>
      </w:r>
      <w:r>
        <w:t xml:space="preserve">将语言规划以是否为主体民族语言和是否存在多官方语言两个维度划分了四类，发现四种语言政策对国内族群互动、国家对外交往、投资引入的对外资本均有重要影响。</w:t>
      </w:r>
      <w:r>
        <w:t xml:space="preserve"> </w:t>
      </w:r>
      <w:r>
        <w:t xml:space="preserve">这类研究也在实践中得到了证实。</w:t>
      </w:r>
      <w:r>
        <w:t xml:space="preserve"> </w:t>
      </w:r>
      <w:r>
        <w:t xml:space="preserve">非洲新兴独立国家领导人在构建国家认同和民族意识过程中，十分注重语言规划在社会成员族群意识、国家身份、社会经济发展等多个层面对该国的社会经济制度的参与塑造作用</w:t>
      </w:r>
      <w:r>
        <w:t xml:space="preserve">(</w:t>
      </w:r>
      <w:hyperlink w:anchor="ref-Laitin1977">
        <w:r>
          <w:rPr>
            <w:rStyle w:val="ae"/>
          </w:rPr>
          <w:t xml:space="preserve">Laitin, 1977</w:t>
        </w:r>
      </w:hyperlink>
      <w:r>
        <w:t xml:space="preserve">)</w:t>
      </w:r>
      <w:r>
        <w:t xml:space="preserve">。</w:t>
      </w:r>
      <w:r>
        <w:t xml:space="preserve"> </w:t>
      </w:r>
      <w:r>
        <w:t xml:space="preserve">法国历代政府相继成立诸如法兰西学院、法语和方言总署等有关机构，对法语进行语言规划并大力推广，强硬语言规划的长久推行提高了法语的普及率，为国家的统一性、国族的认同以及国民经济发展发挥了重要作用</w:t>
      </w:r>
      <w:r>
        <w:t xml:space="preserve">(</w:t>
      </w:r>
      <w:hyperlink w:anchor="ref-DaiManChunHeZhanRu2010">
        <w:r>
          <w:rPr>
            <w:rStyle w:val="ae"/>
          </w:rPr>
          <w:t xml:space="preserve">戴曼纯 &amp; 贺战茹, 2010</w:t>
        </w:r>
      </w:hyperlink>
      <w:r>
        <w:t xml:space="preserve">)</w:t>
      </w:r>
      <w:r>
        <w:t xml:space="preserve">。</w:t>
      </w:r>
    </w:p>
    <w:bookmarkEnd w:id="26"/>
    <w:bookmarkStart w:id="27" w:name="调整群体关系"/>
    <w:p>
      <w:pPr>
        <w:pStyle w:val="2"/>
      </w:pPr>
      <w:r>
        <w:t xml:space="preserve">调整群体关系</w:t>
      </w:r>
    </w:p>
    <w:p>
      <w:pPr>
        <w:pStyle w:val="FirstParagraph"/>
      </w:pPr>
      <w:r>
        <w:t xml:space="preserve">语言平等是族群平等的重要内容和重要标志之一，国家会通过规定各族群所使用的词汇和语言，并通过这些词汇和语言控制改变着其交际行为，借此加强各族群在政治、经济、文化以及情感方面的联系</w:t>
      </w:r>
      <w:r>
        <w:t xml:space="preserve">(</w:t>
      </w:r>
      <w:hyperlink w:anchor="ref-KathrynKendall2017">
        <w:r>
          <w:rPr>
            <w:rStyle w:val="ae"/>
          </w:rPr>
          <w:t xml:space="preserve">Kathryn &amp; Kendall, 2017</w:t>
        </w:r>
      </w:hyperlink>
      <w:r>
        <w:t xml:space="preserve">)</w:t>
      </w:r>
      <w:r>
        <w:t xml:space="preserve">。</w:t>
      </w:r>
      <w:r>
        <w:t xml:space="preserve"> </w:t>
      </w:r>
      <w:r>
        <w:t xml:space="preserve">一直以来，语言政策作为国家民族政策的重要组成部分，各国政府就不断强调语言政策要体现出少数族群的</w:t>
      </w:r>
      <w:r>
        <w:t xml:space="preserve">“</w:t>
      </w:r>
      <w:r>
        <w:t xml:space="preserve">心理状态</w:t>
      </w:r>
      <w:r>
        <w:t xml:space="preserve">”</w:t>
      </w:r>
      <w:r>
        <w:t xml:space="preserve">，达到维系民族团结的目的。</w:t>
      </w:r>
      <w:r>
        <w:t xml:space="preserve"> </w:t>
      </w:r>
      <w:r>
        <w:t xml:space="preserve">1968年美国《双语教育法》的通过便是承认美国语言多元化的事实，即存在一些母语不是英语的学生（或成人）。</w:t>
      </w:r>
      <w:r>
        <w:t xml:space="preserve"> </w:t>
      </w:r>
      <w:r>
        <w:t xml:space="preserve">这一法律的颁布部分地解决了多族群间的语言矛盾和语言冲突，维护了国家和社会的稳定。</w:t>
      </w:r>
      <w:r>
        <w:t xml:space="preserve"> </w:t>
      </w:r>
      <w:r>
        <w:t xml:space="preserve">另一个典型例子是瑞士。</w:t>
      </w:r>
      <w:r>
        <w:t xml:space="preserve"> </w:t>
      </w:r>
      <w:r>
        <w:t xml:space="preserve">该国是世界上惟一将国内所有族群语言都定为国语的国家，规定所有语言都具有平等的法律地位，高中学生均要学习三种官方语言(德语、法语、意大利语)</w:t>
      </w:r>
      <w:r>
        <w:t xml:space="preserve">(</w:t>
      </w:r>
      <w:hyperlink w:anchor="ref-MengHongLi2010">
        <w:r>
          <w:rPr>
            <w:rStyle w:val="ae"/>
          </w:rPr>
          <w:t xml:space="preserve">孟红莉, 2010</w:t>
        </w:r>
      </w:hyperlink>
      <w:r>
        <w:t xml:space="preserve">)</w:t>
      </w:r>
      <w:r>
        <w:t xml:space="preserve">。</w:t>
      </w:r>
      <w:r>
        <w:t xml:space="preserve"> </w:t>
      </w:r>
      <w:r>
        <w:t xml:space="preserve">这一政策的实施使得瑞士因而被认为只是一个</w:t>
      </w:r>
      <w:r>
        <w:t xml:space="preserve">“</w:t>
      </w:r>
      <w:r>
        <w:t xml:space="preserve">具有文化差别性的社会</w:t>
      </w:r>
      <w:r>
        <w:t xml:space="preserve">”</w:t>
      </w:r>
      <w:r>
        <w:t xml:space="preserve">，而非是一个</w:t>
      </w:r>
      <w:r>
        <w:t xml:space="preserve">“</w:t>
      </w:r>
      <w:r>
        <w:t xml:space="preserve">多数族群－少数族群共存的社会</w:t>
      </w:r>
      <w:r>
        <w:t xml:space="preserve">”</w:t>
      </w:r>
      <w:r>
        <w:t xml:space="preserve">，从而避免赋予族群差异以任何其他的政治和意识形态出现或加深，实现了多民族社会的稳定团结。</w:t>
      </w:r>
    </w:p>
    <w:p>
      <w:pPr>
        <w:pStyle w:val="a0"/>
      </w:pPr>
      <w:r>
        <w:t xml:space="preserve">中国的社会制度与民族政策一直面临着西方国家提出的</w:t>
      </w:r>
      <w:r>
        <w:t xml:space="preserve">“</w:t>
      </w:r>
      <w:r>
        <w:t xml:space="preserve">对少数族群实行同化政策</w:t>
      </w:r>
      <w:r>
        <w:t xml:space="preserve">”</w:t>
      </w:r>
      <w:r>
        <w:t xml:space="preserve">的舆论批评和外交压力，但中国宪法和相关法令实际上明确规定了各少数族群都有使用和发展其语言文字的自由。</w:t>
      </w:r>
      <w:r>
        <w:t xml:space="preserve"> </w:t>
      </w:r>
      <w:r>
        <w:t xml:space="preserve">中国的语言使用情况由此呈现出</w:t>
      </w:r>
      <w:r>
        <w:t xml:space="preserve">“</w:t>
      </w:r>
      <w:r>
        <w:t xml:space="preserve">多元一体</w:t>
      </w:r>
      <w:r>
        <w:t xml:space="preserve">”</w:t>
      </w:r>
      <w:r>
        <w:t xml:space="preserve">的格局——各个族群保存并发展自己的语言，以维护本民族文化。</w:t>
      </w:r>
      <w:r>
        <w:t xml:space="preserve"> </w:t>
      </w:r>
      <w:r>
        <w:t xml:space="preserve">同时，各个民族又将汉语作为全国通用的</w:t>
      </w:r>
      <w:r>
        <w:t xml:space="preserve">“</w:t>
      </w:r>
      <w:r>
        <w:t xml:space="preserve">族际共同语</w:t>
      </w:r>
      <w:r>
        <w:t xml:space="preserve">”</w:t>
      </w:r>
      <w:r>
        <w:t xml:space="preserve">，以促进各族群间的交流沟通和全国范围内经济、文化等各方面事业的发展。</w:t>
      </w:r>
    </w:p>
    <w:p>
      <w:pPr>
        <w:pStyle w:val="a0"/>
      </w:pPr>
      <w:r>
        <w:t xml:space="preserve">值得注意的是，过分强调民族语言在国家社会和公共事务中的地位和作用在客观上也将会导致民族隔绝的非意图后果，致使语言成为某种特殊的族群象征，演变成具有特殊实用意义的工具，阻碍了各族群间的相互学习与交流</w:t>
      </w:r>
      <w:r>
        <w:t xml:space="preserve">(</w:t>
      </w:r>
      <w:hyperlink w:anchor="ref-MaRong2017">
        <w:r>
          <w:rPr>
            <w:rStyle w:val="ae"/>
          </w:rPr>
          <w:t xml:space="preserve">马戎, 2017</w:t>
        </w:r>
      </w:hyperlink>
      <w:r>
        <w:t xml:space="preserve">)</w:t>
      </w:r>
      <w:r>
        <w:t xml:space="preserve">。</w:t>
      </w:r>
      <w:r>
        <w:t xml:space="preserve"> </w:t>
      </w:r>
      <w:r>
        <w:t xml:space="preserve">实际上，语言具有</w:t>
      </w:r>
      <w:r>
        <w:rPr>
          <w:bCs/>
          <w:b/>
        </w:rPr>
        <w:t xml:space="preserve">文化象征和交流沟通</w:t>
      </w:r>
      <w:r>
        <w:t xml:space="preserve">的双重属性。前者带有深厚的历史感与情感色彩，后者则强调语言作为交流与学习的工具性手段。</w:t>
      </w:r>
      <w:r>
        <w:t xml:space="preserve"> </w:t>
      </w:r>
      <w:r>
        <w:t xml:space="preserve">因此，在政治平等的意义上解决了各族群语言问题的合法性后，必须从应用性角度实事求是地分析，利用市场经济逐步推动共同语言作为交流工具，打造在经济层面上能够加强各民族间分工合作和降低成本的政治地理区域。</w:t>
      </w:r>
    </w:p>
    <w:bookmarkEnd w:id="27"/>
    <w:bookmarkStart w:id="28" w:name="加强个体治理"/>
    <w:p>
      <w:pPr>
        <w:pStyle w:val="2"/>
      </w:pPr>
      <w:r>
        <w:t xml:space="preserve">加强个体治理</w:t>
      </w:r>
    </w:p>
    <w:p>
      <w:pPr>
        <w:pStyle w:val="FirstParagraph"/>
      </w:pPr>
      <w:r>
        <w:t xml:space="preserve">人们的思维依赖于框架、原型、隐喻、意象等语言和认知手段。</w:t>
      </w:r>
      <w:r>
        <w:t xml:space="preserve"> </w:t>
      </w:r>
      <w:r>
        <w:t xml:space="preserve">国家通过控制、筛选、组织和分配话语的生产，并借用语言符号来把握微观个体的具体话语行为，潜移默化地加强语言与个体身份的良性构建，从而实现对个体心理的有效引导。</w:t>
      </w:r>
      <w:r>
        <w:t xml:space="preserve"> </w:t>
      </w:r>
      <w:r>
        <w:t xml:space="preserve">当前，随着新信息技术和电子媒介的出现，政府通常将媒体作为实现实际言语交际和经验表征的工具，新闻话语及图像根据政治需要或意识形态的准则而被选择、建构和处理，以便合法化政府行为。</w:t>
      </w:r>
    </w:p>
    <w:p>
      <w:pPr>
        <w:pStyle w:val="a0"/>
      </w:pPr>
      <w:r>
        <w:t xml:space="preserve">具体而言，国家借用多模态话语——语言文字、图像和图表的复合话语构建社会现实的人际互动，利用各种符号模态协同作用下构建的现实意义，引导民众心理。</w:t>
      </w:r>
      <w:r>
        <w:t xml:space="preserve"> </w:t>
      </w:r>
      <w:r>
        <w:t xml:space="preserve">如，</w:t>
      </w:r>
      <w:hyperlink w:anchor="ref-DingJianXinYangHui2020">
        <w:r>
          <w:rPr>
            <w:rStyle w:val="ae"/>
          </w:rPr>
          <w:t xml:space="preserve">丁建新 &amp; 杨荟</w:t>
        </w:r>
      </w:hyperlink>
      <w:r>
        <w:t xml:space="preserve"> </w:t>
      </w:r>
      <w:r>
        <w:t xml:space="preserve">(</w:t>
      </w:r>
      <w:hyperlink w:anchor="ref-DingJianXinYangHui2020">
        <w:r>
          <w:rPr>
            <w:rStyle w:val="ae"/>
          </w:rPr>
          <w:t xml:space="preserve">2020</w:t>
        </w:r>
      </w:hyperlink>
      <w:r>
        <w:t xml:space="preserve">)</w:t>
      </w:r>
      <w:r>
        <w:t xml:space="preserve"> </w:t>
      </w:r>
      <w:r>
        <w:t xml:space="preserve">分析了新冠肺炎爆发时美国媒体如何借用图像、语言来比喻政治，将单纯的医学名词赋予道德批判意义和政治化立场，塑造和加深了美国民众对中国的敌意。美国媒体和政治家在大量的新闻标题和政治评论中以</w:t>
      </w:r>
      <w:r>
        <w:t xml:space="preserve">“</w:t>
      </w:r>
      <w:r>
        <w:t xml:space="preserve">Wuhan Coronavirus</w:t>
      </w:r>
      <w:r>
        <w:t xml:space="preserve">”</w:t>
      </w:r>
      <w:r>
        <w:t xml:space="preserve">或者</w:t>
      </w:r>
      <w:r>
        <w:t xml:space="preserve">“</w:t>
      </w:r>
      <w:r>
        <w:t xml:space="preserve">Wuhan Virus</w:t>
      </w:r>
      <w:r>
        <w:t xml:space="preserve">”</w:t>
      </w:r>
      <w:r>
        <w:t xml:space="preserve">来称呼新冠病毒，甚至出现</w:t>
      </w:r>
      <w:r>
        <w:t xml:space="preserve">“</w:t>
      </w:r>
      <w:r>
        <w:t xml:space="preserve">黄祸</w:t>
      </w:r>
      <w:r>
        <w:t xml:space="preserve">”</w:t>
      </w:r>
      <w:r>
        <w:t xml:space="preserve">“</w:t>
      </w:r>
      <w:r>
        <w:t xml:space="preserve">中国病毒</w:t>
      </w:r>
      <w:r>
        <w:t xml:space="preserve">”</w:t>
      </w:r>
      <w:r>
        <w:t xml:space="preserve">等词，引导美国民众寻找、建构另一个</w:t>
      </w:r>
      <w:r>
        <w:t xml:space="preserve">“</w:t>
      </w:r>
      <w:r>
        <w:t xml:space="preserve">他者</w:t>
      </w:r>
      <w:r>
        <w:t xml:space="preserve">”</w:t>
      </w:r>
      <w:r>
        <w:t xml:space="preserve">，并将罪责归于</w:t>
      </w:r>
      <w:r>
        <w:t xml:space="preserve">“</w:t>
      </w:r>
      <w:r>
        <w:t xml:space="preserve">他者</w:t>
      </w:r>
      <w:r>
        <w:t xml:space="preserve">”</w:t>
      </w:r>
      <w:r>
        <w:t xml:space="preserve">，以缓解自身的恐惧和焦虑，进而作为一种政治延伸达到影射中国的目的。</w:t>
      </w:r>
    </w:p>
    <w:p>
      <w:pPr>
        <w:pStyle w:val="a0"/>
      </w:pPr>
      <w:r>
        <w:t xml:space="preserve">对于同一个客观事物，不同的语言表达会产生不同的效果，并演绎出不同的游戏规则和行事逻辑。</w:t>
      </w:r>
      <w:r>
        <w:t xml:space="preserve"> </w:t>
      </w:r>
      <w:r>
        <w:t xml:space="preserve">亚里士多德的《修辞学》和西塞罗的《论演说术》也无不强调话语是构建民众世界观和概念化政治问题的一种重要手段。</w:t>
      </w:r>
      <w:r>
        <w:t xml:space="preserve"> </w:t>
      </w:r>
      <w:r>
        <w:t xml:space="preserve">如，针对当前气候变暖问题，美国前副总统戈尔通常使用</w:t>
      </w:r>
      <w:r>
        <w:t xml:space="preserve">“</w:t>
      </w:r>
      <w:r>
        <w:t xml:space="preserve">气候危机</w:t>
      </w:r>
      <w:r>
        <w:t xml:space="preserve">”</w:t>
      </w:r>
      <w:r>
        <w:t xml:space="preserve">(climate crisis)或</w:t>
      </w:r>
      <w:r>
        <w:t xml:space="preserve">“</w:t>
      </w:r>
      <w:r>
        <w:t xml:space="preserve">气候混乱</w:t>
      </w:r>
      <w:r>
        <w:t xml:space="preserve">”</w:t>
      </w:r>
      <w:r>
        <w:t xml:space="preserve">(climate chaos)，而前总统小布什在其国情咨文中坚持使用</w:t>
      </w:r>
      <w:r>
        <w:t xml:space="preserve">“</w:t>
      </w:r>
      <w:r>
        <w:t xml:space="preserve">气候变化</w:t>
      </w:r>
      <w:r>
        <w:t xml:space="preserve">”</w:t>
      </w:r>
      <w:r>
        <w:t xml:space="preserve">(climate change)及</w:t>
      </w:r>
      <w:r>
        <w:t xml:space="preserve">“</w:t>
      </w:r>
      <w:r>
        <w:t xml:space="preserve">全球变暖</w:t>
      </w:r>
      <w:r>
        <w:t xml:space="preserve">”</w:t>
      </w:r>
      <w:r>
        <w:t xml:space="preserve">(global warming)。相比之下，</w:t>
      </w:r>
      <w:r>
        <w:t xml:space="preserve">“</w:t>
      </w:r>
      <w:r>
        <w:t xml:space="preserve">气候危机</w:t>
      </w:r>
      <w:r>
        <w:t xml:space="preserve">”</w:t>
      </w:r>
      <w:r>
        <w:t xml:space="preserve">和</w:t>
      </w:r>
      <w:r>
        <w:t xml:space="preserve">“</w:t>
      </w:r>
      <w:r>
        <w:t xml:space="preserve">气候混乱</w:t>
      </w:r>
      <w:r>
        <w:t xml:space="preserve">”</w:t>
      </w:r>
      <w:r>
        <w:t xml:space="preserve">明显强化了该问题的严重性和必须采取措施应对的紧迫感。而</w:t>
      </w:r>
      <w:r>
        <w:t xml:space="preserve">“</w:t>
      </w:r>
      <w:r>
        <w:t xml:space="preserve">气候变化</w:t>
      </w:r>
      <w:r>
        <w:t xml:space="preserve">”</w:t>
      </w:r>
      <w:r>
        <w:t xml:space="preserve">或</w:t>
      </w:r>
      <w:r>
        <w:t xml:space="preserve">“</w:t>
      </w:r>
      <w:r>
        <w:t xml:space="preserve">全球变暖</w:t>
      </w:r>
      <w:r>
        <w:t xml:space="preserve">”</w:t>
      </w:r>
      <w:r>
        <w:t xml:space="preserve">则将公众的注意力框定在全球平均气温上，认为该问题可控且尚未对人类形成太大的挑战，进而不去关注更为严重的诸如海啸、水灾及旱灾等环境问题。</w:t>
      </w:r>
    </w:p>
    <w:bookmarkEnd w:id="28"/>
    <w:bookmarkEnd w:id="29"/>
    <w:bookmarkStart w:id="33" w:name="语言治理与新时期中国政治发展"/>
    <w:p>
      <w:pPr>
        <w:pStyle w:val="1"/>
      </w:pPr>
      <w:r>
        <w:t xml:space="preserve">语言治理与新时期中国政治发展</w:t>
      </w:r>
    </w:p>
    <w:p>
      <w:pPr>
        <w:pStyle w:val="FirstParagraph"/>
      </w:pPr>
      <w:r>
        <w:t xml:space="preserve">以上三种实现途径构成相互关联、相互影响、有机统一的语言治理体系，对国家稳定、民族团结、社会成员个体发展、建立和延续良好的政治秩序，均具有长期且深远的影响。</w:t>
      </w:r>
    </w:p>
    <w:p>
      <w:pPr>
        <w:pStyle w:val="a0"/>
      </w:pPr>
      <w:r>
        <w:t xml:space="preserve">当前，我国正处于经济发展方式和社会治理模式的双重变革时期，对国民政治社会心理产生巨大影响，相应一系列问题也随之凸显。</w:t>
      </w:r>
      <w:r>
        <w:t xml:space="preserve"> </w:t>
      </w:r>
      <w:r>
        <w:t xml:space="preserve">比如，由于经济结构剧烈变化而导致的国民自我定位错位</w:t>
      </w:r>
      <w:r>
        <w:t xml:space="preserve">(</w:t>
      </w:r>
      <w:hyperlink w:anchor="ref-JingHuaiBinEtAl2017">
        <w:r>
          <w:rPr>
            <w:rStyle w:val="ae"/>
          </w:rPr>
          <w:t xml:space="preserve">景怀斌 et al., 2017</w:t>
        </w:r>
      </w:hyperlink>
      <w:r>
        <w:t xml:space="preserve">)</w:t>
      </w:r>
      <w:r>
        <w:t xml:space="preserve">，由于人口结构变化和加速城镇化带来的人际信任缺失和新、老市民身份认同矛盾</w:t>
      </w:r>
      <w:r>
        <w:t xml:space="preserve">(</w:t>
      </w:r>
      <w:hyperlink w:anchor="ref-LuHuiLinPanYi2014">
        <w:r>
          <w:rPr>
            <w:rStyle w:val="ae"/>
          </w:rPr>
          <w:t xml:space="preserve">卢晖临 &amp; 潘毅, 2014</w:t>
        </w:r>
      </w:hyperlink>
      <w:r>
        <w:t xml:space="preserve">)</w:t>
      </w:r>
      <w:r>
        <w:t xml:space="preserve">，以及人民日益增长的政治参与需求与政府治理方式的不匹配等问题，都成为当代中国社会急需关注的问题。</w:t>
      </w:r>
      <w:r>
        <w:t xml:space="preserve"> </w:t>
      </w:r>
      <w:r>
        <w:t xml:space="preserve">如处理不当，极易造成民众情绪激化，甚至演变成恶行群体事件，损害社会稳定，威胁正常政治经济秩序</w:t>
      </w:r>
      <w:r>
        <w:t xml:space="preserve">(</w:t>
      </w:r>
      <w:hyperlink w:anchor="ref-HaoYuQingCheYue2011">
        <w:r>
          <w:rPr>
            <w:rStyle w:val="ae"/>
          </w:rPr>
          <w:t xml:space="preserve">郝宇青 &amp; 车跃, 2011</w:t>
        </w:r>
      </w:hyperlink>
      <w:r>
        <w:t xml:space="preserve">)</w:t>
      </w:r>
      <w:r>
        <w:t xml:space="preserve">。</w:t>
      </w:r>
      <w:r>
        <w:t xml:space="preserve"> </w:t>
      </w:r>
      <w:r>
        <w:t xml:space="preserve">然而，这些问题的产生很大程度上与语言距离和语言区隔密切相关，语言具有强烈的社会识别功能，对于打破群体隔阂，促进社会公众的心理融合具有重要的作用。</w:t>
      </w:r>
      <w:r>
        <w:t xml:space="preserve"> </w:t>
      </w:r>
      <w:r>
        <w:t xml:space="preserve">上述问题迫切需要国民具备较好的沟通能力和较高的语言文字应用水平，提升自身的综合素质，以便更好地融入主流社会。</w:t>
      </w:r>
      <w:r>
        <w:t xml:space="preserve"> </w:t>
      </w:r>
      <w:r>
        <w:t xml:space="preserve">我国的语言治理借助以上三种实施途径，从具体国情出发，呈现出了独特的治理面貌。</w:t>
      </w:r>
    </w:p>
    <w:bookmarkStart w:id="30" w:name="城市治理"/>
    <w:p>
      <w:pPr>
        <w:pStyle w:val="2"/>
      </w:pPr>
      <w:r>
        <w:t xml:space="preserve">城市治理</w:t>
      </w:r>
    </w:p>
    <w:p>
      <w:pPr>
        <w:pStyle w:val="FirstParagraph"/>
      </w:pPr>
      <w:r>
        <w:t xml:space="preserve">在新时代国家治理与城市治理的理念推动下，城市语言治理能力与治理能力现代化逐步成为城市研究的新任务。</w:t>
      </w:r>
      <w:r>
        <w:t xml:space="preserve"> </w:t>
      </w:r>
      <w:r>
        <w:t xml:space="preserve">就时间维度而言，城市语言治理包括常态性问题和应激性问题两部分。</w:t>
      </w:r>
    </w:p>
    <w:p>
      <w:pPr>
        <w:pStyle w:val="a0"/>
      </w:pPr>
      <w:r>
        <w:t xml:space="preserve">长远看来，如何实现以</w:t>
      </w:r>
      <w:r>
        <w:t xml:space="preserve">“</w:t>
      </w:r>
      <w:r>
        <w:t xml:space="preserve">人的城镇化</w:t>
      </w:r>
      <w:r>
        <w:t xml:space="preserve">”</w:t>
      </w:r>
      <w:r>
        <w:t xml:space="preserve">为核心的新型城镇化建设，处理好人与语言、语言与社会、语言与语言、语言与方言之间的关系，成为当前城市治理和区域发展的新痛点和新难点。</w:t>
      </w:r>
      <w:r>
        <w:t xml:space="preserve"> </w:t>
      </w:r>
      <w:r>
        <w:t xml:space="preserve">中国城市化进程全面提速，国家统计局最新发布的关于2019年国民经济和社会发展统计公报显示，我国城镇常住人口已达84843万，城镇化率为60.60%，已经超过世界平均水平</w:t>
      </w:r>
      <w:r>
        <w:t xml:space="preserve">(</w:t>
      </w:r>
      <w:hyperlink w:anchor="ref-ShenQi2021">
        <w:r>
          <w:rPr>
            <w:rStyle w:val="ae"/>
          </w:rPr>
          <w:t xml:space="preserve">沈骑, 2021</w:t>
        </w:r>
      </w:hyperlink>
      <w:r>
        <w:t xml:space="preserve">)</w:t>
      </w:r>
      <w:r>
        <w:t xml:space="preserve">。</w:t>
      </w:r>
      <w:r>
        <w:t xml:space="preserve"> </w:t>
      </w:r>
      <w:r>
        <w:t xml:space="preserve">城镇化的发展促成了频繁的人口流动，导致国内出现了大量的新市民或流动人口。</w:t>
      </w:r>
      <w:r>
        <w:t xml:space="preserve"> </w:t>
      </w:r>
      <w:r>
        <w:t xml:space="preserve">而无论是农民工还是城市新市民，他们必然带来语言的接触与融合，导致语言地图的变更。</w:t>
      </w:r>
      <w:r>
        <w:t xml:space="preserve"> </w:t>
      </w:r>
      <w:r>
        <w:t xml:space="preserve">方言与其他正在逐步逝去的乡土生活和文化记忆一起，均在经历着一个前所未有的极速变异过程——亦或是在当地语言之外形成了</w:t>
      </w:r>
      <w:r>
        <w:t xml:space="preserve">“</w:t>
      </w:r>
      <w:r>
        <w:t xml:space="preserve">方言岛</w:t>
      </w:r>
      <w:r>
        <w:t xml:space="preserve">”</w:t>
      </w:r>
      <w:r>
        <w:t xml:space="preserve">，亦或是产生了新的语言变异和变体</w:t>
      </w:r>
      <w:r>
        <w:t xml:space="preserve">(</w:t>
      </w:r>
      <w:hyperlink w:anchor="ref-WuXiaoJun2020">
        <w:r>
          <w:rPr>
            <w:rStyle w:val="ae"/>
          </w:rPr>
          <w:t xml:space="preserve">武小军, 2020</w:t>
        </w:r>
      </w:hyperlink>
      <w:r>
        <w:t xml:space="preserve">)</w:t>
      </w:r>
      <w:r>
        <w:t xml:space="preserve">。</w:t>
      </w:r>
      <w:r>
        <w:t xml:space="preserve"> </w:t>
      </w:r>
      <w:r>
        <w:t xml:space="preserve">这一过程导致了大量人群失语、失权、失利。</w:t>
      </w:r>
    </w:p>
    <w:p>
      <w:pPr>
        <w:pStyle w:val="a0"/>
      </w:pPr>
      <w:r>
        <w:t xml:space="preserve">传统治理视角认为，对于城市主体人群和新进人群/少数人群的隔阂和矛盾，主要通过增强后者社会融合度（比如农民工的城市化程度或少数民族的融入感等）等加以改善。</w:t>
      </w:r>
      <w:r>
        <w:t xml:space="preserve"> </w:t>
      </w:r>
      <w:r>
        <w:t xml:space="preserve">但上述局面使得语言在城市治理中的协调与中介价值日益凸显。</w:t>
      </w:r>
      <w:r>
        <w:t xml:space="preserve"> </w:t>
      </w:r>
      <w:r>
        <w:t xml:space="preserve">快速城镇化和区域一体化作为新时代中国发展的核心特征之一，现有政府正在通过语言治理促进社会公众心理融合，提升全体公众人际信任和积极心态，为营造和谐社会氛围搭建心理基础，实现普通话、方言和外语和谐共生，助力新型城镇化人本目标的实现。</w:t>
      </w:r>
    </w:p>
    <w:p>
      <w:pPr>
        <w:pStyle w:val="a0"/>
      </w:pPr>
      <w:r>
        <w:t xml:space="preserve">就当下而言，新冠疫情的暴发使得城市语言治理能力不足的问题充分暴露出来</w:t>
      </w:r>
      <w:r>
        <w:t xml:space="preserve">(</w:t>
      </w:r>
      <w:hyperlink w:anchor="ref-ShenQi2021">
        <w:r>
          <w:rPr>
            <w:rStyle w:val="ae"/>
          </w:rPr>
          <w:t xml:space="preserve">沈骑, 2021</w:t>
        </w:r>
      </w:hyperlink>
      <w:r>
        <w:t xml:space="preserve">)</w:t>
      </w:r>
      <w:r>
        <w:t xml:space="preserve">。</w:t>
      </w:r>
      <w:r>
        <w:t xml:space="preserve"> </w:t>
      </w:r>
      <w:r>
        <w:t xml:space="preserve">2020年上半年，我国大城市疫情防控工作中暴露出一系列涉外语言能力不足以及涉外语言治理空白等问题。</w:t>
      </w:r>
      <w:r>
        <w:t xml:space="preserve"> </w:t>
      </w:r>
      <w:r>
        <w:t xml:space="preserve">当前国内大城市仍未建设或运行语言人才资源数据库或语言志愿者信息库，严重影响城市在突发重大事件中的涉外应对能力、效率和速度；</w:t>
      </w:r>
      <w:r>
        <w:t xml:space="preserve"> </w:t>
      </w:r>
      <w:r>
        <w:t xml:space="preserve">城市的语言翻译和语言服务中对于外语语种的设置和提供多少有些随意，缺乏深谋远虑，政府和公共服务机构的语种规划与多语意识亟待全面加强；</w:t>
      </w:r>
      <w:r>
        <w:t xml:space="preserve"> </w:t>
      </w:r>
      <w:r>
        <w:t xml:space="preserve">政府多语信息发布和服务渠道的社会影响力和可及性均不令人满意；</w:t>
      </w:r>
      <w:r>
        <w:t xml:space="preserve"> </w:t>
      </w:r>
      <w:r>
        <w:t xml:space="preserve">面对大量的在华外国人，尚未形成有效的语言服务协调机制和语言治理体系，各类事务由分散在各政府部门的机构或基层组织自身来解决，缺少有效的合作治理机制。</w:t>
      </w:r>
    </w:p>
    <w:p>
      <w:pPr>
        <w:pStyle w:val="a0"/>
      </w:pPr>
      <w:r>
        <w:t xml:space="preserve">这些问题都提醒我们，我国大城市语言治理能力亟须提升，后疫情时代城市化建设中纷繁复杂的语言治理问题需要更加引起重视，系统探索</w:t>
      </w:r>
      <w:r>
        <w:t xml:space="preserve">“</w:t>
      </w:r>
      <w:r>
        <w:t xml:space="preserve">自上而下</w:t>
      </w:r>
      <w:r>
        <w:t xml:space="preserve">”</w:t>
      </w:r>
      <w:r>
        <w:t xml:space="preserve">与</w:t>
      </w:r>
      <w:r>
        <w:t xml:space="preserve">“</w:t>
      </w:r>
      <w:r>
        <w:t xml:space="preserve">自下而上</w:t>
      </w:r>
      <w:r>
        <w:t xml:space="preserve">”</w:t>
      </w:r>
      <w:r>
        <w:t xml:space="preserve">双向互动的城市语言治理体系，正当其时。</w:t>
      </w:r>
    </w:p>
    <w:bookmarkEnd w:id="30"/>
    <w:bookmarkStart w:id="31" w:name="乡村振兴与共同富裕"/>
    <w:p>
      <w:pPr>
        <w:pStyle w:val="2"/>
      </w:pPr>
      <w:r>
        <w:t xml:space="preserve">乡村振兴与共同富裕</w:t>
      </w:r>
    </w:p>
    <w:p>
      <w:pPr>
        <w:pStyle w:val="FirstParagraph"/>
      </w:pPr>
      <w:r>
        <w:t xml:space="preserve">乡村振兴是党的十九大明确提出的一项国家战略。</w:t>
      </w:r>
      <w:r>
        <w:t xml:space="preserve"> </w:t>
      </w:r>
      <w:r>
        <w:t xml:space="preserve">2018年9月,中共中央、国务院印发了《乡村振兴战略规划(2018—2022年)》，强调防止因语言能力的缺乏和语言上的弱势致贫返贫，减少语言藩篱对贫困地区发展的束缚，注重语言规划在乡村振兴中的作用。</w:t>
      </w:r>
      <w:r>
        <w:t xml:space="preserve"> </w:t>
      </w:r>
      <w:r>
        <w:t xml:space="preserve">当前，我国语言治理对乡村振兴的作用主要基于以下两点：</w:t>
      </w:r>
    </w:p>
    <w:p>
      <w:pPr>
        <w:pStyle w:val="a0"/>
      </w:pPr>
      <w:r>
        <w:t xml:space="preserve">首先，推广普通话对乡村振兴具有促进作用。</w:t>
      </w:r>
      <w:r>
        <w:t xml:space="preserve"> </w:t>
      </w:r>
      <w:r>
        <w:t xml:space="preserve">通过提高少数民族贫困人口使用普通话的能力及该地区普通话的普及率，构建沟通桥梁，打破贫困地区和外界信息交流的语言屏障，从而推动贫困地区经济发展</w:t>
      </w:r>
      <w:r>
        <w:t xml:space="preserve">(</w:t>
      </w:r>
      <w:hyperlink w:anchor="ref-LiYuMing2018">
        <w:r>
          <w:rPr>
            <w:rStyle w:val="ae"/>
          </w:rPr>
          <w:t xml:space="preserve">李宇明, 2018</w:t>
        </w:r>
      </w:hyperlink>
      <w:r>
        <w:t xml:space="preserve">)</w:t>
      </w:r>
      <w:r>
        <w:t xml:space="preserve">。</w:t>
      </w:r>
      <w:r>
        <w:t xml:space="preserve"> </w:t>
      </w:r>
      <w:r>
        <w:t xml:space="preserve">如，建立以</w:t>
      </w:r>
      <w:r>
        <w:t xml:space="preserve">“</w:t>
      </w:r>
      <w:r>
        <w:t xml:space="preserve">普通话专项培训为重点，以送培下乡、送教上门的农民夜校、普通话与使用技能培训相结合等方式为主，以其他各类语言文字培训向贫困地区倾斜为补充</w:t>
      </w:r>
      <w:r>
        <w:t xml:space="preserve">”</w:t>
      </w:r>
      <w:r>
        <w:t xml:space="preserve">培训体系</w:t>
      </w:r>
      <w:r>
        <w:t xml:space="preserve">(</w:t>
      </w:r>
      <w:hyperlink w:anchor="ref-TianXueJun2019">
        <w:r>
          <w:rPr>
            <w:rStyle w:val="ae"/>
          </w:rPr>
          <w:t xml:space="preserve">田学军, 2019</w:t>
        </w:r>
      </w:hyperlink>
      <w:r>
        <w:t xml:space="preserve">)</w:t>
      </w:r>
      <w:r>
        <w:t xml:space="preserve">；</w:t>
      </w:r>
      <w:r>
        <w:t xml:space="preserve"> </w:t>
      </w:r>
      <w:r>
        <w:t xml:space="preserve">这一政策提升了乡村地区，尤其是民族地区普通民众的基本交际能力和沟通能力，帮助当地居民树立了自信心，从而有助于村民内在地改变自身的生活状态和生活面貌。</w:t>
      </w:r>
    </w:p>
    <w:p>
      <w:pPr>
        <w:pStyle w:val="a0"/>
      </w:pPr>
      <w:r>
        <w:t xml:space="preserve">其次，以振兴乡村文化为要旨，注重多样化语言文化的保护。</w:t>
      </w:r>
      <w:r>
        <w:t xml:space="preserve"> </w:t>
      </w:r>
      <w:r>
        <w:t xml:space="preserve">通过对少数民族地区当地语言的规划和管理，发掘少数民族语言的本体资源</w:t>
      </w:r>
      <w:r>
        <w:t xml:space="preserve">(</w:t>
      </w:r>
      <w:hyperlink w:anchor="ref-LiuHuaXiaYuanQingHuan2017">
        <w:r>
          <w:rPr>
            <w:rStyle w:val="ae"/>
          </w:rPr>
          <w:t xml:space="preserve">刘华夏 &amp; 袁青欢, 2017</w:t>
        </w:r>
      </w:hyperlink>
      <w:r>
        <w:t xml:space="preserve">;</w:t>
      </w:r>
      <w:r>
        <w:t xml:space="preserve"> </w:t>
      </w:r>
      <w:hyperlink w:anchor="ref-SuDe2004">
        <w:r>
          <w:rPr>
            <w:rStyle w:val="ae"/>
          </w:rPr>
          <w:t xml:space="preserve">苏德, 2004</w:t>
        </w:r>
      </w:hyperlink>
      <w:r>
        <w:t xml:space="preserve">)</w:t>
      </w:r>
      <w:r>
        <w:t xml:space="preserve">。</w:t>
      </w:r>
      <w:r>
        <w:t xml:space="preserve"> </w:t>
      </w:r>
      <w:r>
        <w:t xml:space="preserve">如，鼓励和支持各地筹建本地语言文化资源库和语言博物馆、建立地方语言资源平台、举办方言微电影、推动以图、文、音、像、影多种形式全方位展示和利用我国语言方言文化资源，从而形成了推广普通话和保护少数民族语言互促互补的良好局面。</w:t>
      </w:r>
    </w:p>
    <w:p>
      <w:pPr>
        <w:pStyle w:val="a0"/>
      </w:pPr>
      <w:r>
        <w:t xml:space="preserve">此外，共同富裕是乡村振兴的最终目标。我国通过将语言的政治经济与社会文化职能与共同富裕的目标有机结合，推动全社会实现物质生活与精神生活的共同富裕。</w:t>
      </w:r>
    </w:p>
    <w:p>
      <w:pPr>
        <w:pStyle w:val="a0"/>
      </w:pPr>
      <w:r>
        <w:t xml:space="preserve">首先，以语言技术赋能物质富裕。</w:t>
      </w:r>
      <w:r>
        <w:t xml:space="preserve"> </w:t>
      </w:r>
      <w:r>
        <w:t xml:space="preserve">作为一种基础性数据，语言文字是数字经济的关键要素之一</w:t>
      </w:r>
      <w:r>
        <w:t xml:space="preserve">(</w:t>
      </w:r>
      <w:hyperlink w:anchor="ref-LiYuMing2021a">
        <w:r>
          <w:rPr>
            <w:rStyle w:val="ae"/>
          </w:rPr>
          <w:t xml:space="preserve">李宇明, 2021</w:t>
        </w:r>
      </w:hyperlink>
      <w:r>
        <w:t xml:space="preserve">)</w:t>
      </w:r>
      <w:r>
        <w:t xml:space="preserve">。</w:t>
      </w:r>
      <w:r>
        <w:t xml:space="preserve"> </w:t>
      </w:r>
      <w:r>
        <w:t xml:space="preserve">智慧语言教学、智能翻译等技术不仅推动了语言学习和使用方式的变革，同时不断拓展了语言技术的应用场景和应用深度，从而促进了语言新业态的产生以及数字经济的高速发展，从而夯实了共同富裕的物质基础；</w:t>
      </w:r>
    </w:p>
    <w:p>
      <w:pPr>
        <w:pStyle w:val="a0"/>
      </w:pPr>
      <w:r>
        <w:t xml:space="preserve">其次，以语言传承推动精神富裕。</w:t>
      </w:r>
      <w:r>
        <w:t xml:space="preserve"> </w:t>
      </w:r>
      <w:r>
        <w:t xml:space="preserve">中国优秀语言文化的传承创新有助于筑牢中华民族共同体意识，树立文化自觉，增强文化自信</w:t>
      </w:r>
      <w:r>
        <w:t xml:space="preserve">(</w:t>
      </w:r>
      <w:hyperlink w:anchor="ref-WangChunHui2020b">
        <w:r>
          <w:rPr>
            <w:rStyle w:val="ae"/>
          </w:rPr>
          <w:t xml:space="preserve">王春辉, 2020a</w:t>
        </w:r>
      </w:hyperlink>
      <w:r>
        <w:t xml:space="preserve">)</w:t>
      </w:r>
      <w:r>
        <w:t xml:space="preserve">。文言文等中华经典诵读、甲骨文等语言资源保护等项目都促使优秀语言文化进一步融入当代语言生活，丰富了当前语言文字所蕴含的精神营养和价值意涵，有助于厚植精神富足、文化浸染的社会土壤。</w:t>
      </w:r>
    </w:p>
    <w:p>
      <w:pPr>
        <w:pStyle w:val="a0"/>
      </w:pPr>
      <w:r>
        <w:t xml:space="preserve">我们已清晰地认识到了语言的扶贫功能。如，改变贫困人口和贫穷地区的经济劣势和发展劣势、促进当地社会的文明进步。但乡村振兴与共同富裕下的语言治理增添了更多的使命与任务，除了</w:t>
      </w:r>
      <w:r>
        <w:t xml:space="preserve">“</w:t>
      </w:r>
      <w:r>
        <w:t xml:space="preserve">推普脱贫</w:t>
      </w:r>
      <w:r>
        <w:t xml:space="preserve">”</w:t>
      </w:r>
      <w:r>
        <w:t xml:space="preserve">彰显其工具性的语言扶贫功能外，仍需不断丰富语言治理的内涵，不断克服语言因素对乡村地区全面发展和现代化所产生的阻碍，进而促使其不断提高生产、生活和内生性发展的能力，进行语言文化的振兴，语言生态的保护，语言资源的开发，做好共同富裕的</w:t>
      </w:r>
      <w:r>
        <w:t xml:space="preserve">“</w:t>
      </w:r>
      <w:r>
        <w:t xml:space="preserve">语言文章</w:t>
      </w:r>
      <w:r>
        <w:t xml:space="preserve">”</w:t>
      </w:r>
      <w:r>
        <w:t xml:space="preserve">，真正实现乡村的人才振兴、文化振兴和产业振兴。</w:t>
      </w:r>
    </w:p>
    <w:bookmarkEnd w:id="31"/>
    <w:bookmarkStart w:id="32" w:name="新媒体治理"/>
    <w:p>
      <w:pPr>
        <w:pStyle w:val="2"/>
      </w:pPr>
      <w:r>
        <w:t xml:space="preserve">新媒体治理</w:t>
      </w:r>
    </w:p>
    <w:p>
      <w:pPr>
        <w:pStyle w:val="FirstParagraph"/>
      </w:pPr>
      <w:r>
        <w:t xml:space="preserve">媒体是现代社会信息的主要提供者，发挥着重要的社会功能。</w:t>
      </w:r>
      <w:r>
        <w:t xml:space="preserve"> </w:t>
      </w:r>
      <w:r>
        <w:t xml:space="preserve">作为宣传国家语言文字规范标准的重要窗口和践行者，是国家语言规划的关键领域</w:t>
      </w:r>
      <w:r>
        <w:t xml:space="preserve">(</w:t>
      </w:r>
      <w:hyperlink w:anchor="ref-ChenLiXiang2021">
        <w:r>
          <w:rPr>
            <w:rStyle w:val="ae"/>
          </w:rPr>
          <w:t xml:space="preserve">陈丽湘, 2021</w:t>
        </w:r>
      </w:hyperlink>
      <w:r>
        <w:t xml:space="preserve">)</w:t>
      </w:r>
      <w:r>
        <w:t xml:space="preserve">。</w:t>
      </w:r>
      <w:r>
        <w:t xml:space="preserve"> </w:t>
      </w:r>
      <w:r>
        <w:t xml:space="preserve">随着人工智能、大数据、云计算、区块链等新一轮新技术的飞速发展，移动应用、社交媒体、网络直播、短视频等新应用、新业态的不断涌现，国内新媒体用户数量的激增和其信息传播能力的突显正全方位地重塑媒体格局和社会生态</w:t>
      </w:r>
      <w:r>
        <w:t xml:space="preserve">(</w:t>
      </w:r>
      <w:hyperlink w:anchor="ref-TangXuJunEtAl2019">
        <w:r>
          <w:rPr>
            <w:rStyle w:val="ae"/>
          </w:rPr>
          <w:t xml:space="preserve">唐绪军 et al., 2019</w:t>
        </w:r>
      </w:hyperlink>
      <w:r>
        <w:t xml:space="preserve">)</w:t>
      </w:r>
      <w:r>
        <w:t xml:space="preserve">。</w:t>
      </w:r>
      <w:r>
        <w:t xml:space="preserve"> </w:t>
      </w:r>
      <w:r>
        <w:t xml:space="preserve">依据中国互联网络信息中心(CNNIC)数据，截至2020年3月底，我国网民规模达9.04亿，与2018年底相比增加了7508万；互联网普及率达64.5%，较2018年底提升了4.9个百分点。</w:t>
      </w:r>
      <w:r>
        <w:t xml:space="preserve"> </w:t>
      </w:r>
      <w:r>
        <w:t xml:space="preserve">我国新媒体的发展出现了井喷态势，根据Statis官网的数据，微信及WeChat活跃用户量在12.03亿以上，抖音及TikTok活跃用户量在8.01亿以上，QQ、新浪微博活跃用户量均在5亿以上</w:t>
      </w:r>
      <w:r>
        <w:t xml:space="preserve">(</w:t>
      </w:r>
      <w:hyperlink w:anchor="ref-LiSongLin2021">
        <w:r>
          <w:rPr>
            <w:rStyle w:val="ae"/>
          </w:rPr>
          <w:t xml:space="preserve">李松林, 2021</w:t>
        </w:r>
      </w:hyperlink>
      <w:r>
        <w:t xml:space="preserve">)</w:t>
      </w:r>
      <w:r>
        <w:t xml:space="preserve">。</w:t>
      </w:r>
      <w:r>
        <w:t xml:space="preserve"> </w:t>
      </w:r>
      <w:r>
        <w:t xml:space="preserve">这一新的态势和格局使得媒体的语言文字行为将形成范围更广阔的社会示范效应；但其巨大的活跃性能也在一定程度上改变着语言文字的生态，给新媒体语言治理带来新的问题。</w:t>
      </w:r>
    </w:p>
    <w:p>
      <w:pPr>
        <w:pStyle w:val="a0"/>
      </w:pPr>
      <w:r>
        <w:t xml:space="preserve">据此，规范用字用语是我国对新媒体实施语言治理的核心议题。</w:t>
      </w:r>
      <w:r>
        <w:t xml:space="preserve"> </w:t>
      </w:r>
      <w:r>
        <w:t xml:space="preserve">现有政策主要从社会用字角度，围绕核心议题的</w:t>
      </w:r>
      <w:r>
        <w:t xml:space="preserve">“</w:t>
      </w:r>
      <w:r>
        <w:t xml:space="preserve">新媒体语言文字使用规范性</w:t>
      </w:r>
      <w:r>
        <w:t xml:space="preserve">”</w:t>
      </w:r>
      <w:r>
        <w:t xml:space="preserve">来开展，重点规划和解决国家通用语言文字使用、方言使用以及新词新语规范等问题</w:t>
      </w:r>
      <w:r>
        <w:t xml:space="preserve">(</w:t>
      </w:r>
      <w:hyperlink w:anchor="ref-ChenLiXiang2021">
        <w:r>
          <w:rPr>
            <w:rStyle w:val="ae"/>
          </w:rPr>
          <w:t xml:space="preserve">陈丽湘, 2021</w:t>
        </w:r>
      </w:hyperlink>
      <w:r>
        <w:t xml:space="preserve">)</w:t>
      </w:r>
      <w:r>
        <w:t xml:space="preserve">。</w:t>
      </w:r>
      <w:r>
        <w:t xml:space="preserve"> </w:t>
      </w:r>
      <w:r>
        <w:t xml:space="preserve">例如，自2001年起实施的《中华人民共和国国家通用语言文字法》是我国第一部语言文字专门法律，成为媒体语言规划相关的地方性法规、行政法规和部门规章的重要参照。</w:t>
      </w:r>
      <w:r>
        <w:t xml:space="preserve"> </w:t>
      </w:r>
      <w:r>
        <w:t xml:space="preserve">此外，《国家新闻出版广电总局关于规范报刊单位及其所办新媒体采编管理的通知》(2017)、《网络视听节目内容审核通则》（2017）等专门性法律法规均强调</w:t>
      </w:r>
      <w:r>
        <w:t xml:space="preserve">“</w:t>
      </w:r>
      <w:r>
        <w:t xml:space="preserve">新兴媒体不仅要发挥充分语言的吸引力和传播力，也要发挥语言文字对发展积极向上的网络文化、净化网络环境的重要作用</w:t>
      </w:r>
      <w:r>
        <w:t xml:space="preserve">”</w:t>
      </w:r>
      <w:r>
        <w:t xml:space="preserve">。</w:t>
      </w:r>
      <w:r>
        <w:t xml:space="preserve"> </w:t>
      </w:r>
      <w:r>
        <w:t xml:space="preserve">这些具有针对性的语言规划为我国新媒体行业的语言文字使用提供了切实可行的规范。</w:t>
      </w:r>
    </w:p>
    <w:p>
      <w:pPr>
        <w:pStyle w:val="a0"/>
      </w:pPr>
      <w:r>
        <w:t xml:space="preserve">信息技术的变革使得新媒体的语言影响力正在超越传统媒体，进而导致新媒体广泛参与社会治理的同时，其自身也成为社会治理的一环</w:t>
      </w:r>
      <w:r>
        <w:t xml:space="preserve">(</w:t>
      </w:r>
      <w:hyperlink w:anchor="ref-LiSongLin2021">
        <w:r>
          <w:rPr>
            <w:rStyle w:val="ae"/>
          </w:rPr>
          <w:t xml:space="preserve">李松林, 2021</w:t>
        </w:r>
      </w:hyperlink>
      <w:r>
        <w:t xml:space="preserve">)</w:t>
      </w:r>
      <w:r>
        <w:t xml:space="preserve">。</w:t>
      </w:r>
      <w:r>
        <w:t xml:space="preserve"> </w:t>
      </w:r>
      <w:r>
        <w:t xml:space="preserve">我们现有的以传统媒体为主要治理对象的媒体语言政策，需要更多关注新媒体时代的语言和语言生活，积极统筹各方力量，使政府、社会、公众形成治理共同体，加强各主体之间的督促、衔接和协调，实现媒体语言治理的资源整合和力量融合，构建新媒体治理格局。</w:t>
      </w:r>
    </w:p>
    <w:bookmarkEnd w:id="32"/>
    <w:bookmarkEnd w:id="33"/>
    <w:bookmarkStart w:id="113" w:name="总结与讨论"/>
    <w:p>
      <w:pPr>
        <w:pStyle w:val="1"/>
      </w:pPr>
      <w:r>
        <w:t xml:space="preserve">总结与讨论</w:t>
      </w:r>
    </w:p>
    <w:p>
      <w:pPr>
        <w:pStyle w:val="FirstParagraph"/>
      </w:pPr>
      <w:r>
        <w:t xml:space="preserve">本文从语言政治学视角归纳了语言公共政策对国家治理、群体治理以及个体治理的重要性，揭示了语言影响的长期性、广泛性和复杂性，呈现了语言规划影响社会成员政治社会生活和取向的多层次、多面向影响，为我们在较大范围内从事理论概括和理论创新提供了坚实基础。</w:t>
      </w:r>
    </w:p>
    <w:p>
      <w:pPr>
        <w:pStyle w:val="a0"/>
      </w:pPr>
      <w:r>
        <w:t xml:space="preserve">本研究归纳了语言治理的三种实施途径，即阐释政策规范、调整族群关系以及加强心理引导。</w:t>
      </w:r>
      <w:r>
        <w:t xml:space="preserve"> </w:t>
      </w:r>
      <w:r>
        <w:t xml:space="preserve">虽然有关研究已被语言学和教育学领域的学者所关注，但本文从政治学视角提供了有关语言治理的实现机制，体现了基于语言功能的不同治理策略，为思考如何切实实现民族平等、有效引导公民参与、提升治理效率、降低治理难度，提供新思路。</w:t>
      </w:r>
      <w:r>
        <w:t xml:space="preserve"> </w:t>
      </w:r>
      <w:r>
        <w:t xml:space="preserve">本研究从城市治理、乡村振兴与共同富裕、新媒体治理三个方面探讨了语言治理与新时期中国政治发展的关系，厘清当前国内语言治理的三个维度，这些梳理有助于加深对语言政治和语言规划的理解，为制定合理的语言、教育政策提供借鉴，在学术和治理实践上都具有重要启示：</w:t>
      </w:r>
    </w:p>
    <w:p>
      <w:pPr>
        <w:pStyle w:val="a0"/>
      </w:pPr>
      <w:r>
        <w:t xml:space="preserve">首先，坚持党的领导。</w:t>
      </w:r>
      <w:r>
        <w:t xml:space="preserve"> </w:t>
      </w:r>
      <w:r>
        <w:t xml:space="preserve">语言治理是一个广泛的社会政治调控过程，其中包含对中国历史、中国国情、中国实践的全面把握，包括对各个国家机关、党政机关的动员组织，是带有全局性、战略性、根本性和长期性的重大任务，只有坚持党中央的集中统一领导，才能有效总揽全局、协调各方，制定正确的语言规划和发展战略，推进中国特色社会治理，构建良好社会氛围、稳定政治秩序，实现语言治理现代化。</w:t>
      </w:r>
    </w:p>
    <w:p>
      <w:pPr>
        <w:pStyle w:val="a0"/>
      </w:pPr>
      <w:r>
        <w:t xml:space="preserve">其次，服务于国家总体目标。作为国家公共政策的组成部分，国家语言政策的制定及实施应基于国家治理理念和总体目标。</w:t>
      </w:r>
      <w:r>
        <w:t xml:space="preserve"> </w:t>
      </w:r>
      <w:r>
        <w:t xml:space="preserve">习近平总书记指出，要构建集政治安全、国土安全、军事安全、经济安全、文化安全、社会安全、科技安全、信息安全、生态安全、资源安全、核安全等于一体的总体国家安全观。本研究揭示，语言安全不仅是文化安全的重要组成部分，更对政治安全和社会安全具有重要影响。这我们需要更加全面地研究公众语言规划（包括公众外语政策、民族语言政策）对于国家治理的影响，探讨语言规划有效促进国家治理的可能形态，使语言规划更好地为国家总体目标的实现服务，为中华民族共同体和人类命运共同体的建构贡献更多力量。</w:t>
      </w:r>
    </w:p>
    <w:p>
      <w:pPr>
        <w:pStyle w:val="a0"/>
      </w:pPr>
      <w:r>
        <w:t xml:space="preserve">再次，注重群体身份塑造。语言是最重要的群体属性之一，能够凝聚和强化群体意识，增强群体认同感。</w:t>
      </w:r>
      <w:r>
        <w:t xml:space="preserve"> </w:t>
      </w:r>
      <w:r>
        <w:t xml:space="preserve">当前，社会分化严重、社会矛盾突出，群体间对公共资源、国家机构，特别是语言规划控制权的争夺日益激烈，极其容易引发群体事件，影响社会秩序稳定。国家治理需要注重语言对群体身份的塑造作用，运用语言治理</w:t>
      </w:r>
      <w:r>
        <w:t xml:space="preserve">“</w:t>
      </w:r>
      <w:r>
        <w:t xml:space="preserve">润物细无声</w:t>
      </w:r>
      <w:r>
        <w:t xml:space="preserve">”</w:t>
      </w:r>
      <w:r>
        <w:t xml:space="preserve">的调控功能，对民众心理状态进行潜移默化而又具有持续性的调整和培养，调节个体社会成员的自我定位和人际关系，促进群体间心理融合，避免话语冲突导致严重的政治冲突。</w:t>
      </w:r>
    </w:p>
    <w:p>
      <w:pPr>
        <w:pStyle w:val="a0"/>
      </w:pPr>
      <w:r>
        <w:t xml:space="preserve">最后，明确推广普通话的目的和效果。</w:t>
      </w:r>
      <w:r>
        <w:t xml:space="preserve"> </w:t>
      </w:r>
      <w:r>
        <w:t xml:space="preserve">对于中国这个多方言国家来说，普通话是进行现代国家治理不可或缺的语言工具，但一旦过分推行通用语，导致方言和少数民族语言式微，那么语言治理的效果也必会随之降低，尤其在地方意识或族群文化比较浓厚的地区，如果仅一味强调通用语，将很可能适得其反。并且，目前推广普通话只是聚焦于语音、语调层面的推广</w:t>
      </w:r>
      <w:r>
        <w:t xml:space="preserve">(</w:t>
      </w:r>
      <w:hyperlink w:anchor="ref-LuZiWen2008">
        <w:r>
          <w:rPr>
            <w:rStyle w:val="ae"/>
          </w:rPr>
          <w:t xml:space="preserve">鲁子问, 2008</w:t>
        </w:r>
      </w:hyperlink>
      <w:r>
        <w:t xml:space="preserve">)</w:t>
      </w:r>
      <w:r>
        <w:t xml:space="preserve">，国民是否能从语义这个根本目的上理解通用语治理与方言保护之间的非对立性有待考察。这要求我们明确推广普通话的目的和效果，妥善处理推行通用语与保护地方方言、少数民族语言的关系，平衡建立低成本交流环境与合理利用地方文化资源的关系，切实保障语言权利，解决语言问题，构建和谐语言生活。</w:t>
      </w:r>
    </w:p>
    <w:bookmarkStart w:id="112" w:name="refs"/>
    <w:bookmarkStart w:id="34" w:name="ref-Anthony2002"/>
    <w:p>
      <w:pPr>
        <w:pStyle w:val="a8"/>
      </w:pPr>
      <w:r>
        <w:t xml:space="preserve">Anthony, S. (2002).</w:t>
      </w:r>
      <w:r>
        <w:t xml:space="preserve"> </w:t>
      </w:r>
      <w:r>
        <w:rPr>
          <w:iCs/>
          <w:i/>
        </w:rPr>
        <w:t xml:space="preserve">全球化时代的民族与民族主义</w:t>
      </w:r>
      <w:r>
        <w:t xml:space="preserve"> </w:t>
      </w:r>
      <w:r>
        <w:t xml:space="preserve">(龚维斌 &amp; 良警宇, Trans.).</w:t>
      </w:r>
      <w:r>
        <w:t xml:space="preserve"> </w:t>
      </w:r>
      <w:r>
        <w:t xml:space="preserve">中央编译</w:t>
      </w:r>
      <w:r>
        <w:t xml:space="preserve">.</w:t>
      </w:r>
    </w:p>
    <w:bookmarkEnd w:id="34"/>
    <w:bookmarkStart w:id="35" w:name="ref-Benedict2005"/>
    <w:p>
      <w:pPr>
        <w:pStyle w:val="a8"/>
      </w:pPr>
      <w:r>
        <w:t xml:space="preserve">Benedict, A. (2005).</w:t>
      </w:r>
      <w:r>
        <w:t xml:space="preserve"> </w:t>
      </w:r>
      <w:r>
        <w:rPr>
          <w:iCs/>
          <w:i/>
        </w:rPr>
        <w:t xml:space="preserve">想象的共同体</w:t>
      </w:r>
      <w:r>
        <w:t xml:space="preserve"> </w:t>
      </w:r>
      <w:r>
        <w:t xml:space="preserve">(吴叡人., Trans.).</w:t>
      </w:r>
      <w:r>
        <w:t xml:space="preserve"> </w:t>
      </w:r>
      <w:r>
        <w:t xml:space="preserve">上海人民出版社</w:t>
      </w:r>
      <w:r>
        <w:t xml:space="preserve">.</w:t>
      </w:r>
    </w:p>
    <w:bookmarkEnd w:id="35"/>
    <w:bookmarkStart w:id="36" w:name="ref-CookLiu2016"/>
    <w:p>
      <w:pPr>
        <w:pStyle w:val="a8"/>
      </w:pPr>
      <w:r>
        <w:t xml:space="preserve">Cook, T., &amp; Liu, A. (2016). Using</w:t>
      </w:r>
      <w:r>
        <w:t xml:space="preserve"> </w:t>
      </w:r>
      <w:r>
        <w:t xml:space="preserve">Linguistic Networks</w:t>
      </w:r>
      <w:r>
        <w:t xml:space="preserve"> </w:t>
      </w:r>
      <w:r>
        <w:t xml:space="preserve">to</w:t>
      </w:r>
      <w:r>
        <w:t xml:space="preserve"> </w:t>
      </w:r>
      <w:r>
        <w:t xml:space="preserve">Explain Strength</w:t>
      </w:r>
      <w:r>
        <w:t xml:space="preserve"> </w:t>
      </w:r>
      <w:r>
        <w:t xml:space="preserve">of</w:t>
      </w:r>
      <w:r>
        <w:t xml:space="preserve"> </w:t>
      </w:r>
      <w:r>
        <w:t xml:space="preserve">Intellectual Property Rights</w:t>
      </w:r>
      <w:r>
        <w:t xml:space="preserve">.</w:t>
      </w:r>
      <w:r>
        <w:t xml:space="preserve"> </w:t>
      </w:r>
      <w:r>
        <w:rPr>
          <w:iCs/>
          <w:i/>
        </w:rPr>
        <w:t xml:space="preserve">World Development</w:t>
      </w:r>
      <w:r>
        <w:t xml:space="preserve">,</w:t>
      </w:r>
      <w:r>
        <w:t xml:space="preserve"> </w:t>
      </w:r>
      <w:r>
        <w:rPr>
          <w:iCs/>
          <w:i/>
        </w:rPr>
        <w:t xml:space="preserve">87</w:t>
      </w:r>
      <w:r>
        <w:t xml:space="preserve">, 128–138.</w:t>
      </w:r>
    </w:p>
    <w:bookmarkEnd w:id="36"/>
    <w:bookmarkStart w:id="38" w:name="ref-Cummings2019"/>
    <w:p>
      <w:pPr>
        <w:pStyle w:val="a8"/>
      </w:pPr>
      <w:r>
        <w:t xml:space="preserve">Cummings, M. (2019). Developing systemic functional linguistics:</w:t>
      </w:r>
      <w:r>
        <w:t xml:space="preserve"> </w:t>
      </w:r>
      <w:r>
        <w:t xml:space="preserve">Theory</w:t>
      </w:r>
      <w:r>
        <w:t xml:space="preserve"> </w:t>
      </w:r>
      <w:r>
        <w:t xml:space="preserve">and application.</w:t>
      </w:r>
      <w:r>
        <w:t xml:space="preserve"> </w:t>
      </w:r>
      <w:r>
        <w:rPr>
          <w:iCs/>
          <w:i/>
        </w:rPr>
        <w:t xml:space="preserve">Word</w:t>
      </w:r>
      <w:r>
        <w:t xml:space="preserve">,</w:t>
      </w:r>
      <w:r>
        <w:t xml:space="preserve"> </w:t>
      </w:r>
      <w:r>
        <w:rPr>
          <w:iCs/>
          <w:i/>
        </w:rPr>
        <w:t xml:space="preserve">65</w:t>
      </w:r>
      <w:r>
        <w:t xml:space="preserve">(2), 135–138.</w:t>
      </w:r>
      <w:r>
        <w:t xml:space="preserve"> </w:t>
      </w:r>
      <w:hyperlink r:id="rId37">
        <w:r>
          <w:rPr>
            <w:rStyle w:val="ae"/>
          </w:rPr>
          <w:t xml:space="preserve">https://doi.org/10.1080/00437956.2019.1615708</w:t>
        </w:r>
      </w:hyperlink>
    </w:p>
    <w:bookmarkEnd w:id="38"/>
    <w:bookmarkStart w:id="40" w:name="ref-DustmannFabbri2003"/>
    <w:p>
      <w:pPr>
        <w:pStyle w:val="a8"/>
      </w:pPr>
      <w:r>
        <w:t xml:space="preserve">Dustmann, C., &amp; Fabbri, F. (2003). Language</w:t>
      </w:r>
      <w:r>
        <w:t xml:space="preserve"> </w:t>
      </w:r>
      <w:r>
        <w:t xml:space="preserve">Proficiency</w:t>
      </w:r>
      <w:r>
        <w:t xml:space="preserve"> </w:t>
      </w:r>
      <w:r>
        <w:t xml:space="preserve">and</w:t>
      </w:r>
      <w:r>
        <w:t xml:space="preserve"> </w:t>
      </w:r>
      <w:r>
        <w:t xml:space="preserve">Labour Market Performance</w:t>
      </w:r>
      <w:r>
        <w:t xml:space="preserve"> </w:t>
      </w:r>
      <w:r>
        <w:t xml:space="preserve">of</w:t>
      </w:r>
      <w:r>
        <w:t xml:space="preserve"> </w:t>
      </w:r>
      <w:r>
        <w:t xml:space="preserve">Immigrants</w:t>
      </w:r>
      <w:r>
        <w:t xml:space="preserve"> </w:t>
      </w:r>
      <w:r>
        <w:t xml:space="preserve">in the</w:t>
      </w:r>
      <w:r>
        <w:t xml:space="preserve"> </w:t>
      </w:r>
      <w:r>
        <w:t xml:space="preserve">UK</w:t>
      </w:r>
      <w:r>
        <w:t xml:space="preserve">.</w:t>
      </w:r>
      <w:r>
        <w:t xml:space="preserve"> </w:t>
      </w:r>
      <w:r>
        <w:rPr>
          <w:iCs/>
          <w:i/>
        </w:rPr>
        <w:t xml:space="preserve">The Economic Journal</w:t>
      </w:r>
      <w:r>
        <w:t xml:space="preserve">,</w:t>
      </w:r>
      <w:r>
        <w:t xml:space="preserve"> </w:t>
      </w:r>
      <w:r>
        <w:rPr>
          <w:iCs/>
          <w:i/>
        </w:rPr>
        <w:t xml:space="preserve">113</w:t>
      </w:r>
      <w:r>
        <w:t xml:space="preserve">(489), 695–717.</w:t>
      </w:r>
      <w:r>
        <w:t xml:space="preserve"> </w:t>
      </w:r>
      <w:hyperlink r:id="rId39">
        <w:r>
          <w:rPr>
            <w:rStyle w:val="ae"/>
          </w:rPr>
          <w:t xml:space="preserve">https://doi.org/10.1111/1468-0297.t01-1-00151</w:t>
        </w:r>
      </w:hyperlink>
    </w:p>
    <w:bookmarkEnd w:id="40"/>
    <w:bookmarkStart w:id="41" w:name="ref-Giddens2000"/>
    <w:p>
      <w:pPr>
        <w:pStyle w:val="a8"/>
      </w:pPr>
      <w:r>
        <w:t xml:space="preserve">Giddens, A. (2000).</w:t>
      </w:r>
      <w:r>
        <w:t xml:space="preserve"> </w:t>
      </w:r>
      <w:r>
        <w:rPr>
          <w:iCs/>
          <w:i/>
        </w:rPr>
        <w:t xml:space="preserve">现代性的后果</w:t>
      </w:r>
      <w:r>
        <w:t xml:space="preserve"> </w:t>
      </w:r>
      <w:r>
        <w:t xml:space="preserve">(田禾, Trans.).</w:t>
      </w:r>
      <w:r>
        <w:t xml:space="preserve"> </w:t>
      </w:r>
      <w:r>
        <w:t xml:space="preserve">译林出版社</w:t>
      </w:r>
      <w:r>
        <w:t xml:space="preserve">.</w:t>
      </w:r>
    </w:p>
    <w:bookmarkEnd w:id="41"/>
    <w:bookmarkStart w:id="42" w:name="ref-GuoWen2007"/>
    <w:p>
      <w:pPr>
        <w:pStyle w:val="a8"/>
      </w:pPr>
      <w:r>
        <w:t xml:space="preserve">GuoWen, H. (2007). Aims and principles for systemic functional syntax analysis.</w:t>
      </w:r>
      <w:r>
        <w:t xml:space="preserve"> </w:t>
      </w:r>
      <w:r>
        <w:rPr>
          <w:iCs/>
          <w:i/>
        </w:rPr>
        <w:t xml:space="preserve">Foreign Language Research</w:t>
      </w:r>
      <w:r>
        <w:t xml:space="preserve">,</w:t>
      </w:r>
      <w:r>
        <w:t xml:space="preserve"> </w:t>
      </w:r>
      <w:r>
        <w:rPr>
          <w:iCs/>
          <w:i/>
        </w:rPr>
        <w:t xml:space="preserve">3</w:t>
      </w:r>
      <w:r>
        <w:t xml:space="preserve">, 39–45.</w:t>
      </w:r>
    </w:p>
    <w:bookmarkEnd w:id="42"/>
    <w:bookmarkStart w:id="44" w:name="ref-HallidayEtAl1964"/>
    <w:p>
      <w:pPr>
        <w:pStyle w:val="a8"/>
      </w:pPr>
      <w:r>
        <w:t xml:space="preserve">Halliday, M., Brown, T., &amp; McIntosh, A. (1964). The</w:t>
      </w:r>
      <w:r>
        <w:t xml:space="preserve"> </w:t>
      </w:r>
      <w:r>
        <w:t xml:space="preserve">Linguistic Sciences</w:t>
      </w:r>
      <w:r>
        <w:t xml:space="preserve"> </w:t>
      </w:r>
      <w:r>
        <w:t xml:space="preserve">and</w:t>
      </w:r>
      <w:r>
        <w:t xml:space="preserve"> </w:t>
      </w:r>
      <w:r>
        <w:t xml:space="preserve">Language Teaching</w:t>
      </w:r>
      <w:r>
        <w:t xml:space="preserve">.</w:t>
      </w:r>
      <w:r>
        <w:t xml:space="preserve"> </w:t>
      </w:r>
      <w:r>
        <w:rPr>
          <w:iCs/>
          <w:i/>
        </w:rPr>
        <w:t xml:space="preserve">The Modern Language Review</w:t>
      </w:r>
      <w:r>
        <w:t xml:space="preserve">,</w:t>
      </w:r>
      <w:r>
        <w:t xml:space="preserve"> </w:t>
      </w:r>
      <w:r>
        <w:rPr>
          <w:iCs/>
          <w:i/>
        </w:rPr>
        <w:t xml:space="preserve">62</w:t>
      </w:r>
      <w:r>
        <w:t xml:space="preserve">(1), 106.</w:t>
      </w:r>
      <w:r>
        <w:t xml:space="preserve"> </w:t>
      </w:r>
      <w:hyperlink r:id="rId43">
        <w:r>
          <w:rPr>
            <w:rStyle w:val="ae"/>
          </w:rPr>
          <w:t xml:space="preserve">https://www.researchgate.net/publication/270196760_The_Linguistic_Sciences_and_Language_Teaching</w:t>
        </w:r>
      </w:hyperlink>
    </w:p>
    <w:bookmarkEnd w:id="44"/>
    <w:bookmarkStart w:id="45" w:name="ref-Hu2019"/>
    <w:p>
      <w:pPr>
        <w:pStyle w:val="a8"/>
      </w:pPr>
      <w:r>
        <w:t xml:space="preserve">Hu, Y. (2019). Refocusing democracy:</w:t>
      </w:r>
      <w:r>
        <w:t xml:space="preserve"> </w:t>
      </w:r>
      <w:r>
        <w:t xml:space="preserve">The Chinese</w:t>
      </w:r>
      <w:r>
        <w:t xml:space="preserve"> </w:t>
      </w:r>
      <w:r>
        <w:t xml:space="preserve">government’s framing strategy in political language:</w:t>
      </w:r>
      <w:r>
        <w:t xml:space="preserve"> </w:t>
      </w:r>
      <w:r>
        <w:t xml:space="preserve">Democratization</w:t>
      </w:r>
      <w:r>
        <w:t xml:space="preserve">.</w:t>
      </w:r>
      <w:r>
        <w:t xml:space="preserve"> </w:t>
      </w:r>
      <w:r>
        <w:rPr>
          <w:iCs/>
          <w:i/>
        </w:rPr>
        <w:t xml:space="preserve">Democratization</w:t>
      </w:r>
      <w:r>
        <w:t xml:space="preserve">,</w:t>
      </w:r>
      <w:r>
        <w:t xml:space="preserve"> </w:t>
      </w:r>
      <w:r>
        <w:rPr>
          <w:iCs/>
          <w:i/>
        </w:rPr>
        <w:t xml:space="preserve">27</w:t>
      </w:r>
      <w:r>
        <w:t xml:space="preserve">(2), 302–320.</w:t>
      </w:r>
    </w:p>
    <w:bookmarkEnd w:id="45"/>
    <w:bookmarkStart w:id="47" w:name="ref-Hu2020b"/>
    <w:p>
      <w:pPr>
        <w:pStyle w:val="a8"/>
      </w:pPr>
      <w:r>
        <w:t xml:space="preserve">Hu, Y. (2020). Refocusing</w:t>
      </w:r>
      <w:r>
        <w:t xml:space="preserve"> </w:t>
      </w:r>
      <w:r>
        <w:t xml:space="preserve">Democracy</w:t>
      </w:r>
      <w:r>
        <w:t xml:space="preserve">:</w:t>
      </w:r>
      <w:r>
        <w:t xml:space="preserve"> </w:t>
      </w:r>
      <w:r>
        <w:t xml:space="preserve">The Chinese Government</w:t>
      </w:r>
      <w:r>
        <w:t xml:space="preserve">’s</w:t>
      </w:r>
      <w:r>
        <w:t xml:space="preserve"> </w:t>
      </w:r>
      <w:r>
        <w:t xml:space="preserve">Framing Strategy</w:t>
      </w:r>
      <w:r>
        <w:t xml:space="preserve"> </w:t>
      </w:r>
      <w:r>
        <w:t xml:space="preserve">in</w:t>
      </w:r>
      <w:r>
        <w:t xml:space="preserve"> </w:t>
      </w:r>
      <w:r>
        <w:t xml:space="preserve">Political Language</w:t>
      </w:r>
      <w:r>
        <w:t xml:space="preserve">.</w:t>
      </w:r>
      <w:r>
        <w:t xml:space="preserve"> </w:t>
      </w:r>
      <w:r>
        <w:rPr>
          <w:iCs/>
          <w:i/>
        </w:rPr>
        <w:t xml:space="preserve">Democratization</w:t>
      </w:r>
      <w:r>
        <w:t xml:space="preserve">,</w:t>
      </w:r>
      <w:r>
        <w:t xml:space="preserve"> </w:t>
      </w:r>
      <w:r>
        <w:rPr>
          <w:iCs/>
          <w:i/>
        </w:rPr>
        <w:t xml:space="preserve">72</w:t>
      </w:r>
      <w:r>
        <w:t xml:space="preserve">(2, 2), 302–320.</w:t>
      </w:r>
      <w:r>
        <w:t xml:space="preserve"> </w:t>
      </w:r>
      <w:hyperlink r:id="rId46">
        <w:r>
          <w:rPr>
            <w:rStyle w:val="ae"/>
          </w:rPr>
          <w:t xml:space="preserve">https://doi.org/10.1080/13510347.2019.1690461</w:t>
        </w:r>
      </w:hyperlink>
    </w:p>
    <w:bookmarkEnd w:id="47"/>
    <w:bookmarkStart w:id="49" w:name="ref-HuLiu2020"/>
    <w:p>
      <w:pPr>
        <w:pStyle w:val="a8"/>
      </w:pPr>
      <w:r>
        <w:t xml:space="preserve">Hu, Y., &amp; Liu, A. H. (2020). The</w:t>
      </w:r>
      <w:r>
        <w:t xml:space="preserve"> </w:t>
      </w:r>
      <w:r>
        <w:t xml:space="preserve">Effects</w:t>
      </w:r>
      <w:r>
        <w:t xml:space="preserve"> </w:t>
      </w:r>
      <w:r>
        <w:t xml:space="preserve">of</w:t>
      </w:r>
      <w:r>
        <w:t xml:space="preserve"> </w:t>
      </w:r>
      <w:r>
        <w:t xml:space="preserve">Foreign Language Proficiency</w:t>
      </w:r>
      <w:r>
        <w:t xml:space="preserve"> </w:t>
      </w:r>
      <w:r>
        <w:t xml:space="preserve">on</w:t>
      </w:r>
      <w:r>
        <w:t xml:space="preserve"> </w:t>
      </w:r>
      <w:r>
        <w:t xml:space="preserve">Public Attitudes</w:t>
      </w:r>
      <w:r>
        <w:t xml:space="preserve">:</w:t>
      </w:r>
      <w:r>
        <w:t xml:space="preserve"> </w:t>
      </w:r>
      <w:r>
        <w:t xml:space="preserve">Evidence</w:t>
      </w:r>
      <w:r>
        <w:t xml:space="preserve"> </w:t>
      </w:r>
      <w:r>
        <w:t xml:space="preserve">from the</w:t>
      </w:r>
      <w:r>
        <w:t xml:space="preserve"> </w:t>
      </w:r>
      <w:r>
        <w:t xml:space="preserve">Chinese-Speaking World</w:t>
      </w:r>
      <w:r>
        <w:t xml:space="preserve">.</w:t>
      </w:r>
      <w:r>
        <w:t xml:space="preserve"> </w:t>
      </w:r>
      <w:r>
        <w:rPr>
          <w:iCs/>
          <w:i/>
        </w:rPr>
        <w:t xml:space="preserve">Journal of East Asian Studies</w:t>
      </w:r>
      <w:r>
        <w:t xml:space="preserve">,</w:t>
      </w:r>
      <w:r>
        <w:t xml:space="preserve"> </w:t>
      </w:r>
      <w:r>
        <w:rPr>
          <w:iCs/>
          <w:i/>
        </w:rPr>
        <w:t xml:space="preserve">20</w:t>
      </w:r>
      <w:r>
        <w:t xml:space="preserve">(1, 1), 1–23.</w:t>
      </w:r>
      <w:r>
        <w:t xml:space="preserve"> </w:t>
      </w:r>
      <w:hyperlink r:id="rId48">
        <w:r>
          <w:rPr>
            <w:rStyle w:val="ae"/>
          </w:rPr>
          <w:t xml:space="preserve">https://doi.org/10.1017/jea.2019.41</w:t>
        </w:r>
      </w:hyperlink>
    </w:p>
    <w:bookmarkEnd w:id="49"/>
    <w:bookmarkStart w:id="51" w:name="ref-KathrynKendall2017"/>
    <w:p>
      <w:pPr>
        <w:pStyle w:val="a8"/>
      </w:pPr>
      <w:r>
        <w:t xml:space="preserve">Kathryn, S., &amp; Kendall, K. (2017). Language</w:t>
      </w:r>
      <w:r>
        <w:t xml:space="preserve"> </w:t>
      </w:r>
      <w:r>
        <w:t xml:space="preserve">Planning</w:t>
      </w:r>
      <w:r>
        <w:t xml:space="preserve"> </w:t>
      </w:r>
      <w:r>
        <w:t xml:space="preserve">and</w:t>
      </w:r>
      <w:r>
        <w:t xml:space="preserve"> </w:t>
      </w:r>
      <w:r>
        <w:t xml:space="preserve">Policy</w:t>
      </w:r>
      <w:r>
        <w:t xml:space="preserve">. In</w:t>
      </w:r>
      <w:r>
        <w:t xml:space="preserve"> </w:t>
      </w:r>
      <w:r>
        <w:rPr>
          <w:iCs/>
          <w:i/>
        </w:rPr>
        <w:t xml:space="preserve">The</w:t>
      </w:r>
      <w:r>
        <w:rPr>
          <w:iCs/>
          <w:i/>
        </w:rPr>
        <w:t xml:space="preserve"> </w:t>
      </w:r>
      <w:r>
        <w:rPr>
          <w:iCs/>
          <w:i/>
        </w:rPr>
        <w:t xml:space="preserve">Handbook</w:t>
      </w:r>
      <w:r>
        <w:rPr>
          <w:iCs/>
          <w:i/>
        </w:rPr>
        <w:t xml:space="preserve"> </w:t>
      </w:r>
      <w:r>
        <w:rPr>
          <w:iCs/>
          <w:i/>
        </w:rPr>
        <w:t xml:space="preserve">of</w:t>
      </w:r>
      <w:r>
        <w:rPr>
          <w:iCs/>
          <w:i/>
        </w:rPr>
        <w:t xml:space="preserve"> </w:t>
      </w:r>
      <w:r>
        <w:rPr>
          <w:iCs/>
          <w:i/>
        </w:rPr>
        <w:t xml:space="preserve">Linguistics</w:t>
      </w:r>
      <w:r>
        <w:t xml:space="preserve"> </w:t>
      </w:r>
      <w:r>
        <w:t xml:space="preserve">(pp. 655–673).</w:t>
      </w:r>
      <w:r>
        <w:t xml:space="preserve"> </w:t>
      </w:r>
      <w:r>
        <w:t xml:space="preserve">John Wiley &amp; Sons, Ltd</w:t>
      </w:r>
      <w:r>
        <w:t xml:space="preserve">.</w:t>
      </w:r>
      <w:r>
        <w:t xml:space="preserve"> </w:t>
      </w:r>
      <w:hyperlink r:id="rId50">
        <w:r>
          <w:rPr>
            <w:rStyle w:val="ae"/>
          </w:rPr>
          <w:t xml:space="preserve">https://doi.org/10.1002/9781119072256.ch33</w:t>
        </w:r>
      </w:hyperlink>
    </w:p>
    <w:bookmarkEnd w:id="51"/>
    <w:bookmarkStart w:id="53" w:name="ref-Laitin1977"/>
    <w:p>
      <w:pPr>
        <w:pStyle w:val="a8"/>
      </w:pPr>
      <w:r>
        <w:t xml:space="preserve">Laitin, D. (1977). Politics,</w:t>
      </w:r>
      <w:r>
        <w:t xml:space="preserve"> </w:t>
      </w:r>
      <w:r>
        <w:t xml:space="preserve">Language</w:t>
      </w:r>
      <w:r>
        <w:t xml:space="preserve">, and</w:t>
      </w:r>
      <w:r>
        <w:t xml:space="preserve"> </w:t>
      </w:r>
      <w:r>
        <w:t xml:space="preserve">Thought</w:t>
      </w:r>
      <w:r>
        <w:t xml:space="preserve">:</w:t>
      </w:r>
      <w:r>
        <w:t xml:space="preserve"> </w:t>
      </w:r>
      <w:r>
        <w:t xml:space="preserve">The Somali Experience</w:t>
      </w:r>
      <w:r>
        <w:t xml:space="preserve">.</w:t>
      </w:r>
      <w:r>
        <w:t xml:space="preserve"> </w:t>
      </w:r>
      <w:r>
        <w:rPr>
          <w:iCs/>
          <w:i/>
        </w:rPr>
        <w:t xml:space="preserve">American Ethnologist</w:t>
      </w:r>
      <w:r>
        <w:t xml:space="preserve">,</w:t>
      </w:r>
      <w:r>
        <w:t xml:space="preserve"> </w:t>
      </w:r>
      <w:r>
        <w:rPr>
          <w:iCs/>
          <w:i/>
        </w:rPr>
        <w:t xml:space="preserve">5</w:t>
      </w:r>
      <w:r>
        <w:t xml:space="preserve">(4), 797–799.</w:t>
      </w:r>
      <w:r>
        <w:t xml:space="preserve"> </w:t>
      </w:r>
      <w:hyperlink r:id="rId52">
        <w:r>
          <w:rPr>
            <w:rStyle w:val="ae"/>
          </w:rPr>
          <w:t xml:space="preserve">https://doi.org/10.1525/ae.1978.5.4.02a00130</w:t>
        </w:r>
      </w:hyperlink>
    </w:p>
    <w:bookmarkEnd w:id="53"/>
    <w:bookmarkStart w:id="54" w:name="ref-LiangEtAl2018"/>
    <w:p>
      <w:pPr>
        <w:pStyle w:val="a8"/>
      </w:pPr>
      <w:r>
        <w:t xml:space="preserve">Liang, H., Marquis, C., Renneboog, L., &amp; Sun, S. L. (2018). Future-</w:t>
      </w:r>
      <w:r>
        <w:t xml:space="preserve">Time Framing</w:t>
      </w:r>
      <w:r>
        <w:t xml:space="preserve">:</w:t>
      </w:r>
      <w:r>
        <w:t xml:space="preserve"> </w:t>
      </w:r>
      <w:r>
        <w:t xml:space="preserve">The Effect</w:t>
      </w:r>
      <w:r>
        <w:t xml:space="preserve"> </w:t>
      </w:r>
      <w:r>
        <w:t xml:space="preserve">of</w:t>
      </w:r>
      <w:r>
        <w:t xml:space="preserve"> </w:t>
      </w:r>
      <w:r>
        <w:t xml:space="preserve">Language</w:t>
      </w:r>
      <w:r>
        <w:t xml:space="preserve"> </w:t>
      </w:r>
      <w:r>
        <w:t xml:space="preserve">on</w:t>
      </w:r>
      <w:r>
        <w:t xml:space="preserve"> </w:t>
      </w:r>
      <w:r>
        <w:t xml:space="preserve">Corporate Future Orientation</w:t>
      </w:r>
      <w:r>
        <w:t xml:space="preserve">.</w:t>
      </w:r>
      <w:r>
        <w:t xml:space="preserve"> </w:t>
      </w:r>
      <w:r>
        <w:rPr>
          <w:iCs/>
          <w:i/>
        </w:rPr>
        <w:t xml:space="preserve">Organization Science</w:t>
      </w:r>
      <w:r>
        <w:t xml:space="preserve">,</w:t>
      </w:r>
      <w:r>
        <w:t xml:space="preserve"> </w:t>
      </w:r>
      <w:r>
        <w:rPr>
          <w:iCs/>
          <w:i/>
        </w:rPr>
        <w:t xml:space="preserve">29</w:t>
      </w:r>
      <w:r>
        <w:t xml:space="preserve">(6), 1093–1111.</w:t>
      </w:r>
    </w:p>
    <w:bookmarkEnd w:id="54"/>
    <w:bookmarkStart w:id="55" w:name="ref-Liu2015"/>
    <w:p>
      <w:pPr>
        <w:pStyle w:val="a8"/>
      </w:pPr>
      <w:r>
        <w:t xml:space="preserve">Liu, A. (2015).</w:t>
      </w:r>
      <w:r>
        <w:t xml:space="preserve"> </w:t>
      </w:r>
      <w:r>
        <w:rPr>
          <w:iCs/>
          <w:i/>
        </w:rPr>
        <w:t xml:space="preserve">Standardizing</w:t>
      </w:r>
      <w:r>
        <w:rPr>
          <w:iCs/>
          <w:i/>
        </w:rPr>
        <w:t xml:space="preserve"> </w:t>
      </w:r>
      <w:r>
        <w:rPr>
          <w:iCs/>
          <w:i/>
        </w:rPr>
        <w:t xml:space="preserve">Diversity</w:t>
      </w:r>
      <w:r>
        <w:rPr>
          <w:iCs/>
          <w:i/>
        </w:rPr>
        <w:t xml:space="preserve">:</w:t>
      </w:r>
      <w:r>
        <w:rPr>
          <w:iCs/>
          <w:i/>
        </w:rPr>
        <w:t xml:space="preserve"> </w:t>
      </w:r>
      <w:r>
        <w:rPr>
          <w:iCs/>
          <w:i/>
        </w:rPr>
        <w:t xml:space="preserve">The Political Economy</w:t>
      </w:r>
      <w:r>
        <w:rPr>
          <w:iCs/>
          <w:i/>
        </w:rPr>
        <w:t xml:space="preserve"> </w:t>
      </w:r>
      <w:r>
        <w:rPr>
          <w:iCs/>
          <w:i/>
        </w:rPr>
        <w:t xml:space="preserve">of</w:t>
      </w:r>
      <w:r>
        <w:rPr>
          <w:iCs/>
          <w:i/>
        </w:rPr>
        <w:t xml:space="preserve"> </w:t>
      </w:r>
      <w:r>
        <w:rPr>
          <w:iCs/>
          <w:i/>
        </w:rPr>
        <w:t xml:space="preserve">Language Regimes</w:t>
      </w:r>
      <w:r>
        <w:t xml:space="preserve">.</w:t>
      </w:r>
      <w:r>
        <w:t xml:space="preserve"> </w:t>
      </w:r>
      <w:r>
        <w:t xml:space="preserve">University of Pennsylvania Press</w:t>
      </w:r>
      <w:r>
        <w:t xml:space="preserve">.</w:t>
      </w:r>
    </w:p>
    <w:bookmarkEnd w:id="55"/>
    <w:bookmarkStart w:id="57" w:name="ref-LiuPizzi2018"/>
    <w:p>
      <w:pPr>
        <w:pStyle w:val="a8"/>
      </w:pPr>
      <w:r>
        <w:t xml:space="preserve">Liu, A., &amp; Pizzi, E. (2018). The</w:t>
      </w:r>
      <w:r>
        <w:t xml:space="preserve"> </w:t>
      </w:r>
      <w:r>
        <w:t xml:space="preserve">Language</w:t>
      </w:r>
      <w:r>
        <w:t xml:space="preserve"> </w:t>
      </w:r>
      <w:r>
        <w:t xml:space="preserve">of</w:t>
      </w:r>
      <w:r>
        <w:t xml:space="preserve"> </w:t>
      </w:r>
      <w:r>
        <w:t xml:space="preserve">Economic Growth</w:t>
      </w:r>
      <w:r>
        <w:t xml:space="preserve">:</w:t>
      </w:r>
      <w:r>
        <w:t xml:space="preserve"> </w:t>
      </w:r>
      <w:r>
        <w:t xml:space="preserve">A New Measure</w:t>
      </w:r>
      <w:r>
        <w:t xml:space="preserve"> </w:t>
      </w:r>
      <w:r>
        <w:t xml:space="preserve">of</w:t>
      </w:r>
      <w:r>
        <w:t xml:space="preserve"> </w:t>
      </w:r>
      <w:r>
        <w:t xml:space="preserve">Linguistic Heterogeneity</w:t>
      </w:r>
      <w:r>
        <w:t xml:space="preserve">.</w:t>
      </w:r>
      <w:r>
        <w:t xml:space="preserve"> </w:t>
      </w:r>
      <w:r>
        <w:rPr>
          <w:iCs/>
          <w:i/>
        </w:rPr>
        <w:t xml:space="preserve">British Journal of Political Science</w:t>
      </w:r>
      <w:r>
        <w:t xml:space="preserve">, 1–28.</w:t>
      </w:r>
      <w:r>
        <w:t xml:space="preserve"> </w:t>
      </w:r>
      <w:hyperlink r:id="rId56">
        <w:r>
          <w:rPr>
            <w:rStyle w:val="ae"/>
          </w:rPr>
          <w:t xml:space="preserve">https://doi.org/10.1017/s0007123416000260</w:t>
        </w:r>
      </w:hyperlink>
    </w:p>
    <w:bookmarkEnd w:id="57"/>
    <w:bookmarkStart w:id="58" w:name="ref-MaKeSiEnGeSi1961"/>
    <w:p>
      <w:pPr>
        <w:pStyle w:val="a8"/>
      </w:pPr>
      <w:r>
        <w:t xml:space="preserve">Marx, K., &amp; Engels, F. (1961).</w:t>
      </w:r>
      <w:r>
        <w:t xml:space="preserve"> </w:t>
      </w:r>
      <w:r>
        <w:rPr>
          <w:iCs/>
          <w:i/>
        </w:rPr>
        <w:t xml:space="preserve">德意志意识形态</w:t>
      </w:r>
      <w:r>
        <w:t xml:space="preserve"> </w:t>
      </w:r>
      <w:r>
        <w:t xml:space="preserve">(中共中央马克思恩格斯列宁斯大林著作编译局, Trans.).</w:t>
      </w:r>
      <w:r>
        <w:t xml:space="preserve"> </w:t>
      </w:r>
      <w:r>
        <w:t xml:space="preserve">人民出版社</w:t>
      </w:r>
      <w:r>
        <w:t xml:space="preserve">.</w:t>
      </w:r>
    </w:p>
    <w:bookmarkEnd w:id="58"/>
    <w:bookmarkStart w:id="60" w:name="ref-Mead2012"/>
    <w:p>
      <w:pPr>
        <w:pStyle w:val="a8"/>
      </w:pPr>
      <w:r>
        <w:t xml:space="preserve">Mead, G. (2012).</w:t>
      </w:r>
      <w:r>
        <w:t xml:space="preserve"> </w:t>
      </w:r>
      <w:r>
        <w:rPr>
          <w:iCs/>
          <w:i/>
        </w:rPr>
        <w:t xml:space="preserve">心灵、自我和社会</w:t>
      </w:r>
      <w:r>
        <w:t xml:space="preserve"> </w:t>
      </w:r>
      <w:r>
        <w:t xml:space="preserve">(霍桂桓, Trans.).</w:t>
      </w:r>
      <w:r>
        <w:t xml:space="preserve"> </w:t>
      </w:r>
      <w:r>
        <w:t xml:space="preserve">译林出版社</w:t>
      </w:r>
      <w:r>
        <w:t xml:space="preserve">.</w:t>
      </w:r>
      <w:r>
        <w:t xml:space="preserve"> </w:t>
      </w:r>
      <w:hyperlink r:id="rId59">
        <w:r>
          <w:rPr>
            <w:rStyle w:val="ae"/>
          </w:rPr>
          <w:t xml:space="preserve">https://book.douban.com/subject/10771031/</w:t>
        </w:r>
      </w:hyperlink>
    </w:p>
    <w:bookmarkEnd w:id="60"/>
    <w:bookmarkStart w:id="62" w:name="ref-MillerRose1990"/>
    <w:p>
      <w:pPr>
        <w:pStyle w:val="a8"/>
      </w:pPr>
      <w:r>
        <w:t xml:space="preserve">Miller, P., &amp; Rose, N. (1990). Governing economic life.</w:t>
      </w:r>
      <w:r>
        <w:t xml:space="preserve"> </w:t>
      </w:r>
      <w:r>
        <w:rPr>
          <w:iCs/>
          <w:i/>
        </w:rPr>
        <w:t xml:space="preserve">Economy and Society</w:t>
      </w:r>
      <w:r>
        <w:t xml:space="preserve">,</w:t>
      </w:r>
      <w:r>
        <w:t xml:space="preserve"> </w:t>
      </w:r>
      <w:r>
        <w:rPr>
          <w:iCs/>
          <w:i/>
        </w:rPr>
        <w:t xml:space="preserve">19</w:t>
      </w:r>
      <w:r>
        <w:t xml:space="preserve">(1), 1–31.</w:t>
      </w:r>
      <w:r>
        <w:t xml:space="preserve"> </w:t>
      </w:r>
      <w:hyperlink r:id="rId61">
        <w:r>
          <w:rPr>
            <w:rStyle w:val="ae"/>
          </w:rPr>
          <w:t xml:space="preserve">https://doi.org/0.1080/03085149000000001</w:t>
        </w:r>
      </w:hyperlink>
    </w:p>
    <w:bookmarkEnd w:id="62"/>
    <w:bookmarkStart w:id="63" w:name="ref-Ostrom2015"/>
    <w:p>
      <w:pPr>
        <w:pStyle w:val="a8"/>
      </w:pPr>
      <w:r>
        <w:t xml:space="preserve">Ostrom, E. (2015).</w:t>
      </w:r>
      <w:r>
        <w:t xml:space="preserve"> </w:t>
      </w:r>
      <w:r>
        <w:rPr>
          <w:iCs/>
          <w:i/>
        </w:rPr>
        <w:t xml:space="preserve">公共资源的未来：超越市场失灵和政府管制（诺贝尔经济学奖获得者丛书）</w:t>
      </w:r>
      <w:r>
        <w:t xml:space="preserve"> </w:t>
      </w:r>
      <w:r>
        <w:t xml:space="preserve">(郭冠清, Trans.; 第1版 ed.).</w:t>
      </w:r>
      <w:r>
        <w:t xml:space="preserve"> </w:t>
      </w:r>
      <w:r>
        <w:t xml:space="preserve">中国人民大学出版社</w:t>
      </w:r>
      <w:r>
        <w:t xml:space="preserve">.</w:t>
      </w:r>
    </w:p>
    <w:bookmarkEnd w:id="63"/>
    <w:bookmarkStart w:id="65" w:name="ref-RendallEtAl2010"/>
    <w:p>
      <w:pPr>
        <w:pStyle w:val="a8"/>
      </w:pPr>
      <w:r>
        <w:t xml:space="preserve">Rendall, M., Tsang, F., Rubin, J., Rabinovich, L., &amp; Janta, B. (2010). Contrasting</w:t>
      </w:r>
      <w:r>
        <w:t xml:space="preserve"> </w:t>
      </w:r>
      <w:r>
        <w:t xml:space="preserve">Trajectories</w:t>
      </w:r>
      <w:r>
        <w:t xml:space="preserve"> </w:t>
      </w:r>
      <w:r>
        <w:t xml:space="preserve">of</w:t>
      </w:r>
      <w:r>
        <w:t xml:space="preserve"> </w:t>
      </w:r>
      <w:r>
        <w:t xml:space="preserve">Labor-Market Integration Between Migrant Women</w:t>
      </w:r>
      <w:r>
        <w:t xml:space="preserve"> </w:t>
      </w:r>
      <w:r>
        <w:t xml:space="preserve">in</w:t>
      </w:r>
      <w:r>
        <w:t xml:space="preserve"> </w:t>
      </w:r>
      <w:r>
        <w:t xml:space="preserve">Western</w:t>
      </w:r>
      <w:r>
        <w:t xml:space="preserve"> </w:t>
      </w:r>
      <w:r>
        <w:t xml:space="preserve">and</w:t>
      </w:r>
      <w:r>
        <w:t xml:space="preserve"> </w:t>
      </w:r>
      <w:r>
        <w:t xml:space="preserve">Southern Europe</w:t>
      </w:r>
      <w:r>
        <w:t xml:space="preserve">.</w:t>
      </w:r>
      <w:r>
        <w:t xml:space="preserve"> </w:t>
      </w:r>
      <w:r>
        <w:rPr>
          <w:iCs/>
          <w:i/>
        </w:rPr>
        <w:t xml:space="preserve">European Journal of Population / Revue Européenne de Démographie</w:t>
      </w:r>
      <w:r>
        <w:t xml:space="preserve">,</w:t>
      </w:r>
      <w:r>
        <w:t xml:space="preserve"> </w:t>
      </w:r>
      <w:r>
        <w:rPr>
          <w:iCs/>
          <w:i/>
        </w:rPr>
        <w:t xml:space="preserve">26</w:t>
      </w:r>
      <w:r>
        <w:t xml:space="preserve">(4), 383–410.</w:t>
      </w:r>
      <w:r>
        <w:t xml:space="preserve"> </w:t>
      </w:r>
      <w:hyperlink r:id="rId64">
        <w:r>
          <w:rPr>
            <w:rStyle w:val="ae"/>
          </w:rPr>
          <w:t xml:space="preserve">https://doi.org/10.1007/s10680-010-9214-x</w:t>
        </w:r>
      </w:hyperlink>
    </w:p>
    <w:bookmarkEnd w:id="65"/>
    <w:bookmarkStart w:id="67" w:name="ref-VroomeEtAl2013"/>
    <w:p>
      <w:pPr>
        <w:pStyle w:val="a8"/>
      </w:pPr>
      <w:r>
        <w:t xml:space="preserve">Vroome, T., Hooghe, M., &amp; Marien, S. (2013). The</w:t>
      </w:r>
      <w:r>
        <w:t xml:space="preserve"> </w:t>
      </w:r>
      <w:r>
        <w:t xml:space="preserve">Origins</w:t>
      </w:r>
      <w:r>
        <w:t xml:space="preserve"> </w:t>
      </w:r>
      <w:r>
        <w:t xml:space="preserve">of</w:t>
      </w:r>
      <w:r>
        <w:t xml:space="preserve"> </w:t>
      </w:r>
      <w:r>
        <w:t xml:space="preserve">Generalized</w:t>
      </w:r>
      <w:r>
        <w:t xml:space="preserve"> </w:t>
      </w:r>
      <w:r>
        <w:t xml:space="preserve">and</w:t>
      </w:r>
      <w:r>
        <w:t xml:space="preserve"> </w:t>
      </w:r>
      <w:r>
        <w:t xml:space="preserve">Political Trust</w:t>
      </w:r>
      <w:r>
        <w:t xml:space="preserve"> </w:t>
      </w:r>
      <w:r>
        <w:t xml:space="preserve">among</w:t>
      </w:r>
      <w:r>
        <w:t xml:space="preserve"> </w:t>
      </w:r>
      <w:r>
        <w:t xml:space="preserve">Immigrant Minorities</w:t>
      </w:r>
      <w:r>
        <w:t xml:space="preserve"> </w:t>
      </w:r>
      <w:r>
        <w:t xml:space="preserve">and the</w:t>
      </w:r>
      <w:r>
        <w:t xml:space="preserve"> </w:t>
      </w:r>
      <w:r>
        <w:t xml:space="preserve">Majority Population</w:t>
      </w:r>
      <w:r>
        <w:t xml:space="preserve"> </w:t>
      </w:r>
      <w:r>
        <w:t xml:space="preserve">in the</w:t>
      </w:r>
      <w:r>
        <w:t xml:space="preserve"> </w:t>
      </w:r>
      <w:r>
        <w:t xml:space="preserve">Netherlands</w:t>
      </w:r>
      <w:r>
        <w:t xml:space="preserve">.</w:t>
      </w:r>
      <w:r>
        <w:t xml:space="preserve"> </w:t>
      </w:r>
      <w:r>
        <w:rPr>
          <w:iCs/>
          <w:i/>
        </w:rPr>
        <w:t xml:space="preserve">European Sociological Review</w:t>
      </w:r>
      <w:r>
        <w:t xml:space="preserve">,</w:t>
      </w:r>
      <w:r>
        <w:t xml:space="preserve"> </w:t>
      </w:r>
      <w:r>
        <w:rPr>
          <w:iCs/>
          <w:i/>
        </w:rPr>
        <w:t xml:space="preserve">29</w:t>
      </w:r>
      <w:r>
        <w:t xml:space="preserve">, 1336–1350.</w:t>
      </w:r>
      <w:r>
        <w:t xml:space="preserve"> </w:t>
      </w:r>
      <w:hyperlink r:id="rId66">
        <w:r>
          <w:rPr>
            <w:rStyle w:val="ae"/>
          </w:rPr>
          <w:t xml:space="preserve">https://doi.org/10.1093/esr/jct018</w:t>
        </w:r>
      </w:hyperlink>
    </w:p>
    <w:bookmarkEnd w:id="67"/>
    <w:bookmarkStart w:id="69" w:name="ref-WrightTaylor1995"/>
    <w:p>
      <w:pPr>
        <w:pStyle w:val="a8"/>
      </w:pPr>
      <w:r>
        <w:t xml:space="preserve">Wright, S., &amp; Taylor, D. (1995). Identity and the</w:t>
      </w:r>
      <w:r>
        <w:t xml:space="preserve"> </w:t>
      </w:r>
      <w:r>
        <w:t xml:space="preserve">Language</w:t>
      </w:r>
      <w:r>
        <w:t xml:space="preserve"> </w:t>
      </w:r>
      <w:r>
        <w:t xml:space="preserve">of the</w:t>
      </w:r>
      <w:r>
        <w:t xml:space="preserve"> </w:t>
      </w:r>
      <w:r>
        <w:t xml:space="preserve">Classroom</w:t>
      </w:r>
      <w:r>
        <w:t xml:space="preserve">:</w:t>
      </w:r>
      <w:r>
        <w:t xml:space="preserve"> </w:t>
      </w:r>
      <w:r>
        <w:t xml:space="preserve">Investigating</w:t>
      </w:r>
      <w:r>
        <w:t xml:space="preserve"> </w:t>
      </w:r>
      <w:r>
        <w:t xml:space="preserve">the</w:t>
      </w:r>
      <w:r>
        <w:t xml:space="preserve"> </w:t>
      </w:r>
      <w:r>
        <w:t xml:space="preserve">Impact</w:t>
      </w:r>
      <w:r>
        <w:t xml:space="preserve"> </w:t>
      </w:r>
      <w:r>
        <w:t xml:space="preserve">of</w:t>
      </w:r>
      <w:r>
        <w:t xml:space="preserve"> </w:t>
      </w:r>
      <w:r>
        <w:t xml:space="preserve">Heritage Versus Second Language Instruction</w:t>
      </w:r>
      <w:r>
        <w:t xml:space="preserve"> </w:t>
      </w:r>
      <w:r>
        <w:t xml:space="preserve">on</w:t>
      </w:r>
      <w:r>
        <w:t xml:space="preserve"> </w:t>
      </w:r>
      <w:r>
        <w:t xml:space="preserve">Personal</w:t>
      </w:r>
      <w:r>
        <w:t xml:space="preserve"> </w:t>
      </w:r>
      <w:r>
        <w:t xml:space="preserve">and</w:t>
      </w:r>
      <w:r>
        <w:t xml:space="preserve"> </w:t>
      </w:r>
      <w:r>
        <w:t xml:space="preserve">Collective Self-Esteem</w:t>
      </w:r>
      <w:r>
        <w:t xml:space="preserve">.</w:t>
      </w:r>
      <w:r>
        <w:t xml:space="preserve"> </w:t>
      </w:r>
      <w:r>
        <w:rPr>
          <w:iCs/>
          <w:i/>
        </w:rPr>
        <w:t xml:space="preserve">Journal of Educational Psychology</w:t>
      </w:r>
      <w:r>
        <w:t xml:space="preserve">,</w:t>
      </w:r>
      <w:r>
        <w:t xml:space="preserve"> </w:t>
      </w:r>
      <w:r>
        <w:rPr>
          <w:iCs/>
          <w:i/>
        </w:rPr>
        <w:t xml:space="preserve">87</w:t>
      </w:r>
      <w:r>
        <w:t xml:space="preserve">(2), 241–252.</w:t>
      </w:r>
      <w:r>
        <w:t xml:space="preserve"> </w:t>
      </w:r>
      <w:hyperlink r:id="rId68">
        <w:r>
          <w:rPr>
            <w:rStyle w:val="ae"/>
          </w:rPr>
          <w:t xml:space="preserve">https://doi.org/10.1037/0022-0663.87.2.241</w:t>
        </w:r>
      </w:hyperlink>
    </w:p>
    <w:bookmarkEnd w:id="69"/>
    <w:bookmarkStart w:id="70" w:name="ref-DingJianXinYangHui2020"/>
    <w:p>
      <w:pPr>
        <w:pStyle w:val="a8"/>
      </w:pPr>
      <w:r>
        <w:t xml:space="preserve">丁建新, &amp; 杨荟. (2020). 作为</w:t>
      </w:r>
      <w:r>
        <w:t xml:space="preserve">“他者”</w:t>
      </w:r>
      <w:r>
        <w:t xml:space="preserve">的病毒:关于新冠肺炎隐喻的话语分析.</w:t>
      </w:r>
      <w:r>
        <w:t xml:space="preserve"> </w:t>
      </w:r>
      <w:r>
        <w:rPr>
          <w:iCs/>
          <w:i/>
        </w:rPr>
        <w:t xml:space="preserve">广州大学学报(社会科学版)</w:t>
      </w:r>
      <w:r>
        <w:t xml:space="preserve">,</w:t>
      </w:r>
      <w:r>
        <w:t xml:space="preserve"> </w:t>
      </w:r>
      <w:r>
        <w:rPr>
          <w:iCs/>
          <w:i/>
        </w:rPr>
        <w:t xml:space="preserve">19</w:t>
      </w:r>
      <w:r>
        <w:t xml:space="preserve">(04), 107–112.</w:t>
      </w:r>
    </w:p>
    <w:bookmarkEnd w:id="70"/>
    <w:bookmarkStart w:id="71" w:name="ref-HeZengKe2014"/>
    <w:p>
      <w:pPr>
        <w:pStyle w:val="a8"/>
      </w:pPr>
      <w:r>
        <w:t xml:space="preserve">何增科. (2014). 理解国家治理及其现代化.</w:t>
      </w:r>
      <w:r>
        <w:t xml:space="preserve"> </w:t>
      </w:r>
      <w:r>
        <w:rPr>
          <w:iCs/>
          <w:i/>
        </w:rPr>
        <w:t xml:space="preserve">马克思主义与现实</w:t>
      </w:r>
      <w:r>
        <w:t xml:space="preserve">,</w:t>
      </w:r>
      <w:r>
        <w:t xml:space="preserve"> </w:t>
      </w:r>
      <w:r>
        <w:rPr>
          <w:iCs/>
          <w:i/>
        </w:rPr>
        <w:t xml:space="preserve">01</w:t>
      </w:r>
      <w:r>
        <w:t xml:space="preserve">, 11–15.</w:t>
      </w:r>
    </w:p>
    <w:bookmarkEnd w:id="71"/>
    <w:bookmarkStart w:id="72" w:name="ref-LiuHuaXiaYuanQingHuan2017"/>
    <w:p>
      <w:pPr>
        <w:pStyle w:val="a8"/>
      </w:pPr>
      <w:r>
        <w:t xml:space="preserve">刘华夏, &amp; 袁青欢. (2017). 边疆语言治理的挑战与转型.</w:t>
      </w:r>
      <w:r>
        <w:t xml:space="preserve"> </w:t>
      </w:r>
      <w:r>
        <w:rPr>
          <w:iCs/>
          <w:i/>
        </w:rPr>
        <w:t xml:space="preserve">广西民族研究</w:t>
      </w:r>
      <w:r>
        <w:t xml:space="preserve">,</w:t>
      </w:r>
      <w:r>
        <w:t xml:space="preserve"> </w:t>
      </w:r>
      <w:r>
        <w:rPr>
          <w:iCs/>
          <w:i/>
        </w:rPr>
        <w:t xml:space="preserve">06</w:t>
      </w:r>
      <w:r>
        <w:t xml:space="preserve">, 8–15.</w:t>
      </w:r>
    </w:p>
    <w:bookmarkEnd w:id="72"/>
    <w:bookmarkStart w:id="73" w:name="ref-LiuHong1993"/>
    <w:p>
      <w:pPr>
        <w:pStyle w:val="a8"/>
      </w:pPr>
      <w:r>
        <w:t xml:space="preserve">刘虹. (1993). 语言态度对语言使用和语言变化的影响.</w:t>
      </w:r>
      <w:r>
        <w:t xml:space="preserve"> </w:t>
      </w:r>
      <w:r>
        <w:rPr>
          <w:iCs/>
          <w:i/>
        </w:rPr>
        <w:t xml:space="preserve">语言文字应用</w:t>
      </w:r>
      <w:r>
        <w:t xml:space="preserve">,</w:t>
      </w:r>
      <w:r>
        <w:t xml:space="preserve"> </w:t>
      </w:r>
      <w:r>
        <w:rPr>
          <w:iCs/>
          <w:i/>
        </w:rPr>
        <w:t xml:space="preserve">03</w:t>
      </w:r>
      <w:r>
        <w:t xml:space="preserve">, 93–102.</w:t>
      </w:r>
    </w:p>
    <w:bookmarkEnd w:id="73"/>
    <w:bookmarkStart w:id="74" w:name="ref-LuHuiLinPanYi2014"/>
    <w:p>
      <w:pPr>
        <w:pStyle w:val="a8"/>
      </w:pPr>
      <w:r>
        <w:t xml:space="preserve">卢晖临, &amp; 潘毅. (2014). 当代中国第二代农民工的身份认同、情感与集体行动.</w:t>
      </w:r>
      <w:r>
        <w:t xml:space="preserve"> </w:t>
      </w:r>
      <w:r>
        <w:rPr>
          <w:iCs/>
          <w:i/>
        </w:rPr>
        <w:t xml:space="preserve">文化纵横</w:t>
      </w:r>
      <w:r>
        <w:t xml:space="preserve">,</w:t>
      </w:r>
      <w:r>
        <w:t xml:space="preserve"> </w:t>
      </w:r>
      <w:r>
        <w:rPr>
          <w:iCs/>
          <w:i/>
        </w:rPr>
        <w:t xml:space="preserve">5</w:t>
      </w:r>
      <w:r>
        <w:t xml:space="preserve">.</w:t>
      </w:r>
    </w:p>
    <w:bookmarkEnd w:id="74"/>
    <w:bookmarkStart w:id="75" w:name="ref-TangXuJunEtAl2019"/>
    <w:p>
      <w:pPr>
        <w:pStyle w:val="a8"/>
      </w:pPr>
      <w:r>
        <w:t xml:space="preserve">唐绪军, 吴信训, &amp; 黄楚新. (2019).</w:t>
      </w:r>
      <w:r>
        <w:t xml:space="preserve"> </w:t>
      </w:r>
      <w:r>
        <w:rPr>
          <w:iCs/>
          <w:i/>
        </w:rPr>
        <w:t xml:space="preserve">中国新媒体发展报告（2019）</w:t>
      </w:r>
      <w:r>
        <w:t xml:space="preserve"> </w:t>
      </w:r>
      <w:r>
        <w:t xml:space="preserve">(No. No.10).</w:t>
      </w:r>
    </w:p>
    <w:bookmarkEnd w:id="75"/>
    <w:bookmarkStart w:id="77" w:name="ref-MengHongLi2010"/>
    <w:p>
      <w:pPr>
        <w:pStyle w:val="a8"/>
      </w:pPr>
      <w:r>
        <w:t xml:space="preserve">孟红莉. (2010). 语言使用与族群关系:五种类型分析.</w:t>
      </w:r>
      <w:r>
        <w:t xml:space="preserve"> </w:t>
      </w:r>
      <w:r>
        <w:rPr>
          <w:iCs/>
          <w:i/>
        </w:rPr>
        <w:t xml:space="preserve">西北民族研究</w:t>
      </w:r>
      <w:r>
        <w:t xml:space="preserve">,</w:t>
      </w:r>
      <w:r>
        <w:t xml:space="preserve"> </w:t>
      </w:r>
      <w:r>
        <w:rPr>
          <w:iCs/>
          <w:i/>
        </w:rPr>
        <w:t xml:space="preserve">1</w:t>
      </w:r>
      <w:r>
        <w:t xml:space="preserve">.</w:t>
      </w:r>
      <w:r>
        <w:t xml:space="preserve"> </w:t>
      </w:r>
      <w:hyperlink r:id="rId76">
        <w:r>
          <w:rPr>
            <w:rStyle w:val="ae"/>
          </w:rPr>
          <w:t xml:space="preserve">https://doi.org/10.16486/j.cnki.62-1035/d.2010.01.026</w:t>
        </w:r>
      </w:hyperlink>
    </w:p>
    <w:bookmarkEnd w:id="77"/>
    <w:bookmarkStart w:id="78" w:name="ref-ZhangWeiGuo2011"/>
    <w:p>
      <w:pPr>
        <w:pStyle w:val="a8"/>
      </w:pPr>
      <w:r>
        <w:t xml:space="preserve">张卫国. (2011). 语言的经济学分析:一个综述.</w:t>
      </w:r>
      <w:r>
        <w:t xml:space="preserve"> </w:t>
      </w:r>
      <w:r>
        <w:rPr>
          <w:iCs/>
          <w:i/>
        </w:rPr>
        <w:t xml:space="preserve">经济评论</w:t>
      </w:r>
      <w:r>
        <w:t xml:space="preserve">,</w:t>
      </w:r>
      <w:r>
        <w:t xml:space="preserve"> </w:t>
      </w:r>
      <w:r>
        <w:rPr>
          <w:iCs/>
          <w:i/>
        </w:rPr>
        <w:t xml:space="preserve">04</w:t>
      </w:r>
      <w:r>
        <w:t xml:space="preserve">, 140–149.</w:t>
      </w:r>
    </w:p>
    <w:bookmarkEnd w:id="78"/>
    <w:bookmarkStart w:id="79" w:name="ref-ZhangWeiGuo2020"/>
    <w:p>
      <w:pPr>
        <w:pStyle w:val="a8"/>
      </w:pPr>
      <w:r>
        <w:t xml:space="preserve">张卫国. (2020). 普通话能力的减贫效应:基于经济、健康和精神维度的经验分析.</w:t>
      </w:r>
      <w:r>
        <w:t xml:space="preserve"> </w:t>
      </w:r>
      <w:r>
        <w:rPr>
          <w:iCs/>
          <w:i/>
        </w:rPr>
        <w:t xml:space="preserve">语言文字应用</w:t>
      </w:r>
      <w:r>
        <w:t xml:space="preserve">,</w:t>
      </w:r>
      <w:r>
        <w:t xml:space="preserve"> </w:t>
      </w:r>
      <w:r>
        <w:rPr>
          <w:iCs/>
          <w:i/>
        </w:rPr>
        <w:t xml:space="preserve">04</w:t>
      </w:r>
      <w:r>
        <w:t xml:space="preserve">, 37–51.</w:t>
      </w:r>
    </w:p>
    <w:bookmarkEnd w:id="79"/>
    <w:bookmarkStart w:id="80" w:name="ref-ZhangWeiGuoSunTao2016"/>
    <w:p>
      <w:pPr>
        <w:pStyle w:val="a8"/>
      </w:pPr>
      <w:r>
        <w:t xml:space="preserve">张卫国, &amp; 孙涛. (2016). 语言的经济力量:国民英语能力对中国对外服务贸易的影响.</w:t>
      </w:r>
      <w:r>
        <w:t xml:space="preserve"> </w:t>
      </w:r>
      <w:r>
        <w:rPr>
          <w:iCs/>
          <w:i/>
        </w:rPr>
        <w:t xml:space="preserve">国际贸易问题</w:t>
      </w:r>
      <w:r>
        <w:t xml:space="preserve">,</w:t>
      </w:r>
      <w:r>
        <w:t xml:space="preserve"> </w:t>
      </w:r>
      <w:r>
        <w:rPr>
          <w:iCs/>
          <w:i/>
        </w:rPr>
        <w:t xml:space="preserve">08</w:t>
      </w:r>
      <w:r>
        <w:t xml:space="preserve">, 97–107.</w:t>
      </w:r>
    </w:p>
    <w:bookmarkEnd w:id="80"/>
    <w:bookmarkStart w:id="81" w:name="ref-DaiManChunZhuNingYan2011"/>
    <w:p>
      <w:pPr>
        <w:pStyle w:val="a8"/>
      </w:pPr>
      <w:r>
        <w:t xml:space="preserve">戴曼纯, &amp; 朱宁燕. (2011). 语言民族主义的政治功能——以前南斯拉夫为例.</w:t>
      </w:r>
      <w:r>
        <w:t xml:space="preserve"> </w:t>
      </w:r>
      <w:r>
        <w:rPr>
          <w:iCs/>
          <w:i/>
        </w:rPr>
        <w:t xml:space="preserve">欧洲研究</w:t>
      </w:r>
      <w:r>
        <w:t xml:space="preserve">,</w:t>
      </w:r>
      <w:r>
        <w:t xml:space="preserve"> </w:t>
      </w:r>
      <w:r>
        <w:rPr>
          <w:iCs/>
          <w:i/>
        </w:rPr>
        <w:t xml:space="preserve">29</w:t>
      </w:r>
      <w:r>
        <w:t xml:space="preserve">(02), 115-131+160-161.</w:t>
      </w:r>
    </w:p>
    <w:bookmarkEnd w:id="81"/>
    <w:bookmarkStart w:id="82" w:name="ref-DaiManChunHeZhanRu2010"/>
    <w:p>
      <w:pPr>
        <w:pStyle w:val="a8"/>
      </w:pPr>
      <w:r>
        <w:t xml:space="preserve">戴曼纯, &amp; 贺战茹. (2010). 法国的语言政策与语言规划实践——由紧到松的政策变迁.</w:t>
      </w:r>
      <w:r>
        <w:t xml:space="preserve"> </w:t>
      </w:r>
      <w:r>
        <w:rPr>
          <w:iCs/>
          <w:i/>
        </w:rPr>
        <w:t xml:space="preserve">西安外国语大学学报</w:t>
      </w:r>
      <w:r>
        <w:t xml:space="preserve">,</w:t>
      </w:r>
      <w:r>
        <w:t xml:space="preserve"> </w:t>
      </w:r>
      <w:r>
        <w:rPr>
          <w:iCs/>
          <w:i/>
        </w:rPr>
        <w:t xml:space="preserve">18</w:t>
      </w:r>
      <w:r>
        <w:t xml:space="preserve">(01), 1–5.</w:t>
      </w:r>
    </w:p>
    <w:bookmarkEnd w:id="82"/>
    <w:bookmarkStart w:id="84" w:name="ref-JingHuaiBinEtAl2017"/>
    <w:p>
      <w:pPr>
        <w:pStyle w:val="a8"/>
      </w:pPr>
      <w:r>
        <w:t xml:space="preserve">景怀斌, 傅承哲, &amp; 许晓丽. (2017). 民众核心价值观的认知状况及作用机理.</w:t>
      </w:r>
      <w:r>
        <w:t xml:space="preserve"> </w:t>
      </w:r>
      <w:r>
        <w:rPr>
          <w:iCs/>
          <w:i/>
        </w:rPr>
        <w:t xml:space="preserve">青海社会科学</w:t>
      </w:r>
      <w:r>
        <w:t xml:space="preserve">,</w:t>
      </w:r>
      <w:r>
        <w:t xml:space="preserve"> </w:t>
      </w:r>
      <w:r>
        <w:rPr>
          <w:iCs/>
          <w:i/>
        </w:rPr>
        <w:t xml:space="preserve">6</w:t>
      </w:r>
      <w:r>
        <w:t xml:space="preserve">.</w:t>
      </w:r>
      <w:r>
        <w:t xml:space="preserve"> </w:t>
      </w:r>
      <w:hyperlink r:id="rId83">
        <w:r>
          <w:rPr>
            <w:rStyle w:val="ae"/>
          </w:rPr>
          <w:t xml:space="preserve">https://doi.org/10.14154/j.cnki.qss.2017.06.016</w:t>
        </w:r>
      </w:hyperlink>
    </w:p>
    <w:bookmarkEnd w:id="84"/>
    <w:bookmarkStart w:id="85" w:name="ref-LiYuMing2018"/>
    <w:p>
      <w:pPr>
        <w:pStyle w:val="a8"/>
      </w:pPr>
      <w:r>
        <w:t xml:space="preserve">李宇明. (2018).</w:t>
      </w:r>
      <w:r>
        <w:t xml:space="preserve"> </w:t>
      </w:r>
      <w:r>
        <w:rPr>
          <w:iCs/>
          <w:i/>
        </w:rPr>
        <w:t xml:space="preserve">语言在全球治理中的重要作用</w:t>
      </w:r>
      <w:r>
        <w:t xml:space="preserve">.</w:t>
      </w:r>
      <w:r>
        <w:t xml:space="preserve"> </w:t>
      </w:r>
      <w:r>
        <w:rPr>
          <w:iCs/>
          <w:i/>
        </w:rPr>
        <w:t xml:space="preserve">5</w:t>
      </w:r>
      <w:r>
        <w:t xml:space="preserve">.</w:t>
      </w:r>
    </w:p>
    <w:bookmarkEnd w:id="85"/>
    <w:bookmarkStart w:id="87" w:name="ref-LiYuMing2021a"/>
    <w:p>
      <w:pPr>
        <w:pStyle w:val="a8"/>
      </w:pPr>
      <w:r>
        <w:t xml:space="preserve">李宇明. (2021). 试论个人语言能力和国家语言能力.</w:t>
      </w:r>
      <w:r>
        <w:t xml:space="preserve"> </w:t>
      </w:r>
      <w:r>
        <w:rPr>
          <w:iCs/>
          <w:i/>
        </w:rPr>
        <w:t xml:space="preserve">语言文字应用</w:t>
      </w:r>
      <w:r>
        <w:t xml:space="preserve">,</w:t>
      </w:r>
      <w:r>
        <w:t xml:space="preserve"> </w:t>
      </w:r>
      <w:r>
        <w:rPr>
          <w:iCs/>
          <w:i/>
        </w:rPr>
        <w:t xml:space="preserve">03</w:t>
      </w:r>
      <w:r>
        <w:t xml:space="preserve">.</w:t>
      </w:r>
      <w:r>
        <w:t xml:space="preserve"> </w:t>
      </w:r>
      <w:hyperlink r:id="rId86">
        <w:r>
          <w:rPr>
            <w:rStyle w:val="ae"/>
          </w:rPr>
          <w:t xml:space="preserve">https://doi.org/10.16499/j.cnki.1003-5397.2021.03.001</w:t>
        </w:r>
      </w:hyperlink>
    </w:p>
    <w:bookmarkEnd w:id="87"/>
    <w:bookmarkStart w:id="88" w:name="ref-LiSongLin2021"/>
    <w:p>
      <w:pPr>
        <w:pStyle w:val="a8"/>
      </w:pPr>
      <w:r>
        <w:t xml:space="preserve">李松林. (2021). 探析新媒体治理格局.</w:t>
      </w:r>
      <w:r>
        <w:t xml:space="preserve"> </w:t>
      </w:r>
      <w:r>
        <w:rPr>
          <w:iCs/>
          <w:i/>
        </w:rPr>
        <w:t xml:space="preserve">记者摇篮</w:t>
      </w:r>
      <w:r>
        <w:t xml:space="preserve">,</w:t>
      </w:r>
      <w:r>
        <w:t xml:space="preserve"> </w:t>
      </w:r>
      <w:r>
        <w:rPr>
          <w:iCs/>
          <w:i/>
        </w:rPr>
        <w:t xml:space="preserve">07</w:t>
      </w:r>
      <w:r>
        <w:t xml:space="preserve">, 49–50.</w:t>
      </w:r>
    </w:p>
    <w:bookmarkEnd w:id="88"/>
    <w:bookmarkStart w:id="89" w:name="ref-WuXiaoJun2013"/>
    <w:p>
      <w:pPr>
        <w:pStyle w:val="a8"/>
      </w:pPr>
      <w:r>
        <w:t xml:space="preserve">武小军. (2013). 流动人口的语言接触与语言认同.</w:t>
      </w:r>
      <w:r>
        <w:t xml:space="preserve"> </w:t>
      </w:r>
      <w:r>
        <w:rPr>
          <w:iCs/>
          <w:i/>
        </w:rPr>
        <w:t xml:space="preserve">语言教学与研究</w:t>
      </w:r>
      <w:r>
        <w:t xml:space="preserve">,</w:t>
      </w:r>
      <w:r>
        <w:t xml:space="preserve"> </w:t>
      </w:r>
      <w:r>
        <w:rPr>
          <w:iCs/>
          <w:i/>
        </w:rPr>
        <w:t xml:space="preserve">06, 06</w:t>
      </w:r>
      <w:r>
        <w:t xml:space="preserve">, 104–109.</w:t>
      </w:r>
    </w:p>
    <w:bookmarkEnd w:id="89"/>
    <w:bookmarkStart w:id="90" w:name="ref-WuXiaoJun2020"/>
    <w:p>
      <w:pPr>
        <w:pStyle w:val="a8"/>
      </w:pPr>
      <w:r>
        <w:t xml:space="preserve">武小军. (2020). 语言适应与社会顺应——语言视域下对流动人口</w:t>
      </w:r>
      <w:r>
        <w:t xml:space="preserve">“市民化”</w:t>
      </w:r>
      <w:r>
        <w:t xml:space="preserve">进程的思考.</w:t>
      </w:r>
      <w:r>
        <w:t xml:space="preserve"> </w:t>
      </w:r>
      <w:r>
        <w:rPr>
          <w:iCs/>
          <w:i/>
        </w:rPr>
        <w:t xml:space="preserve">陕西师范大学学报(哲学社会科学版)</w:t>
      </w:r>
      <w:r>
        <w:t xml:space="preserve">,</w:t>
      </w:r>
      <w:r>
        <w:t xml:space="preserve"> </w:t>
      </w:r>
      <w:r>
        <w:rPr>
          <w:iCs/>
          <w:i/>
        </w:rPr>
        <w:t xml:space="preserve">49</w:t>
      </w:r>
      <w:r>
        <w:t xml:space="preserve">(05), 91–99.</w:t>
      </w:r>
    </w:p>
    <w:bookmarkEnd w:id="90"/>
    <w:bookmarkStart w:id="91" w:name="ref-ShenQi2021"/>
    <w:p>
      <w:pPr>
        <w:pStyle w:val="a8"/>
      </w:pPr>
      <w:r>
        <w:t xml:space="preserve">沈骑. (2021). 中国城市化进程中语言研究的三大取向.</w:t>
      </w:r>
      <w:r>
        <w:t xml:space="preserve"> </w:t>
      </w:r>
      <w:r>
        <w:rPr>
          <w:iCs/>
          <w:i/>
        </w:rPr>
        <w:t xml:space="preserve">语言战略研究</w:t>
      </w:r>
      <w:r>
        <w:t xml:space="preserve">,</w:t>
      </w:r>
      <w:r>
        <w:t xml:space="preserve"> </w:t>
      </w:r>
      <w:r>
        <w:rPr>
          <w:iCs/>
          <w:i/>
        </w:rPr>
        <w:t xml:space="preserve">6</w:t>
      </w:r>
      <w:r>
        <w:t xml:space="preserve">(3).</w:t>
      </w:r>
    </w:p>
    <w:bookmarkEnd w:id="91"/>
    <w:bookmarkStart w:id="92" w:name="ref-HongBo2018"/>
    <w:p>
      <w:pPr>
        <w:pStyle w:val="a8"/>
      </w:pPr>
      <w:r>
        <w:t xml:space="preserve">洪波. (2018).</w:t>
      </w:r>
      <w:r>
        <w:t xml:space="preserve"> </w:t>
      </w:r>
      <w:r>
        <w:t xml:space="preserve">“个体—共同体”</w:t>
      </w:r>
      <w:r>
        <w:t xml:space="preserve">关系的变迁与社会治理模式的创新.</w:t>
      </w:r>
      <w:r>
        <w:t xml:space="preserve"> </w:t>
      </w:r>
      <w:r>
        <w:rPr>
          <w:iCs/>
          <w:i/>
        </w:rPr>
        <w:t xml:space="preserve">浙江学刊</w:t>
      </w:r>
      <w:r>
        <w:t xml:space="preserve">,</w:t>
      </w:r>
      <w:r>
        <w:t xml:space="preserve"> </w:t>
      </w:r>
      <w:r>
        <w:rPr>
          <w:iCs/>
          <w:i/>
        </w:rPr>
        <w:t xml:space="preserve">02</w:t>
      </w:r>
      <w:r>
        <w:t xml:space="preserve">, 82–89.</w:t>
      </w:r>
    </w:p>
    <w:bookmarkEnd w:id="92"/>
    <w:bookmarkStart w:id="93" w:name="ref-WangKeFei2011"/>
    <w:p>
      <w:pPr>
        <w:pStyle w:val="a8"/>
      </w:pPr>
      <w:r>
        <w:t xml:space="preserve">王克非. (2011). 外语教育政策与社会经济发展.</w:t>
      </w:r>
      <w:r>
        <w:t xml:space="preserve"> </w:t>
      </w:r>
      <w:r>
        <w:rPr>
          <w:iCs/>
          <w:i/>
        </w:rPr>
        <w:t xml:space="preserve">外语界</w:t>
      </w:r>
      <w:r>
        <w:t xml:space="preserve">,</w:t>
      </w:r>
      <w:r>
        <w:t xml:space="preserve"> </w:t>
      </w:r>
      <w:r>
        <w:rPr>
          <w:iCs/>
          <w:i/>
        </w:rPr>
        <w:t xml:space="preserve">01</w:t>
      </w:r>
      <w:r>
        <w:t xml:space="preserve">, 2–7.</w:t>
      </w:r>
    </w:p>
    <w:bookmarkEnd w:id="93"/>
    <w:bookmarkStart w:id="95" w:name="ref-WangChunHui2019a"/>
    <w:p>
      <w:pPr>
        <w:pStyle w:val="a8"/>
      </w:pPr>
      <w:r>
        <w:t xml:space="preserve">王春辉. (2019). 语言与贫困的理论和实践.</w:t>
      </w:r>
      <w:r>
        <w:t xml:space="preserve"> </w:t>
      </w:r>
      <w:r>
        <w:rPr>
          <w:iCs/>
          <w:i/>
        </w:rPr>
        <w:t xml:space="preserve">语言战略研究</w:t>
      </w:r>
      <w:r>
        <w:t xml:space="preserve">,</w:t>
      </w:r>
      <w:r>
        <w:t xml:space="preserve"> </w:t>
      </w:r>
      <w:r>
        <w:rPr>
          <w:iCs/>
          <w:i/>
        </w:rPr>
        <w:t xml:space="preserve">4</w:t>
      </w:r>
      <w:r>
        <w:t xml:space="preserve">(01), 12–21.</w:t>
      </w:r>
      <w:r>
        <w:t xml:space="preserve"> </w:t>
      </w:r>
      <w:hyperlink r:id="rId94">
        <w:r>
          <w:rPr>
            <w:rStyle w:val="ae"/>
          </w:rPr>
          <w:t xml:space="preserve">https://kns.cnki.net/KCMS/detail/detail.aspx?dbcode=CJFD&amp;dbname=CJFDLAST2019&amp;filename=YZLY201901007&amp;v=</w:t>
        </w:r>
      </w:hyperlink>
    </w:p>
    <w:bookmarkEnd w:id="95"/>
    <w:bookmarkStart w:id="97" w:name="ref-WangChunHui2020b"/>
    <w:p>
      <w:pPr>
        <w:pStyle w:val="a8"/>
      </w:pPr>
      <w:r>
        <w:t xml:space="preserve">王春辉. (2020a). 后脱贫攻坚时期的中国语言扶贫.</w:t>
      </w:r>
      <w:r>
        <w:t xml:space="preserve"> </w:t>
      </w:r>
      <w:r>
        <w:rPr>
          <w:iCs/>
          <w:i/>
        </w:rPr>
        <w:t xml:space="preserve">语言文字应用</w:t>
      </w:r>
      <w:r>
        <w:t xml:space="preserve">,</w:t>
      </w:r>
      <w:r>
        <w:t xml:space="preserve"> </w:t>
      </w:r>
      <w:r>
        <w:rPr>
          <w:iCs/>
          <w:i/>
        </w:rPr>
        <w:t xml:space="preserve">3</w:t>
      </w:r>
      <w:r>
        <w:t xml:space="preserve">.</w:t>
      </w:r>
      <w:r>
        <w:t xml:space="preserve"> </w:t>
      </w:r>
      <w:hyperlink r:id="rId96">
        <w:r>
          <w:rPr>
            <w:rStyle w:val="ae"/>
          </w:rPr>
          <w:t xml:space="preserve">https://doi.org/10.16499/j.cnki.1003-5397.2020.03.003</w:t>
        </w:r>
      </w:hyperlink>
    </w:p>
    <w:bookmarkEnd w:id="97"/>
    <w:bookmarkStart w:id="99" w:name="ref-WangChunHui2020a"/>
    <w:p>
      <w:pPr>
        <w:pStyle w:val="a8"/>
      </w:pPr>
      <w:r>
        <w:t xml:space="preserve">王春辉. (2020b). 论语言与国家治理.</w:t>
      </w:r>
      <w:r>
        <w:t xml:space="preserve"> </w:t>
      </w:r>
      <w:r>
        <w:rPr>
          <w:iCs/>
          <w:i/>
        </w:rPr>
        <w:t xml:space="preserve">云南师范大学学报(哲学社会科学版)</w:t>
      </w:r>
      <w:r>
        <w:t xml:space="preserve">,</w:t>
      </w:r>
      <w:r>
        <w:t xml:space="preserve"> </w:t>
      </w:r>
      <w:r>
        <w:rPr>
          <w:iCs/>
          <w:i/>
        </w:rPr>
        <w:t xml:space="preserve">52</w:t>
      </w:r>
      <w:r>
        <w:t xml:space="preserve">(03), 29–37.</w:t>
      </w:r>
      <w:r>
        <w:t xml:space="preserve"> </w:t>
      </w:r>
      <w:hyperlink r:id="rId98">
        <w:r>
          <w:rPr>
            <w:rStyle w:val="ae"/>
          </w:rPr>
          <w:t xml:space="preserve">https://kns.cnki.net/KCMS/detail/detail.aspx?dbcode=CJFD&amp;dbname=CJFDLAST2020&amp;filename=YNSF202003006&amp;v=</w:t>
        </w:r>
      </w:hyperlink>
    </w:p>
    <w:bookmarkEnd w:id="99"/>
    <w:bookmarkStart w:id="100" w:name="ref-TianXueJun2019"/>
    <w:p>
      <w:pPr>
        <w:pStyle w:val="a8"/>
      </w:pPr>
      <w:r>
        <w:t xml:space="preserve">田学军. (2019). 聚焦推普脱贫 推进语言文字事业全面发展.</w:t>
      </w:r>
      <w:r>
        <w:t xml:space="preserve"> </w:t>
      </w:r>
      <w:r>
        <w:rPr>
          <w:iCs/>
          <w:i/>
        </w:rPr>
        <w:t xml:space="preserve">语言文字报</w:t>
      </w:r>
      <w:r>
        <w:t xml:space="preserve">, 001.</w:t>
      </w:r>
    </w:p>
    <w:bookmarkEnd w:id="100"/>
    <w:bookmarkStart w:id="101" w:name="ref-QiHongLiHong2004"/>
    <w:p>
      <w:pPr>
        <w:pStyle w:val="a8"/>
      </w:pPr>
      <w:r>
        <w:t xml:space="preserve">祁虹, &amp; 黎宏. (2004). 外语学习中的情感因素分析.</w:t>
      </w:r>
      <w:r>
        <w:t xml:space="preserve"> </w:t>
      </w:r>
      <w:r>
        <w:rPr>
          <w:iCs/>
          <w:i/>
        </w:rPr>
        <w:t xml:space="preserve">西南民族大学学报(人文社科版)</w:t>
      </w:r>
      <w:r>
        <w:t xml:space="preserve">,</w:t>
      </w:r>
      <w:r>
        <w:t xml:space="preserve"> </w:t>
      </w:r>
      <w:r>
        <w:rPr>
          <w:iCs/>
          <w:i/>
        </w:rPr>
        <w:t xml:space="preserve">06</w:t>
      </w:r>
      <w:r>
        <w:t xml:space="preserve">, 404–406.</w:t>
      </w:r>
    </w:p>
    <w:bookmarkEnd w:id="101"/>
    <w:bookmarkStart w:id="102" w:name="ref-SuDe2004"/>
    <w:p>
      <w:pPr>
        <w:pStyle w:val="a8"/>
      </w:pPr>
      <w:r>
        <w:t xml:space="preserve">苏德. (2004). 少数民族双语教育研究综述.</w:t>
      </w:r>
      <w:r>
        <w:t xml:space="preserve"> </w:t>
      </w:r>
      <w:r>
        <w:rPr>
          <w:iCs/>
          <w:i/>
        </w:rPr>
        <w:t xml:space="preserve">内蒙古师范大学学报(教育科学版)</w:t>
      </w:r>
      <w:r>
        <w:t xml:space="preserve">,</w:t>
      </w:r>
      <w:r>
        <w:t xml:space="preserve"> </w:t>
      </w:r>
      <w:r>
        <w:rPr>
          <w:iCs/>
          <w:i/>
        </w:rPr>
        <w:t xml:space="preserve">11</w:t>
      </w:r>
      <w:r>
        <w:t xml:space="preserve">, 1–6.</w:t>
      </w:r>
    </w:p>
    <w:bookmarkEnd w:id="102"/>
    <w:bookmarkStart w:id="103" w:name="ref-SuFang2020"/>
    <w:p>
      <w:pPr>
        <w:pStyle w:val="a8"/>
      </w:pPr>
      <w:r>
        <w:t xml:space="preserve">苏芳. (2020). 语言、教育与文化耦合:布鲁纳语言建构观的本质内涵及启示.</w:t>
      </w:r>
      <w:r>
        <w:t xml:space="preserve"> </w:t>
      </w:r>
      <w:r>
        <w:rPr>
          <w:iCs/>
          <w:i/>
        </w:rPr>
        <w:t xml:space="preserve">教育与教学研究</w:t>
      </w:r>
      <w:r>
        <w:t xml:space="preserve">,</w:t>
      </w:r>
      <w:r>
        <w:t xml:space="preserve"> </w:t>
      </w:r>
      <w:r>
        <w:rPr>
          <w:iCs/>
          <w:i/>
        </w:rPr>
        <w:t xml:space="preserve">34</w:t>
      </w:r>
      <w:r>
        <w:t xml:space="preserve">(09), 18–28.</w:t>
      </w:r>
    </w:p>
    <w:bookmarkEnd w:id="103"/>
    <w:bookmarkStart w:id="104" w:name="ref-YingJiZhuoMa2018"/>
    <w:p>
      <w:pPr>
        <w:pStyle w:val="a8"/>
      </w:pPr>
      <w:r>
        <w:t xml:space="preserve">英吉卓玛. (2018). 青海藏区藏族学生语言能力与个人发展关系个案考察.</w:t>
      </w:r>
      <w:r>
        <w:t xml:space="preserve"> </w:t>
      </w:r>
      <w:r>
        <w:rPr>
          <w:iCs/>
          <w:i/>
        </w:rPr>
        <w:t xml:space="preserve">语言战略研究</w:t>
      </w:r>
      <w:r>
        <w:t xml:space="preserve">,</w:t>
      </w:r>
      <w:r>
        <w:t xml:space="preserve"> </w:t>
      </w:r>
      <w:r>
        <w:rPr>
          <w:iCs/>
          <w:i/>
        </w:rPr>
        <w:t xml:space="preserve">3</w:t>
      </w:r>
      <w:r>
        <w:t xml:space="preserve">(05), 40–45.</w:t>
      </w:r>
    </w:p>
    <w:bookmarkEnd w:id="104"/>
    <w:bookmarkStart w:id="105" w:name="ref-HaoYuQingCheYue2011"/>
    <w:p>
      <w:pPr>
        <w:pStyle w:val="a8"/>
      </w:pPr>
      <w:r>
        <w:t xml:space="preserve">郝宇青, &amp; 车跃. (2011). 怨恨情绪及其化解:必须高度关注的一个重要课题.</w:t>
      </w:r>
      <w:r>
        <w:t xml:space="preserve"> </w:t>
      </w:r>
      <w:r>
        <w:rPr>
          <w:iCs/>
          <w:i/>
        </w:rPr>
        <w:t xml:space="preserve">探索</w:t>
      </w:r>
      <w:r>
        <w:t xml:space="preserve">,</w:t>
      </w:r>
      <w:r>
        <w:t xml:space="preserve"> </w:t>
      </w:r>
      <w:r>
        <w:rPr>
          <w:iCs/>
          <w:i/>
        </w:rPr>
        <w:t xml:space="preserve">04</w:t>
      </w:r>
      <w:r>
        <w:t xml:space="preserve">, 70–76.</w:t>
      </w:r>
    </w:p>
    <w:bookmarkEnd w:id="105"/>
    <w:bookmarkStart w:id="106" w:name="ref-ChenLiXiang2021"/>
    <w:p>
      <w:pPr>
        <w:pStyle w:val="a8"/>
      </w:pPr>
      <w:r>
        <w:t xml:space="preserve">陈丽湘. (2021). 政策网络视域下的媒体语言治理初探.</w:t>
      </w:r>
      <w:r>
        <w:t xml:space="preserve"> </w:t>
      </w:r>
      <w:r>
        <w:rPr>
          <w:iCs/>
          <w:i/>
        </w:rPr>
        <w:t xml:space="preserve">中国广播电视学刊</w:t>
      </w:r>
      <w:r>
        <w:t xml:space="preserve">,</w:t>
      </w:r>
      <w:r>
        <w:t xml:space="preserve"> </w:t>
      </w:r>
      <w:r>
        <w:rPr>
          <w:iCs/>
          <w:i/>
        </w:rPr>
        <w:t xml:space="preserve">6</w:t>
      </w:r>
      <w:r>
        <w:t xml:space="preserve">, 39–43.</w:t>
      </w:r>
    </w:p>
    <w:bookmarkEnd w:id="106"/>
    <w:bookmarkStart w:id="107" w:name="ref-ChenPing2008"/>
    <w:p>
      <w:pPr>
        <w:pStyle w:val="a8"/>
      </w:pPr>
      <w:r>
        <w:t xml:space="preserve">陈平. (2008). 语言民族主义:欧洲与中国.</w:t>
      </w:r>
      <w:r>
        <w:t xml:space="preserve"> </w:t>
      </w:r>
      <w:r>
        <w:rPr>
          <w:iCs/>
          <w:i/>
        </w:rPr>
        <w:t xml:space="preserve">外语教学与研究</w:t>
      </w:r>
      <w:r>
        <w:t xml:space="preserve">,</w:t>
      </w:r>
      <w:r>
        <w:t xml:space="preserve"> </w:t>
      </w:r>
      <w:r>
        <w:rPr>
          <w:iCs/>
          <w:i/>
        </w:rPr>
        <w:t xml:space="preserve">01</w:t>
      </w:r>
      <w:r>
        <w:t xml:space="preserve">, 4–13+80.</w:t>
      </w:r>
    </w:p>
    <w:bookmarkEnd w:id="107"/>
    <w:bookmarkStart w:id="108" w:name="ref-MaRong2004a"/>
    <w:p>
      <w:pPr>
        <w:pStyle w:val="a8"/>
      </w:pPr>
      <w:r>
        <w:t xml:space="preserve">马戎. (2004). 语言使用与族群关系.</w:t>
      </w:r>
      <w:r>
        <w:t xml:space="preserve"> </w:t>
      </w:r>
      <w:r>
        <w:rPr>
          <w:iCs/>
          <w:i/>
        </w:rPr>
        <w:t xml:space="preserve">西北民族研究</w:t>
      </w:r>
      <w:r>
        <w:t xml:space="preserve">,</w:t>
      </w:r>
      <w:r>
        <w:t xml:space="preserve"> </w:t>
      </w:r>
      <w:r>
        <w:rPr>
          <w:iCs/>
          <w:i/>
        </w:rPr>
        <w:t xml:space="preserve">01</w:t>
      </w:r>
      <w:r>
        <w:t xml:space="preserve">, 20–44+147.</w:t>
      </w:r>
    </w:p>
    <w:bookmarkEnd w:id="108"/>
    <w:bookmarkStart w:id="109" w:name="ref-MaRong2017"/>
    <w:p>
      <w:pPr>
        <w:pStyle w:val="a8"/>
      </w:pPr>
      <w:r>
        <w:t xml:space="preserve">马戎. (2017). 汉语学习与中国少数族群的现代化.</w:t>
      </w:r>
      <w:r>
        <w:t xml:space="preserve"> </w:t>
      </w:r>
      <w:r>
        <w:rPr>
          <w:iCs/>
          <w:i/>
        </w:rPr>
        <w:t xml:space="preserve">社会政策研究</w:t>
      </w:r>
      <w:r>
        <w:t xml:space="preserve">,</w:t>
      </w:r>
      <w:r>
        <w:t xml:space="preserve"> </w:t>
      </w:r>
      <w:r>
        <w:rPr>
          <w:iCs/>
          <w:i/>
        </w:rPr>
        <w:t xml:space="preserve">01</w:t>
      </w:r>
      <w:r>
        <w:t xml:space="preserve">, 110–124.</w:t>
      </w:r>
    </w:p>
    <w:bookmarkEnd w:id="109"/>
    <w:bookmarkStart w:id="110" w:name="ref-LuZiWen2008"/>
    <w:p>
      <w:pPr>
        <w:pStyle w:val="a8"/>
      </w:pPr>
      <w:r>
        <w:t xml:space="preserve">鲁子问. (2008). 国家治理视野的语言政策.</w:t>
      </w:r>
      <w:r>
        <w:t xml:space="preserve"> </w:t>
      </w:r>
      <w:r>
        <w:rPr>
          <w:iCs/>
          <w:i/>
        </w:rPr>
        <w:t xml:space="preserve">社会主义研究</w:t>
      </w:r>
      <w:r>
        <w:t xml:space="preserve">,</w:t>
      </w:r>
      <w:r>
        <w:t xml:space="preserve"> </w:t>
      </w:r>
      <w:r>
        <w:rPr>
          <w:iCs/>
          <w:i/>
        </w:rPr>
        <w:t xml:space="preserve">06</w:t>
      </w:r>
      <w:r>
        <w:t xml:space="preserve">, 54–58.</w:t>
      </w:r>
    </w:p>
    <w:bookmarkEnd w:id="110"/>
    <w:bookmarkStart w:id="111" w:name="ref-HuangShaoAnWangLuCong2020"/>
    <w:p>
      <w:pPr>
        <w:pStyle w:val="a8"/>
      </w:pPr>
      <w:r>
        <w:t xml:space="preserve">黄少安, &amp; 王麓淙. (2020). 民族地区语言扶贫的经济理论基础和实证分析.</w:t>
      </w:r>
      <w:r>
        <w:t xml:space="preserve"> </w:t>
      </w:r>
      <w:r>
        <w:rPr>
          <w:iCs/>
          <w:i/>
        </w:rPr>
        <w:t xml:space="preserve">语言文字应用</w:t>
      </w:r>
      <w:r>
        <w:t xml:space="preserve">,</w:t>
      </w:r>
      <w:r>
        <w:t xml:space="preserve"> </w:t>
      </w:r>
      <w:r>
        <w:rPr>
          <w:iCs/>
          <w:i/>
        </w:rPr>
        <w:t xml:space="preserve">04</w:t>
      </w:r>
      <w:r>
        <w:t xml:space="preserve">, 26–36.</w:t>
      </w:r>
    </w:p>
    <w:bookmarkEnd w:id="111"/>
    <w:bookmarkEnd w:id="112"/>
    <w:bookmarkEnd w:id="113"/>
    <w:sectPr w:rsidR="00903422" w:rsidSect="003501AD">
      <w:footerReference w:type="default" r:id="rId9"/>
      <w:footnotePr>
        <w:numFmt w:val="decimalEnclosedCircleChinese"/>
      </w:footnotePr>
      <w:pgSz w:w="12240" w:h="15840"/>
      <w:pgMar w:top="1440" w:right="1440" w:bottom="1440" w:left="144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3104563"/>
      <w:docPartObj>
        <w:docPartGallery w:val="Page Numbers (Bottom of Page)"/>
        <w:docPartUnique/>
      </w:docPartObj>
    </w:sdtPr>
    <w:sdtEndPr/>
    <w:sdtContent>
      <w:p w14:paraId="6334F2AB" w14:textId="77777777" w:rsidR="00C14F0A" w:rsidRDefault="00C14F0A">
        <w:pPr>
          <w:pStyle w:val="af1"/>
          <w:jc w:val="center"/>
        </w:pPr>
        <w:r>
          <w:fldChar w:fldCharType="begin"/>
        </w:r>
        <w:r>
          <w:instrText>PAGE   \* MERGEFORMAT</w:instrText>
        </w:r>
        <w:r>
          <w:fldChar w:fldCharType="separate"/>
        </w:r>
        <w:r>
          <w:rPr>
            <w:lang w:val="zh-CN" w:eastAsia="zh-CN"/>
          </w:rPr>
          <w:t>2</w:t>
        </w:r>
        <w:r>
          <w:fldChar w:fldCharType="end"/>
        </w:r>
      </w:p>
    </w:sdtContent>
  </w:sdt>
  <w:p w14:paraId="014E85FB" w14:textId="77777777" w:rsidR="00C14F0A" w:rsidRDefault="00C14F0A">
    <w:pPr>
      <w:pStyle w:val="af1"/>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aa"/>
      </w:pPr>
      <w:r>
        <w:rPr>
          <w:rStyle w:val="ad"/>
        </w:rPr>
        <w:footnoteRef/>
      </w:r>
      <w:r>
        <w:t xml:space="preserve"> </w:t>
      </w:r>
      <w:r>
        <w:t xml:space="preserve">胡悦，清华大学政治学系副教授；朱萌，通讯作者，清华大学政治学系硕士研究生。本文为国家自然科学基金委青年项目（72004109）</w:t>
      </w:r>
      <w:r>
        <w:t xml:space="preserve">“</w:t>
      </w:r>
      <w:r>
        <w:t xml:space="preserve">新型城镇化进程中新老市民身份认同建构的社会心理机制与政策引导路径研究</w:t>
      </w:r>
      <w:r>
        <w:t xml:space="preserve">”</w:t>
      </w:r>
      <w:r>
        <w:t xml:space="preserve">研究成果。</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3140CF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A02A2D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112177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3A860B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9F8DA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398B0A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E880AD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53829D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3501AD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D0CFB1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0F2301"/>
    <w:multiLevelType w:val="multilevel"/>
    <w:tmpl w:val="1F7EAC2E"/>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252E1555"/>
    <w:multiLevelType w:val="hybridMultilevel"/>
    <w:tmpl w:val="7276B042"/>
    <w:lvl w:ilvl="0" w:tplc="36D027F0">
      <w:start w:val="1"/>
      <w:numFmt w:val="chineseCountingThousand"/>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1AE401"/>
    <w:multiLevelType w:val="multilevel"/>
    <w:tmpl w:val="1B18ADB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3" w15:restartNumberingAfterBreak="0">
    <w:nsid w:val="3CA300DB"/>
    <w:multiLevelType w:val="multilevel"/>
    <w:tmpl w:val="A5E257F8"/>
    <w:lvl w:ilvl="0">
      <w:start w:val="1"/>
      <w:numFmt w:val="chineseCountingThousand"/>
      <w:pStyle w:val="1"/>
      <w:lvlText w:val="%1、"/>
      <w:lvlJc w:val="left"/>
      <w:pPr>
        <w:ind w:left="360" w:hanging="360"/>
      </w:pPr>
      <w:rPr>
        <w:rFonts w:hint="default"/>
      </w:rPr>
    </w:lvl>
    <w:lvl w:ilvl="1">
      <w:start w:val="1"/>
      <w:numFmt w:val="chineseCountingThousand"/>
      <w:pStyle w:val="2"/>
      <w:lvlText w:val="（%2）"/>
      <w:lvlJc w:val="left"/>
      <w:pPr>
        <w:ind w:left="400" w:hanging="400"/>
      </w:pPr>
      <w:rPr>
        <w:rFonts w:hint="default"/>
      </w:rPr>
    </w:lvl>
    <w:lvl w:ilvl="2">
      <w:start w:val="1"/>
      <w:numFmt w:val="decimal"/>
      <w:lvlText w:val="%3."/>
      <w:lvlJc w:val="left"/>
      <w:pPr>
        <w:ind w:left="400" w:hanging="40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3CD0383A"/>
    <w:multiLevelType w:val="multilevel"/>
    <w:tmpl w:val="811ED32A"/>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664124FE"/>
    <w:multiLevelType w:val="multilevel"/>
    <w:tmpl w:val="E948F896"/>
    <w:lvl w:ilvl="0">
      <w:start w:val="1"/>
      <w:numFmt w:val="chineseCountingThousand"/>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6E0A48AD"/>
    <w:multiLevelType w:val="hybridMultilevel"/>
    <w:tmpl w:val="AAF60F6C"/>
    <w:lvl w:ilvl="0" w:tplc="2B583C18">
      <w:start w:val="1"/>
      <w:numFmt w:val="decimal"/>
      <w:pStyle w:val="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F3C7095"/>
    <w:multiLevelType w:val="multilevel"/>
    <w:tmpl w:val="33E08568"/>
    <w:lvl w:ilvl="0">
      <w:start w:val="1"/>
      <w:numFmt w:val="chineseCountingThousand"/>
      <w:lvlText w:val="%1、"/>
      <w:lvlJc w:val="left"/>
      <w:pPr>
        <w:ind w:left="360" w:hanging="360"/>
      </w:pPr>
      <w:rPr>
        <w:rFonts w:hint="default"/>
      </w:rPr>
    </w:lvl>
    <w:lvl w:ilvl="1">
      <w:start w:val="1"/>
      <w:numFmt w:val="chineseCountingThousand"/>
      <w:lvlText w:val="（%2）"/>
      <w:lvlJc w:val="left"/>
      <w:pPr>
        <w:ind w:left="0" w:firstLine="0"/>
      </w:pPr>
      <w:rPr>
        <w:rFonts w:hint="default"/>
      </w:rPr>
    </w:lvl>
    <w:lvl w:ilvl="2">
      <w:start w:val="1"/>
      <w:numFmt w:val="decimal"/>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2"/>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 w:numId="12">
    <w:abstractNumId w:val="13"/>
  </w:num>
  <w:num w:numId="13">
    <w:abstractNumId w:val="15"/>
  </w:num>
  <w:num w:numId="14">
    <w:abstractNumId w:val="14"/>
  </w:num>
  <w:num w:numId="15">
    <w:abstractNumId w:val="10"/>
  </w:num>
  <w:num w:numId="16">
    <w:abstractNumId w:val="11"/>
  </w:num>
  <w:num w:numId="17">
    <w:abstractNumId w:val="16"/>
  </w:num>
  <w:num w:numId="18">
    <w:abstractNumId w:val="17"/>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A0C9D"/>
    <w:pPr>
      <w:spacing w:after="0"/>
    </w:pPr>
    <w:rPr>
      <w:rFonts w:asciiTheme="minorEastAsia" w:eastAsiaTheme="minorEastAsia" w:hAnsiTheme="minorEastAsia"/>
    </w:rPr>
  </w:style>
  <w:style w:type="paragraph" w:styleId="1">
    <w:name w:val="heading 1"/>
    <w:basedOn w:val="a"/>
    <w:next w:val="a0"/>
    <w:autoRedefine/>
    <w:uiPriority w:val="9"/>
    <w:qFormat/>
    <w:rsid w:val="00B90F50"/>
    <w:pPr>
      <w:keepNext/>
      <w:keepLines/>
      <w:numPr>
        <w:numId w:val="12"/>
      </w:numPr>
      <w:spacing w:before="480"/>
      <w:outlineLvl w:val="0"/>
    </w:pPr>
    <w:rPr>
      <w:rFonts w:asciiTheme="majorEastAsia" w:eastAsiaTheme="majorEastAsia" w:hAnsiTheme="majorEastAsia" w:cstheme="majorBidi"/>
      <w:b/>
      <w:bCs/>
      <w:sz w:val="28"/>
      <w:szCs w:val="32"/>
      <w:lang w:eastAsia="zh-CN"/>
    </w:rPr>
  </w:style>
  <w:style w:type="paragraph" w:styleId="2">
    <w:name w:val="heading 2"/>
    <w:basedOn w:val="a"/>
    <w:next w:val="a0"/>
    <w:autoRedefine/>
    <w:uiPriority w:val="9"/>
    <w:unhideWhenUsed/>
    <w:qFormat/>
    <w:rsid w:val="00B90F50"/>
    <w:pPr>
      <w:keepNext/>
      <w:keepLines/>
      <w:numPr>
        <w:ilvl w:val="1"/>
        <w:numId w:val="12"/>
      </w:numPr>
      <w:spacing w:before="200"/>
      <w:ind w:left="0" w:firstLineChars="200" w:firstLine="200"/>
      <w:outlineLvl w:val="1"/>
    </w:pPr>
    <w:rPr>
      <w:rFonts w:asciiTheme="majorEastAsia" w:eastAsiaTheme="majorEastAsia" w:hAnsiTheme="majorEastAsia" w:cstheme="majorBidi"/>
      <w:b/>
      <w:bCs/>
      <w:szCs w:val="28"/>
      <w:lang w:eastAsia="zh-CN"/>
    </w:rPr>
  </w:style>
  <w:style w:type="paragraph" w:styleId="3">
    <w:name w:val="heading 3"/>
    <w:basedOn w:val="a"/>
    <w:next w:val="a0"/>
    <w:autoRedefine/>
    <w:uiPriority w:val="9"/>
    <w:unhideWhenUsed/>
    <w:qFormat/>
    <w:rsid w:val="00AE4ACA"/>
    <w:pPr>
      <w:keepNext/>
      <w:keepLines/>
      <w:numPr>
        <w:numId w:val="17"/>
      </w:numPr>
      <w:spacing w:before="200"/>
      <w:outlineLvl w:val="2"/>
    </w:pPr>
    <w:rPr>
      <w:rFonts w:asciiTheme="majorEastAsia" w:eastAsiaTheme="majorEastAsia" w:hAnsiTheme="majorEastAsia" w:cstheme="majorBidi"/>
      <w:b/>
      <w:bCs/>
      <w:sz w:val="21"/>
    </w:rPr>
  </w:style>
  <w:style w:type="paragraph" w:styleId="4">
    <w:name w:val="heading 4"/>
    <w:basedOn w:val="a"/>
    <w:next w:val="a0"/>
    <w:uiPriority w:val="9"/>
    <w:unhideWhenUsed/>
    <w:qFormat/>
    <w:pPr>
      <w:keepNext/>
      <w:keepLines/>
      <w:spacing w:before="20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autoRedefine/>
    <w:qFormat/>
    <w:rsid w:val="00D61ADC"/>
    <w:pPr>
      <w:spacing w:before="180" w:after="180"/>
      <w:ind w:firstLine="475"/>
    </w:pPr>
    <w:rPr>
      <w:rFonts w:cs="MS Gothic"/>
      <w:lang w:eastAsia="zh-CN"/>
    </w:rPr>
  </w:style>
  <w:style w:type="paragraph" w:customStyle="1" w:styleId="FirstParagraph">
    <w:name w:val="First Paragraph"/>
    <w:basedOn w:val="a0"/>
    <w:next w:val="a0"/>
    <w:qFormat/>
  </w:style>
  <w:style w:type="paragraph" w:customStyle="1" w:styleId="Compact">
    <w:name w:val="Compact"/>
    <w:basedOn w:val="a0"/>
    <w:qFormat/>
    <w:rsid w:val="005A0C9D"/>
    <w:pPr>
      <w:spacing w:before="36" w:after="36"/>
      <w:ind w:firstLine="0"/>
    </w:pPr>
  </w:style>
  <w:style w:type="paragraph" w:styleId="a5">
    <w:name w:val="Title"/>
    <w:basedOn w:val="a"/>
    <w:next w:val="a0"/>
    <w:autoRedefine/>
    <w:qFormat/>
    <w:rsid w:val="00AE4ACA"/>
    <w:pPr>
      <w:keepNext/>
      <w:keepLines/>
      <w:spacing w:before="480" w:after="240"/>
      <w:jc w:val="center"/>
    </w:pPr>
    <w:rPr>
      <w:rFonts w:asciiTheme="majorEastAsia" w:eastAsiaTheme="majorEastAsia" w:hAnsiTheme="majorEastAsia" w:cstheme="majorBidi"/>
      <w:b/>
      <w:bCs/>
      <w:sz w:val="32"/>
      <w:szCs w:val="36"/>
    </w:rPr>
  </w:style>
  <w:style w:type="paragraph" w:styleId="a6">
    <w:name w:val="Subtitle"/>
    <w:basedOn w:val="a5"/>
    <w:next w:val="a0"/>
    <w:qFormat/>
    <w:rsid w:val="00AE4ACA"/>
    <w:pPr>
      <w:spacing w:before="240"/>
    </w:pPr>
    <w:rPr>
      <w:sz w:val="28"/>
      <w:szCs w:val="30"/>
    </w:rPr>
  </w:style>
  <w:style w:type="paragraph" w:customStyle="1" w:styleId="Author">
    <w:name w:val="Author"/>
    <w:next w:val="a0"/>
    <w:autoRedefine/>
    <w:qFormat/>
    <w:rsid w:val="00AE4ACA"/>
    <w:pPr>
      <w:keepNext/>
      <w:keepLines/>
      <w:jc w:val="center"/>
    </w:pPr>
    <w:rPr>
      <w:rFonts w:asciiTheme="majorEastAsia" w:hAnsiTheme="majorEastAsia"/>
      <w:sz w:val="21"/>
    </w:rPr>
  </w:style>
  <w:style w:type="paragraph" w:styleId="a7">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8">
    <w:name w:val="Bibliography"/>
    <w:basedOn w:val="a"/>
    <w:qFormat/>
  </w:style>
  <w:style w:type="paragraph" w:styleId="a9">
    <w:name w:val="Block Text"/>
    <w:basedOn w:val="a0"/>
    <w:next w:val="a0"/>
    <w:uiPriority w:val="9"/>
    <w:unhideWhenUsed/>
    <w:qFormat/>
    <w:pPr>
      <w:spacing w:before="100" w:after="100"/>
      <w:ind w:left="480" w:right="480" w:firstLine="0"/>
    </w:pPr>
  </w:style>
  <w:style w:type="paragraph" w:styleId="aa">
    <w:name w:val="footnote text"/>
    <w:basedOn w:val="a"/>
    <w:autoRedefine/>
    <w:uiPriority w:val="9"/>
    <w:unhideWhenUsed/>
    <w:qFormat/>
    <w:rsid w:val="001463CD"/>
    <w:rPr>
      <w:sz w:val="21"/>
    </w:r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pPr>
    <w:rPr>
      <w:b/>
    </w:rPr>
  </w:style>
  <w:style w:type="paragraph" w:customStyle="1" w:styleId="Definition">
    <w:name w:val="Definition"/>
    <w:basedOn w:val="a"/>
  </w:style>
  <w:style w:type="paragraph" w:styleId="ab">
    <w:name w:val="caption"/>
    <w:basedOn w:val="a"/>
    <w:link w:val="ac"/>
    <w:pPr>
      <w:spacing w:after="120"/>
    </w:pPr>
    <w:rPr>
      <w:i/>
    </w:rPr>
  </w:style>
  <w:style w:type="paragraph" w:customStyle="1" w:styleId="TableCaption">
    <w:name w:val="Table Caption"/>
    <w:basedOn w:val="ab"/>
    <w:autoRedefine/>
    <w:rsid w:val="00147881"/>
    <w:pPr>
      <w:keepNext/>
      <w:jc w:val="center"/>
    </w:pPr>
  </w:style>
  <w:style w:type="paragraph" w:customStyle="1" w:styleId="ImageCaption">
    <w:name w:val="Image Caption"/>
    <w:basedOn w:val="ab"/>
    <w:autoRedefine/>
    <w:rsid w:val="00147881"/>
    <w:pPr>
      <w:jc w:val="center"/>
    </w:pPr>
  </w:style>
  <w:style w:type="paragraph" w:customStyle="1" w:styleId="Figure">
    <w:name w:val="Figure"/>
    <w:basedOn w:val="a"/>
  </w:style>
  <w:style w:type="paragraph" w:customStyle="1" w:styleId="CaptionedFigure">
    <w:name w:val="Captioned Figure"/>
    <w:basedOn w:val="Figure"/>
    <w:autoRedefine/>
    <w:rsid w:val="008460C9"/>
    <w:pPr>
      <w:keepNext/>
      <w:jc w:val="center"/>
    </w:pPr>
  </w:style>
  <w:style w:type="character" w:customStyle="1" w:styleId="ac">
    <w:name w:val="题注 字符"/>
    <w:basedOn w:val="a1"/>
    <w:link w:val="ab"/>
  </w:style>
  <w:style w:type="character" w:customStyle="1" w:styleId="VerbatimChar">
    <w:name w:val="Verbatim Char"/>
    <w:basedOn w:val="ac"/>
    <w:link w:val="SourceCode"/>
    <w:rPr>
      <w:rFonts w:ascii="Consolas" w:hAnsi="Consolas"/>
      <w:sz w:val="22"/>
    </w:rPr>
  </w:style>
  <w:style w:type="character" w:customStyle="1" w:styleId="SectionNumber">
    <w:name w:val="Section Number"/>
    <w:basedOn w:val="ac"/>
  </w:style>
  <w:style w:type="character" w:styleId="ad">
    <w:name w:val="footnote reference"/>
    <w:basedOn w:val="ac"/>
    <w:rPr>
      <w:vertAlign w:val="superscript"/>
    </w:rPr>
  </w:style>
  <w:style w:type="character" w:styleId="ae">
    <w:name w:val="Hyperlink"/>
    <w:basedOn w:val="ac"/>
    <w:rsid w:val="00A3445E"/>
    <w:rPr>
      <w:color w:val="auto"/>
    </w:rPr>
  </w:style>
  <w:style w:type="paragraph" w:styleId="TOC">
    <w:name w:val="TOC Heading"/>
    <w:basedOn w:val="1"/>
    <w:next w:val="a0"/>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af">
    <w:name w:val="header"/>
    <w:basedOn w:val="a"/>
    <w:link w:val="af0"/>
    <w:unhideWhenUsed/>
    <w:rsid w:val="005A0C9D"/>
    <w:pPr>
      <w:tabs>
        <w:tab w:val="center" w:pos="4320"/>
        <w:tab w:val="right" w:pos="8640"/>
      </w:tabs>
    </w:pPr>
  </w:style>
  <w:style w:type="character" w:customStyle="1" w:styleId="af0">
    <w:name w:val="页眉 字符"/>
    <w:basedOn w:val="a1"/>
    <w:link w:val="af"/>
    <w:rsid w:val="005A0C9D"/>
  </w:style>
  <w:style w:type="paragraph" w:styleId="af1">
    <w:name w:val="footer"/>
    <w:basedOn w:val="a"/>
    <w:link w:val="af2"/>
    <w:uiPriority w:val="99"/>
    <w:unhideWhenUsed/>
    <w:rsid w:val="005A0C9D"/>
    <w:pPr>
      <w:tabs>
        <w:tab w:val="center" w:pos="4320"/>
        <w:tab w:val="right" w:pos="8640"/>
      </w:tabs>
    </w:pPr>
  </w:style>
  <w:style w:type="character" w:customStyle="1" w:styleId="af2">
    <w:name w:val="页脚 字符"/>
    <w:basedOn w:val="a1"/>
    <w:link w:val="af1"/>
    <w:uiPriority w:val="99"/>
    <w:rsid w:val="005A0C9D"/>
  </w:style>
  <w:style w:type="character" w:customStyle="1" w:styleId="a4">
    <w:name w:val="正文文本 字符"/>
    <w:basedOn w:val="a1"/>
    <w:link w:val="a0"/>
    <w:rsid w:val="00D61ADC"/>
    <w:rPr>
      <w:rFonts w:asciiTheme="minorEastAsia" w:eastAsiaTheme="minorEastAsia" w:hAnsiTheme="minorEastAsia" w:cs="MS Gothic"/>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59" Target="https://book.douban.com/subject/10771031/" TargetMode="External" /><Relationship Type="http://schemas.openxmlformats.org/officeDocument/2006/relationships/hyperlink" Id="rId61" Target="https://doi.org/0.1080/03085149000000001" TargetMode="External" /><Relationship Type="http://schemas.openxmlformats.org/officeDocument/2006/relationships/hyperlink" Id="rId50" Target="https://doi.org/10.1002/9781119072256.ch33" TargetMode="External" /><Relationship Type="http://schemas.openxmlformats.org/officeDocument/2006/relationships/hyperlink" Id="rId64" Target="https://doi.org/10.1007/s10680-010-9214-x" TargetMode="External" /><Relationship Type="http://schemas.openxmlformats.org/officeDocument/2006/relationships/hyperlink" Id="rId48" Target="https://doi.org/10.1017/jea.2019.41" TargetMode="External" /><Relationship Type="http://schemas.openxmlformats.org/officeDocument/2006/relationships/hyperlink" Id="rId56" Target="https://doi.org/10.1017/s0007123416000260" TargetMode="External" /><Relationship Type="http://schemas.openxmlformats.org/officeDocument/2006/relationships/hyperlink" Id="rId68" Target="https://doi.org/10.1037/0022-0663.87.2.241" TargetMode="External" /><Relationship Type="http://schemas.openxmlformats.org/officeDocument/2006/relationships/hyperlink" Id="rId37" Target="https://doi.org/10.1080/00437956.2019.1615708" TargetMode="External" /><Relationship Type="http://schemas.openxmlformats.org/officeDocument/2006/relationships/hyperlink" Id="rId46" Target="https://doi.org/10.1080/13510347.2019.1690461" TargetMode="External" /><Relationship Type="http://schemas.openxmlformats.org/officeDocument/2006/relationships/hyperlink" Id="rId66" Target="https://doi.org/10.1093/esr/jct018" TargetMode="External" /><Relationship Type="http://schemas.openxmlformats.org/officeDocument/2006/relationships/hyperlink" Id="rId39" Target="https://doi.org/10.1111/1468-0297.t01-1-00151" TargetMode="External" /><Relationship Type="http://schemas.openxmlformats.org/officeDocument/2006/relationships/hyperlink" Id="rId83" Target="https://doi.org/10.14154/j.cnki.qss.2017.06.016" TargetMode="External" /><Relationship Type="http://schemas.openxmlformats.org/officeDocument/2006/relationships/hyperlink" Id="rId52" Target="https://doi.org/10.1525/ae.1978.5.4.02a00130" TargetMode="External" /><Relationship Type="http://schemas.openxmlformats.org/officeDocument/2006/relationships/hyperlink" Id="rId76" Target="https://doi.org/10.16486/j.cnki.62-1035/d.2010.01.026" TargetMode="External" /><Relationship Type="http://schemas.openxmlformats.org/officeDocument/2006/relationships/hyperlink" Id="rId96" Target="https://doi.org/10.16499/j.cnki.1003-5397.2020.03.003" TargetMode="External" /><Relationship Type="http://schemas.openxmlformats.org/officeDocument/2006/relationships/hyperlink" Id="rId86" Target="https://doi.org/10.16499/j.cnki.1003-5397.2021.03.001" TargetMode="External" /><Relationship Type="http://schemas.openxmlformats.org/officeDocument/2006/relationships/hyperlink" Id="rId94" Target="https://kns.cnki.net/KCMS/detail/detail.aspx?dbcode=CJFD&amp;dbname=CJFDLAST2019&amp;filename=YZLY201901007&amp;v=" TargetMode="External" /><Relationship Type="http://schemas.openxmlformats.org/officeDocument/2006/relationships/hyperlink" Id="rId98" Target="https://kns.cnki.net/KCMS/detail/detail.aspx?dbcode=CJFD&amp;dbname=CJFDLAST2020&amp;filename=YNSF202003006&amp;v=" TargetMode="External" /><Relationship Type="http://schemas.openxmlformats.org/officeDocument/2006/relationships/hyperlink" Id="rId43" Target="https://www.researchgate.net/publication/270196760_The_Linguistic_Sciences_and_Language_Teaching" TargetMode="External" /></Relationships>
</file>

<file path=word/_rels/footnotes.xml.rels><?xml version="1.0" encoding="UTF-8"?>
<Relationships xmlns="http://schemas.openxmlformats.org/package/2006/relationships"><Relationship Type="http://schemas.openxmlformats.org/officeDocument/2006/relationships/hyperlink" Id="rId59" Target="https://book.douban.com/subject/10771031/" TargetMode="External" /><Relationship Type="http://schemas.openxmlformats.org/officeDocument/2006/relationships/hyperlink" Id="rId61" Target="https://doi.org/0.1080/03085149000000001" TargetMode="External" /><Relationship Type="http://schemas.openxmlformats.org/officeDocument/2006/relationships/hyperlink" Id="rId50" Target="https://doi.org/10.1002/9781119072256.ch33" TargetMode="External" /><Relationship Type="http://schemas.openxmlformats.org/officeDocument/2006/relationships/hyperlink" Id="rId64" Target="https://doi.org/10.1007/s10680-010-9214-x" TargetMode="External" /><Relationship Type="http://schemas.openxmlformats.org/officeDocument/2006/relationships/hyperlink" Id="rId48" Target="https://doi.org/10.1017/jea.2019.41" TargetMode="External" /><Relationship Type="http://schemas.openxmlformats.org/officeDocument/2006/relationships/hyperlink" Id="rId56" Target="https://doi.org/10.1017/s0007123416000260" TargetMode="External" /><Relationship Type="http://schemas.openxmlformats.org/officeDocument/2006/relationships/hyperlink" Id="rId68" Target="https://doi.org/10.1037/0022-0663.87.2.241" TargetMode="External" /><Relationship Type="http://schemas.openxmlformats.org/officeDocument/2006/relationships/hyperlink" Id="rId37" Target="https://doi.org/10.1080/00437956.2019.1615708" TargetMode="External" /><Relationship Type="http://schemas.openxmlformats.org/officeDocument/2006/relationships/hyperlink" Id="rId46" Target="https://doi.org/10.1080/13510347.2019.1690461" TargetMode="External" /><Relationship Type="http://schemas.openxmlformats.org/officeDocument/2006/relationships/hyperlink" Id="rId66" Target="https://doi.org/10.1093/esr/jct018" TargetMode="External" /><Relationship Type="http://schemas.openxmlformats.org/officeDocument/2006/relationships/hyperlink" Id="rId39" Target="https://doi.org/10.1111/1468-0297.t01-1-00151" TargetMode="External" /><Relationship Type="http://schemas.openxmlformats.org/officeDocument/2006/relationships/hyperlink" Id="rId83" Target="https://doi.org/10.14154/j.cnki.qss.2017.06.016" TargetMode="External" /><Relationship Type="http://schemas.openxmlformats.org/officeDocument/2006/relationships/hyperlink" Id="rId52" Target="https://doi.org/10.1525/ae.1978.5.4.02a00130" TargetMode="External" /><Relationship Type="http://schemas.openxmlformats.org/officeDocument/2006/relationships/hyperlink" Id="rId76" Target="https://doi.org/10.16486/j.cnki.62-1035/d.2010.01.026" TargetMode="External" /><Relationship Type="http://schemas.openxmlformats.org/officeDocument/2006/relationships/hyperlink" Id="rId96" Target="https://doi.org/10.16499/j.cnki.1003-5397.2020.03.003" TargetMode="External" /><Relationship Type="http://schemas.openxmlformats.org/officeDocument/2006/relationships/hyperlink" Id="rId86" Target="https://doi.org/10.16499/j.cnki.1003-5397.2021.03.001" TargetMode="External" /><Relationship Type="http://schemas.openxmlformats.org/officeDocument/2006/relationships/hyperlink" Id="rId94" Target="https://kns.cnki.net/KCMS/detail/detail.aspx?dbcode=CJFD&amp;dbname=CJFDLAST2019&amp;filename=YZLY201901007&amp;v=" TargetMode="External" /><Relationship Type="http://schemas.openxmlformats.org/officeDocument/2006/relationships/hyperlink" Id="rId98" Target="https://kns.cnki.net/KCMS/detail/detail.aspx?dbcode=CJFD&amp;dbname=CJFDLAST2020&amp;filename=YNSF202003006&amp;v=" TargetMode="External" /><Relationship Type="http://schemas.openxmlformats.org/officeDocument/2006/relationships/hyperlink" Id="rId43" Target="https://www.researchgate.net/publication/270196760_The_Linguistic_Sciences_and_Language_Teach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4</Pages>
  <Words>470</Words>
  <Characters>2681</Characters>
  <Application>Microsoft Office Word</Application>
  <DocSecurity>0</DocSecurity>
  <Lines>22</Lines>
  <Paragraphs>6</Paragraphs>
  <ScaleCrop>false</ScaleCrop>
  <Company/>
  <LinksUpToDate>false</LinksUpToDate>
  <CharactersWithSpaces>3145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以语行治：政府治理的语言面向与效用机制</dc:title>
  <dc:creator>胡悦; 朱萌</dc:creator>
  <cp:keywords/>
  <dcterms:created xsi:type="dcterms:W3CDTF">2022-05-05T06:04:10Z</dcterms:created>
  <dcterms:modified xsi:type="dcterms:W3CDTF">2022-05-05T06:04:10Z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摘要：语言通常被视为政府传播治理理念、传达治理政策的核心载体，但针对语言本身的治理，即语言规划，其治理效能却未被予以足够重视，导致这一手段虽有协调多层次关系、解决治理难题之能，却在治理实践中未得到足够重视和应用。本文运用系统功能类型学方法，提出语言规划在国家治理、群体治理和个体治理三个层面的贯通功能。进而，在综合前沿政治语言学研究成果基础上，指出语言规划实现治理能力提升的三条实践路径。最后，本文针对新时期城市治理、共同富裕、新媒体治理等政府核心治理领域，揭示语言规划在解决现实治理挑战、推动治理能力现代化上的重要功用，并为新时期语言规划方向与策略提出建议。关键词：语言规划；国家治理；群体治理；个体治理；系统功能类型学。</vt:lpwstr>
  </property>
  <property fmtid="{D5CDD505-2E9C-101B-9397-08002B2CF9AE}" pid="3" name="always_allow_html">
    <vt:lpwstr>True</vt:lpwstr>
  </property>
  <property fmtid="{D5CDD505-2E9C-101B-9397-08002B2CF9AE}" pid="4" name="bibliography">
    <vt:lpwstr>language_governance.bib</vt:lpwstr>
  </property>
  <property fmtid="{D5CDD505-2E9C-101B-9397-08002B2CF9AE}" pid="5" name="bookdown">
    <vt:lpwstr/>
  </property>
  <property fmtid="{D5CDD505-2E9C-101B-9397-08002B2CF9AE}" pid="6" name="colorlinks">
    <vt:lpwstr>False</vt:lpwstr>
  </property>
  <property fmtid="{D5CDD505-2E9C-101B-9397-08002B2CF9AE}" pid="7" name="csl">
    <vt:lpwstr>american-political-science-review.csl</vt:lpwstr>
  </property>
  <property fmtid="{D5CDD505-2E9C-101B-9397-08002B2CF9AE}" pid="8" name="editor_options">
    <vt:lpwstr/>
  </property>
  <property fmtid="{D5CDD505-2E9C-101B-9397-08002B2CF9AE}" pid="9" name="fontsize">
    <vt:lpwstr>12 pt</vt:lpwstr>
  </property>
  <property fmtid="{D5CDD505-2E9C-101B-9397-08002B2CF9AE}" pid="10" name="geometry">
    <vt:lpwstr>margin=1in</vt:lpwstr>
  </property>
  <property fmtid="{D5CDD505-2E9C-101B-9397-08002B2CF9AE}" pid="11" name="link-citations">
    <vt:lpwstr>True</vt:lpwstr>
  </property>
  <property fmtid="{D5CDD505-2E9C-101B-9397-08002B2CF9AE}" pid="12" name="output">
    <vt:lpwstr/>
  </property>
</Properties>
</file>