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政治治理，是使相互冲突的或不同的利益得以调和并且采取行动的持续的过程，是现代社会实现稳定和有序发展的核心手段</w:t>
      </w:r>
      <w:r>
        <w:t xml:space="preserve">(姜晓萍, 2014)</w:t>
      </w:r>
      <w:r>
        <w:t xml:space="preserve">。</w:t>
      </w:r>
      <w:r>
        <w:t xml:space="preserve"> </w:t>
      </w:r>
      <w:r>
        <w:t xml:space="preserve">语言在这一过程中起着至关重要的作用，但相关理论和实证研究却不多见</w:t>
      </w:r>
      <w:r>
        <w:t xml:space="preserve">(Hu, 2019, 2020; Hu &amp; Liu, 2020)</w:t>
      </w:r>
      <w:r>
        <w:t xml:space="preserve">。</w:t>
      </w:r>
      <w:r>
        <w:t xml:space="preserve"> </w:t>
      </w:r>
      <w:r>
        <w:t xml:space="preserve">作为沟通工具和教学媒介，语言构架着治理过程中各种问题的论述；政府正是通过对词汇和理论的解释，将治国理念和方针进行阐释，以便服务于政治稳定、经济发展和文化传承</w:t>
      </w:r>
      <w:r>
        <w:t xml:space="preserve">(Miller &amp; Rose, 1990)</w:t>
      </w:r>
      <w:r>
        <w:t xml:space="preserve">。</w:t>
      </w:r>
      <w:r>
        <w:t xml:space="preserve"> </w:t>
      </w:r>
      <w:r>
        <w:t xml:space="preserve">语言治理是从公共治理角度对语言政策社会治理功能的理解，语言治理在我国有着长期历史，但对其研究却亟待深入。</w:t>
      </w:r>
    </w:p>
    <w:p>
      <w:pPr>
        <w:pStyle w:val="BodyText"/>
      </w:pPr>
      <w:r>
        <w:t xml:space="preserve">鉴于此，本文就语言治理对国家、社会、公众的影响及实现途径进行针对性研究。</w:t>
      </w:r>
      <w:r>
        <w:t xml:space="preserve"> </w:t>
      </w:r>
      <w:r>
        <w:t xml:space="preserve">本文在国内外社会语言学和政治语言学对公众政治社会心理的研究成果上，总结出语言治理的实现途径，用以解释语言治理对国家、社会群体及公众心理的作用机制，实现对公众政治社会心理的同步调节，从而为新时期我国所面临的治理问题和治理需求提出语言学的治理方案，为更进一步地实现</w:t>
      </w:r>
      <w:r>
        <w:t xml:space="preserve">“</w:t>
      </w:r>
      <w:r>
        <w:t xml:space="preserve">共建、共治、共享</w:t>
      </w:r>
      <w:r>
        <w:t xml:space="preserve">”</w:t>
      </w:r>
      <w:r>
        <w:t xml:space="preserve">的社会良性发展和制度建构提供借鉴思路。</w:t>
      </w:r>
    </w:p>
    <w:p>
      <w:pPr>
        <w:pStyle w:val="BodyText"/>
      </w:pPr>
      <w:r>
        <w:t xml:space="preserve">本文认为，语言对国家治理、群体治理和改善发展环境具有十分重要的功能，能够增进国家认同、群体团结、增强社会公众政治心态的积极面向和稳定程度。</w:t>
      </w:r>
      <w:r>
        <w:t xml:space="preserve"> </w:t>
      </w:r>
      <w:r>
        <w:t xml:space="preserve">本研究进而提出了语言治理的实施途径，通过调节族群关系、规范语言政策、加强心理引导，达到对个体、人际、国家社会政治心态的全方位调控。</w:t>
      </w:r>
      <w:r>
        <w:t xml:space="preserve"> </w:t>
      </w:r>
      <w:r>
        <w:t xml:space="preserve">语言治理是实现社会平稳过渡、增强社会融合、巩固良性群体间关系的长效机制。</w:t>
      </w:r>
      <w:r>
        <w:t xml:space="preserve"> </w:t>
      </w:r>
      <w:r>
        <w:t xml:space="preserve">研究还提出了新时期以来语言对于我国城市治理、乡村振兴、新媒体治理的调节作用。</w:t>
      </w:r>
      <w:r>
        <w:t xml:space="preserve"> </w:t>
      </w:r>
      <w:r>
        <w:t xml:space="preserve">本文最后指出，只有制定正确的语言政策才能够解决新时代我国发展面临的一系列问题。</w:t>
      </w:r>
    </w:p>
    <w:bookmarkEnd w:id="21"/>
    <w:bookmarkStart w:id="25" w:name="语言在政治治理中的角色与功能"/>
    <w:p>
      <w:pPr>
        <w:pStyle w:val="Heading1"/>
      </w:pPr>
      <w:r>
        <w:t xml:space="preserve">语言在政治治理中的角色与功能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不同视角、不同学科对其功能与作用给予了各种不同的阐释。</w:t>
      </w:r>
      <w:r>
        <w:t xml:space="preserve"> </w:t>
      </w:r>
      <w:r>
        <w:t xml:space="preserve">如，经济学家有关语言技能是一种经济优势的观点</w:t>
      </w:r>
      <w:r>
        <w:t xml:space="preserve">(Liang et al., 2018)</w:t>
      </w:r>
      <w:r>
        <w:t xml:space="preserve">；</w:t>
      </w:r>
      <w:r>
        <w:t xml:space="preserve"> </w:t>
      </w:r>
      <w:r>
        <w:t xml:space="preserve">社会学家强调语言的个人性与社会性</w:t>
      </w:r>
      <w:r>
        <w:t xml:space="preserve">(杜敏 &amp; 刘志刚, 2020)</w:t>
      </w:r>
      <w:r>
        <w:t xml:space="preserve">；</w:t>
      </w:r>
      <w:r>
        <w:t xml:space="preserve"> </w:t>
      </w:r>
      <w:r>
        <w:t xml:space="preserve">政治学家认为语言与国家构建息息相关</w:t>
      </w:r>
      <w:r>
        <w:t xml:space="preserve">(Benedict, 2005)</w:t>
      </w:r>
      <w:r>
        <w:t xml:space="preserve">。</w:t>
      </w:r>
      <w:r>
        <w:t xml:space="preserve"> </w:t>
      </w:r>
      <w:r>
        <w:t xml:space="preserve">虽然有关语言的功能和作用在各社会面向和议题上均有反映，但从研究视角上，可归纳为三个维度：</w:t>
      </w:r>
    </w:p>
    <w:bookmarkStart w:id="22" w:name="语言与国家治理"/>
    <w:p>
      <w:pPr>
        <w:pStyle w:val="Heading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(何增科, 2014)</w:t>
      </w:r>
      <w:r>
        <w:t xml:space="preserve">。其中，语言是影响治理有效性和执政合法性的关键性因素</w:t>
      </w:r>
      <w:r>
        <w:t xml:space="preserve">(Hu, 2020)</w:t>
      </w:r>
      <w:r>
        <w:t xml:space="preserve">。</w:t>
      </w:r>
      <w:r>
        <w:t xml:space="preserve"> </w:t>
      </w:r>
      <w:r>
        <w:t xml:space="preserve">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BodyText"/>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了各民族、各地区经济文化的交流，进而构建了统一的民族或国族身份，促使各民族产生想象的共同体，维护了国家统一和民族团结</w:t>
      </w:r>
      <w:r>
        <w:t xml:space="preserve">(张卫国, 2020; 黄少安 &amp; 王麓淙, 2020)</w:t>
      </w:r>
      <w:r>
        <w:t xml:space="preserve">。</w:t>
      </w:r>
    </w:p>
    <w:p>
      <w:pPr>
        <w:pStyle w:val="BodyText"/>
      </w:pP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p>
    <w:p>
      <w:pPr>
        <w:pStyle w:val="BodyText"/>
      </w:pPr>
      <w:r>
        <w:t xml:space="preserve">民族国家通常会以不同的方式制定各类语言政策，实施语言规划，配合语言民族主义或语言爱国主义，以此巩固、发展和强化公民的国家认同。</w:t>
      </w:r>
    </w:p>
    <w:p>
      <w:pPr>
        <w:pStyle w:val="BodyText"/>
      </w:pPr>
      <w:r>
        <w:t xml:space="preserve">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&amp;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如果国家机关在执行公务或者广播电视等大众传播媒介在进项宣传时，采取本地人用本地话讲本地事的形式，更易达到预期效果。</w:t>
      </w:r>
    </w:p>
    <w:p>
      <w:pPr>
        <w:pStyle w:val="BodyText"/>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(陈平, 2008)</w:t>
      </w:r>
      <w:r>
        <w:t xml:space="preserve">。</w:t>
      </w:r>
    </w:p>
    <w:p>
      <w:pPr>
        <w:pStyle w:val="BodyText"/>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(Anthony, 2002)</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p>
    <w:p>
      <w:pPr>
        <w:pStyle w:val="BodyText"/>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&amp; 朱宁燕, 2011)</w:t>
      </w:r>
      <w:r>
        <w:t xml:space="preserve">。</w:t>
      </w:r>
    </w:p>
    <w:bookmarkEnd w:id="22"/>
    <w:bookmarkStart w:id="23"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上述有关语言政策和语言治理的研究主要从宏观角度出发，停留在语言对国家认同、政治秩序的塑造与国家治理能力上。</w:t>
      </w:r>
      <w:r>
        <w:t xml:space="preserve"> </w:t>
      </w:r>
      <w:r>
        <w:t xml:space="preserve">实际上，国内外也有大量学者探讨了语言治理对群体心理方面的重要作用，强调语言是建构社会身份认同和划定群体边界的重要指征。</w:t>
      </w:r>
    </w:p>
    <w:p>
      <w:pPr>
        <w:pStyle w:val="BodyText"/>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(Ostrom, 2015)</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w:t>
      </w:r>
    </w:p>
    <w:p>
      <w:pPr>
        <w:pStyle w:val="BodyText"/>
      </w:pPr>
      <w:r>
        <w:t xml:space="preserve">语言在被认为是厘定文化群体(cultural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人们在听到某种特定语言类型后，会由此对语言使用者产生一些直观感受和印象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刘华夏 &amp; 袁青欢 (2017)</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(Dustmann &amp;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et al. (2013)</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Heading2"/>
      </w:pPr>
      <w:r>
        <w:t xml:space="preserve">语言与个体治理</w:t>
      </w:r>
    </w:p>
    <w:p>
      <w:pPr>
        <w:pStyle w:val="FirstParagraph"/>
      </w:pPr>
      <w:r>
        <w:t xml:space="preserve">Giddens (2000)</w:t>
      </w:r>
      <w:r>
        <w:t xml:space="preserve"> </w:t>
      </w:r>
      <w:r>
        <w:t xml:space="preserve">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的双元混合，前者是关于对社会地位和社会权利（力）的争取，而后者则偏重于对社会认同和自我实现的追求。</w:t>
      </w:r>
    </w:p>
    <w:p>
      <w:pPr>
        <w:pStyle w:val="BodyText"/>
      </w:pPr>
      <w:r>
        <w:t xml:space="preserve">当前，中国社会结构发生巨大变革，场域的改变使得传统社会对个体治理的运作路径面临极大的挑战。</w:t>
      </w:r>
      <w:r>
        <w:t xml:space="preserve"> </w:t>
      </w:r>
      <w:r>
        <w:t xml:space="preserve">个体的话语表达、经济活动、自我组织和自我管理等空间被逐渐释放出来，个体的自主意识、权利意识和竞争意识日益增强。</w:t>
      </w:r>
    </w:p>
    <w:p>
      <w:pPr>
        <w:pStyle w:val="BodyText"/>
      </w:pPr>
      <w:r>
        <w:t xml:space="preserve">现代性社会的时空分离与压缩的特征以及在此基础上形成的个体</w:t>
      </w:r>
      <w:r>
        <w:t xml:space="preserve">“</w:t>
      </w:r>
      <w:r>
        <w:t xml:space="preserve">脱域</w:t>
      </w:r>
      <w:r>
        <w:t xml:space="preserve">”</w:t>
      </w:r>
      <w:r>
        <w:t xml:space="preserve">与</w:t>
      </w:r>
      <w:r>
        <w:t xml:space="preserve">“</w:t>
      </w:r>
      <w:r>
        <w:t xml:space="preserve">延异</w:t>
      </w:r>
      <w:r>
        <w:t xml:space="preserve">”</w:t>
      </w:r>
      <w:r>
        <w:t xml:space="preserve">现象</w:t>
      </w:r>
      <w:r>
        <w:t xml:space="preserve">(Giddens, 2000)</w:t>
      </w:r>
      <w:r>
        <w:t xml:space="preserve">，造成个体治理的</w:t>
      </w:r>
      <w:r>
        <w:t xml:space="preserve">“</w:t>
      </w:r>
      <w:r>
        <w:t xml:space="preserve">内卷化</w:t>
      </w:r>
      <w:r>
        <w:t xml:space="preserve">”</w:t>
      </w:r>
      <w:r>
        <w:t xml:space="preserve">和</w:t>
      </w:r>
      <w:r>
        <w:t xml:space="preserve">“</w:t>
      </w:r>
      <w:r>
        <w:t xml:space="preserve">无根化</w:t>
      </w:r>
      <w:r>
        <w:t xml:space="preserve">”</w:t>
      </w:r>
      <w:r>
        <w:t xml:space="preserve">。</w:t>
      </w:r>
    </w:p>
    <w:p>
      <w:pPr>
        <w:pStyle w:val="BodyText"/>
      </w:pPr>
      <w:r>
        <w:t xml:space="preserve">可见，以个体利益、个体成就为导向的价值追求导致中国传统社会一直以来的集体化治理模式和治理框架逐步瓦解</w:t>
      </w:r>
      <w:r>
        <w:t xml:space="preserve">(洪波, 2018)</w:t>
      </w:r>
      <w:r>
        <w:t xml:space="preserve">。</w:t>
      </w:r>
    </w:p>
    <w:p>
      <w:pPr>
        <w:pStyle w:val="BodyText"/>
      </w:pPr>
      <w:r>
        <w:t xml:space="preserve">而语言作为重要的资本符号，能够伴随文化资本、经济资本和社会资本参与到资本转换中</w:t>
      </w:r>
      <w:r>
        <w:t xml:space="preserve">(英吉卓玛, 2018)</w:t>
      </w:r>
      <w:r>
        <w:t xml:space="preserve">，对个体能力和个体认知产生重要影响。</w:t>
      </w:r>
    </w:p>
    <w:p>
      <w:pPr>
        <w:pStyle w:val="BodyText"/>
      </w:pPr>
      <w:r>
        <w:t xml:space="preserve">就个体能力而言，人力资本理论和教育经济学理论普遍认为，语言作为人类经济活动工具，在信息传递上具有价值、效用、成本和收益等经济特性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(张卫国 &amp; 孙涛, 2016)</w:t>
      </w:r>
      <w:r>
        <w:t xml:space="preserve">。</w:t>
      </w:r>
    </w:p>
    <w:p>
      <w:pPr>
        <w:pStyle w:val="BodyText"/>
      </w:pP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p>
    <w:p>
      <w:pPr>
        <w:pStyle w:val="BodyText"/>
      </w:pPr>
      <w:r>
        <w:t xml:space="preserve">提高个体的语言水平，促进个体之间的交往互动，有利于创造良好的人际关系、生活环境和工作环境，提高个体的社会适应能力、影响力、竞争力和资源获取能力。</w:t>
      </w:r>
    </w:p>
    <w:p>
      <w:pPr>
        <w:pStyle w:val="BodyText"/>
      </w:pPr>
      <w:r>
        <w:t xml:space="preserve">从个体认知来看，语言与自我认知塑造相连接。</w:t>
      </w:r>
      <w:r>
        <w:t xml:space="preserve"> </w:t>
      </w:r>
      <w:r>
        <w:t xml:space="preserve">具体而言，由于人们对于自我的定位很大程度上是在与他人接触后的内省获得的。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r>
        <w:t xml:space="preserve"> </w:t>
      </w:r>
      <w:r>
        <w:t xml:space="preserve">相反，语言掌握程度低会使使用者的自我评价也随之降低。</w:t>
      </w:r>
      <w:r>
        <w:t xml:space="preserve"> </w:t>
      </w:r>
      <w:r>
        <w:t xml:space="preserve">Wright &amp;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w:t>
      </w:r>
      <w:r>
        <w:t xml:space="preserve"> </w:t>
      </w:r>
      <w:r>
        <w:t xml:space="preserve">而作为治理者，如何有效实施和推行语言治理，最大化其治理效能呢？回答这一问题需要对语言治理的实施途径进行深入全面理解。</w:t>
      </w:r>
      <w:r>
        <w:t xml:space="preserve"> </w:t>
      </w:r>
      <w:r>
        <w:t xml:space="preserve">本文主要从阐释政策规范、调整群体关系和改善发展环境三个方面来探讨语言治理的实现机制。</w:t>
      </w:r>
    </w:p>
    <w:bookmarkStart w:id="26" w:name="阐释政策规范"/>
    <w:p>
      <w:pPr>
        <w:pStyle w:val="Heading2"/>
      </w:pPr>
      <w:r>
        <w:t xml:space="preserve">阐释政策规范</w:t>
      </w:r>
    </w:p>
    <w:p>
      <w:pPr>
        <w:pStyle w:val="FirstParagraph"/>
      </w:pPr>
      <w:r>
        <w:t xml:space="preserve">语言政策是语言生活领域的国家意志体现，是国家在语言生活领域的治理方案，不仅对人们的社会地位认知、社会融入程度，社会参与意愿具有导向作用，还会直接影响民族关系、社会稳定、经济发展模式。</w:t>
      </w:r>
      <w:r>
        <w:t xml:space="preserve"> </w:t>
      </w:r>
      <w:r>
        <w:t xml:space="preserve">因此，国家会有目的、有计划、有组织地对语言文字及其使用进行干预与管理，通过立法或者政府调节手段，使语言文字更好地为国家服务</w:t>
      </w:r>
      <w:r>
        <w:t xml:space="preserve">(戴曼纯 &amp; 贺战茹, 2010)</w:t>
      </w:r>
      <w:r>
        <w:t xml:space="preserve">。</w:t>
      </w:r>
    </w:p>
    <w:p>
      <w:pPr>
        <w:pStyle w:val="BodyText"/>
      </w:pPr>
      <w:r>
        <w:t xml:space="preserve">作为政治问题的语言政策，各国的价值取向和路径模式不尽相同。</w:t>
      </w:r>
      <w:r>
        <w:t xml:space="preserve"> </w:t>
      </w:r>
      <w:r>
        <w:t xml:space="preserve">如，十月革命后，苏联将大多数语言的文字系统改换成拉丁字母文字，包括为少数民族创制的拉丁化新文字；越南民主共和国成立后，即宣布拉丁字母的越南文为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可见，各国政府努力促进语言政策的本土性转化，在立足具体国情的基础上制定出符合国情的语言政策，，从而促进本国经济发展、推动民族融合。</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&amp; Liu, 2016; Liu &amp; Pizzi, 2018)</w:t>
      </w:r>
      <w:r>
        <w:t xml:space="preserve">。</w:t>
      </w:r>
      <w:r>
        <w:t xml:space="preserve"> </w:t>
      </w: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非洲新兴独立国家领导人在构建国家认同和民族意识过程中，十分注重语言政策在社会成员族群意识、国家身份、社会经济发展等多个层面对该国的社会经济制度的参与塑造作用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&amp; 贺战茹, 2010)</w:t>
      </w:r>
      <w:r>
        <w:t xml:space="preserve">。</w:t>
      </w:r>
    </w:p>
    <w:bookmarkEnd w:id="26"/>
    <w:bookmarkStart w:id="27" w:name="调整群体关系"/>
    <w:p>
      <w:pPr>
        <w:pStyle w:val="Heading2"/>
      </w:pPr>
      <w:r>
        <w:t xml:space="preserve">调整群体关系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(Kathryn &amp; Kendall, 2017)</w:t>
      </w:r>
      <w:r>
        <w:t xml:space="preserve">。</w:t>
      </w:r>
    </w:p>
    <w:p>
      <w:pPr>
        <w:pStyle w:val="BodyText"/>
      </w:pP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w:t>
      </w:r>
      <w:r>
        <w:t xml:space="preserve"> </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，从而避免赋予族群差异以任何其他的政治和意识形态出现或加深，实现了多民族社会的稳定团结。</w:t>
      </w:r>
    </w:p>
    <w:p>
      <w:pPr>
        <w:pStyle w:val="BodyText"/>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w:t>
      </w:r>
      <w:r>
        <w:t xml:space="preserve"> </w:t>
      </w:r>
      <w:r>
        <w:t xml:space="preserve">中国的语言使用情况由此呈现出</w:t>
      </w:r>
      <w:r>
        <w:t xml:space="preserve">“</w:t>
      </w:r>
      <w:r>
        <w:t xml:space="preserve">多元一体</w:t>
      </w:r>
      <w:r>
        <w:t xml:space="preserve">”</w:t>
      </w:r>
      <w:r>
        <w:t xml:space="preserve">的格局——各个族群保存并发展自己的语言，以维护本民族文化。</w:t>
      </w:r>
      <w:r>
        <w:t xml:space="preserve"> </w:t>
      </w:r>
      <w:r>
        <w:t xml:space="preserve">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7"/>
    <w:bookmarkStart w:id="28" w:name="加强个体治理"/>
    <w:p>
      <w:pPr>
        <w:pStyle w:val="Heading2"/>
      </w:pPr>
      <w:r>
        <w:t xml:space="preserve">加强个体治理</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p>
    <w:p>
      <w:pPr>
        <w:pStyle w:val="BodyText"/>
      </w:pPr>
      <w:r>
        <w:t xml:space="preserve">当前，随着新信息技术和电子媒介的出现，政府通常将媒体作为实现实际言语交际和经验表征的工具，新闻话语及图像根据政治需要或意识形态的准则而被选择、建构和处理，以便合法化政府行为。</w:t>
      </w:r>
    </w:p>
    <w:p>
      <w:pPr>
        <w:pStyle w:val="BodyText"/>
      </w:pPr>
      <w:r>
        <w:t xml:space="preserve">具体而言，国家借用多模态话语——语言文字、图像和图表的复合话语构建社会现实的人际互动，利用各种符号模态协同作用下构建的现实意义，引导民众心理。</w:t>
      </w:r>
    </w:p>
    <w:p>
      <w:pPr>
        <w:pStyle w:val="BodyText"/>
      </w:pPr>
      <w:r>
        <w:t xml:space="preserve">如，</w:t>
      </w:r>
      <w:r>
        <w:t xml:space="preserve">丁建新 &amp; 杨荟 (2020)</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中国病毒</w:t>
      </w:r>
      <w:r>
        <w:t xml:space="preserve">”</w:t>
      </w:r>
      <w:r>
        <w:t xml:space="preserve">等词，引导美国民众寻找、建构另一个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，以缓解自身的恐惧和焦虑，进而作为一种政治延伸达到影射中国的目的。</w:t>
      </w:r>
    </w:p>
    <w:p>
      <w:pPr>
        <w:pStyle w:val="BodyText"/>
      </w:pPr>
      <w:r>
        <w:t xml:space="preserve">对于同一个客观事物，不同的语言表达会产生不同的效果，并演绎出不同的游戏规则和行事逻辑。亚里士多德的《修辞学》和西塞罗的《论演说术》也无不强调话语是构建民众世界观和概念化政治问题的一种重要手段。</w:t>
      </w:r>
    </w:p>
    <w:p>
      <w:pPr>
        <w:pStyle w:val="BodyText"/>
      </w:pPr>
      <w:r>
        <w:t xml:space="preserve">如，针对当前气候变暖问题，美国前副总统戈尔通常使用</w:t>
      </w:r>
      <w:r>
        <w:t xml:space="preserve">“</w:t>
      </w:r>
      <w:r>
        <w:t xml:space="preserve">气候危机</w:t>
      </w:r>
      <w:r>
        <w:t xml:space="preserve">”</w:t>
      </w:r>
      <w:r>
        <w:t xml:space="preserve">(climate crisis)或</w:t>
      </w:r>
      <w:r>
        <w:t xml:space="preserve">“</w:t>
      </w:r>
      <w:r>
        <w:t xml:space="preserve">气候混乱</w:t>
      </w:r>
      <w:r>
        <w:t xml:space="preserve">”</w:t>
      </w:r>
      <w:r>
        <w:t xml:space="preserve">(climate chaos)，而前总统小布什在其国情咨文中坚持使用</w:t>
      </w:r>
      <w:r>
        <w:t xml:space="preserve">“</w:t>
      </w:r>
      <w:r>
        <w:t xml:space="preserve">气候变化</w:t>
      </w:r>
      <w:r>
        <w:t xml:space="preserve">”</w:t>
      </w:r>
      <w:r>
        <w:t xml:space="preserve">(climate change)及</w:t>
      </w:r>
      <w:r>
        <w:t xml:space="preserve">“</w:t>
      </w:r>
      <w:r>
        <w:t xml:space="preserve">全球变暖</w:t>
      </w:r>
      <w:r>
        <w:t xml:space="preserve">”</w:t>
      </w:r>
      <w:r>
        <w:t xml:space="preserve">(global warming)。相比之下，</w:t>
      </w:r>
      <w:r>
        <w:t xml:space="preserve">“</w:t>
      </w:r>
      <w:r>
        <w:t xml:space="preserve">气候危机</w:t>
      </w:r>
      <w:r>
        <w:t xml:space="preserve">”</w:t>
      </w:r>
      <w:r>
        <w:t xml:space="preserve">和</w:t>
      </w:r>
      <w:r>
        <w:t xml:space="preserve">“</w:t>
      </w:r>
      <w:r>
        <w:t xml:space="preserve">气候混乱</w:t>
      </w:r>
      <w:r>
        <w:t xml:space="preserve">”</w:t>
      </w:r>
      <w:r>
        <w:t xml:space="preserve">明显强化了该问题的严重性和必须采取措施应对的紧迫感。而</w:t>
      </w:r>
      <w:r>
        <w:t xml:space="preserve">“</w:t>
      </w:r>
      <w:r>
        <w:t xml:space="preserve">气候变化</w:t>
      </w:r>
      <w:r>
        <w:t xml:space="preserve">”</w:t>
      </w:r>
      <w:r>
        <w:t xml:space="preserve">或</w:t>
      </w:r>
      <w:r>
        <w:t xml:space="preserve">“</w:t>
      </w:r>
      <w:r>
        <w:t xml:space="preserve">全球变暖</w:t>
      </w:r>
      <w:r>
        <w:t xml:space="preserve">”</w:t>
      </w:r>
      <w:r>
        <w:t xml:space="preserve">则将公众的注意力框定在全球平均气温上，认为该问题可控且尚未对人类形成太大的挑战，进而不去关注更为严重的诸如海啸、水灾及旱灾等环境问题。</w:t>
      </w:r>
    </w:p>
    <w:bookmarkEnd w:id="28"/>
    <w:bookmarkEnd w:id="29"/>
    <w:bookmarkStart w:id="33"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p>
    <w:p>
      <w:pPr>
        <w:pStyle w:val="BodyText"/>
      </w:pP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(景怀斌 et al., 2017)</w:t>
      </w:r>
      <w:r>
        <w:t xml:space="preserve">，由于人口结构变化和加速城镇化带来的人际信任缺失和新、老市民身份认同矛盾</w:t>
      </w:r>
      <w:r>
        <w:t xml:space="preserve">(卢晖临 &amp; 潘毅, 2014)</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(郝宇青 &amp; 车跃, 2011)</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我国的语言治理借助以上三种实施途径，从具体国情出发，呈现出了独特的治理面貌。</w:t>
      </w:r>
    </w:p>
    <w:bookmarkStart w:id="30"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BodyText"/>
      </w:pPr>
      <w:r>
        <w:t xml:space="preserve">长远看来，如何实现以</w:t>
      </w:r>
      <w:r>
        <w:t xml:space="preserve">“</w:t>
      </w:r>
      <w:r>
        <w:t xml:space="preserve">人的城镇化</w:t>
      </w:r>
      <w:r>
        <w:t xml:space="preserve">”</w:t>
      </w:r>
      <w:r>
        <w:t xml:space="preserve">为核心的新型城镇化建设，处理好人与语言、语言与社会、语言与语言、语言与方言、语言与社团之间的关系，成为当前城市治理和区域发展的新痛点和新难点。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(沈骑, 2021)</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(武小军, 2020)</w:t>
      </w:r>
      <w:r>
        <w:t xml:space="preserve">。</w:t>
      </w:r>
      <w:r>
        <w:t xml:space="preserve"> </w:t>
      </w:r>
      <w:r>
        <w:t xml:space="preserve">这一过程导致了大量人群失语、失权、失利。</w:t>
      </w:r>
    </w:p>
    <w:p>
      <w:pPr>
        <w:pStyle w:val="BodyText"/>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就当下而言，新冠疫情的暴发使得城市语言治理能力不足的问题充分暴露出来</w:t>
      </w:r>
      <w:r>
        <w:t xml:space="preserve">(沈骑, 2021)</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精准扶贫与乡村振兴"/>
    <w:p>
      <w:pPr>
        <w:pStyle w:val="Heading2"/>
      </w:pPr>
      <w:r>
        <w:t xml:space="preserve">精准扶贫与乡村振兴</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2018年9月,中共中央、国务院印发了《乡村振兴战略规划(2018—2022年)》，强调防止因语言能力的缺乏和语言上的弱势致贫返贫，减少语言藩篱对贫困地区发展的束缚，注重语言政策与规划在乡村振兴中的作用。</w:t>
      </w:r>
      <w:r>
        <w:t xml:space="preserve"> </w:t>
      </w:r>
      <w:r>
        <w:t xml:space="preserve">精准扶贫战略下地的语言扶贫虽已取得显著成效，但语言资源的差异仍会导致个体机会的不平等和社会阶层的差距。</w:t>
      </w:r>
      <w:r>
        <w:t xml:space="preserve"> </w:t>
      </w:r>
      <w:r>
        <w:t xml:space="preserve">聚焦于精准扶贫而实施的语言扶贫如何适应新战略对语言服务社会和国家的总体要求，如何实现语言治理在精准扶贫与乡村振兴战略的顺承与衔接成为中国国家治理的重点工作，也是当前亟需回答的问题</w:t>
      </w:r>
      <w:r>
        <w:t xml:space="preserve">(杜敏 &amp; 刘志刚, 2020)</w:t>
      </w:r>
      <w:r>
        <w:t xml:space="preserve">。</w:t>
      </w:r>
    </w:p>
    <w:p>
      <w:pPr>
        <w:pStyle w:val="BodyText"/>
      </w:pPr>
      <w:r>
        <w:t xml:space="preserve">基于此，我国现有关语言治理对乡村振兴的作用主要基于以下两点：</w:t>
      </w:r>
    </w:p>
    <w:p>
      <w:pPr>
        <w:pStyle w:val="BodyText"/>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(李宇明, 2018)</w:t>
      </w:r>
      <w:r>
        <w:t xml:space="preserve">。</w:t>
      </w:r>
      <w:r>
        <w:t xml:space="preserve"> </w:t>
      </w:r>
      <w:r>
        <w:t xml:space="preserve">如，建立以</w:t>
      </w:r>
      <w:r>
        <w:t xml:space="preserve">“</w:t>
      </w:r>
      <w:r>
        <w:t xml:space="preserve">普通话专项培训为重点，以送培下乡、送教上门的农民夜校、普通话与使用技能培训相结合等方式为主，以其他各类语言文字培训向贫困地区倾斜为补充</w:t>
      </w:r>
      <w:r>
        <w:t xml:space="preserve">”</w:t>
      </w:r>
      <w:r>
        <w:t xml:space="preserve">培训体系</w:t>
      </w:r>
      <w:r>
        <w:t xml:space="preserve">(田学军, 2019)</w:t>
      </w:r>
      <w:r>
        <w:t xml:space="preserve">；</w:t>
      </w:r>
      <w:r>
        <w:t xml:space="preserve"> </w:t>
      </w:r>
      <w:r>
        <w:t xml:space="preserve">编写推普脱贫入门教材，教育部语用司先后赴四川凉山州、甘肃临夏州东乡县等深度贫困地区进行调研，征求意见，组织专家编写《普通话1000句》，结合纸本教材，录制音频、微课，制作语言游戏</w:t>
      </w:r>
      <w:r>
        <w:t xml:space="preserve">(杜敏 &amp; 刘志刚, 2020)</w:t>
      </w:r>
      <w:r>
        <w:t xml:space="preserve">。</w:t>
      </w:r>
      <w:r>
        <w:t xml:space="preserve"> </w:t>
      </w:r>
      <w:r>
        <w:t xml:space="preserve">这些政策旨在提升乡村地区，尤其是民族地区普通民众的基本交际能力和沟通能力，帮助当地居民树立自信心和自强自立精神，从而内在地、主动地改变贫困落后的生活状态和面貌。</w:t>
      </w:r>
    </w:p>
    <w:p>
      <w:pPr>
        <w:pStyle w:val="BodyText"/>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(刘华夏 &amp; 袁青欢, 2017; 苏德, 2004)</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BodyText"/>
      </w:pPr>
      <w:r>
        <w:t xml:space="preserve">我们已清晰地认识到了语言的扶贫功能，为贫困人口和贫穷地区修筑起脱贫的语言大道，改变了经济劣势和发展劣势、促进了当地社会的文明进步。</w:t>
      </w:r>
      <w:r>
        <w:t xml:space="preserve"> </w:t>
      </w:r>
      <w:r>
        <w:t xml:space="preserve">但乡村振兴战略下语言治理的发展目标和任务有所不同。</w:t>
      </w:r>
      <w:r>
        <w:t xml:space="preserve"> </w:t>
      </w:r>
      <w:r>
        <w:t xml:space="preserve">乡村振兴下的语言治理增添了更多的使命与任务，以实现其在新时代的新职能，实现语言扶贫的可持续发展。</w:t>
      </w:r>
      <w:r>
        <w:t xml:space="preserve"> </w:t>
      </w:r>
      <w:r>
        <w:t xml:space="preserve">即除</w:t>
      </w:r>
      <w:r>
        <w:t xml:space="preserve">“</w:t>
      </w:r>
      <w:r>
        <w:t xml:space="preserve">推普脱贫</w:t>
      </w:r>
      <w:r>
        <w:t xml:space="preserve">”</w:t>
      </w:r>
      <w:r>
        <w:t xml:space="preserve">彰显其工具性的语言扶贫功能外，仍需不断丰富语言扶贫的内涵，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1"/>
    <w:bookmarkStart w:id="32" w:name="新媒体治理"/>
    <w:p>
      <w:pPr>
        <w:pStyle w:val="Heading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et al., 2019)</w:t>
      </w:r>
      <w:r>
        <w:t xml:space="preserve">。</w:t>
      </w:r>
    </w:p>
    <w:p>
      <w:pPr>
        <w:pStyle w:val="BodyText"/>
      </w:pP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(陈丽湘, 2021)</w:t>
      </w:r>
      <w:r>
        <w:t xml:space="preserve">。</w:t>
      </w:r>
      <w:r>
        <w:t xml:space="preserve"> </w:t>
      </w:r>
      <w:r>
        <w:t xml:space="preserve">例如，自2001年起实施的《中华人民共和国国家通用语言文字法》是我国第一部语言文字专门法律，成为媒体语言政策相关的地方性法规、行政法规和部门规章的重要参照。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97" w:name="总结与讨论"/>
    <w:p>
      <w:pPr>
        <w:pStyle w:val="Heading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本研究归纳了语言治理的三种实施途径，即阐释政策规范、调整族群关系以及加强心理引导。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6" w:name="refs"/>
    <w:bookmarkStart w:id="34" w:name="ref-Anthony2002"/>
    <w:p>
      <w:pPr>
        <w:pStyle w:val="Bibliography"/>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Bibliography"/>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Bibliography"/>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DustmannFabbri2003"/>
    <w:p>
      <w:pPr>
        <w:pStyle w:val="Bibliography"/>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7">
        <w:r>
          <w:rPr>
            <w:rStyle w:val="Hyperlink"/>
          </w:rPr>
          <w:t xml:space="preserve">https://doi.org/10.1111/1468-0297.t01-1-00151</w:t>
        </w:r>
      </w:hyperlink>
    </w:p>
    <w:bookmarkEnd w:id="38"/>
    <w:bookmarkStart w:id="39" w:name="ref-Giddens2000"/>
    <w:p>
      <w:pPr>
        <w:pStyle w:val="Bibliography"/>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9"/>
    <w:bookmarkStart w:id="40" w:name="ref-Hu2019"/>
    <w:p>
      <w:pPr>
        <w:pStyle w:val="Bibliography"/>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40"/>
    <w:bookmarkStart w:id="41" w:name="ref-Hu2020"/>
    <w:p>
      <w:pPr>
        <w:pStyle w:val="Bibliography"/>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1"/>
    <w:bookmarkStart w:id="43" w:name="ref-HuLiu2020a"/>
    <w:p>
      <w:pPr>
        <w:pStyle w:val="Bibliography"/>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2">
        <w:r>
          <w:rPr>
            <w:rStyle w:val="Hyperlink"/>
          </w:rPr>
          <w:t xml:space="preserve">https://doi.org/10.1017/jea.2019.41</w:t>
        </w:r>
      </w:hyperlink>
    </w:p>
    <w:bookmarkEnd w:id="43"/>
    <w:bookmarkStart w:id="45" w:name="ref-KathrynKendall2017"/>
    <w:p>
      <w:pPr>
        <w:pStyle w:val="Bibliography"/>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4">
        <w:r>
          <w:rPr>
            <w:rStyle w:val="Hyperlink"/>
          </w:rPr>
          <w:t xml:space="preserve">https://doi.org/10.1002/9781119072256.ch33</w:t>
        </w:r>
      </w:hyperlink>
    </w:p>
    <w:bookmarkEnd w:id="45"/>
    <w:bookmarkStart w:id="47" w:name="ref-Laitin1977"/>
    <w:p>
      <w:pPr>
        <w:pStyle w:val="Bibliography"/>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6">
        <w:r>
          <w:rPr>
            <w:rStyle w:val="Hyperlink"/>
          </w:rPr>
          <w:t xml:space="preserve">https://doi.org/10.1525/ae.1978.5.4.02a00130</w:t>
        </w:r>
      </w:hyperlink>
    </w:p>
    <w:bookmarkEnd w:id="47"/>
    <w:bookmarkStart w:id="48" w:name="ref-LiangEtAl2018"/>
    <w:p>
      <w:pPr>
        <w:pStyle w:val="Bibliography"/>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8"/>
    <w:bookmarkStart w:id="49" w:name="ref-Liu2015"/>
    <w:p>
      <w:pPr>
        <w:pStyle w:val="Bibliography"/>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9"/>
    <w:bookmarkStart w:id="51" w:name="ref-LiuPizzi2018"/>
    <w:p>
      <w:pPr>
        <w:pStyle w:val="Bibliography"/>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0">
        <w:r>
          <w:rPr>
            <w:rStyle w:val="Hyperlink"/>
          </w:rPr>
          <w:t xml:space="preserve">https://doi.org/10.1017/s0007123416000260</w:t>
        </w:r>
      </w:hyperlink>
    </w:p>
    <w:bookmarkEnd w:id="51"/>
    <w:bookmarkStart w:id="53" w:name="ref-MillerRose1990"/>
    <w:p>
      <w:pPr>
        <w:pStyle w:val="Bibliography"/>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2">
        <w:r>
          <w:rPr>
            <w:rStyle w:val="Hyperlink"/>
          </w:rPr>
          <w:t xml:space="preserve">https://doi.org/0.1080/03085149000000001</w:t>
        </w:r>
      </w:hyperlink>
    </w:p>
    <w:bookmarkEnd w:id="53"/>
    <w:bookmarkStart w:id="54" w:name="ref-Ostrom2015"/>
    <w:p>
      <w:pPr>
        <w:pStyle w:val="Bibliography"/>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4"/>
    <w:bookmarkStart w:id="56" w:name="ref-RendallEtAl2010"/>
    <w:p>
      <w:pPr>
        <w:pStyle w:val="Bibliography"/>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5">
        <w:r>
          <w:rPr>
            <w:rStyle w:val="Hyperlink"/>
          </w:rPr>
          <w:t xml:space="preserve">https://doi.org/10.1007/s10680-010-9214-x</w:t>
        </w:r>
      </w:hyperlink>
    </w:p>
    <w:bookmarkEnd w:id="56"/>
    <w:bookmarkStart w:id="58" w:name="ref-VroomeEtAl2013"/>
    <w:p>
      <w:pPr>
        <w:pStyle w:val="Bibliography"/>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7">
        <w:r>
          <w:rPr>
            <w:rStyle w:val="Hyperlink"/>
          </w:rPr>
          <w:t xml:space="preserve">https://doi.org/10.1093/esr/jct018</w:t>
        </w:r>
      </w:hyperlink>
    </w:p>
    <w:bookmarkEnd w:id="58"/>
    <w:bookmarkStart w:id="60" w:name="ref-WrightTaylor1995"/>
    <w:p>
      <w:pPr>
        <w:pStyle w:val="Bibliography"/>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9">
        <w:r>
          <w:rPr>
            <w:rStyle w:val="Hyperlink"/>
          </w:rPr>
          <w:t xml:space="preserve">https://doi.org/10.1037/0022-0663.87.2.241</w:t>
        </w:r>
      </w:hyperlink>
    </w:p>
    <w:bookmarkEnd w:id="60"/>
    <w:bookmarkStart w:id="61" w:name="ref-DingJianXinYangHui2020"/>
    <w:p>
      <w:pPr>
        <w:pStyle w:val="Bibliography"/>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1"/>
    <w:bookmarkStart w:id="62" w:name="ref-HeZengKe2014"/>
    <w:p>
      <w:pPr>
        <w:pStyle w:val="Bibliography"/>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2"/>
    <w:bookmarkStart w:id="63" w:name="ref-LiuHuaXiaYuanQingHuan2017"/>
    <w:p>
      <w:pPr>
        <w:pStyle w:val="Bibliography"/>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3"/>
    <w:bookmarkStart w:id="64" w:name="ref-LiuHong1993"/>
    <w:p>
      <w:pPr>
        <w:pStyle w:val="Bibliography"/>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4"/>
    <w:bookmarkStart w:id="65" w:name="ref-LuHuiLinPanYi2014"/>
    <w:p>
      <w:pPr>
        <w:pStyle w:val="Bibliography"/>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5"/>
    <w:bookmarkStart w:id="66" w:name="ref-TangXuJunEtAl2019"/>
    <w:p>
      <w:pPr>
        <w:pStyle w:val="Bibliography"/>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6"/>
    <w:bookmarkStart w:id="67" w:name="ref-JiangXiaoPing2014"/>
    <w:p>
      <w:pPr>
        <w:pStyle w:val="Bibliography"/>
      </w:pPr>
      <w:r>
        <w:t xml:space="preserve">姜晓萍. (2014).</w:t>
      </w:r>
      <w:r>
        <w:t xml:space="preserve"> </w:t>
      </w:r>
      <w:r>
        <w:t xml:space="preserve">国家治理现代化进程中的社会治理体制创新</w:t>
      </w:r>
      <w:r>
        <w:t xml:space="preserve">.</w:t>
      </w:r>
      <w:r>
        <w:t xml:space="preserve"> </w:t>
      </w:r>
      <w:r>
        <w:rPr>
          <w:iCs/>
          <w:i/>
        </w:rPr>
        <w:t xml:space="preserve">中国行政管理</w:t>
      </w:r>
      <w:r>
        <w:t xml:space="preserve">,</w:t>
      </w:r>
      <w:r>
        <w:t xml:space="preserve"> </w:t>
      </w:r>
      <w:r>
        <w:rPr>
          <w:iCs/>
          <w:i/>
        </w:rPr>
        <w:t xml:space="preserve">02</w:t>
      </w:r>
      <w:r>
        <w:t xml:space="preserve">, 24–28.</w:t>
      </w:r>
    </w:p>
    <w:bookmarkEnd w:id="67"/>
    <w:bookmarkStart w:id="69" w:name="ref-MengHongLi2010"/>
    <w:p>
      <w:pPr>
        <w:pStyle w:val="Bibliography"/>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8">
        <w:r>
          <w:rPr>
            <w:rStyle w:val="Hyperlink"/>
          </w:rPr>
          <w:t xml:space="preserve">https://doi.org/10.16486/j.cnki.62-1035/d.2010.01.026</w:t>
        </w:r>
      </w:hyperlink>
    </w:p>
    <w:bookmarkEnd w:id="69"/>
    <w:bookmarkStart w:id="70" w:name="ref-ZhangWeiGuo2011"/>
    <w:p>
      <w:pPr>
        <w:pStyle w:val="Bibliography"/>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70"/>
    <w:bookmarkStart w:id="71" w:name="ref-ZhangWeiGuo2020"/>
    <w:p>
      <w:pPr>
        <w:pStyle w:val="Bibliography"/>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1"/>
    <w:bookmarkStart w:id="72" w:name="ref-ZhangWeiGuoSunTao2016"/>
    <w:p>
      <w:pPr>
        <w:pStyle w:val="Bibliography"/>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2"/>
    <w:bookmarkStart w:id="73" w:name="ref-DaiManChunZhuNingYan2011"/>
    <w:p>
      <w:pPr>
        <w:pStyle w:val="Bibliography"/>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3"/>
    <w:bookmarkStart w:id="74" w:name="ref-DaiManChunHeZhanRu2010"/>
    <w:p>
      <w:pPr>
        <w:pStyle w:val="Bibliography"/>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4"/>
    <w:bookmarkStart w:id="76" w:name="ref-JingHuaiBinEtAl2017"/>
    <w:p>
      <w:pPr>
        <w:pStyle w:val="Bibliography"/>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5">
        <w:r>
          <w:rPr>
            <w:rStyle w:val="Hyperlink"/>
          </w:rPr>
          <w:t xml:space="preserve">https://doi.org/10.14154/j.cnki.qss.2017.06.016</w:t>
        </w:r>
      </w:hyperlink>
    </w:p>
    <w:bookmarkEnd w:id="76"/>
    <w:bookmarkStart w:id="77" w:name="ref-LiYuMing2018"/>
    <w:p>
      <w:pPr>
        <w:pStyle w:val="Bibliography"/>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7"/>
    <w:bookmarkStart w:id="78" w:name="ref-LiSongLin2021"/>
    <w:p>
      <w:pPr>
        <w:pStyle w:val="Bibliography"/>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8"/>
    <w:bookmarkStart w:id="79" w:name="ref-DuMinLiuZhiGang2020"/>
    <w:p>
      <w:pPr>
        <w:pStyle w:val="Bibliography"/>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79"/>
    <w:bookmarkStart w:id="80" w:name="ref-WuXiaoJun2020"/>
    <w:p>
      <w:pPr>
        <w:pStyle w:val="Bibliography"/>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80"/>
    <w:bookmarkStart w:id="81" w:name="ref-ShenQi2021"/>
    <w:p>
      <w:pPr>
        <w:pStyle w:val="Bibliography"/>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1"/>
    <w:bookmarkStart w:id="82" w:name="ref-HongBo2018"/>
    <w:p>
      <w:pPr>
        <w:pStyle w:val="Bibliography"/>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2"/>
    <w:bookmarkStart w:id="83" w:name="ref-WangKeFei2011"/>
    <w:p>
      <w:pPr>
        <w:pStyle w:val="Bibliography"/>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3"/>
    <w:bookmarkStart w:id="84" w:name="ref-TianXueJun2019"/>
    <w:p>
      <w:pPr>
        <w:pStyle w:val="Bibliography"/>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4"/>
    <w:bookmarkStart w:id="85" w:name="ref-QiHongLiHong2004"/>
    <w:p>
      <w:pPr>
        <w:pStyle w:val="Bibliography"/>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5"/>
    <w:bookmarkStart w:id="86" w:name="ref-SuDe2004"/>
    <w:p>
      <w:pPr>
        <w:pStyle w:val="Bibliography"/>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6"/>
    <w:bookmarkStart w:id="87" w:name="ref-SuFang2020"/>
    <w:p>
      <w:pPr>
        <w:pStyle w:val="Bibliography"/>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87"/>
    <w:bookmarkStart w:id="88" w:name="ref-YingJiZhuoMa2018"/>
    <w:p>
      <w:pPr>
        <w:pStyle w:val="Bibliography"/>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88"/>
    <w:bookmarkStart w:id="89" w:name="ref-HaoYuQingCheYue2011"/>
    <w:p>
      <w:pPr>
        <w:pStyle w:val="Bibliography"/>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89"/>
    <w:bookmarkStart w:id="90" w:name="ref-ChenLiXiang2021"/>
    <w:p>
      <w:pPr>
        <w:pStyle w:val="Bibliography"/>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90"/>
    <w:bookmarkStart w:id="91" w:name="ref-ChenPing2008"/>
    <w:p>
      <w:pPr>
        <w:pStyle w:val="Bibliography"/>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1"/>
    <w:bookmarkStart w:id="92" w:name="ref-MaRong2004a"/>
    <w:p>
      <w:pPr>
        <w:pStyle w:val="Bibliography"/>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2"/>
    <w:bookmarkStart w:id="93" w:name="ref-MaRong2017"/>
    <w:p>
      <w:pPr>
        <w:pStyle w:val="Bibliography"/>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3"/>
    <w:bookmarkStart w:id="94" w:name="ref-LuZiWen2008"/>
    <w:p>
      <w:pPr>
        <w:pStyle w:val="Bibliography"/>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4"/>
    <w:bookmarkStart w:id="95" w:name="ref-HuangShaoAnWangLuCong2020"/>
    <w:p>
      <w:pPr>
        <w:pStyle w:val="Bibliography"/>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2022-03-07T10:18:48Z</dcterms:created>
  <dcterms:modified xsi:type="dcterms:W3CDTF">2022-03-07T10:18:48Z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