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0" w:name="引言"/>
    <w:p>
      <w:pPr>
        <w:pStyle w:val="Heading1"/>
      </w:pPr>
      <w:r>
        <w:t xml:space="preserve">引言</w:t>
      </w:r>
    </w:p>
    <w:p>
      <w:pPr>
        <w:pStyle w:val="FirstParagraph"/>
      </w:pPr>
      <w:r>
        <w:t xml:space="preserve">政治治理，是使相互冲突的或不同的利益得以调和并且采取行动的持续的过程，是现代社会实现稳定和有序发展的核心手段</w:t>
      </w:r>
      <w:r>
        <w:t xml:space="preserve">(姜晓萍, 2014)</w:t>
      </w:r>
      <w:r>
        <w:t xml:space="preserve">。</w:t>
      </w:r>
      <w:r>
        <w:t xml:space="preserve"> </w:t>
      </w:r>
      <w:r>
        <w:t xml:space="preserve">语言在这一过程中起着至关重要的作用，但相关理论和实证研究却不多见</w:t>
      </w:r>
      <w:r>
        <w:t xml:space="preserve">(Hu, 2019, 2020; Hu &amp; Liu, 2020)</w:t>
      </w:r>
      <w:r>
        <w:t xml:space="preserve">。</w:t>
      </w:r>
      <w:r>
        <w:t xml:space="preserve"> </w:t>
      </w:r>
      <w:r>
        <w:t xml:space="preserve">作为沟通工具和教学媒介，语言构架着治理过程中各种问题的论述；政府正是通过对词汇和理论的解释，将治国理念和方针进行阐释，以便服务于政治稳定、经济发展和文化传承</w:t>
      </w:r>
      <w:r>
        <w:t xml:space="preserve">(Miller &amp; Rose, 1990)</w:t>
      </w:r>
      <w:r>
        <w:t xml:space="preserve">。</w:t>
      </w:r>
      <w:r>
        <w:t xml:space="preserve"> </w:t>
      </w:r>
      <w:r>
        <w:t xml:space="preserve">语言治理是从公共治理角度对语言政策社会治理功能的理解，语言治理在我国有着长期历史，但对其研究却亟待深入。</w:t>
      </w:r>
    </w:p>
    <w:p>
      <w:pPr>
        <w:pStyle w:val="BodyText"/>
      </w:pPr>
      <w:r>
        <w:t xml:space="preserve">鉴于此，本文就语言治理对国家、社会、公众的影响及实现途径进行针对性研究。</w:t>
      </w:r>
      <w:r>
        <w:t xml:space="preserve"> </w:t>
      </w:r>
      <w:r>
        <w:t xml:space="preserve">本文在国内外社会语言学和政治语言学对公众政治社会心理的研究成果上，总结出语言治理的实现途径，用以解释语言治理对国家、社会群体及公众心理的作用机制，实现对公众政治社会心理的同步调节，从而为新时期我国所面临的治理问题和治理需求提出语言学的治理方案，为更进一步地实现“共建、共治、共享”的社会良性发展和制度建构提供借鉴思路。</w:t>
      </w:r>
    </w:p>
    <w:p>
      <w:pPr>
        <w:pStyle w:val="BodyText"/>
      </w:pPr>
      <w:r>
        <w:t xml:space="preserve">本文认为，语言对国家治理、群体治理和改善发展环境具有十分重要的功能，能够增进国家认同、群体团结、增强社会公众政治心态的积极面向和稳定程度。</w:t>
      </w:r>
      <w:r>
        <w:t xml:space="preserve"> </w:t>
      </w:r>
      <w:r>
        <w:t xml:space="preserve">本研究进而提出了语言治理的实施途径，通过调节族群关系、规范语言政策、加强心理引导，达到对个体、人际、国家社会政治心态的全方位调控。</w:t>
      </w:r>
      <w:r>
        <w:t xml:space="preserve"> </w:t>
      </w:r>
      <w:r>
        <w:t xml:space="preserve">语言治理是实现社会平稳过渡、增强社会融合、巩固良性群体间关系的长效机制。</w:t>
      </w:r>
      <w:r>
        <w:t xml:space="preserve"> </w:t>
      </w:r>
      <w:r>
        <w:t xml:space="preserve">研究还提出了新时期以来语言对于我国城市治理、乡村振兴、新媒体治理的调节作用。</w:t>
      </w:r>
      <w:r>
        <w:t xml:space="preserve"> </w:t>
      </w:r>
      <w:r>
        <w:t xml:space="preserve">本文最后指出，只有制定正确的语言政策才能够解决新时代我国发展面临的一系列问题。</w:t>
      </w:r>
    </w:p>
    <w:bookmarkEnd w:id="20"/>
    <w:bookmarkStart w:id="24" w:name="语言在政治治理中的角色与功能"/>
    <w:p>
      <w:pPr>
        <w:pStyle w:val="Heading1"/>
      </w:pPr>
      <w:r>
        <w:t xml:space="preserve">语言在政治治理中的角色与功能</w:t>
      </w:r>
    </w:p>
    <w:p>
      <w:pPr>
        <w:pStyle w:val="FirstParagraph"/>
      </w:pPr>
      <w:r>
        <w:t xml:space="preserve">语言作为人类最重要的交际与思维的符号体系，是传递信息与价值，交流思想与情感，认知世界与社会的工具，是组织社会、承载文化、提升认知、发展经济的有效途径。</w:t>
      </w:r>
      <w:r>
        <w:t xml:space="preserve"> </w:t>
      </w:r>
      <w:r>
        <w:t xml:space="preserve">不同视角、不同学科对其功能与作用给予了各种不同的阐释。</w:t>
      </w:r>
      <w:r>
        <w:t xml:space="preserve"> </w:t>
      </w:r>
      <w:r>
        <w:t xml:space="preserve">如，经济学家有关语言技能是一种经济优势的观点</w:t>
      </w:r>
      <w:r>
        <w:t xml:space="preserve">(Liang et al., 2018)</w:t>
      </w:r>
      <w:r>
        <w:t xml:space="preserve">；</w:t>
      </w:r>
      <w:r>
        <w:t xml:space="preserve"> </w:t>
      </w:r>
      <w:r>
        <w:t xml:space="preserve">社会学家强调语言的个人性与社会性</w:t>
      </w:r>
      <w:r>
        <w:t xml:space="preserve">(杜敏 &amp; 刘志刚, 2020)</w:t>
      </w:r>
      <w:r>
        <w:t xml:space="preserve">；</w:t>
      </w:r>
      <w:r>
        <w:t xml:space="preserve"> </w:t>
      </w:r>
      <w:r>
        <w:t xml:space="preserve">政治学家认为语言与国家构建息息相关</w:t>
      </w:r>
      <w:r>
        <w:t xml:space="preserve">(Benedict, 2005)</w:t>
      </w:r>
      <w:r>
        <w:t xml:space="preserve">。</w:t>
      </w:r>
      <w:r>
        <w:t xml:space="preserve"> </w:t>
      </w:r>
      <w:r>
        <w:t xml:space="preserve">虽然有关语言的功能和作用在各社会面向和议题上均有反映，但从研究视角上，可归纳为三个维度：</w:t>
      </w:r>
    </w:p>
    <w:bookmarkStart w:id="21" w:name="语言与国家治理"/>
    <w:p>
      <w:pPr>
        <w:pStyle w:val="Heading2"/>
      </w:pPr>
      <w:r>
        <w:t xml:space="preserve">语言与国家治理</w:t>
      </w:r>
    </w:p>
    <w:p>
      <w:pPr>
        <w:pStyle w:val="FirstParagraph"/>
      </w:pPr>
      <w:r>
        <w:t xml:space="preserve">国家治理是国家政权的所有者、管理者和利益相关者等多元行动者在一个国家的范围内对社会公共事务的合作管理，以维护公共秩序、增进国家利益、实现社会团结</w:t>
      </w:r>
      <w:r>
        <w:t xml:space="preserve">(何增科, 2014)</w:t>
      </w:r>
      <w:r>
        <w:t xml:space="preserve">。其中，语言是影响治理有效性和执政合法性的关键性因素</w:t>
      </w:r>
      <w:r>
        <w:t xml:space="preserve">(Hu, 2020)</w:t>
      </w:r>
      <w:r>
        <w:t xml:space="preserve">。</w:t>
      </w:r>
      <w:r>
        <w:t xml:space="preserve"> </w:t>
      </w:r>
      <w:r>
        <w:t xml:space="preserve">政治生活中，国家通过合理安排语言政治权力，实现语言政治权力的善治，因而语言治理需要乃至必须体现政治的立场和政治的高度。</w:t>
      </w:r>
      <w:r>
        <w:t xml:space="preserve"> </w:t>
      </w:r>
      <w:r>
        <w:t xml:space="preserve">具体而言，主要体现在国家通用语和方言两个方面：</w:t>
      </w:r>
    </w:p>
    <w:p>
      <w:pPr>
        <w:pStyle w:val="BodyText"/>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了各民族、各地区经济文化的交流，进而构建了统一的民族或国族身份，促使各民族产生想象的共同体，维护了国家统一和民族团结</w:t>
      </w:r>
      <w:r>
        <w:t xml:space="preserve">(张卫国, 2020; 黄少安 &amp; 王麓淙, 2020)</w:t>
      </w:r>
      <w:r>
        <w:t xml:space="preserve">。</w:t>
      </w:r>
    </w:p>
    <w:p>
      <w:pPr>
        <w:pStyle w:val="BodyText"/>
      </w:pPr>
      <w:r>
        <w:t xml:space="preserve">从秦始皇统一文字到汉武帝独尊儒术，从孝文帝“断北语，从正音”到隋文帝科举选拔，从宋代《广韵》、明代《洪武正韵》到清代“以官音统一天下之语言”、民国时代“国语运动”</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w:t>
      </w:r>
    </w:p>
    <w:p>
      <w:pPr>
        <w:pStyle w:val="BodyText"/>
      </w:pPr>
      <w:r>
        <w:t xml:space="preserve">民族国家通常会以不同的方式制定各类语言政策，实施语言规划，配合语言民族主义或语言爱国主义，以此巩固、发展和强化公民的国家认同。</w:t>
      </w:r>
    </w:p>
    <w:p>
      <w:pPr>
        <w:pStyle w:val="BodyText"/>
      </w:pPr>
      <w:r>
        <w:t xml:space="preserve">从语言功能的角度来看，对于地方治理和基层治理而言，方言和民族语言有助于加强政策宣导效果，提高官民沟通效率。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(刘华夏 &amp; 袁青欢, 2017)</w:t>
      </w:r>
      <w:r>
        <w:t xml:space="preserve">，在少数民族聚居使用民族语言或者在地方使用方言更有利于政策的传达和民众的理解。</w:t>
      </w:r>
    </w:p>
    <w:p>
      <w:pPr>
        <w:pStyle w:val="BodyText"/>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如果国家机关在执行公务或者广播电视等大众传播媒介在进项宣传时，采取本地人用本地话讲本地事的形式，更易达到预期效果。</w:t>
      </w:r>
    </w:p>
    <w:p>
      <w:pPr>
        <w:pStyle w:val="BodyText"/>
      </w:pPr>
      <w:r>
        <w:t xml:space="preserve">面对多数国家内部语言方言差异巨大的客观事实，包括方言在内的各类语言成为国家治理中不可或缺的一部分，因语言沟通障碍而影响了地方政府工作开展并引发对语言服务的需求，已成为亟需解决的问题。</w:t>
      </w:r>
      <w:r>
        <w:t xml:space="preserve"> </w:t>
      </w:r>
      <w:r>
        <w:t xml:space="preserve">但方言对地方保护主义以及民族语言对分裂势力的影响不容小觑，我们也需时刻注意分裂型语言民族主义</w:t>
      </w:r>
      <w:r>
        <w:t xml:space="preserve">(陈平, 2008)</w:t>
      </w:r>
      <w:r>
        <w:t xml:space="preserve">。</w:t>
      </w:r>
    </w:p>
    <w:p>
      <w:pPr>
        <w:pStyle w:val="BodyText"/>
      </w:pPr>
      <w:r>
        <w:t xml:space="preserve">总之，国家通用语作为国家记忆和文化的主要载体一直以来受到各国政策制定者的关注和争相推广。</w:t>
      </w:r>
      <w:r>
        <w:t xml:space="preserve"> </w:t>
      </w:r>
      <w:r>
        <w:t xml:space="preserve">国族的共同记忆、历史传统、文化、价值等要素的培育和传递，都需要统一的民族语言作为基础</w:t>
      </w:r>
      <w:r>
        <w:t xml:space="preserve">(Anthony, 2002)</w:t>
      </w:r>
      <w:r>
        <w:t xml:space="preserve">。</w:t>
      </w:r>
      <w:r>
        <w:t xml:space="preserve"> </w:t>
      </w:r>
      <w:r>
        <w:t xml:space="preserve">如，先秦的雅言、汉魏的正音、隋唐的雅韵及字样、宋元而至明清的官话以及近现代的国语和普通话等语言治理之策就一直是中国国家治理的重要组成部分。</w:t>
      </w:r>
    </w:p>
    <w:p>
      <w:pPr>
        <w:pStyle w:val="BodyText"/>
      </w:pPr>
      <w:r>
        <w:t xml:space="preserve">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(戴曼纯 &amp; 朱宁燕, 2011)</w:t>
      </w:r>
      <w:r>
        <w:t xml:space="preserve">。</w:t>
      </w:r>
    </w:p>
    <w:bookmarkEnd w:id="21"/>
    <w:bookmarkStart w:id="22"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上述有关语言政策和语言治理的研究主要从宏观角度出发，停留在语言对国家认同、政治秩序的塑造与国家治理能力上。</w:t>
      </w:r>
      <w:r>
        <w:t xml:space="preserve"> </w:t>
      </w:r>
      <w:r>
        <w:t xml:space="preserve">实际上，国内外也有大量学者探讨了语言治理对群体心理方面的重要作用，强调语言是建构社会身份认同和划定群体边界的重要指征。</w:t>
      </w:r>
    </w:p>
    <w:p>
      <w:pPr>
        <w:pStyle w:val="BodyText"/>
      </w:pPr>
      <w:r>
        <w:t xml:space="preserve">群体治理强调民众的自我管理能力，指在没有政府的参与下，通过自我协作、信任关系、社会交往以及非正式协议等自治手段，以自下而上的权力运作方式来管理社会团体和社会组织</w:t>
      </w:r>
      <w:r>
        <w:t xml:space="preserve">(Ostrom, 2015)</w:t>
      </w:r>
      <w:r>
        <w:t xml:space="preserve">。</w:t>
      </w:r>
      <w:r>
        <w:t xml:space="preserve"> </w:t>
      </w:r>
      <w:r>
        <w:t xml:space="preserve">现实利益理论（Realistic Interest Theory）提出，个体通过人际互动塑造群体利益（shared interests）。</w:t>
      </w:r>
      <w:r>
        <w:t xml:space="preserve"> </w:t>
      </w:r>
      <w:r>
        <w:t xml:space="preserve">而语言对于满足人际交往和社会互动的紧迫需求，在更广泛意义上团结松散民众，形成集体凝聚力和阶层共识发挥着重要作用。</w:t>
      </w:r>
    </w:p>
    <w:p>
      <w:pPr>
        <w:pStyle w:val="BodyText"/>
      </w:pPr>
      <w:r>
        <w:t xml:space="preserve">语言在被认为是厘定文化群体(cultural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w:t>
      </w:r>
      <w:r>
        <w:t xml:space="preserve"> </w:t>
      </w:r>
      <w:r>
        <w:t xml:space="preserve">人们在听到某种特定语言类型后，会由此对语言使用者产生一些直观感受和印象</w:t>
      </w:r>
      <w:r>
        <w:t xml:space="preserve">(刘虹, 1993)</w:t>
      </w:r>
      <w:r>
        <w:t xml:space="preserve">，即对不同种类的语言类型使用人群具有不同的感情和态度差异。</w:t>
      </w:r>
      <w:r>
        <w:t xml:space="preserve"> </w:t>
      </w:r>
      <w:r>
        <w:t xml:space="preserve">刘华夏 &amp; 袁青欢 (2017)</w:t>
      </w:r>
      <w:r>
        <w:t xml:space="preserve"> </w:t>
      </w:r>
      <w:r>
        <w:t xml:space="preserve">就基于对不同个体语言能力差异的研究指出，语言差异会影响群体之间的相互认同，乃至形成心理隔阂，从而造成社会认知和社会判断的固化。</w:t>
      </w:r>
      <w:r>
        <w:t xml:space="preserve"> </w:t>
      </w:r>
      <w:r>
        <w:t xml:space="preserve">因语言而划定的群体边界，使人们在心理和文化上对“我者”与“他者”做出判断，即对属于本群体内部的人有着较高的信任，更能相互包容和团结，更能遵守群体规范，从而有利于破除集体行动的困境。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w:t>
      </w:r>
      <w:r>
        <w:t xml:space="preserve"> </w:t>
      </w:r>
      <w:r>
        <w:t xml:space="preserve">如果人们持有不同语言即不会相互融入，同时还会体验到来自主流社会的敌意和排斥，因此由自身母语方言到当地方言的转变被看作是移民文化适应和社会融入的关键标志</w:t>
      </w:r>
      <w:r>
        <w:t xml:space="preserve">(Dustmann &amp; Fabbri, 2003; Rendall et al., 2010)</w:t>
      </w:r>
      <w:r>
        <w:t xml:space="preserve">。</w:t>
      </w:r>
      <w:r>
        <w:t xml:space="preserve"> </w:t>
      </w:r>
      <w:r>
        <w:t xml:space="preserve">在这种意义上，对通行语和流行语的掌握程度也就塑造了社会个体对于主体社会的融入程度。</w:t>
      </w:r>
      <w:r>
        <w:t xml:space="preserve"> </w:t>
      </w:r>
      <w:r>
        <w:t xml:space="preserve">Vroome et al. (2013)</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2"/>
    <w:bookmarkStart w:id="23" w:name="语言与个体治理"/>
    <w:p>
      <w:pPr>
        <w:pStyle w:val="Heading2"/>
      </w:pPr>
      <w:r>
        <w:t xml:space="preserve">语言与个体治理</w:t>
      </w:r>
    </w:p>
    <w:p>
      <w:pPr>
        <w:pStyle w:val="FirstParagraph"/>
      </w:pPr>
      <w:r>
        <w:t xml:space="preserve">Giddens (2000)</w:t>
      </w:r>
      <w:r>
        <w:t xml:space="preserve"> </w:t>
      </w:r>
      <w:r>
        <w:t xml:space="preserve">认为，个体治理包含“解放政治”和“生活政治”的双元混合，前者是关于对社会地位和社会权利（力）的争取，而后者则偏重于对社会认同和自我实现的追求。</w:t>
      </w:r>
    </w:p>
    <w:p>
      <w:pPr>
        <w:pStyle w:val="BodyText"/>
      </w:pPr>
      <w:r>
        <w:t xml:space="preserve">当前，中国社会结构发生巨大变革，场域的改变使得传统社会对个体治理的运作路径面临极大的挑战。</w:t>
      </w:r>
      <w:r>
        <w:t xml:space="preserve"> </w:t>
      </w:r>
      <w:r>
        <w:t xml:space="preserve">个体的话语表达、经济活动、自我组织和自我管理等空间被逐渐释放出来，个体的自主意识、权利意识和竞争意识日益增强。</w:t>
      </w:r>
    </w:p>
    <w:p>
      <w:pPr>
        <w:pStyle w:val="BodyText"/>
      </w:pPr>
      <w:r>
        <w:t xml:space="preserve">现代性社会的时空分离与压缩的特征以及在此基础上形成的个体“脱域”与“延异”现象</w:t>
      </w:r>
      <w:r>
        <w:t xml:space="preserve">(Giddens, 2000)</w:t>
      </w:r>
      <w:r>
        <w:t xml:space="preserve">，造成个体治理的“内卷化”和“无根化”。</w:t>
      </w:r>
    </w:p>
    <w:p>
      <w:pPr>
        <w:pStyle w:val="BodyText"/>
      </w:pPr>
      <w:r>
        <w:t xml:space="preserve">可见，以个体利益、个体成就为导向的价值追求导致中国传统社会一直以来的集体化治理模式和治理框架逐步瓦解</w:t>
      </w:r>
      <w:r>
        <w:t xml:space="preserve">(洪波, 2018)</w:t>
      </w:r>
      <w:r>
        <w:t xml:space="preserve">。</w:t>
      </w:r>
    </w:p>
    <w:p>
      <w:pPr>
        <w:pStyle w:val="BodyText"/>
      </w:pPr>
      <w:r>
        <w:t xml:space="preserve">而语言作为重要的资本符号，能够伴随文化资本、经济资本和社会资本参与到资本转换中</w:t>
      </w:r>
      <w:r>
        <w:t xml:space="preserve">(英吉卓玛, 2018)</w:t>
      </w:r>
      <w:r>
        <w:t xml:space="preserve">，对个体能力和个体认知产生重要影响。</w:t>
      </w:r>
    </w:p>
    <w:p>
      <w:pPr>
        <w:pStyle w:val="BodyText"/>
      </w:pPr>
      <w:r>
        <w:t xml:space="preserve">就个体能力而言，人力资本理论和教育经济学理论普遍认为，语言作为人类经济活动工具，在信息传递上具有价值、效用、成本和收益等经济特性</w:t>
      </w:r>
      <w:r>
        <w:t xml:space="preserve">(张卫国, 2011)</w:t>
      </w:r>
      <w:r>
        <w:t xml:space="preserve">。</w:t>
      </w:r>
      <w:r>
        <w:t xml:space="preserve"> </w:t>
      </w:r>
      <w:r>
        <w:t xml:space="preserve">成本——收益视角下的语言能力，是对个体信息获取成本和信息获取能力的考量；</w:t>
      </w:r>
      <w:r>
        <w:t xml:space="preserve"> </w:t>
      </w:r>
      <w:r>
        <w:t xml:space="preserve">一种语言掌握越好，信息沟通成本越低，信息收益越大，个体越容易了解与掌握相关的政治、经济、法律等社会生活中的知识和惯例</w:t>
      </w:r>
      <w:r>
        <w:t xml:space="preserve">(张卫国 &amp; 孙涛, 2016)</w:t>
      </w:r>
      <w:r>
        <w:t xml:space="preserve">。</w:t>
      </w:r>
    </w:p>
    <w:p>
      <w:pPr>
        <w:pStyle w:val="BodyText"/>
      </w:pP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w:t>
      </w:r>
    </w:p>
    <w:p>
      <w:pPr>
        <w:pStyle w:val="BodyText"/>
      </w:pPr>
      <w:r>
        <w:t xml:space="preserve">提高个体的语言水平，促进个体之间的交往互动，有利于创造良好的人际关系、生活环境和工作环境，提高个体的社会适应能力、影响力、竞争力和资源获取能力。</w:t>
      </w:r>
    </w:p>
    <w:p>
      <w:pPr>
        <w:pStyle w:val="BodyText"/>
      </w:pPr>
      <w:r>
        <w:t xml:space="preserve">从个体认知来看，语言与自我认知塑造相连接。</w:t>
      </w:r>
      <w:r>
        <w:t xml:space="preserve"> </w:t>
      </w:r>
      <w:r>
        <w:t xml:space="preserve">具体而言，由于人们对于自我的定位很大程度上是在与他人接触后的内省获得的。</w:t>
      </w:r>
      <w:r>
        <w:t xml:space="preserve"> </w:t>
      </w:r>
      <w:r>
        <w:t xml:space="preserve">个体对于主流语种掌握能力越突出，其社会融入和社会经济生活就越顺畅，交流成本就更低，相应的在拓展人际网络中的阻碍也更少，更利于个体融入当地社群，因而对自身和社会的评价也就越高。</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&amp; 黎宏 (2004)</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r>
        <w:t xml:space="preserve"> </w:t>
      </w:r>
      <w:r>
        <w:t xml:space="preserve">相反，语言掌握程度低会使使用者的自我评价也随之降低。</w:t>
      </w:r>
      <w:r>
        <w:t xml:space="preserve"> </w:t>
      </w:r>
      <w:r>
        <w:t xml:space="preserve">Wright &amp;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3"/>
    <w:bookmarkEnd w:id="24"/>
    <w:bookmarkStart w:id="28" w:name="语言治理的实现途径"/>
    <w:p>
      <w:pPr>
        <w:pStyle w:val="Heading1"/>
      </w:pPr>
      <w:r>
        <w:t xml:space="preserve">语言治理的实现途径</w:t>
      </w:r>
    </w:p>
    <w:p>
      <w:pPr>
        <w:pStyle w:val="FirstParagraph"/>
      </w:pPr>
      <w:r>
        <w:t xml:space="preserve">上述讨论呈现了语言治理对国家、社会群体及公众个人政治社会心理的多维度、多层次影响。</w:t>
      </w:r>
      <w:r>
        <w:t xml:space="preserve"> </w:t>
      </w:r>
      <w:r>
        <w:t xml:space="preserve">而作为治理者，如何有效实施和推行语言治理，最大化其治理效能呢？回答这一问题需要对语言治理的实施途径进行深入全面理解。</w:t>
      </w:r>
      <w:r>
        <w:t xml:space="preserve"> </w:t>
      </w:r>
      <w:r>
        <w:t xml:space="preserve">本文主要从阐释政策规范、调整群体关系和改善发展环境三个方面来探讨语言治理的实现机制。</w:t>
      </w:r>
    </w:p>
    <w:bookmarkStart w:id="25" w:name="阐释政策规范"/>
    <w:p>
      <w:pPr>
        <w:pStyle w:val="Heading2"/>
      </w:pPr>
      <w:r>
        <w:t xml:space="preserve">阐释政策规范</w:t>
      </w:r>
    </w:p>
    <w:p>
      <w:pPr>
        <w:pStyle w:val="FirstParagraph"/>
      </w:pPr>
      <w:r>
        <w:t xml:space="preserve">语言政策是语言生活领域的国家意志体现，是国家在语言生活领域的治理方案，不仅对人们的社会地位认知、社会融入程度，社会参与意愿具有导向作用，还会直接影响民族关系、社会稳定、经济发展模式。</w:t>
      </w:r>
      <w:r>
        <w:t xml:space="preserve"> </w:t>
      </w:r>
      <w:r>
        <w:t xml:space="preserve">因此，国家会有目的、有计划、有组织地对语言文字及其使用进行干预与管理，通过立法或者政府调节手段，使语言文字更好地为国家服务</w:t>
      </w:r>
      <w:r>
        <w:t xml:space="preserve">(戴曼纯 &amp; 贺战茹, 2010)</w:t>
      </w:r>
      <w:r>
        <w:t xml:space="preserve">。</w:t>
      </w:r>
    </w:p>
    <w:p>
      <w:pPr>
        <w:pStyle w:val="BodyText"/>
      </w:pPr>
      <w:r>
        <w:t xml:space="preserve">作为政治问题的语言政策，各国的价值取向和路径模式不尽相同。</w:t>
      </w:r>
      <w:r>
        <w:t xml:space="preserve"> </w:t>
      </w:r>
      <w:r>
        <w:t xml:space="preserve">如，十月革命后，苏联将大多数语言的文字系统改换成拉丁字母文字，包括为少数民族创制的拉丁化新文字；越南民主共和国成立后，即宣布拉丁字母的越南文为“国文”，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可见，各国政府努力促进语言政策的本土性转化，在立足具体国情的基础上制定出符合国情的语言政策，，从而促进本国经济发展、推动民族融合。</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&amp; Liu, 2016; Liu &amp; Pizzi, 2018)</w:t>
      </w:r>
      <w:r>
        <w:t xml:space="preserve">。</w:t>
      </w:r>
      <w:r>
        <w:t xml:space="preserve"> </w:t>
      </w: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非洲新兴独立国家领导人在构建国家认同和民族意识过程中，十分注重语言政策在社会成员族群意识、国家身份、社会经济发展等多个层面对该国的社会经济制度的参与塑造作用</w:t>
      </w:r>
      <w:r>
        <w:t xml:space="preserve">(Laitin, 1977)</w:t>
      </w:r>
      <w:r>
        <w:t xml:space="preserve">。</w:t>
      </w:r>
      <w:r>
        <w:t xml:space="preserve"> </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&amp; 贺战茹, 2010)</w:t>
      </w:r>
      <w:r>
        <w:t xml:space="preserve">。</w:t>
      </w:r>
    </w:p>
    <w:bookmarkEnd w:id="25"/>
    <w:bookmarkStart w:id="26" w:name="调整群体关系"/>
    <w:p>
      <w:pPr>
        <w:pStyle w:val="Heading2"/>
      </w:pPr>
      <w:r>
        <w:t xml:space="preserve">调整群体关系</w:t>
      </w:r>
    </w:p>
    <w:p>
      <w:pPr>
        <w:pStyle w:val="FirstParagraph"/>
      </w:pPr>
      <w:r>
        <w:t xml:space="preserve">语言平等是族群平等的重要内容和重要标志之一，国家会通过规定各族群所使用的词汇和语言，并通过这些词汇和语言控制改变着其交际行为，借此加强各族群在政治、经济、文化以及情感方面的联系</w:t>
      </w:r>
      <w:r>
        <w:t xml:space="preserve">(Kathryn &amp; Kendall, 2017)</w:t>
      </w:r>
      <w:r>
        <w:t xml:space="preserve">。</w:t>
      </w:r>
    </w:p>
    <w:p>
      <w:pPr>
        <w:pStyle w:val="BodyText"/>
      </w:pPr>
      <w:r>
        <w:t xml:space="preserve">一直以来，语言政策作为国家民族政策的重要组成部分，各国政府就不断强调语言政策要体现出少数族群的“心理状态”，达到维系民族团结的目的。</w:t>
      </w:r>
      <w:r>
        <w:t xml:space="preserve"> </w:t>
      </w:r>
      <w:r>
        <w:t xml:space="preserve">1968年美国《双语教育法》的通过便是承认美国语言多元化的事实，即存在一些母语不是英语的学生（或成人）。这一法律的颁布部分地解决了多族群间的语言矛盾和语言冲突，维护了国家和社会的稳定。</w:t>
      </w:r>
    </w:p>
    <w:p>
      <w:pPr>
        <w:pStyle w:val="BodyText"/>
      </w:pPr>
      <w:r>
        <w:t xml:space="preserve">瑞士是世界上惟一将国内各族群语言都定为国语的国家，规定所有语言都具有平等的法律地位</w:t>
      </w:r>
      <w:r>
        <w:t xml:space="preserve">(孟红莉, 2010)</w:t>
      </w:r>
      <w:r>
        <w:t xml:space="preserve">，高中学生均要学习三种官方语言(德语、法语、意大利语)。</w:t>
      </w:r>
      <w:r>
        <w:t xml:space="preserve"> </w:t>
      </w:r>
      <w:r>
        <w:t xml:space="preserve">这一政策的实施使得瑞士因而被认为只是一个“具有文化差别性的社会”，而非是一个“多数族群－少数族群共存的社会”，从而避免赋予族群差异以任何其他的政治和意识形态出现或加深，实现了多民族社会的稳定团结。</w:t>
      </w:r>
    </w:p>
    <w:p>
      <w:pPr>
        <w:pStyle w:val="BodyText"/>
      </w:pPr>
      <w:r>
        <w:t xml:space="preserve">中国的社会制度与民族政策一直面临着西方国家提出的“对少数族群实行同化政策”的舆论批评和外交压力，但中国宪法和相关法令实际上明确规定了各少数族群都有使用和发展其语言文字的自由。</w:t>
      </w:r>
      <w:r>
        <w:t xml:space="preserve"> </w:t>
      </w:r>
      <w:r>
        <w:t xml:space="preserve">中国的语言使用情况由此呈现出“多元一体”的格局——各个族群保存并发展自己的语言，以维护本民族文化。</w:t>
      </w:r>
      <w:r>
        <w:t xml:space="preserve"> </w:t>
      </w:r>
      <w:r>
        <w:t xml:space="preserve">同时，各个民族又将汉语作为全国通用的“族际共同语”，以促进各族群间的交流沟通和全国范围内经济、文化等各方面事业的发展。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w:t>
      </w:r>
    </w:p>
    <w:p>
      <w:pPr>
        <w:pStyle w:val="BodyText"/>
      </w:pPr>
      <w:r>
        <w:t xml:space="preserve">实际上，语言具有文化象征和交流沟通的双重属性。前者带有深厚的历史感与情感色彩，后者则强调语言是功利性的交流与学习工具。</w:t>
      </w:r>
      <w:r>
        <w:t xml:space="preserve"> </w:t>
      </w:r>
      <w:r>
        <w:t xml:space="preserve">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6"/>
    <w:bookmarkStart w:id="27" w:name="加强个体治理"/>
    <w:p>
      <w:pPr>
        <w:pStyle w:val="Heading2"/>
      </w:pPr>
      <w:r>
        <w:t xml:space="preserve">加强个体治理</w:t>
      </w:r>
    </w:p>
    <w:p>
      <w:pPr>
        <w:pStyle w:val="FirstParagraph"/>
      </w:pPr>
      <w:r>
        <w:t xml:space="preserve">人们的思维依赖于框架、原型、隐喻、意象等语言和认知手段。</w:t>
      </w:r>
      <w:r>
        <w:t xml:space="preserve"> </w:t>
      </w:r>
      <w:r>
        <w:t xml:space="preserve">国家通过控制、筛选、组织和分配话语的生产，并借用语言符号来把握微观个体的具体话语行为，潜移默化地加强语言与个体身份的良性构建，从而实现对个体心理的有效引导。</w:t>
      </w:r>
    </w:p>
    <w:p>
      <w:pPr>
        <w:pStyle w:val="BodyText"/>
      </w:pPr>
      <w:r>
        <w:t xml:space="preserve">当前，随着新信息技术和电子媒介的出现，政府通常将媒体作为实现实际言语交际和经验表征的工具，新闻话语及图像根据政治需要或意识形态的准则而被选择、建构和处理，以便合法化政府行为。</w:t>
      </w:r>
    </w:p>
    <w:p>
      <w:pPr>
        <w:pStyle w:val="BodyText"/>
      </w:pPr>
      <w:r>
        <w:t xml:space="preserve">具体而言，国家借用多模态话语——语言文字、图像和图表的复合话语构建社会现实的人际互动，利用各种符号模态协同作用下构建的现实意义，引导民众心理。</w:t>
      </w:r>
    </w:p>
    <w:p>
      <w:pPr>
        <w:pStyle w:val="BodyText"/>
      </w:pPr>
      <w:r>
        <w:t xml:space="preserve">如，</w:t>
      </w:r>
      <w:r>
        <w:t xml:space="preserve">丁建新 &amp; 杨荟 (2020)</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uhan Coronavirus”或者“Wuhan Virus”来称呼新冠病毒，甚至出现“黄祸”</w:t>
      </w:r>
      <w:r>
        <w:t xml:space="preserve">“</w:t>
      </w:r>
      <w:r>
        <w:t xml:space="preserve">中国病毒</w:t>
      </w:r>
      <w:r>
        <w:t xml:space="preserve">”</w:t>
      </w:r>
      <w:r>
        <w:t xml:space="preserve">等词，引导美国民众寻找、建构另一个“他者”，并将罪责归于“他者”，以缓解自身的恐惧和焦虑，进而作为一种政治延伸达到影射中国的目的。</w:t>
      </w:r>
    </w:p>
    <w:p>
      <w:pPr>
        <w:pStyle w:val="BodyText"/>
      </w:pPr>
      <w:r>
        <w:t xml:space="preserve">对于同一个客观事物，不同的语言表达会产生不同的效果，并演绎出不同的游戏规则和行事逻辑。亚里士多德的《修辞学》和西塞罗的《论演说术》也无不强调话语是构建民众世界观和概念化政治问题的一种重要手段。</w:t>
      </w:r>
    </w:p>
    <w:p>
      <w:pPr>
        <w:pStyle w:val="BodyText"/>
      </w:pPr>
      <w:r>
        <w:t xml:space="preserve">如，针对当前气候变暖问题，美国前副总统戈尔通常使用“气候危机”(climate crisis)或“气候混乱”(climate chaos)，而前总统小布什在其国情咨文中坚持使用“气候变化”(climate change)及“全球变暖”(global warming)。相比之下，</w:t>
      </w:r>
      <w:r>
        <w:t xml:space="preserve">“</w:t>
      </w:r>
      <w:r>
        <w:t xml:space="preserve">气候危机</w:t>
      </w:r>
      <w:r>
        <w:t xml:space="preserve">”</w:t>
      </w:r>
      <w:r>
        <w:t xml:space="preserve">和“气候混乱”明显强化了该问题的严重性和必须采取措施应对的紧迫感。而“气候变化”或“全球变暖”则将公众的注意力框定在全球平均气温上，认为该问题可控且尚未对人类形成太大的挑战，进而不去关注更为严重的诸如海啸、水灾及旱灾等环境问题。</w:t>
      </w:r>
    </w:p>
    <w:bookmarkEnd w:id="27"/>
    <w:bookmarkEnd w:id="28"/>
    <w:bookmarkStart w:id="32" w:name="语言治理与新时期中国政治发展"/>
    <w:p>
      <w:pPr>
        <w:pStyle w:val="Heading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w:t>
      </w:r>
    </w:p>
    <w:p>
      <w:pPr>
        <w:pStyle w:val="BodyText"/>
      </w:pPr>
      <w:r>
        <w:t xml:space="preserve">当前，我国正处于经济发展方式和社会治理模式的双重变革时期。</w:t>
      </w:r>
      <w:r>
        <w:t xml:space="preserve"> </w:t>
      </w:r>
      <w:r>
        <w:t xml:space="preserve">变革所带来的一系列社会结构和治理策略变，均对国民政治社会心理产生巨大影响。</w:t>
      </w:r>
      <w:r>
        <w:t xml:space="preserve"> </w:t>
      </w:r>
      <w:r>
        <w:t xml:space="preserve">相应一系列问题也随之凸显，比如，由于经济结构剧烈变化而导致的国民自我定位错位</w:t>
      </w:r>
      <w:r>
        <w:t xml:space="preserve">(景怀斌 et al., 2017)</w:t>
      </w:r>
      <w:r>
        <w:t xml:space="preserve">，由于人口结构变化和加速城镇化带来的人际信任缺失和新、老市民身份认同矛盾</w:t>
      </w:r>
      <w:r>
        <w:t xml:space="preserve">(卢晖临 &amp; 潘毅, 2014)</w:t>
      </w:r>
      <w:r>
        <w:t xml:space="preserve">，以及人民日益增长的政治参与需求与政府治理方式的不匹配等问题，都成为当代中国社会急需关注的问题。</w:t>
      </w:r>
      <w:r>
        <w:t xml:space="preserve"> </w:t>
      </w:r>
      <w:r>
        <w:t xml:space="preserve">如果处理不当，将极易造成民众情绪激化，甚至演变成恶行群体事件，损害社会稳定，威胁正常政治经济秩序</w:t>
      </w:r>
      <w:r>
        <w:t xml:space="preserve">(郝宇青 &amp; 车跃, 2011)</w:t>
      </w:r>
      <w:r>
        <w:t xml:space="preserve">。</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上述问题迫切需要国民具备较好的沟通能力和较高的语言文字应用水平，提升自身的综合素质，以便更好地融入主流社会。</w:t>
      </w:r>
      <w:r>
        <w:t xml:space="preserve"> </w:t>
      </w:r>
      <w:r>
        <w:t xml:space="preserve">我国的语言治理借助以上三种实施途径，从具体国情出发，呈现出了独特的治理面貌。</w:t>
      </w:r>
    </w:p>
    <w:bookmarkStart w:id="29"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就时间维度而言，城市语言治理包括常态性问题和应激性问题两部分。</w:t>
      </w:r>
    </w:p>
    <w:p>
      <w:pPr>
        <w:pStyle w:val="BodyText"/>
      </w:pPr>
      <w:r>
        <w:t xml:space="preserve">长远看来，如何实现以“人的城镇化”为核心的新型城镇化建设，处理好人与语言、语言与社会、语言与语言、语言与方言、语言与社团之间的关系，成为当前城市治理和区域发展的新痛点和新难点。</w:t>
      </w:r>
      <w:r>
        <w:t xml:space="preserve"> </w:t>
      </w:r>
      <w:r>
        <w:t xml:space="preserve">中国城市化进程全面提速，国家统计局最新发布的关于2019年国民经济和社会发展统计公报显示，我国城镇常住人口已达84843万，城镇化率为60.60%，已经超过世界平均水平</w:t>
      </w:r>
      <w:r>
        <w:t xml:space="preserve">(沈骑, 2021)</w:t>
      </w:r>
      <w:r>
        <w:t xml:space="preserve">。</w:t>
      </w:r>
      <w:r>
        <w:t xml:space="preserve"> </w:t>
      </w:r>
      <w:r>
        <w:t xml:space="preserve">城镇化的发展促成了频繁的人口流动，导致国内出现了大量的新市民或流动人口。</w:t>
      </w:r>
      <w:r>
        <w:t xml:space="preserve"> </w:t>
      </w:r>
      <w:r>
        <w:t xml:space="preserve">而无论是农民工还是城市新市民，他们必然带来语言的接触与融合，导致语言地图的变更。</w:t>
      </w:r>
      <w:r>
        <w:t xml:space="preserve"> </w:t>
      </w:r>
      <w:r>
        <w:t xml:space="preserve">方言与其他正在逐步逝去的乡土生活和文化记忆一起，均在经历着一个前所未有的极速变异过程——亦或是在当地语言之外形成了“方言岛”，亦或是产生了新的语言变异和变体</w:t>
      </w:r>
      <w:r>
        <w:t xml:space="preserve">(武小军, 2020)</w:t>
      </w:r>
      <w:r>
        <w:t xml:space="preserve">。</w:t>
      </w:r>
      <w:r>
        <w:t xml:space="preserve"> </w:t>
      </w:r>
      <w:r>
        <w:t xml:space="preserve">这一过程导致了大量人群失语、失权、失利。</w:t>
      </w:r>
    </w:p>
    <w:p>
      <w:pPr>
        <w:pStyle w:val="BodyText"/>
      </w:pPr>
      <w:r>
        <w:t xml:space="preserve">传统治理视角认为，对于城市主体人群和新进人群/少数人群的隔阂和矛盾，主要通过增强后者社会融合度（比如农民工的城市化程度或少数民族的融入感等）等加以改善。</w:t>
      </w:r>
      <w:r>
        <w:t xml:space="preserve"> </w:t>
      </w:r>
      <w:r>
        <w:t xml:space="preserve">但上述局面使得语言在城市治理中的协调与中介价值日益凸显。</w:t>
      </w:r>
      <w:r>
        <w:t xml:space="preserve"> </w:t>
      </w:r>
      <w:r>
        <w:t xml:space="preserve">快速城镇化和区域一体化作为新时代中国发展的核心特征之一，现有政府正在通过语言治理促进社会公众心理融合，提升全体公众人际信任和积极心态，为营造和谐社会氛围搭建心理基础，实现普通话、方言和外语和谐共生，助力新型城镇化人本目标的实现。</w:t>
      </w:r>
    </w:p>
    <w:p>
      <w:pPr>
        <w:pStyle w:val="BodyText"/>
      </w:pPr>
      <w:r>
        <w:t xml:space="preserve">就当下而言，新冠疫情的暴发使得城市语言治理能力不足的问题充分暴露出来</w:t>
      </w:r>
      <w:r>
        <w:t xml:space="preserve">(沈骑, 2021)</w:t>
      </w:r>
      <w:r>
        <w:t xml:space="preserve">。</w:t>
      </w:r>
      <w:r>
        <w:t xml:space="preserve"> </w:t>
      </w:r>
      <w:r>
        <w:t xml:space="preserve">2020年上半年，我国大城市疫情防控工作中暴露出一系列涉外语言能力不足以及涉外语言治理空白等问题。</w:t>
      </w:r>
      <w:r>
        <w:t xml:space="preserve"> </w:t>
      </w:r>
      <w:r>
        <w:t xml:space="preserve">当前国内大城市仍未建设或运行语言人才资源数据库或语言志愿者信息库，严重影响城市在突发重大事件中的涉外应对能力、效率和速度；</w:t>
      </w:r>
      <w:r>
        <w:t xml:space="preserve"> </w:t>
      </w:r>
      <w:r>
        <w:t xml:space="preserve">城市的语言翻译和语言服务中对于外语语种的设置和提供多少有些随意，缺乏深谋远虑，政府和公共服务机构的语种规划与多语意识亟待全面加强；</w:t>
      </w:r>
      <w:r>
        <w:t xml:space="preserve"> </w:t>
      </w:r>
      <w:r>
        <w:t xml:space="preserve">政府多语信息发布和服务渠道的社会影响力和可及性均不令人满意；</w:t>
      </w:r>
      <w:r>
        <w:t xml:space="preserve"> </w:t>
      </w:r>
      <w:r>
        <w:t xml:space="preserve">面对大量的在华外国人，尚未形成有效的语言服务协调机制和语言治理体系，各类事务由分散在各政府部门的机构或基层组织自身来解决，缺少有效的合作治理机制。</w:t>
      </w:r>
    </w:p>
    <w:p>
      <w:pPr>
        <w:pStyle w:val="BodyText"/>
      </w:pPr>
      <w:r>
        <w:t xml:space="preserve">这些问题都提醒我们，我国大城市语言治理能力亟须提升，后疫情时代城市化建设中纷繁复杂的语言治理问题需要更加引起重视，系统探索“自上而下”与“自下而上”双向互动的城市语言治理体系，正当其时。</w:t>
      </w:r>
    </w:p>
    <w:bookmarkEnd w:id="29"/>
    <w:bookmarkStart w:id="30" w:name="精准扶贫与乡村振兴"/>
    <w:p>
      <w:pPr>
        <w:pStyle w:val="Heading2"/>
      </w:pPr>
      <w:r>
        <w:t xml:space="preserve">精准扶贫与乡村振兴</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2018年9月,中共中央、国务院印发了《乡村振兴战略规划(2018—2022年)》，强调防止因语言能力的缺乏和语言上的弱势致贫返贫，减少语言藩篱对贫困地区发展的束缚，注重语言政策与规划在乡村振兴中的作用。</w:t>
      </w:r>
      <w:r>
        <w:t xml:space="preserve"> </w:t>
      </w:r>
      <w:r>
        <w:t xml:space="preserve">精准扶贫战略下地的语言扶贫虽已取得显著成效，但语言资源的差异仍会导致个体机会的不平等和社会阶层的差距。</w:t>
      </w:r>
      <w:r>
        <w:t xml:space="preserve"> </w:t>
      </w:r>
      <w:r>
        <w:t xml:space="preserve">聚焦于精准扶贫而实施的语言扶贫如何适应新战略对语言服务社会和国家的总体要求，如何实现语言治理在精准扶贫与乡村振兴战略的顺承与衔接成为中国国家治理的重点工作，也是当前亟需回答的问题</w:t>
      </w:r>
      <w:r>
        <w:t xml:space="preserve">(杜敏 &amp; 刘志刚, 2020)</w:t>
      </w:r>
      <w:r>
        <w:t xml:space="preserve">。</w:t>
      </w:r>
    </w:p>
    <w:p>
      <w:pPr>
        <w:pStyle w:val="BodyText"/>
      </w:pPr>
      <w:r>
        <w:t xml:space="preserve">基于此，我国现有关语言治理对乡村振兴的作用主要基于以下两点：</w:t>
      </w:r>
    </w:p>
    <w:p>
      <w:pPr>
        <w:pStyle w:val="BodyText"/>
      </w:pPr>
      <w:r>
        <w:t xml:space="preserve">首先，推广普通话对乡村振兴具有促进作用。</w:t>
      </w:r>
      <w:r>
        <w:t xml:space="preserve"> </w:t>
      </w:r>
      <w:r>
        <w:t xml:space="preserve">通过提高少数民族贫困人口使用普通话的能力及该地区普通话的普及率，构建沟通桥梁，打破贫困地区和外界信息交流的语言屏障，从而推动贫困地区经济发展</w:t>
      </w:r>
      <w:r>
        <w:t xml:space="preserve">(李宇明, 2018)</w:t>
      </w:r>
      <w:r>
        <w:t xml:space="preserve">。</w:t>
      </w:r>
      <w:r>
        <w:t xml:space="preserve"> </w:t>
      </w:r>
      <w:r>
        <w:t xml:space="preserve">如，建立以“普通话专项培训为重点，以送培下乡、送教上门的农民夜校、普通话与使用技能培训相结合等方式为主，以其他各类语言文字培训向贫困地区倾斜为补充”培训体系</w:t>
      </w:r>
      <w:r>
        <w:t xml:space="preserve">(田学军, 2019)</w:t>
      </w:r>
      <w:r>
        <w:t xml:space="preserve">；</w:t>
      </w:r>
      <w:r>
        <w:t xml:space="preserve"> </w:t>
      </w:r>
      <w:r>
        <w:t xml:space="preserve">编写推普脱贫入门教材，教育部语用司先后赴四川凉山州、甘肃临夏州东乡县等深度贫困地区进行调研，征求意见，组织专家编写《普通话1000句》，结合纸本教材，录制音频、微课，制作语言游戏</w:t>
      </w:r>
      <w:r>
        <w:t xml:space="preserve">(杜敏 &amp; 刘志刚, 2020)</w:t>
      </w:r>
      <w:r>
        <w:t xml:space="preserve">。</w:t>
      </w:r>
      <w:r>
        <w:t xml:space="preserve"> </w:t>
      </w:r>
      <w:r>
        <w:t xml:space="preserve">这些政策旨在提升乡村地区，尤其是民族地区普通民众的基本交际能力和沟通能力，帮助当地居民树立自信心和自强自立精神，从而内在地、主动地改变贫困落后的生活状态和面貌。</w:t>
      </w:r>
    </w:p>
    <w:p>
      <w:pPr>
        <w:pStyle w:val="BodyText"/>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(刘华夏 &amp; 袁青欢, 2017; 苏德, 2004)</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BodyText"/>
      </w:pPr>
      <w:r>
        <w:t xml:space="preserve">我们已清晰地认识到了语言的扶贫功能，为贫困人口和贫穷地区修筑起脱贫的语言大道，改变了经济劣势和发展劣势、促进了当地社会的文明进步。</w:t>
      </w:r>
      <w:r>
        <w:t xml:space="preserve"> </w:t>
      </w:r>
      <w:r>
        <w:t xml:space="preserve">但乡村振兴战略下语言治理的发展目标和任务有所不同。</w:t>
      </w:r>
      <w:r>
        <w:t xml:space="preserve"> </w:t>
      </w:r>
      <w:r>
        <w:t xml:space="preserve">乡村振兴下的语言治理增添了更多的使命与任务，以实现其在新时代的新职能，实现语言扶贫的可持续发展。</w:t>
      </w:r>
      <w:r>
        <w:t xml:space="preserve"> </w:t>
      </w:r>
      <w:r>
        <w:t xml:space="preserve">即除“推普脱贫”彰显其工具性的语言扶贫功能外，仍需不断丰富语言扶贫的内涵，不断克服语言因素对乡村地区全面发展和现代化所产生的阻碍，进而促使其不断提高生产、生活和内生性发展的能力，进行语言文化的振兴，语言生态的保护，语言资源的开发，真正实现乡村的人才振兴、文化振兴和产业振兴。</w:t>
      </w:r>
    </w:p>
    <w:bookmarkEnd w:id="30"/>
    <w:bookmarkStart w:id="31" w:name="新媒体治理"/>
    <w:p>
      <w:pPr>
        <w:pStyle w:val="Heading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(陈丽湘, 2021)</w:t>
      </w:r>
      <w:r>
        <w:t xml:space="preserve">。</w:t>
      </w:r>
    </w:p>
    <w:p>
      <w:pPr>
        <w:pStyle w:val="BodyText"/>
      </w:pP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et al., 2019)</w:t>
      </w:r>
      <w:r>
        <w:t xml:space="preserve">。</w:t>
      </w:r>
    </w:p>
    <w:p>
      <w:pPr>
        <w:pStyle w:val="BodyText"/>
      </w:pP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w:t>
      </w:r>
      <w:r>
        <w:t xml:space="preserve"> </w:t>
      </w:r>
      <w:r>
        <w:t xml:space="preserve">现有政策主要从社会用字角度，围绕核心议题的“新媒体语言文字使用规范性”来开展，重点规划和解决国家通用语言文字使用、方言使用以及新词新语规范等问题</w:t>
      </w:r>
      <w:r>
        <w:t xml:space="preserve">(陈丽湘, 2021)</w:t>
      </w:r>
      <w:r>
        <w:t xml:space="preserve">。</w:t>
      </w:r>
      <w:r>
        <w:t xml:space="preserve"> </w:t>
      </w:r>
      <w:r>
        <w:t xml:space="preserve">例如，自2001年起实施的《中华人民共和国国家通用语言文字法》是我国第一部语言文字专门法律，成为媒体语言政策相关的地方性法规、行政法规和部门规章的重要参照。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新兴媒体不仅要发挥充分语言的吸引力和传播力，也要发挥语言文字对发展积极向上的网络文化、净化网络环境的重要作用”。</w:t>
      </w:r>
      <w:r>
        <w:t xml:space="preserve"> </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1"/>
    <w:bookmarkEnd w:id="32"/>
    <w:bookmarkStart w:id="96" w:name="总结与讨论"/>
    <w:p>
      <w:pPr>
        <w:pStyle w:val="Heading1"/>
      </w:pPr>
      <w:r>
        <w:t xml:space="preserve">总结与讨论</w:t>
      </w:r>
    </w:p>
    <w:p>
      <w:pPr>
        <w:pStyle w:val="FirstParagraph"/>
      </w:pPr>
      <w:r>
        <w:t xml:space="preserve">本文从语言政治学视角归纳了语言公共政策对国家治理、群体治理以及个体治理的重要性，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本研究归纳了语言治理的三种实施途径，即阐释政策规范、调整族群关系以及加强心理引导。</w:t>
      </w:r>
      <w:r>
        <w:t xml:space="preserve"> </w:t>
      </w:r>
      <w:r>
        <w:t xml:space="preserve">虽然有关研究已被语言学和教育学领域的学者所关注，但本文从政治学视角提供了有关语言治理的实现机制，体现了基于语言功能的不同治理策略，为思考如何切实实现民族平等、有效引导公民参与、提升治理效率、降低治理难度，提供新思路。</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政策和语言发展战略，推进中国特色社会治理，构建良好社会氛围、稳定政治秩序，实现语言治理现代化。</w:t>
      </w:r>
    </w:p>
    <w:p>
      <w:pPr>
        <w:pStyle w:val="BodyText"/>
      </w:pPr>
      <w:r>
        <w:t xml:space="preserve">其次，服务于国家总体目标。作为国家公共政策的组成部分，国家语言政策的制定及实施应基于国家治理理念和总体目标。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再次，注重群体身份塑造。语言是最重要的群体属性之一，能够凝聚和强化群体意识，增强群体认同感。</w:t>
      </w:r>
      <w:r>
        <w:t xml:space="preserve"> </w:t>
      </w:r>
      <w:r>
        <w:t xml:space="preserve">当前，社会分化严重、社会矛盾突出，群体间对公共资源、国家机构，特别是语言政策控制权的争夺日益激烈，极其容易引发群体事件，影响社会秩序稳定。国家治理需要注重语言对群体身份的塑造作用，运用语言治理“润物细无声”的调控功能，对民众心理状态进行潜移默化而又具有持续性的调整和培养，调节个体社会成员的自我定位和人际关系，促进群体间心理融合，避免话语冲突导致严重的政治冲突。</w:t>
      </w:r>
    </w:p>
    <w:p>
      <w:pPr>
        <w:pStyle w:val="BodyText"/>
      </w:pPr>
      <w:r>
        <w:t xml:space="preserve">最后，明确推广普通话的目的和效果。</w:t>
      </w:r>
      <w:r>
        <w:t xml:space="preserve"> </w:t>
      </w:r>
      <w:r>
        <w:t xml:space="preserve">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95" w:name="refs"/>
    <w:bookmarkStart w:id="33" w:name="ref-Anthony2002"/>
    <w:p>
      <w:pPr>
        <w:pStyle w:val="Bibliography"/>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3"/>
    <w:bookmarkStart w:id="34" w:name="ref-Benedict2005"/>
    <w:p>
      <w:pPr>
        <w:pStyle w:val="Bibliography"/>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4"/>
    <w:bookmarkStart w:id="35" w:name="ref-CookLiu2016"/>
    <w:p>
      <w:pPr>
        <w:pStyle w:val="Bibliography"/>
      </w:pPr>
      <w:r>
        <w:t xml:space="preserve">Cook, T., &amp; Liu, A. H.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5"/>
    <w:bookmarkStart w:id="37" w:name="ref-DustmannFabbri2003"/>
    <w:p>
      <w:pPr>
        <w:pStyle w:val="Bibliography"/>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6">
        <w:r>
          <w:rPr>
            <w:rStyle w:val="Hyperlink"/>
          </w:rPr>
          <w:t xml:space="preserve">https://doi.org/10.1111/1468-0297.t01-1-00151</w:t>
        </w:r>
      </w:hyperlink>
    </w:p>
    <w:bookmarkEnd w:id="37"/>
    <w:bookmarkStart w:id="38" w:name="ref-Giddens2000"/>
    <w:p>
      <w:pPr>
        <w:pStyle w:val="Bibliography"/>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38"/>
    <w:bookmarkStart w:id="39" w:name="ref-Hu2019"/>
    <w:p>
      <w:pPr>
        <w:pStyle w:val="Bibliography"/>
      </w:pPr>
      <w:r>
        <w:t xml:space="preserve">Hu, Y. (2019). Refocusing democracy: The</w:t>
      </w:r>
      <w:r>
        <w:t xml:space="preserve"> </w:t>
      </w:r>
      <w:r>
        <w:t xml:space="preserve">Chinese</w:t>
      </w:r>
      <w:r>
        <w:t xml:space="preserve"> </w:t>
      </w:r>
      <w:r>
        <w:t xml:space="preserve">government’s framing strategy in political language:</w:t>
      </w:r>
      <w:r>
        <w:t xml:space="preserve"> </w:t>
      </w:r>
      <w:r>
        <w:t xml:space="preserve">Democratization</w:t>
      </w:r>
      <w:r>
        <w:t xml:space="preserve">:</w:t>
      </w:r>
      <w:r>
        <w:t xml:space="preserve"> </w:t>
      </w:r>
      <w:r>
        <w:t xml:space="preserve">Vol</w:t>
      </w:r>
      <w:r>
        <w:t xml:space="preserve"> </w:t>
      </w:r>
      <w:r>
        <w:t xml:space="preserve">27,</w:t>
      </w:r>
      <w:r>
        <w:t xml:space="preserve"> </w:t>
      </w:r>
      <w:r>
        <w:t xml:space="preserve">No</w:t>
      </w:r>
      <w:r>
        <w:t xml:space="preserve"> </w:t>
      </w:r>
      <w:r>
        <w:t xml:space="preserve">2.</w:t>
      </w:r>
      <w:r>
        <w:t xml:space="preserve"> </w:t>
      </w:r>
      <w:r>
        <w:rPr>
          <w:iCs/>
          <w:i/>
        </w:rPr>
        <w:t xml:space="preserve">Democratization</w:t>
      </w:r>
      <w:r>
        <w:t xml:space="preserve">,</w:t>
      </w:r>
      <w:r>
        <w:t xml:space="preserve"> </w:t>
      </w:r>
      <w:r>
        <w:rPr>
          <w:iCs/>
          <w:i/>
        </w:rPr>
        <w:t xml:space="preserve">27</w:t>
      </w:r>
      <w:r>
        <w:t xml:space="preserve">(2), 302–320.</w:t>
      </w:r>
    </w:p>
    <w:bookmarkEnd w:id="39"/>
    <w:bookmarkStart w:id="40" w:name="ref-Hu2020"/>
    <w:p>
      <w:pPr>
        <w:pStyle w:val="Bibliography"/>
      </w:pPr>
      <w:r>
        <w:t xml:space="preserve">Hu, Y. (2020). 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w:t>
      </w:r>
      <w:r>
        <w:t xml:space="preserve"> </w:t>
      </w:r>
      <w:r>
        <w:rPr>
          <w:iCs/>
          <w:i/>
        </w:rPr>
        <w:t xml:space="preserve">41</w:t>
      </w:r>
      <w:r>
        <w:t xml:space="preserve">(4).</w:t>
      </w:r>
    </w:p>
    <w:bookmarkEnd w:id="40"/>
    <w:bookmarkStart w:id="42" w:name="ref-HuLiu2020a"/>
    <w:p>
      <w:pPr>
        <w:pStyle w:val="Bibliography"/>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1–23.</w:t>
      </w:r>
      <w:r>
        <w:t xml:space="preserve"> </w:t>
      </w:r>
      <w:hyperlink r:id="rId41">
        <w:r>
          <w:rPr>
            <w:rStyle w:val="Hyperlink"/>
          </w:rPr>
          <w:t xml:space="preserve">https://doi.org/10.1017/jea.2019.41</w:t>
        </w:r>
      </w:hyperlink>
    </w:p>
    <w:bookmarkEnd w:id="42"/>
    <w:bookmarkStart w:id="44" w:name="ref-KathrynKendall2017"/>
    <w:p>
      <w:pPr>
        <w:pStyle w:val="Bibliography"/>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43">
        <w:r>
          <w:rPr>
            <w:rStyle w:val="Hyperlink"/>
          </w:rPr>
          <w:t xml:space="preserve">https://doi.org/10.1002/9781119072256.ch33</w:t>
        </w:r>
      </w:hyperlink>
    </w:p>
    <w:bookmarkEnd w:id="44"/>
    <w:bookmarkStart w:id="46" w:name="ref-Laitin1977"/>
    <w:p>
      <w:pPr>
        <w:pStyle w:val="Bibliography"/>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45">
        <w:r>
          <w:rPr>
            <w:rStyle w:val="Hyperlink"/>
          </w:rPr>
          <w:t xml:space="preserve">https://doi.org/10.1525/ae.1978.5.4.02a00130</w:t>
        </w:r>
      </w:hyperlink>
    </w:p>
    <w:bookmarkEnd w:id="46"/>
    <w:bookmarkStart w:id="47" w:name="ref-LiangEtAl2018"/>
    <w:p>
      <w:pPr>
        <w:pStyle w:val="Bibliography"/>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47"/>
    <w:bookmarkStart w:id="48" w:name="ref-Liu2015"/>
    <w:p>
      <w:pPr>
        <w:pStyle w:val="Bibliography"/>
      </w:pPr>
      <w:r>
        <w:t xml:space="preserve">Liu, A.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8"/>
    <w:bookmarkStart w:id="50" w:name="ref-LiuPizzi2018"/>
    <w:p>
      <w:pPr>
        <w:pStyle w:val="Bibliography"/>
      </w:pPr>
      <w:r>
        <w:t xml:space="preserve">Liu, A. H.,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49">
        <w:r>
          <w:rPr>
            <w:rStyle w:val="Hyperlink"/>
          </w:rPr>
          <w:t xml:space="preserve">https://doi.org/10.1017/s0007123416000260</w:t>
        </w:r>
      </w:hyperlink>
    </w:p>
    <w:bookmarkEnd w:id="50"/>
    <w:bookmarkStart w:id="52" w:name="ref-MillerRose1990"/>
    <w:p>
      <w:pPr>
        <w:pStyle w:val="Bibliography"/>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51">
        <w:r>
          <w:rPr>
            <w:rStyle w:val="Hyperlink"/>
          </w:rPr>
          <w:t xml:space="preserve">https://doi.org/0.1080/03085149000000001</w:t>
        </w:r>
      </w:hyperlink>
    </w:p>
    <w:bookmarkEnd w:id="52"/>
    <w:bookmarkStart w:id="53" w:name="ref-Ostrom2015"/>
    <w:p>
      <w:pPr>
        <w:pStyle w:val="Bibliography"/>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53"/>
    <w:bookmarkStart w:id="55" w:name="ref-RendallEtAl2010"/>
    <w:p>
      <w:pPr>
        <w:pStyle w:val="Bibliography"/>
      </w:pPr>
      <w:r>
        <w:t xml:space="preserve">Rendall, M. S., Tsang, F., Rubin, J. K., Rabinovich, L., &amp; Janta, B. (2010). 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54">
        <w:r>
          <w:rPr>
            <w:rStyle w:val="Hyperlink"/>
          </w:rPr>
          <w:t xml:space="preserve">https://doi.org/10.1007/s10680-010-9214-x</w:t>
        </w:r>
      </w:hyperlink>
    </w:p>
    <w:bookmarkEnd w:id="55"/>
    <w:bookmarkStart w:id="57" w:name="ref-VroomeEtAl2013"/>
    <w:p>
      <w:pPr>
        <w:pStyle w:val="Bibliography"/>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56">
        <w:r>
          <w:rPr>
            <w:rStyle w:val="Hyperlink"/>
          </w:rPr>
          <w:t xml:space="preserve">https://doi.org/10.1093/esr/jct018</w:t>
        </w:r>
      </w:hyperlink>
    </w:p>
    <w:bookmarkEnd w:id="57"/>
    <w:bookmarkStart w:id="59" w:name="ref-WrightTaylor1995"/>
    <w:p>
      <w:pPr>
        <w:pStyle w:val="Bibliography"/>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58">
        <w:r>
          <w:rPr>
            <w:rStyle w:val="Hyperlink"/>
          </w:rPr>
          <w:t xml:space="preserve">https://doi.org/10.1037/0022-0663.87.2.241</w:t>
        </w:r>
      </w:hyperlink>
    </w:p>
    <w:bookmarkEnd w:id="59"/>
    <w:bookmarkStart w:id="60" w:name="ref-DingJianXinYangHui2020"/>
    <w:p>
      <w:pPr>
        <w:pStyle w:val="Bibliography"/>
      </w:pPr>
      <w:r>
        <w:t xml:space="preserve">丁建新, &amp; 杨荟. (2020).</w:t>
      </w:r>
      <w:r>
        <w:t xml:space="preserve"> </w:t>
      </w:r>
      <w:r>
        <w:t xml:space="preserve">作为</w:t>
      </w:r>
      <w:r>
        <w:t xml:space="preserve">“他者”</w:t>
      </w:r>
      <w:r>
        <w:t xml:space="preserve">的病毒:关于新冠肺炎隐喻的话语分析</w:t>
      </w:r>
      <w:r>
        <w:t xml:space="preserve">.</w:t>
      </w:r>
      <w:r>
        <w:t xml:space="preserve"> </w:t>
      </w:r>
      <w:r>
        <w:rPr>
          <w:iCs/>
          <w:i/>
        </w:rPr>
        <w:t xml:space="preserve">广州大学学报(社会科学版)</w:t>
      </w:r>
      <w:r>
        <w:t xml:space="preserve">,</w:t>
      </w:r>
      <w:r>
        <w:t xml:space="preserve"> </w:t>
      </w:r>
      <w:r>
        <w:rPr>
          <w:iCs/>
          <w:i/>
        </w:rPr>
        <w:t xml:space="preserve">19</w:t>
      </w:r>
      <w:r>
        <w:t xml:space="preserve">(04), 107–112.</w:t>
      </w:r>
    </w:p>
    <w:bookmarkEnd w:id="60"/>
    <w:bookmarkStart w:id="61" w:name="ref-HeZengKe2014"/>
    <w:p>
      <w:pPr>
        <w:pStyle w:val="Bibliography"/>
      </w:pPr>
      <w:r>
        <w:t xml:space="preserve">何增科. (2014).</w:t>
      </w:r>
      <w:r>
        <w:t xml:space="preserve"> </w:t>
      </w:r>
      <w:r>
        <w:t xml:space="preserve">理解国家治理及其现代化</w:t>
      </w:r>
      <w:r>
        <w:t xml:space="preserve">.</w:t>
      </w:r>
      <w:r>
        <w:t xml:space="preserve"> </w:t>
      </w:r>
      <w:r>
        <w:rPr>
          <w:iCs/>
          <w:i/>
        </w:rPr>
        <w:t xml:space="preserve">马克思主义与现实</w:t>
      </w:r>
      <w:r>
        <w:t xml:space="preserve">,</w:t>
      </w:r>
      <w:r>
        <w:t xml:space="preserve"> </w:t>
      </w:r>
      <w:r>
        <w:rPr>
          <w:iCs/>
          <w:i/>
        </w:rPr>
        <w:t xml:space="preserve">01</w:t>
      </w:r>
      <w:r>
        <w:t xml:space="preserve">, 11–15.</w:t>
      </w:r>
    </w:p>
    <w:bookmarkEnd w:id="61"/>
    <w:bookmarkStart w:id="62" w:name="ref-LiuHuaXiaYuanQingHuan2017"/>
    <w:p>
      <w:pPr>
        <w:pStyle w:val="Bibliography"/>
      </w:pPr>
      <w:r>
        <w:t xml:space="preserve">刘华夏, &amp; 袁青欢. (2017).</w:t>
      </w:r>
      <w:r>
        <w:t xml:space="preserve"> </w:t>
      </w:r>
      <w:r>
        <w:t xml:space="preserve">边疆语言治理的挑战与转型</w:t>
      </w:r>
      <w:r>
        <w:t xml:space="preserve">.</w:t>
      </w:r>
      <w:r>
        <w:t xml:space="preserve"> </w:t>
      </w:r>
      <w:r>
        <w:rPr>
          <w:iCs/>
          <w:i/>
        </w:rPr>
        <w:t xml:space="preserve">广西民族研究</w:t>
      </w:r>
      <w:r>
        <w:t xml:space="preserve">,</w:t>
      </w:r>
      <w:r>
        <w:t xml:space="preserve"> </w:t>
      </w:r>
      <w:r>
        <w:rPr>
          <w:iCs/>
          <w:i/>
        </w:rPr>
        <w:t xml:space="preserve">06</w:t>
      </w:r>
      <w:r>
        <w:t xml:space="preserve">, 8–15.</w:t>
      </w:r>
    </w:p>
    <w:bookmarkEnd w:id="62"/>
    <w:bookmarkStart w:id="63" w:name="ref-LiuHong1993"/>
    <w:p>
      <w:pPr>
        <w:pStyle w:val="Bibliography"/>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63"/>
    <w:bookmarkStart w:id="64" w:name="ref-LuHuiLinPanYi2014"/>
    <w:p>
      <w:pPr>
        <w:pStyle w:val="Bibliography"/>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64"/>
    <w:bookmarkStart w:id="65" w:name="ref-TangXuJunEtAl2019"/>
    <w:p>
      <w:pPr>
        <w:pStyle w:val="Bibliography"/>
      </w:pPr>
      <w:r>
        <w:t xml:space="preserve">唐绪军, 吴信训, &amp; 黄楚新. (2019).</w:t>
      </w:r>
      <w:r>
        <w:t xml:space="preserve"> </w:t>
      </w:r>
      <w:r>
        <w:rPr>
          <w:iCs/>
          <w:i/>
        </w:rPr>
        <w:t xml:space="preserve">中国新媒体发展报告No</w:t>
      </w:r>
      <w:r>
        <w:rPr>
          <w:iCs/>
          <w:i/>
        </w:rPr>
        <w:t xml:space="preserve">.10（2019）</w:t>
      </w:r>
      <w:r>
        <w:t xml:space="preserve"> </w:t>
      </w:r>
      <w:r>
        <w:t xml:space="preserve">(No. No.10).</w:t>
      </w:r>
    </w:p>
    <w:bookmarkEnd w:id="65"/>
    <w:bookmarkStart w:id="66" w:name="ref-JiangXiaoPing2014"/>
    <w:p>
      <w:pPr>
        <w:pStyle w:val="Bibliography"/>
      </w:pPr>
      <w:r>
        <w:t xml:space="preserve">姜晓萍. (2014).</w:t>
      </w:r>
      <w:r>
        <w:t xml:space="preserve"> </w:t>
      </w:r>
      <w:r>
        <w:t xml:space="preserve">国家治理现代化进程中的社会治理体制创新</w:t>
      </w:r>
      <w:r>
        <w:t xml:space="preserve">.</w:t>
      </w:r>
      <w:r>
        <w:t xml:space="preserve"> </w:t>
      </w:r>
      <w:r>
        <w:rPr>
          <w:iCs/>
          <w:i/>
        </w:rPr>
        <w:t xml:space="preserve">中国行政管理</w:t>
      </w:r>
      <w:r>
        <w:t xml:space="preserve">,</w:t>
      </w:r>
      <w:r>
        <w:t xml:space="preserve"> </w:t>
      </w:r>
      <w:r>
        <w:rPr>
          <w:iCs/>
          <w:i/>
        </w:rPr>
        <w:t xml:space="preserve">02</w:t>
      </w:r>
      <w:r>
        <w:t xml:space="preserve">, 24–28.</w:t>
      </w:r>
    </w:p>
    <w:bookmarkEnd w:id="66"/>
    <w:bookmarkStart w:id="68" w:name="ref-MengHongLi2010"/>
    <w:p>
      <w:pPr>
        <w:pStyle w:val="Bibliography"/>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67">
        <w:r>
          <w:rPr>
            <w:rStyle w:val="Hyperlink"/>
          </w:rPr>
          <w:t xml:space="preserve">https://doi.org/10.16486/j.cnki.62-1035/d.2010.01.026</w:t>
        </w:r>
      </w:hyperlink>
    </w:p>
    <w:bookmarkEnd w:id="68"/>
    <w:bookmarkStart w:id="69" w:name="ref-ZhangWeiGuo2011"/>
    <w:p>
      <w:pPr>
        <w:pStyle w:val="Bibliography"/>
      </w:pPr>
      <w:r>
        <w:t xml:space="preserve">张卫国. (2011).</w:t>
      </w:r>
      <w:r>
        <w:t xml:space="preserve"> </w:t>
      </w:r>
      <w:r>
        <w:t xml:space="preserve">语言的经济学分析:一个综述</w:t>
      </w:r>
      <w:r>
        <w:t xml:space="preserve">.</w:t>
      </w:r>
      <w:r>
        <w:t xml:space="preserve"> </w:t>
      </w:r>
      <w:r>
        <w:rPr>
          <w:iCs/>
          <w:i/>
        </w:rPr>
        <w:t xml:space="preserve">经济评论</w:t>
      </w:r>
      <w:r>
        <w:t xml:space="preserve">,</w:t>
      </w:r>
      <w:r>
        <w:t xml:space="preserve"> </w:t>
      </w:r>
      <w:r>
        <w:rPr>
          <w:iCs/>
          <w:i/>
        </w:rPr>
        <w:t xml:space="preserve">04</w:t>
      </w:r>
      <w:r>
        <w:t xml:space="preserve">, 140–149.</w:t>
      </w:r>
    </w:p>
    <w:bookmarkEnd w:id="69"/>
    <w:bookmarkStart w:id="70" w:name="ref-ZhangWeiGuo2020"/>
    <w:p>
      <w:pPr>
        <w:pStyle w:val="Bibliography"/>
      </w:pPr>
      <w:r>
        <w:t xml:space="preserve">张卫国. (2020).</w:t>
      </w:r>
      <w:r>
        <w:t xml:space="preserve"> </w:t>
      </w:r>
      <w:r>
        <w:t xml:space="preserve">普通话能力的减贫效应:基于经济、健康和精神维度的经验分析</w:t>
      </w:r>
      <w:r>
        <w:t xml:space="preserve">.</w:t>
      </w:r>
      <w:r>
        <w:t xml:space="preserve"> </w:t>
      </w:r>
      <w:r>
        <w:rPr>
          <w:iCs/>
          <w:i/>
        </w:rPr>
        <w:t xml:space="preserve">语言文字应用</w:t>
      </w:r>
      <w:r>
        <w:t xml:space="preserve">,</w:t>
      </w:r>
      <w:r>
        <w:t xml:space="preserve"> </w:t>
      </w:r>
      <w:r>
        <w:rPr>
          <w:iCs/>
          <w:i/>
        </w:rPr>
        <w:t xml:space="preserve">04</w:t>
      </w:r>
      <w:r>
        <w:t xml:space="preserve">, 37–51.</w:t>
      </w:r>
    </w:p>
    <w:bookmarkEnd w:id="70"/>
    <w:bookmarkStart w:id="71" w:name="ref-ZhangWeiGuoSunTao2016"/>
    <w:p>
      <w:pPr>
        <w:pStyle w:val="Bibliography"/>
      </w:pPr>
      <w:r>
        <w:t xml:space="preserve">张卫国, &amp; 孙涛. (2016).</w:t>
      </w:r>
      <w:r>
        <w:t xml:space="preserve"> </w:t>
      </w:r>
      <w:r>
        <w:t xml:space="preserve">语言的经济力量:国民英语能力对中国对外服务贸易的影响</w:t>
      </w:r>
      <w:r>
        <w:t xml:space="preserve">.</w:t>
      </w:r>
      <w:r>
        <w:t xml:space="preserve"> </w:t>
      </w:r>
      <w:r>
        <w:rPr>
          <w:iCs/>
          <w:i/>
        </w:rPr>
        <w:t xml:space="preserve">国际贸易问题</w:t>
      </w:r>
      <w:r>
        <w:t xml:space="preserve">,</w:t>
      </w:r>
      <w:r>
        <w:t xml:space="preserve"> </w:t>
      </w:r>
      <w:r>
        <w:rPr>
          <w:iCs/>
          <w:i/>
        </w:rPr>
        <w:t xml:space="preserve">08</w:t>
      </w:r>
      <w:r>
        <w:t xml:space="preserve">, 97–107.</w:t>
      </w:r>
    </w:p>
    <w:bookmarkEnd w:id="71"/>
    <w:bookmarkStart w:id="72" w:name="ref-DaiManChunZhuNingYan2011"/>
    <w:p>
      <w:pPr>
        <w:pStyle w:val="Bibliography"/>
      </w:pPr>
      <w:r>
        <w:t xml:space="preserve">戴曼纯, &amp; 朱宁燕. (2011).</w:t>
      </w:r>
      <w:r>
        <w:t xml:space="preserve"> </w:t>
      </w:r>
      <w:r>
        <w:t xml:space="preserve">语言民族主义的政治功能</w:t>
      </w:r>
      <w:r>
        <w:t xml:space="preserve">以前南斯拉夫为例</w:t>
      </w:r>
      <w:r>
        <w:t xml:space="preserve">.</w:t>
      </w:r>
      <w:r>
        <w:t xml:space="preserve"> </w:t>
      </w:r>
      <w:r>
        <w:rPr>
          <w:iCs/>
          <w:i/>
        </w:rPr>
        <w:t xml:space="preserve">欧洲研究</w:t>
      </w:r>
      <w:r>
        <w:t xml:space="preserve">,</w:t>
      </w:r>
      <w:r>
        <w:t xml:space="preserve"> </w:t>
      </w:r>
      <w:r>
        <w:rPr>
          <w:iCs/>
          <w:i/>
        </w:rPr>
        <w:t xml:space="preserve">29</w:t>
      </w:r>
      <w:r>
        <w:t xml:space="preserve">(02), 115-131+160-161.</w:t>
      </w:r>
    </w:p>
    <w:bookmarkEnd w:id="72"/>
    <w:bookmarkStart w:id="73" w:name="ref-DaiManChunHeZhanRu2010"/>
    <w:p>
      <w:pPr>
        <w:pStyle w:val="Bibliography"/>
      </w:pPr>
      <w:r>
        <w:t xml:space="preserve">戴曼纯, &amp; 贺战茹. (2010).</w:t>
      </w:r>
      <w:r>
        <w:t xml:space="preserve"> </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w:t>
      </w:r>
      <w:r>
        <w:t xml:space="preserve"> </w:t>
      </w:r>
      <w:r>
        <w:rPr>
          <w:iCs/>
          <w:i/>
        </w:rPr>
        <w:t xml:space="preserve">18</w:t>
      </w:r>
      <w:r>
        <w:t xml:space="preserve">(01), 1–5.</w:t>
      </w:r>
    </w:p>
    <w:bookmarkEnd w:id="73"/>
    <w:bookmarkStart w:id="75" w:name="ref-JingHuaiBinEtAl2017"/>
    <w:p>
      <w:pPr>
        <w:pStyle w:val="Bibliography"/>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74">
        <w:r>
          <w:rPr>
            <w:rStyle w:val="Hyperlink"/>
          </w:rPr>
          <w:t xml:space="preserve">https://doi.org/10.14154/j.cnki.qss.2017.06.016</w:t>
        </w:r>
      </w:hyperlink>
    </w:p>
    <w:bookmarkEnd w:id="75"/>
    <w:bookmarkStart w:id="76" w:name="ref-LiYuMing2018"/>
    <w:p>
      <w:pPr>
        <w:pStyle w:val="Bibliography"/>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76"/>
    <w:bookmarkStart w:id="77" w:name="ref-LiSongLin2021"/>
    <w:p>
      <w:pPr>
        <w:pStyle w:val="Bibliography"/>
      </w:pPr>
      <w:r>
        <w:t xml:space="preserve">李松林. (2021).</w:t>
      </w:r>
      <w:r>
        <w:t xml:space="preserve"> </w:t>
      </w:r>
      <w:r>
        <w:t xml:space="preserve">探析新媒体治理格局</w:t>
      </w:r>
      <w:r>
        <w:t xml:space="preserve">.</w:t>
      </w:r>
      <w:r>
        <w:t xml:space="preserve"> </w:t>
      </w:r>
      <w:r>
        <w:rPr>
          <w:iCs/>
          <w:i/>
        </w:rPr>
        <w:t xml:space="preserve">记者摇篮</w:t>
      </w:r>
      <w:r>
        <w:t xml:space="preserve">,</w:t>
      </w:r>
      <w:r>
        <w:t xml:space="preserve"> </w:t>
      </w:r>
      <w:r>
        <w:rPr>
          <w:iCs/>
          <w:i/>
        </w:rPr>
        <w:t xml:space="preserve">07</w:t>
      </w:r>
      <w:r>
        <w:t xml:space="preserve">, 49–50.</w:t>
      </w:r>
    </w:p>
    <w:bookmarkEnd w:id="77"/>
    <w:bookmarkStart w:id="78" w:name="ref-DuMinLiuZhiGang2020"/>
    <w:p>
      <w:pPr>
        <w:pStyle w:val="Bibliography"/>
      </w:pPr>
      <w:r>
        <w:t xml:space="preserve">杜敏, &amp; 刘志刚. (2020).</w:t>
      </w:r>
      <w:r>
        <w:t xml:space="preserve"> </w:t>
      </w:r>
      <w:r>
        <w:t xml:space="preserve">论语言扶贫在乡村振兴战略实施中的可持续性</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(02), 95–105.</w:t>
      </w:r>
    </w:p>
    <w:bookmarkEnd w:id="78"/>
    <w:bookmarkStart w:id="79" w:name="ref-WuXiaoJun2020"/>
    <w:p>
      <w:pPr>
        <w:pStyle w:val="Bibliography"/>
      </w:pPr>
      <w:r>
        <w:t xml:space="preserve">武小军. (2020).</w:t>
      </w:r>
      <w:r>
        <w:t xml:space="preserve"> </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79"/>
    <w:bookmarkStart w:id="80" w:name="ref-ShenQi2021"/>
    <w:p>
      <w:pPr>
        <w:pStyle w:val="Bibliography"/>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80"/>
    <w:bookmarkStart w:id="81" w:name="ref-HongBo2018"/>
    <w:p>
      <w:pPr>
        <w:pStyle w:val="Bibliography"/>
      </w:pPr>
      <w:r>
        <w:t xml:space="preserve">洪波. (2018).</w:t>
      </w:r>
      <w:r>
        <w:t xml:space="preserve"> </w:t>
      </w:r>
      <w:r>
        <w:t xml:space="preserve">“个体</w:t>
      </w:r>
      <w:r>
        <w:t xml:space="preserve">共同体”</w:t>
      </w:r>
      <w:r>
        <w:t xml:space="preserve">关系的变迁与社会治理模式的创新</w:t>
      </w:r>
      <w:r>
        <w:t xml:space="preserve">.</w:t>
      </w:r>
      <w:r>
        <w:t xml:space="preserve"> </w:t>
      </w:r>
      <w:r>
        <w:rPr>
          <w:iCs/>
          <w:i/>
        </w:rPr>
        <w:t xml:space="preserve">浙江学刊</w:t>
      </w:r>
      <w:r>
        <w:t xml:space="preserve">,</w:t>
      </w:r>
      <w:r>
        <w:t xml:space="preserve"> </w:t>
      </w:r>
      <w:r>
        <w:rPr>
          <w:iCs/>
          <w:i/>
        </w:rPr>
        <w:t xml:space="preserve">02</w:t>
      </w:r>
      <w:r>
        <w:t xml:space="preserve">, 82–89.</w:t>
      </w:r>
    </w:p>
    <w:bookmarkEnd w:id="81"/>
    <w:bookmarkStart w:id="82" w:name="ref-WangKeFei2011"/>
    <w:p>
      <w:pPr>
        <w:pStyle w:val="Bibliography"/>
      </w:pPr>
      <w:r>
        <w:t xml:space="preserve">王克非. (2011).</w:t>
      </w:r>
      <w:r>
        <w:t xml:space="preserve"> </w:t>
      </w:r>
      <w:r>
        <w:t xml:space="preserve">外语教育政策与社会经济发展</w:t>
      </w:r>
      <w:r>
        <w:t xml:space="preserve">.</w:t>
      </w:r>
      <w:r>
        <w:t xml:space="preserve"> </w:t>
      </w:r>
      <w:r>
        <w:rPr>
          <w:iCs/>
          <w:i/>
        </w:rPr>
        <w:t xml:space="preserve">外语界</w:t>
      </w:r>
      <w:r>
        <w:t xml:space="preserve">,</w:t>
      </w:r>
      <w:r>
        <w:t xml:space="preserve"> </w:t>
      </w:r>
      <w:r>
        <w:rPr>
          <w:iCs/>
          <w:i/>
        </w:rPr>
        <w:t xml:space="preserve">01</w:t>
      </w:r>
      <w:r>
        <w:t xml:space="preserve">, 2–7.</w:t>
      </w:r>
    </w:p>
    <w:bookmarkEnd w:id="82"/>
    <w:bookmarkStart w:id="83" w:name="ref-TianXueJun2019"/>
    <w:p>
      <w:pPr>
        <w:pStyle w:val="Bibliography"/>
      </w:pPr>
      <w:r>
        <w:t xml:space="preserve">田学军. (2019).</w:t>
      </w:r>
      <w:r>
        <w:t xml:space="preserve"> </w:t>
      </w:r>
      <w:r>
        <w:t xml:space="preserve">聚焦推普脱贫 推进语言文字事业全面发展</w:t>
      </w:r>
      <w:r>
        <w:t xml:space="preserve">.</w:t>
      </w:r>
      <w:r>
        <w:t xml:space="preserve"> </w:t>
      </w:r>
      <w:r>
        <w:rPr>
          <w:iCs/>
          <w:i/>
        </w:rPr>
        <w:t xml:space="preserve">语言文字报</w:t>
      </w:r>
      <w:r>
        <w:t xml:space="preserve">, 001.</w:t>
      </w:r>
    </w:p>
    <w:bookmarkEnd w:id="83"/>
    <w:bookmarkStart w:id="84" w:name="ref-QiHongLiHong2004"/>
    <w:p>
      <w:pPr>
        <w:pStyle w:val="Bibliography"/>
      </w:pPr>
      <w:r>
        <w:t xml:space="preserve">祁虹, &amp; 黎宏. (2004).</w:t>
      </w:r>
      <w:r>
        <w:t xml:space="preserve"> </w:t>
      </w:r>
      <w:r>
        <w:t xml:space="preserve">外语学习中的情感因素分析</w:t>
      </w:r>
      <w:r>
        <w:t xml:space="preserve">.</w:t>
      </w:r>
      <w:r>
        <w:t xml:space="preserve"> </w:t>
      </w:r>
      <w:r>
        <w:rPr>
          <w:iCs/>
          <w:i/>
        </w:rPr>
        <w:t xml:space="preserve">西南民族大学学报(人文社科版)</w:t>
      </w:r>
      <w:r>
        <w:t xml:space="preserve">,</w:t>
      </w:r>
      <w:r>
        <w:t xml:space="preserve"> </w:t>
      </w:r>
      <w:r>
        <w:rPr>
          <w:iCs/>
          <w:i/>
        </w:rPr>
        <w:t xml:space="preserve">06</w:t>
      </w:r>
      <w:r>
        <w:t xml:space="preserve">, 404–406.</w:t>
      </w:r>
    </w:p>
    <w:bookmarkEnd w:id="84"/>
    <w:bookmarkStart w:id="85" w:name="ref-SuDe2004"/>
    <w:p>
      <w:pPr>
        <w:pStyle w:val="Bibliography"/>
      </w:pPr>
      <w:r>
        <w:t xml:space="preserve">苏德. (2004).</w:t>
      </w:r>
      <w:r>
        <w:t xml:space="preserve"> </w:t>
      </w:r>
      <w:r>
        <w:t xml:space="preserve">少数民族双语教育研究综述</w:t>
      </w:r>
      <w:r>
        <w:t xml:space="preserve">.</w:t>
      </w:r>
      <w:r>
        <w:t xml:space="preserve"> </w:t>
      </w:r>
      <w:r>
        <w:rPr>
          <w:iCs/>
          <w:i/>
        </w:rPr>
        <w:t xml:space="preserve">内蒙古师范大学学报(教育科学版)</w:t>
      </w:r>
      <w:r>
        <w:t xml:space="preserve">,</w:t>
      </w:r>
      <w:r>
        <w:t xml:space="preserve"> </w:t>
      </w:r>
      <w:r>
        <w:rPr>
          <w:iCs/>
          <w:i/>
        </w:rPr>
        <w:t xml:space="preserve">11</w:t>
      </w:r>
      <w:r>
        <w:t xml:space="preserve">, 1–6.</w:t>
      </w:r>
    </w:p>
    <w:bookmarkEnd w:id="85"/>
    <w:bookmarkStart w:id="86" w:name="ref-SuFang2020"/>
    <w:p>
      <w:pPr>
        <w:pStyle w:val="Bibliography"/>
      </w:pPr>
      <w:r>
        <w:t xml:space="preserve">苏芳. (2020).</w:t>
      </w:r>
      <w:r>
        <w:t xml:space="preserve"> </w:t>
      </w:r>
      <w:r>
        <w:t xml:space="preserve">语言、教育与文化耦合:布鲁纳语言建构观的本质内涵及启示</w:t>
      </w:r>
      <w:r>
        <w:t xml:space="preserve">.</w:t>
      </w:r>
      <w:r>
        <w:t xml:space="preserve"> </w:t>
      </w:r>
      <w:r>
        <w:rPr>
          <w:iCs/>
          <w:i/>
        </w:rPr>
        <w:t xml:space="preserve">教育与教学研究</w:t>
      </w:r>
      <w:r>
        <w:t xml:space="preserve">,</w:t>
      </w:r>
      <w:r>
        <w:t xml:space="preserve"> </w:t>
      </w:r>
      <w:r>
        <w:rPr>
          <w:iCs/>
          <w:i/>
        </w:rPr>
        <w:t xml:space="preserve">34</w:t>
      </w:r>
      <w:r>
        <w:t xml:space="preserve">(09), 18–28.</w:t>
      </w:r>
    </w:p>
    <w:bookmarkEnd w:id="86"/>
    <w:bookmarkStart w:id="87" w:name="ref-YingJiZhuoMa2018"/>
    <w:p>
      <w:pPr>
        <w:pStyle w:val="Bibliography"/>
      </w:pPr>
      <w:r>
        <w:t xml:space="preserve">英吉卓玛. (2018).</w:t>
      </w:r>
      <w:r>
        <w:t xml:space="preserve"> </w:t>
      </w:r>
      <w:r>
        <w:t xml:space="preserve">青海藏区藏族学生语言能力与个人发展关系个案考察</w:t>
      </w:r>
      <w:r>
        <w:t xml:space="preserve">.</w:t>
      </w:r>
      <w:r>
        <w:t xml:space="preserve"> </w:t>
      </w:r>
      <w:r>
        <w:rPr>
          <w:iCs/>
          <w:i/>
        </w:rPr>
        <w:t xml:space="preserve">语言战略研究</w:t>
      </w:r>
      <w:r>
        <w:t xml:space="preserve">,</w:t>
      </w:r>
      <w:r>
        <w:t xml:space="preserve"> </w:t>
      </w:r>
      <w:r>
        <w:rPr>
          <w:iCs/>
          <w:i/>
        </w:rPr>
        <w:t xml:space="preserve">3</w:t>
      </w:r>
      <w:r>
        <w:t xml:space="preserve">(05), 40–45.</w:t>
      </w:r>
    </w:p>
    <w:bookmarkEnd w:id="87"/>
    <w:bookmarkStart w:id="88" w:name="ref-HaoYuQingCheYue2011"/>
    <w:p>
      <w:pPr>
        <w:pStyle w:val="Bibliography"/>
      </w:pPr>
      <w:r>
        <w:t xml:space="preserve">郝宇青, &amp; 车跃. (2011).</w:t>
      </w:r>
      <w:r>
        <w:t xml:space="preserve"> </w:t>
      </w:r>
      <w:r>
        <w:t xml:space="preserve">怨恨情绪及其化解:必须高度关注的一个重要课题</w:t>
      </w:r>
      <w:r>
        <w:t xml:space="preserve">.</w:t>
      </w:r>
      <w:r>
        <w:t xml:space="preserve"> </w:t>
      </w:r>
      <w:r>
        <w:rPr>
          <w:iCs/>
          <w:i/>
        </w:rPr>
        <w:t xml:space="preserve">探索</w:t>
      </w:r>
      <w:r>
        <w:t xml:space="preserve">,</w:t>
      </w:r>
      <w:r>
        <w:t xml:space="preserve"> </w:t>
      </w:r>
      <w:r>
        <w:rPr>
          <w:iCs/>
          <w:i/>
        </w:rPr>
        <w:t xml:space="preserve">04</w:t>
      </w:r>
      <w:r>
        <w:t xml:space="preserve">, 70–76.</w:t>
      </w:r>
    </w:p>
    <w:bookmarkEnd w:id="88"/>
    <w:bookmarkStart w:id="89" w:name="ref-ChenLiXiang2021"/>
    <w:p>
      <w:pPr>
        <w:pStyle w:val="Bibliography"/>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89"/>
    <w:bookmarkStart w:id="90" w:name="ref-ChenPing2008"/>
    <w:p>
      <w:pPr>
        <w:pStyle w:val="Bibliography"/>
      </w:pPr>
      <w:r>
        <w:t xml:space="preserve">陈平. (2008).</w:t>
      </w:r>
      <w:r>
        <w:t xml:space="preserve"> </w:t>
      </w:r>
      <w:r>
        <w:t xml:space="preserve">语言民族主义:欧洲与中国</w:t>
      </w:r>
      <w:r>
        <w:t xml:space="preserve">.</w:t>
      </w:r>
      <w:r>
        <w:t xml:space="preserve"> </w:t>
      </w:r>
      <w:r>
        <w:rPr>
          <w:iCs/>
          <w:i/>
        </w:rPr>
        <w:t xml:space="preserve">外语教学与研究</w:t>
      </w:r>
      <w:r>
        <w:t xml:space="preserve">,</w:t>
      </w:r>
      <w:r>
        <w:t xml:space="preserve"> </w:t>
      </w:r>
      <w:r>
        <w:rPr>
          <w:iCs/>
          <w:i/>
        </w:rPr>
        <w:t xml:space="preserve">01</w:t>
      </w:r>
      <w:r>
        <w:t xml:space="preserve">, 4–13+80.</w:t>
      </w:r>
    </w:p>
    <w:bookmarkEnd w:id="90"/>
    <w:bookmarkStart w:id="91" w:name="ref-MaRong2004a"/>
    <w:p>
      <w:pPr>
        <w:pStyle w:val="Bibliography"/>
      </w:pPr>
      <w:r>
        <w:t xml:space="preserve">马戎. (2004).</w:t>
      </w:r>
      <w:r>
        <w:t xml:space="preserve"> </w:t>
      </w:r>
      <w:r>
        <w:t xml:space="preserve">语言使用与族群关系(民族社会学连载之三)</w:t>
      </w:r>
      <w:r>
        <w:t xml:space="preserve">.</w:t>
      </w:r>
      <w:r>
        <w:t xml:space="preserve"> </w:t>
      </w:r>
      <w:r>
        <w:rPr>
          <w:iCs/>
          <w:i/>
        </w:rPr>
        <w:t xml:space="preserve">西北民族研究</w:t>
      </w:r>
      <w:r>
        <w:t xml:space="preserve">,</w:t>
      </w:r>
      <w:r>
        <w:t xml:space="preserve"> </w:t>
      </w:r>
      <w:r>
        <w:rPr>
          <w:iCs/>
          <w:i/>
        </w:rPr>
        <w:t xml:space="preserve">01</w:t>
      </w:r>
      <w:r>
        <w:t xml:space="preserve">, 20–44+147.</w:t>
      </w:r>
    </w:p>
    <w:bookmarkEnd w:id="91"/>
    <w:bookmarkStart w:id="92" w:name="ref-MaRong2017"/>
    <w:p>
      <w:pPr>
        <w:pStyle w:val="Bibliography"/>
      </w:pPr>
      <w:r>
        <w:t xml:space="preserve">马戎. (2017).</w:t>
      </w:r>
      <w:r>
        <w:t xml:space="preserve"> </w:t>
      </w:r>
      <w:r>
        <w:t xml:space="preserve">汉语学习与中国少数族群的现代化</w:t>
      </w:r>
      <w:r>
        <w:t xml:space="preserve">.</w:t>
      </w:r>
      <w:r>
        <w:t xml:space="preserve"> </w:t>
      </w:r>
      <w:r>
        <w:rPr>
          <w:iCs/>
          <w:i/>
        </w:rPr>
        <w:t xml:space="preserve">社会政策研究</w:t>
      </w:r>
      <w:r>
        <w:t xml:space="preserve">,</w:t>
      </w:r>
      <w:r>
        <w:t xml:space="preserve"> </w:t>
      </w:r>
      <w:r>
        <w:rPr>
          <w:iCs/>
          <w:i/>
        </w:rPr>
        <w:t xml:space="preserve">01</w:t>
      </w:r>
      <w:r>
        <w:t xml:space="preserve">, 110–124.</w:t>
      </w:r>
    </w:p>
    <w:bookmarkEnd w:id="92"/>
    <w:bookmarkStart w:id="93" w:name="ref-LuZiWen2008"/>
    <w:p>
      <w:pPr>
        <w:pStyle w:val="Bibliography"/>
      </w:pPr>
      <w:r>
        <w:t xml:space="preserve">鲁子问. (2008).</w:t>
      </w:r>
      <w:r>
        <w:t xml:space="preserve"> </w:t>
      </w:r>
      <w:r>
        <w:t xml:space="preserve">国家治理视野的语言政策</w:t>
      </w:r>
      <w:r>
        <w:t xml:space="preserve">.</w:t>
      </w:r>
      <w:r>
        <w:t xml:space="preserve"> </w:t>
      </w:r>
      <w:r>
        <w:rPr>
          <w:iCs/>
          <w:i/>
        </w:rPr>
        <w:t xml:space="preserve">社会主义研究</w:t>
      </w:r>
      <w:r>
        <w:t xml:space="preserve">,</w:t>
      </w:r>
      <w:r>
        <w:t xml:space="preserve"> </w:t>
      </w:r>
      <w:r>
        <w:rPr>
          <w:iCs/>
          <w:i/>
        </w:rPr>
        <w:t xml:space="preserve">06</w:t>
      </w:r>
      <w:r>
        <w:t xml:space="preserve">, 54–58.</w:t>
      </w:r>
    </w:p>
    <w:bookmarkEnd w:id="93"/>
    <w:bookmarkStart w:id="94" w:name="ref-HuangShaoAnWangLuCong2020"/>
    <w:p>
      <w:pPr>
        <w:pStyle w:val="Bibliography"/>
      </w:pPr>
      <w:r>
        <w:t xml:space="preserve">黄少安, &amp; 王麓淙. (2020).</w:t>
      </w:r>
      <w:r>
        <w:t xml:space="preserve"> </w:t>
      </w:r>
      <w:r>
        <w:t xml:space="preserve">民族地区语言扶贫的经济理论基础和实证分析</w:t>
      </w:r>
      <w:r>
        <w:t xml:space="preserve">.</w:t>
      </w:r>
      <w:r>
        <w:t xml:space="preserve"> </w:t>
      </w:r>
      <w:r>
        <w:rPr>
          <w:iCs/>
          <w:i/>
        </w:rPr>
        <w:t xml:space="preserve">语言文字应用</w:t>
      </w:r>
      <w:r>
        <w:t xml:space="preserve">,</w:t>
      </w:r>
      <w:r>
        <w:t xml:space="preserve"> </w:t>
      </w:r>
      <w:r>
        <w:rPr>
          <w:iCs/>
          <w:i/>
        </w:rPr>
        <w:t xml:space="preserve">04</w:t>
      </w:r>
      <w:r>
        <w:t xml:space="preserve">, 26–36.</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0.1080/03085149000000001" TargetMode="External" /><Relationship Type="http://schemas.openxmlformats.org/officeDocument/2006/relationships/hyperlink" Id="rId43" Target="https://doi.org/10.1002/9781119072256.ch33" TargetMode="External" /><Relationship Type="http://schemas.openxmlformats.org/officeDocument/2006/relationships/hyperlink" Id="rId54" Target="https://doi.org/10.1007/s10680-010-9214-x" TargetMode="External" /><Relationship Type="http://schemas.openxmlformats.org/officeDocument/2006/relationships/hyperlink" Id="rId41" Target="https://doi.org/10.1017/jea.2019.41" TargetMode="External" /><Relationship Type="http://schemas.openxmlformats.org/officeDocument/2006/relationships/hyperlink" Id="rId49" Target="https://doi.org/10.1017/s0007123416000260" TargetMode="External" /><Relationship Type="http://schemas.openxmlformats.org/officeDocument/2006/relationships/hyperlink" Id="rId58" Target="https://doi.org/10.1037/0022-0663.87.2.241" TargetMode="External" /><Relationship Type="http://schemas.openxmlformats.org/officeDocument/2006/relationships/hyperlink" Id="rId56" Target="https://doi.org/10.1093/esr/jct018" TargetMode="External" /><Relationship Type="http://schemas.openxmlformats.org/officeDocument/2006/relationships/hyperlink" Id="rId36" Target="https://doi.org/10.1111/1468-0297.t01-1-00151" TargetMode="External" /><Relationship Type="http://schemas.openxmlformats.org/officeDocument/2006/relationships/hyperlink" Id="rId74" Target="https://doi.org/10.14154/j.cnki.qss.2017.06.016" TargetMode="External" /><Relationship Type="http://schemas.openxmlformats.org/officeDocument/2006/relationships/hyperlink" Id="rId45" Target="https://doi.org/10.1525/ae.1978.5.4.02a00130" TargetMode="External" /><Relationship Type="http://schemas.openxmlformats.org/officeDocument/2006/relationships/hyperlink" Id="rId67" Target="https://doi.org/10.16486/j.cnki.62-1035/d.2010.01.026"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0.1080/03085149000000001" TargetMode="External" /><Relationship Type="http://schemas.openxmlformats.org/officeDocument/2006/relationships/hyperlink" Id="rId43" Target="https://doi.org/10.1002/9781119072256.ch33" TargetMode="External" /><Relationship Type="http://schemas.openxmlformats.org/officeDocument/2006/relationships/hyperlink" Id="rId54" Target="https://doi.org/10.1007/s10680-010-9214-x" TargetMode="External" /><Relationship Type="http://schemas.openxmlformats.org/officeDocument/2006/relationships/hyperlink" Id="rId41" Target="https://doi.org/10.1017/jea.2019.41" TargetMode="External" /><Relationship Type="http://schemas.openxmlformats.org/officeDocument/2006/relationships/hyperlink" Id="rId49" Target="https://doi.org/10.1017/s0007123416000260" TargetMode="External" /><Relationship Type="http://schemas.openxmlformats.org/officeDocument/2006/relationships/hyperlink" Id="rId58" Target="https://doi.org/10.1037/0022-0663.87.2.241" TargetMode="External" /><Relationship Type="http://schemas.openxmlformats.org/officeDocument/2006/relationships/hyperlink" Id="rId56" Target="https://doi.org/10.1093/esr/jct018" TargetMode="External" /><Relationship Type="http://schemas.openxmlformats.org/officeDocument/2006/relationships/hyperlink" Id="rId36" Target="https://doi.org/10.1111/1468-0297.t01-1-00151" TargetMode="External" /><Relationship Type="http://schemas.openxmlformats.org/officeDocument/2006/relationships/hyperlink" Id="rId74" Target="https://doi.org/10.14154/j.cnki.qss.2017.06.016" TargetMode="External" /><Relationship Type="http://schemas.openxmlformats.org/officeDocument/2006/relationships/hyperlink" Id="rId45" Target="https://doi.org/10.1525/ae.1978.5.4.02a00130" TargetMode="External" /><Relationship Type="http://schemas.openxmlformats.org/officeDocument/2006/relationships/hyperlink" Id="rId67" Target="https://doi.org/10.16486/j.cnki.62-1035/d.2010.01.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
  <cp:keywords/>
  <dcterms:created xsi:type="dcterms:W3CDTF">2021-11-10T01:17:48Z</dcterms:created>
  <dcterms:modified xsi:type="dcterms:W3CDTF">2021-11-10T01:17:48Z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language_governance.bib</vt:lpwstr>
  </property>
  <property fmtid="{D5CDD505-2E9C-101B-9397-08002B2CF9AE}" pid="4" name="colorlinks">
    <vt:lpwstr>yes</vt:lpwstr>
  </property>
  <property fmtid="{D5CDD505-2E9C-101B-9397-08002B2CF9AE}" pid="5" name="csl">
    <vt:lpwst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