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line="360" w:lineRule="auto"/>
        <w:ind w:firstLine="560" w:firstLineChars="200"/>
        <w:jc w:val="center"/>
        <w:rPr>
          <w:rFonts w:ascii="Times New Roman" w:hAnsi="Times New Roman" w:cs="Times New Roman"/>
          <w:color w:val="212529"/>
          <w:sz w:val="28"/>
          <w:szCs w:val="28"/>
        </w:rPr>
      </w:pPr>
      <w:r>
        <w:rPr>
          <w:rFonts w:ascii="Times New Roman" w:hAnsi="Times New Roman" w:cs="Times New Roman"/>
          <w:color w:val="212529"/>
          <w:sz w:val="28"/>
          <w:szCs w:val="28"/>
        </w:rPr>
        <w:t>环境治理的内卷化与有机嵌入</w:t>
      </w:r>
    </w:p>
    <w:p>
      <w:pPr>
        <w:pStyle w:val="2"/>
        <w:spacing w:before="0" w:beforeAutospacing="0" w:after="0" w:afterAutospacing="0" w:line="360" w:lineRule="auto"/>
        <w:ind w:firstLine="360" w:firstLineChars="200"/>
        <w:jc w:val="center"/>
        <w:rPr>
          <w:rFonts w:ascii="Times New Roman" w:hAnsi="Times New Roman" w:cs="Times New Roman"/>
          <w:color w:val="212529"/>
          <w:sz w:val="18"/>
          <w:szCs w:val="18"/>
        </w:rPr>
      </w:pPr>
    </w:p>
    <w:p>
      <w:pPr>
        <w:pStyle w:val="6"/>
        <w:numPr>
          <w:ilvl w:val="0"/>
          <w:numId w:val="1"/>
        </w:numPr>
        <w:spacing w:line="360" w:lineRule="auto"/>
        <w:ind w:firstLineChars="0"/>
        <w:jc w:val="center"/>
        <w:rPr>
          <w:rFonts w:ascii="宋体" w:hAnsi="宋体" w:eastAsia="宋体"/>
          <w:sz w:val="28"/>
          <w:szCs w:val="28"/>
        </w:rPr>
      </w:pPr>
      <w:r>
        <w:rPr>
          <w:rFonts w:ascii="宋体" w:hAnsi="宋体" w:eastAsia="宋体"/>
          <w:sz w:val="28"/>
          <w:szCs w:val="28"/>
        </w:rPr>
        <w:t>问题的提出</w:t>
      </w:r>
    </w:p>
    <w:p>
      <w:pPr>
        <w:pStyle w:val="6"/>
        <w:spacing w:line="360" w:lineRule="auto"/>
        <w:ind w:left="360" w:firstLine="360"/>
        <w:rPr>
          <w:rFonts w:ascii="Times New Roman" w:hAnsi="Times New Roman" w:eastAsia="宋体"/>
          <w:sz w:val="18"/>
          <w:szCs w:val="18"/>
        </w:rPr>
      </w:pPr>
      <w:r>
        <w:rPr>
          <w:rFonts w:ascii="Times New Roman" w:hAnsi="Times New Roman" w:eastAsia="宋体"/>
          <w:sz w:val="18"/>
          <w:szCs w:val="18"/>
        </w:rPr>
        <w:t>随着中央对地方政府的环保考核力度</w:t>
      </w:r>
      <w:r>
        <w:rPr>
          <w:rFonts w:hint="eastAsia" w:ascii="Times New Roman" w:hAnsi="Times New Roman" w:eastAsia="宋体"/>
          <w:sz w:val="18"/>
          <w:szCs w:val="18"/>
        </w:rPr>
        <w:t>的日渐加</w:t>
      </w:r>
      <w:r>
        <w:rPr>
          <w:rFonts w:ascii="Times New Roman" w:hAnsi="Times New Roman" w:eastAsia="宋体"/>
          <w:sz w:val="18"/>
          <w:szCs w:val="18"/>
        </w:rPr>
        <w:t>强，</w:t>
      </w:r>
      <w:r>
        <w:rPr>
          <w:rFonts w:hint="eastAsia" w:ascii="Times New Roman" w:hAnsi="Times New Roman" w:eastAsia="宋体"/>
          <w:sz w:val="18"/>
          <w:szCs w:val="18"/>
        </w:rPr>
        <w:t>各级政府</w:t>
      </w:r>
      <w:r>
        <w:rPr>
          <w:rFonts w:ascii="Times New Roman" w:hAnsi="Times New Roman" w:eastAsia="宋体"/>
          <w:sz w:val="18"/>
          <w:szCs w:val="18"/>
        </w:rPr>
        <w:t>纷纷出台了目标责任制</w:t>
      </w:r>
      <w:r>
        <w:rPr>
          <w:rFonts w:ascii="Times New Roman" w:hAnsi="Times New Roman" w:eastAsia="宋体"/>
          <w:kern w:val="0"/>
          <w:sz w:val="18"/>
          <w:szCs w:val="18"/>
        </w:rPr>
        <w:t>(刘松瑞等, 2020)</w:t>
      </w:r>
      <w:r>
        <w:rPr>
          <w:rFonts w:ascii="Times New Roman" w:hAnsi="Times New Roman" w:eastAsia="宋体"/>
          <w:sz w:val="18"/>
          <w:szCs w:val="18"/>
        </w:rPr>
        <w:t>、一票否决制</w:t>
      </w:r>
      <w:r>
        <w:rPr>
          <w:rFonts w:ascii="Times New Roman" w:hAnsi="Times New Roman" w:eastAsia="宋体"/>
          <w:kern w:val="0"/>
          <w:sz w:val="18"/>
          <w:szCs w:val="18"/>
        </w:rPr>
        <w:t>(袁方成 &amp; 姜煜威, 2020)</w:t>
      </w:r>
      <w:r>
        <w:rPr>
          <w:rFonts w:ascii="Times New Roman" w:hAnsi="Times New Roman" w:eastAsia="宋体"/>
          <w:sz w:val="18"/>
          <w:szCs w:val="18"/>
        </w:rPr>
        <w:t>、一岗双责</w:t>
      </w:r>
      <w:r>
        <w:rPr>
          <w:rFonts w:ascii="Times New Roman" w:hAnsi="Times New Roman" w:eastAsia="宋体"/>
          <w:kern w:val="0"/>
          <w:sz w:val="18"/>
          <w:szCs w:val="18"/>
        </w:rPr>
        <w:t>(涂正革等, 2021)</w:t>
      </w:r>
      <w:r>
        <w:rPr>
          <w:rFonts w:ascii="Times New Roman" w:hAnsi="Times New Roman" w:eastAsia="宋体"/>
          <w:sz w:val="18"/>
          <w:szCs w:val="18"/>
        </w:rPr>
        <w:t>、党政同责</w:t>
      </w:r>
      <w:r>
        <w:rPr>
          <w:rFonts w:ascii="Times New Roman" w:hAnsi="Times New Roman" w:eastAsia="宋体"/>
          <w:kern w:val="0"/>
          <w:sz w:val="18"/>
          <w:szCs w:val="18"/>
        </w:rPr>
        <w:t>(易承志 &amp; 王艺璇, 2021)</w:t>
      </w:r>
      <w:r>
        <w:rPr>
          <w:rFonts w:ascii="Times New Roman" w:hAnsi="Times New Roman" w:eastAsia="宋体"/>
          <w:sz w:val="18"/>
          <w:szCs w:val="18"/>
        </w:rPr>
        <w:t>、环境离任审计</w:t>
      </w:r>
      <w:r>
        <w:rPr>
          <w:rFonts w:ascii="Times New Roman" w:hAnsi="Times New Roman" w:eastAsia="宋体"/>
          <w:kern w:val="0"/>
          <w:sz w:val="18"/>
          <w:szCs w:val="18"/>
        </w:rPr>
        <w:t>(关斌, 2020)</w:t>
      </w:r>
      <w:r>
        <w:rPr>
          <w:rFonts w:ascii="Times New Roman" w:hAnsi="Times New Roman" w:eastAsia="宋体"/>
          <w:sz w:val="18"/>
          <w:szCs w:val="18"/>
        </w:rPr>
        <w:t>、终身追责</w:t>
      </w:r>
      <w:r>
        <w:rPr>
          <w:rFonts w:ascii="Times New Roman" w:hAnsi="Times New Roman" w:eastAsia="宋体"/>
          <w:kern w:val="0"/>
          <w:sz w:val="18"/>
          <w:szCs w:val="18"/>
        </w:rPr>
        <w:t>(王勇, 2014)</w:t>
      </w:r>
      <w:r>
        <w:rPr>
          <w:rFonts w:ascii="Times New Roman" w:hAnsi="Times New Roman" w:eastAsia="宋体"/>
          <w:sz w:val="18"/>
          <w:szCs w:val="18"/>
        </w:rPr>
        <w:t>等考核措施，地方政府对人居环境整治出现了从“不作为”到“积极作为”的转变。但与此同时，我国当前农村环境治理的内卷化现象(陈锋, 2015; 陈涛, 2019)也不容忽视，具体表现为主体性缺失</w:t>
      </w:r>
      <w:r>
        <w:rPr>
          <w:rFonts w:hint="eastAsia" w:ascii="Times New Roman" w:hAnsi="Times New Roman" w:eastAsia="宋体"/>
          <w:sz w:val="18"/>
          <w:szCs w:val="18"/>
        </w:rPr>
        <w:t>、治理资源缺乏和高</w:t>
      </w:r>
      <w:r>
        <w:rPr>
          <w:rFonts w:ascii="Times New Roman" w:hAnsi="Times New Roman" w:eastAsia="宋体"/>
          <w:sz w:val="18"/>
          <w:szCs w:val="18"/>
        </w:rPr>
        <w:t>成本治理</w:t>
      </w:r>
      <w:r>
        <w:rPr>
          <w:rFonts w:hint="eastAsia" w:ascii="Times New Roman" w:hAnsi="Times New Roman" w:eastAsia="宋体"/>
          <w:sz w:val="18"/>
          <w:szCs w:val="18"/>
        </w:rPr>
        <w:t>三</w:t>
      </w:r>
      <w:r>
        <w:rPr>
          <w:rFonts w:ascii="Times New Roman" w:hAnsi="Times New Roman" w:eastAsia="宋体"/>
          <w:sz w:val="18"/>
          <w:szCs w:val="18"/>
        </w:rPr>
        <w:t>方面。</w:t>
      </w:r>
    </w:p>
    <w:p>
      <w:pPr>
        <w:pStyle w:val="6"/>
        <w:spacing w:line="360" w:lineRule="auto"/>
        <w:ind w:left="360" w:firstLine="360"/>
        <w:rPr>
          <w:rFonts w:ascii="Times New Roman" w:hAnsi="Times New Roman" w:eastAsia="宋体"/>
          <w:sz w:val="18"/>
          <w:szCs w:val="18"/>
        </w:rPr>
      </w:pPr>
      <w:r>
        <w:rPr>
          <w:rFonts w:hint="eastAsia" w:ascii="Times New Roman" w:hAnsi="Times New Roman" w:eastAsia="宋体"/>
          <w:sz w:val="18"/>
          <w:szCs w:val="18"/>
        </w:rPr>
        <w:t>首先，就治理主体而言，</w:t>
      </w:r>
      <w:r>
        <w:rPr>
          <w:rFonts w:ascii="Times New Roman" w:hAnsi="Times New Roman" w:eastAsia="宋体"/>
          <w:sz w:val="18"/>
          <w:szCs w:val="18"/>
        </w:rPr>
        <w:t>作为自治主体的群众参与性、积极性不足</w:t>
      </w:r>
      <w:r>
        <w:rPr>
          <w:rFonts w:hint="eastAsia" w:ascii="Times New Roman" w:hAnsi="Times New Roman" w:eastAsia="宋体"/>
          <w:sz w:val="18"/>
          <w:szCs w:val="18"/>
        </w:rPr>
        <w:t>。</w:t>
      </w:r>
    </w:p>
    <w:p>
      <w:pPr>
        <w:pStyle w:val="6"/>
        <w:spacing w:line="360" w:lineRule="auto"/>
        <w:ind w:left="360" w:firstLine="360"/>
        <w:rPr>
          <w:rFonts w:ascii="Times New Roman" w:hAnsi="Times New Roman" w:eastAsia="宋体"/>
          <w:sz w:val="18"/>
          <w:szCs w:val="18"/>
        </w:rPr>
      </w:pPr>
      <w:r>
        <w:rPr>
          <w:rFonts w:hint="eastAsia" w:ascii="Times New Roman" w:hAnsi="Times New Roman" w:eastAsia="宋体"/>
          <w:sz w:val="18"/>
          <w:szCs w:val="18"/>
        </w:rPr>
        <w:t>其次，就治理资源而言，</w:t>
      </w:r>
      <w:r>
        <w:rPr>
          <w:rFonts w:ascii="Times New Roman" w:hAnsi="Times New Roman" w:eastAsia="宋体"/>
          <w:sz w:val="18"/>
          <w:szCs w:val="18"/>
        </w:rPr>
        <w:t>农村</w:t>
      </w:r>
      <w:r>
        <w:rPr>
          <w:rFonts w:hint="eastAsia" w:ascii="Times New Roman" w:hAnsi="Times New Roman" w:eastAsia="宋体"/>
          <w:sz w:val="18"/>
          <w:szCs w:val="18"/>
        </w:rPr>
        <w:t>基层政府</w:t>
      </w:r>
      <w:r>
        <w:rPr>
          <w:rFonts w:ascii="Times New Roman" w:hAnsi="Times New Roman" w:eastAsia="宋体"/>
          <w:sz w:val="18"/>
          <w:szCs w:val="18"/>
        </w:rPr>
        <w:t>无法保证环境治理资金的持续供给</w:t>
      </w:r>
      <w:r>
        <w:rPr>
          <w:rFonts w:hint="eastAsia" w:ascii="Times New Roman" w:hAnsi="Times New Roman" w:eastAsia="宋体"/>
          <w:sz w:val="18"/>
          <w:szCs w:val="18"/>
        </w:rPr>
        <w:t>。</w:t>
      </w:r>
    </w:p>
    <w:p>
      <w:pPr>
        <w:pStyle w:val="6"/>
        <w:spacing w:line="360" w:lineRule="auto"/>
        <w:ind w:left="360" w:firstLine="360"/>
        <w:rPr>
          <w:rFonts w:ascii="Times New Roman" w:hAnsi="Times New Roman" w:eastAsia="宋体"/>
          <w:sz w:val="18"/>
          <w:szCs w:val="18"/>
        </w:rPr>
      </w:pPr>
      <w:r>
        <w:rPr>
          <w:rFonts w:hint="eastAsia" w:ascii="Times New Roman" w:hAnsi="Times New Roman" w:eastAsia="宋体"/>
          <w:sz w:val="18"/>
          <w:szCs w:val="18"/>
        </w:rPr>
        <w:t>最后，就治理方式而言，</w:t>
      </w:r>
      <w:r>
        <w:rPr>
          <w:rFonts w:ascii="Times New Roman" w:hAnsi="Times New Roman" w:eastAsia="宋体"/>
          <w:sz w:val="18"/>
          <w:szCs w:val="18"/>
        </w:rPr>
        <w:t>运动式与权宜式治理</w:t>
      </w:r>
      <w:r>
        <w:rPr>
          <w:rFonts w:hint="eastAsia" w:ascii="Times New Roman" w:hAnsi="Times New Roman" w:eastAsia="宋体"/>
          <w:sz w:val="18"/>
          <w:szCs w:val="18"/>
        </w:rPr>
        <w:t>推高了治理成本。</w:t>
      </w:r>
    </w:p>
    <w:p>
      <w:pPr>
        <w:pStyle w:val="6"/>
        <w:spacing w:line="360" w:lineRule="auto"/>
        <w:ind w:left="360" w:firstLine="360"/>
        <w:rPr>
          <w:rFonts w:hint="eastAsia" w:ascii="Times New Roman" w:hAnsi="Times New Roman" w:eastAsia="宋体"/>
          <w:sz w:val="18"/>
          <w:szCs w:val="18"/>
        </w:rPr>
      </w:pPr>
      <w:r>
        <w:rPr>
          <w:rFonts w:hint="eastAsia" w:ascii="Times New Roman" w:hAnsi="Times New Roman" w:eastAsia="宋体"/>
          <w:sz w:val="18"/>
          <w:szCs w:val="18"/>
        </w:rPr>
        <w:t>实际上，基层政府遭遇的主体性缺失、治理资源缺乏和高成本治理困境共同反映出基层政权无法</w:t>
      </w:r>
      <w:r>
        <w:rPr>
          <w:rFonts w:ascii="Times New Roman" w:hAnsi="Times New Roman" w:eastAsia="宋体"/>
          <w:sz w:val="18"/>
          <w:szCs w:val="18"/>
        </w:rPr>
        <w:t>有效运用乡土社会自身的力量</w:t>
      </w:r>
      <w:r>
        <w:rPr>
          <w:rFonts w:hint="eastAsia" w:ascii="Times New Roman" w:hAnsi="Times New Roman" w:eastAsia="宋体"/>
          <w:sz w:val="18"/>
          <w:szCs w:val="18"/>
        </w:rPr>
        <w:t>，动员村民积极参与环境治理。</w:t>
      </w:r>
    </w:p>
    <w:p>
      <w:pPr>
        <w:pStyle w:val="6"/>
        <w:spacing w:line="360" w:lineRule="auto"/>
        <w:ind w:left="360" w:firstLine="360"/>
        <w:rPr>
          <w:rFonts w:ascii="Times New Roman" w:hAnsi="Times New Roman" w:eastAsia="宋体"/>
          <w:sz w:val="18"/>
          <w:szCs w:val="18"/>
        </w:rPr>
      </w:pPr>
    </w:p>
    <w:p>
      <w:pPr>
        <w:pStyle w:val="6"/>
        <w:numPr>
          <w:ilvl w:val="0"/>
          <w:numId w:val="1"/>
        </w:numPr>
        <w:spacing w:line="360" w:lineRule="auto"/>
        <w:ind w:firstLineChars="0"/>
        <w:jc w:val="center"/>
        <w:rPr>
          <w:rFonts w:ascii="Times New Roman" w:hAnsi="Times New Roman" w:eastAsia="宋体"/>
          <w:sz w:val="28"/>
          <w:szCs w:val="28"/>
        </w:rPr>
      </w:pPr>
      <w:r>
        <w:rPr>
          <w:rFonts w:ascii="宋体" w:hAnsi="宋体" w:eastAsia="宋体"/>
          <w:sz w:val="28"/>
          <w:szCs w:val="28"/>
        </w:rPr>
        <w:t>文献综述</w:t>
      </w:r>
    </w:p>
    <w:p>
      <w:pPr>
        <w:spacing w:line="360" w:lineRule="auto"/>
        <w:ind w:firstLine="360" w:firstLineChars="200"/>
        <w:rPr>
          <w:rStyle w:val="7"/>
          <w:rFonts w:hint="default" w:ascii="宋体" w:hAnsi="宋体" w:eastAsia="宋体"/>
          <w:sz w:val="18"/>
          <w:szCs w:val="18"/>
        </w:rPr>
      </w:pPr>
      <w:r>
        <w:rPr>
          <w:rStyle w:val="7"/>
          <w:rFonts w:hint="default" w:ascii="宋体" w:hAnsi="宋体" w:eastAsia="宋体"/>
          <w:sz w:val="18"/>
          <w:szCs w:val="18"/>
        </w:rPr>
        <w:t>针对农村人居环境整治，现有研究主要从治理主体、治理资源、治理方式三条进路展开分析。</w:t>
      </w:r>
    </w:p>
    <w:p>
      <w:pPr>
        <w:spacing w:line="360" w:lineRule="auto"/>
        <w:ind w:firstLine="360" w:firstLineChars="200"/>
        <w:rPr>
          <w:rStyle w:val="7"/>
          <w:rFonts w:ascii="宋体" w:hAnsi="宋体" w:eastAsia="宋体"/>
          <w:sz w:val="18"/>
          <w:szCs w:val="18"/>
        </w:rPr>
      </w:pPr>
      <w:r>
        <w:rPr>
          <w:rStyle w:val="7"/>
          <w:rFonts w:hint="default" w:ascii="宋体" w:hAnsi="宋体" w:eastAsia="宋体"/>
          <w:sz w:val="18"/>
          <w:szCs w:val="18"/>
        </w:rPr>
        <w:t>首先，从治理主体角度来说，既有研究重点关注政府</w:t>
      </w:r>
      <w:r>
        <w:rPr>
          <w:rFonts w:ascii="宋体" w:hAnsi="宋体" w:eastAsia="宋体"/>
          <w:sz w:val="18"/>
          <w:szCs w:val="18"/>
        </w:rPr>
        <w:t>行政体系的其他力量如何影响环境政策的基层执行</w:t>
      </w:r>
      <w:r>
        <w:rPr>
          <w:rFonts w:hint="eastAsia" w:ascii="宋体" w:hAnsi="宋体" w:eastAsia="宋体"/>
          <w:sz w:val="18"/>
          <w:szCs w:val="18"/>
        </w:rPr>
        <w:t>，</w:t>
      </w:r>
      <w:r>
        <w:rPr>
          <w:rFonts w:ascii="宋体" w:hAnsi="宋体" w:eastAsia="宋体"/>
          <w:sz w:val="18"/>
          <w:szCs w:val="18"/>
        </w:rPr>
        <w:t>将政府的职权划分和激励结构视为影响农村环境治理效果的关键因素(周黎安, 2007; Benjamin Rooij等, 2021)</w:t>
      </w:r>
      <w:r>
        <w:rPr>
          <w:rFonts w:hint="eastAsia" w:ascii="宋体" w:hAnsi="宋体" w:eastAsia="宋体"/>
          <w:sz w:val="18"/>
          <w:szCs w:val="18"/>
        </w:rPr>
        <w:t>。</w:t>
      </w:r>
    </w:p>
    <w:p>
      <w:pPr>
        <w:spacing w:line="360" w:lineRule="auto"/>
        <w:ind w:firstLine="360" w:firstLineChars="200"/>
        <w:rPr>
          <w:rFonts w:ascii="宋体" w:hAnsi="宋体" w:eastAsia="宋体"/>
          <w:sz w:val="18"/>
          <w:szCs w:val="18"/>
        </w:rPr>
      </w:pPr>
      <w:r>
        <w:rPr>
          <w:rStyle w:val="7"/>
          <w:rFonts w:hint="default" w:ascii="宋体" w:hAnsi="宋体" w:eastAsia="宋体"/>
          <w:sz w:val="18"/>
          <w:szCs w:val="18"/>
        </w:rPr>
        <w:t>其次，就治理资源的分析路径而言，</w:t>
      </w:r>
      <w:r>
        <w:rPr>
          <w:rFonts w:hint="eastAsia" w:ascii="宋体" w:hAnsi="宋体" w:eastAsia="宋体"/>
          <w:sz w:val="18"/>
          <w:szCs w:val="18"/>
        </w:rPr>
        <w:t>现有学者强调政</w:t>
      </w:r>
      <w:r>
        <w:rPr>
          <w:rFonts w:ascii="宋体" w:hAnsi="宋体" w:eastAsia="宋体"/>
          <w:sz w:val="18"/>
          <w:szCs w:val="18"/>
        </w:rPr>
        <w:t>府</w:t>
      </w:r>
      <w:r>
        <w:rPr>
          <w:rFonts w:hint="eastAsia" w:ascii="宋体" w:hAnsi="宋体" w:eastAsia="宋体"/>
          <w:sz w:val="18"/>
          <w:szCs w:val="18"/>
        </w:rPr>
        <w:t>环境政</w:t>
      </w:r>
      <w:r>
        <w:rPr>
          <w:rFonts w:ascii="宋体" w:hAnsi="宋体" w:eastAsia="宋体"/>
          <w:sz w:val="18"/>
          <w:szCs w:val="18"/>
        </w:rPr>
        <w:t>策</w:t>
      </w:r>
      <w:r>
        <w:rPr>
          <w:rFonts w:hint="eastAsia" w:ascii="宋体" w:hAnsi="宋体" w:eastAsia="宋体"/>
          <w:sz w:val="18"/>
          <w:szCs w:val="18"/>
        </w:rPr>
        <w:t>的</w:t>
      </w:r>
      <w:r>
        <w:rPr>
          <w:rFonts w:ascii="宋体" w:hAnsi="宋体" w:eastAsia="宋体"/>
          <w:sz w:val="18"/>
          <w:szCs w:val="18"/>
        </w:rPr>
        <w:t>执行效果受到基层政权资源动员能力</w:t>
      </w:r>
      <w:r>
        <w:rPr>
          <w:rFonts w:hint="eastAsia" w:ascii="宋体" w:hAnsi="宋体" w:eastAsia="宋体"/>
          <w:sz w:val="18"/>
          <w:szCs w:val="18"/>
        </w:rPr>
        <w:t>的影响</w:t>
      </w:r>
      <w:r>
        <w:rPr>
          <w:rFonts w:ascii="宋体" w:hAnsi="宋体" w:eastAsia="宋体"/>
          <w:sz w:val="18"/>
          <w:szCs w:val="18"/>
        </w:rPr>
        <w:t>(渠敬东等, 2009; 周飞舟, 2006)。</w:t>
      </w:r>
    </w:p>
    <w:p>
      <w:pPr>
        <w:spacing w:line="360" w:lineRule="auto"/>
        <w:ind w:firstLine="360" w:firstLineChars="200"/>
        <w:rPr>
          <w:rFonts w:ascii="宋体" w:hAnsi="宋体" w:eastAsia="宋体"/>
          <w:sz w:val="18"/>
          <w:szCs w:val="18"/>
        </w:rPr>
      </w:pPr>
      <w:r>
        <w:rPr>
          <w:rStyle w:val="7"/>
          <w:rFonts w:ascii="宋体" w:hAnsi="宋体" w:eastAsia="宋体"/>
          <w:sz w:val="18"/>
          <w:szCs w:val="18"/>
        </w:rPr>
        <w:t>最后</w:t>
      </w:r>
      <w:r>
        <w:rPr>
          <w:rStyle w:val="7"/>
          <w:rFonts w:hint="default" w:ascii="宋体" w:hAnsi="宋体" w:eastAsia="宋体"/>
          <w:sz w:val="18"/>
          <w:szCs w:val="18"/>
        </w:rPr>
        <w:t>，</w:t>
      </w:r>
      <w:r>
        <w:rPr>
          <w:rStyle w:val="7"/>
          <w:rFonts w:ascii="宋体" w:hAnsi="宋体" w:eastAsia="宋体"/>
          <w:sz w:val="18"/>
          <w:szCs w:val="18"/>
        </w:rPr>
        <w:t>就治理方式而言</w:t>
      </w:r>
      <w:r>
        <w:rPr>
          <w:rStyle w:val="7"/>
          <w:rFonts w:hint="default" w:ascii="宋体" w:hAnsi="宋体" w:eastAsia="宋体"/>
          <w:sz w:val="18"/>
          <w:szCs w:val="18"/>
        </w:rPr>
        <w:t>，</w:t>
      </w:r>
      <w:r>
        <w:rPr>
          <w:rStyle w:val="7"/>
          <w:rFonts w:ascii="宋体" w:hAnsi="宋体" w:eastAsia="宋体"/>
          <w:sz w:val="18"/>
          <w:szCs w:val="18"/>
        </w:rPr>
        <w:t>当前研究出现了</w:t>
      </w:r>
      <w:r>
        <w:rPr>
          <w:rFonts w:ascii="宋体" w:hAnsi="宋体" w:eastAsia="宋体"/>
          <w:sz w:val="18"/>
          <w:szCs w:val="18"/>
        </w:rPr>
        <w:t>以多中心治理(Ostrom, 2000)为代表的农村环境治理协同模式(张志胜, 2020; Jacobsen等, 2013)。</w:t>
      </w:r>
    </w:p>
    <w:p>
      <w:pPr>
        <w:spacing w:line="360" w:lineRule="auto"/>
        <w:ind w:firstLine="360" w:firstLineChars="200"/>
        <w:rPr>
          <w:rStyle w:val="7"/>
          <w:rFonts w:hint="default" w:ascii="宋体" w:hAnsi="宋体" w:eastAsia="宋体"/>
          <w:sz w:val="18"/>
          <w:szCs w:val="18"/>
        </w:rPr>
      </w:pPr>
      <w:r>
        <w:rPr>
          <w:rFonts w:ascii="宋体" w:hAnsi="宋体" w:eastAsia="宋体"/>
          <w:sz w:val="18"/>
          <w:szCs w:val="18"/>
        </w:rPr>
        <w:t>然而，上述</w:t>
      </w:r>
      <w:r>
        <w:rPr>
          <w:rFonts w:hint="eastAsia" w:ascii="宋体" w:hAnsi="宋体" w:eastAsia="宋体"/>
          <w:sz w:val="18"/>
          <w:szCs w:val="18"/>
        </w:rPr>
        <w:t>分析路径</w:t>
      </w:r>
      <w:r>
        <w:rPr>
          <w:rFonts w:ascii="宋体" w:hAnsi="宋体" w:eastAsia="宋体"/>
          <w:sz w:val="18"/>
          <w:szCs w:val="18"/>
        </w:rPr>
        <w:t>都不约而同地忽视了农村人居环境整治过程中国家与乡土社会互动的具体过程和内在机制，都未能回答</w:t>
      </w:r>
      <w:r>
        <w:rPr>
          <w:rStyle w:val="7"/>
          <w:rFonts w:hint="default" w:ascii="宋体" w:hAnsi="宋体" w:eastAsia="宋体"/>
          <w:sz w:val="18"/>
          <w:szCs w:val="18"/>
        </w:rPr>
        <w:t>如何才能实现国家外部行政力量与乡村内生自发力量之间的有机嵌入。</w:t>
      </w:r>
    </w:p>
    <w:p>
      <w:pPr>
        <w:spacing w:line="360" w:lineRule="auto"/>
        <w:ind w:firstLine="360" w:firstLineChars="200"/>
        <w:rPr>
          <w:rStyle w:val="7"/>
          <w:rFonts w:hint="default" w:ascii="Times New Roman" w:hAnsi="Times New Roman" w:eastAsia="宋体"/>
          <w:sz w:val="18"/>
          <w:szCs w:val="18"/>
        </w:rPr>
      </w:pPr>
      <w:r>
        <w:rPr>
          <w:rFonts w:ascii="Times New Roman" w:hAnsi="Times New Roman" w:eastAsia="宋体"/>
          <w:sz w:val="18"/>
          <w:szCs w:val="18"/>
        </w:rPr>
        <w:t>因此，进一步研究应该集中到基层政府与乡村社会上下互动的具体过程，把握将国家与社会有效联结起来的具体机制，</w:t>
      </w:r>
      <w:bookmarkStart w:id="0" w:name="_GoBack"/>
      <w:bookmarkEnd w:id="0"/>
    </w:p>
    <w:p>
      <w:pPr>
        <w:spacing w:line="360" w:lineRule="auto"/>
        <w:ind w:firstLine="360" w:firstLineChars="200"/>
        <w:rPr>
          <w:rStyle w:val="7"/>
          <w:rFonts w:hint="default" w:ascii="宋体" w:hAnsi="宋体" w:eastAsia="宋体"/>
          <w:sz w:val="18"/>
          <w:szCs w:val="18"/>
        </w:rPr>
      </w:pPr>
    </w:p>
    <w:p>
      <w:pPr>
        <w:pStyle w:val="6"/>
        <w:spacing w:line="360" w:lineRule="auto"/>
        <w:ind w:left="360" w:firstLine="360"/>
        <w:rPr>
          <w:rFonts w:ascii="Times New Roman" w:hAnsi="Times New Roman" w:eastAsia="宋体"/>
          <w:sz w:val="18"/>
          <w:szCs w:val="18"/>
        </w:rPr>
      </w:pPr>
    </w:p>
    <w:p>
      <w:pPr>
        <w:pStyle w:val="6"/>
        <w:spacing w:line="360" w:lineRule="auto"/>
        <w:ind w:left="360" w:firstLine="360"/>
        <w:rPr>
          <w:rFonts w:ascii="Times New Roman" w:hAnsi="Times New Roman" w:eastAsia="宋体"/>
          <w:sz w:val="18"/>
          <w:szCs w:val="18"/>
        </w:rPr>
      </w:pPr>
    </w:p>
    <w:p>
      <w:pPr>
        <w:pStyle w:val="6"/>
        <w:spacing w:line="360" w:lineRule="auto"/>
        <w:ind w:left="360" w:firstLine="360"/>
        <w:rPr>
          <w:rFonts w:ascii="Times New Roman" w:hAnsi="Times New Roman" w:eastAsia="宋体"/>
          <w:sz w:val="18"/>
          <w:szCs w:val="18"/>
        </w:rPr>
      </w:pPr>
    </w:p>
    <w:p>
      <w:pPr>
        <w:rPr>
          <w:rFonts w:ascii="Times New Roman" w:hAnsi="Times New Roman" w:eastAsia="宋体" w:cs="Times New Roman"/>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359A5"/>
    <w:multiLevelType w:val="multilevel"/>
    <w:tmpl w:val="0C6359A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97"/>
    <w:rsid w:val="00012C97"/>
    <w:rsid w:val="00013D05"/>
    <w:rsid w:val="00050EDF"/>
    <w:rsid w:val="0013160C"/>
    <w:rsid w:val="00141834"/>
    <w:rsid w:val="00142926"/>
    <w:rsid w:val="0017424D"/>
    <w:rsid w:val="00186B6C"/>
    <w:rsid w:val="001930A6"/>
    <w:rsid w:val="001934ED"/>
    <w:rsid w:val="001A2DBC"/>
    <w:rsid w:val="001A5EED"/>
    <w:rsid w:val="001B0677"/>
    <w:rsid w:val="001B149E"/>
    <w:rsid w:val="001C17DB"/>
    <w:rsid w:val="001C357E"/>
    <w:rsid w:val="001C65FD"/>
    <w:rsid w:val="001D3B23"/>
    <w:rsid w:val="001E41E3"/>
    <w:rsid w:val="001E6191"/>
    <w:rsid w:val="0027083F"/>
    <w:rsid w:val="002805EF"/>
    <w:rsid w:val="002809AB"/>
    <w:rsid w:val="002B1446"/>
    <w:rsid w:val="002B27DA"/>
    <w:rsid w:val="002B50C6"/>
    <w:rsid w:val="002C348D"/>
    <w:rsid w:val="002F4BAA"/>
    <w:rsid w:val="00302D5B"/>
    <w:rsid w:val="00354103"/>
    <w:rsid w:val="003821BF"/>
    <w:rsid w:val="0039356D"/>
    <w:rsid w:val="003C7303"/>
    <w:rsid w:val="003D678A"/>
    <w:rsid w:val="003D75AF"/>
    <w:rsid w:val="003F659B"/>
    <w:rsid w:val="00406800"/>
    <w:rsid w:val="00417454"/>
    <w:rsid w:val="00424D4C"/>
    <w:rsid w:val="00433466"/>
    <w:rsid w:val="0043517B"/>
    <w:rsid w:val="00441F37"/>
    <w:rsid w:val="004514B9"/>
    <w:rsid w:val="00487C55"/>
    <w:rsid w:val="00494E08"/>
    <w:rsid w:val="004A5234"/>
    <w:rsid w:val="004F4C6A"/>
    <w:rsid w:val="0051019D"/>
    <w:rsid w:val="00543C9A"/>
    <w:rsid w:val="0055434B"/>
    <w:rsid w:val="00554FCE"/>
    <w:rsid w:val="00564761"/>
    <w:rsid w:val="00572D42"/>
    <w:rsid w:val="00590F99"/>
    <w:rsid w:val="005F22B0"/>
    <w:rsid w:val="00611008"/>
    <w:rsid w:val="00623F3B"/>
    <w:rsid w:val="006336D6"/>
    <w:rsid w:val="0067432E"/>
    <w:rsid w:val="006A4D48"/>
    <w:rsid w:val="006C2781"/>
    <w:rsid w:val="007208E5"/>
    <w:rsid w:val="007215B7"/>
    <w:rsid w:val="00722F02"/>
    <w:rsid w:val="00750EE6"/>
    <w:rsid w:val="00767176"/>
    <w:rsid w:val="007B4BFA"/>
    <w:rsid w:val="007C34A7"/>
    <w:rsid w:val="007D1E8E"/>
    <w:rsid w:val="00801E27"/>
    <w:rsid w:val="00827D84"/>
    <w:rsid w:val="00865B76"/>
    <w:rsid w:val="008864A3"/>
    <w:rsid w:val="00897A25"/>
    <w:rsid w:val="008B75D5"/>
    <w:rsid w:val="008E2017"/>
    <w:rsid w:val="008E30CF"/>
    <w:rsid w:val="00904837"/>
    <w:rsid w:val="00906713"/>
    <w:rsid w:val="00907496"/>
    <w:rsid w:val="009162E7"/>
    <w:rsid w:val="009430D3"/>
    <w:rsid w:val="009804D3"/>
    <w:rsid w:val="009B1111"/>
    <w:rsid w:val="009C6F3C"/>
    <w:rsid w:val="009D1CC7"/>
    <w:rsid w:val="009F2C23"/>
    <w:rsid w:val="00A10B69"/>
    <w:rsid w:val="00A215F5"/>
    <w:rsid w:val="00A35097"/>
    <w:rsid w:val="00A35EA3"/>
    <w:rsid w:val="00A377ED"/>
    <w:rsid w:val="00A42B66"/>
    <w:rsid w:val="00A508D2"/>
    <w:rsid w:val="00A67E7F"/>
    <w:rsid w:val="00A84FAE"/>
    <w:rsid w:val="00A93AFE"/>
    <w:rsid w:val="00AA085E"/>
    <w:rsid w:val="00AC0190"/>
    <w:rsid w:val="00AC6463"/>
    <w:rsid w:val="00AC7B48"/>
    <w:rsid w:val="00AC7D3B"/>
    <w:rsid w:val="00AD07F3"/>
    <w:rsid w:val="00AD44A3"/>
    <w:rsid w:val="00AF040F"/>
    <w:rsid w:val="00B109CC"/>
    <w:rsid w:val="00B31450"/>
    <w:rsid w:val="00B57054"/>
    <w:rsid w:val="00B86C86"/>
    <w:rsid w:val="00BC3932"/>
    <w:rsid w:val="00BC6080"/>
    <w:rsid w:val="00BD06BA"/>
    <w:rsid w:val="00BE3D17"/>
    <w:rsid w:val="00BF37A4"/>
    <w:rsid w:val="00C3496A"/>
    <w:rsid w:val="00C351E7"/>
    <w:rsid w:val="00C4455B"/>
    <w:rsid w:val="00C524D9"/>
    <w:rsid w:val="00C72077"/>
    <w:rsid w:val="00C724D1"/>
    <w:rsid w:val="00C95A07"/>
    <w:rsid w:val="00CC0545"/>
    <w:rsid w:val="00D14D2A"/>
    <w:rsid w:val="00D1575D"/>
    <w:rsid w:val="00D31195"/>
    <w:rsid w:val="00D46129"/>
    <w:rsid w:val="00D51351"/>
    <w:rsid w:val="00D804AD"/>
    <w:rsid w:val="00DC7DE3"/>
    <w:rsid w:val="00E02752"/>
    <w:rsid w:val="00E0340E"/>
    <w:rsid w:val="00E43D77"/>
    <w:rsid w:val="00E818EE"/>
    <w:rsid w:val="00E94257"/>
    <w:rsid w:val="00EA0D97"/>
    <w:rsid w:val="00EA0FFA"/>
    <w:rsid w:val="00EB6FA4"/>
    <w:rsid w:val="00EC5AD3"/>
    <w:rsid w:val="00ED0175"/>
    <w:rsid w:val="00EF62FB"/>
    <w:rsid w:val="00F1181F"/>
    <w:rsid w:val="00F14970"/>
    <w:rsid w:val="00F35DE8"/>
    <w:rsid w:val="00FA0437"/>
    <w:rsid w:val="00FB558E"/>
    <w:rsid w:val="00FD35E7"/>
    <w:rsid w:val="7FEDB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5">
    <w:name w:val="List Paragraph"/>
    <w:basedOn w:val="1"/>
    <w:qFormat/>
    <w:uiPriority w:val="34"/>
    <w:pPr>
      <w:ind w:firstLine="420" w:firstLineChars="200"/>
    </w:pPr>
  </w:style>
  <w:style w:type="paragraph" w:customStyle="1" w:styleId="6">
    <w:name w:val="列表段落1"/>
    <w:basedOn w:val="1"/>
    <w:qFormat/>
    <w:uiPriority w:val="0"/>
    <w:pPr>
      <w:ind w:firstLine="420" w:firstLineChars="200"/>
    </w:pPr>
    <w:rPr>
      <w:rFonts w:ascii="DengXian" w:hAnsi="DengXian" w:eastAsia="DengXian" w:cs="Times New Roman"/>
      <w:szCs w:val="21"/>
    </w:rPr>
  </w:style>
  <w:style w:type="character" w:customStyle="1" w:styleId="7">
    <w:name w:val="16"/>
    <w:basedOn w:val="4"/>
    <w:qFormat/>
    <w:uiPriority w:val="0"/>
    <w:rPr>
      <w:rFonts w:hint="eastAsia" w:ascii="DengXian" w:hAnsi="DengXian" w:eastAsia="DengXi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153</Words>
  <Characters>878</Characters>
  <Lines>7</Lines>
  <Paragraphs>2</Paragraphs>
  <TotalTime>23</TotalTime>
  <ScaleCrop>false</ScaleCrop>
  <LinksUpToDate>false</LinksUpToDate>
  <CharactersWithSpaces>1029</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2022-08-10T15:01:00Z</dcterms:created>
  <dc:creator>A4352</dc:creator>
  <cp:lastModifiedBy>睁眼只为换个睡姿</cp:lastModifiedBy>
  <dcterms:modified xsi:type="dcterms:W3CDTF">2022-08-10T22:05:37Z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39B21A349FF28A6831BBF362AE8819F7</vt:lpwstr>
  </property>
</Properties>
</file>