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动态监测如何转化为风险概率</w:t>
      </w:r>
    </w:p>
    <w:p>
      <w:r>
        <w:rPr>
          <w:b w:val="0"/>
        </w:rPr>
        <w:t>与导师讨论的方法框架｜引言与七点总结</w:t>
      </w:r>
    </w:p>
    <w:p>
      <w:r>
        <w:rPr>
          <w:b/>
        </w:rPr>
        <w:t>先给老师讲清一种方法能力——监测信息持续进入后，系统怎样更新对风险的认识，并输出带有不确定性说明的风险概率。</w:t>
      </w:r>
    </w:p>
    <w:p>
      <w:r>
        <w:rPr>
          <w:b w:val="0"/>
        </w:rPr>
        <w:t>目前不需要代入具体数据，也不需要先确定完整工程方案。这个问题比“讲懂 P14”更宽。P14 可以解释其中一条实现路线，但整个知识框架应先从状态、观测、概率更新和未来预测讲起。</w:t>
      </w:r>
    </w:p>
    <w:p>
      <w:r>
        <w:rPr>
          <w:b w:val="0"/>
        </w:rPr>
        <w:t>本文按此前讨论的七点整理。公式用于解释方法结构；示意数值不代表井筒实测或论文结果。P06、P14、P03 是可比较的实现路线，不能不加论证地拼接成一个模型。</w:t>
      </w:r>
    </w:p>
    <w:p>
      <w:pPr>
        <w:pStyle w:val="Heading1"/>
      </w:pPr>
      <w:r>
        <w:t>一、监测值与风险状态之间，需要概率模型</w:t>
      </w:r>
    </w:p>
    <w:p>
      <w:r>
        <w:rPr>
          <w:b w:val="0"/>
        </w:rPr>
        <w:t>传感器提供压力、温度、振动等观测；真正关心的可能是密封是否退化、是否存在泄漏、是否将发生失效。真实状态通常不能由单次观测完全确定。同一个异常读数，可能来自风险变化，也可能来自工况变化或测量噪声。</w:t>
      </w:r>
    </w:p>
    <w:p>
      <w:r>
        <w:rPr>
          <w:b w:val="0"/>
        </w:rPr>
        <w:t>概率模型需要回答：如果系统处于某种状态，出现当前观测的可能性有多大？结合此前的信息，现在更应该相信哪一种状态？</w:t>
      </w:r>
    </w:p>
    <w:p>
      <w:r>
        <w:rPr>
          <w:b/>
        </w:rPr>
        <w:t>基本链路：已有状态判断 → 状态随时间演化 → 当前状态的先验预测 → 新增监测信息 → 当前状态的后验判断 → 向未来推演 → 未来风险概率。</w:t>
      </w:r>
    </w:p>
    <w:p>
      <w:r>
        <w:rPr>
          <w:b w:val="0"/>
        </w:rPr>
        <w:t>新一轮监测到来后，重复这条链路。“动态”体现在时间演化，“更新”体现在新证据改变概率。</w:t>
      </w:r>
    </w:p>
    <w:p>
      <w:pPr>
        <w:pStyle w:val="Heading1"/>
      </w:pPr>
      <w:r>
        <w:t>二、区分两个输出：现在有多危险，以后多大概率出事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输出</w:t>
            </w:r>
          </w:p>
        </w:tc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示意表达</w:t>
            </w:r>
          </w:p>
        </w:tc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回答的问题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当前风险状态概率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根据截至现在的信息，危险状态概率为 70%。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现在可能处于什么状态？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未来窗口事件概率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已知目前尚未失效，未来 24 小时内失效概率为 20%。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未来指定窗口内是否发生事件？</w:t>
            </w:r>
          </w:p>
        </w:tc>
      </w:tr>
    </w:tbl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当前：P(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∈ A |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</m:t>
            </m:r>
          </m:sub>
        </m:sSub>
        <m:r>
          <w:rPr>
            <w:rFonts w:ascii="Cambria Math" w:hAnsi="Cambria Math" w:eastAsia="宋体"/>
          </w:rPr>
          <m:t>)</m:t>
        </m:r>
      </m:oMath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未来：P(t &lt; T ≤ t + Δ | T &gt; t,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</m:t>
            </m:r>
          </m:sub>
        </m:sSub>
        <m:r>
          <w:rPr>
            <w:rFonts w:ascii="Cambria Math" w:hAnsi="Cambria Math" w:eastAsia="宋体"/>
          </w:rPr>
          <m:t>)</m:t>
        </m:r>
      </m:oMath>
    </w:p>
    <w:p>
      <w:r>
        <w:rPr>
          <w:b w:val="0"/>
        </w:rPr>
        <w:t>Xₜ 表示真实状态，y₁:ₜ 表示截至当前的观测历史，A 是风险状态集合，T 是事件时间。当前异常概率高，不直接等于未来短时间内失效概率高；两者之间还需要状态演化或事件发生模型。这里首先量化事件可能性，完整工程风险还可能涉及损失后果。</w:t>
      </w:r>
    </w:p>
    <w:p>
      <w:r>
        <w:br w:type="page"/>
      </w:r>
    </w:p>
    <w:p>
      <w:pPr>
        <w:pStyle w:val="Heading1"/>
      </w:pPr>
      <w:r>
        <w:t>三、实时更新的基本原理：预测与贝叶斯更新</w:t>
      </w:r>
    </w:p>
    <w:p>
      <w:r>
        <w:rPr>
          <w:b w:val="0"/>
        </w:rPr>
        <w:t>以常见状态空间模型为例，假设下一时刻状态由当前状态决定，当前观测由真实状态产生。需要建立两种关系：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状态转移：p(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t−1</m:t>
            </m:r>
          </m:sub>
        </m:sSub>
        <m:r>
          <w:rPr>
            <w:rFonts w:ascii="Cambria Math" w:hAnsi="Cambria Math" w:eastAsia="宋体"/>
          </w:rPr>
          <m:t>)；观测关系：p(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)</m:t>
        </m:r>
      </m:oMath>
    </w:p>
    <w:p>
      <w:r>
        <w:rPr>
          <w:b w:val="0"/>
        </w:rPr>
        <w:t>这两个模型可以来自历史数据、物理机理、专家知识，或几者结合。以下是通用框架，并非三篇论文都采用完全相同的隐藏状态。</w:t>
      </w:r>
    </w:p>
    <w:p>
      <w:pPr>
        <w:pStyle w:val="Heading2"/>
      </w:pPr>
      <w:r>
        <w:t>第一步：在新观测到来前，预测当前状态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1:t−1</m:t>
            </m:r>
          </m:sub>
        </m:sSub>
        <m:r>
          <w:rPr>
            <w:rFonts w:ascii="Cambria Math" w:hAnsi="Cambria Math" w:eastAsia="宋体"/>
          </w:rPr>
          <m:t>) = ∫ 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t−1</m:t>
            </m:r>
          </m:sub>
        </m:sSub>
        <m:r>
          <w:rPr>
            <w:rFonts w:ascii="Cambria Math" w:hAnsi="Cambria Math" w:eastAsia="宋体"/>
          </w:rPr>
          <m:t>) 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t−1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1:t−1</m:t>
            </m:r>
          </m:sub>
        </m:sSub>
        <m:r>
          <w:rPr>
            <w:rFonts w:ascii="Cambria Math" w:hAnsi="Cambria Math" w:eastAsia="宋体"/>
          </w:rPr>
          <m:t>) d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t−1</m:t>
            </m:r>
          </m:sub>
        </m:sSub>
      </m:oMath>
    </w:p>
    <w:p>
      <w:r>
        <w:rPr>
          <w:b w:val="0"/>
        </w:rPr>
        <w:t>上一次可能处于多种状态，每种状态又可能发展到不同的新状态，把这些可能性加权汇总，就得到当前先验预测。状态为离散等级时，将积分换成求和。</w:t>
      </w:r>
    </w:p>
    <w:p>
      <w:pPr>
        <w:pStyle w:val="Heading2"/>
      </w:pPr>
      <w:r>
        <w:t>第二步：用新观测修正预测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p(</m:t>
        </m:r>
        <m:sSub>
          <m:e>
            <m:r>
              <w:rPr>
                <w:rFonts w:ascii="Cambria Math" w:hAnsi="Cambria Math" w:eastAsia="宋体"/>
              </w:rPr>
              <m:t>X</m:t>
            </m:r>
          </m:e>
          <m:sub>
            <m:r>
              <w:rPr>
                <w:rFonts w:ascii="Cambria Math" w:hAnsi="Cambria Math" w:eastAsia="宋体"/>
              </w:rPr>
              <m:t>t</m:t>
            </m:r>
          </m:sub>
        </m:sSub>
        <m:r>
          <w:rPr>
            <w:rFonts w:ascii="Cambria Math" w:hAnsi="Cambria Math" w:eastAsia="宋体"/>
          </w:rPr>
          <m:t> |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</m:t>
            </m:r>
          </m:sub>
        </m:sSub>
        <m:r>
          <w:rPr>
            <w:rFonts w:ascii="Cambria Math" w:hAnsi="Cambria Math" w:eastAsia="宋体"/>
          </w:rPr>
          <m:t>) = </m:t>
        </m:r>
        <m:f>
          <m:num>
            <m:r>
              <w:rPr>
                <w:rFonts w:ascii="Cambria Math" w:hAnsi="Cambria Math" w:eastAsia="宋体"/>
              </w:rPr>
              <m:t>p(</m:t>
            </m:r>
            <m:sSub>
              <m:e>
                <m:r>
                  <w:rPr>
                    <w:rFonts w:ascii="Cambria Math" w:hAnsi="Cambria Math" w:eastAsia="宋体"/>
                  </w:rPr>
                  <m:t>y</m:t>
                </m:r>
              </m:e>
              <m:sub>
                <m:r>
                  <w:rPr>
                    <w:rFonts w:ascii="Cambria Math" w:hAnsi="Cambria Math" w:eastAsia="宋体"/>
                  </w:rPr>
                  <m:t>t</m:t>
                </m:r>
              </m:sub>
            </m:sSub>
            <m:r>
              <w:rPr>
                <w:rFonts w:ascii="Cambria Math" w:hAnsi="Cambria Math" w:eastAsia="宋体"/>
              </w:rPr>
              <m:t> | </m:t>
            </m:r>
            <m:sSub>
              <m:e>
                <m:r>
                  <w:rPr>
                    <w:rFonts w:ascii="Cambria Math" w:hAnsi="Cambria Math" w:eastAsia="宋体"/>
                  </w:rPr>
                  <m:t>X</m:t>
                </m:r>
              </m:e>
              <m:sub>
                <m:r>
                  <w:rPr>
                    <w:rFonts w:ascii="Cambria Math" w:hAnsi="Cambria Math" w:eastAsia="宋体"/>
                  </w:rPr>
                  <m:t>t</m:t>
                </m:r>
              </m:sub>
            </m:sSub>
            <m:r>
              <w:rPr>
                <w:rFonts w:ascii="Cambria Math" w:hAnsi="Cambria Math" w:eastAsia="宋体"/>
              </w:rPr>
              <m:t>) p(</m:t>
            </m:r>
            <m:sSub>
              <m:e>
                <m:r>
                  <w:rPr>
                    <w:rFonts w:ascii="Cambria Math" w:hAnsi="Cambria Math" w:eastAsia="宋体"/>
                  </w:rPr>
                  <m:t>X</m:t>
                </m:r>
              </m:e>
              <m:sub>
                <m:r>
                  <w:rPr>
                    <w:rFonts w:ascii="Cambria Math" w:hAnsi="Cambria Math" w:eastAsia="宋体"/>
                  </w:rPr>
                  <m:t>t</m:t>
                </m:r>
              </m:sub>
            </m:sSub>
            <m:r>
              <w:rPr>
                <w:rFonts w:ascii="Cambria Math" w:hAnsi="Cambria Math" w:eastAsia="宋体"/>
              </w:rPr>
              <m:t> | </m:t>
            </m:r>
            <m:sSub>
              <m:e>
                <m:r>
                  <w:rPr>
                    <w:rFonts w:ascii="Cambria Math" w:hAnsi="Cambria Math" w:eastAsia="宋体"/>
                  </w:rPr>
                  <m:t>y</m:t>
                </m:r>
              </m:e>
              <m:sub>
                <m:r>
                  <w:rPr>
                    <w:rFonts w:ascii="Cambria Math" w:hAnsi="Cambria Math" w:eastAsia="宋体"/>
                  </w:rPr>
                  <m:t>1:t−1</m:t>
                </m:r>
              </m:sub>
            </m:sSub>
            <m:r>
              <w:rPr>
                <w:rFonts w:ascii="Cambria Math" w:hAnsi="Cambria Math" w:eastAsia="宋体"/>
              </w:rPr>
              <m:t>)</m:t>
            </m:r>
          </m:num>
          <m:den>
            <m:r>
              <w:rPr>
                <w:rFonts w:ascii="Cambria Math" w:hAnsi="Cambria Math" w:eastAsia="宋体"/>
              </w:rPr>
              <m:t>∫ p(</m:t>
            </m:r>
            <m:sSub>
              <m:e>
                <m:r>
                  <w:rPr>
                    <w:rFonts w:ascii="Cambria Math" w:hAnsi="Cambria Math" w:eastAsia="宋体"/>
                  </w:rPr>
                  <m:t>y</m:t>
                </m:r>
              </m:e>
              <m:sub>
                <m:r>
                  <w:rPr>
                    <w:rFonts w:ascii="Cambria Math" w:hAnsi="Cambria Math" w:eastAsia="宋体"/>
                  </w:rPr>
                  <m:t>t</m:t>
                </m:r>
              </m:sub>
            </m:sSub>
            <m:r>
              <w:rPr>
                <w:rFonts w:ascii="Cambria Math" w:hAnsi="Cambria Math" w:eastAsia="宋体"/>
              </w:rPr>
              <m:t> | x) p(x | </m:t>
            </m:r>
            <m:sSub>
              <m:e>
                <m:r>
                  <w:rPr>
                    <w:rFonts w:ascii="Cambria Math" w:hAnsi="Cambria Math" w:eastAsia="宋体"/>
                  </w:rPr>
                  <m:t>y</m:t>
                </m:r>
              </m:e>
              <m:sub>
                <m:r>
                  <w:rPr>
                    <w:rFonts w:ascii="Cambria Math" w:hAnsi="Cambria Math" w:eastAsia="宋体"/>
                  </w:rPr>
                  <m:t>1:t−1</m:t>
                </m:r>
              </m:sub>
            </m:sSub>
            <m:r>
              <w:rPr>
                <w:rFonts w:ascii="Cambria Math" w:hAnsi="Cambria Math" w:eastAsia="宋体"/>
              </w:rPr>
              <m:t>) dx</m:t>
            </m:r>
          </m:den>
        </m:f>
      </m:oMath>
    </w:p>
    <w:p>
      <w:r>
        <w:rPr>
          <w:b w:val="0"/>
        </w:rPr>
        <w:t>先看哪些状态原本比较可能，再看哪些状态更能解释新观测，两类信息共同决定后验。分母负责归一化，使全部状态的概率之和为 1。动态贝叶斯网络、隐马尔可夫模型和多种滤波方法都可以用这一思想理解，但具体结构和计算方法不同。</w:t>
      </w:r>
    </w:p>
    <w:p>
      <w:pPr>
        <w:pStyle w:val="Heading1"/>
      </w:pPr>
      <w:r>
        <w:t>四、用一个小例子理解：监测为什么能改变概率</w:t>
      </w:r>
    </w:p>
    <w:p>
      <w:r>
        <w:rPr>
          <w:b w:val="0"/>
        </w:rPr>
        <w:t>假设获取新读数之前，危险状态的概率为 10%。一种异常信号在危险状态下出现的概率为 80%，在正常状态下也有 20% 的概率出现。观察到这个信号后：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P(危险 | 异常) = </m:t>
        </m:r>
        <m:f>
          <m:num>
            <m:r>
              <w:rPr>
                <w:rFonts w:ascii="Cambria Math" w:hAnsi="Cambria Math" w:eastAsia="宋体"/>
              </w:rPr>
              <m:t>0.8 × 0.1</m:t>
            </m:r>
          </m:num>
          <m:den>
            <m:r>
              <w:rPr>
                <w:rFonts w:ascii="Cambria Math" w:hAnsi="Cambria Math" w:eastAsia="宋体"/>
              </w:rPr>
              <m:t>0.8 × 0.1 + 0.2 × 0.9</m:t>
            </m:r>
          </m:den>
        </m:f>
        <m:r>
          <w:rPr>
            <w:rFonts w:ascii="Cambria Math" w:hAnsi="Cambria Math" w:eastAsia="宋体"/>
          </w:rPr>
          <m:t> ≈ 30.8%</m:t>
        </m:r>
      </m:oMath>
    </w:p>
    <w:p>
      <w:r>
        <w:rPr>
          <w:b w:val="0"/>
        </w:rPr>
        <w:t>新证据使危险状态概率由 10% 上升到约 30.8%。这一教学算例说明：更新同时依赖原有判断和新证据；存在误报时，一次异常信号不足以确定真实状态；有意义的概率需要有依据的先验与观测模型。</w:t>
      </w:r>
    </w:p>
    <w:p>
      <w:r>
        <w:rPr>
          <w:b w:val="0"/>
        </w:rPr>
        <w:t>连续监测时，相邻读数可能高度相关。需要建模这种相关性，避免把重复信息误当成多份独立证据。</w:t>
      </w:r>
    </w:p>
    <w:p>
      <w:r>
        <w:br w:type="page"/>
      </w:r>
    </w:p>
    <w:p>
      <w:pPr>
        <w:pStyle w:val="Heading1"/>
      </w:pPr>
      <w:r>
        <w:t>五、有了当前认识，怎样得到未来风险概率？</w:t>
      </w:r>
    </w:p>
    <w:p>
      <w:r>
        <w:rPr>
          <w:b w:val="0"/>
        </w:rPr>
        <w:t>从当前状态到未来事件，主要可以沿两种思路建立桥梁。选择哪一种，取决于事件定义和可用的建模依据。</w:t>
      </w:r>
    </w:p>
    <w:p>
      <w:pPr>
        <w:pStyle w:val="Heading2"/>
      </w:pPr>
      <w:r>
        <w:t>路线 A：推演退化过程，计算首次进入危险区域的概率</w:t>
      </w:r>
    </w:p>
    <w:p>
      <w:r>
        <w:rPr>
          <w:b w:val="0"/>
        </w:rPr>
        <w:t>用 X 表示退化程度，规定首次达到阈值 c 时发生失效。事件时间定义为：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T = inf{s : X(s) ≥ c}</m:t>
        </m:r>
      </m:oMath>
    </w:p>
    <w:p>
      <w:r>
        <w:rPr>
          <w:b w:val="0"/>
        </w:rPr>
        <w:t>在当前尚未失效的条件下，未来窗口内的失效概率为：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P(T ≤ t + Δ | T &gt; t, </m:t>
        </m:r>
        <m:sSub>
          <m:e>
            <m:r>
              <w:rPr>
                <w:rFonts w:ascii="Cambria Math" w:hAnsi="Cambria Math" w:eastAsia="宋体"/>
              </w:rPr>
              <m:t>y</m:t>
            </m:r>
          </m:e>
          <m:sub>
            <m:r>
              <w:rPr>
                <w:rFonts w:ascii="Cambria Math" w:hAnsi="Cambria Math" w:eastAsia="宋体"/>
              </w:rPr>
              <m:t>1:t</m:t>
            </m:r>
          </m:sub>
        </m:sSub>
        <m:r>
          <w:rPr>
            <w:rFonts w:ascii="Cambria Math" w:hAnsi="Cambria Math" w:eastAsia="宋体"/>
          </w:rPr>
          <m:t>)</m:t>
        </m:r>
      </m:oMath>
    </w:p>
    <w:p>
      <w:r>
        <w:rPr>
          <w:b w:val="0"/>
        </w:rPr>
        <w:t>从当前状态的条件分布出发，计算或模拟可能的未来轨迹。如果 M 条具有正确预测权重的等权模拟轨迹中，有 K 条在未来窗口内首次越界，则可估计：</w:t>
      </w:r>
    </w:p>
    <w:p>
      <w:pPr>
        <w:spacing w:before="100" w:after="180"/>
        <w:jc w:val="center"/>
      </w:pPr>
      <m:oMath>
        <m:acc>
          <m:accPr>
            <m:chr m:val="̂"/>
          </m:accPr>
          <m:e>
            <m:r>
              <w:rPr>
                <w:rFonts w:ascii="Cambria Math" w:hAnsi="Cambria Math" w:eastAsia="宋体"/>
              </w:rPr>
              <m:t>r</m:t>
            </m:r>
          </m:e>
        </m:acc>
        <m:r>
          <w:rPr>
            <w:rFonts w:ascii="Cambria Math" w:hAnsi="Cambria Math" w:eastAsia="宋体"/>
          </w:rPr>
          <m:t>(t, Δ) = K / M</m:t>
        </m:r>
      </m:oMath>
    </w:p>
    <w:p>
      <w:r>
        <w:rPr>
          <w:b w:val="0"/>
        </w:rPr>
        <w:t>必须检查整段轨迹是否越界。若过程允许回落或状态恢复，只检查窗口终点是否超过阈值，会漏掉中途进入危险状态后又退出的情况。</w:t>
      </w:r>
    </w:p>
    <w:p>
      <w:r>
        <w:rPr>
          <w:b w:val="0"/>
        </w:rPr>
        <w:t>P06 提供了“退化漂移更新 → 剩余寿命分布”的具体方法。得到剩余寿命 L 的分布后，窗口失效概率就是其累积分布：</w:t>
      </w:r>
    </w:p>
    <w:p>
      <w:pPr>
        <w:spacing w:before="100" w:after="180"/>
        <w:jc w:val="center"/>
      </w:pPr>
      <m:oMath>
        <m:r>
          <w:rPr>
            <w:rFonts w:ascii="Cambria Math" w:hAnsi="Cambria Math" w:eastAsia="宋体"/>
          </w:rPr>
          <m:t>P(L ≤ Δ | 历史) = </m:t>
        </m:r>
        <m:nary>
          <m:naryPr>
            <m:chr m:val="∫"/>
          </m:naryPr>
          <m:sub>
            <m:r>
              <w:rPr>
                <w:rFonts w:ascii="Cambria Math" w:hAnsi="Cambria Math" w:eastAsia="宋体"/>
              </w:rPr>
              <m:t>0</m:t>
            </m:r>
          </m:sub>
          <m:sup>
            <m:r>
              <w:rPr>
                <w:rFonts w:ascii="Cambria Math" w:hAnsi="Cambria Math" w:eastAsia="宋体"/>
              </w:rPr>
              <m:t>Δ</m:t>
            </m:r>
          </m:sup>
          <m:e>
            <m:r>
              <w:rPr>
                <w:rFonts w:ascii="Cambria Math" w:hAnsi="Cambria Math" w:eastAsia="宋体"/>
              </w:rPr>
              <m:t>f(ℓ | 历史) dℓ</m:t>
            </m:r>
          </m:e>
        </m:nary>
      </m:oMath>
    </w:p>
    <w:p>
      <w:r>
        <w:rPr>
          <w:b w:val="0"/>
        </w:rPr>
        <w:t>P06 的隐含漂移通过递归滤波更新，其他参数还通过 EM 估计；其广义非线性模型的寿命密度使用近似解析表达。P03 则提供多状态演化的建模路线，主要预测未来时点各状态的占据概率。</w:t>
      </w:r>
    </w:p>
    <w:p>
      <w:pPr>
        <w:pStyle w:val="Heading2"/>
      </w:pPr>
      <w:r>
        <w:t>路线 B：将监测轨迹连接事件强度，再转换成窗口概率</w:t>
      </w:r>
    </w:p>
    <w:p>
      <w:r>
        <w:rPr>
          <w:b w:val="0"/>
        </w:rPr>
        <w:t>P14 先用纵向模型估计潜在监测轨迹 mᵢ(s)，再通过事件时间模型把轨迹连接到风险率：</w:t>
      </w:r>
    </w:p>
    <w:p>
      <w:pPr>
        <w:spacing w:before="100" w:after="180"/>
        <w:jc w:val="center"/>
      </w:pPr>
      <m:oMath>
        <m:sSub>
          <m:e>
            <m:r>
              <w:rPr>
                <w:rFonts w:ascii="Cambria Math" w:hAnsi="Cambria Math" w:eastAsia="宋体"/>
              </w:rPr>
              <m:t>λ</m:t>
            </m:r>
          </m:e>
          <m:sub>
            <m:r>
              <w:rPr>
                <w:rFonts w:ascii="Cambria Math" w:hAnsi="Cambria Math" w:eastAsia="宋体"/>
              </w:rPr>
              <m:t>i</m:t>
            </m:r>
          </m:sub>
        </m:sSub>
        <m:r>
          <w:rPr>
            <w:rFonts w:ascii="Cambria Math" w:hAnsi="Cambria Math" w:eastAsia="宋体"/>
          </w:rPr>
          <m:t>(s) = </m:t>
        </m:r>
        <m:sSub>
          <m:e>
            <m:r>
              <w:rPr>
                <w:rFonts w:ascii="Cambria Math" w:hAnsi="Cambria Math" w:eastAsia="宋体"/>
              </w:rPr>
              <m:t>λ</m:t>
            </m:r>
          </m:e>
          <m:sub>
            <m:r>
              <w:rPr>
                <w:rFonts w:ascii="Cambria Math" w:hAnsi="Cambria Math" w:eastAsia="宋体"/>
              </w:rPr>
              <m:t>0</m:t>
            </m:r>
          </m:sub>
        </m:sSub>
        <m:r>
          <w:rPr>
            <w:rFonts w:ascii="Cambria Math" w:hAnsi="Cambria Math" w:eastAsia="宋体"/>
          </w:rPr>
          <m:t>(s) exp{</m:t>
        </m:r>
        <m:sSup>
          <m:e>
            <m:r>
              <w:rPr>
                <w:rFonts w:ascii="Cambria Math" w:hAnsi="Cambria Math" w:eastAsia="宋体"/>
              </w:rPr>
              <m:t>γ</m:t>
            </m:r>
          </m:e>
          <m:sup>
            <m:r>
              <w:rPr>
                <w:rFonts w:ascii="Cambria Math" w:hAnsi="Cambria Math" w:eastAsia="宋体"/>
              </w:rPr>
              <m:t>T</m:t>
            </m:r>
          </m:sup>
        </m:sSup>
        <m:r>
          <w:rPr>
            <w:rFonts w:ascii="Cambria Math" w:hAnsi="Cambria Math" w:eastAsia="宋体"/>
          </w:rPr>
          <m:t> </m:t>
        </m:r>
        <m:sSub>
          <m:e>
            <m:r>
              <w:rPr>
                <w:rFonts w:ascii="Cambria Math" w:hAnsi="Cambria Math" w:eastAsia="宋体"/>
              </w:rPr>
              <m:t>w</m:t>
            </m:r>
          </m:e>
          <m:sub>
            <m:r>
              <w:rPr>
                <w:rFonts w:ascii="Cambria Math" w:hAnsi="Cambria Math" w:eastAsia="宋体"/>
              </w:rPr>
              <m:t>i</m:t>
            </m:r>
          </m:sub>
        </m:sSub>
        <m:r>
          <w:rPr>
            <w:rFonts w:ascii="Cambria Math" w:hAnsi="Cambria Math" w:eastAsia="宋体"/>
          </w:rPr>
          <m:t>(s) + α </m:t>
        </m:r>
        <m:sSub>
          <m:e>
            <m:r>
              <w:rPr>
                <w:rFonts w:ascii="Cambria Math" w:hAnsi="Cambria Math" w:eastAsia="宋体"/>
              </w:rPr>
              <m:t>m</m:t>
            </m:r>
          </m:e>
          <m:sub>
            <m:r>
              <w:rPr>
                <w:rFonts w:ascii="Cambria Math" w:hAnsi="Cambria Math" w:eastAsia="宋体"/>
              </w:rPr>
              <m:t>i</m:t>
            </m:r>
          </m:sub>
        </m:sSub>
        <m:r>
          <w:rPr>
            <w:rFonts w:ascii="Cambria Math" w:hAnsi="Cambria Math" w:eastAsia="宋体"/>
          </w:rPr>
          <m:t>(s)}</m:t>
        </m:r>
      </m:oMath>
    </w:p>
    <w:p>
      <w:r>
        <w:rPr>
          <w:b w:val="0"/>
        </w:rPr>
        <w:t>风险率是单位时间内的事件发生强度。由生存函数可得，在给定模型参数与个体效应时：</w:t>
      </w:r>
    </w:p>
    <w:p>
      <w:pPr>
        <w:spacing w:before="100" w:after="180"/>
        <w:jc w:val="center"/>
      </w:pPr>
      <m:oMath>
        <m:sSub>
          <m:e>
            <m:r>
              <w:rPr>
                <w:rFonts w:ascii="Cambria Math" w:hAnsi="Cambria Math" w:eastAsia="宋体"/>
              </w:rPr>
              <m:t>r</m:t>
            </m:r>
          </m:e>
          <m:sub>
            <m:r>
              <w:rPr>
                <w:rFonts w:ascii="Cambria Math" w:hAnsi="Cambria Math" w:eastAsia="宋体"/>
              </w:rPr>
              <m:t>i</m:t>
            </m:r>
          </m:sub>
        </m:sSub>
        <m:r>
          <w:rPr>
            <w:rFonts w:ascii="Cambria Math" w:hAnsi="Cambria Math" w:eastAsia="宋体"/>
          </w:rPr>
          <m:t>(t, Δ) = 1 − exp[−</m:t>
        </m:r>
        <m:nary>
          <m:naryPr>
            <m:chr m:val="∫"/>
          </m:naryPr>
          <m:sub>
            <m:r>
              <w:rPr>
                <w:rFonts w:ascii="Cambria Math" w:hAnsi="Cambria Math" w:eastAsia="宋体"/>
              </w:rPr>
              <m:t>t</m:t>
            </m:r>
          </m:sub>
          <m:sup>
            <m:r>
              <w:rPr>
                <w:rFonts w:ascii="Cambria Math" w:hAnsi="Cambria Math" w:eastAsia="宋体"/>
              </w:rPr>
              <m:t>t+Δ</m:t>
            </m:r>
          </m:sup>
          <m:e>
            <m:sSub>
              <m:e>
                <m:r>
                  <w:rPr>
                    <w:rFonts w:ascii="Cambria Math" w:hAnsi="Cambria Math" w:eastAsia="宋体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</w:rPr>
                  <m:t>i</m:t>
                </m:r>
              </m:sub>
            </m:sSub>
            <m:r>
              <w:rPr>
                <w:rFonts w:ascii="Cambria Math" w:hAnsi="Cambria Math" w:eastAsia="宋体"/>
              </w:rPr>
              <m:t>(s) ds</m:t>
            </m:r>
          </m:e>
        </m:nary>
        <m:r>
          <w:rPr>
            <w:rFonts w:ascii="Cambria Math" w:hAnsi="Cambria Math" w:eastAsia="宋体"/>
          </w:rPr>
          <m:t>]</m:t>
        </m:r>
      </m:oMath>
    </w:p>
    <w:p>
      <w:r>
        <w:rPr>
          <w:b w:val="0"/>
        </w:rPr>
        <w:t>实际预测还要对未知参数与个体效应的不确定性做平均，并可由对应概率样本计算可信区间。这条路线需要监测与事件／删失记录共同支撑关联估计。</w:t>
      </w:r>
    </w:p>
    <w:p>
      <w:r>
        <w:rPr>
          <w:b/>
        </w:rPr>
        <w:t>两条路线分别通过“退化首次越界”或“事件风险率”连接监测与失效，不能仅凭一个监测异常数值直接得到可靠的绝对失效概率。</w:t>
      </w:r>
    </w:p>
    <w:p>
      <w:r>
        <w:br w:type="page"/>
      </w:r>
    </w:p>
    <w:p>
      <w:pPr>
        <w:pStyle w:val="Heading1"/>
      </w:pPr>
      <w:r>
        <w:t>六、是不是每来一个数据，都需要重新训练模型？</w:t>
      </w:r>
    </w:p>
    <w:p>
      <w:r>
        <w:rPr>
          <w:b w:val="0"/>
        </w:rPr>
        <w:t>通常需要区分总体规律学习和个体在线更新两个层次。它们可以采用不同的执行频率。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环节</w:t>
            </w:r>
          </w:p>
        </w:tc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主要作用</w:t>
            </w:r>
          </w:p>
        </w:tc>
        <w:tc>
          <w:tcPr>
            <w:tcW w:type="dxa" w:w="3099"/>
          </w:tcPr>
          <w:p>
            <w:pPr>
              <w:spacing w:after="100" w:line="276" w:lineRule="auto"/>
            </w:pPr>
            <w:r>
              <w:rPr>
                <w:sz w:val="20"/>
              </w:rPr>
              <w:t>常见执行时机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模型学习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学习观测关系、状态转移规律，或监测与事件的关联。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利用历史数据训练，之后按需要校准。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在线更新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利用新增观测更新当前个体的状态或个体效应，再预测未来。</w:t>
            </w:r>
          </w:p>
        </w:tc>
        <w:tc>
          <w:tcPr>
            <w:tcW w:type="dxa" w:w="309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每次或每批监测到来时。</w:t>
            </w:r>
          </w:p>
        </w:tc>
      </w:tr>
    </w:tbl>
    <w:p>
      <w:r>
        <w:rPr>
          <w:b w:val="0"/>
        </w:rPr>
        <w:t>在线运行可以复用已经学到的总体规律，仅更新当前对象的概率判断。出现长期工况变化或模型失配时，再考虑更新总体参数。</w:t>
      </w:r>
    </w:p>
    <w:p>
      <w:r>
        <w:rPr>
          <w:b w:val="0"/>
        </w:rPr>
        <w:t>文献差异需要保留：P14 的典型动态预测复用训练所得总体参数后验，再更新目标个体认识；P06 还在线使用 EM 更新模型参数。P06 的参数估计使用截至当前的历史数据，不能理解为所有计算都只处理最新一个点。</w:t>
      </w:r>
    </w:p>
    <w:p>
      <w:r>
        <w:rPr>
          <w:b w:val="0"/>
        </w:rPr>
        <w:t>“实时”能否实现，取决于模型规模、采样频率、计算方法和允许时延。具备递推结构并不自动保证满足某个工程响应时间要求。</w:t>
      </w:r>
    </w:p>
    <w:p>
      <w:pPr>
        <w:pStyle w:val="Heading1"/>
      </w:pPr>
      <w:r>
        <w:t>七、目前向老师讲到什么程度最合适？</w:t>
      </w:r>
    </w:p>
    <w:p>
      <w:r>
        <w:rPr>
          <w:b w:val="0"/>
        </w:rPr>
        <w:t>这次先形成一份方法能力说明，围绕四个问题展开：</w:t>
      </w:r>
    </w:p>
    <w:p>
      <w:pPr>
        <w:pStyle w:val="ListBullet"/>
      </w:pPr>
      <w:r>
        <w:t>为什么输出概率？真实状态不可完全观测，测量、个体差异和未来演化存在不确定性。</w:t>
      </w:r>
    </w:p>
    <w:p>
      <w:pPr>
        <w:pStyle w:val="ListBullet"/>
      </w:pPr>
      <w:r>
        <w:t>新监测怎样改变概率？通过状态预测和贝叶斯更新，把旧认识与新证据结合。</w:t>
      </w:r>
    </w:p>
    <w:p>
      <w:pPr>
        <w:pStyle w:val="ListBullet"/>
      </w:pPr>
      <w:r>
        <w:t>当前状态怎样连接未来事件？通过状态演化与首次越界，或事件风险率与生存概率。</w:t>
      </w:r>
    </w:p>
    <w:p>
      <w:pPr>
        <w:pStyle w:val="ListBullet"/>
      </w:pPr>
      <w:r>
        <w:t>概率怎样用于风险识别？输出当前状态概率或未来事件概率，再结合后果和误报、漏报代价制定预警规则。</w:t>
      </w:r>
    </w:p>
    <w:p>
      <w:r>
        <w:rPr>
          <w:b w:val="0"/>
        </w:rPr>
        <w:t>阅读三篇文献时，各抓住一个核心问题：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</w:tcPr>
          <w:p>
            <w:pPr>
              <w:spacing w:after="100" w:line="276" w:lineRule="auto"/>
            </w:pPr>
            <w:r>
              <w:rPr>
                <w:sz w:val="20"/>
              </w:rPr>
              <w:t>文献</w:t>
            </w:r>
          </w:p>
        </w:tc>
        <w:tc>
          <w:tcPr>
            <w:tcW w:type="dxa" w:w="4649"/>
          </w:tcPr>
          <w:p>
            <w:pPr>
              <w:spacing w:after="100" w:line="276" w:lineRule="auto"/>
            </w:pPr>
            <w:r>
              <w:rPr>
                <w:sz w:val="20"/>
              </w:rPr>
              <w:t>优先理解的问题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P06：退化滤波与在线剩余寿命</w:t>
            </w:r>
          </w:p>
        </w:tc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新观测更新了什么？更新后的漂移分布如何影响剩余寿命？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P14：动态联合模型与可信区间</w:t>
            </w:r>
          </w:p>
        </w:tc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监测轨迹如何连接事件风险率？概率及其可信区间怎样计算？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P03：纵向监测与多状态等级演化</w:t>
            </w:r>
          </w:p>
        </w:tc>
        <w:tc>
          <w:tcPr>
            <w:tcW w:type="dxa" w:w="4649"/>
            <w:vAlign w:val="center"/>
          </w:tcPr>
          <w:p>
            <w:pPr>
              <w:spacing w:after="100" w:line="276" w:lineRule="auto"/>
            </w:pPr>
            <w:r>
              <w:rPr>
                <w:sz w:val="20"/>
              </w:rPr>
              <w:t>监测怎样影响状态转移？未来各等级的概率怎样得到？</w:t>
            </w:r>
          </w:p>
        </w:tc>
      </w:tr>
    </w:tbl>
    <w:p>
      <w:r>
        <w:rPr>
          <w:b w:val="0"/>
        </w:rPr>
        <w:t>还要区分区间对象：剩余寿命区间描述时间，概率可信区间描述概率的不确定性，回归系数区间描述参数。三者不能互换。</w:t>
      </w:r>
    </w:p>
    <w:p>
      <w:r>
        <w:rPr>
          <w:b/>
        </w:rPr>
        <w:t>给老师的一段概括</w:t>
      </w:r>
    </w:p>
    <w:p>
      <w:r>
        <w:rPr>
          <w:b w:val="0"/>
        </w:rPr>
        <w:t>我们希望建立一个随监测持续更新的概率模型。新观测先修正对当前状态或退化趋势的认识，再由演化模型推到未来。关心失效时，计算未来窗口内的失效概率；关心等级时，计算未来各等级的状态概率。最后结合后果和决策代价形成预警规则。</w:t>
      </w:r>
    </w:p>
    <w:p>
      <w:r>
        <w:rPr>
          <w:b/>
        </w:rPr>
        <w:t>当前需要补齐的是项目中的方法知识；是否构成文献研究空白，仍需进一步比较已有工作。</w:t>
      </w:r>
    </w:p>
    <w:p>
      <w:r>
        <w:rPr>
          <w:b w:val="0"/>
        </w:rPr>
        <w:t>参考依据：P06，Reliability Engineering &amp; System Safety 217 (2022), 108099；P14，International Journal of Epidemiology 50(5) (2021), 1731–1743；P03，Biostatistics 27(1) (2026), kxag018。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87084"/>
      </w:rPr>
      <w:t>方法原理讨论｜动态监测与概率风险识别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00"/>
      <w:contextualSpacing/>
    </w:pPr>
    <w:rPr>
      <w:rFonts w:asciiTheme="majorHAnsi" w:eastAsiaTheme="majorEastAsia" w:hAnsiTheme="majorHAnsi" w:cstheme="majorBidi" w:ascii="Calibri" w:hAnsi="Calibri" w:eastAsia="黑体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0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40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40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动态监测如何转化为风险概率：引言与七点总结</dc:title>
  <dc:subject>与导师讨论的方法框架；含可编辑 Word 公式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