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7CE0" w:rsidRDefault="008A7CE0" w:rsidP="008A7CE0">
      <w:pPr>
        <w:spacing w:line="200" w:lineRule="exact"/>
        <w:rPr>
          <w:sz w:val="20"/>
        </w:rPr>
      </w:pPr>
    </w:p>
    <w:p w:rsidR="008A7CE0" w:rsidRDefault="008A7CE0" w:rsidP="008A7CE0">
      <w:pPr>
        <w:spacing w:line="316" w:lineRule="exact"/>
        <w:rPr>
          <w:sz w:val="20"/>
        </w:rPr>
      </w:pPr>
    </w:p>
    <w:p w:rsidR="008A7CE0" w:rsidRPr="009F22A7" w:rsidRDefault="008A7CE0" w:rsidP="008A7CE0">
      <w:pPr>
        <w:widowControl/>
        <w:tabs>
          <w:tab w:val="left" w:pos="443"/>
        </w:tabs>
        <w:spacing w:line="352" w:lineRule="exact"/>
        <w:ind w:left="443"/>
        <w:jc w:val="center"/>
        <w:rPr>
          <w:rFonts w:ascii="黑体" w:eastAsia="黑体" w:hAnsi="黑体" w:cs="Arial"/>
          <w:b/>
          <w:bCs w:val="0"/>
          <w:sz w:val="32"/>
          <w:szCs w:val="32"/>
        </w:rPr>
      </w:pPr>
      <w:r w:rsidRPr="009F22A7">
        <w:rPr>
          <w:rFonts w:ascii="黑体" w:eastAsia="黑体" w:hAnsi="黑体" w:cs="Arial" w:hint="eastAsia"/>
          <w:b/>
          <w:sz w:val="32"/>
          <w:szCs w:val="32"/>
        </w:rPr>
        <w:t xml:space="preserve">第三章 </w:t>
      </w:r>
      <w:r w:rsidRPr="009F22A7">
        <w:rPr>
          <w:rFonts w:ascii="黑体" w:eastAsia="黑体" w:hAnsi="黑体" w:cs="Arial"/>
          <w:b/>
          <w:sz w:val="32"/>
          <w:szCs w:val="32"/>
        </w:rPr>
        <w:t xml:space="preserve">DIII-D </w:t>
      </w:r>
      <w:r w:rsidRPr="009F22A7">
        <w:rPr>
          <w:rFonts w:ascii="黑体" w:eastAsia="黑体" w:hAnsi="黑体" w:cs="宋体"/>
          <w:b/>
          <w:sz w:val="32"/>
          <w:szCs w:val="32"/>
        </w:rPr>
        <w:t>中低频不稳定性的线性模拟</w:t>
      </w:r>
    </w:p>
    <w:p w:rsidR="008A7CE0" w:rsidRDefault="008A7CE0" w:rsidP="008A7CE0">
      <w:pPr>
        <w:spacing w:line="200" w:lineRule="exact"/>
        <w:rPr>
          <w:sz w:val="20"/>
        </w:rPr>
      </w:pPr>
    </w:p>
    <w:p w:rsidR="008A7CE0" w:rsidRDefault="008A7CE0" w:rsidP="008A7CE0">
      <w:pPr>
        <w:spacing w:line="259" w:lineRule="exact"/>
        <w:rPr>
          <w:sz w:val="20"/>
        </w:rPr>
      </w:pPr>
    </w:p>
    <w:p w:rsidR="008A7CE0" w:rsidRPr="009F22A7" w:rsidRDefault="008A7CE0" w:rsidP="008A7CE0">
      <w:pPr>
        <w:tabs>
          <w:tab w:val="left" w:pos="562"/>
        </w:tabs>
        <w:spacing w:line="276" w:lineRule="exact"/>
        <w:ind w:left="3"/>
        <w:rPr>
          <w:rFonts w:ascii="黑体" w:eastAsia="黑体" w:hAnsi="黑体" w:hint="eastAsia"/>
          <w:sz w:val="28"/>
          <w:szCs w:val="28"/>
        </w:rPr>
      </w:pPr>
      <w:r w:rsidRPr="009F22A7">
        <w:rPr>
          <w:rFonts w:ascii="黑体" w:eastAsia="黑体" w:hAnsi="黑体" w:cs="Arial" w:hint="eastAsia"/>
          <w:b/>
          <w:sz w:val="28"/>
          <w:szCs w:val="28"/>
        </w:rPr>
        <w:t>3</w:t>
      </w:r>
      <w:r w:rsidRPr="009F22A7">
        <w:rPr>
          <w:rFonts w:ascii="黑体" w:eastAsia="黑体" w:hAnsi="黑体" w:cs="Arial"/>
          <w:b/>
          <w:sz w:val="28"/>
          <w:szCs w:val="28"/>
        </w:rPr>
        <w:t>.1</w:t>
      </w:r>
      <w:r w:rsidRPr="009F22A7">
        <w:rPr>
          <w:rFonts w:ascii="黑体" w:eastAsia="黑体" w:hAnsi="黑体"/>
          <w:sz w:val="28"/>
          <w:szCs w:val="28"/>
        </w:rPr>
        <w:tab/>
      </w:r>
      <w:r w:rsidRPr="009F22A7">
        <w:rPr>
          <w:rFonts w:ascii="黑体" w:eastAsia="黑体" w:hAnsi="黑体" w:cs="宋体" w:hint="eastAsia"/>
          <w:b/>
          <w:sz w:val="28"/>
          <w:szCs w:val="28"/>
        </w:rPr>
        <w:t>D</w:t>
      </w:r>
      <w:r w:rsidRPr="009F22A7">
        <w:rPr>
          <w:rFonts w:ascii="黑体" w:eastAsia="黑体" w:hAnsi="黑体" w:cs="宋体"/>
          <w:b/>
          <w:sz w:val="28"/>
          <w:szCs w:val="28"/>
        </w:rPr>
        <w:t>III-D</w:t>
      </w:r>
      <w:r w:rsidRPr="009F22A7">
        <w:rPr>
          <w:rFonts w:ascii="黑体" w:eastAsia="黑体" w:hAnsi="黑体" w:cs="宋体" w:hint="eastAsia"/>
          <w:b/>
          <w:sz w:val="28"/>
          <w:szCs w:val="28"/>
        </w:rPr>
        <w:t>以及实验位型</w:t>
      </w:r>
    </w:p>
    <w:p w:rsidR="008A7CE0" w:rsidRDefault="008A7CE0" w:rsidP="008A7CE0">
      <w:pPr>
        <w:spacing w:line="379" w:lineRule="exact"/>
        <w:rPr>
          <w:sz w:val="20"/>
        </w:rPr>
      </w:pP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9F22A7">
        <w:rPr>
          <w:rFonts w:cs="Arial"/>
          <w:sz w:val="24"/>
          <w:szCs w:val="24"/>
        </w:rPr>
        <w:t xml:space="preserve">DIII-D </w:t>
      </w:r>
      <w:r w:rsidRPr="009F22A7">
        <w:rPr>
          <w:rFonts w:cs="宋体"/>
          <w:sz w:val="24"/>
          <w:szCs w:val="24"/>
        </w:rPr>
        <w:t>是</w:t>
      </w:r>
      <w:r w:rsidRPr="009F22A7">
        <w:rPr>
          <w:rFonts w:cs="Arial"/>
          <w:sz w:val="24"/>
          <w:szCs w:val="24"/>
        </w:rPr>
        <w:t xml:space="preserve"> 1980 </w:t>
      </w:r>
      <w:r w:rsidRPr="009F22A7">
        <w:rPr>
          <w:rFonts w:cs="宋体"/>
          <w:sz w:val="24"/>
          <w:szCs w:val="24"/>
        </w:rPr>
        <w:t>年代位于美国圣地亚哥的通用原子能公司（</w:t>
      </w:r>
      <w:r>
        <w:rPr>
          <w:rFonts w:cs="Arial"/>
          <w:sz w:val="24"/>
          <w:szCs w:val="24"/>
        </w:rPr>
        <w:t xml:space="preserve">General </w:t>
      </w:r>
      <w:proofErr w:type="spellStart"/>
      <w:proofErr w:type="gramStart"/>
      <w:r>
        <w:rPr>
          <w:rFonts w:cs="Arial"/>
          <w:sz w:val="24"/>
          <w:szCs w:val="24"/>
        </w:rPr>
        <w:t>Atomics,</w:t>
      </w:r>
      <w:r w:rsidRPr="009F22A7">
        <w:rPr>
          <w:rFonts w:cs="Arial"/>
          <w:sz w:val="24"/>
          <w:szCs w:val="24"/>
        </w:rPr>
        <w:t>GA</w:t>
      </w:r>
      <w:proofErr w:type="spellEnd"/>
      <w:proofErr w:type="gramEnd"/>
      <w:r w:rsidRPr="009F22A7">
        <w:rPr>
          <w:rFonts w:cs="Arial"/>
          <w:sz w:val="24"/>
          <w:szCs w:val="24"/>
        </w:rPr>
        <w:t xml:space="preserve">) </w:t>
      </w:r>
      <w:r w:rsidRPr="009F22A7">
        <w:rPr>
          <w:rFonts w:cs="宋体"/>
          <w:sz w:val="24"/>
          <w:szCs w:val="24"/>
        </w:rPr>
        <w:t>在</w:t>
      </w:r>
      <w:r w:rsidRPr="009F22A7">
        <w:rPr>
          <w:rFonts w:cs="Arial"/>
          <w:sz w:val="24"/>
          <w:szCs w:val="24"/>
        </w:rPr>
        <w:t xml:space="preserve"> Doublet III </w:t>
      </w:r>
      <w:r w:rsidRPr="009F22A7">
        <w:rPr>
          <w:rFonts w:cs="宋体"/>
          <w:sz w:val="24"/>
          <w:szCs w:val="24"/>
        </w:rPr>
        <w:t>装置的基础上建立的一个托卡马克，其主要目的是为托卡马克的设计优化建立物理基础，其等离子体截面呈</w:t>
      </w:r>
      <w:r w:rsidRPr="009F22A7">
        <w:rPr>
          <w:rFonts w:cs="Arial"/>
          <w:sz w:val="24"/>
          <w:szCs w:val="24"/>
        </w:rPr>
        <w:t xml:space="preserve">”D” </w:t>
      </w:r>
      <w:r w:rsidRPr="009F22A7">
        <w:rPr>
          <w:rFonts w:cs="宋体"/>
          <w:sz w:val="24"/>
          <w:szCs w:val="24"/>
        </w:rPr>
        <w:t>型。</w:t>
      </w:r>
      <w:r w:rsidRPr="009F22A7">
        <w:rPr>
          <w:rFonts w:cs="Arial"/>
          <w:sz w:val="24"/>
          <w:szCs w:val="24"/>
        </w:rPr>
        <w:t xml:space="preserve">DIII-D </w:t>
      </w:r>
      <w:r w:rsidRPr="009F22A7">
        <w:rPr>
          <w:rFonts w:cs="宋体"/>
          <w:sz w:val="24"/>
          <w:szCs w:val="24"/>
        </w:rPr>
        <w:t>代表了目前世界最先进磁约束聚变的技术水平，它最早使用中性粒子数注入手段加热等离子体，它可以精确并稳定地在一定范围内控制等离子体的形状和位置，图中展示了一些</w:t>
      </w:r>
      <w:r w:rsidRPr="009F22A7">
        <w:rPr>
          <w:rFonts w:cs="Arial"/>
          <w:sz w:val="24"/>
          <w:szCs w:val="24"/>
        </w:rPr>
        <w:t xml:space="preserve"> MHD </w:t>
      </w:r>
      <w:r w:rsidRPr="009F22A7">
        <w:rPr>
          <w:rFonts w:cs="宋体"/>
          <w:sz w:val="24"/>
          <w:szCs w:val="24"/>
        </w:rPr>
        <w:t>可以产生的</w:t>
      </w:r>
      <w:r w:rsidRPr="009F22A7">
        <w:rPr>
          <w:rFonts w:cs="Arial"/>
          <w:sz w:val="24"/>
          <w:szCs w:val="24"/>
        </w:rPr>
        <w:t xml:space="preserve"> MHD </w:t>
      </w:r>
      <w:r w:rsidRPr="009F22A7">
        <w:rPr>
          <w:rFonts w:cs="宋体"/>
          <w:sz w:val="24"/>
          <w:szCs w:val="24"/>
        </w:rPr>
        <w:t>平衡截面。</w:t>
      </w: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9F22A7">
        <w:rPr>
          <w:rFonts w:cs="宋体"/>
          <w:sz w:val="24"/>
          <w:szCs w:val="24"/>
        </w:rPr>
        <w:t>近几年在</w:t>
      </w:r>
      <w:r w:rsidRPr="009F22A7">
        <w:rPr>
          <w:rFonts w:cs="Arial"/>
          <w:sz w:val="24"/>
          <w:szCs w:val="24"/>
        </w:rPr>
        <w:t xml:space="preserve"> DIII-D </w:t>
      </w:r>
      <w:r w:rsidRPr="009F22A7">
        <w:rPr>
          <w:rFonts w:cs="宋体"/>
          <w:sz w:val="24"/>
          <w:szCs w:val="24"/>
        </w:rPr>
        <w:t>的实验中，发现了一些低频的不稳定性。前面已经提到了，在低频不稳定性爆发期间，系统损失了约</w:t>
      </w:r>
      <w:r w:rsidRPr="009F22A7">
        <w:rPr>
          <w:rFonts w:cs="Arial"/>
          <w:sz w:val="24"/>
          <w:szCs w:val="24"/>
        </w:rPr>
        <w:t xml:space="preserve"> 45% </w:t>
      </w:r>
      <w:r w:rsidRPr="009F22A7">
        <w:rPr>
          <w:rFonts w:cs="宋体"/>
          <w:sz w:val="24"/>
          <w:szCs w:val="24"/>
        </w:rPr>
        <w:t>的加热功率，而低频频率恰处在</w:t>
      </w:r>
      <w:r w:rsidRPr="009F22A7">
        <w:rPr>
          <w:rFonts w:cs="Arial"/>
          <w:sz w:val="24"/>
          <w:szCs w:val="24"/>
        </w:rPr>
        <w:t xml:space="preserve"> BAE </w:t>
      </w:r>
      <w:r w:rsidRPr="009F22A7">
        <w:rPr>
          <w:rFonts w:cs="宋体"/>
          <w:sz w:val="24"/>
          <w:szCs w:val="24"/>
        </w:rPr>
        <w:t>以及</w:t>
      </w:r>
      <w:r w:rsidRPr="009F22A7">
        <w:rPr>
          <w:rFonts w:cs="Arial"/>
          <w:sz w:val="24"/>
          <w:szCs w:val="24"/>
        </w:rPr>
        <w:t xml:space="preserve"> BAAE </w:t>
      </w:r>
      <w:r w:rsidRPr="009F22A7">
        <w:rPr>
          <w:rFonts w:cs="宋体"/>
          <w:sz w:val="24"/>
          <w:szCs w:val="24"/>
        </w:rPr>
        <w:t>频率段，这让引起了许多研究人员的密切关注。在第一章中我已经简要介绍了刘雅琪博士在这一方面的工作，现在我将接着刘雅琪博士的工作，继续使用</w:t>
      </w:r>
      <w:r w:rsidRPr="009F22A7">
        <w:rPr>
          <w:rFonts w:cs="Arial"/>
          <w:sz w:val="24"/>
          <w:szCs w:val="24"/>
        </w:rPr>
        <w:t xml:space="preserve"> GTC </w:t>
      </w:r>
      <w:r w:rsidRPr="009F22A7">
        <w:rPr>
          <w:rFonts w:cs="宋体"/>
          <w:sz w:val="24"/>
          <w:szCs w:val="24"/>
        </w:rPr>
        <w:t>对快粒子激发的低频不稳定性的线性模拟性模式进行模拟以及研究，并偏重于研究</w:t>
      </w:r>
      <w:r w:rsidRPr="009F22A7">
        <w:rPr>
          <w:rFonts w:cs="Arial"/>
          <w:sz w:val="24"/>
          <w:szCs w:val="24"/>
        </w:rPr>
        <w:t xml:space="preserve"> DIII-D </w:t>
      </w:r>
      <w:r w:rsidRPr="009F22A7">
        <w:rPr>
          <w:rFonts w:cs="宋体"/>
          <w:sz w:val="24"/>
          <w:szCs w:val="24"/>
        </w:rPr>
        <w:t>中的对应情况。</w:t>
      </w: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9F22A7">
        <w:rPr>
          <w:rFonts w:cs="宋体"/>
          <w:sz w:val="24"/>
          <w:szCs w:val="24"/>
        </w:rPr>
        <w:t>本章中模拟采用的数据来自</w:t>
      </w:r>
      <w:r w:rsidRPr="009F22A7">
        <w:rPr>
          <w:rFonts w:cs="Arial"/>
          <w:sz w:val="24"/>
          <w:szCs w:val="24"/>
        </w:rPr>
        <w:t xml:space="preserve"> DIII-D </w:t>
      </w:r>
      <w:r w:rsidRPr="009F22A7">
        <w:rPr>
          <w:rFonts w:cs="宋体"/>
          <w:sz w:val="24"/>
          <w:szCs w:val="24"/>
        </w:rPr>
        <w:t>第</w:t>
      </w:r>
      <w:r w:rsidRPr="009F22A7">
        <w:rPr>
          <w:rFonts w:cs="Arial"/>
          <w:sz w:val="24"/>
          <w:szCs w:val="24"/>
        </w:rPr>
        <w:t xml:space="preserve"> 146094 </w:t>
      </w:r>
      <w:r w:rsidRPr="009F22A7">
        <w:rPr>
          <w:rFonts w:cs="宋体"/>
          <w:sz w:val="24"/>
          <w:szCs w:val="24"/>
        </w:rPr>
        <w:t>次放电，</w:t>
      </w:r>
      <w:r w:rsidRPr="009F22A7">
        <w:rPr>
          <w:rFonts w:cs="Arial"/>
          <w:sz w:val="24"/>
          <w:szCs w:val="24"/>
        </w:rPr>
        <w:t xml:space="preserve">GTC </w:t>
      </w:r>
      <w:r w:rsidRPr="009F22A7">
        <w:rPr>
          <w:rFonts w:cs="宋体"/>
          <w:sz w:val="24"/>
          <w:szCs w:val="24"/>
        </w:rPr>
        <w:t>采用实验平衡数据（</w:t>
      </w:r>
      <w:r w:rsidRPr="009F22A7">
        <w:rPr>
          <w:rFonts w:cs="Arial"/>
          <w:sz w:val="24"/>
          <w:szCs w:val="24"/>
        </w:rPr>
        <w:t xml:space="preserve">EFIT) </w:t>
      </w:r>
      <w:r w:rsidRPr="009F22A7">
        <w:rPr>
          <w:rFonts w:cs="宋体"/>
          <w:sz w:val="24"/>
          <w:szCs w:val="24"/>
        </w:rPr>
        <w:t>用</w:t>
      </w:r>
      <w:r w:rsidRPr="009F22A7">
        <w:rPr>
          <w:rFonts w:cs="Arial"/>
          <w:sz w:val="24"/>
          <w:szCs w:val="24"/>
        </w:rPr>
        <w:t xml:space="preserve"> ORBIT</w:t>
      </w:r>
      <w:r w:rsidRPr="009F22A7">
        <w:rPr>
          <w:rFonts w:cs="宋体"/>
          <w:sz w:val="24"/>
          <w:szCs w:val="24"/>
        </w:rPr>
        <w:t>绘图代码转换成</w:t>
      </w:r>
      <w:r w:rsidRPr="009F22A7">
        <w:rPr>
          <w:rFonts w:cs="Arial"/>
          <w:sz w:val="24"/>
          <w:szCs w:val="24"/>
        </w:rPr>
        <w:t xml:space="preserve"> GTC </w:t>
      </w:r>
      <w:r w:rsidRPr="009F22A7">
        <w:rPr>
          <w:rFonts w:cs="宋体"/>
          <w:sz w:val="24"/>
          <w:szCs w:val="24"/>
        </w:rPr>
        <w:t>可以使用的输入数据。这次实验中，最不稳定的环向模数为</w:t>
      </w:r>
      <w:r w:rsidRPr="009F22A7">
        <w:rPr>
          <w:rFonts w:cs="Arial"/>
          <w:sz w:val="24"/>
          <w:szCs w:val="24"/>
        </w:rPr>
        <w:t xml:space="preserve"> n=2</w:t>
      </w:r>
      <w:r w:rsidRPr="009F22A7">
        <w:rPr>
          <w:rFonts w:cs="宋体"/>
          <w:sz w:val="24"/>
          <w:szCs w:val="24"/>
        </w:rPr>
        <w:t>，</w:t>
      </w:r>
      <w:r w:rsidRPr="009F22A7">
        <w:rPr>
          <w:rFonts w:cs="Arial"/>
          <w:sz w:val="24"/>
          <w:szCs w:val="24"/>
        </w:rPr>
        <w:t>4</w:t>
      </w:r>
      <w:r w:rsidRPr="009F22A7">
        <w:rPr>
          <w:rFonts w:cs="宋体"/>
          <w:sz w:val="24"/>
          <w:szCs w:val="24"/>
        </w:rPr>
        <w:t>，</w:t>
      </w:r>
      <w:r w:rsidRPr="009F22A7">
        <w:rPr>
          <w:rFonts w:cs="Arial"/>
          <w:sz w:val="24"/>
          <w:szCs w:val="24"/>
        </w:rPr>
        <w:t>6</w:t>
      </w:r>
      <w:r w:rsidRPr="009F22A7">
        <w:rPr>
          <w:rFonts w:cs="宋体"/>
          <w:sz w:val="24"/>
          <w:szCs w:val="24"/>
        </w:rPr>
        <w:t>，在</w:t>
      </w:r>
      <w:r w:rsidRPr="009F22A7">
        <w:rPr>
          <w:rFonts w:cs="Arial"/>
          <w:sz w:val="24"/>
          <w:szCs w:val="24"/>
        </w:rPr>
        <w:t xml:space="preserve">n=2 </w:t>
      </w:r>
      <w:r w:rsidRPr="009F22A7">
        <w:rPr>
          <w:rFonts w:cs="宋体"/>
          <w:sz w:val="24"/>
          <w:szCs w:val="24"/>
        </w:rPr>
        <w:t>的高频段，较宽的间隙可能存在离散的</w:t>
      </w:r>
      <w:r w:rsidRPr="009F22A7">
        <w:rPr>
          <w:rFonts w:cs="Arial"/>
          <w:sz w:val="24"/>
          <w:szCs w:val="24"/>
        </w:rPr>
        <w:t xml:space="preserve"> TAE </w:t>
      </w:r>
      <w:r w:rsidRPr="009F22A7">
        <w:rPr>
          <w:rFonts w:cs="宋体"/>
          <w:sz w:val="24"/>
          <w:szCs w:val="24"/>
        </w:rPr>
        <w:t>和</w:t>
      </w:r>
      <w:r w:rsidRPr="009F22A7">
        <w:rPr>
          <w:rFonts w:cs="Arial"/>
          <w:sz w:val="24"/>
          <w:szCs w:val="24"/>
        </w:rPr>
        <w:t xml:space="preserve"> RSAE </w:t>
      </w:r>
      <w:r w:rsidRPr="009F22A7">
        <w:rPr>
          <w:rFonts w:cs="宋体"/>
          <w:sz w:val="24"/>
          <w:szCs w:val="24"/>
        </w:rPr>
        <w:t>本征模（约</w:t>
      </w:r>
      <w:r w:rsidRPr="008A7CE0">
        <w:rPr>
          <w:rFonts w:cs="宋体"/>
          <w:sz w:val="24"/>
          <w:szCs w:val="24"/>
        </w:rPr>
        <w:t xml:space="preserve"> 70 90kHz </w:t>
      </w:r>
      <w:r w:rsidRPr="009F22A7">
        <w:rPr>
          <w:rFonts w:cs="宋体"/>
          <w:sz w:val="24"/>
          <w:szCs w:val="24"/>
        </w:rPr>
        <w:t>等离子体坐标系，或</w:t>
      </w:r>
      <w:r w:rsidRPr="008A7CE0">
        <w:rPr>
          <w:rFonts w:cs="宋体"/>
          <w:sz w:val="24"/>
          <w:szCs w:val="24"/>
        </w:rPr>
        <w:t xml:space="preserve">100 120kHz </w:t>
      </w:r>
      <w:r w:rsidRPr="009F22A7">
        <w:rPr>
          <w:rFonts w:cs="宋体"/>
          <w:sz w:val="24"/>
          <w:szCs w:val="24"/>
        </w:rPr>
        <w:t>实验坐标系），低频段（</w:t>
      </w:r>
      <w:r w:rsidRPr="008A7CE0">
        <w:rPr>
          <w:rFonts w:cs="宋体"/>
          <w:sz w:val="24"/>
          <w:szCs w:val="24"/>
        </w:rPr>
        <w:t>10 50kHz</w:t>
      </w:r>
      <w:r w:rsidRPr="009F22A7">
        <w:rPr>
          <w:rFonts w:cs="宋体"/>
          <w:sz w:val="24"/>
          <w:szCs w:val="24"/>
        </w:rPr>
        <w:t>）的</w:t>
      </w:r>
      <w:r w:rsidRPr="008A7CE0">
        <w:rPr>
          <w:rFonts w:cs="宋体"/>
          <w:sz w:val="24"/>
          <w:szCs w:val="24"/>
        </w:rPr>
        <w:tab/>
      </w:r>
      <w:r w:rsidRPr="009F22A7">
        <w:rPr>
          <w:rFonts w:cs="宋体"/>
          <w:sz w:val="24"/>
          <w:szCs w:val="24"/>
        </w:rPr>
        <w:t xml:space="preserve">间隙，可能存在离散的 </w:t>
      </w:r>
      <w:r w:rsidRPr="008A7CE0">
        <w:rPr>
          <w:rFonts w:cs="宋体"/>
          <w:sz w:val="24"/>
          <w:szCs w:val="24"/>
        </w:rPr>
        <w:t>BAE</w:t>
      </w:r>
      <w:r w:rsidRPr="009F22A7">
        <w:rPr>
          <w:rFonts w:cs="宋体"/>
          <w:sz w:val="24"/>
          <w:szCs w:val="24"/>
        </w:rPr>
        <w:t xml:space="preserve"> 和 </w:t>
      </w:r>
      <w:r w:rsidRPr="008A7CE0">
        <w:rPr>
          <w:rFonts w:cs="宋体"/>
          <w:sz w:val="24"/>
          <w:szCs w:val="24"/>
        </w:rPr>
        <w:t>BAAE</w:t>
      </w:r>
      <w:r w:rsidRPr="009F22A7">
        <w:rPr>
          <w:rFonts w:cs="宋体"/>
          <w:sz w:val="24"/>
          <w:szCs w:val="24"/>
        </w:rPr>
        <w:t xml:space="preserve"> 本征模，恰</w:t>
      </w:r>
      <w:r w:rsidRPr="003B4212">
        <w:rPr>
          <w:rFonts w:cs="宋体"/>
          <w:sz w:val="24"/>
          <w:szCs w:val="24"/>
        </w:rPr>
        <w:t xml:space="preserve">处于实验中低频不稳定性的频率范围。通过阿尔芬波声波连续谱，可以初步判断本征模所处的径向位置以及频率范围。在这一章所有的模拟中，我都将采用这一次放电的平衡剖面。在这次实验中，有效大半R0 = m，小半径 a = m，磁轴处磁场为 B0 =，磁轴处电子温度，电子密度，离子温度，离子密度，快粒子温度，快离子密度，比压值为。安全因子 q 呈剪切位型，最小值 </w:t>
      </w:r>
      <w:proofErr w:type="spellStart"/>
      <w:r w:rsidRPr="003B4212">
        <w:rPr>
          <w:rFonts w:cs="宋体"/>
          <w:sz w:val="24"/>
          <w:szCs w:val="24"/>
        </w:rPr>
        <w:t>qmin</w:t>
      </w:r>
      <w:proofErr w:type="spellEnd"/>
      <w:r w:rsidRPr="003B4212">
        <w:rPr>
          <w:rFonts w:cs="宋体"/>
          <w:sz w:val="24"/>
          <w:szCs w:val="24"/>
        </w:rPr>
        <w:t xml:space="preserve"> = 1</w:t>
      </w:r>
      <w:r>
        <w:rPr>
          <w:rFonts w:cs="宋体" w:hint="eastAsia"/>
          <w:sz w:val="24"/>
          <w:szCs w:val="24"/>
        </w:rPr>
        <w:t>.</w:t>
      </w:r>
      <w:r w:rsidRPr="003B4212">
        <w:rPr>
          <w:rFonts w:cs="宋体"/>
          <w:sz w:val="24"/>
          <w:szCs w:val="24"/>
        </w:rPr>
        <w:t>44。整体模拟所采用背景等离子体的平衡如图所示，快粒子面以及。</w:t>
      </w: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3B4212">
        <w:rPr>
          <w:rFonts w:cs="宋体"/>
          <w:sz w:val="24"/>
          <w:szCs w:val="24"/>
        </w:rPr>
        <w:t>我们先采用高能粒子（快粒子）在真实实验参数下</w:t>
      </w:r>
      <w:r>
        <w:rPr>
          <w:rFonts w:cs="宋体" w:hint="eastAsia"/>
          <w:sz w:val="24"/>
          <w:szCs w:val="24"/>
        </w:rPr>
        <w:t>对不稳定模式</w:t>
      </w:r>
      <w:r w:rsidRPr="003B4212">
        <w:rPr>
          <w:rFonts w:cs="宋体"/>
          <w:sz w:val="24"/>
          <w:szCs w:val="24"/>
        </w:rPr>
        <w:t>进行激发，在模拟开始之前，我们先对抗磁漂移频率以及坐标系之间频率关联作一定的计算。</w:t>
      </w:r>
    </w:p>
    <w:p w:rsidR="008A7CE0" w:rsidRPr="008A7CE0" w:rsidRDefault="008A7CE0" w:rsidP="008A7CE0">
      <w:pPr>
        <w:spacing w:line="360" w:lineRule="auto"/>
        <w:ind w:firstLine="432"/>
        <w:rPr>
          <w:rFonts w:cs="宋体" w:hint="eastAsia"/>
          <w:sz w:val="24"/>
          <w:szCs w:val="24"/>
        </w:rPr>
        <w:sectPr w:rsidR="008A7CE0" w:rsidRPr="008A7CE0">
          <w:pgSz w:w="11900" w:h="16838"/>
          <w:pgMar w:top="1440" w:right="1286" w:bottom="0" w:left="1417" w:header="0" w:footer="0" w:gutter="0"/>
          <w:cols w:space="720" w:equalWidth="0">
            <w:col w:w="9203"/>
          </w:cols>
        </w:sectPr>
      </w:pPr>
      <w:r w:rsidRPr="003B4212">
        <w:rPr>
          <w:rFonts w:cs="宋体"/>
          <w:sz w:val="24"/>
          <w:szCs w:val="24"/>
        </w:rPr>
        <w:t>注意 GTC 模拟是包含抗磁漂移效应</w:t>
      </w:r>
      <w:r>
        <w:rPr>
          <w:rFonts w:cs="宋体"/>
          <w:sz w:val="24"/>
          <w:szCs w:val="24"/>
        </w:rPr>
        <w:t>(</w:t>
      </w:r>
      <m:oMath>
        <m:sSub>
          <m:sSubPr>
            <m:ctrlPr>
              <w:rPr>
                <w:rFonts w:ascii="Cambria Math" w:hAnsi="Cambria Math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*</m:t>
            </m:r>
          </m:sub>
        </m:sSub>
      </m:oMath>
      <w:r>
        <w:rPr>
          <w:rFonts w:cs="宋体"/>
          <w:sz w:val="24"/>
          <w:szCs w:val="24"/>
        </w:rPr>
        <w:t>)</w:t>
      </w:r>
      <w:r w:rsidRPr="003B4212">
        <w:rPr>
          <w:rFonts w:cs="宋体"/>
          <w:sz w:val="24"/>
          <w:szCs w:val="24"/>
        </w:rPr>
        <w:t>的，实验室坐标下的频率</w:t>
      </w:r>
      <m:oMath>
        <m:sSub>
          <m:sSubPr>
            <m:ctrlPr>
              <w:rPr>
                <w:rFonts w:ascii="Cambria Math" w:hAnsi="Cambria Math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lab</m:t>
            </m:r>
          </m:sub>
        </m:sSub>
      </m:oMath>
      <w:r w:rsidRPr="003B4212">
        <w:rPr>
          <w:rFonts w:cs="宋体"/>
          <w:sz w:val="24"/>
          <w:szCs w:val="24"/>
        </w:rPr>
        <w:t>与等离子体坐标下的频率</w:t>
      </w:r>
      <m:oMath>
        <m:sSub>
          <m:sSubPr>
            <m:ctrlPr>
              <w:rPr>
                <w:rFonts w:ascii="Cambria Math" w:hAnsi="Cambria Math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plasma</m:t>
            </m:r>
          </m:sub>
        </m:sSub>
      </m:oMath>
      <w:r w:rsidRPr="003B4212">
        <w:rPr>
          <w:rFonts w:cs="宋体"/>
          <w:sz w:val="24"/>
          <w:szCs w:val="24"/>
        </w:rPr>
        <w:t>是有一定差别的，它们具体的解析关系</w:t>
      </w:r>
      <w:r>
        <w:rPr>
          <w:rFonts w:cs="宋体" w:hint="eastAsia"/>
          <w:sz w:val="24"/>
          <w:szCs w:val="24"/>
        </w:rPr>
        <w:t>暂</w:t>
      </w:r>
      <w:r w:rsidRPr="003B4212">
        <w:rPr>
          <w:rFonts w:cs="宋体"/>
          <w:sz w:val="24"/>
          <w:szCs w:val="24"/>
        </w:rPr>
        <w:t>不能清楚地写出，但是我们可以通过加减</w:t>
      </w:r>
      <m:oMath>
        <m:sSub>
          <m:sSubPr>
            <m:ctrlPr>
              <w:rPr>
                <w:rFonts w:ascii="Cambria Math" w:hAnsi="Cambria Math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="宋体"/>
                <w:sz w:val="24"/>
                <w:szCs w:val="24"/>
              </w:rPr>
              <m:t>*</m:t>
            </m:r>
          </m:sub>
        </m:sSub>
      </m:oMath>
      <w:r>
        <w:rPr>
          <w:rFonts w:cs="宋体"/>
          <w:sz w:val="24"/>
          <w:szCs w:val="24"/>
        </w:rPr>
        <w:t>的方式</w:t>
      </w:r>
      <w:r>
        <w:rPr>
          <w:rFonts w:cs="宋体" w:hint="eastAsia"/>
          <w:sz w:val="24"/>
          <w:szCs w:val="24"/>
        </w:rPr>
        <w:t>对它们之间的关系</w:t>
      </w:r>
      <w:r>
        <w:rPr>
          <w:rFonts w:cs="宋体"/>
          <w:sz w:val="24"/>
          <w:szCs w:val="24"/>
        </w:rPr>
        <w:t>来做简单的估计</w:t>
      </w:r>
      <w:r>
        <w:rPr>
          <w:rFonts w:cs="宋体" w:hint="eastAsia"/>
          <w:sz w:val="24"/>
          <w:szCs w:val="24"/>
        </w:rPr>
        <w:t>。</w:t>
      </w: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8A7CE0">
        <w:rPr>
          <w:rFonts w:cs="宋体"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0" allowOverlap="1" wp14:anchorId="22CB9247" wp14:editId="76B77D83">
            <wp:simplePos x="0" y="0"/>
            <wp:positionH relativeFrom="margin">
              <wp:align>center</wp:align>
            </wp:positionH>
            <wp:positionV relativeFrom="margin">
              <wp:posOffset>200025</wp:posOffset>
            </wp:positionV>
            <wp:extent cx="5187950" cy="507111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950" cy="5071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spacing w:line="360" w:lineRule="auto"/>
        <w:rPr>
          <w:rFonts w:cs="宋体"/>
          <w:sz w:val="24"/>
          <w:szCs w:val="24"/>
        </w:rPr>
      </w:pPr>
      <w:r w:rsidRPr="008A7CE0">
        <w:rPr>
          <w:rFonts w:cs="宋体" w:hint="eastAsia"/>
          <w:sz w:val="24"/>
          <w:szCs w:val="24"/>
        </w:rPr>
        <w:t>图3.1</w:t>
      </w:r>
      <w:r w:rsidRPr="008A7CE0">
        <w:rPr>
          <w:rFonts w:cs="宋体"/>
          <w:sz w:val="24"/>
          <w:szCs w:val="24"/>
        </w:rPr>
        <w:t xml:space="preserve"> DIII-D</w:t>
      </w:r>
      <w:r w:rsidRPr="008A7CE0">
        <w:rPr>
          <w:rFonts w:cs="宋体" w:hint="eastAsia"/>
          <w:sz w:val="24"/>
          <w:szCs w:val="24"/>
        </w:rPr>
        <w:t>中可以产生的MHD平衡截面</w:t>
      </w: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  <w:r w:rsidRPr="008A7CE0">
        <w:rPr>
          <w:rFonts w:cs="宋体"/>
          <w:sz w:val="24"/>
          <w:szCs w:val="24"/>
        </w:rPr>
        <w:t>考虑热离子和快离子的压强梯度（包括密度梯度和温度梯度效应）</w:t>
      </w:r>
    </w:p>
    <w:p w:rsidR="008A7CE0" w:rsidRDefault="008A7CE0" w:rsidP="008A7CE0">
      <w:pPr>
        <w:spacing w:line="360" w:lineRule="auto"/>
        <w:ind w:firstLine="432"/>
        <w:rPr>
          <w:rFonts w:cs="宋体"/>
          <w:sz w:val="24"/>
          <w:szCs w:val="24"/>
        </w:rPr>
      </w:pPr>
    </w:p>
    <w:p w:rsidR="008A7CE0" w:rsidRPr="008A7CE0" w:rsidRDefault="008A7CE0" w:rsidP="008A7CE0">
      <w:pPr>
        <w:pStyle w:val="formula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∇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θ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8A7CE0" w:rsidRPr="008A7CE0" w:rsidRDefault="008A7CE0" w:rsidP="008A7CE0">
      <w:pPr>
        <w:pStyle w:val="formula"/>
        <w:rPr>
          <w:rFonts w:hint="eastAsia"/>
        </w:rPr>
      </w:pPr>
      <w:r>
        <w:tab/>
      </w:r>
      <m:oMath>
        <m:r>
          <m:rPr>
            <m:sty m:val="p"/>
          </m:rPr>
          <w:rPr>
            <w:rFonts w:ascii="Cambria Math" w:hAnsi="Cambria Math"/>
          </w:rPr>
          <m:t xml:space="preserve">                 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of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oi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of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</m:oMath>
      <w:r>
        <w:tab/>
      </w:r>
      <w:r>
        <w:rPr>
          <w:rFonts w:hint="eastAsia"/>
        </w:rPr>
        <w:t>(3.1)</w:t>
      </w:r>
    </w:p>
    <w:p w:rsidR="008A7CE0" w:rsidRPr="008A7CE0" w:rsidRDefault="008A7CE0" w:rsidP="008A7CE0">
      <w:pPr>
        <w:pStyle w:val="formula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*α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×∇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α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</m:oMath>
      </m:oMathPara>
    </w:p>
    <w:p w:rsidR="008A7CE0" w:rsidRDefault="008A7CE0">
      <w:pPr>
        <w:rPr>
          <w:rFonts w:hint="eastAsia"/>
        </w:rPr>
      </w:pPr>
      <w:bookmarkStart w:id="0" w:name="_GoBack"/>
      <w:bookmarkEnd w:id="0"/>
    </w:p>
    <w:sectPr w:rsidR="008A7C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F6B"/>
    <w:rsid w:val="00685F6B"/>
    <w:rsid w:val="008A7CE0"/>
    <w:rsid w:val="00A16969"/>
    <w:rsid w:val="00E95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6D830"/>
  <w15:chartTrackingRefBased/>
  <w15:docId w15:val="{28F59E8B-B347-4C0F-9EA9-8B91D6CAB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7CE0"/>
    <w:pPr>
      <w:widowControl w:val="0"/>
      <w:spacing w:after="0" w:line="240" w:lineRule="auto"/>
      <w:jc w:val="both"/>
    </w:pPr>
    <w:rPr>
      <w:rFonts w:ascii="宋体" w:eastAsia="宋体" w:hAnsi="宋体" w:cs="Times New Roman"/>
      <w:bCs/>
      <w:kern w:val="2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7CE0"/>
    <w:rPr>
      <w:color w:val="808080"/>
    </w:rPr>
  </w:style>
  <w:style w:type="paragraph" w:customStyle="1" w:styleId="formula">
    <w:name w:val="formula"/>
    <w:basedOn w:val="Normal"/>
    <w:qFormat/>
    <w:rsid w:val="008A7CE0"/>
    <w:pPr>
      <w:tabs>
        <w:tab w:val="center" w:pos="4147"/>
        <w:tab w:val="right" w:pos="9634"/>
      </w:tabs>
      <w:spacing w:line="360" w:lineRule="auto"/>
      <w:ind w:firstLine="432"/>
    </w:pPr>
    <w:rPr>
      <w:rFonts w:cs="宋体"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211</Words>
  <Characters>1207</Characters>
  <Application>Microsoft Office Word</Application>
  <DocSecurity>0</DocSecurity>
  <Lines>10</Lines>
  <Paragraphs>2</Paragraphs>
  <ScaleCrop>false</ScaleCrop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ZHUO</dc:creator>
  <cp:keywords/>
  <dc:description/>
  <cp:lastModifiedBy>LIU ZHUO</cp:lastModifiedBy>
  <cp:revision>2</cp:revision>
  <dcterms:created xsi:type="dcterms:W3CDTF">2019-05-09T06:27:00Z</dcterms:created>
  <dcterms:modified xsi:type="dcterms:W3CDTF">2019-05-09T06:42:00Z</dcterms:modified>
</cp:coreProperties>
</file>