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846412">
      <w:pPr>
        <w:rPr>
          <w:rFonts w:hint="default" w:ascii="Times New Roman" w:hAnsi="Times New Roman" w:eastAsia="宋体" w:cs="Times New Roman"/>
          <w:vertAlign w:val="baseline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Φ</w:t>
      </w:r>
      <w:r>
        <w:rPr>
          <w:rFonts w:hint="eastAsia" w:ascii="Times New Roman" w:hAnsi="Times New Roman" w:eastAsia="宋体" w:cs="Times New Roman"/>
          <w:vertAlign w:val="subscript"/>
          <w:lang w:val="en-US" w:eastAsia="zh-CN"/>
        </w:rPr>
        <w:t>1</w:t>
      </w:r>
    </w:p>
    <w:p w14:paraId="293739F7">
      <w:pPr>
        <w:rPr>
          <w:rFonts w:hint="eastAsia" w:ascii="Times New Roman" w:hAnsi="Times New Roman" w:eastAsia="宋体" w:cs="Times New Roman"/>
          <w:vertAlign w:val="subscript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Φ</w:t>
      </w:r>
      <w:r>
        <w:rPr>
          <w:rFonts w:hint="eastAsia" w:ascii="Times New Roman" w:hAnsi="Times New Roman" w:eastAsia="宋体" w:cs="Times New Roman"/>
          <w:vertAlign w:val="subscript"/>
          <w:lang w:val="en-US" w:eastAsia="zh-CN"/>
        </w:rPr>
        <w:t>2</w:t>
      </w:r>
    </w:p>
    <w:p w14:paraId="30ABB33A">
      <w:pPr>
        <w:rPr>
          <w:rFonts w:hint="default" w:ascii="Times New Roman" w:hAnsi="Times New Roman" w:eastAsia="宋体" w:cs="Times New Roman"/>
          <w:vertAlign w:val="baseline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Φ</w:t>
      </w:r>
      <w:r>
        <w:rPr>
          <w:rFonts w:hint="eastAsia" w:ascii="Times New Roman" w:hAnsi="Times New Roman" w:eastAsia="宋体" w:cs="Times New Roman"/>
          <w:vertAlign w:val="subscript"/>
          <w:lang w:val="en-US" w:eastAsia="zh-CN"/>
        </w:rPr>
        <w:t>1a</w:t>
      </w:r>
    </w:p>
    <w:p w14:paraId="1920AA61">
      <w:pPr>
        <w:rPr>
          <w:rFonts w:hint="eastAsia" w:ascii="Times New Roman" w:hAnsi="Times New Roman" w:eastAsia="宋体" w:cs="Times New Roman"/>
          <w:vertAlign w:val="subscript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Φ</w:t>
      </w:r>
      <w:r>
        <w:rPr>
          <w:rFonts w:hint="eastAsia" w:ascii="Times New Roman" w:hAnsi="Times New Roman" w:eastAsia="宋体" w:cs="Times New Roman"/>
          <w:vertAlign w:val="subscript"/>
          <w:lang w:val="en-US" w:eastAsia="zh-CN"/>
        </w:rPr>
        <w:t>1b</w:t>
      </w:r>
    </w:p>
    <w:p w14:paraId="761889F8">
      <w:pPr>
        <w:rPr>
          <w:rFonts w:hint="default" w:ascii="Times New Roman" w:hAnsi="Times New Roman" w:eastAsia="宋体" w:cs="Times New Roman"/>
          <w:vertAlign w:val="subscript"/>
          <w:lang w:val="en-US" w:eastAsia="zh-CN"/>
        </w:rPr>
      </w:pPr>
      <w:r>
        <w:rPr>
          <w:rFonts w:hint="default" w:ascii="Times New Roman" w:hAnsi="Times New Roman" w:eastAsia="宋体" w:cs="Times New Roman"/>
          <w:vertAlign w:val="subscript"/>
          <w:lang w:val="en-US" w:eastAsia="zh-CN"/>
        </w:rPr>
        <w:t>这篇论文基于高能效高精度全动态放大器研究项目，首先回顾了动态放大器作为低功耗放大器具有</w:t>
      </w:r>
    </w:p>
    <w:p w14:paraId="5A16A830">
      <w:pPr>
        <w:rPr>
          <w:rFonts w:hint="default" w:ascii="Times New Roman" w:hAnsi="Times New Roman" w:eastAsia="宋体" w:cs="Times New Roman"/>
          <w:vertAlign w:val="subscript"/>
          <w:lang w:val="en-US" w:eastAsia="zh-CN"/>
        </w:rPr>
      </w:pPr>
      <w:r>
        <w:rPr>
          <w:rFonts w:hint="default" w:ascii="Times New Roman" w:hAnsi="Times New Roman" w:eastAsia="宋体" w:cs="Times New Roman"/>
          <w:vertAlign w:val="subscript"/>
          <w:lang w:val="en-US" w:eastAsia="zh-CN"/>
        </w:rPr>
        <w:t>的全动态功耗、高动态性能的优势，分析了传统固定偏置式电平移位方法在低电压环境下增益不足、线性下降、共模漂移敏感等问题的根源。</w:t>
      </w:r>
    </w:p>
    <w:p w14:paraId="0CDE598D">
      <w:pPr>
        <w:rPr>
          <w:rFonts w:hint="default" w:ascii="Times New Roman" w:hAnsi="Times New Roman" w:eastAsia="宋体" w:cs="Times New Roman"/>
          <w:vertAlign w:val="subscript"/>
          <w:lang w:val="en-US" w:eastAsia="zh-CN"/>
        </w:rPr>
      </w:pPr>
      <w:r>
        <w:rPr>
          <w:rFonts w:hint="default" w:ascii="Times New Roman" w:hAnsi="Times New Roman" w:eastAsia="宋体" w:cs="Times New Roman"/>
          <w:vertAlign w:val="subscript"/>
          <w:lang w:val="en-US" w:eastAsia="zh-CN"/>
        </w:rPr>
        <w:t>针对这些问题，本文提出了一种基于低压浮动反相放大器（LVFIA）和相关电平移位</w:t>
      </w:r>
    </w:p>
    <w:p w14:paraId="77E04CE4">
      <w:pPr>
        <w:rPr>
          <w:rFonts w:hint="default" w:ascii="Times New Roman" w:hAnsi="Times New Roman" w:eastAsia="宋体" w:cs="Times New Roman"/>
          <w:vertAlign w:val="subscript"/>
          <w:lang w:val="en-US" w:eastAsia="zh-CN"/>
        </w:rPr>
      </w:pPr>
      <w:r>
        <w:rPr>
          <w:rFonts w:hint="default" w:ascii="Times New Roman" w:hAnsi="Times New Roman" w:eastAsia="宋体" w:cs="Times New Roman"/>
          <w:vertAlign w:val="subscript"/>
          <w:lang w:val="en-US" w:eastAsia="zh-CN"/>
        </w:rPr>
        <w:t>（Correlated Level Shifting, CLS）技术的创新架构设计方法，</w:t>
      </w:r>
    </w:p>
    <w:p w14:paraId="572B8F76">
      <w:pPr>
        <w:rPr>
          <w:rFonts w:hint="default" w:ascii="Times New Roman" w:hAnsi="Times New Roman" w:eastAsia="宋体" w:cs="Times New Roman"/>
          <w:vertAlign w:val="subscript"/>
          <w:lang w:val="en-US" w:eastAsia="zh-CN"/>
        </w:rPr>
      </w:pPr>
      <w:r>
        <w:rPr>
          <w:rFonts w:hint="default" w:ascii="Times New Roman" w:hAnsi="Times New Roman" w:eastAsia="宋体" w:cs="Times New Roman"/>
          <w:vertAlign w:val="subscript"/>
          <w:lang w:val="en-US" w:eastAsia="zh-CN"/>
        </w:rPr>
        <w:t>通过理论分析、仿真验证和实验测试，系统评估了CLS在提升动态放大器性能方面的有效性，</w:t>
      </w:r>
    </w:p>
    <w:p w14:paraId="2411E1FE">
      <w:pPr>
        <w:rPr>
          <w:rFonts w:hint="default" w:ascii="Times New Roman" w:hAnsi="Times New Roman" w:eastAsia="宋体" w:cs="Times New Roman"/>
          <w:vertAlign w:val="subscript"/>
          <w:lang w:val="en-US" w:eastAsia="zh-CN"/>
        </w:rPr>
      </w:pPr>
      <w:r>
        <w:rPr>
          <w:rFonts w:hint="default" w:ascii="Times New Roman" w:hAnsi="Times New Roman" w:eastAsia="宋体" w:cs="Times New Roman"/>
          <w:vertAlign w:val="subscript"/>
          <w:lang w:val="en-US" w:eastAsia="zh-CN"/>
        </w:rPr>
        <w:t>并与传统固定偏置式电平移位方法进行了对比。结果表明，CLS能够显著提升动态放大器的增益和线性度，</w:t>
      </w:r>
    </w:p>
    <w:p w14:paraId="0A9A4753">
      <w:pPr>
        <w:rPr>
          <w:rFonts w:hint="default" w:ascii="Times New Roman" w:hAnsi="Times New Roman" w:eastAsia="宋体" w:cs="Times New Roman"/>
          <w:vertAlign w:val="subscript"/>
          <w:lang w:val="en-US" w:eastAsia="zh-CN"/>
        </w:rPr>
      </w:pPr>
      <w:r>
        <w:rPr>
          <w:rFonts w:hint="default" w:ascii="Times New Roman" w:hAnsi="Times New Roman" w:eastAsia="宋体" w:cs="Times New Roman"/>
          <w:vertAlign w:val="subscript"/>
          <w:lang w:val="en-US" w:eastAsia="zh-CN"/>
        </w:rPr>
        <w:t>同时降低共模漂移敏感性，为未来低电压模拟电路设计提供了新的思路和方法。</w:t>
      </w:r>
    </w:p>
    <w:p w14:paraId="2F635246">
      <w:pPr>
        <w:rPr>
          <w:rFonts w:hint="default" w:ascii="Times New Roman" w:hAnsi="Times New Roman" w:eastAsia="宋体" w:cs="Times New Roman"/>
          <w:vertAlign w:val="subscript"/>
          <w:lang w:val="en-US" w:eastAsia="zh-CN"/>
        </w:rPr>
      </w:pPr>
    </w:p>
    <w:p w14:paraId="12844B5F">
      <w:pPr>
        <w:rPr>
          <w:rFonts w:hint="default" w:ascii="Times New Roman" w:hAnsi="Times New Roman" w:eastAsia="宋体" w:cs="Times New Roman"/>
          <w:vertAlign w:val="subscrip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1721F57"/>
    <w:rsid w:val="7CBB51FA"/>
    <w:rsid w:val="7E170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</Words>
  <Characters>10</Characters>
  <Lines>0</Lines>
  <Paragraphs>0</Paragraphs>
  <TotalTime>848</TotalTime>
  <ScaleCrop>false</ScaleCrop>
  <LinksUpToDate>false</LinksUpToDate>
  <CharactersWithSpaces>10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2026-04-19T11:08:00Z</dcterms:created>
  <dc:creator>77536</dc:creator>
  <cp:lastModifiedBy>方卓成</cp:lastModifiedBy>
  <dcterms:modified xsi:type="dcterms:W3CDTF">2026-05-03T03:08:21Z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eyJoZGlkIjoiYmZhYzhlMTY3ODczOWVjNjJhNGQ1OGE2NDA5OTRhZTEiLCJ1c2VySWQiOiIxNjQwMjI1NzEzIn0=</vt:lpwstr>
  </property>
  <property fmtid="{D5CDD505-2E9C-101B-9397-08002B2CF9AE}" pid="4" name="ICV">
    <vt:lpwstr>677F3E4FFC7747FA8799F377FCF81200_12</vt:lpwstr>
  </property>
</Properties>
</file>