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2262C"/>
          <w:sz w:val="48"/>
        </w:rPr>
        <w:t>风力发电功率预测系统</w:t>
      </w:r>
    </w:p>
    <w:p>
      <w:pPr>
        <w:jc w:val="center"/>
      </w:pPr>
      <w:r>
        <w:rPr>
          <w:rFonts w:ascii="Microsoft YaHei" w:hAnsi="Microsoft YaHei" w:eastAsia="Microsoft YaHei"/>
          <w:b/>
          <w:color w:val="3B83A2"/>
          <w:sz w:val="36"/>
        </w:rPr>
        <w:t>开始页 UI 设计与技术实现说明</w:t>
      </w:r>
    </w:p>
    <w:p>
      <w:pPr>
        <w:jc w:val="center"/>
      </w:pPr>
      <w:r>
        <w:rPr>
          <w:rFonts w:ascii="Microsoft YaHei" w:hAnsi="Microsoft YaHei" w:eastAsia="Microsoft YaHei"/>
          <w:color w:val="949498"/>
          <w:sz w:val="21"/>
        </w:rPr>
        <w:t>V1.0 ｜ 2026-05-05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584"/>
            <w:shd w:fill="12262C"/>
            <w:tcBorders>
              <w:top w:sz="3" w:val="single" w:color="12262C"/>
              <w:left w:sz="3" w:val="single" w:color="12262C"/>
              <w:bottom w:sz="3" w:val="single" w:color="12262C"/>
              <w:right w:sz="3" w:val="single" w:color="12262C"/>
            </w:tcBorders>
          </w:tcPr>
          <w:p/>
        </w:tc>
        <w:tc>
          <w:tcPr>
            <w:tcW w:type="dxa" w:w="1584"/>
            <w:shd w:fill="D4E3E6"/>
            <w:tcBorders>
              <w:top w:sz="3" w:val="single" w:color="D4E3E6"/>
              <w:left w:sz="3" w:val="single" w:color="D4E3E6"/>
              <w:bottom w:sz="3" w:val="single" w:color="D4E3E6"/>
              <w:right w:sz="3" w:val="single" w:color="D4E3E6"/>
            </w:tcBorders>
          </w:tcPr>
          <w:p/>
        </w:tc>
        <w:tc>
          <w:tcPr>
            <w:tcW w:type="dxa" w:w="1584"/>
            <w:shd w:fill="7CA4B1"/>
            <w:tcBorders>
              <w:top w:sz="3" w:val="single" w:color="7CA4B1"/>
              <w:left w:sz="3" w:val="single" w:color="7CA4B1"/>
              <w:bottom w:sz="3" w:val="single" w:color="7CA4B1"/>
              <w:right w:sz="3" w:val="single" w:color="7CA4B1"/>
            </w:tcBorders>
          </w:tcPr>
          <w:p/>
        </w:tc>
        <w:tc>
          <w:tcPr>
            <w:tcW w:type="dxa" w:w="1584"/>
            <w:shd w:fill="3B83A2"/>
            <w:tcBorders>
              <w:top w:sz="3" w:val="single" w:color="3B83A2"/>
              <w:left w:sz="3" w:val="single" w:color="3B83A2"/>
              <w:bottom w:sz="3" w:val="single" w:color="3B83A2"/>
              <w:right w:sz="3" w:val="single" w:color="3B83A2"/>
            </w:tcBorders>
          </w:tcPr>
          <w:p/>
        </w:tc>
        <w:tc>
          <w:tcPr>
            <w:tcW w:type="dxa" w:w="1584"/>
            <w:shd w:fill="949498"/>
            <w:tcBorders>
              <w:top w:sz="3" w:val="single" w:color="949498"/>
              <w:left w:sz="3" w:val="single" w:color="949498"/>
              <w:bottom w:sz="3" w:val="single" w:color="949498"/>
              <w:right w:sz="3" w:val="single" w:color="949498"/>
            </w:tcBorders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5F7"/>
            <w:tcBorders>
              <w:top w:sz="6" w:val="single" w:color="C9DDE3"/>
              <w:left w:sz="18" w:val="single" w:color="3B83A2"/>
              <w:bottom w:sz="6" w:val="single" w:color="C9DDE3"/>
              <w:right w:sz="6" w:val="single" w:color="C9DDE3"/>
            </w:tcBorders>
          </w:tcPr>
          <w:p>
            <w:r>
              <w:rPr>
                <w:rFonts w:ascii="Microsoft YaHei" w:hAnsi="Microsoft YaHei" w:eastAsia="Microsoft YaHei"/>
                <w:b/>
                <w:color w:val="3B83A2"/>
                <w:sz w:val="21"/>
              </w:rPr>
              <w:t>文档定位</w:t>
            </w:r>
          </w:p>
          <w:p>
            <w:r>
              <w:rPr>
                <w:rFonts w:ascii="Microsoft YaHei" w:hAnsi="Microsoft YaHei" w:eastAsia="Microsoft YaHei"/>
                <w:color w:val="12262C"/>
                <w:sz w:val="20"/>
              </w:rPr>
              <w:t>本文档用于固定“开始页”的视觉设计与前端技术实现细节。当前阶段只对 UI 呈现与交互进行精细化修改，不修改数据集、算法、训练逻辑、预测接口和后端计算流程。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istic_wind_power_forecasting_inte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8"/>
          <w:sz w:val="17"/>
        </w:rPr>
        <w:t>图 1 视觉方向参考图：最终实现需移除底部流程条，仅保留顶部系统名称与中部三张磨砂玻璃入口卡片。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目录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1. 需求确认与设计边界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2. 开始页最终布局定义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3. 色彩系统与视觉语言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4. 背景：风机 3D 粒子图设计要求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5. 三个模块入口卡片设计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6. 交互逻辑与页面跳转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7. 前端组件拆分方案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8. CSS 技术实现细节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9. React 实现建议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10. 响应式、性能与可访问性要求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11. 开发落地清单与验收标准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1. 需求确认与设计边界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本轮确认的目标是先把“开始页”作为产品入口页独立设计清楚。用户进入系统后先看到具有风电科技感的欢迎页，再通过三张入口卡片进入数据加载、预测结果、DeepSeek 分析三个功能区域。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确认项</w:t>
            </w:r>
          </w:p>
        </w:tc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最终设计口径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页面新增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新增开始页，作为系统进入后的第一屏。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顶部内容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最上方只展示系统名称。取消系统状态、使用说明、用户头像、通知等右侧信息。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底部内容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开始页底部不展示版权、版本号、流程条、底部导航或说明文字。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中部模块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只保留三个主入口：数据加载、预测结果、DeepSeek 分析。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背景风格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使用风机 3D 粒子图作为主视觉背景，强调风电、数字孪生、科技感和清洁能源属性。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卡片质感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三个模块入口采用磨砂玻璃背景质感，即 semi-transparent + backdrop-filter blur + 细边框 + 柔和高光。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功能边界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不修改数据集、算法、训练逻辑、后端接口和模型评估逻辑。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7ED"/>
            <w:tcBorders>
              <w:top w:sz="6" w:val="single" w:color="C9DDE3"/>
              <w:left w:sz="18" w:val="single" w:color="F59E0B"/>
              <w:bottom w:sz="6" w:val="single" w:color="C9DDE3"/>
              <w:right w:sz="6" w:val="single" w:color="C9DDE3"/>
            </w:tcBorders>
          </w:tcPr>
          <w:p>
            <w:r>
              <w:rPr>
                <w:rFonts w:ascii="Microsoft YaHei" w:hAnsi="Microsoft YaHei" w:eastAsia="Microsoft YaHei"/>
                <w:b/>
                <w:color w:val="F59E0B"/>
                <w:sz w:val="21"/>
              </w:rPr>
              <w:t>关键修正</w:t>
            </w:r>
          </w:p>
          <w:p>
            <w:r>
              <w:rPr>
                <w:rFonts w:ascii="Microsoft YaHei" w:hAnsi="Microsoft YaHei" w:eastAsia="Microsoft YaHei"/>
                <w:color w:val="12262C"/>
                <w:sz w:val="20"/>
              </w:rPr>
              <w:t>上一版预览图底部仍有流程条，最终实现应删除。顶部右侧状态栏也应删除。开始页只承担“入口选择”的功能，不承载复杂运行状态。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2. 开始页最终布局定义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开始页采用全屏沉浸式布局。页面背景占满整个视口，高度建议为 100vh。顶部为极简系统栏，中部为标题区和三张模块卡片。页面底部不放任何内容。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A"/>
            <w:tcBorders>
              <w:top w:sz="6" w:val="single" w:color="C5D7DE"/>
              <w:left w:sz="6" w:val="single" w:color="C5D7DE"/>
              <w:bottom w:sz="6" w:val="single" w:color="C5D7DE"/>
              <w:right w:sz="6" w:val="single" w:color="C5D7DE"/>
            </w:tcBorders>
          </w:tcPr>
          <w:p>
            <w:pPr>
              <w:pStyle w:val="CodeText"/>
            </w:pPr>
            <w:r>
              <w:rPr>
                <w:rFonts w:ascii="Consolas" w:hAnsi="Consolas" w:eastAsia="Consolas"/>
                <w:color w:val="1F2937"/>
                <w:sz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顶部系统栏      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[风机图标] 风力发电功率预测系统                          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├──────────────────────────────────────────────────────────────┤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           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            风力发电功率预测系统                     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    Wind Power Forecasting &amp; Intelligent Analysis    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           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  基于多模型预测与 DeepSeek 分析的风电功率辅助决策平台 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           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 ┌──────────────┐  ┌──────────────┐  ┌──────────────┐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 │   数据加载    │  │   预测结果    │  │ DeepSeek分析  │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 │  数据导入预览  │  │  曲线指标对比 │  │  智能分析报告 │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 └──────────────┘  └──────────────┘  └──────────────┘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                                                    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│                         无底部内容                           │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布局项</w:t>
            </w:r>
          </w:p>
        </w:tc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建议参数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页面尺寸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桌面端按 1440×900 或 1920×1080 设计，内容最大宽度建议 1180px～1240px。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顶部栏高度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72px～80px。只放系统 Logo 与中文系统名。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标题区位置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垂直方向约位于页面 18%～32% 区域，避免过于靠上。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卡片区位置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位于页面中部，三列等宽布局。卡片与标题保持 36px～48px 间距。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卡片尺寸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桌面端建议宽 310px～360px，高 210px～250px。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页面底部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保留背景图自然延伸，不放版本号、版权、流程条。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3. 色彩系统与视觉语言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当前色卡不适合做高饱和大色块，而适合做冷静、科研、工程感的科技系统。设计上应减少纯色铺底，更多使用透明层、边框、光晕和低饱和过渡。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色值</w:t>
            </w:r>
          </w:p>
        </w:tc>
        <w:tc>
          <w:tcPr>
            <w:tcW w:type="dxa" w:w="2521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521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使用位置</w:t>
            </w:r>
          </w:p>
        </w:tc>
        <w:tc>
          <w:tcPr>
            <w:tcW w:type="dxa" w:w="2521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注意事项</w:t>
            </w:r>
          </w:p>
        </w:tc>
      </w:tr>
      <w:tr>
        <w:tc>
          <w:tcPr>
            <w:tcW w:type="dxa" w:w="2521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#12262C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深墨蓝黑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顶部栏、背景暗部、主文字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用户原始色值写作 #1226C，技术实现需使用合法 6 位色值 #12262C。</w:t>
            </w:r>
          </w:p>
        </w:tc>
      </w:tr>
      <w:tr>
        <w:tc>
          <w:tcPr>
            <w:tcW w:type="dxa" w:w="2521"/>
            <w:shd w:fill="D4E3E6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#D4E3E6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冷灰蓝浅底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背景雾化层、玻璃高光、浅色区域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不要大面积纯铺；建议叠加透明渐变。</w:t>
            </w:r>
          </w:p>
        </w:tc>
      </w:tr>
      <w:tr>
        <w:tc>
          <w:tcPr>
            <w:tcW w:type="dxa" w:w="2521"/>
            <w:shd w:fill="7CA4B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#7CA4B1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灰蓝辅助色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卡片边框、图标线条、背景粒子次亮点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适合做低对比信息层。</w:t>
            </w:r>
          </w:p>
        </w:tc>
      </w:tr>
      <w:tr>
        <w:tc>
          <w:tcPr>
            <w:tcW w:type="dxa" w:w="2521"/>
            <w:shd w:fill="3B83A2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#3B83A2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主科技蓝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按钮、hover、卡片强调线、焦点状态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作为主交互色，不宜过度使用。</w:t>
            </w:r>
          </w:p>
        </w:tc>
      </w:tr>
      <w:tr>
        <w:tc>
          <w:tcPr>
            <w:tcW w:type="dxa" w:w="2521"/>
            <w:shd w:fill="949498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#949498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中性灰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副文本、说明文字、弱化边框</w:t>
            </w:r>
          </w:p>
        </w:tc>
        <w:tc>
          <w:tcPr>
            <w:tcW w:type="dxa" w:w="2521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color w:val="12262C"/>
                <w:sz w:val="18"/>
              </w:rPr>
              <w:t>避免作为主标题色。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A"/>
            <w:tcBorders>
              <w:top w:sz="6" w:val="single" w:color="C5D7DE"/>
              <w:left w:sz="6" w:val="single" w:color="C5D7DE"/>
              <w:bottom w:sz="6" w:val="single" w:color="C5D7DE"/>
              <w:right w:sz="6" w:val="single" w:color="C5D7DE"/>
            </w:tcBorders>
          </w:tcPr>
          <w:p>
            <w:pPr>
              <w:pStyle w:val="CodeText"/>
            </w:pPr>
            <w:r>
              <w:rPr>
                <w:rFonts w:ascii="Consolas" w:hAnsi="Consolas" w:eastAsia="Consolas"/>
                <w:color w:val="1F2937"/>
                <w:sz w:val="17"/>
              </w:rPr>
              <w:t>:root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--color-deep: #12262C;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--color-bg: #D4E3E6;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--color-muted-blue: #7CA4B1;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--color-primary: #3B83A2;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--color-gray: #949498;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--glass-bg: rgba(212, 227, 230, 0.18);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--glass-bg-hover: rgba(212, 227, 230, 0.26);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--glass-border: rgba(212, 227, 230, 0.42);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--glass-highlight: rgba(255, 255, 255, 0.55);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--text-on-dark: #F8FAFC;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--text-muted-on-dark: rgba(248, 250, 252, 0.72);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4. 背景：风机 3D 粒子图设计要求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背景是该开始页的核心视觉资产。它不应只是普通风机照片，而应是“风机 + 粒子网络 + 数据网格 + 冷色光效”的科技化表达。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背景设计项</w:t>
            </w:r>
          </w:p>
        </w:tc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实现要求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背景主题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风机 3D 粒子图。风机由点阵、线框、粒子光点或半透明网格构成。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画面结构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左侧可放较大的近景风机，右侧或远景放小风机阵列，中下方为数据网格或粒子波面。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色彩方向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以 #12262C 暗底为主，叠加 #3B83A2 与 #7CA4B1 的粒子光。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明暗控制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中间卡片区域背后不能过亮，需保留足够暗度以保证文字和玻璃卡片可读。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动效建议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可做轻微粒子漂浮、背景缓慢位移、风机光点呼吸，但不要做强旋转或高频闪烁。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实现方式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第一阶段建议使用静态图片作为 background-image；后续再考虑 Three.js/WebGL 或 Canvas 粒子动画。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5F7"/>
            <w:tcBorders>
              <w:top w:sz="6" w:val="single" w:color="C9DDE3"/>
              <w:left w:sz="18" w:val="single" w:color="3B83A2"/>
              <w:bottom w:sz="6" w:val="single" w:color="C9DDE3"/>
              <w:right w:sz="6" w:val="single" w:color="C9DDE3"/>
            </w:tcBorders>
          </w:tcPr>
          <w:p>
            <w:r>
              <w:rPr>
                <w:rFonts w:ascii="Microsoft YaHei" w:hAnsi="Microsoft YaHei" w:eastAsia="Microsoft YaHei"/>
                <w:b/>
                <w:color w:val="3B83A2"/>
                <w:sz w:val="21"/>
              </w:rPr>
              <w:t>背景资产建议</w:t>
            </w:r>
          </w:p>
          <w:p>
            <w:r>
              <w:rPr>
                <w:rFonts w:ascii="Microsoft YaHei" w:hAnsi="Microsoft YaHei" w:eastAsia="Microsoft YaHei"/>
                <w:color w:val="12262C"/>
                <w:sz w:val="20"/>
              </w:rPr>
              <w:t>如果没有可商用的 3D 粒子风机图，建议先使用 AI 生成或设计师绘制的 16:9 PNG/WebP 作为背景。文件建议控制在 500KB～1.5MB，避免影响首屏加载。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5. 三个模块入口卡片设计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三个入口卡片是开始页的唯一核心交互元素。卡片应保持同级关系，不要让某一张过度突出。卡片点击后跳转到对应内容区域。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入口说明文案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数据加载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导入样例数据或上传本地风电数据，完成字段识别与数据预览。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预测结果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查看模型预测曲线、指标对比与不同算法的性能表现。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DeepSeek 分析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基于预测结果生成智能分析报告，输出误差解释与优化建议。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卡片元素</w:t>
            </w:r>
          </w:p>
        </w:tc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设计参数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卡片背景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rgba(212, 227, 230, 0.18) ～ rgba(255,255,255,0.12)，配合 backdrop-filter: blur(18px)。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卡片边框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1px solid rgba(212, 227, 230, 0.42)，hover 时变为 rgba(59,131,162,0.85)。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卡片高光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顶部或左上角加入半透明白色渐变，模拟玻璃反光。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图标形式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线性图标，白色或浅蓝色，外部可加圆形透明描边。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标题文字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白色，24px～28px，粗体。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说明文字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浅灰蓝白色，14px～15px，行高 1.7。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按钮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圆形箭头按钮，背景 #3B83A2 或透明蓝玻璃，hover 时增强亮度。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hover 反馈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卡片上移 4px，边框变亮，阴影增强，按钮轻微放大。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6. 交互逻辑与页面跳转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当前建议使用单页锚点跳转，不引入 React Router。这样能最大程度保留现有项目结构，降低改造风险。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交互动作</w:t>
            </w:r>
          </w:p>
        </w:tc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技术行为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点击“数据加载”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平滑滚动到 #data-load-section。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点击“预测结果”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平滑滚动到 #prediction-result-section。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点击“DeepSeek分析”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平滑滚动到 #deepseek-analysis-section。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键盘交互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卡片必须可聚焦，Enter 或 Space 触发跳转。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滚动行为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使用 scrollIntoView({ behavior: "smooth", block: "start" })。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模块不存在时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开发期可 fallback 到 console.warn，生产期应避免空锚点。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A"/>
            <w:tcBorders>
              <w:top w:sz="6" w:val="single" w:color="C5D7DE"/>
              <w:left w:sz="6" w:val="single" w:color="C5D7DE"/>
              <w:bottom w:sz="6" w:val="single" w:color="C5D7DE"/>
              <w:right w:sz="6" w:val="single" w:color="C5D7DE"/>
            </w:tcBorders>
          </w:tcPr>
          <w:p>
            <w:pPr>
              <w:pStyle w:val="CodeText"/>
            </w:pPr>
            <w:r>
              <w:rPr>
                <w:rFonts w:ascii="Consolas" w:hAnsi="Consolas" w:eastAsia="Consolas"/>
                <w:color w:val="1F2937"/>
                <w:sz w:val="17"/>
              </w:rPr>
              <w:t>const scrollToSection = (sectionId) =&gt;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const target = document.getElementById(sectionId);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if (!target) return;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target.scrollIntoView({ behavior: 'smooth', block: 'start' });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};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7. 前端组件拆分方案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开始页可以先独立为 StartPage 组件，再与现有 App.jsx 中的功能区组合。后续如果要多页面路由，也可以直接迁移。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A"/>
            <w:tcBorders>
              <w:top w:sz="6" w:val="single" w:color="C5D7DE"/>
              <w:left w:sz="6" w:val="single" w:color="C5D7DE"/>
              <w:bottom w:sz="6" w:val="single" w:color="C5D7DE"/>
              <w:right w:sz="6" w:val="single" w:color="C5D7DE"/>
            </w:tcBorders>
          </w:tcPr>
          <w:p>
            <w:pPr>
              <w:pStyle w:val="CodeText"/>
            </w:pPr>
            <w:r>
              <w:rPr>
                <w:rFonts w:ascii="Consolas" w:hAnsi="Consolas" w:eastAsia="Consolas"/>
                <w:color w:val="1F2937"/>
                <w:sz w:val="17"/>
              </w:rPr>
              <w:t>src/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components/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StartPage/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StartPage.jsx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StartPage.css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EntryCard.jsx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common/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Icon.jsx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App.jsx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index.css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文件/组件</w:t>
            </w:r>
          </w:p>
        </w:tc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StartPage.jsx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开始页主体。负责顶部系统名、主标题、三张入口卡片和点击跳转。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EntryCard.jsx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单张磨砂玻璃模块卡片。通过 props 接收 icon、title、description、targetId。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StartPage.css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开始页独立样式，包含背景、玻璃卡片、响应式布局和 hover 动效。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App.jsx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保留现有功能模块，将 StartPage 放在功能模块之前。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index.css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放全局变量、基础字体、body 背景、滚动行为。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8. CSS 技术实现细节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CSS 重点是三部分：全屏背景、顶部极简系统栏、磨砂玻璃卡片。以下代码为实现方向，接入项目时应按现有类名和构建工具微调。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A"/>
            <w:tcBorders>
              <w:top w:sz="6" w:val="single" w:color="C5D7DE"/>
              <w:left w:sz="6" w:val="single" w:color="C5D7DE"/>
              <w:bottom w:sz="6" w:val="single" w:color="C5D7DE"/>
              <w:right w:sz="6" w:val="single" w:color="C5D7DE"/>
            </w:tcBorders>
          </w:tcPr>
          <w:p>
            <w:pPr>
              <w:pStyle w:val="CodeText"/>
            </w:pPr>
            <w:r>
              <w:rPr>
                <w:rFonts w:ascii="Consolas" w:hAnsi="Consolas" w:eastAsia="Consolas"/>
                <w:color w:val="1F2937"/>
                <w:sz w:val="17"/>
              </w:rPr>
              <w:t>html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scroll-behavior: smooth;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.start-page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min-height: 100vh;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position: relative;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overflow: hidden;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color: var(--text-on-dark);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background: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linear-gradient(180deg, rgba(18, 38, 44, 0.72), rgba(18, 38, 44, 0.48)),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url('/assets/wind-particle-bg.webp') center / cover no-repeat;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.start-page::after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content: '';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position: absolute;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inset: 0;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pointer-events: none;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background: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radial-gradient(circle at 50% 38%, rgba(59, 131, 162, 0.22), transparent 34%),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radial-gradient(circle at 12% 70%, rgba(124, 164, 177, 0.18), transparent 28%);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A"/>
            <w:tcBorders>
              <w:top w:sz="6" w:val="single" w:color="C5D7DE"/>
              <w:left w:sz="6" w:val="single" w:color="C5D7DE"/>
              <w:bottom w:sz="6" w:val="single" w:color="C5D7DE"/>
              <w:right w:sz="6" w:val="single" w:color="C5D7DE"/>
            </w:tcBorders>
          </w:tcPr>
          <w:p>
            <w:pPr>
              <w:pStyle w:val="CodeText"/>
            </w:pPr>
            <w:r>
              <w:rPr>
                <w:rFonts w:ascii="Consolas" w:hAnsi="Consolas" w:eastAsia="Consolas"/>
                <w:color w:val="1F2937"/>
                <w:sz w:val="17"/>
              </w:rPr>
              <w:t>.start-header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height: 76px;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display: flex;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align-items: center;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padding: 0 44px;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position: relative;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z-index: 2;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border-bottom: 1px solid rgba(212, 227, 230, 0.18);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background: rgba(18, 38, 44, 0.58);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backdrop-filter: blur(12px);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.start-brand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display: flex;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align-items: center;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gap: 14px;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font-size: 26px;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font-weight: 700;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letter-spacing: 0.02em;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A"/>
            <w:tcBorders>
              <w:top w:sz="6" w:val="single" w:color="C5D7DE"/>
              <w:left w:sz="6" w:val="single" w:color="C5D7DE"/>
              <w:bottom w:sz="6" w:val="single" w:color="C5D7DE"/>
              <w:right w:sz="6" w:val="single" w:color="C5D7DE"/>
            </w:tcBorders>
          </w:tcPr>
          <w:p>
            <w:pPr>
              <w:pStyle w:val="CodeText"/>
            </w:pPr>
            <w:r>
              <w:rPr>
                <w:rFonts w:ascii="Consolas" w:hAnsi="Consolas" w:eastAsia="Consolas"/>
                <w:color w:val="1F2937"/>
                <w:sz w:val="17"/>
              </w:rPr>
              <w:t>.entry-card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position: relative;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width: 340px;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min-height: 230px;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padding: 32px 34px;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border-radius: 22px;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border: 1px solid var(--glass-border);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background: linear-gradient(145deg, rgba(212, 227, 230, 0.24), rgba(255, 255, 255, 0.10));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backdrop-filter: blur(18px) saturate(128%);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box-shadow: 0 22px 60px rgba(0, 0, 0, 0.28), inset 0 1px 0 var(--glass-highlight);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cursor: pointer;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transition: transform 180ms ease, border-color 180ms ease, box-shadow 180ms ease, background 180ms ease;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.entry-card:hover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transform: translateY(-4px);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border-color: rgba(59, 131, 162, 0.9);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background: linear-gradient(145deg, rgba(212, 227, 230, 0.30), rgba(255, 255, 255, 0.14));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box-shadow: 0 28px 72px rgba(0, 0, 0, 0.34), 0 0 24px rgba(59, 131, 162, 0.22);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A"/>
            <w:tcBorders>
              <w:top w:sz="6" w:val="single" w:color="C5D7DE"/>
              <w:left w:sz="6" w:val="single" w:color="C5D7DE"/>
              <w:bottom w:sz="6" w:val="single" w:color="C5D7DE"/>
              <w:right w:sz="6" w:val="single" w:color="C5D7DE"/>
            </w:tcBorders>
          </w:tcPr>
          <w:p>
            <w:pPr>
              <w:pStyle w:val="CodeText"/>
            </w:pPr>
            <w:r>
              <w:rPr>
                <w:rFonts w:ascii="Consolas" w:hAnsi="Consolas" w:eastAsia="Consolas"/>
                <w:color w:val="1F2937"/>
                <w:sz w:val="17"/>
              </w:rPr>
              <w:t>.entry-card:focus-visible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outline: 3px solid rgba(59, 131, 162, 0.95);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outline-offset: 4px;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.entry-card__button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width: 54px;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height: 54px;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border-radius: 999px;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border: 1px solid rgba(212, 227, 230, 0.6);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background: rgba(59, 131, 162, 0.72);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color: #fff;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display: inline-flex;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align-items: center;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justify-content: center;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margin-top: 28px;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transition: transform 180ms ease, background 180ms ease;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.entry-card:hover .entry-card__button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transform: scale(1.06);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background: #3B83A2;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9. React 实现建议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React 层建议使用数据驱动方式生成三张卡片，避免写三份重复 JSX。图标可以先使用 lucide-react；如果项目已使用其他图标库，则按现有依赖替换。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A"/>
            <w:tcBorders>
              <w:top w:sz="6" w:val="single" w:color="C5D7DE"/>
              <w:left w:sz="6" w:val="single" w:color="C5D7DE"/>
              <w:bottom w:sz="6" w:val="single" w:color="C5D7DE"/>
              <w:right w:sz="6" w:val="single" w:color="C5D7DE"/>
            </w:tcBorders>
          </w:tcPr>
          <w:p>
            <w:pPr>
              <w:pStyle w:val="CodeText"/>
            </w:pPr>
            <w:r>
              <w:rPr>
                <w:rFonts w:ascii="Consolas" w:hAnsi="Consolas" w:eastAsia="Consolas"/>
                <w:color w:val="1F2937"/>
                <w:sz w:val="17"/>
              </w:rPr>
              <w:t>const startModules = [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key: 'data',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title: '数据加载',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description: '导入样例数据或上传本地风电数据，完成字段识别与数据预览。',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targetId: 'data-load-section',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icon: FileUp,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key: 'prediction',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title: '预测结果',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description: '查看模型预测曲线、指标对比与不同算法的性能表现。',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targetId: 'prediction-result-section',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icon: LineChart,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key: 'deepseek',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title: 'DeepSeek分析',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description: '基于预测结果生成智能分析报告，输出误差解释与优化建议。',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targetId: 'deepseek-analysis-section',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icon: Brain,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];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A"/>
            <w:tcBorders>
              <w:top w:sz="6" w:val="single" w:color="C5D7DE"/>
              <w:left w:sz="6" w:val="single" w:color="C5D7DE"/>
              <w:bottom w:sz="6" w:val="single" w:color="C5D7DE"/>
              <w:right w:sz="6" w:val="single" w:color="C5D7DE"/>
            </w:tcBorders>
          </w:tcPr>
          <w:p>
            <w:pPr>
              <w:pStyle w:val="CodeText"/>
            </w:pPr>
            <w:r>
              <w:rPr>
                <w:rFonts w:ascii="Consolas" w:hAnsi="Consolas" w:eastAsia="Consolas"/>
                <w:color w:val="1F2937"/>
                <w:sz w:val="17"/>
              </w:rPr>
              <w:t>function StartPage()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return (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&lt;section className="start-page" aria-label="风力发电功率预测系统开始页"&gt;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&lt;header className="start-header"&gt;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&lt;div className="start-brand"&gt;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&lt;Wind className="start-brand__icon" aria-hidden="true" /&gt;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&lt;span&gt;风力发电功率预测系统&lt;/span&gt;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&lt;/header&gt;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&lt;main className="start-main"&gt;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&lt;div className="start-title-block"&gt;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&lt;h1&gt;风力发电功率预测系统&lt;/h1&gt;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&lt;p className="start-title-en"&gt;Wind Power Forecasting &amp; Intelligent Analysis&lt;/p&gt;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&lt;p className="start-subtitle"&gt;基于多模型预测与 DeepSeek 分析的风电功率辅助决策平台&lt;/p&gt;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&lt;div className="entry-card-grid"&gt;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{startModules.map((item) =&gt; (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&lt;EntryCard key={item.key} {...item} onJump={scrollToSection} /&gt;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))}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  &lt;/div&gt;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&lt;/main&gt;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&lt;/section&gt;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A"/>
            <w:tcBorders>
              <w:top w:sz="6" w:val="single" w:color="C5D7DE"/>
              <w:left w:sz="6" w:val="single" w:color="C5D7DE"/>
              <w:bottom w:sz="6" w:val="single" w:color="C5D7DE"/>
              <w:right w:sz="6" w:val="single" w:color="C5D7DE"/>
            </w:tcBorders>
          </w:tcPr>
          <w:p>
            <w:pPr>
              <w:pStyle w:val="CodeText"/>
            </w:pPr>
            <w:r>
              <w:rPr>
                <w:rFonts w:ascii="Consolas" w:hAnsi="Consolas" w:eastAsia="Consolas"/>
                <w:color w:val="1F2937"/>
                <w:sz w:val="17"/>
              </w:rPr>
              <w:t>function EntryCard({ icon: Icon, title, description, targetId, onJump })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const handleKeyDown = (event) =&gt;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if (event.key === 'Enter' || event.key === ' ')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event.preventDefault();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onJump(targetId);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return (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&lt;article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className="entry-card"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role="button"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tabIndex={0}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onClick={() =&gt; onJump(targetId)}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onKeyDown={handleKeyDown}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aria-label={`进入${title}模块`}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&lt;div className="entry-card__icon"&gt;&lt;Icon size={46} /&gt;&lt;/div&gt;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&lt;h2&gt;{title}&lt;/h2&gt;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&lt;p&gt;{description}&lt;/p&gt;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  &lt;span className="entry-card__button" aria-hidden="true"&gt;→&lt;/span&gt;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&lt;/article&gt;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);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10. 响应式、性能与可访问性要求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开始页视觉较强，但不能牺牲可用性。尤其需要控制背景资源大小、保证文本对比度，并让卡片支持键盘操作。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响应式场景</w:t>
            </w:r>
          </w:p>
        </w:tc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布局策略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大屏桌面端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三张卡片横向排列，最大内容宽度 1180px～1240px。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普通笔记本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保持三列，但卡片宽度压缩到 300px～320px；标题字号略降。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平板端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三张卡片改为一列或 2+1 布局。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移动端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顶部系统名居左，标题区缩小，三张卡片单列排列；背景暗度提高。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4F8FA"/>
            <w:tcBorders>
              <w:top w:sz="6" w:val="single" w:color="C5D7DE"/>
              <w:left w:sz="6" w:val="single" w:color="C5D7DE"/>
              <w:bottom w:sz="6" w:val="single" w:color="C5D7DE"/>
              <w:right w:sz="6" w:val="single" w:color="C5D7DE"/>
            </w:tcBorders>
          </w:tcPr>
          <w:p>
            <w:pPr>
              <w:pStyle w:val="CodeText"/>
            </w:pPr>
            <w:r>
              <w:rPr>
                <w:rFonts w:ascii="Consolas" w:hAnsi="Consolas" w:eastAsia="Consolas"/>
                <w:color w:val="1F2937"/>
                <w:sz w:val="17"/>
              </w:rPr>
              <w:t>@media (max-width: 1024px)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.entry-card-grid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grid-template-columns: 1fr;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max-width: 520px;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.entry-card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width: 100%;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@media (max-width: 640px)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.start-header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height: 64px;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padding: 0 20px;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.start-brand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font-size: 20px;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.start-title-block h1 {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  font-size: 34px;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7"/>
              </w:rPr>
              <w:t>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质量项</w:t>
            </w:r>
          </w:p>
        </w:tc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验收要求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背景图大小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优先使用 WebP，建议 500KB～1.5MB。必要时提供 2x 与 1x 两套资源。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图片加载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首屏背景应预加载；如果后续较大，可使用渐进式低清占位。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动效性能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第一阶段只做 CSS hover；不要引入复杂粒子动画。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对比度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标题、卡片文字必须在深色背景上保持清晰。必要时给背景加暗色遮罩。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键盘可达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卡片必须 tabIndex=0，并支持 Enter/Space。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减少眩光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玻璃卡片的透明度不能过低，否则背景干扰文字。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11. 开发落地清单与验收标准</w:t>
      </w:r>
    </w:p>
    <w:p>
      <w:pPr>
        <w:pStyle w:val="BodyText"/>
      </w:pPr>
      <w:r>
        <w:rPr>
          <w:rFonts w:ascii="Microsoft YaHei" w:hAnsi="Microsoft YaHei" w:eastAsia="Microsoft YaHei"/>
          <w:color w:val="12262C"/>
          <w:sz w:val="21"/>
        </w:rPr>
        <w:t>该开始页的开发可以分两步完成：先实现静态视觉与跳转，再接入现有功能区。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2262C"/>
          <w:sz w:val="28"/>
        </w:rPr>
        <w:t>11.1 开发任务清单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准备风机 3D 粒子背景图，放入 frontend/public/assets 或 src/assets。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新增 StartPage 组件，顶部只保留系统名称。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新增 EntryCard 组件，复用三张模块入口卡片。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将开始页插入 App.jsx 的最前部。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为现有数据加载、预测结果、DeepSeek 分析区域添加对应 id。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实现 scrollToSection 平滑滚动。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移除开始页底部版权、版本号、流程条等内容。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完成桌面端、笔记本端、移动端响应式检查。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完成卡片 hover、focus-visible、键盘触发等交互检查。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2262C"/>
          <w:sz w:val="28"/>
        </w:rPr>
        <w:t>11.2 验收标准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打开系统后第一屏为开始页，而不是直接进入数据仪表盘。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顶部只展示风机图标与“风力发电功率预测系统”名称。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页面底部不出现版本号、版权、流程条或其他额外说明。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背景为风机 3D 粒子图，整体色彩符合 #12262C / #D4E3E6 / #7CA4B1 / #3B83A2 / #949498 色卡。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三张入口卡片具有磨砂玻璃质感，且文字清晰可读。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点击“数据加载”能跳转到数据加载区域。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点击“预测结果”能跳转到预测结果区域。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点击“DeepSeek分析”能跳转到 DeepSeek 分析区域。</w:t>
      </w:r>
    </w:p>
    <w:p>
      <w:pPr>
        <w:pStyle w:val="ListBullet"/>
      </w:pPr>
      <w:r>
        <w:rPr>
          <w:rFonts w:ascii="Microsoft YaHei" w:hAnsi="Microsoft YaHei" w:eastAsia="Microsoft YaHei"/>
          <w:color w:val="12262C"/>
          <w:sz w:val="21"/>
        </w:rPr>
        <w:t>不影响原有数据加载、预测、结果展示和报告分析逻辑。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2262C"/>
          <w:sz w:val="36"/>
        </w:rPr>
        <w:t>附录：最终确认口径摘要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043"/>
            <w:shd w:fill="12262C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开始页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新增，作为系统第一屏。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主背景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风机 3D 粒子图。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模块卡片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数据加载、预测结果、DeepSeek 分析。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卡片质感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磨砂玻璃。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顶部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只展示系统名字，不放状态、说明、用户入口。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底部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不放任何内容。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跳转方式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单页锚点平滑滚动。</w:t>
            </w:r>
          </w:p>
        </w:tc>
      </w:tr>
      <w:tr>
        <w:tc>
          <w:tcPr>
            <w:tcW w:type="dxa" w:w="5043"/>
            <w:vAlign w:val="center"/>
            <w:shd w:fill="F4F8FA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/>
                <w:color w:val="12262C"/>
                <w:sz w:val="19"/>
              </w:rPr>
              <w:t>不改内容</w:t>
            </w:r>
          </w:p>
        </w:tc>
        <w:tc>
          <w:tcPr>
            <w:tcW w:type="dxa" w:w="5043"/>
            <w:vAlign w:val="center"/>
            <w:tcBorders>
              <w:top w:sz="6" w:val="single" w:color="D8E6EA"/>
              <w:left w:sz="6" w:val="single" w:color="D8E6EA"/>
              <w:bottom w:sz="6" w:val="single" w:color="D8E6EA"/>
              <w:right w:sz="6" w:val="single" w:color="D8E6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2262C"/>
                <w:sz w:val="19"/>
              </w:rPr>
              <w:t>不改数据集、不改算法、不改后端预测逻辑。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49498"/>
        <w:sz w:val="16"/>
      </w:rPr>
      <w:t>Wind Power Forecasting System · UI Design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949498"/>
        <w:sz w:val="17"/>
      </w:rPr>
      <w:t>开始页 UI 设计说明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2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26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26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26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color w:val="12262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