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2262C"/>
          <w:sz w:val="48"/>
        </w:rPr>
        <w:t>风力发电功率预测系统</w:t>
        <w:br/>
        <w:t>数据加载页面 UI 设计与技术实现说明</w:t>
      </w:r>
    </w:p>
    <w:p>
      <w:pPr>
        <w:jc w:val="center"/>
      </w:pPr>
      <w:r>
        <w:rPr>
          <w:rFonts w:ascii="Noto Sans CJK SC" w:hAnsi="Noto Sans CJK SC" w:eastAsia="Noto Sans CJK SC"/>
          <w:color w:val="3B83A2"/>
          <w:sz w:val="26"/>
        </w:rPr>
        <w:t>数据加载页 / Data Loading Page</w:t>
      </w:r>
    </w:p>
    <w:p>
      <w:pPr>
        <w:jc w:val="center"/>
      </w:pPr>
      <w:r>
        <w:rPr>
          <w:rFonts w:ascii="Noto Sans CJK SC" w:hAnsi="Noto Sans CJK SC" w:eastAsia="Noto Sans CJK SC"/>
          <w:color w:val="64748B"/>
          <w:sz w:val="22"/>
        </w:rPr>
        <w:t>V1.0  |  2026-05-05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Borders>
              <w:top w:sz="12" w:val="single" w:color="3B83A2"/>
              <w:left w:sz="12" w:val="single" w:color="3B83A2"/>
              <w:bottom w:sz="12" w:val="single" w:color="3B83A2"/>
              <w:right w:sz="12" w:val="single" w:color="3B83A2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2262C"/>
                <w:sz w:val="22"/>
              </w:rPr>
              <w:t>文档范围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38"/>
                <w:sz w:val="19"/>
              </w:rPr>
              <w:t>本说明仅覆盖“数据加载”页面的 UI 设计、交互逻辑、组件拆分、前端实现和气象预警识别规则。算法、数据集、模型训练、预测接口与后端业务逻辑不在本轮修改范围内。</w:t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/>
          <w:color w:val="64748B"/>
          <w:sz w:val="20"/>
        </w:rPr>
        <w:t>面向：前端开发 / UI 实现 / 项目协作评审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目录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2262C"/>
          <w:sz w:val="21"/>
        </w:rPr>
        <w:t>1. 页面设计结论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2262C"/>
          <w:sz w:val="21"/>
        </w:rPr>
        <w:t>2. 已确认视觉规范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2262C"/>
          <w:sz w:val="21"/>
        </w:rPr>
        <w:t>3. 页面信息架构与布局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2262C"/>
          <w:sz w:val="21"/>
        </w:rPr>
        <w:t>4. 顶部栏与卡片式导航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2262C"/>
          <w:sz w:val="21"/>
        </w:rPr>
        <w:t>5. 数据导入模块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2262C"/>
          <w:sz w:val="21"/>
        </w:rPr>
        <w:t>6. 数据概况模块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2262C"/>
          <w:sz w:val="21"/>
        </w:rPr>
        <w:t>7. 气象站信息与气象预警模块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2262C"/>
          <w:sz w:val="21"/>
        </w:rPr>
        <w:t>8. 数据预览模块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2262C"/>
          <w:sz w:val="21"/>
        </w:rPr>
        <w:t>9. 字段识别结果模块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2262C"/>
          <w:sz w:val="21"/>
        </w:rPr>
        <w:t>10. 组件化实现方案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2262C"/>
          <w:sz w:val="21"/>
        </w:rPr>
        <w:t>11. CSS 变量与样式实现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2262C"/>
          <w:sz w:val="21"/>
        </w:rPr>
        <w:t>12. 气象识别模式与中国气象局标准依据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2262C"/>
          <w:sz w:val="21"/>
        </w:rPr>
        <w:t>13. 接口数据结构建议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2262C"/>
          <w:sz w:val="21"/>
        </w:rPr>
        <w:t>14. 响应式与异常状态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2262C"/>
          <w:sz w:val="21"/>
        </w:rPr>
        <w:t>15. 验收清单与参考来源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1. 页面设计结论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本页为“风力发电功率预测系统”的数据加载页，是从开始页进入后的第一个业务页面。页面承担三个任务：接收风电功率与气象数值预报数据、展示数据加载结果、提示气象条件是否可能影响后续预测任务。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BFC"/>
            <w:tcBorders>
              <w:top w:sz="12" w:val="single" w:color="3B83A2"/>
              <w:left w:sz="12" w:val="single" w:color="3B83A2"/>
              <w:bottom w:sz="12" w:val="single" w:color="3B83A2"/>
              <w:right w:sz="12" w:val="single" w:color="3B83A2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2262C"/>
                <w:sz w:val="22"/>
              </w:rPr>
              <w:t>本轮确认后的核心变化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38"/>
                <w:sz w:val="19"/>
              </w:rPr>
              <w:t>1）保持开始页的深色科技风与磨砂玻璃卡片风格；2）顶部系统名称与模块导航合并在同一条顶栏中；3）“数据加载 / 预测结果 / DeepSeek分析”使用卡片式导航，当前模块高亮；4）模块下方说明文案删除，卡片只保留标题、图标与必要数据；5）功能卡片必须在网格中前后对齐、上下对正；6）气象预警区域采用显著色彩与发光边框提示，并按中国气象局标准划分预警等级。</w:t>
            </w:r>
          </w:p>
        </w:tc>
      </w:tr>
    </w:tbl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2262C"/>
          <w:sz w:val="30"/>
        </w:rPr>
        <w:t>当前确认预览图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9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年5月5日 10_39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64748B"/>
          <w:sz w:val="17"/>
        </w:rPr>
        <w:t>图 1：数据加载页面当前确认版预览。说明：预览图用于视觉基准，最终落地以本文档的布局、颜色、对齐和气象预警规则为准。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2. 已确认视觉规范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整体视觉延续开始页：深色素色背景、冷灰蓝科技色、半透明玻璃卡片、细描边、低饱和蓝色高光。数据加载页不再使用风机粒子背景，避免干扰数据阅读。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色彩角色</w:t>
            </w:r>
          </w:p>
        </w:tc>
        <w:tc>
          <w:tcPr>
            <w:tcW w:type="dxa" w:w="1584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色值</w:t>
            </w:r>
          </w:p>
        </w:tc>
        <w:tc>
          <w:tcPr>
            <w:tcW w:type="dxa" w:w="5760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深墨蓝黑</w:t>
            </w:r>
          </w:p>
        </w:tc>
        <w:tc>
          <w:tcPr>
            <w:tcW w:type="dxa" w:w="15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#12262C</w:t>
            </w:r>
          </w:p>
        </w:tc>
        <w:tc>
          <w:tcPr>
            <w:tcW w:type="dxa" w:w="57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顶栏、页面底色、深色卡片背景基准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冷灰蓝背景</w:t>
            </w:r>
          </w:p>
        </w:tc>
        <w:tc>
          <w:tcPr>
            <w:tcW w:type="dxa" w:w="15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#D4E3E6</w:t>
            </w:r>
          </w:p>
        </w:tc>
        <w:tc>
          <w:tcPr>
            <w:tcW w:type="dxa" w:w="57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浅色背景参考、辅助分割色，不作为本页大面积底色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灰蓝辅助色</w:t>
            </w:r>
          </w:p>
        </w:tc>
        <w:tc>
          <w:tcPr>
            <w:tcW w:type="dxa" w:w="15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#7CA4B1</w:t>
            </w:r>
          </w:p>
        </w:tc>
        <w:tc>
          <w:tcPr>
            <w:tcW w:type="dxa" w:w="57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卡片描边、弱提示、分割线、图标背景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科技蓝主色</w:t>
            </w:r>
          </w:p>
        </w:tc>
        <w:tc>
          <w:tcPr>
            <w:tcW w:type="dxa" w:w="15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#3B83A2</w:t>
            </w:r>
          </w:p>
        </w:tc>
        <w:tc>
          <w:tcPr>
            <w:tcW w:type="dxa" w:w="57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当前导航、主按钮、高亮标签、数据正常状态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中性灰</w:t>
            </w:r>
          </w:p>
        </w:tc>
        <w:tc>
          <w:tcPr>
            <w:tcW w:type="dxa" w:w="15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#949498</w:t>
            </w:r>
          </w:p>
        </w:tc>
        <w:tc>
          <w:tcPr>
            <w:tcW w:type="dxa" w:w="57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副文本、禁用状态、未激活图标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高亮青蓝</w:t>
            </w:r>
          </w:p>
        </w:tc>
        <w:tc>
          <w:tcPr>
            <w:tcW w:type="dxa" w:w="15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#2ED3FF</w:t>
            </w:r>
          </w:p>
        </w:tc>
        <w:tc>
          <w:tcPr>
            <w:tcW w:type="dxa" w:w="57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发光边框、active 导航、重点线条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预警蓝</w:t>
            </w:r>
          </w:p>
        </w:tc>
        <w:tc>
          <w:tcPr>
            <w:tcW w:type="dxa" w:w="15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#2FA7F7</w:t>
            </w:r>
          </w:p>
        </w:tc>
        <w:tc>
          <w:tcPr>
            <w:tcW w:type="dxa" w:w="57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中国气象局蓝色预警视觉映射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预警黄</w:t>
            </w:r>
          </w:p>
        </w:tc>
        <w:tc>
          <w:tcPr>
            <w:tcW w:type="dxa" w:w="15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#FACC15</w:t>
            </w:r>
          </w:p>
        </w:tc>
        <w:tc>
          <w:tcPr>
            <w:tcW w:type="dxa" w:w="57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中国气象局黄色预警视觉映射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预警橙</w:t>
            </w:r>
          </w:p>
        </w:tc>
        <w:tc>
          <w:tcPr>
            <w:tcW w:type="dxa" w:w="15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#F97316</w:t>
            </w:r>
          </w:p>
        </w:tc>
        <w:tc>
          <w:tcPr>
            <w:tcW w:type="dxa" w:w="57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中国气象局橙色预警视觉映射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预警红</w:t>
            </w:r>
          </w:p>
        </w:tc>
        <w:tc>
          <w:tcPr>
            <w:tcW w:type="dxa" w:w="15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#EF4444</w:t>
            </w:r>
          </w:p>
        </w:tc>
        <w:tc>
          <w:tcPr>
            <w:tcW w:type="dxa" w:w="57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中国气象局红色预警视觉映射</w:t>
            </w:r>
          </w:p>
        </w:tc>
      </w:tr>
    </w:tbl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字体建议：系统 UI 使用 Noto Sans SC / Microsoft YaHei / 思源黑体。标题 28–36 px，模块标题 18–22 px，正文 14–16 px，表格 13–14 px。避免过细字体，深色背景下正文颜色不得低于 70% 白。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3. 页面信息架构与布局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页面采用“顶栏 + 内容网格”的结构。顶栏固定展示系统名称和模块导航；内容区采用 12 列栅格，左右两栏布局。右侧气象站信息卡承担高优先级信息展示，左侧承担数据导入和数据概况。下方横向区域展示数据预览与字段识别。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728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推荐栅格</w:t>
            </w:r>
          </w:p>
        </w:tc>
        <w:tc>
          <w:tcPr>
            <w:tcW w:type="dxa" w:w="4032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744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对齐要求</w:t>
            </w:r>
          </w:p>
        </w:tc>
      </w:tr>
      <w:tr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顶部栏</w:t>
            </w:r>
          </w:p>
        </w:tc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全宽 12 列</w:t>
            </w:r>
          </w:p>
        </w:tc>
        <w:tc>
          <w:tcPr>
            <w:tcW w:type="dxa" w:w="403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系统名称 + 卡片式模块导航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系统名称左对齐；导航卡片右侧或居中排列，三个卡片等宽等高</w:t>
            </w:r>
          </w:p>
        </w:tc>
      </w:tr>
      <w:tr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页面标题</w:t>
            </w:r>
          </w:p>
        </w:tc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全宽 12 列</w:t>
            </w:r>
          </w:p>
        </w:tc>
        <w:tc>
          <w:tcPr>
            <w:tcW w:type="dxa" w:w="403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数据加载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只保留标题，不在卡片内部堆叠功能说明</w:t>
            </w:r>
          </w:p>
        </w:tc>
      </w:tr>
      <w:tr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左上卡片</w:t>
            </w:r>
          </w:p>
        </w:tc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5 列</w:t>
            </w:r>
          </w:p>
        </w:tc>
        <w:tc>
          <w:tcPr>
            <w:tcW w:type="dxa" w:w="403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数据导入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与右侧气象卡顶部对齐</w:t>
            </w:r>
          </w:p>
        </w:tc>
      </w:tr>
      <w:tr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右上卡片</w:t>
            </w:r>
          </w:p>
        </w:tc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7 列</w:t>
            </w:r>
          </w:p>
        </w:tc>
        <w:tc>
          <w:tcPr>
            <w:tcW w:type="dxa" w:w="403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气象站信息 + 气象预警 + 实况/逐小时预报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高度与左上组合区域对齐；预警条保持顶部显著</w:t>
            </w:r>
          </w:p>
        </w:tc>
      </w:tr>
      <w:tr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左中卡片</w:t>
            </w:r>
          </w:p>
        </w:tc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5 列</w:t>
            </w:r>
          </w:p>
        </w:tc>
        <w:tc>
          <w:tcPr>
            <w:tcW w:type="dxa" w:w="403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数据概况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与数据导入卡同宽，对齐左边界</w:t>
            </w:r>
          </w:p>
        </w:tc>
      </w:tr>
      <w:tr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左下宽卡片</w:t>
            </w:r>
          </w:p>
        </w:tc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7 列</w:t>
            </w:r>
          </w:p>
        </w:tc>
        <w:tc>
          <w:tcPr>
            <w:tcW w:type="dxa" w:w="403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数据预览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与字段识别卡顶部对齐，高度一致</w:t>
            </w:r>
          </w:p>
        </w:tc>
      </w:tr>
      <w:tr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右下卡片</w:t>
            </w:r>
          </w:p>
        </w:tc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5 列</w:t>
            </w:r>
          </w:p>
        </w:tc>
        <w:tc>
          <w:tcPr>
            <w:tcW w:type="dxa" w:w="403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字段识别结果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与数据预览卡顶部对齐，底部对齐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tcBorders>
              <w:top w:sz="12" w:val="single" w:color="F97316"/>
              <w:left w:sz="12" w:val="single" w:color="F97316"/>
              <w:bottom w:sz="12" w:val="single" w:color="F97316"/>
              <w:right w:sz="12" w:val="single" w:color="F97316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C2410C"/>
                <w:sz w:val="22"/>
              </w:rPr>
              <w:t>对齐原则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38"/>
                <w:sz w:val="19"/>
              </w:rPr>
              <w:t>所有功能卡片必须依附同一个 grid 容器。禁止使用绝对定位和手工 margin 去“凑位置”。同一行卡片必须使用相同高度或 align-items: stretch；同列卡片左边界、右边界、内边距、标题基线保持一致。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4. 顶部栏与卡片式导航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顶部栏需要与开始页保持一致：左侧为风机图标和系统名称，右侧为三个卡片式导航模块。当前所在模块高亮，其他模块保持弱描边状态。点击导航卡片时切换到对应功能区域，不再依赖页面底部“下一步”按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72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导航项</w:t>
            </w:r>
          </w:p>
        </w:tc>
        <w:tc>
          <w:tcPr>
            <w:tcW w:type="dxa" w:w="2160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图标建议</w:t>
            </w:r>
          </w:p>
        </w:tc>
        <w:tc>
          <w:tcPr>
            <w:tcW w:type="dxa" w:w="3456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592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跳转目标</w:t>
            </w:r>
          </w:p>
        </w:tc>
      </w:tr>
      <w:tr>
        <w:tc>
          <w:tcPr>
            <w:tcW w:type="dxa" w:w="187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数据加载</w:t>
            </w:r>
          </w:p>
        </w:tc>
        <w:tc>
          <w:tcPr>
            <w:tcW w:type="dxa" w:w="21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文件/上传图标</w:t>
            </w:r>
          </w:p>
        </w:tc>
        <w:tc>
          <w:tcPr>
            <w:tcW w:type="dxa" w:w="345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当前页 active，高亮青蓝边框与背景光晕</w:t>
            </w:r>
          </w:p>
        </w:tc>
        <w:tc>
          <w:tcPr>
            <w:tcW w:type="dxa" w:w="259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/data-load 或 #data-load</w:t>
            </w:r>
          </w:p>
        </w:tc>
      </w:tr>
      <w:tr>
        <w:tc>
          <w:tcPr>
            <w:tcW w:type="dxa" w:w="187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预测结果</w:t>
            </w:r>
          </w:p>
        </w:tc>
        <w:tc>
          <w:tcPr>
            <w:tcW w:type="dxa" w:w="21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折线图/柱状图图标</w:t>
            </w:r>
          </w:p>
        </w:tc>
        <w:tc>
          <w:tcPr>
            <w:tcW w:type="dxa" w:w="345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未激活，白色线性图标 + 弱描边</w:t>
            </w:r>
          </w:p>
        </w:tc>
        <w:tc>
          <w:tcPr>
            <w:tcW w:type="dxa" w:w="259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/prediction 或 #prediction-result</w:t>
            </w:r>
          </w:p>
        </w:tc>
      </w:tr>
      <w:tr>
        <w:tc>
          <w:tcPr>
            <w:tcW w:type="dxa" w:w="187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DeepSeek分析</w:t>
            </w:r>
          </w:p>
        </w:tc>
        <w:tc>
          <w:tcPr>
            <w:tcW w:type="dxa" w:w="21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脑/AI 图标</w:t>
            </w:r>
          </w:p>
        </w:tc>
        <w:tc>
          <w:tcPr>
            <w:tcW w:type="dxa" w:w="345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未激活，白色线性图标 + 弱描边</w:t>
            </w:r>
          </w:p>
        </w:tc>
        <w:tc>
          <w:tcPr>
            <w:tcW w:type="dxa" w:w="259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/deepseek 或 #deepseek-analysis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A"/>
            <w:tcBorders>
              <w:top w:sz="6" w:val="single" w:color="D4E3E6"/>
              <w:left w:sz="6" w:val="single" w:color="D4E3E6"/>
              <w:bottom w:sz="6" w:val="single" w:color="D4E3E6"/>
              <w:right w:sz="6" w:val="single" w:color="D4E3E6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2262C"/>
                <w:sz w:val="17"/>
              </w:rPr>
              <w:t>&lt;header className="app-header"&gt;</w:t>
              <w:br/>
              <w:t xml:space="preserve">  &lt;div className="brand"&gt;</w:t>
              <w:br/>
              <w:t xml:space="preserve">    &lt;WindIcon /&gt;</w:t>
              <w:br/>
              <w:t xml:space="preserve">    &lt;span&gt;风力发电功率预测系统&lt;/span&gt;</w:t>
              <w:br/>
              <w:t xml:space="preserve">  &lt;/div&gt;</w:t>
              <w:br/>
              <w:t xml:space="preserve">  &lt;nav className="module-nav"&gt;</w:t>
              <w:br/>
              <w:t xml:space="preserve">    &lt;button className="nav-card active" onClick={() =&gt; go('data')}&gt;数据加载&lt;/button&gt;</w:t>
              <w:br/>
              <w:t xml:space="preserve">    &lt;button className="nav-card" onClick={() =&gt; go('prediction')}&gt;预测结果&lt;/button&gt;</w:t>
              <w:br/>
              <w:t xml:space="preserve">    &lt;button className="nav-card" onClick={() =&gt; go('deepseek')}&gt;DeepSeek分析&lt;/button&gt;</w:t>
              <w:br/>
              <w:t xml:space="preserve">  &lt;/nav&gt;</w:t>
              <w:br/>
              <w:t>&lt;/header&gt;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5. 数据导入模块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数据导入模块保留三个入口：选择样例数据、上传本地数据、拖拽上传文件。每个入口的功能说明从卡片内部删除，只保留必要标题、图标和操作按钮；更详细说明放在 hover tooltip 或帮助弹窗中。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子卡片</w:t>
            </w:r>
          </w:p>
        </w:tc>
        <w:tc>
          <w:tcPr>
            <w:tcW w:type="dxa" w:w="2304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主要控件</w:t>
            </w:r>
          </w:p>
        </w:tc>
        <w:tc>
          <w:tcPr>
            <w:tcW w:type="dxa" w:w="3600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显示规则</w:t>
            </w:r>
          </w:p>
        </w:tc>
        <w:tc>
          <w:tcPr>
            <w:tcW w:type="dxa" w:w="3168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交互状态</w:t>
            </w:r>
          </w:p>
        </w:tc>
      </w:tr>
      <w:tr>
        <w:tc>
          <w:tcPr>
            <w:tcW w:type="dxa" w:w="21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选择样例数据</w:t>
            </w:r>
          </w:p>
        </w:tc>
        <w:tc>
          <w:tcPr>
            <w:tcW w:type="dxa" w:w="230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选择按钮 / 下拉选择</w:t>
            </w:r>
          </w:p>
        </w:tc>
        <w:tc>
          <w:tcPr>
            <w:tcW w:type="dxa" w:w="36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仅显示“选择样例数据”标题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hover 高亮；点击后调用现有样例数据加载逻辑</w:t>
            </w:r>
          </w:p>
        </w:tc>
      </w:tr>
      <w:tr>
        <w:tc>
          <w:tcPr>
            <w:tcW w:type="dxa" w:w="21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上传本地数据</w:t>
            </w:r>
          </w:p>
        </w:tc>
        <w:tc>
          <w:tcPr>
            <w:tcW w:type="dxa" w:w="230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上传按钮</w:t>
            </w:r>
          </w:p>
        </w:tc>
        <w:tc>
          <w:tcPr>
            <w:tcW w:type="dxa" w:w="36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仅显示“上传本地数据”标题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点击打开文件选择器，支持 CSV / XLSX / XLS</w:t>
            </w:r>
          </w:p>
        </w:tc>
      </w:tr>
      <w:tr>
        <w:tc>
          <w:tcPr>
            <w:tcW w:type="dxa" w:w="21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拖拽上传文件</w:t>
            </w:r>
          </w:p>
        </w:tc>
        <w:tc>
          <w:tcPr>
            <w:tcW w:type="dxa" w:w="230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虚线拖拽区域</w:t>
            </w:r>
          </w:p>
        </w:tc>
        <w:tc>
          <w:tcPr>
            <w:tcW w:type="dxa" w:w="36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仅显示“将文件拖拽到此处，或点击上传”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dragover 时边框高亮；drop 后进入解析中状态</w:t>
            </w:r>
          </w:p>
        </w:tc>
      </w:tr>
    </w:tbl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前端不改变原有数据读取逻辑，只在 UI 层统一入口状态。文件上传成功后更新 dataset summary、preview rows、field recognition 和 weather station 信息。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6. 数据概况模块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数据概况模块用于告诉用户“当前加载了什么数据”。本模块需要可读、稳定、紧凑，不放长文本。建议显示数据集名称、记录数、字段数、采样间隔、时间范围、当前状态。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744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600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数据集名称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样例风电数据集</w:t>
            </w:r>
          </w:p>
        </w:tc>
        <w:tc>
          <w:tcPr>
            <w:tcW w:type="dxa" w:w="36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来自样例或文件名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记录数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10,257</w:t>
            </w:r>
          </w:p>
        </w:tc>
        <w:tc>
          <w:tcPr>
            <w:tcW w:type="dxa" w:w="36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使用千分位格式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字段数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7</w:t>
            </w:r>
          </w:p>
        </w:tc>
        <w:tc>
          <w:tcPr>
            <w:tcW w:type="dxa" w:w="36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不含或含时间列需统一口径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采样间隔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15 分钟</w:t>
            </w:r>
          </w:p>
        </w:tc>
        <w:tc>
          <w:tcPr>
            <w:tcW w:type="dxa" w:w="36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由时间列推断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时间范围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2024-01-01 00:00:00 ~ 2024-12-31 23:45:00</w:t>
            </w:r>
          </w:p>
        </w:tc>
        <w:tc>
          <w:tcPr>
            <w:tcW w:type="dxa" w:w="36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过长时换行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当前状态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加载成功 / 解析失败 / 字段待确认</w:t>
            </w:r>
          </w:p>
        </w:tc>
        <w:tc>
          <w:tcPr>
            <w:tcW w:type="dxa" w:w="36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用图标和色彩表示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7. 气象站信息与气象预警模块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气象站信息是本页新增的高优先级业务信息区。因为输入数据中包含气象数值预报数据，本页必须展示当前必要的场站气象信息，并在识别出极端天气或预警条件时给出醒目标识。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Borders>
              <w:top w:sz="12" w:val="single" w:color="3B83A2"/>
              <w:left w:sz="12" w:val="single" w:color="3B83A2"/>
              <w:bottom w:sz="12" w:val="single" w:color="3B83A2"/>
              <w:right w:sz="12" w:val="single" w:color="3B83A2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2262C"/>
                <w:sz w:val="22"/>
              </w:rPr>
              <w:t>展示内容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38"/>
                <w:sz w:val="19"/>
              </w:rPr>
              <w:t>场站名称、当前风速、风向、温度、湿度、气压、天气现象、未来 6 小时逐小时预报、预警等级、预警时段、预警说明。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气象信息项</w:t>
            </w:r>
          </w:p>
        </w:tc>
        <w:tc>
          <w:tcPr>
            <w:tcW w:type="dxa" w:w="3312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单位/格式</w:t>
            </w:r>
          </w:p>
        </w:tc>
        <w:tc>
          <w:tcPr>
            <w:tcW w:type="dxa" w:w="4032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UI 组件</w:t>
            </w:r>
          </w:p>
        </w:tc>
      </w:tr>
      <w:tr>
        <w:tc>
          <w:tcPr>
            <w:tcW w:type="dxa" w:w="259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当前风速</w:t>
            </w:r>
          </w:p>
        </w:tc>
        <w:tc>
          <w:tcPr>
            <w:tcW w:type="dxa" w:w="331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m/s</w:t>
            </w:r>
          </w:p>
        </w:tc>
        <w:tc>
          <w:tcPr>
            <w:tcW w:type="dxa" w:w="403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小型指标卡 + 风图标</w:t>
            </w:r>
          </w:p>
        </w:tc>
      </w:tr>
      <w:tr>
        <w:tc>
          <w:tcPr>
            <w:tcW w:type="dxa" w:w="259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风向</w:t>
            </w:r>
          </w:p>
        </w:tc>
        <w:tc>
          <w:tcPr>
            <w:tcW w:type="dxa" w:w="331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中文方位，例如：西北风</w:t>
            </w:r>
          </w:p>
        </w:tc>
        <w:tc>
          <w:tcPr>
            <w:tcW w:type="dxa" w:w="403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小型指标卡 + 指针图标</w:t>
            </w:r>
          </w:p>
        </w:tc>
      </w:tr>
      <w:tr>
        <w:tc>
          <w:tcPr>
            <w:tcW w:type="dxa" w:w="259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温度</w:t>
            </w:r>
          </w:p>
        </w:tc>
        <w:tc>
          <w:tcPr>
            <w:tcW w:type="dxa" w:w="331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℃</w:t>
            </w:r>
          </w:p>
        </w:tc>
        <w:tc>
          <w:tcPr>
            <w:tcW w:type="dxa" w:w="403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小型指标卡 + 温度计图标</w:t>
            </w:r>
          </w:p>
        </w:tc>
      </w:tr>
      <w:tr>
        <w:tc>
          <w:tcPr>
            <w:tcW w:type="dxa" w:w="259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湿度</w:t>
            </w:r>
          </w:p>
        </w:tc>
        <w:tc>
          <w:tcPr>
            <w:tcW w:type="dxa" w:w="331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%</w:t>
            </w:r>
          </w:p>
        </w:tc>
        <w:tc>
          <w:tcPr>
            <w:tcW w:type="dxa" w:w="403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小型指标卡 + 水滴图标</w:t>
            </w:r>
          </w:p>
        </w:tc>
      </w:tr>
      <w:tr>
        <w:tc>
          <w:tcPr>
            <w:tcW w:type="dxa" w:w="259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气压</w:t>
            </w:r>
          </w:p>
        </w:tc>
        <w:tc>
          <w:tcPr>
            <w:tcW w:type="dxa" w:w="331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hPa</w:t>
            </w:r>
          </w:p>
        </w:tc>
        <w:tc>
          <w:tcPr>
            <w:tcW w:type="dxa" w:w="403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小型指标卡 + 仪表图标</w:t>
            </w:r>
          </w:p>
        </w:tc>
      </w:tr>
      <w:tr>
        <w:tc>
          <w:tcPr>
            <w:tcW w:type="dxa" w:w="259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天气现象</w:t>
            </w:r>
          </w:p>
        </w:tc>
        <w:tc>
          <w:tcPr>
            <w:tcW w:type="dxa" w:w="331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多云 / 小雨 / 雷暴等</w:t>
            </w:r>
          </w:p>
        </w:tc>
        <w:tc>
          <w:tcPr>
            <w:tcW w:type="dxa" w:w="403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小型指标卡 + 云图标</w:t>
            </w:r>
          </w:p>
        </w:tc>
      </w:tr>
      <w:tr>
        <w:tc>
          <w:tcPr>
            <w:tcW w:type="dxa" w:w="259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逐小时预报</w:t>
            </w:r>
          </w:p>
        </w:tc>
        <w:tc>
          <w:tcPr>
            <w:tcW w:type="dxa" w:w="331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+1h 到 +6h</w:t>
            </w:r>
          </w:p>
        </w:tc>
        <w:tc>
          <w:tcPr>
            <w:tcW w:type="dxa" w:w="403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等宽横向预报条</w:t>
            </w:r>
          </w:p>
        </w:tc>
      </w:tr>
    </w:tbl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气象预警区域放置于气象站信息卡顶部右侧或顶部横条。正常状态使用蓝色/灰蓝弱提示；预警状态使用中国气象局对应颜色映射，并提高标题字号、边框亮度与背景对比。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8. 数据预览模块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数据预览模块展示前 5–6 行数据，不承担完整数据浏览器职责。保留横向滚动条；表头固定使用浅蓝透明底；数值右对齐，时间左对齐。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列名</w:t>
            </w:r>
          </w:p>
        </w:tc>
        <w:tc>
          <w:tcPr>
            <w:tcW w:type="dxa" w:w="2592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896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时间</w:t>
            </w:r>
          </w:p>
        </w:tc>
        <w:tc>
          <w:tcPr>
            <w:tcW w:type="dxa" w:w="259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2024-01-01 00:00:00</w:t>
            </w:r>
          </w:p>
        </w:tc>
        <w:tc>
          <w:tcPr>
            <w:tcW w:type="dxa" w:w="489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时间列，展示格式固定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功率(kW)</w:t>
            </w:r>
          </w:p>
        </w:tc>
        <w:tc>
          <w:tcPr>
            <w:tcW w:type="dxa" w:w="259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1250.6</w:t>
            </w:r>
          </w:p>
        </w:tc>
        <w:tc>
          <w:tcPr>
            <w:tcW w:type="dxa" w:w="489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目标功率列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风速(m/s)</w:t>
            </w:r>
          </w:p>
        </w:tc>
        <w:tc>
          <w:tcPr>
            <w:tcW w:type="dxa" w:w="259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7.85</w:t>
            </w:r>
          </w:p>
        </w:tc>
        <w:tc>
          <w:tcPr>
            <w:tcW w:type="dxa" w:w="489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气象特征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风向(°)</w:t>
            </w:r>
          </w:p>
        </w:tc>
        <w:tc>
          <w:tcPr>
            <w:tcW w:type="dxa" w:w="259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215</w:t>
            </w:r>
          </w:p>
        </w:tc>
        <w:tc>
          <w:tcPr>
            <w:tcW w:type="dxa" w:w="489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气象特征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温度(℃)</w:t>
            </w:r>
          </w:p>
        </w:tc>
        <w:tc>
          <w:tcPr>
            <w:tcW w:type="dxa" w:w="259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12.4</w:t>
            </w:r>
          </w:p>
        </w:tc>
        <w:tc>
          <w:tcPr>
            <w:tcW w:type="dxa" w:w="489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气象特征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气压(hPa)</w:t>
            </w:r>
          </w:p>
        </w:tc>
        <w:tc>
          <w:tcPr>
            <w:tcW w:type="dxa" w:w="259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1012.3</w:t>
            </w:r>
          </w:p>
        </w:tc>
        <w:tc>
          <w:tcPr>
            <w:tcW w:type="dxa" w:w="489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气象特征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湿度(%)</w:t>
            </w:r>
          </w:p>
        </w:tc>
        <w:tc>
          <w:tcPr>
            <w:tcW w:type="dxa" w:w="259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68.5</w:t>
            </w:r>
          </w:p>
        </w:tc>
        <w:tc>
          <w:tcPr>
            <w:tcW w:type="dxa" w:w="489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气象特征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9. 字段识别结果模块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字段识别必须使用中文展示，避免 time / power / windspeed 等英文直接暴露给终端用户。英文原始字段名可作为 tooltip 或二级小字。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字段类型</w:t>
            </w:r>
          </w:p>
        </w:tc>
        <w:tc>
          <w:tcPr>
            <w:tcW w:type="dxa" w:w="1728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中文显示</w:t>
            </w:r>
          </w:p>
        </w:tc>
        <w:tc>
          <w:tcPr>
            <w:tcW w:type="dxa" w:w="3168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原始字段示例</w:t>
            </w:r>
          </w:p>
        </w:tc>
        <w:tc>
          <w:tcPr>
            <w:tcW w:type="dxa" w:w="3168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展示规则</w:t>
            </w:r>
          </w:p>
        </w:tc>
      </w:tr>
      <w:tr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时间列</w:t>
            </w:r>
          </w:p>
        </w:tc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时间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time / timestamp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蓝色标签，唯一</w:t>
            </w:r>
          </w:p>
        </w:tc>
      </w:tr>
      <w:tr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目标列</w:t>
            </w:r>
          </w:p>
        </w:tc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功率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power / power_kw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青蓝标签，唯一</w:t>
            </w:r>
          </w:p>
        </w:tc>
      </w:tr>
      <w:tr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特征列</w:t>
            </w:r>
          </w:p>
        </w:tc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风速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windspeed / wind_speed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标签组展示</w:t>
            </w:r>
          </w:p>
        </w:tc>
      </w:tr>
      <w:tr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特征列</w:t>
            </w:r>
          </w:p>
        </w:tc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风向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winddirection / wind_direction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标签组展示</w:t>
            </w:r>
          </w:p>
        </w:tc>
      </w:tr>
      <w:tr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特征列</w:t>
            </w:r>
          </w:p>
        </w:tc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温度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temperature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标签组展示</w:t>
            </w:r>
          </w:p>
        </w:tc>
      </w:tr>
      <w:tr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特征列</w:t>
            </w:r>
          </w:p>
        </w:tc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气压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pressure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标签组展示</w:t>
            </w:r>
          </w:p>
        </w:tc>
      </w:tr>
      <w:tr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特征列</w:t>
            </w:r>
          </w:p>
        </w:tc>
        <w:tc>
          <w:tcPr>
            <w:tcW w:type="dxa" w:w="172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湿度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humidity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标签组展示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A"/>
            <w:tcBorders>
              <w:top w:sz="6" w:val="single" w:color="D4E3E6"/>
              <w:left w:sz="6" w:val="single" w:color="D4E3E6"/>
              <w:bottom w:sz="6" w:val="single" w:color="D4E3E6"/>
              <w:right w:sz="6" w:val="single" w:color="D4E3E6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2262C"/>
                <w:sz w:val="17"/>
              </w:rPr>
              <w:t>const FIELD_LABELS = {</w:t>
              <w:br/>
              <w:t xml:space="preserve">  time: '时间', timestamp: '时间',</w:t>
              <w:br/>
              <w:t xml:space="preserve">  power: '功率', power_kw: '功率',</w:t>
              <w:br/>
              <w:t xml:space="preserve">  windspeed: '风速', wind_speed: '风速',</w:t>
              <w:br/>
              <w:t xml:space="preserve">  winddirection: '风向', wind_direction: '风向',</w:t>
              <w:br/>
              <w:t xml:space="preserve">  temperature: '温度', pressure: '气压', humidity: '湿度'</w:t>
              <w:br/>
              <w:t>};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10. 组件化实现方案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建议先在现有页面中做轻量组件化，不立即重构后端接口。组件拆分目标是让 UI 稳定、便于二次迭代，并降低 App.jsx 的复杂度。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448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组件名</w:t>
            </w:r>
          </w:p>
        </w:tc>
        <w:tc>
          <w:tcPr>
            <w:tcW w:type="dxa" w:w="3744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744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 props</w:t>
            </w:r>
          </w:p>
        </w:tc>
      </w:tr>
      <w:tr>
        <w:tc>
          <w:tcPr>
            <w:tcW w:type="dxa" w:w="244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AppHeader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系统名称与卡片式模块导航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activeModule, onNavigate</w:t>
            </w:r>
          </w:p>
        </w:tc>
      </w:tr>
      <w:tr>
        <w:tc>
          <w:tcPr>
            <w:tcW w:type="dxa" w:w="244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DataLoadPage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数据加载页整体布局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dataset, weather, fields, previewRows</w:t>
            </w:r>
          </w:p>
        </w:tc>
      </w:tr>
      <w:tr>
        <w:tc>
          <w:tcPr>
            <w:tcW w:type="dxa" w:w="244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ImportPanel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样例数据、本地上传、拖拽上传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onLoadSample, onUploadFile, loading</w:t>
            </w:r>
          </w:p>
        </w:tc>
      </w:tr>
      <w:tr>
        <w:tc>
          <w:tcPr>
            <w:tcW w:type="dxa" w:w="244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DatasetSummaryCard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数据概况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summary</w:t>
            </w:r>
          </w:p>
        </w:tc>
      </w:tr>
      <w:tr>
        <w:tc>
          <w:tcPr>
            <w:tcW w:type="dxa" w:w="244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WeatherStationCard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场站气象、预警、逐小时预报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weather, warning</w:t>
            </w:r>
          </w:p>
        </w:tc>
      </w:tr>
      <w:tr>
        <w:tc>
          <w:tcPr>
            <w:tcW w:type="dxa" w:w="244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DataPreviewTable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前 5–6 行数据预览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rows, columns</w:t>
            </w:r>
          </w:p>
        </w:tc>
      </w:tr>
      <w:tr>
        <w:tc>
          <w:tcPr>
            <w:tcW w:type="dxa" w:w="244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FieldRecognitionCard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中文字段识别结果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fields</w:t>
            </w:r>
          </w:p>
        </w:tc>
      </w:tr>
      <w:tr>
        <w:tc>
          <w:tcPr>
            <w:tcW w:type="dxa" w:w="244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WarningBanner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气象预警横条</w:t>
            </w:r>
          </w:p>
        </w:tc>
        <w:tc>
          <w:tcPr>
            <w:tcW w:type="dxa" w:w="374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warningLevel, warningType, message, period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11. CSS 变量与样式实现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建议将视觉变量集中放在 src/styles/tokens.css 或 src/index.css 中。卡片统一通过 .glass-card 管理背景、边框、阴影、圆角和 backdrop-filter。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A"/>
            <w:tcBorders>
              <w:top w:sz="6" w:val="single" w:color="D4E3E6"/>
              <w:left w:sz="6" w:val="single" w:color="D4E3E6"/>
              <w:bottom w:sz="6" w:val="single" w:color="D4E3E6"/>
              <w:right w:sz="6" w:val="single" w:color="D4E3E6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2262C"/>
                <w:sz w:val="17"/>
              </w:rPr>
              <w:t>:root {</w:t>
              <w:br/>
              <w:t xml:space="preserve">  --deep: #12262C;</w:t>
              <w:br/>
              <w:t xml:space="preserve">  --bg-deep: #061827;</w:t>
              <w:br/>
              <w:t xml:space="preserve">  --card-bg: rgba(18, 38, 44, 0.72);</w:t>
              <w:br/>
              <w:t xml:space="preserve">  --card-border: rgba(124, 164, 177, 0.42);</w:t>
              <w:br/>
              <w:t xml:space="preserve">  --primary: #3B83A2;</w:t>
              <w:br/>
              <w:t xml:space="preserve">  --primary-glow: #2ED3FF;</w:t>
              <w:br/>
              <w:t xml:space="preserve">  --muted-blue: #7CA4B1;</w:t>
              <w:br/>
              <w:t xml:space="preserve">  --text-main: rgba(255,255,255,0.94);</w:t>
              <w:br/>
              <w:t xml:space="preserve">  --text-sub: rgba(212,227,230,0.72);</w:t>
              <w:br/>
              <w:t xml:space="preserve">  --warning-blue: #2FA7F7;</w:t>
              <w:br/>
              <w:t xml:space="preserve">  --warning-yellow: #FACC15;</w:t>
              <w:br/>
              <w:t xml:space="preserve">  --warning-orange: #F97316;</w:t>
              <w:br/>
              <w:t xml:space="preserve">  --warning-red: #EF4444;</w:t>
              <w:br/>
              <w:t>}</w:t>
              <w:br/>
              <w:br/>
              <w:t>.page-shell {</w:t>
              <w:br/>
              <w:t xml:space="preserve">  min-height: 100vh;</w:t>
              <w:br/>
              <w:t xml:space="preserve">  background:</w:t>
              <w:br/>
              <w:t xml:space="preserve">    radial-gradient(circle at 50% 0%, rgba(59,131,162,0.18), transparent 38%),</w:t>
              <w:br/>
              <w:t xml:space="preserve">    linear-gradient(180deg, #061827 0%, #09233A 100%);</w:t>
              <w:br/>
              <w:t xml:space="preserve">  color: var(--text-main);</w:t>
              <w:br/>
              <w:t>}</w:t>
              <w:br/>
              <w:br/>
              <w:t>.glass-card {</w:t>
              <w:br/>
              <w:t xml:space="preserve">  background: var(--card-bg);</w:t>
              <w:br/>
              <w:t xml:space="preserve">  border: 1px solid var(--card-border);</w:t>
              <w:br/>
              <w:t xml:space="preserve">  border-radius: 14px;</w:t>
              <w:br/>
              <w:t xml:space="preserve">  box-shadow: 0 16px 40px rgba(0,0,0,0.22), inset 0 1px 0 rgba(255,255,255,0.08);</w:t>
              <w:br/>
              <w:t xml:space="preserve">  backdrop-filter: blur(14px);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A"/>
            <w:tcBorders>
              <w:top w:sz="6" w:val="single" w:color="D4E3E6"/>
              <w:left w:sz="6" w:val="single" w:color="D4E3E6"/>
              <w:bottom w:sz="6" w:val="single" w:color="D4E3E6"/>
              <w:right w:sz="6" w:val="single" w:color="D4E3E6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2262C"/>
                <w:sz w:val="17"/>
              </w:rPr>
              <w:t>.data-load-grid {</w:t>
              <w:br/>
              <w:t xml:space="preserve">  display: grid;</w:t>
              <w:br/>
              <w:t xml:space="preserve">  grid-template-columns: repeat(12, minmax(0, 1fr));</w:t>
              <w:br/>
              <w:t xml:space="preserve">  gap: 16px;</w:t>
              <w:br/>
              <w:t xml:space="preserve">  align-items: stretch;</w:t>
              <w:br/>
              <w:t>}</w:t>
              <w:br/>
              <w:br/>
              <w:t>.import-panel { grid-column: span 5; }</w:t>
              <w:br/>
              <w:t>.weather-card { grid-column: span 7; }</w:t>
              <w:br/>
              <w:t>.summary-card { grid-column: span 5; }</w:t>
              <w:br/>
              <w:t>.preview-card { grid-column: span 7; }</w:t>
              <w:br/>
              <w:t>.field-card { grid-column: span 5; }</w:t>
              <w:br/>
              <w:br/>
              <w:t>.data-load-grid &gt; .glass-card {</w:t>
              <w:br/>
              <w:t xml:space="preserve">  height: 100%;</w:t>
              <w:br/>
              <w:t>}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12. 气象识别模式与中国气象局标准依据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气象识别模式的划分依据采用中国气象局《气象灾害预警信号发布与传播办法》及其“气象灾害预警信号及防御指南”。该办法规定，气象灾害预警信号级别通常按危害程度、紧急程度和发展态势划分为四级：Ⅳ级、Ⅲ级、Ⅱ级、Ⅰ级，依次用蓝色、黄色、橙色和红色表示。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本页首期建议优先实现“大风预警”识别，因为风电场景中大风对机组安全、功率曲线、限功率策略和预测稳定性影响最大。其他天气预警如暴雨、雷电、冰雹、高温、寒潮等，可在后续版本基于更完整的气象要素数据继续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584"/>
            <w:shd w:fill="3B83A2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预警等级</w:t>
            </w:r>
          </w:p>
        </w:tc>
        <w:tc>
          <w:tcPr>
            <w:tcW w:type="dxa" w:w="1152"/>
            <w:shd w:fill="3B83A2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颜色</w:t>
            </w:r>
          </w:p>
        </w:tc>
        <w:tc>
          <w:tcPr>
            <w:tcW w:type="dxa" w:w="5760"/>
            <w:shd w:fill="3B83A2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中国气象局大风预警判定标准</w:t>
            </w:r>
          </w:p>
        </w:tc>
        <w:tc>
          <w:tcPr>
            <w:tcW w:type="dxa" w:w="2880"/>
            <w:shd w:fill="3B83A2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UI 显示建议</w:t>
            </w:r>
          </w:p>
        </w:tc>
      </w:tr>
      <w:tr>
        <w:tc>
          <w:tcPr>
            <w:tcW w:type="dxa" w:w="15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Ⅳ级 一般</w:t>
            </w:r>
          </w:p>
        </w:tc>
        <w:tc>
          <w:tcPr>
            <w:tcW w:type="dxa" w:w="115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蓝色</w:t>
            </w:r>
          </w:p>
        </w:tc>
        <w:tc>
          <w:tcPr>
            <w:tcW w:type="dxa" w:w="57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24 小时内可能受大风影响，平均风力可达 6 级以上，或者阵风 7 级以上；或已受影响，平均风力 6–7 级，或者阵风 7–8 级并可能持续。</w:t>
            </w:r>
          </w:p>
        </w:tc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蓝色高亮边框，标题“气象预警：大风蓝色预警”。</w:t>
            </w:r>
          </w:p>
        </w:tc>
      </w:tr>
      <w:tr>
        <w:tc>
          <w:tcPr>
            <w:tcW w:type="dxa" w:w="15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Ⅲ级 较重</w:t>
            </w:r>
          </w:p>
        </w:tc>
        <w:tc>
          <w:tcPr>
            <w:tcW w:type="dxa" w:w="115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黄色</w:t>
            </w:r>
          </w:p>
        </w:tc>
        <w:tc>
          <w:tcPr>
            <w:tcW w:type="dxa" w:w="57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12 小时内可能受大风影响，平均风力可达 8 级以上，或者阵风 9 级以上；或已受影响，平均风力 8–9 级，或者阵风 9–10 级并可能持续。</w:t>
            </w:r>
          </w:p>
        </w:tc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黄色边框和图标，提示加强检查。</w:t>
            </w:r>
          </w:p>
        </w:tc>
      </w:tr>
      <w:tr>
        <w:tc>
          <w:tcPr>
            <w:tcW w:type="dxa" w:w="15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Ⅱ级 严重</w:t>
            </w:r>
          </w:p>
        </w:tc>
        <w:tc>
          <w:tcPr>
            <w:tcW w:type="dxa" w:w="115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橙色</w:t>
            </w:r>
          </w:p>
        </w:tc>
        <w:tc>
          <w:tcPr>
            <w:tcW w:type="dxa" w:w="57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6 小时内可能受大风影响，平均风力可达 10 级以上，或者阵风 11 级以上；或已受影响，平均风力 10–11 级，或者阵风 11–12 级并可能持续。</w:t>
            </w:r>
          </w:p>
        </w:tc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橙色警示条，进入重点关注状态。</w:t>
            </w:r>
          </w:p>
        </w:tc>
      </w:tr>
      <w:tr>
        <w:tc>
          <w:tcPr>
            <w:tcW w:type="dxa" w:w="15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Ⅰ级 特别严重</w:t>
            </w:r>
          </w:p>
        </w:tc>
        <w:tc>
          <w:tcPr>
            <w:tcW w:type="dxa" w:w="1152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红色</w:t>
            </w:r>
          </w:p>
        </w:tc>
        <w:tc>
          <w:tcPr>
            <w:tcW w:type="dxa" w:w="576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6 小时内可能受大风影响，平均风力可达 12 级以上，或者阵风 13 级以上；或已受影响，平均风力 12 级以上，或者阵风 13 级以上并可能持续。</w:t>
            </w:r>
          </w:p>
        </w:tc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红色强警示，建议弹出确认或置顶锁定。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EF3C7"/>
            <w:tcBorders>
              <w:top w:sz="12" w:val="single" w:color="F59E0B"/>
              <w:left w:sz="12" w:val="single" w:color="F59E0B"/>
              <w:bottom w:sz="12" w:val="single" w:color="F59E0B"/>
              <w:right w:sz="12" w:val="single" w:color="F59E0B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2400E"/>
                <w:sz w:val="22"/>
              </w:rPr>
              <w:t>重要实现约束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38"/>
                <w:sz w:val="19"/>
              </w:rPr>
              <w:t>预警文字的颜色等级应与中国气象局标准保持一致。即“蓝色预警”不应被长期渲染成橙色或红色。若需要提高醒目程度，应通过发光边框、加粗标题、图标、置顶位置和高对比背景来增强，而不是改变预警等级本身的标准色含义。</w:t>
            </w:r>
          </w:p>
        </w:tc>
      </w:tr>
    </w:tbl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2262C"/>
          <w:sz w:val="30"/>
        </w:rPr>
        <w:t>大风预警识别伪代码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A"/>
            <w:tcBorders>
              <w:top w:sz="6" w:val="single" w:color="D4E3E6"/>
              <w:left w:sz="6" w:val="single" w:color="D4E3E6"/>
              <w:bottom w:sz="6" w:val="single" w:color="D4E3E6"/>
              <w:right w:sz="6" w:val="single" w:color="D4E3E6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2262C"/>
                <w:sz w:val="17"/>
              </w:rPr>
              <w:t>function classifyWindWarning(forecast) {</w:t>
              <w:br/>
              <w:t xml:space="preserve">  // forecast: 未来若干小时气象数组；字段可包括 meanWindLevel、gustLevel、meanWindSpeed、gustSpeed</w:t>
              <w:br/>
              <w:t xml:space="preserve">  // 若只有 m/s，需要先换算为蒲福风级；若已有风级，直接使用风级。</w:t>
              <w:br/>
              <w:t xml:space="preserve">  const max6h = maxByHorizon(forecast, 6);</w:t>
              <w:br/>
              <w:t xml:space="preserve">  const max12h = maxByHorizon(forecast, 12);</w:t>
              <w:br/>
              <w:t xml:space="preserve">  const max24h = maxByHorizon(forecast, 24);</w:t>
              <w:br/>
              <w:br/>
              <w:t xml:space="preserve">  if (max6h.meanWindLevel &gt;= 12 || max6h.gustLevel &gt;= 13) {</w:t>
              <w:br/>
              <w:t xml:space="preserve">    return { level: 'red', label: '大风红色预警', severity: 1 };</w:t>
              <w:br/>
              <w:t xml:space="preserve">  }</w:t>
              <w:br/>
              <w:t xml:space="preserve">  if (max6h.meanWindLevel &gt;= 10 || max6h.gustLevel &gt;= 11) {</w:t>
              <w:br/>
              <w:t xml:space="preserve">    return { level: 'orange', label: '大风橙色预警', severity: 2 };</w:t>
              <w:br/>
              <w:t xml:space="preserve">  }</w:t>
              <w:br/>
              <w:t xml:space="preserve">  if (max12h.meanWindLevel &gt;= 8 || max12h.gustLevel &gt;= 9) {</w:t>
              <w:br/>
              <w:t xml:space="preserve">    return { level: 'yellow', label: '大风黄色预警', severity: 3 };</w:t>
              <w:br/>
              <w:t xml:space="preserve">  }</w:t>
              <w:br/>
              <w:t xml:space="preserve">  if (max24h.meanWindLevel &gt;= 6 || max24h.gustLevel &gt;= 7) {</w:t>
              <w:br/>
              <w:t xml:space="preserve">    return { level: 'blue', label: '大风蓝色预警', severity: 4 };</w:t>
              <w:br/>
              <w:t xml:space="preserve">  }</w:t>
              <w:br/>
              <w:t xml:space="preserve">  return { level: 'none', label: '暂无气象预警', severity: 0 };</w:t>
              <w:br/>
              <w:t>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7CA4B1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蒲福风级</w:t>
            </w:r>
          </w:p>
        </w:tc>
        <w:tc>
          <w:tcPr>
            <w:tcW w:type="dxa" w:w="2880"/>
            <w:shd w:fill="7CA4B1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风速范围 m/s</w:t>
            </w:r>
          </w:p>
        </w:tc>
        <w:tc>
          <w:tcPr>
            <w:tcW w:type="dxa" w:w="4608"/>
            <w:shd w:fill="7CA4B1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用于判断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6 级</w:t>
            </w:r>
          </w:p>
        </w:tc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10.8–13.8</w:t>
            </w:r>
          </w:p>
        </w:tc>
        <w:tc>
          <w:tcPr>
            <w:tcW w:type="dxa" w:w="460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大风蓝色预警平均风力阈值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7 级</w:t>
            </w:r>
          </w:p>
        </w:tc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13.9–17.1</w:t>
            </w:r>
          </w:p>
        </w:tc>
        <w:tc>
          <w:tcPr>
            <w:tcW w:type="dxa" w:w="460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大风蓝色预警阵风阈值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8 级</w:t>
            </w:r>
          </w:p>
        </w:tc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17.2–20.7</w:t>
            </w:r>
          </w:p>
        </w:tc>
        <w:tc>
          <w:tcPr>
            <w:tcW w:type="dxa" w:w="460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大风黄色预警平均风力阈值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9 级</w:t>
            </w:r>
          </w:p>
        </w:tc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20.8–24.4</w:t>
            </w:r>
          </w:p>
        </w:tc>
        <w:tc>
          <w:tcPr>
            <w:tcW w:type="dxa" w:w="460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大风黄色预警阵风阈值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10 级</w:t>
            </w:r>
          </w:p>
        </w:tc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24.5–28.4</w:t>
            </w:r>
          </w:p>
        </w:tc>
        <w:tc>
          <w:tcPr>
            <w:tcW w:type="dxa" w:w="460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大风橙色预警平均风力阈值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11 级</w:t>
            </w:r>
          </w:p>
        </w:tc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28.5–32.6</w:t>
            </w:r>
          </w:p>
        </w:tc>
        <w:tc>
          <w:tcPr>
            <w:tcW w:type="dxa" w:w="460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大风橙色预警阵风阈值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12 级及以上</w:t>
            </w:r>
          </w:p>
        </w:tc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≥32.7</w:t>
            </w:r>
          </w:p>
        </w:tc>
        <w:tc>
          <w:tcPr>
            <w:tcW w:type="dxa" w:w="460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大风红色预警平均风力阈值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13 级及以上</w:t>
            </w:r>
          </w:p>
        </w:tc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按业务数据风级字段或阵风扩展规则</w:t>
            </w:r>
          </w:p>
        </w:tc>
        <w:tc>
          <w:tcPr>
            <w:tcW w:type="dxa" w:w="460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大风红色预警阵风阈值</w:t>
            </w:r>
          </w:p>
        </w:tc>
      </w:tr>
    </w:tbl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工程注意：不同数据源可能直接给出风速 m/s、风级、阵风风速或阵风风级。实现时应先统一数据字典和换算规则，再执行预警识别。若数据缺少阵风字段，首期可只使用平均风速/平均风力进行保守提示，并在 UI 中标注“阵风数据缺失”。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13. 接口数据结构建议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为了在不改动算法的前提下支持 UI，本页建议在前端适配层构造统一 ViewModel。后端若已有字段名称不同，可以在 API adapter 中映射，不直接污染 UI 组件。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A"/>
            <w:tcBorders>
              <w:top w:sz="6" w:val="single" w:color="D4E3E6"/>
              <w:left w:sz="6" w:val="single" w:color="D4E3E6"/>
              <w:bottom w:sz="6" w:val="single" w:color="D4E3E6"/>
              <w:right w:sz="6" w:val="single" w:color="D4E3E6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2262C"/>
                <w:sz w:val="17"/>
              </w:rPr>
              <w:t>type DataLoadViewModel = {</w:t>
              <w:br/>
              <w:t xml:space="preserve">  dataset: {</w:t>
              <w:br/>
              <w:t xml:space="preserve">    name: string;</w:t>
              <w:br/>
              <w:t xml:space="preserve">    rowCount: number;</w:t>
              <w:br/>
              <w:t xml:space="preserve">    fieldCount: number;</w:t>
              <w:br/>
              <w:t xml:space="preserve">    frequency: string;</w:t>
              <w:br/>
              <w:t xml:space="preserve">    timeRange: [string, string];</w:t>
              <w:br/>
              <w:t xml:space="preserve">    status: 'empty' | 'loading' | 'success' | 'error';</w:t>
              <w:br/>
              <w:t xml:space="preserve">  };</w:t>
              <w:br/>
              <w:t xml:space="preserve">  weather: {</w:t>
              <w:br/>
              <w:t xml:space="preserve">    stationName: string;</w:t>
              <w:br/>
              <w:t xml:space="preserve">    current: {</w:t>
              <w:br/>
              <w:t xml:space="preserve">      windSpeed: number; windDirectionText: string; temperature: number;</w:t>
              <w:br/>
              <w:t xml:space="preserve">      humidity: number; pressure: number; weatherText: string;</w:t>
              <w:br/>
              <w:t xml:space="preserve">    };</w:t>
              <w:br/>
              <w:t xml:space="preserve">    hourly: Array&lt;{ time: string; weatherText: string; windSpeed: number; temperature: number }&gt;;</w:t>
              <w:br/>
              <w:t xml:space="preserve">    warning: {</w:t>
              <w:br/>
              <w:t xml:space="preserve">      level: 'none' | 'blue' | 'yellow' | 'orange' | 'red';</w:t>
              <w:br/>
              <w:t xml:space="preserve">      type: '大风' | '暴雨' | '雷电' | '高温' | string;</w:t>
              <w:br/>
              <w:t xml:space="preserve">      title: string;</w:t>
              <w:br/>
              <w:t xml:space="preserve">      message: string;</w:t>
              <w:br/>
              <w:t xml:space="preserve">      period: string;</w:t>
              <w:br/>
              <w:t xml:space="preserve">    };</w:t>
              <w:br/>
              <w:t xml:space="preserve">  };</w:t>
              <w:br/>
              <w:t xml:space="preserve">  previewRows: Record&lt;string, string | number&gt;[];</w:t>
              <w:br/>
              <w:t xml:space="preserve">  fields: {</w:t>
              <w:br/>
              <w:t xml:space="preserve">    time: { label: '时间'; rawName: string };</w:t>
              <w:br/>
              <w:t xml:space="preserve">    target: { label: '功率'; rawName: string };</w:t>
              <w:br/>
              <w:t xml:space="preserve">    features: Array&lt;{ label: string; rawName: string }&gt;;</w:t>
              <w:br/>
              <w:t xml:space="preserve">  };</w:t>
              <w:br/>
              <w:t>};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14. 响应式与异常状态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0F172A"/>
          <w:sz w:val="21"/>
        </w:rPr>
        <w:t>桌面端优先按 1600×900 或 1440×900 设计；平板和小屏幕应自动改为单列堆叠。气象预警卡在任何断点都必须保持可见，不应被表格挤出首屏。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168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5184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UI 表现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空数据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未选择样例且未上传文件</w:t>
            </w:r>
          </w:p>
        </w:tc>
        <w:tc>
          <w:tcPr>
            <w:tcW w:type="dxa" w:w="51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数据概况显示“等待加载”，表格显示空状态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解析中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上传后字段识别未完成</w:t>
            </w:r>
          </w:p>
        </w:tc>
        <w:tc>
          <w:tcPr>
            <w:tcW w:type="dxa" w:w="51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按钮 loading，卡片增加进度条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加载成功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数据通过格式校验</w:t>
            </w:r>
          </w:p>
        </w:tc>
        <w:tc>
          <w:tcPr>
            <w:tcW w:type="dxa" w:w="51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数据概况显示成功，字段识别点亮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字段缺失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缺少时间列或目标列</w:t>
            </w:r>
          </w:p>
        </w:tc>
        <w:tc>
          <w:tcPr>
            <w:tcW w:type="dxa" w:w="51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字段识别卡显示红色错误标签，禁止进入预测结果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气象数据缺失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缺少天气字段或 NWP 数据</w:t>
            </w:r>
          </w:p>
        </w:tc>
        <w:tc>
          <w:tcPr>
            <w:tcW w:type="dxa" w:w="51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气象卡显示“气象数据待补充”，不触发预警</w:t>
            </w:r>
          </w:p>
        </w:tc>
      </w:tr>
      <w:tr>
        <w:tc>
          <w:tcPr>
            <w:tcW w:type="dxa" w:w="2016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气象预警</w:t>
            </w:r>
          </w:p>
        </w:tc>
        <w:tc>
          <w:tcPr>
            <w:tcW w:type="dxa" w:w="3168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满足中国气象局对应预警标准</w:t>
            </w:r>
          </w:p>
        </w:tc>
        <w:tc>
          <w:tcPr>
            <w:tcW w:type="dxa" w:w="5184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警示卡高亮，按等级映射颜色显示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7FA"/>
            <w:tcBorders>
              <w:top w:sz="6" w:val="single" w:color="D4E3E6"/>
              <w:left w:sz="6" w:val="single" w:color="D4E3E6"/>
              <w:bottom w:sz="6" w:val="single" w:color="D4E3E6"/>
              <w:right w:sz="6" w:val="single" w:color="D4E3E6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2262C"/>
                <w:sz w:val="17"/>
              </w:rPr>
              <w:t>@media (max-width: 1200px) {</w:t>
              <w:br/>
              <w:t xml:space="preserve">  .data-load-grid { grid-template-columns: repeat(6, minmax(0, 1fr)); }</w:t>
              <w:br/>
              <w:t xml:space="preserve">  .import-panel, .weather-card, .summary-card, .preview-card, .field-card { grid-column: span 6; }</w:t>
              <w:br/>
              <w:t>}</w:t>
              <w:br/>
              <w:br/>
              <w:t>@media (max-width: 768px) {</w:t>
              <w:br/>
              <w:t xml:space="preserve">  .app-header { flex-direction: column; align-items: stretch; }</w:t>
              <w:br/>
              <w:t xml:space="preserve">  .module-nav { grid-template-columns: 1fr; }</w:t>
              <w:br/>
              <w:t xml:space="preserve">  .metric-row { grid-template-columns: repeat(2, 1fr); }</w:t>
              <w:br/>
              <w:t>}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2262C"/>
          <w:sz w:val="36"/>
        </w:rPr>
        <w:t>15. 验收清单与参考来源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7200"/>
            <w:shd w:fill="12262C"/>
            <w:tcBorders>
              <w:top w:sz="4" w:val="single" w:color="7CA4B1"/>
              <w:left w:sz="4" w:val="single" w:color="7CA4B1"/>
              <w:bottom w:sz="4" w:val="single" w:color="7CA4B1"/>
              <w:right w:sz="4" w:val="single" w:color="7CA4B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顶部栏一致性</w:t>
            </w:r>
          </w:p>
        </w:tc>
        <w:tc>
          <w:tcPr>
            <w:tcW w:type="dxa" w:w="72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与开始页保持同一风机图标、系统名称、深色玻璃质感和高亮逻辑</w:t>
            </w:r>
          </w:p>
        </w:tc>
      </w:tr>
      <w:tr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模块说明删除</w:t>
            </w:r>
          </w:p>
        </w:tc>
        <w:tc>
          <w:tcPr>
            <w:tcW w:type="dxa" w:w="72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导航卡片、数据导入卡片不出现冗长说明；必要说明进入 tooltip 或帮助入口</w:t>
            </w:r>
          </w:p>
        </w:tc>
      </w:tr>
      <w:tr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对齐</w:t>
            </w:r>
          </w:p>
        </w:tc>
        <w:tc>
          <w:tcPr>
            <w:tcW w:type="dxa" w:w="72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所有卡片边界、行高、列宽、内边距统一；同一行上下对齐</w:t>
            </w:r>
          </w:p>
        </w:tc>
      </w:tr>
      <w:tr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气象预警醒目</w:t>
            </w:r>
          </w:p>
        </w:tc>
        <w:tc>
          <w:tcPr>
            <w:tcW w:type="dxa" w:w="72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预警区域置顶、标题字号大、边框高亮、图标明确</w:t>
            </w:r>
          </w:p>
        </w:tc>
      </w:tr>
      <w:tr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气象标准正确</w:t>
            </w:r>
          </w:p>
        </w:tc>
        <w:tc>
          <w:tcPr>
            <w:tcW w:type="dxa" w:w="72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预警等级颜色与中国气象局蓝/黄/橙/红标准一致</w:t>
            </w:r>
          </w:p>
        </w:tc>
      </w:tr>
      <w:tr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字段中文化</w:t>
            </w:r>
          </w:p>
        </w:tc>
        <w:tc>
          <w:tcPr>
            <w:tcW w:type="dxa" w:w="72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时间列、目标列、特征列全部中文显示，英文仅作为原始字段名或 tooltip</w:t>
            </w:r>
          </w:p>
        </w:tc>
      </w:tr>
      <w:tr>
        <w:tc>
          <w:tcPr>
            <w:tcW w:type="dxa" w:w="288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不改算法</w:t>
            </w:r>
          </w:p>
        </w:tc>
        <w:tc>
          <w:tcPr>
            <w:tcW w:type="dxa" w:w="7200"/>
            <w:shd w:fill="FFFFFF"/>
            <w:tcBorders>
              <w:top w:sz="4" w:val="single" w:color="D4E3E6"/>
              <w:left w:sz="4" w:val="single" w:color="D4E3E6"/>
              <w:bottom w:sz="4" w:val="single" w:color="D4E3E6"/>
              <w:right w:sz="4" w:val="single" w:color="D4E3E6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2262C"/>
                <w:sz w:val="17"/>
              </w:rPr>
              <w:t>本次只改 UI 与前端展示适配，不改预测算法和数据集本体</w:t>
            </w:r>
          </w:p>
        </w:tc>
      </w:tr>
    </w:tbl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2262C"/>
          <w:sz w:val="30"/>
        </w:rPr>
        <w:t>参考来源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374151"/>
          <w:sz w:val="17"/>
        </w:rPr>
        <w:t>中国气象局：《气象灾害预警信号发布与传播办法》（中国气象局第16号令，2007年6月12日公布）。https://www.cma.gov.cn/gzk/202005/t20200528_1694399.html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374151"/>
          <w:sz w:val="17"/>
        </w:rPr>
        <w:t>中国气象局政府门户网站：大风预警信号，来源为《气象灾害预警信号发布与传播办法》。https://www.cma.gov.cn/2011xzt/2022zt/20220330/2022033011/202204/t20220412_4750933.html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374151"/>
          <w:sz w:val="17"/>
        </w:rPr>
        <w:t>中国政府网：气象灾害预警信号发布与传播办法（气象局令第16号）。https://www.gov.cn/flfg/2007-06/28/content_665217.htm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374151"/>
          <w:sz w:val="17"/>
        </w:rPr>
        <w:t>中国天气网：大风预警信号识别。https://www.weather.com.cn/index/lssj/12/375163.shtml</w:t>
      </w:r>
    </w:p>
    <w:sectPr w:rsidR="00FC693F" w:rsidRPr="0006063C" w:rsidSect="00034616"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6"/>
      </w:rPr>
      <w:t>风力发电功率预测系统 · 数据加载页面 UI 设计与技术实现说明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风力发电功率预测系统 数据加载页面 UI 设计与技术实现说明</dc:title>
  <dc:subject>UI设计说明、技术实现、气象预警标准</dc:subject>
  <dc:creator>OpenAI</dc:creator>
  <cp:keywords/>
  <dc:description>Generated for UI design handoff.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