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Noto Sans CJK SC" w:hAnsi="Noto Sans CJK SC" w:eastAsia="Noto Sans CJK SC"/>
          <w:b/>
          <w:color w:val="12262C"/>
          <w:sz w:val="48"/>
        </w:rPr>
        <w:t>风力发电功率预测系统</w:t>
        <w:br/>
        <w:t>预测结果页面 UI 设计与技术实现说明</w:t>
      </w:r>
    </w:p>
    <w:p>
      <w:pPr>
        <w:jc w:val="center"/>
      </w:pPr>
      <w:r>
        <w:rPr>
          <w:rFonts w:ascii="Noto Sans CJK SC" w:hAnsi="Noto Sans CJK SC" w:eastAsia="Noto Sans CJK SC"/>
          <w:color w:val="3B83A2"/>
          <w:sz w:val="26"/>
        </w:rPr>
        <w:t>预测结果页 / Prediction Results Page</w:t>
      </w:r>
    </w:p>
    <w:p>
      <w:pPr>
        <w:jc w:val="center"/>
      </w:pPr>
      <w:r>
        <w:rPr>
          <w:rFonts w:ascii="Noto Sans CJK SC" w:hAnsi="Noto Sans CJK SC" w:eastAsia="Noto Sans CJK SC"/>
          <w:color w:val="64748B"/>
          <w:sz w:val="22"/>
        </w:rPr>
        <w:t>V1.0  |  2026-05-05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Borders>
              <w:top w:sz="10" w:val="single" w:color="3B83A2"/>
              <w:left w:sz="10" w:val="single" w:color="3B83A2"/>
              <w:bottom w:sz="10" w:val="single" w:color="3B83A2"/>
              <w:right w:sz="10" w:val="single" w:color="3B83A2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2262C"/>
                <w:sz w:val="22"/>
              </w:rPr>
              <w:t>文档范围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38"/>
                <w:sz w:val="19"/>
              </w:rPr>
              <w:t>本说明仅覆盖“预测结果”页面的 UI 设计、交互逻辑、组件拆分与前端实现细节。数据集、算法本体、模型训练与后端预测逻辑不在本轮修改范围内；前端仅消费现有接口返回结果并优化呈现。</w:t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/>
          <w:color w:val="64748B"/>
          <w:sz w:val="20"/>
        </w:rPr>
        <w:t>面向：前端开发 / UI 评审 / 项目协作交付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目录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1. 页面设计结论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2. 与数据加载页保持一致的视觉基准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3. 最终页面结构与删除项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4. 顶部栏与模块导航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5. 顶部预测状态卡片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6. 功率预测趋势图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7. 趋势图点击放大交互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8. 模型评估指标与模型对比策略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9. 误差分析模块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10. 预测摘要模块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11. 前端组件拆分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12. 数据 ViewModel 与接口适配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13. 样式变量与 CSS 实现建议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14. 交互状态与异常状态</w:t>
      </w:r>
    </w:p>
    <w:p>
      <w:pPr>
        <w:spacing w:after="4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15. 验收清单与参考依据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1. 页面设计结论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预测结果页是“数据加载”完成后的第二个业务模块，核心职责是展示风电功率预测结果、模型评估指标、误差变化趋势和预测摘要。页面风格、顶栏、卡片边框、暗色背景、青蓝高亮、文字层级和布局密度均应与已确认的数据加载页保持一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BFC"/>
            <w:tcBorders>
              <w:top w:sz="10" w:val="single" w:color="3B83A2"/>
              <w:left w:sz="10" w:val="single" w:color="3B83A2"/>
              <w:bottom w:sz="10" w:val="single" w:color="3B83A2"/>
              <w:right w:sz="10" w:val="single" w:color="3B83A2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2262C"/>
                <w:sz w:val="22"/>
              </w:rPr>
              <w:t>最终确认点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38"/>
                <w:sz w:val="19"/>
              </w:rPr>
              <w:t>1）导航栏下方不再单独显示“预测结果”大标题；2）“查看详细报告”按钮删除，详细解释留给 DeepSeek 分析模块；3）功率预测趋势图支持直接点击放大；4）模型对比为可选功能，默认只使用 iManformer 模型；5）是否展示对比表、参与对比的模型列表均可由用户或配置决定；6）所有卡片采用网格对齐，避免功能区漂移。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2. 与数据加载页保持一致的视觉基准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本页必须复用数据加载页已经确定的视觉语言，不重新创造另一套页面风格。核心原则是：同一顶栏、同一模块导航、同一磨砂玻璃卡片、同一青蓝高亮、同一深色背景层次。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设计项</w:t>
            </w:r>
          </w:p>
        </w:tc>
        <w:tc>
          <w:tcPr>
            <w:tcW w:type="dxa" w:w="5083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预测结果页执行方式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背景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深墨蓝渐变背景，避免纯黑；页面不使用额外风机粒子装饰。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卡片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半透明蓝黑磨砂玻璃质感，1px 青蓝弱边框，hover 或当前状态使用青蓝光晕。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主高亮色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#22C7F2 / #3B83A2，用于当前导航、关键折线、最优标签。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辅助线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网格线与表格线采用 rgba(124,164,177,0.22)，不能过亮。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字体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中文优先使用 Noto Sans CJK SC / Microsoft YaHei；数字指标可提高字号和字重。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布局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12 列网格或等效 CSS grid，卡片左边、右边、上下边严格对齐。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3. 最终页面结构与删除项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页面顶部保留系统名称和三个模块导航。导航区下方直接进入预测结果内容，不再显示模块级大标题。页面主体采用“上方状态卡片 + 中部趋势/指标 + 下方误差/摘要”的三段式布局。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A"/>
            <w:tcBorders>
              <w:top w:sz="6" w:val="single" w:color="D4E3E6"/>
              <w:left w:sz="6" w:val="single" w:color="D4E3E6"/>
              <w:bottom w:sz="6" w:val="single" w:color="D4E3E6"/>
              <w:right w:sz="6" w:val="single" w:color="D4E3E6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2262C"/>
                <w:sz w:val="17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顶栏：风力发电功率预测系统 | 数据加载 | 预测结果[高亮] | DeepSeek分析 │</w:t>
              <w:br/>
              <w:t>├──────────────────────────────────────────────────────────────┤</w:t>
              <w:br/>
              <w:t>│ 当前数据集     预测模型数       最佳模型        最近一次预测时间 │</w:t>
              <w:br/>
              <w:t>├──────────────────────────────┬───────────────────────────────┤</w:t>
              <w:br/>
              <w:t>│ 功率预测趋势图                │ 模型评估指标 + 可选模型对比表   │</w:t>
              <w:br/>
              <w:t>│ 备注：图表区域可点击放大       │ 默认 iManformer，可启用对比      │</w:t>
              <w:br/>
              <w:t>├──────────────────────────────┼───────────────────────────────┤</w:t>
              <w:br/>
              <w:t>│ 误差分析图                    │ 预测摘要                        │</w:t>
              <w:br/>
              <w:t>│ 残差 / 误差带 / 风险提示       │ 最优模型、预测时长、总体表现等   │</w:t>
              <w:br/>
              <w:t>└──────────────────────────────┴───────────────────────────────┘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删除项</w:t>
            </w:r>
          </w:p>
        </w:tc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替代方案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导航栏下面的“预测结果”大标题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模块名称已在顶部导航中高亮，重复标题会造成视觉冗余。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保留顶部导航高亮即可。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“查看详细报告”按钮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详细报告属于 DeepSeek 分析页职责，本页只做预测结果摘要。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点击顶部 DeepSeek 分析模块进入报告页。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4. 顶部栏与模块导航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顶部栏与数据加载页保持同一结构：左侧为风机图标和系统名称，中间为三个模块卡片式导航，当前处于“预测结果”模块时该卡片高亮。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导航项</w:t>
            </w:r>
          </w:p>
        </w:tc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点击行为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数据加载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非当前态，深色玻璃背景，低亮边框。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跳转到数据加载区域或路由。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预测结果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当前态，青蓝描边、内部光晕、图标与文字高亮。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保持当前页面，不重复刷新预测。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DeepSeek分析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非当前态，等待用户进入分析页。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跳转到 DeepSeek 分析模块。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A"/>
            <w:tcBorders>
              <w:top w:sz="6" w:val="single" w:color="D4E3E6"/>
              <w:left w:sz="6" w:val="single" w:color="D4E3E6"/>
              <w:bottom w:sz="6" w:val="single" w:color="D4E3E6"/>
              <w:right w:sz="6" w:val="single" w:color="D4E3E6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2262C"/>
                <w:sz w:val="17"/>
              </w:rPr>
              <w:t>const tabs = [</w:t>
              <w:br/>
              <w:t xml:space="preserve">  { key: 'data', label: '数据加载', icon: FilePlus },</w:t>
              <w:br/>
              <w:t xml:space="preserve">  { key: 'prediction', label: '预测结果', icon: LineChart },</w:t>
              <w:br/>
              <w:t xml:space="preserve">  { key: 'deepseek', label: 'DeepSeek分析', icon: Brain }</w:t>
              <w:br/>
              <w:t>];</w:t>
              <w:br/>
              <w:br/>
              <w:t>&lt;TopModuleNav</w:t>
              <w:br/>
              <w:t xml:space="preserve">  activeKey="prediction"</w:t>
              <w:br/>
              <w:t xml:space="preserve">  tabs={tabs}</w:t>
              <w:br/>
              <w:t xml:space="preserve">  onTabClick={(key) =&gt; navigateToModule(key)}</w:t>
              <w:br/>
              <w:t>/&gt;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5. 顶部预测状态卡片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顶部状态卡片用于快速交代当前预测任务上下文。卡片数量建议固定为 4 张，统一高度、统一宽度、统一内部间距，避免与下方图表区错位。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卡片</w:t>
            </w:r>
          </w:p>
        </w:tc>
        <w:tc>
          <w:tcPr>
            <w:tcW w:type="dxa" w:w="2541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主信息</w:t>
            </w:r>
          </w:p>
        </w:tc>
        <w:tc>
          <w:tcPr>
            <w:tcW w:type="dxa" w:w="2541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辅助说明</w:t>
            </w:r>
          </w:p>
        </w:tc>
        <w:tc>
          <w:tcPr>
            <w:tcW w:type="dxa" w:w="2541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数据来源</w:t>
            </w:r>
          </w:p>
        </w:tc>
      </w:tr>
      <w:tr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当前数据集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样例风电数据集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当前预测所使用的数据集名称。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数据加载页的 datasetInfo。</w:t>
            </w:r>
          </w:p>
        </w:tc>
      </w:tr>
      <w:tr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预测模型数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18 个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当前系统可用或已注册的模型数量。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后端模型列表或前端配置。</w:t>
            </w:r>
          </w:p>
        </w:tc>
      </w:tr>
      <w:tr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最佳模型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iManformer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默认模型或对比模式下的最优模型。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predictionResult.bestModel。</w:t>
            </w:r>
          </w:p>
        </w:tc>
      </w:tr>
      <w:tr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最近一次预测时间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2024-01-01 12:00:00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最近成功完成预测任务的时间。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predictionResult.finishedAt。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6. 功率预测趋势图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功率预测趋势图是页面的核心可视化模块，必须占据左侧主区域。它负责同时展示真实功率、iManformer 预测功率，以及在模型对比开启时的其他对比模型曲线。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曲线</w:t>
            </w:r>
          </w:p>
        </w:tc>
        <w:tc>
          <w:tcPr>
            <w:tcW w:type="dxa" w:w="2541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默认显示</w:t>
            </w:r>
          </w:p>
        </w:tc>
        <w:tc>
          <w:tcPr>
            <w:tcW w:type="dxa" w:w="2541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样式建议</w:t>
            </w:r>
          </w:p>
        </w:tc>
        <w:tc>
          <w:tcPr>
            <w:tcW w:type="dxa" w:w="2541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真实功率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显示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蓝色实线，线宽 2px。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来自测试集或留出窗口真实值。</w:t>
            </w:r>
          </w:p>
        </w:tc>
      </w:tr>
      <w:tr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预测功率（iManformer）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显示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青色实线，线宽 2.4px。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默认模型预测结果。</w:t>
            </w:r>
          </w:p>
        </w:tc>
      </w:tr>
      <w:tr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对比模型曲线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仅在对比开启时显示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灰白虚线或低饱和辅助线。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例如 Transformer / LSTM / RNN。</w:t>
            </w:r>
          </w:p>
        </w:tc>
      </w:tr>
      <w:tr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预测区间标记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显示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竖向虚线 + 箭头标识。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区分历史观测段与未来预测段。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Borders>
              <w:top w:sz="10" w:val="single" w:color="7CA4B1"/>
              <w:left w:sz="10" w:val="single" w:color="7CA4B1"/>
              <w:bottom w:sz="10" w:val="single" w:color="7CA4B1"/>
              <w:right w:sz="10" w:val="single" w:color="7CA4B1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2262C"/>
                <w:sz w:val="22"/>
              </w:rPr>
              <w:t>图表尺寸约束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38"/>
                <w:sz w:val="19"/>
              </w:rPr>
              <w:t>在 1920×1080 视口下，功率趋势图建议宽度约 50% 页面主体，卡片高度约 360px。图表区域内部必须保留图例、Y 轴标题、X 轴时间刻度和预测区间标记。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7. 趋势图点击放大交互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用户明确要求：功率预测趋势图可以直接点击放大。因此图表卡片应具有可点击态，并在点击后打开大图弹窗或全屏图表模式。该交互不改变预测结果，只改变可视化呈现。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交互</w:t>
            </w:r>
          </w:p>
        </w:tc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实现要求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鼠标悬停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显示可点击光标和轻微边框高亮。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cursor: zoom-in；卡片边框亮度提升。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单击图表区域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打开放大弹窗。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弹窗尺寸建议 90vw × 82vh。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弹窗内操作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支持拖拽平移、滚轮缩放、框选缩放、还原。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优先使用 ECharts dataZoom / toolbox。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键盘操作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Esc 关闭弹窗。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保证可访问性。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关闭按钮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右上角固定关闭按钮。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不要遮挡图例和坐标轴。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A"/>
            <w:tcBorders>
              <w:top w:sz="6" w:val="single" w:color="D4E3E6"/>
              <w:left w:sz="6" w:val="single" w:color="D4E3E6"/>
              <w:bottom w:sz="6" w:val="single" w:color="D4E3E6"/>
              <w:right w:sz="6" w:val="single" w:color="D4E3E6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2262C"/>
                <w:sz w:val="17"/>
              </w:rPr>
              <w:t>function PowerTrendCard({ series, compareEnabled }) {</w:t>
              <w:br/>
              <w:t xml:space="preserve">  const [expanded, setExpanded] = useState(false);</w:t>
              <w:br/>
              <w:br/>
              <w:t xml:space="preserve">  return (</w:t>
              <w:br/>
              <w:t xml:space="preserve">    &lt;&gt;</w:t>
              <w:br/>
              <w:t xml:space="preserve">      &lt;GlassCard className="chart-card clickable" onClick={() =&gt; setExpanded(true)}&gt;</w:t>
              <w:br/>
              <w:t xml:space="preserve">        &lt;CardTitle title="功率预测趋势" hint="点击图表可放大查看" /&gt;</w:t>
              <w:br/>
              <w:t xml:space="preserve">        &lt;PowerTrendChart series={series} compareEnabled={compareEnabled} compact /&gt;</w:t>
              <w:br/>
              <w:t xml:space="preserve">      &lt;/GlassCard&gt;</w:t>
              <w:br/>
              <w:br/>
              <w:t xml:space="preserve">      {expanded &amp;&amp; (</w:t>
              <w:br/>
              <w:t xml:space="preserve">        &lt;ChartZoomModal title="功率预测趋势" onClose={() =&gt; setExpanded(false)}&gt;</w:t>
              <w:br/>
              <w:t xml:space="preserve">          &lt;PowerTrendChart series={series} compareEnabled={compareEnabled} expanded /&gt;</w:t>
              <w:br/>
              <w:t xml:space="preserve">        &lt;/ChartZoomModal&gt;</w:t>
              <w:br/>
              <w:t xml:space="preserve">      )}</w:t>
              <w:br/>
              <w:t xml:space="preserve">    &lt;/&gt;</w:t>
              <w:br/>
              <w:t xml:space="preserve">  );</w:t>
              <w:br/>
              <w:t>}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8. 模型评估指标与模型对比策略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模型对比不是强制流程。本页需要支持两种模式：默认单模型模式和可选模型对比模式。默认情况下，只使用用户项目中的 iManformer 模型；只有当用户主动开启模型对比或后端返回多模型结果时，才显示对比表。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541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默认模型</w:t>
            </w:r>
          </w:p>
        </w:tc>
        <w:tc>
          <w:tcPr>
            <w:tcW w:type="dxa" w:w="2541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页面展示</w:t>
            </w:r>
          </w:p>
        </w:tc>
        <w:tc>
          <w:tcPr>
            <w:tcW w:type="dxa" w:w="2541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单模型模式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iManformer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显示 iManformer 的 MAE、RMSE、MAPE、R²、SMAPE；对比表隐藏或折叠。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日常使用、论文/项目演示、用户只关心主模型结果。</w:t>
            </w:r>
          </w:p>
        </w:tc>
      </w:tr>
      <w:tr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多模型对比模式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用户可选择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显示指标卡 + 模型对比表；高亮最优模型。</w:t>
            </w:r>
          </w:p>
        </w:tc>
        <w:tc>
          <w:tcPr>
            <w:tcW w:type="dxa" w:w="2541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需要评估 iManformer 相对 Transformer、LSTM、RNN 等模型的优势时。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建议默认值</w:t>
            </w:r>
          </w:p>
        </w:tc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compareEnabled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false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是否启用模型对比。默认关闭。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selectedModels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["iManformer"]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默认只选择 iManformer。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availableModels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由后端或配置提供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可选模型包括 iManformer、Transformer、LSTM、RNN 等；实际列表以项目当前已有模型为准。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bestMetric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RMSE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默认以 RMSE 越小越好判定最优；可在配置中改为 MAE 或 MAPE。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BFC"/>
            <w:tcBorders>
              <w:top w:sz="10" w:val="single" w:color="3B83A2"/>
              <w:left w:sz="10" w:val="single" w:color="3B83A2"/>
              <w:bottom w:sz="10" w:val="single" w:color="3B83A2"/>
              <w:right w:sz="10" w:val="single" w:color="3B83A2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2262C"/>
                <w:sz w:val="22"/>
              </w:rPr>
              <w:t>指标呈现规则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38"/>
                <w:sz w:val="19"/>
              </w:rPr>
              <w:t>指标卡固定显示 MAE、RMSE、MAPE、R²、SMAPE。若 compareEnabled=false，指标卡显示 iManformer 当前结果；若 compareEnabled=true，指标卡显示最优模型结果，并在下方展示模型对比表。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A"/>
            <w:tcBorders>
              <w:top w:sz="6" w:val="single" w:color="D4E3E6"/>
              <w:left w:sz="6" w:val="single" w:color="D4E3E6"/>
              <w:bottom w:sz="6" w:val="single" w:color="D4E3E6"/>
              <w:right w:sz="6" w:val="single" w:color="D4E3E6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2262C"/>
                <w:sz w:val="17"/>
              </w:rPr>
              <w:t>const defaultPredictionConfig = {</w:t>
              <w:br/>
              <w:t xml:space="preserve">  compareEnabled: false,</w:t>
              <w:br/>
              <w:t xml:space="preserve">  selectedModels: ['iManformer'],</w:t>
              <w:br/>
              <w:t xml:space="preserve">  bestMetric: 'RMSE'</w:t>
              <w:br/>
              <w:t>};</w:t>
              <w:br/>
              <w:br/>
              <w:t>const candidateModels = [</w:t>
              <w:br/>
              <w:t xml:space="preserve">  'iManformer',</w:t>
              <w:br/>
              <w:t xml:space="preserve">  'Transformer',</w:t>
              <w:br/>
              <w:t xml:space="preserve">  'LSTM',</w:t>
              <w:br/>
              <w:t xml:space="preserve">  'RNN'</w:t>
              <w:br/>
              <w:t>];</w:t>
              <w:br/>
              <w:br/>
              <w:t>// 当 compareEnabled=false 时：</w:t>
              <w:br/>
              <w:t>// 1. 请求或展示 iManformer 结果</w:t>
              <w:br/>
              <w:t>// 2. 模型对比表隐藏或置为“未开启对比”</w:t>
              <w:br/>
              <w:t>// 3. 最佳模型卡片显示 iManformer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9. 误差分析模块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误差分析模块放在左下区域，与功率趋势图形成上下对应关系。它主要展示预测误差随时间变化的趋势，帮助判断是否存在系统性偏差、突发高误差或风速波动导致的误差上升。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显示内容</w:t>
            </w:r>
          </w:p>
        </w:tc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设计要求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误差曲线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预测功率 - 真实功率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蓝色或青蓝线，不能与主预测线完全相同。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±1σ 参考线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误差标准差区间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绿色虚线，辅助判断常规波动。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±2σ 参考线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异常误差参考线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灰白虚线，低亮度。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高误差段提示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可选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若误差超过阈值，可在 tooltip 中提示。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10. 预测摘要模块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预测摘要模块放在右下区域，用于概括预测任务结果。本轮确认删除“查看详细报告”按钮，因此该模块只保留摘要信息，不承担报告跳转职责。用户需要深度解释时，应点击顶部导航进入 DeepSeek 分析模块。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摘要项</w:t>
            </w:r>
          </w:p>
        </w:tc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示例值</w:t>
            </w:r>
          </w:p>
        </w:tc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最优模型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iManformer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单模型模式下固定显示 iManformer；对比模式下显示最优模型。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预测时长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未来 72 小时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对应 horizon 或预测窗口。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总体表现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精度较高，短期趋势拟合良好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根据指标阈值生成简短结论。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风险提示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高风速波动时误差上升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来自误差分析或气象预警上下文。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11. 前端组件拆分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为了后续维护，建议预测结果页按模块拆分。拆分时不改变接口与算法，只将 UI 结构从大组件中抽离出来。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组件名</w:t>
            </w:r>
          </w:p>
        </w:tc>
        <w:tc>
          <w:tcPr>
            <w:tcW w:type="dxa" w:w="5083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PredictionResultPage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页面容器，组织整体布局和数据请求。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TopModuleNav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顶部三模块导航，当前“预测结果”高亮。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PredictionStatusCards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顶部四张预测状态卡片。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PowerTrendCard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功率预测趋势卡片，负责打开放大弹窗。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PowerTrendChart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折线图渲染组件。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ChartZoomModal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图表放大查看弹窗。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MetricCards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MAE/RMSE/MAPE/R²/SMAPE 指标卡。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ModelCompareTable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模型对比表；compareEnabled=false 时隐藏或折叠。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ErrorAnalysisCard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误差曲线与误差带。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PredictionSummaryCard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预测摘要，不含“查看详细报告”按钮。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A"/>
            <w:tcBorders>
              <w:top w:sz="6" w:val="single" w:color="D4E3E6"/>
              <w:left w:sz="6" w:val="single" w:color="D4E3E6"/>
              <w:bottom w:sz="6" w:val="single" w:color="D4E3E6"/>
              <w:right w:sz="6" w:val="single" w:color="D4E3E6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2262C"/>
                <w:sz w:val="17"/>
              </w:rPr>
              <w:t>src/</w:t>
              <w:br/>
              <w:t xml:space="preserve">  components/</w:t>
              <w:br/>
              <w:t xml:space="preserve">    layout/</w:t>
              <w:br/>
              <w:t xml:space="preserve">      TopModuleNav.jsx</w:t>
              <w:br/>
              <w:t xml:space="preserve">      GlassCard.jsx</w:t>
              <w:br/>
              <w:t xml:space="preserve">    prediction/</w:t>
              <w:br/>
              <w:t xml:space="preserve">      PredictionStatusCards.jsx</w:t>
              <w:br/>
              <w:t xml:space="preserve">      PowerTrendCard.jsx</w:t>
              <w:br/>
              <w:t xml:space="preserve">      PowerTrendChart.jsx</w:t>
              <w:br/>
              <w:t xml:space="preserve">      ChartZoomModal.jsx</w:t>
              <w:br/>
              <w:t xml:space="preserve">      MetricCards.jsx</w:t>
              <w:br/>
              <w:t xml:space="preserve">      ModelCompareTable.jsx</w:t>
              <w:br/>
              <w:t xml:space="preserve">      ErrorAnalysisCard.jsx</w:t>
              <w:br/>
              <w:t xml:space="preserve">      PredictionSummaryCard.jsx</w:t>
              <w:br/>
              <w:t xml:space="preserve">  pages/</w:t>
              <w:br/>
              <w:t xml:space="preserve">    PredictionResultPage.jsx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12. 数据 ViewModel 与接口适配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预测结果页建议在前端定义统一 ViewModel，将后端返回结果转换为 UI 可直接消费的数据结构。这样即使后端字段命名发生变化，页面组件也不需要大改。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A"/>
            <w:tcBorders>
              <w:top w:sz="6" w:val="single" w:color="D4E3E6"/>
              <w:left w:sz="6" w:val="single" w:color="D4E3E6"/>
              <w:bottom w:sz="6" w:val="single" w:color="D4E3E6"/>
              <w:right w:sz="6" w:val="single" w:color="D4E3E6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2262C"/>
                <w:sz w:val="17"/>
              </w:rPr>
              <w:t>type PredictionResultViewModel = {</w:t>
              <w:br/>
              <w:t xml:space="preserve">  datasetName: string;</w:t>
              <w:br/>
              <w:t xml:space="preserve">  modelCount: number;</w:t>
              <w:br/>
              <w:t xml:space="preserve">  bestModel: string;</w:t>
              <w:br/>
              <w:t xml:space="preserve">  finishedAt: string;</w:t>
              <w:br/>
              <w:t xml:space="preserve">  horizonText: string;</w:t>
              <w:br/>
              <w:br/>
              <w:t xml:space="preserve">  compareEnabled: boolean;</w:t>
              <w:br/>
              <w:t xml:space="preserve">  selectedModels: string[];</w:t>
              <w:br/>
              <w:br/>
              <w:t xml:space="preserve">  metrics: {</w:t>
              <w:br/>
              <w:t xml:space="preserve">    mae: number;</w:t>
              <w:br/>
              <w:t xml:space="preserve">    rmse: number;</w:t>
              <w:br/>
              <w:t xml:space="preserve">    mape: number;</w:t>
              <w:br/>
              <w:t xml:space="preserve">    r2: number;</w:t>
              <w:br/>
              <w:t xml:space="preserve">    smape: number;</w:t>
              <w:br/>
              <w:t xml:space="preserve">  };</w:t>
              <w:br/>
              <w:br/>
              <w:t xml:space="preserve">  modelComparison?: Array&lt;{</w:t>
              <w:br/>
              <w:t xml:space="preserve">    model: string;</w:t>
              <w:br/>
              <w:t xml:space="preserve">    mae: number;</w:t>
              <w:br/>
              <w:t xml:space="preserve">    rmse: number;</w:t>
              <w:br/>
              <w:t xml:space="preserve">    mape: number;</w:t>
              <w:br/>
              <w:t xml:space="preserve">    r2: number;</w:t>
              <w:br/>
              <w:t xml:space="preserve">    smape: number;</w:t>
              <w:br/>
              <w:t xml:space="preserve">    isBest?: boolean;</w:t>
              <w:br/>
              <w:t xml:space="preserve">  }&gt;;</w:t>
              <w:br/>
              <w:br/>
              <w:t xml:space="preserve">  forecastSeries: Array&lt;{</w:t>
              <w:br/>
              <w:t xml:space="preserve">    time: string;</w:t>
              <w:br/>
              <w:t xml:space="preserve">    actual?: number;</w:t>
              <w:br/>
              <w:t xml:space="preserve">    iManformer?: number;</w:t>
              <w:br/>
              <w:t xml:space="preserve">    transformer?: number;</w:t>
              <w:br/>
              <w:t xml:space="preserve">    lstm?: number;</w:t>
              <w:br/>
              <w:t xml:space="preserve">    rnn?: number;</w:t>
              <w:br/>
              <w:t xml:space="preserve">    isForecast?: boolean;</w:t>
              <w:br/>
              <w:t xml:space="preserve">  }&gt;;</w:t>
              <w:br/>
              <w:br/>
              <w:t xml:space="preserve">  errorSeries: Array&lt;{</w:t>
              <w:br/>
              <w:t xml:space="preserve">    time: string;</w:t>
              <w:br/>
              <w:t xml:space="preserve">    error: number;</w:t>
              <w:br/>
              <w:t xml:space="preserve">    sigma1?: number;</w:t>
              <w:br/>
              <w:t xml:space="preserve">    sigma2?: number;</w:t>
              <w:br/>
              <w:t xml:space="preserve">  }&gt;;</w:t>
              <w:br/>
              <w:t>};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13. 样式变量与 CSS 实现建议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预测结果页继续沿用数据加载页的色板和磨砂玻璃质感。下面的变量可放入全局 CSS 或主题文件中。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A"/>
            <w:tcBorders>
              <w:top w:sz="6" w:val="single" w:color="D4E3E6"/>
              <w:left w:sz="6" w:val="single" w:color="D4E3E6"/>
              <w:bottom w:sz="6" w:val="single" w:color="D4E3E6"/>
              <w:right w:sz="6" w:val="single" w:color="D4E3E6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2262C"/>
                <w:sz w:val="17"/>
              </w:rPr>
              <w:t>:root {</w:t>
              <w:br/>
              <w:t xml:space="preserve">  --color-deep: #12262C;</w:t>
              <w:br/>
              <w:t xml:space="preserve">  --color-bg-dark: #071A28;</w:t>
              <w:br/>
              <w:t xml:space="preserve">  --color-panel: rgba(15, 54, 82, 0.56);</w:t>
              <w:br/>
              <w:t xml:space="preserve">  --color-panel-strong: rgba(20, 76, 112, 0.68);</w:t>
              <w:br/>
              <w:t xml:space="preserve">  --color-primary: #3B83A2;</w:t>
              <w:br/>
              <w:t xml:space="preserve">  --color-accent: #22C7F2;</w:t>
              <w:br/>
              <w:t xml:space="preserve">  --color-muted-blue: #7CA4B1;</w:t>
              <w:br/>
              <w:t xml:space="preserve">  --color-line: rgba(124, 164, 177, 0.32);</w:t>
              <w:br/>
              <w:t xml:space="preserve">  --color-text: #F4FBFF;</w:t>
              <w:br/>
              <w:t xml:space="preserve">  --color-text-sub: rgba(244, 251, 255, 0.72);</w:t>
              <w:br/>
              <w:t xml:space="preserve">  --radius-card: 14px;</w:t>
              <w:br/>
              <w:t xml:space="preserve">  --shadow-glow: 0 0 24px rgba(34, 199, 242, 0.16);</w:t>
              <w:br/>
              <w:t>}</w:t>
              <w:br/>
              <w:br/>
              <w:t>.glass-card {</w:t>
              <w:br/>
              <w:t xml:space="preserve">  background: var(--color-panel);</w:t>
              <w:br/>
              <w:t xml:space="preserve">  border: 1px solid var(--color-line);</w:t>
              <w:br/>
              <w:t xml:space="preserve">  border-radius: var(--radius-card);</w:t>
              <w:br/>
              <w:t xml:space="preserve">  box-shadow: inset 0 1px 0 rgba(255,255,255,.08), var(--shadow-glow);</w:t>
              <w:br/>
              <w:t xml:space="preserve">  backdrop-filter: blur(16px);</w:t>
              <w:br/>
              <w:t>}</w:t>
              <w:br/>
              <w:br/>
              <w:t>.chart-card.clickable { cursor: zoom-in; }</w:t>
              <w:br/>
              <w:t>.chart-card.clickable:hover {</w:t>
              <w:br/>
              <w:t xml:space="preserve">  border-color: rgba(34, 199, 242, 0.72);</w:t>
              <w:br/>
              <w:t xml:space="preserve">  box-shadow: 0 0 28px rgba(34, 199, 242, 0.24);</w:t>
              <w:br/>
              <w:t>}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14. 交互状态与异常状态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页面表现</w:t>
            </w:r>
          </w:p>
        </w:tc>
        <w:tc>
          <w:tcPr>
            <w:tcW w:type="dxa" w:w="3389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未预测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状态卡显示“暂无预测结果”；图表区显示空态提示。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避免空图表。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预测中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图表卡片显示加载动画；指标卡骨架屏。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不阻塞顶部导航。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预测成功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展示趋势图、指标卡、误差分析和摘要。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默认 iManformer。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模型对比关闭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模型对比表隐藏或折叠，指标卡显示 iManformer。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默认状态。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模型对比开启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显示模型选择和对比表。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selectedModels 至少包含 iManformer。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图表放大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打开全屏弹窗；Esc 或关闭按钮退出。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不重新请求预测结果。</w:t>
            </w:r>
          </w:p>
        </w:tc>
      </w:tr>
      <w:tr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数据异常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摘要模块提示数据缺失或接口异常。</w:t>
            </w:r>
          </w:p>
        </w:tc>
        <w:tc>
          <w:tcPr>
            <w:tcW w:type="dxa" w:w="3389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用 warning 样式，不影响页面结构。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15. 验收清单与参考依据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color w:val="12262C"/>
          <w:sz w:val="21"/>
        </w:rPr>
        <w:t>本页验收以“视觉一致性、布局稳定性、交互可用性、模型对比可配置性”为核心。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5083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风格一致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与数据加载页使用同一顶部栏、同一暗色背景、同一卡片质感。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删除重复标题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顶部导航下方不得出现单独的“预测结果”大标题。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删除报告按钮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预测摘要卡中不得出现“查看详细报告”按钮。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默认模型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默认使用 iManformer；compareEnabled=false 时不强制展示其他模型。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模型对比可选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用户可以开启或关闭模型对比；可选模型列表可配置。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图表可放大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点击功率预测趋势图后可以打开放大弹窗，并支持缩放查看。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卡片对齐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顶部状态卡、主图表、指标表、误差图和摘要卡边缘应在网格中对齐。</w:t>
            </w:r>
          </w:p>
        </w:tc>
      </w:tr>
      <w:tr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不改算法</w:t>
            </w:r>
          </w:p>
        </w:tc>
        <w:tc>
          <w:tcPr>
            <w:tcW w:type="dxa" w:w="5083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6"/>
              </w:rPr>
              <w:t>本轮只修改 UI，不改后端预测逻辑和模型训练代码。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sz="10" w:val="single" w:color="F59E0B"/>
              <w:left w:sz="10" w:val="single" w:color="F59E0B"/>
              <w:bottom w:sz="10" w:val="single" w:color="F59E0B"/>
              <w:right w:sz="10" w:val="single" w:color="F59E0B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2400E"/>
                <w:sz w:val="22"/>
              </w:rPr>
              <w:t>气象预警衔接说明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38"/>
                <w:sz w:val="19"/>
              </w:rPr>
              <w:t>预测结果页本身不重新定义气象预警等级；若页面展示或引用气象风险提示，应沿用数据加载页的气象识别结果。大风预警等级划分依据应使用中国气象局《气象灾害预警信号发布与传播办法》中关于大风预警信号的蓝、黄、橙、红四级标准。</w:t>
            </w:r>
          </w:p>
        </w:tc>
      </w:tr>
    </w:tbl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2262C"/>
          <w:sz w:val="29"/>
        </w:rPr>
        <w:t>参考依据</w:t>
      </w:r>
    </w:p>
    <w:p>
      <w:pPr>
        <w:spacing w:after="120" w:before="0"/>
      </w:pPr>
      <w:r>
        <w:rPr>
          <w:rFonts w:ascii="Noto Sans CJK SC" w:hAnsi="Noto Sans CJK SC" w:eastAsia="Noto Sans CJK SC"/>
          <w:b w:val="0"/>
          <w:color w:val="334155"/>
          <w:sz w:val="19"/>
        </w:rPr>
        <w:t>中国气象局：《气象灾害预警信号发布与传播办法》及“大风预警信号”说明。该规则用于气象预警等级判定，不参与本页模型预测算法。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6"/>
      </w:rPr>
      <w:t>风力发电功率预测系统 · 预测结果页面 UI 设计与技术实现说明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风力发电功率预测系统_预测结果页UI设计与技术实现说明_V1</dc:title>
  <dc:subject>UI design and technical implementation</dc:subject>
  <dc:creator>OpenAI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