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 w:lineRule="exact" w:line="56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Rule="exact" w:line="720" w:after="240"/>
        <w:jc w:val="center"/>
      </w:pPr>
      <w:r>
        <w:rPr>
          <w:rFonts w:ascii="Times New Roman" w:hAnsi="Times New Roman" w:eastAsia="方正小标宋_GBK"/>
          <w:b w:val="0"/>
          <w:sz w:val="44"/>
        </w:rPr>
        <w:t>股析·AI 投研委员会</w:t>
      </w:r>
    </w:p>
    <w:p>
      <w:pPr>
        <w:spacing w:after="120" w:lineRule="exact" w:line="560"/>
        <w:jc w:val="center"/>
      </w:pPr>
      <w:r>
        <w:rPr>
          <w:rFonts w:ascii="Times New Roman" w:hAnsi="Times New Roman" w:eastAsia="方正仿宋_GBK"/>
          <w:b w:val="0"/>
          <w:color w:val="8A6610"/>
          <w:sz w:val="32"/>
        </w:rPr>
        <w:t>多智能体博弈 · 大模型共识决策</w:t>
      </w:r>
    </w:p>
    <w:p>
      <w:pPr>
        <w:spacing w:after="960" w:lineRule="exact" w:line="560"/>
        <w:jc w:val="center"/>
      </w:pPr>
      <w:r>
        <w:rPr>
          <w:rFonts w:ascii="Times New Roman" w:hAnsi="Times New Roman" w:eastAsia="方正仿宋_GBK"/>
          <w:b w:val="0"/>
          <w:color w:val="6B7686"/>
          <w:sz w:val="32"/>
        </w:rPr>
        <w:t>让每个散户都有专属的 AI 投研团队</w:t>
      </w:r>
    </w:p>
    <w:p>
      <w:pPr>
        <w:spacing w:after="80" w:lineRule="exact" w:line="560"/>
        <w:jc w:val="center"/>
      </w:pPr>
      <w:r>
        <w:rPr>
          <w:rFonts w:ascii="Times New Roman" w:hAnsi="Times New Roman" w:eastAsia="方正仿宋_GBK"/>
          <w:b/>
          <w:color w:val="1F2A44"/>
          <w:sz w:val="32"/>
        </w:rPr>
        <w:t>团队名称：（请填写）</w:t>
      </w:r>
    </w:p>
    <w:p>
      <w:pPr>
        <w:spacing w:after="60" w:lineRule="exact" w:line="560"/>
        <w:jc w:val="center"/>
      </w:pPr>
      <w:r>
        <w:rPr>
          <w:rFonts w:ascii="Times New Roman" w:hAnsi="Times New Roman" w:eastAsia="方正仿宋_GBK"/>
          <w:b w:val="0"/>
          <w:color w:val="1F2A44"/>
          <w:sz w:val="32"/>
        </w:rPr>
        <w:t>团队成员：（请填写）</w:t>
      </w:r>
    </w:p>
    <w:p>
      <w:pPr>
        <w:spacing w:after="60" w:lineRule="exact" w:line="560"/>
        <w:jc w:val="center"/>
      </w:pPr>
      <w:r>
        <w:rPr>
          <w:rFonts w:ascii="Times New Roman" w:hAnsi="Times New Roman" w:eastAsia="方正仿宋_GBK"/>
          <w:b w:val="0"/>
          <w:color w:val="1F2A44"/>
          <w:sz w:val="32"/>
        </w:rPr>
        <w:t>学校 / 专业：（请填写）</w:t>
      </w:r>
    </w:p>
    <w:p>
      <w:pPr>
        <w:spacing w:after="520" w:lineRule="exact" w:line="560"/>
        <w:jc w:val="center"/>
      </w:pPr>
      <w:r>
        <w:rPr>
          <w:rFonts w:ascii="Times New Roman" w:hAnsi="Times New Roman" w:eastAsia="方正仿宋_GBK"/>
          <w:b w:val="0"/>
          <w:color w:val="1F2A44"/>
          <w:sz w:val="32"/>
        </w:rPr>
        <w:t>指导老师：（请填写）</w:t>
      </w:r>
    </w:p>
    <w:p>
      <w:pPr>
        <w:spacing w:after="80" w:lineRule="exact" w:line="560"/>
        <w:jc w:val="center"/>
      </w:pPr>
      <w:r>
        <w:rPr>
          <w:rFonts w:ascii="Times New Roman" w:hAnsi="Times New Roman" w:eastAsia="方正仿宋_GBK"/>
          <w:b/>
          <w:color w:val="2F6FED"/>
          <w:sz w:val="32"/>
        </w:rPr>
        <w:t>参赛方向：AI 应用原型</w:t>
      </w:r>
    </w:p>
    <w:p>
      <w:pPr>
        <w:spacing w:after="60" w:lineRule="exact" w:line="560"/>
        <w:jc w:val="center"/>
      </w:pPr>
      <w:r>
        <w:rPr>
          <w:rFonts w:ascii="Times New Roman" w:hAnsi="Times New Roman" w:eastAsia="方正仿宋_GBK"/>
          <w:b w:val="0"/>
          <w:color w:val="6B7686"/>
          <w:sz w:val="24"/>
        </w:rPr>
        <w:t>演示形态：本地 Web 应用（Flask + ECharts 单页，离线可跑）</w:t>
      </w:r>
    </w:p>
    <w:p>
      <w:pPr>
        <w:spacing w:lineRule="exact" w:line="560"/>
        <w:jc w:val="center"/>
      </w:pPr>
      <w:r>
        <w:rPr>
          <w:rFonts w:ascii="Times New Roman" w:hAnsi="Times New Roman" w:eastAsia="方正仿宋_GBK"/>
          <w:b w:val="0"/>
          <w:color w:val="6B7686"/>
          <w:sz w:val="24"/>
        </w:rPr>
        <w:t>数据来源：历史真实快照（2024–2026，8 只跨行业精选标的）</w:t>
      </w:r>
    </w:p>
    <w:p>
      <w:pPr>
        <w:spacing w:after="400" w:lineRule="exact" w:line="56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Rule="exact" w:line="720" w:after="240"/>
        <w:jc w:val="center"/>
      </w:pPr>
      <w:r>
        <w:rPr>
          <w:rFonts w:ascii="Times New Roman" w:hAnsi="Times New Roman" w:eastAsia="方正小标宋_GBK"/>
          <w:b w:val="0"/>
          <w:sz w:val="44"/>
        </w:rPr>
        <w:t>目录</w:t>
      </w:r>
    </w:p>
    <w:p>
      <w:pPr>
        <w:spacing w:after="80" w:lineRule="exact" w:line="560"/>
      </w:pPr>
      <w:r>
        <w:rPr>
          <w:rFonts w:ascii="Times New Roman" w:hAnsi="Times New Roman" w:eastAsia="方正仿宋_GBK"/>
          <w:b/>
          <w:sz w:val="32"/>
        </w:rPr>
        <w:t>一、问题描述</w:t>
      </w:r>
    </w:p>
    <w:p>
      <w:pPr>
        <w:spacing w:after="40" w:lineRule="exact" w:line="560"/>
        <w:ind w:left="567"/>
      </w:pPr>
      <w:r>
        <w:rPr>
          <w:rFonts w:ascii="Times New Roman" w:hAnsi="Times New Roman" w:eastAsia="方正仿宋_GBK"/>
          <w:b w:val="0"/>
          <w:sz w:val="32"/>
        </w:rPr>
        <w:t>（一）目标用户与真实痛点</w:t>
      </w:r>
    </w:p>
    <w:p>
      <w:pPr>
        <w:spacing w:after="40" w:lineRule="exact" w:line="560"/>
        <w:ind w:left="567"/>
      </w:pPr>
      <w:r>
        <w:rPr>
          <w:rFonts w:ascii="Times New Roman" w:hAnsi="Times New Roman" w:eastAsia="方正仿宋_GBK"/>
          <w:b w:val="0"/>
          <w:sz w:val="32"/>
        </w:rPr>
        <w:t>（二）现有产品的不足</w:t>
      </w:r>
    </w:p>
    <w:p>
      <w:pPr>
        <w:spacing w:after="40" w:lineRule="exact" w:line="560"/>
        <w:ind w:left="567"/>
      </w:pPr>
      <w:r>
        <w:rPr>
          <w:rFonts w:ascii="Times New Roman" w:hAnsi="Times New Roman" w:eastAsia="方正仿宋_GBK"/>
          <w:b w:val="0"/>
          <w:sz w:val="32"/>
        </w:rPr>
        <w:t>（三）我们的解法：多智能体投研委员会</w:t>
      </w:r>
    </w:p>
    <w:p>
      <w:pPr>
        <w:spacing w:after="80" w:lineRule="exact" w:line="560"/>
      </w:pPr>
      <w:r>
        <w:rPr>
          <w:rFonts w:ascii="Times New Roman" w:hAnsi="Times New Roman" w:eastAsia="方正仿宋_GBK"/>
          <w:b/>
          <w:sz w:val="32"/>
        </w:rPr>
        <w:t>二、技术选型</w:t>
      </w:r>
    </w:p>
    <w:p>
      <w:pPr>
        <w:spacing w:after="40" w:lineRule="exact" w:line="560"/>
        <w:ind w:left="567"/>
      </w:pPr>
      <w:r>
        <w:rPr>
          <w:rFonts w:ascii="Times New Roman" w:hAnsi="Times New Roman" w:eastAsia="方正仿宋_GBK"/>
          <w:b w:val="0"/>
          <w:sz w:val="32"/>
        </w:rPr>
        <w:t>（一）系统架构：五层分工，AI 不瞎算指标</w:t>
      </w:r>
    </w:p>
    <w:p>
      <w:pPr>
        <w:spacing w:after="40" w:lineRule="exact" w:line="560"/>
        <w:ind w:left="567"/>
      </w:pPr>
      <w:r>
        <w:rPr>
          <w:rFonts w:ascii="Times New Roman" w:hAnsi="Times New Roman" w:eastAsia="方正仿宋_GBK"/>
          <w:b w:val="0"/>
          <w:sz w:val="32"/>
        </w:rPr>
        <w:t>（二）技术栈选型</w:t>
      </w:r>
    </w:p>
    <w:p>
      <w:pPr>
        <w:spacing w:after="40" w:lineRule="exact" w:line="560"/>
        <w:ind w:left="567"/>
      </w:pPr>
      <w:r>
        <w:rPr>
          <w:rFonts w:ascii="Times New Roman" w:hAnsi="Times New Roman" w:eastAsia="方正仿宋_GBK"/>
          <w:b w:val="0"/>
          <w:sz w:val="32"/>
        </w:rPr>
        <w:t>（三）核心技术难点与创新</w:t>
      </w:r>
    </w:p>
    <w:p>
      <w:pPr>
        <w:spacing w:after="40" w:lineRule="exact" w:line="560"/>
        <w:ind w:left="567"/>
      </w:pPr>
      <w:r>
        <w:rPr>
          <w:rFonts w:ascii="Times New Roman" w:hAnsi="Times New Roman" w:eastAsia="方正仿宋_GBK"/>
          <w:b w:val="0"/>
          <w:sz w:val="32"/>
        </w:rPr>
        <w:t>（四）项目创新点</w:t>
      </w:r>
    </w:p>
    <w:p>
      <w:pPr>
        <w:spacing w:after="80" w:lineRule="exact" w:line="560"/>
      </w:pPr>
      <w:r>
        <w:rPr>
          <w:rFonts w:ascii="Times New Roman" w:hAnsi="Times New Roman" w:eastAsia="方正仿宋_GBK"/>
          <w:b/>
          <w:sz w:val="32"/>
        </w:rPr>
        <w:t>三、实现流程</w:t>
      </w:r>
    </w:p>
    <w:p>
      <w:pPr>
        <w:spacing w:after="40" w:lineRule="exact" w:line="560"/>
        <w:ind w:left="567"/>
      </w:pPr>
      <w:r>
        <w:rPr>
          <w:rFonts w:ascii="Times New Roman" w:hAnsi="Times New Roman" w:eastAsia="方正仿宋_GBK"/>
          <w:b w:val="0"/>
          <w:sz w:val="32"/>
        </w:rPr>
        <w:t>（一）Tool Calling：大模型只调度不计算</w:t>
      </w:r>
    </w:p>
    <w:p>
      <w:pPr>
        <w:spacing w:after="40" w:lineRule="exact" w:line="560"/>
        <w:ind w:left="567"/>
      </w:pPr>
      <w:r>
        <w:rPr>
          <w:rFonts w:ascii="Times New Roman" w:hAnsi="Times New Roman" w:eastAsia="方正仿宋_GBK"/>
          <w:b w:val="0"/>
          <w:sz w:val="32"/>
        </w:rPr>
        <w:t>（二）多智能体实时辩论与博弈</w:t>
      </w:r>
    </w:p>
    <w:p>
      <w:pPr>
        <w:spacing w:after="40" w:lineRule="exact" w:line="560"/>
        <w:ind w:left="567"/>
      </w:pPr>
      <w:r>
        <w:rPr>
          <w:rFonts w:ascii="Times New Roman" w:hAnsi="Times New Roman" w:eastAsia="方正仿宋_GBK"/>
          <w:b w:val="0"/>
          <w:sz w:val="32"/>
        </w:rPr>
        <w:t>（三）CIO 共识决策与投资备忘录</w:t>
      </w:r>
    </w:p>
    <w:p>
      <w:pPr>
        <w:spacing w:after="40" w:lineRule="exact" w:line="560"/>
        <w:ind w:left="567"/>
      </w:pPr>
      <w:r>
        <w:rPr>
          <w:rFonts w:ascii="Times New Roman" w:hAnsi="Times New Roman" w:eastAsia="方正仿宋_GBK"/>
          <w:b w:val="0"/>
          <w:sz w:val="32"/>
        </w:rPr>
        <w:t>（四）RAG 检索溯源问答</w:t>
      </w:r>
    </w:p>
    <w:p>
      <w:pPr>
        <w:spacing w:after="80" w:lineRule="exact" w:line="560"/>
      </w:pPr>
      <w:r>
        <w:rPr>
          <w:rFonts w:ascii="Times New Roman" w:hAnsi="Times New Roman" w:eastAsia="方正仿宋_GBK"/>
          <w:b/>
          <w:sz w:val="32"/>
        </w:rPr>
        <w:t>四、测试效果</w:t>
      </w:r>
    </w:p>
    <w:p>
      <w:pPr>
        <w:spacing w:after="40" w:lineRule="exact" w:line="560"/>
        <w:ind w:left="567"/>
      </w:pPr>
      <w:r>
        <w:rPr>
          <w:rFonts w:ascii="Times New Roman" w:hAnsi="Times New Roman" w:eastAsia="方正仿宋_GBK"/>
          <w:b w:val="0"/>
          <w:sz w:val="32"/>
        </w:rPr>
        <w:t>（一）8 只标的真实回测统计</w:t>
      </w:r>
    </w:p>
    <w:p>
      <w:pPr>
        <w:spacing w:after="40" w:lineRule="exact" w:line="560"/>
        <w:ind w:left="567"/>
      </w:pPr>
      <w:r>
        <w:rPr>
          <w:rFonts w:ascii="Times New Roman" w:hAnsi="Times New Roman" w:eastAsia="方正仿宋_GBK"/>
          <w:b w:val="0"/>
          <w:sz w:val="32"/>
        </w:rPr>
        <w:t>（二）组合压力测试与蒙特卡洛扇形图</w:t>
      </w:r>
    </w:p>
    <w:p>
      <w:pPr>
        <w:spacing w:after="40" w:lineRule="exact" w:line="560"/>
        <w:ind w:left="567"/>
      </w:pPr>
      <w:r>
        <w:rPr>
          <w:rFonts w:ascii="Times New Roman" w:hAnsi="Times New Roman" w:eastAsia="方正仿宋_GBK"/>
          <w:b w:val="0"/>
          <w:sz w:val="32"/>
        </w:rPr>
        <w:t>（三）决策一致性验证</w:t>
      </w:r>
    </w:p>
    <w:p>
      <w:pPr>
        <w:spacing w:after="40" w:lineRule="exact" w:line="560"/>
        <w:ind w:left="567"/>
      </w:pPr>
      <w:r>
        <w:rPr>
          <w:rFonts w:ascii="Times New Roman" w:hAnsi="Times New Roman" w:eastAsia="方正仿宋_GBK"/>
          <w:b w:val="0"/>
          <w:sz w:val="32"/>
        </w:rPr>
        <w:t>（四）数据合规与免责声明</w:t>
      </w:r>
    </w:p>
    <w:p>
      <w:pPr>
        <w:spacing w:after="80" w:lineRule="exact" w:line="560"/>
      </w:pPr>
      <w:r>
        <w:rPr>
          <w:rFonts w:ascii="Times New Roman" w:hAnsi="Times New Roman" w:eastAsia="方正仿宋_GBK"/>
          <w:b/>
          <w:sz w:val="32"/>
        </w:rPr>
        <w:t>五、团队介绍与未来展望</w:t>
      </w:r>
    </w:p>
    <w:p>
      <w:pPr>
        <w:spacing w:after="40" w:lineRule="exact" w:line="560"/>
        <w:ind w:left="567"/>
      </w:pPr>
      <w:r>
        <w:rPr>
          <w:rFonts w:ascii="Times New Roman" w:hAnsi="Times New Roman" w:eastAsia="方正仿宋_GBK"/>
          <w:b w:val="0"/>
          <w:sz w:val="32"/>
        </w:rPr>
        <w:t>（一）未来展望</w:t>
      </w:r>
    </w:p>
    <w:p>
      <w:pPr>
        <w:spacing w:after="320" w:lineRule="exact" w:line="56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pStyle w:val="Heading1"/>
        <w:spacing w:line="660" w:lineRule="exact" w:before="120" w:after="120"/>
      </w:pPr>
      <w:r>
        <w:rPr>
          <w:rFonts w:ascii="Times New Roman" w:hAnsi="Times New Roman" w:eastAsia="黑体"/>
          <w:b w:val="0"/>
          <w:color w:val="000000"/>
          <w:sz w:val="32"/>
        </w:rPr>
        <w:t>一、问题描述</w:t>
      </w:r>
    </w:p>
    <w:p>
      <w:pPr>
        <w:pStyle w:val="Heading2"/>
        <w:spacing w:line="660" w:lineRule="exact" w:before="120" w:after="120"/>
      </w:pPr>
      <w:r>
        <w:rPr>
          <w:rFonts w:ascii="Times New Roman" w:hAnsi="Times New Roman" w:eastAsia="方正仿宋_GBK"/>
          <w:b/>
          <w:color w:val="000000"/>
          <w:sz w:val="30"/>
        </w:rPr>
        <w:t>（一）目标用户与真实痛点</w:t>
      </w:r>
    </w:p>
    <w:p>
      <w:pPr>
        <w:spacing w:lineRule="exact" w:line="560"/>
      </w:pPr>
      <w:r>
        <w:rPr>
          <w:rFonts w:ascii="Times New Roman" w:hAnsi="Times New Roman" w:eastAsia="方正仿宋_GBK"/>
          <w:b w:val="0"/>
          <w:sz w:val="32"/>
        </w:rPr>
        <w:t>我们的目标用户是缺乏专业投研团队的年轻散户，他们普遍面临三类难以自行化解的真实困境。其一，看 K 线太枯燥：满屏红绿线条既看不懂，打开软件也不知道今天到底该买还是该卖。其二，看财报没时间：一份年报动辄几百页，既没空也没能力读完，最终只能听信网上的小道消息。其三，遇上宏观事件时不知道如何应对，例如突然宣布加息，往往不清楚该减仓避险还是继续持有。这些困境的共同点在于，散户并不缺少信息，真正缺的是把零散信息转化为可执行决策的能力。</w:t>
      </w:r>
    </w:p>
    <w:p>
      <w:pPr>
        <w:pStyle w:val="Heading2"/>
        <w:spacing w:line="660" w:lineRule="exact" w:before="120" w:after="120"/>
      </w:pPr>
      <w:r>
        <w:rPr>
          <w:rFonts w:ascii="Times New Roman" w:hAnsi="Times New Roman" w:eastAsia="方正仿宋_GBK"/>
          <w:b/>
          <w:color w:val="000000"/>
          <w:sz w:val="30"/>
        </w:rPr>
        <w:t>（二）现有产品的不足</w:t>
      </w:r>
    </w:p>
    <w:p>
      <w:pPr>
        <w:spacing w:lineRule="exact" w:line="560"/>
      </w:pPr>
      <w:r>
        <w:rPr>
          <w:rFonts w:ascii="Times New Roman" w:hAnsi="Times New Roman" w:eastAsia="方正仿宋_GBK"/>
          <w:b w:val="0"/>
          <w:sz w:val="32"/>
        </w:rPr>
        <w:t>进一步观察市面上已有的工具，会发现它们大多只是“数据看板”：把涨跌幅、PE、MACD 等指标罗列出来，却从不解释背后的逻辑。用户看完一屏幕数字，依然不知道“为什么”以及“接下来该怎么做”。换言之，散户真正短缺的不是数据本身，而是把数据翻译成可执行决策的中间环节，这正是本项目的出发点——补上从信息到行动的最后一环。</w:t>
      </w:r>
    </w:p>
    <w:p>
      <w:pPr>
        <w:pStyle w:val="Heading2"/>
        <w:spacing w:line="660" w:lineRule="exact" w:before="120" w:after="120"/>
      </w:pPr>
      <w:r>
        <w:rPr>
          <w:rFonts w:ascii="Times New Roman" w:hAnsi="Times New Roman" w:eastAsia="方正仿宋_GBK"/>
          <w:b/>
          <w:color w:val="000000"/>
          <w:sz w:val="30"/>
        </w:rPr>
        <w:t>（三）我们的解法：多智能体投研委员会</w:t>
      </w:r>
    </w:p>
    <w:p>
      <w:pPr>
        <w:spacing w:lineRule="exact" w:line="560"/>
      </w:pPr>
      <w:r>
        <w:rPr>
          <w:rFonts w:ascii="Times New Roman" w:hAnsi="Times New Roman" w:eastAsia="方正仿宋_GBK"/>
          <w:b w:val="0"/>
          <w:sz w:val="32"/>
        </w:rPr>
        <w:t>针对上述问题，我们把机构里那套多角色协作的投研流程用 AI 复刻成一套散户用得起的对话式委员会。系统中设有 4 位 AI 分析师，分别负责宏观情绪、基本面、技术面与风控，彼此互相引用、交叉辩论；其中风控 agent 持有一票否决权，一旦识别到激进操作便当场叫停，并在页面上直接盖章警示。在此之上，由 CIO 综合各方意见与风控边界做出共识决策，输出一份带有明确仓位与止损线的《投资备忘录》。更重要的是，系统全程“说人话”——所有专业指标都被翻译成大白话，用一句话告诉用户接下来该做什么。其本质不是教用户学会看指标，而是直接解决“散户到底该听谁的、听了之后怎么做”这一核心问题。</w:t>
      </w:r>
    </w:p>
    <w:p>
      <w:pPr>
        <w:pStyle w:val="Heading1"/>
        <w:spacing w:line="660" w:lineRule="exact" w:before="120" w:after="120"/>
      </w:pPr>
      <w:r>
        <w:rPr>
          <w:rFonts w:ascii="Times New Roman" w:hAnsi="Times New Roman" w:eastAsia="黑体"/>
          <w:b w:val="0"/>
          <w:color w:val="000000"/>
          <w:sz w:val="32"/>
        </w:rPr>
        <w:t>二、技术选型</w:t>
      </w:r>
    </w:p>
    <w:p>
      <w:pPr>
        <w:pStyle w:val="Heading2"/>
        <w:spacing w:line="660" w:lineRule="exact" w:before="120" w:after="120"/>
      </w:pPr>
      <w:r>
        <w:rPr>
          <w:rFonts w:ascii="Times New Roman" w:hAnsi="Times New Roman" w:eastAsia="方正仿宋_GBK"/>
          <w:b/>
          <w:color w:val="000000"/>
          <w:sz w:val="30"/>
        </w:rPr>
        <w:t>（一）系统架构：五层分工，AI 不瞎算指标</w:t>
      </w:r>
    </w:p>
    <w:p>
      <w:pPr>
        <w:spacing w:lineRule="exact" w:line="560"/>
      </w:pPr>
      <w:r>
        <w:rPr>
          <w:rFonts w:ascii="Times New Roman" w:hAnsi="Times New Roman" w:eastAsia="方正仿宋_GBK"/>
          <w:b w:val="0"/>
          <w:sz w:val="32"/>
        </w:rPr>
        <w:t>整个系统最关键的设计，是把“严谨的数学计算”和“大模型的分析推理”彻底分开。图1 给出了系统的五层架构，自下而上分别为数据层、计算层、AI 技术层、Agent 编排层与前端展示层，各层职责边界清晰、互不越界。</w:t>
      </w:r>
    </w:p>
    <w:p>
      <w:r>
        <w:drawing>
          <wp:inline xmlns:a="http://schemas.openxmlformats.org/drawingml/2006/main" xmlns:pic="http://schemas.openxmlformats.org/drawingml/2006/picture">
            <wp:extent cx="4680000" cy="430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3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Times New Roman" w:hAnsi="Times New Roman" w:eastAsia="方正仿宋_GBK"/>
          <w:color w:val="6B7686"/>
          <w:sz w:val="21"/>
        </w:rPr>
        <w:t>图1：五层系统架构</w:t>
      </w:r>
    </w:p>
    <w:p>
      <w:pPr>
        <w:spacing w:before="160" w:after="40" w:line="276" w:lineRule="auto"/>
        <w:jc w:val="center"/>
      </w:pPr>
      <w:r>
        <w:rPr>
          <w:rFonts w:ascii="Times New Roman" w:hAnsi="Times New Roman" w:eastAsia="方正仿宋_GBK"/>
          <w:b/>
          <w:color w:val="16234A"/>
          <w:sz w:val="21"/>
        </w:rPr>
        <w:t>表1：五层系统架构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2" w:color="D9D9D9"/>
          <w:left w:val="single" w:sz="2" w:color="D9D9D9"/>
          <w:bottom w:val="single" w:sz="2" w:color="D9D9D9"/>
          <w:right w:val="single" w:sz="2" w:color="D9D9D9"/>
          <w:insideH w:val="single" w:sz="2" w:color="D9D9D9"/>
          <w:insideV w:val="single" w:sz="2" w:color="D9D9D9"/>
        </w:tblBorders>
      </w:tblPr>
      <w:tblGrid>
        <w:gridCol w:w="3362"/>
        <w:gridCol w:w="3362"/>
        <w:gridCol w:w="3362"/>
      </w:tblGrid>
      <w:tr>
        <w:tc>
          <w:tcPr>
            <w:tcW w:type="dxa" w:w="3362"/>
            <w:shd w:fill="E8F0FE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b/>
                <w:color w:val="1F2A44"/>
                <w:sz w:val="21"/>
              </w:rPr>
              <w:t>层级</w:t>
            </w:r>
          </w:p>
        </w:tc>
        <w:tc>
          <w:tcPr>
            <w:tcW w:type="dxa" w:w="3362"/>
            <w:shd w:fill="E8F0FE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b/>
                <w:color w:val="1F2A44"/>
                <w:sz w:val="21"/>
              </w:rPr>
              <w:t>组成</w:t>
            </w:r>
          </w:p>
        </w:tc>
        <w:tc>
          <w:tcPr>
            <w:tcW w:type="dxa" w:w="3362"/>
            <w:shd w:fill="E8F0FE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b/>
                <w:color w:val="1F2A44"/>
                <w:sz w:val="21"/>
              </w:rPr>
              <w:t>职责与边界</w:t>
            </w:r>
          </w:p>
        </w:tc>
      </w:tr>
      <w:tr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数据层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本地真实快照 + Tushare/AkShare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8 只跨行业精选标的；已打通实时 API，改一行配置即可扩展</w:t>
            </w:r>
          </w:p>
        </w:tc>
      </w:tr>
      <w:tr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计算层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Python 量化引擎（pandas/numpy）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MACD / 回撤 / 波动 / 蒙特卡洛 / VaR——确定性数学，可复现</w:t>
            </w:r>
          </w:p>
        </w:tc>
      </w:tr>
      <w:tr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AI 技术层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大模型（DeepSeek/GPT 兼容）+ RAG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只做意图识别、辩论、大白话解读与 CIO 裁决；检索带引用溯源</w:t>
            </w:r>
          </w:p>
        </w:tc>
      </w:tr>
      <w:tr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Agent 编排层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自研 Router（4 位分析师 + CIO）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自主调度、支持函数调用 Tool Calling；调度状态前端可见</w:t>
            </w:r>
          </w:p>
        </w:tc>
      </w:tr>
      <w:tr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前端展示层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单页应用 + ECharts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对话流 / K 线 + MACD / 蒙特卡洛扇形图 / 否决印章 / 决策闭环</w:t>
            </w:r>
          </w:p>
        </w:tc>
      </w:tr>
    </w:tbl>
    <w:p>
      <w:pPr>
        <w:spacing w:after="80" w:line="240" w:lineRule="auto"/>
      </w:pPr>
    </w:p>
    <w:p>
      <w:pPr>
        <w:spacing w:lineRule="exact" w:line="560"/>
      </w:pPr>
      <w:r>
        <w:rPr>
          <w:rFonts w:ascii="Times New Roman" w:hAnsi="Times New Roman" w:eastAsia="方正仿宋_GBK"/>
          <w:b/>
          <w:color w:val="16234A"/>
          <w:sz w:val="32"/>
        </w:rPr>
        <w:t>技术严谨性声明：系统在架构上严格隔离了计算与推理。大模型只负责逻辑研判，所有 MACD、VaR 指标均由 Python 量化引擎独立计算后回填，从根源上杜绝幻觉。</w:t>
      </w:r>
    </w:p>
    <w:p>
      <w:pPr>
        <w:pStyle w:val="Heading2"/>
        <w:spacing w:line="660" w:lineRule="exact" w:before="120" w:after="120"/>
      </w:pPr>
      <w:r>
        <w:rPr>
          <w:rFonts w:ascii="Times New Roman" w:hAnsi="Times New Roman" w:eastAsia="方正仿宋_GBK"/>
          <w:b/>
          <w:color w:val="000000"/>
          <w:sz w:val="30"/>
        </w:rPr>
        <w:t>（二）技术栈选型</w:t>
      </w:r>
    </w:p>
    <w:p>
      <w:pPr>
        <w:spacing w:lineRule="exact" w:line="560"/>
      </w:pPr>
      <w:r>
        <w:rPr>
          <w:rFonts w:ascii="Times New Roman" w:hAnsi="Times New Roman" w:eastAsia="方正仿宋_GBK"/>
          <w:b w:val="0"/>
          <w:sz w:val="32"/>
        </w:rPr>
        <w:t>在具体的技术选型上，系统以“确定性计算 + 轻量编排 + 离线可用”为原则，下表给出了各模块对应的技术栈与选型理由。</w:t>
      </w:r>
    </w:p>
    <w:p>
      <w:pPr>
        <w:spacing w:before="160" w:after="40" w:line="276" w:lineRule="auto"/>
        <w:jc w:val="center"/>
      </w:pPr>
      <w:r>
        <w:rPr>
          <w:rFonts w:ascii="Times New Roman" w:hAnsi="Times New Roman" w:eastAsia="方正仿宋_GBK"/>
          <w:b/>
          <w:color w:val="16234A"/>
          <w:sz w:val="21"/>
        </w:rPr>
        <w:t>表2：技术选型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2" w:color="D9D9D9"/>
          <w:left w:val="single" w:sz="2" w:color="D9D9D9"/>
          <w:bottom w:val="single" w:sz="2" w:color="D9D9D9"/>
          <w:right w:val="single" w:sz="2" w:color="D9D9D9"/>
          <w:insideH w:val="single" w:sz="2" w:color="D9D9D9"/>
          <w:insideV w:val="single" w:sz="2" w:color="D9D9D9"/>
        </w:tblBorders>
      </w:tblPr>
      <w:tblGrid>
        <w:gridCol w:w="3362"/>
        <w:gridCol w:w="3362"/>
        <w:gridCol w:w="3362"/>
      </w:tblGrid>
      <w:tr>
        <w:tc>
          <w:tcPr>
            <w:tcW w:type="dxa" w:w="3362"/>
            <w:shd w:fill="E8F0FE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b/>
                <w:color w:val="1F2A44"/>
                <w:sz w:val="21"/>
              </w:rPr>
              <w:t>模块</w:t>
            </w:r>
          </w:p>
        </w:tc>
        <w:tc>
          <w:tcPr>
            <w:tcW w:type="dxa" w:w="3362"/>
            <w:shd w:fill="E8F0FE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b/>
                <w:color w:val="1F2A44"/>
                <w:sz w:val="21"/>
              </w:rPr>
              <w:t>技术栈</w:t>
            </w:r>
          </w:p>
        </w:tc>
        <w:tc>
          <w:tcPr>
            <w:tcW w:type="dxa" w:w="3362"/>
            <w:shd w:fill="E8F0FE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b/>
                <w:color w:val="1F2A44"/>
                <w:sz w:val="21"/>
              </w:rPr>
              <w:t>说明</w:t>
            </w:r>
          </w:p>
        </w:tc>
      </w:tr>
      <w:tr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量化计算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Python + pandas / numpy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风险指标、技术指标、蒙特卡洛、情景压力测试（确定性计算）</w:t>
            </w:r>
          </w:p>
        </w:tc>
      </w:tr>
      <w:tr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大模型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OpenAI 兼容接口（DeepSeek / GPT / 通义 / 智谱）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意图识别、Agent 辩论与 CIO 裁决；不填 Key 也能完整跑通</w:t>
            </w:r>
          </w:p>
        </w:tc>
      </w:tr>
      <w:tr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RAG 检索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本地切分 + 检索召回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回答带原文片段与匹配度，可溯源核对</w:t>
            </w:r>
          </w:p>
        </w:tc>
      </w:tr>
      <w:tr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Agent 编排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自研 Router（纯 Python）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4 位分析师 + CIO，支持函数调用；与 LangGraph / Dify 架构兼容</w:t>
            </w:r>
          </w:p>
        </w:tc>
      </w:tr>
      <w:tr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数据层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本地真实快照 + Tushare / AkShare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本地优先保证现场演示稳定；切线上 API 只需改一行配置</w:t>
            </w:r>
          </w:p>
        </w:tc>
      </w:tr>
      <w:tr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前端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单页应用 + ECharts（离线可用）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对话流 + 作战室 + 扇形图 + MACD 行情图</w:t>
            </w:r>
          </w:p>
        </w:tc>
      </w:tr>
    </w:tbl>
    <w:p>
      <w:pPr>
        <w:spacing w:after="80" w:line="240" w:lineRule="auto"/>
      </w:pPr>
    </w:p>
    <w:p>
      <w:pPr>
        <w:pStyle w:val="Heading2"/>
        <w:spacing w:line="660" w:lineRule="exact" w:before="120" w:after="120"/>
      </w:pPr>
      <w:r>
        <w:rPr>
          <w:rFonts w:ascii="Times New Roman" w:hAnsi="Times New Roman" w:eastAsia="方正仿宋_GBK"/>
          <w:b/>
          <w:color w:val="000000"/>
          <w:sz w:val="30"/>
        </w:rPr>
        <w:t>（三）核心技术难点与创新</w:t>
      </w:r>
    </w:p>
    <w:p>
      <w:pPr>
        <w:spacing w:lineRule="exact" w:line="560"/>
      </w:pPr>
      <w:r>
        <w:rPr>
          <w:rFonts w:ascii="Times New Roman" w:hAnsi="Times New Roman" w:eastAsia="方正仿宋_GBK"/>
          <w:b w:val="0"/>
          <w:sz w:val="32"/>
        </w:rPr>
        <w:t>在研发过程中，我们重点解决了三类核心技术难点，其对应方案如下表所示。</w:t>
      </w:r>
    </w:p>
    <w:p>
      <w:pPr>
        <w:spacing w:before="160" w:after="40" w:line="276" w:lineRule="auto"/>
        <w:jc w:val="center"/>
      </w:pPr>
      <w:r>
        <w:rPr>
          <w:rFonts w:ascii="Times New Roman" w:hAnsi="Times New Roman" w:eastAsia="方正仿宋_GBK"/>
          <w:b/>
          <w:color w:val="16234A"/>
          <w:sz w:val="21"/>
        </w:rPr>
        <w:t>表3：核心技术难点与解决方案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2" w:color="D9D9D9"/>
          <w:left w:val="single" w:sz="2" w:color="D9D9D9"/>
          <w:bottom w:val="single" w:sz="2" w:color="D9D9D9"/>
          <w:right w:val="single" w:sz="2" w:color="D9D9D9"/>
          <w:insideH w:val="single" w:sz="2" w:color="D9D9D9"/>
          <w:insideV w:val="single" w:sz="2" w:color="D9D9D9"/>
        </w:tblBorders>
      </w:tblPr>
      <w:tblGrid>
        <w:gridCol w:w="3362"/>
        <w:gridCol w:w="3362"/>
        <w:gridCol w:w="3362"/>
      </w:tblGrid>
      <w:tr>
        <w:tc>
          <w:tcPr>
            <w:tcW w:type="dxa" w:w="3362"/>
            <w:shd w:fill="E8F0FE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b/>
                <w:color w:val="1F2A44"/>
                <w:sz w:val="21"/>
              </w:rPr>
              <w:t>难点</w:t>
            </w:r>
          </w:p>
        </w:tc>
        <w:tc>
          <w:tcPr>
            <w:tcW w:type="dxa" w:w="3362"/>
            <w:shd w:fill="E8F0FE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b/>
                <w:color w:val="1F2A44"/>
                <w:sz w:val="21"/>
              </w:rPr>
              <w:t>我们遇到的麻烦</w:t>
            </w:r>
          </w:p>
        </w:tc>
        <w:tc>
          <w:tcPr>
            <w:tcW w:type="dxa" w:w="3362"/>
            <w:shd w:fill="E8F0FE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b/>
                <w:color w:val="1F2A44"/>
                <w:sz w:val="21"/>
              </w:rPr>
              <w:t>怎么解决的</w:t>
            </w:r>
          </w:p>
        </w:tc>
      </w:tr>
      <w:tr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大模型幻觉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让 LLM 直接回答，MACD、回撤、VaR 容易张口就来、前后矛盾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大模型与 Python 引擎彻底分离：指标由量化引擎确定性算好后注入 Prompt，模型只解读不计算</w:t>
            </w:r>
          </w:p>
        </w:tc>
      </w:tr>
      <w:tr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决策冲突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4 位分析师意见打架时怎么收敛？简单少数表决会忽略最危险的那一条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设计“一票否决权”+“CIO 共识机制”：风控有终局否决权，CIO 综合各方与风控边界达成妥协</w:t>
            </w:r>
          </w:p>
        </w:tc>
      </w:tr>
      <w:tr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非结构化数据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财报研报是长文本，散户没时间读，模型也容易脱离原文乱答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RAG + 文档解析 + 检索溯源：回答强制附带原文片段与匹配度，可一键核对</w:t>
            </w:r>
          </w:p>
        </w:tc>
      </w:tr>
    </w:tbl>
    <w:p>
      <w:pPr>
        <w:spacing w:after="80" w:line="240" w:lineRule="auto"/>
      </w:pPr>
    </w:p>
    <w:p>
      <w:pPr>
        <w:pStyle w:val="Heading2"/>
        <w:spacing w:line="660" w:lineRule="exact" w:before="120" w:after="120"/>
      </w:pPr>
      <w:r>
        <w:rPr>
          <w:rFonts w:ascii="Times New Roman" w:hAnsi="Times New Roman" w:eastAsia="方正仿宋_GBK"/>
          <w:b/>
          <w:color w:val="000000"/>
          <w:sz w:val="30"/>
        </w:rPr>
        <w:t>（四）项目创新点</w:t>
      </w:r>
    </w:p>
    <w:p>
      <w:pPr>
        <w:spacing w:lineRule="exact" w:line="560"/>
      </w:pPr>
      <w:r>
        <w:rPr>
          <w:rFonts w:ascii="Times New Roman" w:hAnsi="Times New Roman" w:eastAsia="方正仿宋_GBK"/>
          <w:b w:val="0"/>
          <w:sz w:val="32"/>
        </w:rPr>
        <w:t>在上述架构与难点的基础上，本项目在机制设计上有四处关键创新。第一，风控一票否决权：四位分析师并非平票，而是风控持有终局否决权，触发时整页红光警示并加盖“否决”印章，使决策闭环可视化。第二，CIO 的妥协与可执行性：其输出不是简单总结，而是“偏多但不冒进，单只仓位≤15%，止损线 -8%”这类能直接照做的动作。第三，Agent 发言内嵌工具调用：用户展开折叠框即可看到 Python 引擎当场算出的真实数值，而非写死的剧本。第四，动态编排（条件路由）：系统并非固定流水线，当风控计算出年化波动 &gt;40% 或最大回撤 &lt;-27% 时，会直接触发一票否决并短路后续辩论，既保证风控优先，又节省 Token 消耗。</w:t>
      </w:r>
    </w:p>
    <w:p>
      <w:pPr>
        <w:pStyle w:val="Heading1"/>
        <w:spacing w:line="660" w:lineRule="exact" w:before="120" w:after="120"/>
      </w:pPr>
      <w:r>
        <w:rPr>
          <w:rFonts w:ascii="Times New Roman" w:hAnsi="Times New Roman" w:eastAsia="黑体"/>
          <w:b w:val="0"/>
          <w:color w:val="000000"/>
          <w:sz w:val="32"/>
        </w:rPr>
        <w:t>三、实现流程</w:t>
      </w:r>
    </w:p>
    <w:p>
      <w:pPr>
        <w:pStyle w:val="Heading2"/>
        <w:spacing w:line="660" w:lineRule="exact" w:before="120" w:after="120"/>
      </w:pPr>
      <w:r>
        <w:rPr>
          <w:rFonts w:ascii="Times New Roman" w:hAnsi="Times New Roman" w:eastAsia="方正仿宋_GBK"/>
          <w:b/>
          <w:color w:val="000000"/>
          <w:sz w:val="30"/>
        </w:rPr>
        <w:t>（一）Tool Calling：大模型只调度不计算</w:t>
      </w:r>
    </w:p>
    <w:p>
      <w:pPr>
        <w:spacing w:lineRule="exact" w:line="560"/>
      </w:pPr>
      <w:r>
        <w:rPr>
          <w:rFonts w:ascii="Times New Roman" w:hAnsi="Times New Roman" w:eastAsia="方正仿宋_GBK"/>
          <w:b w:val="0"/>
          <w:sz w:val="32"/>
        </w:rPr>
        <w:t>图2 展示了用户提出一个问题之后，系统内部的完整流转过程：大模型不参与任何计算，它只判断“该算什么”，随后输出一段结构化调用指令，交给 Router 转给 Python 引擎执行，引擎把硬指标回填给 Agent，Agent 再据此进行解读。模型决策 → 工具执行 → 结果回填，由此形成完整闭环。</w:t>
      </w:r>
    </w:p>
    <w:p>
      <w:r>
        <w:drawing>
          <wp:inline xmlns:a="http://schemas.openxmlformats.org/drawingml/2006/main" xmlns:pic="http://schemas.openxmlformats.org/drawingml/2006/picture">
            <wp:extent cx="3816000" cy="30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30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Times New Roman" w:hAnsi="Times New Roman" w:eastAsia="方正仿宋_GBK"/>
          <w:color w:val="6B7686"/>
          <w:sz w:val="21"/>
        </w:rPr>
        <w:t>图2：一次提问如何走完整个投研决策</w:t>
      </w:r>
    </w:p>
    <w:p>
      <w:pPr>
        <w:spacing w:lineRule="exact" w:line="560"/>
      </w:pPr>
      <w:r>
        <w:rPr>
          <w:rFonts w:ascii="Times New Roman" w:hAnsi="Times New Roman" w:eastAsia="方正仿宋_GBK"/>
          <w:b/>
          <w:color w:val="16234A"/>
          <w:sz w:val="32"/>
        </w:rPr>
        <w:t>模型决策 → 工具执行 → 结果回填，闭环成立。</w:t>
      </w:r>
    </w:p>
    <w:p>
      <w:pPr>
        <w:spacing w:lineRule="exact" w:line="560"/>
      </w:pPr>
      <w:r>
        <w:rPr>
          <w:rFonts w:ascii="Times New Roman" w:hAnsi="Times New Roman" w:eastAsia="方正仿宋_GBK"/>
          <w:b w:val="0"/>
          <w:sz w:val="32"/>
        </w:rPr>
        <w:t>那么界面上如何验证这一过程？图3 是委员会页面的真实截图，每个 Agent 发言下方的折叠框都已点开，其中展示的因子得分、MACD 值、年化波动，都是 Python 引擎当场计算得出的真实结果，而非预先写好的剧本。</w:t>
      </w:r>
    </w:p>
    <w:p>
      <w:r>
        <w:drawing>
          <wp:inline xmlns:a="http://schemas.openxmlformats.org/drawingml/2006/main" xmlns:pic="http://schemas.openxmlformats.org/drawingml/2006/picture">
            <wp:extent cx="4680000" cy="35275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call_op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2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Times New Roman" w:hAnsi="Times New Roman" w:eastAsia="方正仿宋_GBK"/>
          <w:color w:val="6B7686"/>
          <w:sz w:val="21"/>
        </w:rPr>
        <w:t>图3：用户点击即可查看 AI 底层计算过程，真实可溯源</w:t>
      </w:r>
    </w:p>
    <w:p>
      <w:pPr>
        <w:pStyle w:val="Heading2"/>
        <w:spacing w:line="660" w:lineRule="exact" w:before="120" w:after="120"/>
      </w:pPr>
      <w:r>
        <w:rPr>
          <w:rFonts w:ascii="Times New Roman" w:hAnsi="Times New Roman" w:eastAsia="方正仿宋_GBK"/>
          <w:b/>
          <w:color w:val="000000"/>
          <w:sz w:val="30"/>
        </w:rPr>
        <w:t>（二）多智能体实时辩论与博弈</w:t>
      </w:r>
    </w:p>
    <w:p>
      <w:pPr>
        <w:spacing w:lineRule="exact" w:line="560"/>
      </w:pPr>
      <w:r>
        <w:rPr>
          <w:rFonts w:ascii="Times New Roman" w:hAnsi="Times New Roman" w:eastAsia="方正仿宋_GBK"/>
          <w:b w:val="0"/>
          <w:sz w:val="32"/>
        </w:rPr>
        <w:t>在交互层面，当用户于对话流中输入“帮我看看英伟达能买吗”这样的问题，右侧作战室的四位分析师便会各自调用引擎取数、互相引用并展开辩论。一旦风控触发否决，页面便弹出红色横幅并锁定后续辩论，最终由 CIO 给出裁决。图4 展示了这一实时辩论的过程。</w:t>
      </w:r>
    </w:p>
    <w:p>
      <w:r>
        <w:drawing>
          <wp:inline xmlns:a="http://schemas.openxmlformats.org/drawingml/2006/main" xmlns:pic="http://schemas.openxmlformats.org/drawingml/2006/picture">
            <wp:extent cx="4752000" cy="32585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ittee_nv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258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Times New Roman" w:hAnsi="Times New Roman" w:eastAsia="方正仿宋_GBK"/>
          <w:color w:val="6B7686"/>
          <w:sz w:val="21"/>
        </w:rPr>
        <w:t>图4：多智能体实时辩论：顶部为编排流程，风控一票否决触发红色横幅（NVDA 示例）</w:t>
      </w:r>
    </w:p>
    <w:p>
      <w:pPr>
        <w:pStyle w:val="Heading2"/>
        <w:spacing w:line="660" w:lineRule="exact" w:before="120" w:after="120"/>
      </w:pPr>
      <w:r>
        <w:rPr>
          <w:rFonts w:ascii="Times New Roman" w:hAnsi="Times New Roman" w:eastAsia="方正仿宋_GBK"/>
          <w:b/>
          <w:color w:val="000000"/>
          <w:sz w:val="30"/>
        </w:rPr>
        <w:t>（三）CIO 共识决策与投资备忘录</w:t>
      </w:r>
    </w:p>
    <w:p>
      <w:pPr>
        <w:spacing w:lineRule="exact" w:line="560"/>
      </w:pPr>
      <w:r>
        <w:rPr>
          <w:rFonts w:ascii="Times New Roman" w:hAnsi="Times New Roman" w:eastAsia="方正仿宋_GBK"/>
          <w:b w:val="0"/>
          <w:sz w:val="32"/>
        </w:rPr>
        <w:t>当风控行使一票否决后，CIO 并不会与之硬顶，而是综合各方意见，给出一份带有风控边界的妥协裁决。在 NVDA 示例中，CIO 的实际输出如下：</w:t>
      </w:r>
    </w:p>
    <w:p>
      <w:pPr>
        <w:spacing w:before="120" w:after="120" w:lineRule="exact" w:line="560"/>
        <w:ind w:left="283"/>
      </w:pPr>
      <w:r>
        <w:rPr>
          <w:rFonts w:ascii="Times New Roman" w:hAnsi="Times New Roman" w:eastAsia="方正仿宋_GBK"/>
          <w:b/>
          <w:color w:val="16234A"/>
          <w:sz w:val="32"/>
        </w:rPr>
        <w:t>"暂不建仓，先把这票挂进观察名单。若后续 MACD 金叉且重新站上 MA20，可轻仓试错 ≤5%，止损线设在 -8%；没信号就不动。"</w:t>
      </w:r>
    </w:p>
    <w:p>
      <w:r>
        <w:drawing>
          <wp:inline xmlns:a="http://schemas.openxmlformats.org/drawingml/2006/main" xmlns:pic="http://schemas.openxmlformats.org/drawingml/2006/picture">
            <wp:extent cx="4752000" cy="32585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o_nv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258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Times New Roman" w:hAnsi="Times New Roman" w:eastAsia="方正仿宋_GBK"/>
          <w:color w:val="6B7686"/>
          <w:sz w:val="21"/>
        </w:rPr>
        <w:t>图5：CIO 投资备忘录 · 大模型共识机制：决策闭环盖章、一键导出 PDF（NVDA 示例）</w:t>
      </w:r>
    </w:p>
    <w:p>
      <w:pPr>
        <w:spacing w:lineRule="exact" w:line="560"/>
      </w:pPr>
      <w:r>
        <w:rPr>
          <w:rFonts w:ascii="Times New Roman" w:hAnsi="Times New Roman" w:eastAsia="方正仿宋_GBK"/>
          <w:b w:val="0"/>
          <w:sz w:val="32"/>
        </w:rPr>
        <w:t>该决策闭环视图为系统的核心输出：上方为 CIO 裁决与共识度，下方为可直接执行的《投资备忘录》，并支持一键导出 PDF。</w:t>
      </w:r>
    </w:p>
    <w:p>
      <w:pPr>
        <w:pStyle w:val="Heading2"/>
        <w:spacing w:line="660" w:lineRule="exact" w:before="120" w:after="120"/>
      </w:pPr>
      <w:r>
        <w:rPr>
          <w:rFonts w:ascii="Times New Roman" w:hAnsi="Times New Roman" w:eastAsia="方正仿宋_GBK"/>
          <w:b/>
          <w:color w:val="000000"/>
          <w:sz w:val="30"/>
        </w:rPr>
        <w:t>（四）RAG 检索溯源问答</w:t>
      </w:r>
    </w:p>
    <w:p>
      <w:pPr>
        <w:spacing w:lineRule="exact" w:line="560"/>
      </w:pPr>
      <w:r>
        <w:rPr>
          <w:rFonts w:ascii="Times New Roman" w:hAnsi="Times New Roman" w:eastAsia="方正仿宋_GBK"/>
          <w:b w:val="0"/>
          <w:sz w:val="32"/>
        </w:rPr>
        <w:t>除了面向行情的投研流程，系统还内置了 RAG 检索溯源问答模块。该模块采用“结论 + 证据”相分离的排版方式：先给出 AI 综合研判的人话结论，再列出支撑该结论的原文片段。以“茅台当前是否站上年线”为例，系统会回答“当前尚未站上年线，存在套牢盘，需谨慎对待”，并且每一条证据都附带匹配度与段落号，可供用户逐条溯源核对，从根本上杜绝张冠李戴式的编造。图6 展示了 RAG 检索溯源的界面。</w:t>
      </w:r>
    </w:p>
    <w:p>
      <w:r>
        <w:drawing>
          <wp:inline xmlns:a="http://schemas.openxmlformats.org/drawingml/2006/main" xmlns:pic="http://schemas.openxmlformats.org/drawingml/2006/picture">
            <wp:extent cx="4536000" cy="32646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tr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26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Times New Roman" w:hAnsi="Times New Roman" w:eastAsia="方正仿宋_GBK"/>
          <w:color w:val="6B7686"/>
          <w:sz w:val="21"/>
        </w:rPr>
        <w:t>图6：RAG 检索溯源：AI 综合研判 + 匹配度与原文证据（茅台/宁德素材库）</w:t>
      </w:r>
    </w:p>
    <w:p>
      <w:pPr>
        <w:pStyle w:val="Heading1"/>
        <w:spacing w:line="660" w:lineRule="exact" w:before="120" w:after="120"/>
      </w:pPr>
      <w:r>
        <w:rPr>
          <w:rFonts w:ascii="Times New Roman" w:hAnsi="Times New Roman" w:eastAsia="黑体"/>
          <w:b w:val="0"/>
          <w:color w:val="000000"/>
          <w:sz w:val="32"/>
        </w:rPr>
        <w:t>四、测试效果</w:t>
      </w:r>
    </w:p>
    <w:p>
      <w:pPr>
        <w:pStyle w:val="Heading2"/>
        <w:spacing w:line="660" w:lineRule="exact" w:before="120" w:after="120"/>
      </w:pPr>
      <w:r>
        <w:rPr>
          <w:rFonts w:ascii="Times New Roman" w:hAnsi="Times New Roman" w:eastAsia="方正仿宋_GBK"/>
          <w:b/>
          <w:color w:val="000000"/>
          <w:sz w:val="30"/>
        </w:rPr>
        <w:t>（一）8 只标的真实回测统计</w:t>
      </w:r>
    </w:p>
    <w:p>
      <w:pPr>
        <w:spacing w:lineRule="exact" w:line="560"/>
      </w:pPr>
      <w:r>
        <w:rPr>
          <w:rFonts w:ascii="Times New Roman" w:hAnsi="Times New Roman" w:eastAsia="方正仿宋_GBK"/>
          <w:b w:val="0"/>
          <w:sz w:val="32"/>
        </w:rPr>
        <w:t>系统内置了 8 只跨行业标的的真实历史快照统计（非合成数据），涵盖科技、消费、工业与金融多个领域，下表给出了各标的的起止价、最大回撤与年化波动等关键指标。</w:t>
      </w:r>
    </w:p>
    <w:p>
      <w:pPr>
        <w:spacing w:before="160" w:after="40" w:line="276" w:lineRule="auto"/>
        <w:jc w:val="center"/>
      </w:pPr>
      <w:r>
        <w:rPr>
          <w:rFonts w:ascii="Times New Roman" w:hAnsi="Times New Roman" w:eastAsia="方正仿宋_GBK"/>
          <w:b/>
          <w:color w:val="16234A"/>
          <w:sz w:val="21"/>
        </w:rPr>
        <w:t>表4：8 只标的真实历史回测统计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2" w:color="D9D9D9"/>
          <w:left w:val="single" w:sz="2" w:color="D9D9D9"/>
          <w:bottom w:val="single" w:sz="2" w:color="D9D9D9"/>
          <w:right w:val="single" w:sz="2" w:color="D9D9D9"/>
          <w:insideH w:val="single" w:sz="2" w:color="D9D9D9"/>
          <w:insideV w:val="single" w:sz="2" w:color="D9D9D9"/>
        </w:tblBorders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fill="E8F0FE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b/>
                <w:color w:val="1F2A44"/>
                <w:sz w:val="21"/>
              </w:rPr>
              <w:t>标的</w:t>
            </w:r>
          </w:p>
        </w:tc>
        <w:tc>
          <w:tcPr>
            <w:tcW w:type="dxa" w:w="1681"/>
            <w:shd w:fill="E8F0FE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b/>
                <w:color w:val="1F2A44"/>
                <w:sz w:val="21"/>
              </w:rPr>
              <w:t>分类</w:t>
            </w:r>
          </w:p>
        </w:tc>
        <w:tc>
          <w:tcPr>
            <w:tcW w:type="dxa" w:w="1681"/>
            <w:shd w:fill="E8F0FE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b/>
                <w:color w:val="1F2A44"/>
                <w:sz w:val="21"/>
              </w:rPr>
              <w:t>起止价（美元）</w:t>
            </w:r>
          </w:p>
        </w:tc>
        <w:tc>
          <w:tcPr>
            <w:tcW w:type="dxa" w:w="1681"/>
            <w:shd w:fill="E8F0FE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b/>
                <w:color w:val="1F2A44"/>
                <w:sz w:val="21"/>
              </w:rPr>
              <w:t>最大回撤</w:t>
            </w:r>
          </w:p>
        </w:tc>
        <w:tc>
          <w:tcPr>
            <w:tcW w:type="dxa" w:w="1681"/>
            <w:shd w:fill="E8F0FE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b/>
                <w:color w:val="1F2A44"/>
                <w:sz w:val="21"/>
              </w:rPr>
              <w:t>年化波动</w:t>
            </w:r>
          </w:p>
        </w:tc>
        <w:tc>
          <w:tcPr>
            <w:tcW w:type="dxa" w:w="1681"/>
            <w:shd w:fill="E8F0FE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b/>
                <w:color w:val="1F2A44"/>
                <w:sz w:val="21"/>
              </w:rPr>
              <w:t>数据来源</w:t>
            </w:r>
          </w:p>
        </w:tc>
      </w:tr>
      <w:tr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AAPL 苹果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科技先锋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185.64→332.89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-33.4%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27.4%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真实本地快照</w:t>
            </w:r>
          </w:p>
        </w:tc>
      </w:tr>
      <w:tr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MSFT 微软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科技先锋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362.57→529.30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-34.6%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26.7%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真实本地快照</w:t>
            </w:r>
          </w:p>
        </w:tc>
      </w:tr>
      <w:tr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NVDA 英伟达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科技先锋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47.83→239.24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-37.0%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47.7%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真实本地快照</w:t>
            </w:r>
          </w:p>
        </w:tc>
      </w:tr>
      <w:tr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TSLA 特斯拉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科技先锋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248.42→380.68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-53.8%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58.7%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真实本地快照</w:t>
            </w:r>
          </w:p>
        </w:tc>
      </w:tr>
      <w:tr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KO 可口可乐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消费防御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54.78→86.17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-16.3%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17.0%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真实本地快照</w:t>
            </w:r>
          </w:p>
        </w:tc>
      </w:tr>
      <w:tr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MCD 麦当劳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消费防御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279.37→232.45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-31.5%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19.2%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真实本地快照</w:t>
            </w:r>
          </w:p>
        </w:tc>
      </w:tr>
      <w:tr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JNJ 强生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医疗与金融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147.28→254.78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-15.2%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18.9%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真实本地快照</w:t>
            </w:r>
          </w:p>
        </w:tc>
      </w:tr>
      <w:tr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JPM 摩根大通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医疗与金融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157.43→331.28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-25.2%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24.5%</w:t>
            </w:r>
          </w:p>
        </w:tc>
        <w:tc>
          <w:tcPr>
            <w:tcW w:type="dxa" w:w="1681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真实本地快照</w:t>
            </w:r>
          </w:p>
        </w:tc>
      </w:tr>
    </w:tbl>
    <w:p>
      <w:pPr>
        <w:spacing w:after="80" w:line="240" w:lineRule="auto"/>
      </w:pPr>
    </w:p>
    <w:p>
      <w:pPr>
        <w:pStyle w:val="Heading2"/>
        <w:spacing w:line="660" w:lineRule="exact" w:before="120" w:after="120"/>
      </w:pPr>
      <w:r>
        <w:rPr>
          <w:rFonts w:ascii="Times New Roman" w:hAnsi="Times New Roman" w:eastAsia="方正仿宋_GBK"/>
          <w:b/>
          <w:color w:val="000000"/>
          <w:sz w:val="30"/>
        </w:rPr>
        <w:t>（二）组合压力测试与蒙特卡洛扇形图</w:t>
      </w:r>
    </w:p>
    <w:p>
      <w:pPr>
        <w:spacing w:lineRule="exact" w:line="560"/>
      </w:pPr>
      <w:r>
        <w:rPr>
          <w:rFonts w:ascii="Times New Roman" w:hAnsi="Times New Roman" w:eastAsia="方正仿宋_GBK"/>
          <w:b w:val="0"/>
          <w:sz w:val="32"/>
        </w:rPr>
        <w:t>为进一步检验组合层面的稳健性，我们构建了组合压力测试（可乐 40% + 苹果 30% + 英伟达 30%，蒙特卡洛 1200 条路径 × 60 交易日）：年化收益 35.8%、年化波动 18.8%、最大回撤 -19.5%、夏普 1.79。图7 给出了该组合的蒙特卡洛扇形图：1200 条路径刻画了 90% 概率区间，红线标注 95% VaR 最坏情形，并附带 AI 解读与一键情景推演（加息 / 泡沫破裂 / 地缘危机 / 衰退）。</w:t>
      </w:r>
    </w:p>
    <w:p>
      <w:r>
        <w:drawing>
          <wp:inline xmlns:a="http://schemas.openxmlformats.org/drawingml/2006/main" xmlns:pic="http://schemas.openxmlformats.org/drawingml/2006/picture">
            <wp:extent cx="4536000" cy="311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portfol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1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Times New Roman" w:hAnsi="Times New Roman" w:eastAsia="方正仿宋_GBK"/>
          <w:color w:val="6B7686"/>
          <w:sz w:val="21"/>
        </w:rPr>
        <w:t>图7：蒙特卡洛扇形图：95% VaR 红线标注、CAPM β 与情景冲击</w:t>
      </w:r>
    </w:p>
    <w:p>
      <w:pPr>
        <w:pStyle w:val="Heading2"/>
        <w:spacing w:line="660" w:lineRule="exact" w:before="120" w:after="120"/>
      </w:pPr>
      <w:r>
        <w:rPr>
          <w:rFonts w:ascii="Times New Roman" w:hAnsi="Times New Roman" w:eastAsia="方正仿宋_GBK"/>
          <w:b/>
          <w:color w:val="000000"/>
          <w:sz w:val="30"/>
        </w:rPr>
        <w:t>（三）决策一致性验证</w:t>
      </w:r>
    </w:p>
    <w:p>
      <w:pPr>
        <w:spacing w:lineRule="exact" w:line="560"/>
      </w:pPr>
      <w:r>
        <w:rPr>
          <w:rFonts w:ascii="Times New Roman" w:hAnsi="Times New Roman" w:eastAsia="方正仿宋_GBK"/>
          <w:b w:val="0"/>
          <w:sz w:val="32"/>
        </w:rPr>
        <w:t>在 NVDA 示例中，风控依据“年化波动 &gt; 40% 或最大回撤 &lt; -27%”这一硬阈值触发一票否决，CIO 据此输出“观察名单 + 轻仓试错 ≤5% + 止损 -8%”的可执行方案（见 图5）。这一结果验证了“风控优先、决策闭环、结论可照做”的设计目标在真实数据上能够稳定成立，系统在面对高风险标的时不会给出冒进建议，而是主动收缩风险敞口。</w:t>
      </w:r>
    </w:p>
    <w:p>
      <w:pPr>
        <w:pStyle w:val="Heading2"/>
        <w:spacing w:line="660" w:lineRule="exact" w:before="120" w:after="120"/>
      </w:pPr>
      <w:r>
        <w:rPr>
          <w:rFonts w:ascii="Times New Roman" w:hAnsi="Times New Roman" w:eastAsia="方正仿宋_GBK"/>
          <w:b/>
          <w:color w:val="000000"/>
          <w:sz w:val="30"/>
        </w:rPr>
        <w:t>（四）数据合规与免责声明</w:t>
      </w:r>
    </w:p>
    <w:p>
      <w:pPr>
        <w:spacing w:lineRule="exact" w:line="560"/>
      </w:pPr>
      <w:r>
        <w:rPr>
          <w:rFonts w:ascii="Times New Roman" w:hAnsi="Times New Roman" w:eastAsia="方正仿宋_GBK"/>
          <w:b w:val="0"/>
          <w:sz w:val="32"/>
        </w:rPr>
        <w:t>在合规方面，行情数据基于本地历史真实快照，仅用于演示与教学，不构成投资建议；界面右上角常驻合规提示。所有研判结论与《投资备忘录》均由 AI 自动生成（未经人工尽职调查），引用时请注明来源。为保证现场演示在网络波动下稳定，系统采用“精选跨行业种子池”做 MVP 验证。全市场数据量虽然庞大，但这并非本项目的核心——核心始终是多智能体投研决策引擎。目前系统已打通 Tushare / AkShare 接口，只需改一行配置即可扩展至全市场 A 股 / 美股；而这 8 只覆盖科技、消费、工业与金融的标的，正是为了展示 AI 在不同行业中的风控逻辑差异。</w:t>
      </w:r>
    </w:p>
    <w:p>
      <w:pPr>
        <w:pStyle w:val="Heading1"/>
        <w:spacing w:line="660" w:lineRule="exact" w:before="120" w:after="120"/>
      </w:pPr>
      <w:r>
        <w:rPr>
          <w:rFonts w:ascii="Times New Roman" w:hAnsi="Times New Roman" w:eastAsia="黑体"/>
          <w:b w:val="0"/>
          <w:color w:val="000000"/>
          <w:sz w:val="32"/>
        </w:rPr>
        <w:t>五、团队介绍与未来展望</w:t>
      </w:r>
    </w:p>
    <w:p>
      <w:pPr>
        <w:spacing w:lineRule="exact" w:line="560"/>
      </w:pPr>
      <w:r>
        <w:rPr>
          <w:rFonts w:ascii="Times New Roman" w:hAnsi="Times New Roman" w:eastAsia="方正仿宋_GBK"/>
          <w:b w:val="0"/>
          <w:sz w:val="32"/>
        </w:rPr>
        <w:t>本项目由跨学科学生团队完成，下表列出了团队的成员分工。</w:t>
      </w:r>
    </w:p>
    <w:p>
      <w:pPr>
        <w:spacing w:before="160" w:after="40" w:line="276" w:lineRule="auto"/>
        <w:jc w:val="center"/>
      </w:pPr>
      <w:r>
        <w:rPr>
          <w:rFonts w:ascii="Times New Roman" w:hAnsi="Times New Roman" w:eastAsia="方正仿宋_GBK"/>
          <w:b/>
          <w:color w:val="16234A"/>
          <w:sz w:val="21"/>
        </w:rPr>
        <w:t>表5：团队成员分工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2" w:color="D9D9D9"/>
          <w:left w:val="single" w:sz="2" w:color="D9D9D9"/>
          <w:bottom w:val="single" w:sz="2" w:color="D9D9D9"/>
          <w:right w:val="single" w:sz="2" w:color="D9D9D9"/>
          <w:insideH w:val="single" w:sz="2" w:color="D9D9D9"/>
          <w:insideV w:val="single" w:sz="2" w:color="D9D9D9"/>
        </w:tblBorders>
      </w:tblPr>
      <w:tblGrid>
        <w:gridCol w:w="3362"/>
        <w:gridCol w:w="3362"/>
        <w:gridCol w:w="3362"/>
      </w:tblGrid>
      <w:tr>
        <w:tc>
          <w:tcPr>
            <w:tcW w:type="dxa" w:w="3362"/>
            <w:shd w:fill="E8F0FE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b/>
                <w:color w:val="1F2A44"/>
                <w:sz w:val="21"/>
              </w:rPr>
              <w:t>成员</w:t>
            </w:r>
          </w:p>
        </w:tc>
        <w:tc>
          <w:tcPr>
            <w:tcW w:type="dxa" w:w="3362"/>
            <w:shd w:fill="E8F0FE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b/>
                <w:color w:val="1F2A44"/>
                <w:sz w:val="21"/>
              </w:rPr>
              <w:t>角色</w:t>
            </w:r>
          </w:p>
        </w:tc>
        <w:tc>
          <w:tcPr>
            <w:tcW w:type="dxa" w:w="3362"/>
            <w:shd w:fill="E8F0FE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b/>
                <w:color w:val="1F2A44"/>
                <w:sz w:val="21"/>
              </w:rPr>
              <w:t>主要职责</w:t>
            </w:r>
          </w:p>
        </w:tc>
      </w:tr>
      <w:tr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（请填写）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项目负责人 / 产品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需求拆解、进度统筹、汇报主讲</w:t>
            </w:r>
          </w:p>
        </w:tc>
      </w:tr>
      <w:tr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（请填写）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数据与量化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数据接入、量化指标、蒙特卡洛与压力测试</w:t>
            </w:r>
          </w:p>
        </w:tc>
      </w:tr>
      <w:tr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（请填写）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Agent 与后端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多智能体编排、大模型接入、RAG 检索</w:t>
            </w:r>
          </w:p>
        </w:tc>
      </w:tr>
      <w:tr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（请填写）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前端与可视化</w:t>
            </w:r>
          </w:p>
        </w:tc>
        <w:tc>
          <w:tcPr>
            <w:tcW w:type="dxa" w:w="3362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方正仿宋_GBK"/>
                <w:sz w:val="21"/>
              </w:rPr>
              <w:t>对话流、ECharts 图表、决策闭环交互</w:t>
            </w:r>
          </w:p>
        </w:tc>
      </w:tr>
    </w:tbl>
    <w:p>
      <w:pPr>
        <w:spacing w:after="80" w:line="240" w:lineRule="auto"/>
      </w:pPr>
    </w:p>
    <w:p>
      <w:pPr>
        <w:pStyle w:val="Heading2"/>
        <w:spacing w:line="660" w:lineRule="exact" w:before="120" w:after="120"/>
      </w:pPr>
      <w:r>
        <w:rPr>
          <w:rFonts w:ascii="Times New Roman" w:hAnsi="Times New Roman" w:eastAsia="方正仿宋_GBK"/>
          <w:b/>
          <w:color w:val="000000"/>
          <w:sz w:val="30"/>
        </w:rPr>
        <w:t>（一）未来展望</w:t>
      </w:r>
    </w:p>
    <w:p>
      <w:pPr>
        <w:spacing w:lineRule="exact" w:line="560"/>
      </w:pPr>
      <w:r>
        <w:rPr>
          <w:rFonts w:ascii="Times New Roman" w:hAnsi="Times New Roman" w:eastAsia="方正仿宋_GBK"/>
          <w:b w:val="0"/>
          <w:sz w:val="32"/>
        </w:rPr>
        <w:t>面向未来，我们规划了清晰的演进路线。数据层面将接入全市场 A 股 / 美股；Agent 层面将引入行业景气、新闻情绪等更多角色；RAG 层面将接入向量库与 OCR，以支持更复杂的财报结构。最终目标是让系统从“投研建议”走向“模拟交易与组合回测”，形成投研—决策—复盘的完整闭环。</w:t>
      </w:r>
    </w:p>
    <w:p>
      <w:pPr>
        <w:spacing w:after="320" w:lineRule="exact" w:line="56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Rule="exact" w:line="560"/>
        <w:jc w:val="center"/>
      </w:pPr>
      <w:r>
        <w:rPr>
          <w:rFonts w:ascii="Times New Roman" w:hAnsi="Times New Roman" w:eastAsia="方正仿宋_GBK"/>
          <w:b w:val="0"/>
          <w:color w:val="C02B2B"/>
          <w:sz w:val="21"/>
        </w:rPr>
        <w:t>AI 生成内容，仅供参考，不构成投资建议。数据来源：本地高保真快照。市场有风险，投资需谨慎。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Times New Roman" w:hAnsi="Times New Roman" w:eastAsia="方正仿宋_GB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Rule="exact" w:line="660"/>
      <w:outlineLvl w:val="0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Rule="exact" w:line="660"/>
      <w:outlineLvl w:val="1"/>
    </w:pPr>
    <w:rPr>
      <w:rFonts w:asciiTheme="majorHAnsi" w:eastAsiaTheme="majorEastAsia" w:hAnsiTheme="majorHAnsi" w:cstheme="majorBidi" w:ascii="Times New Roman" w:hAnsi="Times New Roman" w:eastAsia="方正仿宋_GBK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exact" w:line="660"/>
      <w:outlineLvl w:val="2"/>
    </w:pPr>
    <w:rPr>
      <w:rFonts w:asciiTheme="majorHAnsi" w:eastAsiaTheme="majorEastAsia" w:hAnsiTheme="majorHAnsi" w:cstheme="majorBidi" w:ascii="Times New Roman" w:hAnsi="Times New Roman" w:eastAsia="方正小标宋_GBK"/>
      <w:b w:val="0"/>
      <w:bCs/>
      <w:color w:val="00000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