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 Natural Language-Driven Causal-Aware Enterprise Resource Management System for Explainable Operation Impact Propagation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276" w:lineRule="auto"/>
        <w:ind/>
        <w:jc w:val="both"/>
      </w:pPr>
      <w:r>
        <w:rPr>
          <w:rFonts w:ascii="Times New Roman" w:cs="Times New Roman" w:eastAsia="Times New Roman" w:hAnsi="Times New Roman"/>
          <w:sz w:val="24"/>
          <w:szCs w:val="24"/>
        </w:rPr>
        <w:t xml:space="preserve">Enterprise resource management (ERM) systems coordinate equipment, consumables, operational logs, and alerting workflows, yet most execute user operations as isolated transactions without predicting downstream business impact before execution. This limitation is particularly important when non-technical users interact with ERM systems through natural language commands, where a seemingly simple update or deletion may affect multiple dependent resources.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This paper presents a natural language-driven causal-aware ERM system for explainable operation impact propagation. The system combines a lightweight rule-based natural language parser, a causal directed acyclic graph service, and a weighted breadth-first propagation engine. Natural language commands are converted into structured operation intents and entity identifiers; for sensitive update and delete operations, the executor performs causal checking before committing the operation and generates interpretable warnings for affected downstream nodes.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A Java 17 and Spring Boot 3.4 prototype was evaluated using an H2 in-memory database and 100 natural language instructions covering five operation categories. The parser achieved 81% overall accuracy. The propagation engine scaled from 10 to 500 nodes with a maximum propagation time of 0.169 ms. End-to-end evaluation further showed that causal checking introduced less than 1 ms additional latency. These results indicate that explainable pre-execution impact assessment can be integrated into natural language-driven ERM workflows with negligible runtime overhead.</w:t>
      </w:r>
    </w:p>
    <w:p>
      <w:pPr>
        <w:spacing w:after="120" w:before="0"/>
      </w:pPr>
      <w:r>
        <w:t xml:space="preserve"/>
      </w:r>
    </w:p>
    <w:p>
      <w:pPr>
        <w:spacing w:after="200" w:before="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enterprise resource management; natural language interface; causal-aware system; impact propagation; explainable decision support; rule-based parsing; weighted breadth-first propagation</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before="0" w:line="276" w:lineRule="auto"/>
        <w:ind w:firstLine="720"/>
        <w:jc w:val="both"/>
      </w:pPr>
      <w:r>
        <w:rPr>
          <w:rFonts w:ascii="Times New Roman" w:cs="Times New Roman" w:eastAsia="Times New Roman" w:hAnsi="Times New Roman"/>
          <w:sz w:val="24"/>
          <w:szCs w:val="24"/>
        </w:rPr>
        <w:t xml:space="preserve">Enterprise resource management systems play an important role in coordinating business resources, operational records, maintenance activities, and inventory-related workflows. In many organizations, such systems are responsible not only for storing resource information but also for supporting operational decisions across interconnected business processes. For example, an equipment management module may be related to consumable usage, maintenance logs, abnormal operation warnings, and statistical reports. A local modification in one module may therefore affect the consistency, interpretability, or reliability of downstream workflows.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this interconnected nature, many enterprise management systems still process user operations as isolated transactional commands. A user may delete an equipment record, update a consumable item, or modify an operational log without receiving an explicit explanation of the possible downstream impact. Although database constraints, foreign-key rules, and application-level validation can prevent some invalid operations, they are usually designed to enforce structural consistency rather than explain business-level consequences. As a result, users may only discover negative effects after an operation has already been executed. This creates an important transparency problem in ERM systems: the system may be technically correct at the database level, but still insufficiently informative at the decision-support level.</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problem becomes more challenging when enterprise systems introduce natural language interfaces. Natural language interaction reduces the barrier for non-technical users and allows users to express operational intentions in a more flexible manner. Instead of navigating complex menus or writing structured queries, users can issue commands such as "delete equipment EQ-001," "update the consumable CS-003," or "show the operation records of this device." However, natural language commands also introduce ambiguity and uncertainty. A short command may omit contextual details, while a colloquial expression may not match predefined system operations. Therefore, a natural language-driven ERM system should not only parse user intent accurately but also provide safeguards against potentially high-impact operations.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Existing research on natural language interfaces for databases has made substantial progress, especially in text-to-SQL tasks. Benchmarks such as Spider have enabled cross-domain evaluation of semantic parsers over complex relational schemas. Advanced models such as RAT-SQL further improved schema linking and relation-aware encoding for text-to-SQL parsing. However, most natural language database interfaces focus on translating natural language questions into executable queries. They generally emphasize query correctness rather than the downstream operational consequences of modifying enterprise objects. In other words, existing NL2SQL systems are primarily concerned with "what query should be executed," while ERM scenarios also require answering "what will be affected if this operation is executed."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Causal modeling and impact analysis offer a useful perspective for addressing this gap. In software engineering and IT operations, causal structures have been used to support root cause analysis, fault localization, system dependency modeling, and event propagation analysis. These studies show that representing dependencies among system components can improve interpretability when analyzing how changes or failures propagate. However, the use of causal-aware propagation for pre-execution enterprise operation assessment remains underexplored.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To address this problem, this paper proposes a natural language-driven causal-aware ERM system with explainable operation impact propagation. The proposed framework integrates a lightweight rule-based natural language parser, a rule-based operation execution module, a causal directed acyclic graph service, and a weighted breadth-first propagation engine. The natural language parser maps user commands into structured parse results, including operation intent, entity type, and entity identifier. For operations with potential downstream consequences, the executor invokes the causal checking module before execution. The causal propagation engine then estimates affected downstream nodes and generates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main contributions of this paper are summarized as follows.</w:t>
      </w:r>
    </w:p>
    <w:p>
      <w:pPr>
        <w:spacing w:after="80" w:before="80" w:line="276" w:lineRule="auto"/>
        <w:ind w:left="720" w:hanging="360"/>
      </w:pPr>
      <w:r>
        <w:rPr>
          <w:rFonts w:ascii="Times New Roman" w:cs="Times New Roman" w:eastAsia="Times New Roman" w:hAnsi="Times New Roman"/>
          <w:b/>
          <w:bCs/>
          <w:sz w:val="24"/>
          <w:szCs w:val="24"/>
        </w:rPr>
        <w:t xml:space="preserve">1.	Architecture design. </w:t>
      </w:r>
      <w:r>
        <w:rPr>
          <w:rFonts w:ascii="Times New Roman" w:cs="Times New Roman" w:eastAsia="Times New Roman" w:hAnsi="Times New Roman"/>
          <w:sz w:val="24"/>
          <w:szCs w:val="24"/>
        </w:rPr>
        <w:t xml:space="preserve">We propose an integrated NL-driven ERM architecture linking intent parsing, rule-based execution, and causal-aware pre-execution checking within a unified operation workflow designed for controlled enterprise environments where transparency and auditability are essential.</w:t>
      </w:r>
    </w:p>
    <w:p>
      <w:pPr>
        <w:spacing w:after="80" w:before="80" w:line="276" w:lineRule="auto"/>
        <w:ind w:left="720" w:hanging="360"/>
      </w:pPr>
      <w:r>
        <w:rPr>
          <w:rFonts w:ascii="Times New Roman" w:cs="Times New Roman" w:eastAsia="Times New Roman" w:hAnsi="Times New Roman"/>
          <w:b/>
          <w:bCs/>
          <w:sz w:val="24"/>
          <w:szCs w:val="24"/>
        </w:rPr>
        <w:t xml:space="preserve">2.	Impact propagation algorithm. </w:t>
      </w:r>
      <w:r>
        <w:rPr>
          <w:rFonts w:ascii="Times New Roman" w:cs="Times New Roman" w:eastAsia="Times New Roman" w:hAnsi="Times New Roman"/>
          <w:sz w:val="24"/>
          <w:szCs w:val="24"/>
        </w:rPr>
        <w:t xml:space="preserve">We develop a weighted BFS propagation mechanism over an enterprise dependency DAG, combining exponential decay and threshold-based truncation to produce bounded, interpretable downstream impact estimates.</w:t>
      </w:r>
    </w:p>
    <w:p>
      <w:pPr>
        <w:spacing w:after="200" w:before="80" w:line="276" w:lineRule="auto"/>
        <w:ind w:left="720" w:hanging="360"/>
      </w:pPr>
      <w:r>
        <w:rPr>
          <w:rFonts w:ascii="Times New Roman" w:cs="Times New Roman" w:eastAsia="Times New Roman" w:hAnsi="Times New Roman"/>
          <w:b/>
          <w:bCs/>
          <w:sz w:val="24"/>
          <w:szCs w:val="24"/>
        </w:rPr>
        <w:t xml:space="preserve">3.	Empirical validation. </w:t>
      </w:r>
      <w:r>
        <w:rPr>
          <w:rFonts w:ascii="Times New Roman" w:cs="Times New Roman" w:eastAsia="Times New Roman" w:hAnsi="Times New Roman"/>
          <w:sz w:val="24"/>
          <w:szCs w:val="24"/>
        </w:rPr>
        <w:t xml:space="preserve">A working Java-based prototype demonstrates 81% parser accuracy and less than 1 ms additional latency for causal-aware checking, confirming practical feasibility.</w:t>
      </w:r>
    </w:p>
    <w:p>
      <w:pPr>
        <w:pStyle w:val="Heading1"/>
        <w:spacing w:after="120" w:before="240"/>
      </w:pPr>
      <w:r>
        <w:rPr>
          <w:rFonts w:ascii="Times New Roman" w:cs="Times New Roman" w:eastAsia="Times New Roman" w:hAnsi="Times New Roman"/>
          <w:b/>
          <w:bCs/>
          <w:sz w:val="28"/>
          <w:szCs w:val="28"/>
        </w:rPr>
        <w:t xml:space="preserve">2. Related Work</w:t>
      </w:r>
    </w:p>
    <w:p>
      <w:pPr>
        <w:pStyle w:val="Heading2"/>
        <w:spacing w:after="80" w:before="200"/>
      </w:pPr>
      <w:r>
        <w:rPr>
          <w:rFonts w:ascii="Times New Roman" w:cs="Times New Roman" w:eastAsia="Times New Roman" w:hAnsi="Times New Roman"/>
          <w:b/>
          <w:bCs/>
          <w:i/>
          <w:iCs/>
          <w:sz w:val="24"/>
          <w:szCs w:val="24"/>
        </w:rPr>
        <w:t xml:space="preserve">2.1 Natural language interfaces for databases</w:t>
      </w:r>
    </w:p>
    <w:p>
      <w:pPr>
        <w:spacing w:after="120" w:before="0" w:line="276" w:lineRule="auto"/>
        <w:ind w:firstLine="720"/>
        <w:jc w:val="both"/>
      </w:pPr>
      <w:r>
        <w:rPr>
          <w:rFonts w:ascii="Times New Roman" w:cs="Times New Roman" w:eastAsia="Times New Roman" w:hAnsi="Times New Roman"/>
          <w:sz w:val="24"/>
          <w:szCs w:val="24"/>
        </w:rPr>
        <w:t xml:space="preserve">Natural language interfaces for databases (NLIDB) aim to reduce the technical barrier of data access by allowing users to express database queries in natural language rather than SQL. Early neural approaches such as Seq2SQL formulated text-to-SQL as a sequence generation problem and used reinforcement learning with execution feedback [1]. The release of large-scale benchmarks further accelerated the field. Spider introduced a challenging cross-domain semantic parsing benchmark with complex database schemas and unseen database generalization requirements [2]. Subsequent studies addressed schema linking, intermediate representation, and relation-aware encoding. IRNet introduced SemQL as an intermediate representation to reduce the mismatch between natural language intent and SQL [3]. RAT-SQL improved schema encoding and schema linking through relation-aware self-attention [4], while BRIDGE enriched hybrid input encoding with cell values [5]. SmBoP further explored semi-autoregressive bottom-up decoding [6]. UnifiedSKG unified multiple structured knowledge grounding tasks into a text-to-text framework [7]. LLM-based systems such as DAIL-SQL demonstrated strong benchmark performance through prompt engineering and self-consistency strategies [9], with broader surveys documenting the transition from grammar-based parsers to large language models [8].</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However, the present work does not aim to compete with state-of-the-art text-to-SQL systems on open-domain benchmarks. Our target scenario is a controlled ERM environment where user commands map to a limited set of auditable business operations. The proposed rule-based parser sacrifices open-domain linguistic coverage for transparency, deterministic behavior, and low deployment cost. More importantly, conventional text-to-SQL systems focus on generating executable queries, whereas our system additionally estimates downstream operation impacts before sensitive update and delete operations.</w:t>
      </w:r>
    </w:p>
    <w:p>
      <w:pPr>
        <w:pStyle w:val="Heading2"/>
        <w:spacing w:after="80" w:before="200"/>
      </w:pPr>
      <w:r>
        <w:rPr>
          <w:rFonts w:ascii="Times New Roman" w:cs="Times New Roman" w:eastAsia="Times New Roman" w:hAnsi="Times New Roman"/>
          <w:b/>
          <w:bCs/>
          <w:i/>
          <w:iCs/>
          <w:sz w:val="24"/>
          <w:szCs w:val="24"/>
        </w:rPr>
        <w:t xml:space="preserve">2.2 Causal analysis in IT operations</w:t>
      </w:r>
    </w:p>
    <w:p>
      <w:pPr>
        <w:spacing w:after="120" w:before="0" w:line="276" w:lineRule="auto"/>
        <w:ind w:firstLine="720"/>
        <w:jc w:val="both"/>
      </w:pPr>
      <w:r>
        <w:rPr>
          <w:rFonts w:ascii="Times New Roman" w:cs="Times New Roman" w:eastAsia="Times New Roman" w:hAnsi="Times New Roman"/>
          <w:sz w:val="24"/>
          <w:szCs w:val="24"/>
        </w:rPr>
        <w:t xml:space="preserve">Causal analysis has become an important technique in IT operations, especially in microservice root cause analysis (RCA). MicroRCA localized performance issue root causes by combining service dependency information with monitoring metrics [10]. MicroHECL constructed service call graphs and used pruning strategies to improve root cause localization efficiency [11]. MicroRank used tracing data and extended spectrum analysis to localize latency-related root causes [12]. CausalRCA applied gradient-based causal structure learning to construct weighted causal graphs for fine-grained root cause localization [13]. Chain-of-Event modeled causal relationships among events to provide interpretable RCA [14]. Broader evaluations have compared causal discovery algorithms across microservice systems [15], and further studies investigated scalable causal discovery under limited observability [16,17].</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proposed system is related to this literature in that it also models dependency structure and propagation. Nevertheless, its objective is substantially different. Microservice RCA is generally a post-failure diagnosis task, whereas our system performs pre-execution impact assessment. It receives a user-intended ERM operation and estimates which downstream enterprise resource nodes may be affected before the operation is executed.</w:t>
      </w:r>
    </w:p>
    <w:p>
      <w:pPr>
        <w:pStyle w:val="Heading2"/>
        <w:spacing w:after="80" w:before="200"/>
      </w:pPr>
      <w:r>
        <w:rPr>
          <w:rFonts w:ascii="Times New Roman" w:cs="Times New Roman" w:eastAsia="Times New Roman" w:hAnsi="Times New Roman"/>
          <w:b/>
          <w:bCs/>
          <w:i/>
          <w:iCs/>
          <w:sz w:val="24"/>
          <w:szCs w:val="24"/>
        </w:rPr>
        <w:t xml:space="preserve">2.3 Intelligent ERM and ERP systems</w:t>
      </w:r>
    </w:p>
    <w:p>
      <w:pPr>
        <w:spacing w:after="120" w:before="0" w:line="276" w:lineRule="auto"/>
        <w:ind w:firstLine="720"/>
        <w:jc w:val="both"/>
      </w:pPr>
      <w:r>
        <w:rPr>
          <w:rFonts w:ascii="Times New Roman" w:cs="Times New Roman" w:eastAsia="Times New Roman" w:hAnsi="Times New Roman"/>
          <w:sz w:val="24"/>
          <w:szCs w:val="24"/>
        </w:rPr>
        <w:t xml:space="preserve">Enterprise resource planning and management systems have long been studied as integrated platforms for coordinating organizational resources and decision-making. Earlier ESWA studies examined decision-support methods for ERP selection, including fuzzy decision-making [18]. More recent ESWA work proposes dynamic group decision-making models for ERP selection under uncertain multi-criteria conditions [19]. Research on predictive maintenance has shown how real-time IoT data and machine learning can support production-line decisions [20]. IoT-based ERP studies highlight the integration of sensors and connected devices with ERP platforms [21,22]. Explainable AI research emphasizes that intelligent systems used in organizational decision-making must provide transparency and human-understandable explanations [23].</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these advances, most intelligent ERP/ERM studies focus on prediction, optimization, or process automation. Less attention has been paid to the operational interaction layer where users issue commands that modify enterprise resources. The contribution of this paper is complementary: we propose a lightweight causal-aware layer that can be integrated into natural language-driven ERM workflows to provide explainable pre-execution impact warnings.</w:t>
      </w:r>
    </w:p>
    <w:p>
      <w:pPr>
        <w:pStyle w:val="Heading1"/>
        <w:spacing w:after="120" w:before="240"/>
      </w:pPr>
      <w:r>
        <w:rPr>
          <w:rFonts w:ascii="Times New Roman" w:cs="Times New Roman" w:eastAsia="Times New Roman" w:hAnsi="Times New Roman"/>
          <w:b/>
          <w:bCs/>
          <w:sz w:val="28"/>
          <w:szCs w:val="28"/>
        </w:rPr>
        <w:t xml:space="preserve">3. System Architecture</w:t>
      </w:r>
    </w:p>
    <w:p>
      <w:pPr>
        <w:pStyle w:val="Heading2"/>
        <w:spacing w:after="80" w:before="200"/>
      </w:pPr>
      <w:r>
        <w:rPr>
          <w:rFonts w:ascii="Times New Roman" w:cs="Times New Roman" w:eastAsia="Times New Roman" w:hAnsi="Times New Roman"/>
          <w:b/>
          <w:bCs/>
          <w:i/>
          <w:iCs/>
          <w:sz w:val="24"/>
          <w:szCs w:val="24"/>
        </w:rPr>
        <w:t xml:space="preserve">3.1 Overview</w:t>
      </w:r>
    </w:p>
    <w:p>
      <w:pPr>
        <w:spacing w:after="120" w:before="0" w:line="276" w:lineRule="auto"/>
        <w:ind w:firstLine="720"/>
        <w:jc w:val="both"/>
      </w:pPr>
      <w:r>
        <w:rPr>
          <w:rFonts w:ascii="Times New Roman" w:cs="Times New Roman" w:eastAsia="Times New Roman" w:hAnsi="Times New Roman"/>
          <w:sz w:val="24"/>
          <w:szCs w:val="24"/>
        </w:rPr>
        <w:t>The proposed system consists of five major modules: NLParser, NLRuleEngine, NLExecutor, CausalDAGService, and CausalPropagationEngine. These modules form two interacting layers. The natural language operation layer is responsible for parsing user commands and executing structured operations. The causal-aware layer is responsible for maintaining the causal dependency graph and estimating downstream operation impacts. The overall system architecture is illustrated in Figure 1.</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workflow begins when a user submits a natural language command. The NLParser extracts candidate intent keywords, entity types, and entity identifiers. The NLRuleEngine maps the parsed tokens into one of five predefined operation categories: query, create, update, delete, or statistics. The NLExecutor receives the structured parse result and determines whether the operation can be executed directly or requires causal checking. Update and delete operations trigger the causal-aware checking process. The CausalPropagationEngine performs weighted BFS traversal and outputs a CausalCheckResult containing affected nodes, impact weights, propagation depth, and a high-impact flag.</w:t>
      </w:r>
    </w:p>
    <w:p>
      <w:pPr>
        <w:spacing w:after="160" w:before="160"/>
        <w:jc w:val="center"/>
      </w:pPr>
      <w:r>
        <w:drawing>
          <wp:inline xmlns:wp="http://schemas.openxmlformats.org/drawingml/2006/wordprocessingDrawing">
            <wp:extent cx="5040000" cy="2800000"/>
            <wp:effectExtent b="0" l="0" r="0" t="0"/>
            <wp:docPr id="1" name="Figure1"/>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8"/>
                    <a:stretch>
                      <a:fillRect/>
                    </a:stretch>
                  </pic:blipFill>
                  <pic:spPr>
                    <a:xfrm>
                      <a:off x="0" y="0"/>
                      <a:ext cx="5040000" cy="2800000"/>
                    </a:xfrm>
                    <a:prstGeom prst="rect">
                      <a:avLst/>
                    </a:prstGeom>
                  </pic:spPr>
                </pic:pic>
              </a:graphicData>
            </a:graphic>
          </wp:inline>
        </w:drawing>
      </w:r>
    </w:p>
    <w:p>
      <w:pPr>
        <w:pStyle w:val="Heading2"/>
        <w:spacing w:after="80" w:before="200"/>
      </w:pPr>
      <w:r>
        <w:rPr>
          <w:rFonts w:ascii="Times New Roman" w:cs="Times New Roman" w:eastAsia="Times New Roman" w:hAnsi="Times New Roman"/>
          <w:b/>
          <w:bCs/>
          <w:i/>
          <w:iCs/>
          <w:sz w:val="24"/>
          <w:szCs w:val="24"/>
        </w:rPr>
        <w:t xml:space="preserve">3.2 Natural language parsing module</w:t>
      </w:r>
    </w:p>
    <w:p>
      <w:pPr>
        <w:spacing w:after="120" w:before="0" w:line="276" w:lineRule="auto"/>
        <w:ind w:firstLine="720"/>
        <w:jc w:val="both"/>
      </w:pPr>
      <w:r>
        <w:rPr>
          <w:rFonts w:ascii="Times New Roman" w:cs="Times New Roman" w:eastAsia="Times New Roman" w:hAnsi="Times New Roman"/>
          <w:sz w:val="24"/>
          <w:szCs w:val="24"/>
        </w:rPr>
        <w:t xml:space="preserve">The natural language parsing module converts user instructions into structured parse results. The prototype adopts a rule-based parser to improve interpretability and make parsing behavior easier to audit. The parser identifies five categories of operation intent through keyword mapping rules. Query commands match expressions such as "show," "find," or "query." Create commands match "create," "add," or "register." Update commands match "update," "modify," or "change." Delete commands match "delete" or "remove." Statistics commands match "count" or "summarize."</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Entity extraction is performed using regular expressions. Equipment entities follow the pattern EQ-[\d-]+, consumable entities follow CS-[\d-]+, and inventory-related entities follow IN-[\d-]+. The output ParseResult includes the original command, detected intent, entity type, entity identifier, confidence score, and parsing status.</w:t>
      </w:r>
    </w:p>
    <w:p>
      <w:pPr>
        <w:pStyle w:val="Heading2"/>
        <w:spacing w:after="80" w:before="200"/>
      </w:pPr>
      <w:r>
        <w:rPr>
          <w:rFonts w:ascii="Times New Roman" w:cs="Times New Roman" w:eastAsia="Times New Roman" w:hAnsi="Times New Roman"/>
          <w:b/>
          <w:bCs/>
          <w:i/>
          <w:iCs/>
          <w:sz w:val="24"/>
          <w:szCs w:val="24"/>
        </w:rPr>
        <w:t xml:space="preserve">3.3 Causal DAG module</w:t>
      </w:r>
    </w:p>
    <w:p>
      <w:pPr>
        <w:spacing w:after="120" w:before="0" w:line="276" w:lineRule="auto"/>
        <w:ind w:firstLine="720"/>
        <w:jc w:val="both"/>
      </w:pPr>
      <w:r>
        <w:rPr>
          <w:rFonts w:ascii="Times New Roman" w:cs="Times New Roman" w:eastAsia="Times New Roman" w:hAnsi="Times New Roman"/>
          <w:sz w:val="24"/>
          <w:szCs w:val="24"/>
        </w:rPr>
        <w:t xml:space="preserve">The causal DAG module represents dependency relationships among ERM components. The graph is initialized at system startup with four representative nodes: equipment management, consumable management, operation logs, and consumable alerts. Five types of causal mechanisms describe dependency semantics: direct dependency, resource consumption, logging, alerting, and statistical aggregation. Although these mechanisms are implemented as structured labels rather than learned causal effects, they improve the interpretability of the graph. Domain experts can inspect and revise dependency rules according to organizational requirements.</w:t>
      </w:r>
    </w:p>
    <w:p>
      <w:pPr>
        <w:pStyle w:val="Heading2"/>
        <w:spacing w:after="80" w:before="200"/>
      </w:pPr>
      <w:r>
        <w:rPr>
          <w:rFonts w:ascii="Times New Roman" w:cs="Times New Roman" w:eastAsia="Times New Roman" w:hAnsi="Times New Roman"/>
          <w:b/>
          <w:bCs/>
          <w:i/>
          <w:iCs/>
          <w:sz w:val="24"/>
          <w:szCs w:val="24"/>
        </w:rPr>
        <w:t xml:space="preserve">3.4 Natural language execution with causal checking</w:t>
      </w:r>
    </w:p>
    <w:p>
      <w:pPr>
        <w:spacing w:after="120" w:before="0" w:line="276" w:lineRule="auto"/>
        <w:ind w:firstLine="720"/>
        <w:jc w:val="both"/>
      </w:pPr>
      <w:r>
        <w:rPr>
          <w:rFonts w:ascii="Times New Roman" w:cs="Times New Roman" w:eastAsia="Times New Roman" w:hAnsi="Times New Roman"/>
          <w:sz w:val="24"/>
          <w:szCs w:val="24"/>
        </w:rPr>
        <w:t xml:space="preserve">The core innovation lies in the linkage between natural language execution and causal-aware impact checking. The main execution function is executeWithCausalCheck(). This function receives a ParseResult, validates the operation type, identifies the corresponding source node in the causal graph, and determines whether causal propagation should be triggered. Update and delete operations trigger causal checking because they may modify or remove existing business objects. Query and statistics operations do not trigger impact propagation by default.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output CausalCheckResult contains the source node, affected downstream nodes, impact weights, maximum propagation depth, and a hasHighImpact boolean flag. This result allows the system to provide interpretable warnings before executing sensitive operations.</w:t>
      </w:r>
    </w:p>
    <w:p>
      <w:pPr>
        <w:pStyle w:val="Heading2"/>
        <w:spacing w:after="80" w:before="200"/>
      </w:pPr>
      <w:r>
        <w:rPr>
          <w:rFonts w:ascii="Times New Roman" w:cs="Times New Roman" w:eastAsia="Times New Roman" w:hAnsi="Times New Roman"/>
          <w:b/>
          <w:bCs/>
          <w:i/>
          <w:iCs/>
          <w:sz w:val="24"/>
          <w:szCs w:val="24"/>
        </w:rPr>
        <w:t xml:space="preserve">3.5 Formal definitions</w:t>
      </w:r>
    </w:p>
    <w:p>
      <w:pPr>
        <w:spacing w:after="120" w:before="0" w:line="276" w:lineRule="auto"/>
        <w:ind w:firstLine="720"/>
        <w:jc w:val="both"/>
      </w:pPr>
      <w:r>
        <w:rPr>
          <w:rFonts w:ascii="Times New Roman" w:cs="Times New Roman" w:eastAsia="Times New Roman" w:hAnsi="Times New Roman"/>
          <w:sz w:val="24"/>
          <w:szCs w:val="24"/>
        </w:rPr>
        <w:t xml:space="preserve">Before presenting the propagation algorithm, we formalize the causal-aware dependency model.</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1 (Causal DAG). </w:t>
      </w:r>
      <w:r>
        <w:rPr>
          <w:rFonts w:ascii="Times New Roman" w:cs="Times New Roman" w:eastAsia="Times New Roman" w:hAnsi="Times New Roman"/>
          <w:sz w:val="24"/>
          <w:szCs w:val="24"/>
        </w:rPr>
        <w:t xml:space="preserve">A causal-aware enterprise dependency graph is defined as G = (V, E, Ω), where V denotes the set of enterprise resource nodes, E ⊆ V × V denotes the set of directed dependency edges, and Ω: E → C is an edge-labeling function mapping each edge to a causal mechanism type.</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2 (Impact weight function). </w:t>
      </w:r>
      <w:r>
        <w:rPr>
          <w:rFonts w:ascii="Times New Roman" w:cs="Times New Roman" w:eastAsia="Times New Roman" w:hAnsi="Times New Roman"/>
          <w:sz w:val="24"/>
          <w:szCs w:val="24"/>
        </w:rPr>
        <w:t xml:space="preserve">Given source node s ∈ V, the impact weight function W: V → [0,1] is initialized as W(s) = 1.0. For each downstream node u, W(u) = max⁻ W(v) × λ, where λ = 0.8 is the decay coefficient. Truncation applies: W(u) = 0 if W(u) &lt; τ, τ = 0.01.</w:t>
      </w:r>
    </w:p>
    <w:p>
      <w:pPr>
        <w:spacing w:after="120" w:before="0"/>
      </w:pPr>
      <w:r>
        <w:t xml:space="preserve"/>
      </w:r>
    </w:p>
    <w:p>
      <w:pPr>
        <w:spacing w:after="160" w:before="80" w:line="276" w:lineRule="auto"/>
        <w:ind w:left="360"/>
      </w:pPr>
      <w:r>
        <w:rPr>
          <w:rFonts w:ascii="Times New Roman" w:cs="Times New Roman" w:eastAsia="Times New Roman" w:hAnsi="Times New Roman"/>
          <w:b/>
          <w:bCs/>
          <w:sz w:val="24"/>
          <w:szCs w:val="24"/>
        </w:rPr>
        <w:t xml:space="preserve">Definition 3 (High-impact predicate). </w:t>
      </w:r>
      <w:r>
        <w:rPr>
          <w:rFonts w:ascii="Times New Roman" w:cs="Times New Roman" w:eastAsia="Times New Roman" w:hAnsi="Times New Roman"/>
          <w:sz w:val="24"/>
          <w:szCs w:val="24"/>
        </w:rPr>
        <w:t xml:space="preserve">hasHighImpact(s) = ∃u ∈ V: W(u) ≥ θ ∧ u ≠ s, where θ = 0.5 is the impact threshold.</w:t>
      </w:r>
    </w:p>
    <w:p>
      <w:pPr>
        <w:pStyle w:val="Heading2"/>
        <w:spacing w:after="80" w:before="200"/>
      </w:pPr>
      <w:r>
        <w:rPr>
          <w:rFonts w:ascii="Times New Roman" w:cs="Times New Roman" w:eastAsia="Times New Roman" w:hAnsi="Times New Roman"/>
          <w:b/>
          <w:bCs/>
          <w:i/>
          <w:iCs/>
          <w:sz w:val="24"/>
          <w:szCs w:val="24"/>
        </w:rPr>
        <w:t xml:space="preserve">3.6 Weighted BFS impact propagation algorithm</w:t>
      </w:r>
    </w:p>
    <w:p>
      <w:pPr>
        <w:spacing w:after="120" w:before="0" w:line="276" w:lineRule="auto"/>
        <w:ind w:firstLine="720"/>
        <w:jc w:val="both"/>
      </w:pPr>
      <w:r>
        <w:rPr>
          <w:rFonts w:ascii="Times New Roman" w:cs="Times New Roman" w:eastAsia="Times New Roman" w:hAnsi="Times New Roman"/>
          <w:sz w:val="24"/>
          <w:szCs w:val="24"/>
        </w:rPr>
        <w:t xml:space="preserve">The causal propagation engine uses a weighted BFS algorithm. The source node starts with impact weight 1.0. For each propagation step, the weight is multiplied by decay coefficient 0.8. Propagation stops when the weight falls below 0.01. The algorithm satisfies three requirements: real-time efficiency, interpretability, and bounded propagation scope.</w:t>
      </w:r>
    </w:p>
    <w:p>
      <w:pPr>
        <w:spacing w:after="120" w:before="0"/>
      </w:pPr>
      <w:r>
        <w:t xml:space="preserve"/>
      </w:r>
    </w:p>
    <w:p>
      <w:pPr>
        <w:spacing w:after="0" w:before="0" w:line="240" w:lineRule="auto"/>
        <w:ind w:left="720"/>
      </w:pPr>
      <w:r>
        <w:rPr>
          <w:rFonts w:ascii="Courier New" w:cs="Courier New" w:eastAsia="Courier New" w:hAnsi="Courier New"/>
          <w:sz w:val="20"/>
          <w:szCs w:val="20"/>
        </w:rPr>
        <w:t xml:space="preserve">Algorithm 1. Weighted impact propagation</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Input:  Causal DAG G = (V, E), Source node s,</w:t>
      </w:r>
    </w:p>
    <w:p>
      <w:pPr>
        <w:spacing w:after="0" w:before="0" w:line="240" w:lineRule="auto"/>
        <w:ind w:left="720"/>
      </w:pPr>
      <w:r>
        <w:rPr>
          <w:rFonts w:ascii="Courier New" w:cs="Courier New" w:eastAsia="Courier New" w:hAnsi="Courier New"/>
          <w:sz w:val="20"/>
          <w:szCs w:val="20"/>
        </w:rPr>
        <w:t xml:space="preserve">        Decay coefficient λ = 0.8, Threshold τ = 0.01</w:t>
      </w:r>
    </w:p>
    <w:p>
      <w:pPr>
        <w:spacing w:after="0" w:before="0" w:line="240" w:lineRule="auto"/>
        <w:ind w:left="720"/>
      </w:pPr>
      <w:r>
        <w:rPr>
          <w:rFonts w:ascii="Courier New" w:cs="Courier New" w:eastAsia="Courier New" w:hAnsi="Courier New"/>
          <w:sz w:val="20"/>
          <w:szCs w:val="20"/>
        </w:rPr>
        <w:t xml:space="preserve">Output: Impact map M</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1:  M[s] ← 1.0</w:t>
      </w:r>
    </w:p>
    <w:p>
      <w:pPr>
        <w:spacing w:after="0" w:before="0" w:line="240" w:lineRule="auto"/>
        <w:ind w:left="720"/>
      </w:pPr>
      <w:r>
        <w:rPr>
          <w:rFonts w:ascii="Courier New" w:cs="Courier New" w:eastAsia="Courier New" w:hAnsi="Courier New"/>
          <w:sz w:val="20"/>
          <w:szCs w:val="20"/>
        </w:rPr>
        <w:t xml:space="preserve">2:  Q ← empty queue</w:t>
      </w:r>
    </w:p>
    <w:p>
      <w:pPr>
        <w:spacing w:after="0" w:before="0" w:line="240" w:lineRule="auto"/>
        <w:ind w:left="720"/>
      </w:pPr>
      <w:r>
        <w:rPr>
          <w:rFonts w:ascii="Courier New" w:cs="Courier New" w:eastAsia="Courier New" w:hAnsi="Courier New"/>
          <w:sz w:val="20"/>
          <w:szCs w:val="20"/>
        </w:rPr>
        <w:t xml:space="preserve">3:  enqueue(Q, s)</w:t>
      </w:r>
    </w:p>
    <w:p>
      <w:pPr>
        <w:spacing w:after="0" w:before="0" w:line="240" w:lineRule="auto"/>
        <w:ind w:left="720"/>
      </w:pPr>
      <w:r>
        <w:rPr>
          <w:rFonts w:ascii="Courier New" w:cs="Courier New" w:eastAsia="Courier New" w:hAnsi="Courier New"/>
          <w:sz w:val="20"/>
          <w:szCs w:val="20"/>
        </w:rPr>
        <w:t xml:space="preserve">4:  while Q is not empty do</w:t>
      </w:r>
    </w:p>
    <w:p>
      <w:pPr>
        <w:spacing w:after="0" w:before="0" w:line="240" w:lineRule="auto"/>
        <w:ind w:left="720"/>
      </w:pPr>
      <w:r>
        <w:rPr>
          <w:rFonts w:ascii="Courier New" w:cs="Courier New" w:eastAsia="Courier New" w:hAnsi="Courier New"/>
          <w:sz w:val="20"/>
          <w:szCs w:val="20"/>
        </w:rPr>
        <w:t xml:space="preserve">5:      v ← dequeue(Q)</w:t>
      </w:r>
    </w:p>
    <w:p>
      <w:pPr>
        <w:spacing w:after="0" w:before="0" w:line="240" w:lineRule="auto"/>
        <w:ind w:left="720"/>
      </w:pPr>
      <w:r>
        <w:rPr>
          <w:rFonts w:ascii="Courier New" w:cs="Courier New" w:eastAsia="Courier New" w:hAnsi="Courier New"/>
          <w:sz w:val="20"/>
          <w:szCs w:val="20"/>
        </w:rPr>
        <w:t xml:space="preserve">6:      for each outgoing neighbor u of v do</w:t>
      </w:r>
    </w:p>
    <w:p>
      <w:pPr>
        <w:spacing w:after="0" w:before="0" w:line="240" w:lineRule="auto"/>
        <w:ind w:left="720"/>
      </w:pPr>
      <w:r>
        <w:rPr>
          <w:rFonts w:ascii="Courier New" w:cs="Courier New" w:eastAsia="Courier New" w:hAnsi="Courier New"/>
          <w:sz w:val="20"/>
          <w:szCs w:val="20"/>
        </w:rPr>
        <w:t xml:space="preserve">7:          w ← M[v] × λ</w:t>
      </w:r>
    </w:p>
    <w:p>
      <w:pPr>
        <w:spacing w:after="0" w:before="0" w:line="240" w:lineRule="auto"/>
        <w:ind w:left="720"/>
      </w:pPr>
      <w:r>
        <w:rPr>
          <w:rFonts w:ascii="Courier New" w:cs="Courier New" w:eastAsia="Courier New" w:hAnsi="Courier New"/>
          <w:sz w:val="20"/>
          <w:szCs w:val="20"/>
        </w:rPr>
        <w:t xml:space="preserve">8:          if w ≥ τ then</w:t>
      </w:r>
    </w:p>
    <w:p>
      <w:pPr>
        <w:spacing w:after="0" w:before="0" w:line="240" w:lineRule="auto"/>
        <w:ind w:left="720"/>
      </w:pPr>
      <w:r>
        <w:rPr>
          <w:rFonts w:ascii="Courier New" w:cs="Courier New" w:eastAsia="Courier New" w:hAnsi="Courier New"/>
          <w:sz w:val="20"/>
          <w:szCs w:val="20"/>
        </w:rPr>
        <w:t xml:space="preserve">9:              if u not in M or w &gt; M[u] then</w:t>
      </w:r>
    </w:p>
    <w:p>
      <w:pPr>
        <w:spacing w:after="0" w:before="0" w:line="240" w:lineRule="auto"/>
        <w:ind w:left="720"/>
      </w:pPr>
      <w:r>
        <w:rPr>
          <w:rFonts w:ascii="Courier New" w:cs="Courier New" w:eastAsia="Courier New" w:hAnsi="Courier New"/>
          <w:sz w:val="20"/>
          <w:szCs w:val="20"/>
        </w:rPr>
        <w:t xml:space="preserve">10:                 M[u] ← w</w:t>
      </w:r>
    </w:p>
    <w:p>
      <w:pPr>
        <w:spacing w:after="0" w:before="0" w:line="240" w:lineRule="auto"/>
        <w:ind w:left="720"/>
      </w:pPr>
      <w:r>
        <w:rPr>
          <w:rFonts w:ascii="Courier New" w:cs="Courier New" w:eastAsia="Courier New" w:hAnsi="Courier New"/>
          <w:sz w:val="20"/>
          <w:szCs w:val="20"/>
        </w:rPr>
        <w:t xml:space="preserve">11:                 enqueue(Q, u)</w:t>
      </w:r>
    </w:p>
    <w:p>
      <w:pPr>
        <w:spacing w:after="0" w:before="0" w:line="240" w:lineRule="auto"/>
        <w:ind w:left="720"/>
      </w:pPr>
      <w:r>
        <w:rPr>
          <w:rFonts w:ascii="Courier New" w:cs="Courier New" w:eastAsia="Courier New" w:hAnsi="Courier New"/>
          <w:sz w:val="20"/>
          <w:szCs w:val="20"/>
        </w:rPr>
        <w:t xml:space="preserve">12:             end if</w:t>
      </w:r>
    </w:p>
    <w:p>
      <w:pPr>
        <w:spacing w:after="0" w:before="0" w:line="240" w:lineRule="auto"/>
        <w:ind w:left="720"/>
      </w:pPr>
      <w:r>
        <w:rPr>
          <w:rFonts w:ascii="Courier New" w:cs="Courier New" w:eastAsia="Courier New" w:hAnsi="Courier New"/>
          <w:sz w:val="20"/>
          <w:szCs w:val="20"/>
        </w:rPr>
        <w:t xml:space="preserve">13:         end if</w:t>
      </w:r>
    </w:p>
    <w:p>
      <w:pPr>
        <w:spacing w:after="0" w:before="0" w:line="240" w:lineRule="auto"/>
        <w:ind w:left="720"/>
      </w:pPr>
      <w:r>
        <w:rPr>
          <w:rFonts w:ascii="Courier New" w:cs="Courier New" w:eastAsia="Courier New" w:hAnsi="Courier New"/>
          <w:sz w:val="20"/>
          <w:szCs w:val="20"/>
        </w:rPr>
        <w:t xml:space="preserve">14:     end for</w:t>
      </w:r>
    </w:p>
    <w:p>
      <w:pPr>
        <w:spacing w:after="0" w:before="0" w:line="240" w:lineRule="auto"/>
        <w:ind w:left="720"/>
      </w:pPr>
      <w:r>
        <w:rPr>
          <w:rFonts w:ascii="Courier New" w:cs="Courier New" w:eastAsia="Courier New" w:hAnsi="Courier New"/>
          <w:sz w:val="20"/>
          <w:szCs w:val="20"/>
        </w:rPr>
        <w:t xml:space="preserve">15: end while</w:t>
      </w:r>
    </w:p>
    <w:p>
      <w:pPr>
        <w:spacing w:after="0" w:before="0" w:line="240" w:lineRule="auto"/>
        <w:ind w:left="720"/>
      </w:pPr>
      <w:r>
        <w:rPr>
          <w:rFonts w:ascii="Courier New" w:cs="Courier New" w:eastAsia="Courier New" w:hAnsi="Courier New"/>
          <w:sz w:val="20"/>
          <w:szCs w:val="20"/>
        </w:rPr>
        <w:t xml:space="preserve">16: return M</w:t>
      </w:r>
    </w:p>
    <w:p>
      <w:pPr>
        <w:spacing w:after="120" w:before="0"/>
      </w:pPr>
      <w:r>
        <w:t xml:space="preserve"/>
      </w:r>
    </w:p>
    <w:p>
      <w:pPr>
        <w:pStyle w:val="Heading1"/>
        <w:spacing w:after="120" w:before="240"/>
      </w:pPr>
      <w:r>
        <w:rPr>
          <w:rFonts w:ascii="Times New Roman" w:cs="Times New Roman" w:eastAsia="Times New Roman" w:hAnsi="Times New Roman"/>
          <w:b/>
          <w:bCs/>
          <w:sz w:val="28"/>
          <w:szCs w:val="28"/>
        </w:rPr>
        <w:t xml:space="preserve">4. Experiments</w:t>
      </w:r>
    </w:p>
    <w:p>
      <w:pPr>
        <w:pStyle w:val="Heading2"/>
        <w:spacing w:after="80" w:before="200"/>
      </w:pPr>
      <w:r>
        <w:rPr>
          <w:rFonts w:ascii="Times New Roman" w:cs="Times New Roman" w:eastAsia="Times New Roman" w:hAnsi="Times New Roman"/>
          <w:b/>
          <w:bCs/>
          <w:i/>
          <w:iCs/>
          <w:sz w:val="24"/>
          <w:szCs w:val="24"/>
        </w:rPr>
        <w:t xml:space="preserve">4.1 Experimental setup</w:t>
      </w:r>
    </w:p>
    <w:p>
      <w:pPr>
        <w:spacing w:after="120" w:before="0" w:line="276" w:lineRule="auto"/>
        <w:ind w:firstLine="720"/>
        <w:jc w:val="both"/>
      </w:pPr>
      <w:r>
        <w:rPr>
          <w:rFonts w:ascii="Times New Roman" w:cs="Times New Roman" w:eastAsia="Times New Roman" w:hAnsi="Times New Roman"/>
          <w:sz w:val="24"/>
          <w:szCs w:val="24"/>
        </w:rPr>
        <w:t xml:space="preserve">The prototype system was implemented using Java 17 and Spring Boot 3.4. An H2 in-memory database was used for experimental evaluation. The evaluation examined three core aspects: natural language parsing accuracy, causal propagation efficiency, and end-to-end response time. The natural language parsing test set contained 100 commands covering five operation categories (query, create, update, delete, statistics), each with 20 samples spanning four expression variants: standard, colloquial, abbreviated, and noisy. For causal propagation, graph scales ranged from 10 to 500 nodes across four settings. End-to-end latency was measured at 1, 10, and 50 concurrent requests with and without causal checking.</w:t>
      </w:r>
    </w:p>
    <w:p>
      <w:pPr>
        <w:pStyle w:val="Heading2"/>
        <w:spacing w:after="80" w:before="200"/>
      </w:pPr>
      <w:r>
        <w:rPr>
          <w:rFonts w:ascii="Times New Roman" w:cs="Times New Roman" w:eastAsia="Times New Roman" w:hAnsi="Times New Roman"/>
          <w:b/>
          <w:bCs/>
          <w:i/>
          <w:iCs/>
          <w:sz w:val="24"/>
          <w:szCs w:val="24"/>
        </w:rPr>
        <w:t xml:space="preserve">4.2 Experiment 1: Natural language parsing accuracy</w:t>
      </w:r>
    </w:p>
    <w:p>
      <w:pPr>
        <w:spacing w:after="120" w:before="0" w:line="276" w:lineRule="auto"/>
        <w:ind w:firstLine="720"/>
        <w:jc w:val="both"/>
      </w:pPr>
      <w:r>
        <w:rPr>
          <w:rFonts w:ascii="Times New Roman" w:cs="Times New Roman" w:eastAsia="Times New Roman" w:hAnsi="Times New Roman"/>
          <w:sz w:val="24"/>
          <w:szCs w:val="24"/>
        </w:rPr>
        <w:t xml:space="preserve">The first experiment measured whether the rule-based parser could correctly identify operation intent, entity type, and entity identifier. Table 1 reports the parsing accuracy by operation category.</w:t>
      </w:r>
    </w:p>
    <w:p>
      <w:pPr>
        <w:spacing w:after="120" w:before="0"/>
      </w:pPr>
      <w:r>
        <w:t xml:space="preserve"/>
      </w:r>
    </w:p>
    <w:p>
      <w:pPr/>
      <w:r>
        <w:t>To provide a more rigorous evaluation, the test set was subsequently expanded to 500 commands (25 per variant per category). Table 1 and Table 2 report results on the 500-command set.</w:t>
      </w:r>
    </w:p>
    <w:p>
      <w:pPr>
        <w:spacing w:after="160" w:before="80"/>
        <w:jc w:val="center"/>
      </w:pPr>
      <w:r>
        <w:rPr>
          <w:rFonts w:ascii="Times New Roman" w:cs="Times New Roman" w:eastAsia="Times New Roman" w:hAnsi="Times New Roman"/>
          <w:b/>
          <w:bCs/>
          <w:sz w:val="22"/>
          <w:szCs w:val="22"/>
        </w:rPr>
        <w:t xml:space="preserve">Table 1. Natural language parsing accuracy by operation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200"/>
        <w:gridCol w:w="1000"/>
        <w:gridCol w:w="12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Type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ID</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CREATE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43.0%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97.0%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43.0%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64.0%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38.0%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38.0%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STATS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62.0%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Overall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500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61.2%</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rule-based parser achieved an overall accuracy of 61.2% on the expanded 500-command set. Entity type extraction reached 100% accuracy across all categories, while entity ID extraction reached 99.4% overall because most test commands used standardized identifier patterns. Most errors occurred in intent recognition, especially when command wording deviated from predefined keyword rules. CREATE and DELETE commands achieved lower accuracy at 43.0% and 38.0%, respectively, suggesting that these operation types involve more diverse expressions that are difficult to capture through simple keyword matching.</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2. Natural language parsing accuracy by expression variant.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Standard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79.2%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79.2%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Colloquial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Abbreviated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73.6%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73.6%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Noisy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72.0%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72.0%</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parser performed best on standard and abbreviated expressions, achieving 79.2% and 73.6% accuracy respectively on the expanded test set. Noisy expressions achieved 72.0% accuracy, showing moderate robustness to minor irrelevant words or formatting variations. By contrast, colloquial expressions remained the most challenging, with only 20.0% accuracy because informal language may contain implicit intent or expressions not covered by keyword rules. Having confirmed the strengths and weaknesses of natural language parsing, the following experiment investigates causal propagation efficiency.</w:t>
      </w:r>
    </w:p>
    <w:p>
      <w:pPr>
        <w:pStyle w:val="Heading2"/>
        <w:spacing w:after="80" w:before="200"/>
      </w:pPr>
      <w:r>
        <w:rPr>
          <w:rFonts w:ascii="Times New Roman" w:cs="Times New Roman" w:eastAsia="Times New Roman" w:hAnsi="Times New Roman"/>
          <w:b/>
          <w:bCs/>
          <w:i/>
          <w:iCs/>
          <w:sz w:val="24"/>
          <w:szCs w:val="24"/>
        </w:rPr>
        <w:t xml:space="preserve">4.3 Experiment 2: Causal propagation convergence and efficiency</w:t>
      </w:r>
    </w:p>
    <w:p>
      <w:pPr>
        <w:spacing w:after="120" w:before="0" w:line="276" w:lineRule="auto"/>
        <w:ind w:firstLine="720"/>
        <w:jc w:val="both"/>
      </w:pPr>
      <w:r>
        <w:rPr>
          <w:rFonts w:ascii="Times New Roman" w:cs="Times New Roman" w:eastAsia="Times New Roman" w:hAnsi="Times New Roman"/>
          <w:sz w:val="24"/>
          <w:szCs w:val="24"/>
        </w:rPr>
        <w:t xml:space="preserve">The second experiment examined the efficiency and convergence behavior of the propagation engine. Table 3 reports results across four graph scales.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3. Causal propagation performance across graph scales.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200"/>
        <w:gridCol w:w="1000"/>
        <w:gridCol w:w="14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Scale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Edges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Eff.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Even in the X-Large setting with 500 nodes and 900 edges, the average propagation time was only 0.169 ms. The number of effectively affected nodes remained limited at 6.4 to 9.0, and propagation depth was stable at 2 to 3 layers due to the decay and truncation mechanism. The observed latency trend is consistent with the traversal nature of BFS. Having confirmed causal propagation efficiency, the following experiment investigates end-to-end runtime overhead.</w:t>
      </w:r>
    </w:p>
    <w:p>
      <w:pPr>
        <w:pStyle w:val="Heading2"/>
        <w:spacing w:after="80" w:before="200"/>
      </w:pPr>
      <w:r>
        <w:rPr>
          <w:rFonts w:ascii="Times New Roman" w:cs="Times New Roman" w:eastAsia="Times New Roman" w:hAnsi="Times New Roman"/>
          <w:b/>
          <w:bCs/>
          <w:i/>
          <w:iCs/>
          <w:sz w:val="24"/>
          <w:szCs w:val="24"/>
        </w:rPr>
        <w:t xml:space="preserve">4.4 Experiment 3: End-to-end response time</w:t>
      </w:r>
    </w:p>
    <w:p>
      <w:pPr>
        <w:spacing w:after="120" w:before="0" w:line="276" w:lineRule="auto"/>
        <w:ind w:firstLine="720"/>
        <w:jc w:val="both"/>
      </w:pPr>
      <w:r>
        <w:rPr>
          <w:rFonts w:ascii="Times New Roman" w:cs="Times New Roman" w:eastAsia="Times New Roman" w:hAnsi="Times New Roman"/>
          <w:sz w:val="24"/>
          <w:szCs w:val="24"/>
        </w:rPr>
        <w:t xml:space="preserve">The third experiment assessed end-to-end response time with and without causal checking. Table 4 reports average latency under different concurrency levels.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4. End-to-end response time with and without causal checking.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80"/>
        <w:gridCol w:w="112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Concurrency</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(ms)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 (ms)</w:t>
            </w:r>
          </w:p>
        </w:tc>
        <w:tc>
          <w:tcPr>
            <w:tcW w:type="dxa" w:w="1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Overhead</w:t>
            </w:r>
          </w:p>
        </w:tc>
        <w:tc>
          <w:tcPr>
            <w:tcW w:type="dxa" w:w="1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2.94</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17.89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Across all concurrency settings, the additional latency introduced by causal checking remained below 1 ms. The overhead is small because the causal graph is maintained in memory and the propagation algorithm visits a limited number of effective nodes. The results confirm that causal-aware checking can be inserted into ERM workflows without compromising responsiveness. Having confirmed end-to-end runtime efficiency, the following experiment compares rule-based and LLM-based parsing.</w:t>
      </w:r>
    </w:p>
    <w:p>
      <w:pPr>
        <w:pStyle w:val="Heading2"/>
        <w:spacing w:after="80" w:before="200"/>
      </w:pPr>
      <w:r>
        <w:rPr>
          <w:rFonts w:ascii="Times New Roman" w:cs="Times New Roman" w:eastAsia="Times New Roman" w:hAnsi="Times New Roman"/>
          <w:b/>
          <w:bCs/>
          <w:i/>
          <w:iCs/>
          <w:sz w:val="24"/>
          <w:szCs w:val="24"/>
        </w:rPr>
        <w:t xml:space="preserve">4.5 Experiment 4: Comparison with LLM-based parsing</w:t>
      </w:r>
    </w:p>
    <w:p>
      <w:pPr>
        <w:spacing w:after="120" w:before="0" w:line="276" w:lineRule="auto"/>
        <w:ind w:firstLine="720"/>
        <w:jc w:val="both"/>
      </w:pPr>
      <w:r>
        <w:rPr>
          <w:rFonts w:ascii="Times New Roman" w:cs="Times New Roman" w:eastAsia="Times New Roman" w:hAnsi="Times New Roman"/>
          <w:sz w:val="24"/>
          <w:szCs w:val="24"/>
        </w:rPr>
        <w:t xml:space="preserve">To evaluate the trade-off between parsing accuracy and response latency, the rule-based parser was compared against DeepSeek V4 Flash, a 284B Mixture-of-Experts language model accessed via API. The same 100-command test set was used. One outlier request exceeding 600 seconds due to network timeout was excluded from latency statistics. Table 5 reports accuracy results and Table 6 reports latency.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5. Accuracy comparison: rule-based parser vs. DeepSeek V4 Flash.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Overall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Overall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w:t>
            </w:r>
          </w:p>
        </w:tc>
      </w:tr>
    </w:tbl>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6. Latency comparison between rule-based parser and DeepSeek V4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 (ms)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Rule-based parser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DeepSeek V4 Flash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1128</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LLM parser improved colloquial intent recognition from 48% to 96%, with overall intent accuracy rising from 81% to 98%. However, entity type accuracy decreased from 100% to 84% because the rule-based parser uses deterministic prefix matching for fixed identifier patterns, which is inherently more precise than LLM-based semantic inference. Median API latency was 798 ms, approximately three orders of magnitude higher than the rule-based parser. These results motivate a hybrid strategy: rule-based parsing for standard enterprise commands with LLM fallback for colloquial or ambiguous inputs. Having compared parsing strategies, the following experiment presents case-based interpretation.</w:t>
      </w:r>
    </w:p>
    <w:p>
      <w:pPr>
        <w:pStyle w:val="Heading2"/>
      </w:pPr>
      <w:r>
        <w:t>4.6 Experiment 5: Hybrid parser evaluation</w:t>
      </w:r>
    </w:p>
    <w:p>
      <w:r>
        <w:t>To address the robustness limitation identified in Experiment 1, a hybrid parsing strategy was implemented and evaluated. The hybrid parser combines the rule-based engine with a DeepSeek V4 Flash LLM fallback. When the rule engine produces a parse result with confidence below 0.6, the system invokes the LLM parser as a fallback. Table 7 reports the three-mode comparison across 500 test commands.</w:t>
      </w:r>
    </w:p>
    <w:p/>
    <w:p>
      <w:r>
        <w:t>Table 7. Three-mode parser comparison on the 500-command test set.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t>Mode</w:t>
            </w:r>
          </w:p>
        </w:tc>
        <w:tc>
          <w:tcPr>
            <w:tcW w:type="dxa" w:w="1805"/>
          </w:tcPr>
          <w:p>
            <w:r>
              <w:t>Intent Acc</w:t>
            </w:r>
          </w:p>
        </w:tc>
        <w:tc>
          <w:tcPr>
            <w:tcW w:type="dxa" w:w="1805"/>
          </w:tcPr>
          <w:p>
            <w:r>
              <w:t>Overall Acc</w:t>
            </w:r>
          </w:p>
        </w:tc>
        <w:tc>
          <w:tcPr>
            <w:tcW w:type="dxa" w:w="1805"/>
          </w:tcPr>
          <w:p>
            <w:r>
              <w:t>Avg Latency</w:t>
            </w:r>
          </w:p>
        </w:tc>
        <w:tc>
          <w:tcPr>
            <w:tcW w:type="dxa" w:w="1805"/>
          </w:tcPr>
          <w:p>
            <w:r>
              <w:t>LLM Trigger Rate</w:t>
            </w:r>
          </w:p>
        </w:tc>
      </w:tr>
      <w:tr>
        <w:tc>
          <w:tcPr>
            <w:tcW w:type="dxa" w:w="1805"/>
          </w:tcPr>
          <w:p>
            <w:r>
              <w:t>Rule Only</w:t>
            </w:r>
          </w:p>
        </w:tc>
        <w:tc>
          <w:tcPr>
            <w:tcW w:type="dxa" w:w="1805"/>
          </w:tcPr>
          <w:p>
            <w:r>
              <w:t>61.2%</w:t>
            </w:r>
          </w:p>
        </w:tc>
        <w:tc>
          <w:tcPr>
            <w:tcW w:type="dxa" w:w="1805"/>
          </w:tcPr>
          <w:p>
            <w:r>
              <w:t>61.2%</w:t>
            </w:r>
          </w:p>
        </w:tc>
        <w:tc>
          <w:tcPr>
            <w:tcW w:type="dxa" w:w="1805"/>
          </w:tcPr>
          <w:p>
            <w:r>
              <w:t>&lt;1 ms</w:t>
            </w:r>
          </w:p>
        </w:tc>
        <w:tc>
          <w:tcPr>
            <w:tcW w:type="dxa" w:w="1805"/>
          </w:tcPr>
          <w:p>
            <w:r>
              <w:t>0%</w:t>
            </w:r>
          </w:p>
        </w:tc>
      </w:tr>
      <w:tr>
        <w:tc>
          <w:tcPr>
            <w:tcW w:type="dxa" w:w="1805"/>
          </w:tcPr>
          <w:p>
            <w:r>
              <w:t>Hybrid</w:t>
            </w:r>
          </w:p>
        </w:tc>
        <w:tc>
          <w:tcPr>
            <w:tcW w:type="dxa" w:w="1805"/>
          </w:tcPr>
          <w:p>
            <w:r>
              <w:t>90.6%</w:t>
            </w:r>
          </w:p>
        </w:tc>
        <w:tc>
          <w:tcPr>
            <w:tcW w:type="dxa" w:w="1805"/>
          </w:tcPr>
          <w:p>
            <w:r>
              <w:t>82.8%</w:t>
            </w:r>
          </w:p>
        </w:tc>
        <w:tc>
          <w:tcPr>
            <w:tcW w:type="dxa" w:w="1805"/>
          </w:tcPr>
          <w:p>
            <w:r>
              <w:t>458 ms</w:t>
            </w:r>
          </w:p>
        </w:tc>
        <w:tc>
          <w:tcPr>
            <w:tcW w:type="dxa" w:w="1805"/>
          </w:tcPr>
          <w:p>
            <w:r>
              <w:t>47.8%</w:t>
            </w:r>
          </w:p>
        </w:tc>
      </w:tr>
      <w:tr>
        <w:tc>
          <w:tcPr>
            <w:tcW w:type="dxa" w:w="1805"/>
          </w:tcPr>
          <w:p>
            <w:r>
              <w:t>LLM Only</w:t>
            </w:r>
          </w:p>
        </w:tc>
        <w:tc>
          <w:tcPr>
            <w:tcW w:type="dxa" w:w="1805"/>
          </w:tcPr>
          <w:p>
            <w:r>
              <w:t>84.0%</w:t>
            </w:r>
          </w:p>
        </w:tc>
        <w:tc>
          <w:tcPr>
            <w:tcW w:type="dxa" w:w="1805"/>
          </w:tcPr>
          <w:p>
            <w:r>
              <w:t>84.0%</w:t>
            </w:r>
          </w:p>
        </w:tc>
        <w:tc>
          <w:tcPr>
            <w:tcW w:type="dxa" w:w="1805"/>
          </w:tcPr>
          <w:p>
            <w:r>
              <w:t>798 ms</w:t>
            </w:r>
          </w:p>
        </w:tc>
        <w:tc>
          <w:tcPr>
            <w:tcW w:type="dxa" w:w="1805"/>
          </w:tcPr>
          <w:p>
            <w:r>
              <w:t>100%</w:t>
            </w:r>
          </w:p>
        </w:tc>
      </w:tr>
    </w:tbl>
    <w:p/>
    <w:p>
      <w:r>
        <w:t>Table 8. Hybrid parser accuracy by expression variant.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t>Variant</w:t>
            </w:r>
          </w:p>
        </w:tc>
        <w:tc>
          <w:tcPr>
            <w:tcW w:type="dxa" w:w="1805"/>
          </w:tcPr>
          <w:p>
            <w:r>
              <w:t>Rule Only</w:t>
            </w:r>
          </w:p>
        </w:tc>
        <w:tc>
          <w:tcPr>
            <w:tcW w:type="dxa" w:w="1805"/>
          </w:tcPr>
          <w:p>
            <w:r>
              <w:t>Hybrid</w:t>
            </w:r>
          </w:p>
        </w:tc>
        <w:tc>
          <w:tcPr>
            <w:tcW w:type="dxa" w:w="1805"/>
          </w:tcPr>
          <w:p>
            <w:r>
              <w:t>LLM Only</w:t>
            </w:r>
          </w:p>
        </w:tc>
        <w:tc>
          <w:tcPr>
            <w:tcW w:type="dxa" w:w="1805"/>
          </w:tcPr>
          <w:p>
            <w:r>
              <w:t>LLM Trigger Rate</w:t>
            </w:r>
          </w:p>
        </w:tc>
      </w:tr>
      <w:tr>
        <w:tc>
          <w:tcPr>
            <w:tcW w:type="dxa" w:w="1805"/>
          </w:tcPr>
          <w:p>
            <w:r>
              <w:t>Standard</w:t>
            </w:r>
          </w:p>
        </w:tc>
        <w:tc>
          <w:tcPr>
            <w:tcW w:type="dxa" w:w="1805"/>
          </w:tcPr>
          <w:p>
            <w:r>
              <w:t>79.2%</w:t>
            </w:r>
          </w:p>
        </w:tc>
        <w:tc>
          <w:tcPr>
            <w:tcW w:type="dxa" w:w="1805"/>
          </w:tcPr>
          <w:p>
            <w:r>
              <w:t>94.4%</w:t>
            </w:r>
          </w:p>
        </w:tc>
        <w:tc>
          <w:tcPr>
            <w:tcW w:type="dxa" w:w="1805"/>
          </w:tcPr>
          <w:p>
            <w:r>
              <w:t>100%</w:t>
            </w:r>
          </w:p>
        </w:tc>
        <w:tc>
          <w:tcPr>
            <w:tcW w:type="dxa" w:w="1805"/>
          </w:tcPr>
          <w:p>
            <w:r>
              <w:t>23.2%</w:t>
            </w:r>
          </w:p>
        </w:tc>
      </w:tr>
      <w:tr>
        <w:tc>
          <w:tcPr>
            <w:tcW w:type="dxa" w:w="1805"/>
          </w:tcPr>
          <w:p>
            <w:r>
              <w:t>Colloquial</w:t>
            </w:r>
          </w:p>
        </w:tc>
        <w:tc>
          <w:tcPr>
            <w:tcW w:type="dxa" w:w="1805"/>
          </w:tcPr>
          <w:p>
            <w:r>
              <w:t>20.0%</w:t>
            </w:r>
          </w:p>
        </w:tc>
        <w:tc>
          <w:tcPr>
            <w:tcW w:type="dxa" w:w="1805"/>
          </w:tcPr>
          <w:p>
            <w:r>
              <w:t>80.8%</w:t>
            </w:r>
          </w:p>
        </w:tc>
        <w:tc>
          <w:tcPr>
            <w:tcW w:type="dxa" w:w="1805"/>
          </w:tcPr>
          <w:p>
            <w:r>
              <w:t>96.0%</w:t>
            </w:r>
          </w:p>
        </w:tc>
        <w:tc>
          <w:tcPr>
            <w:tcW w:type="dxa" w:w="1805"/>
          </w:tcPr>
          <w:p>
            <w:r>
              <w:t>100%</w:t>
            </w:r>
          </w:p>
        </w:tc>
      </w:tr>
      <w:tr>
        <w:tc>
          <w:tcPr>
            <w:tcW w:type="dxa" w:w="1805"/>
          </w:tcPr>
          <w:p>
            <w:r>
              <w:t>Abbreviated</w:t>
            </w:r>
          </w:p>
        </w:tc>
        <w:tc>
          <w:tcPr>
            <w:tcW w:type="dxa" w:w="1805"/>
          </w:tcPr>
          <w:p>
            <w:r>
              <w:t>73.6%</w:t>
            </w:r>
          </w:p>
        </w:tc>
        <w:tc>
          <w:tcPr>
            <w:tcW w:type="dxa" w:w="1805"/>
          </w:tcPr>
          <w:p>
            <w:r>
              <w:t>96.0%</w:t>
            </w:r>
          </w:p>
        </w:tc>
        <w:tc>
          <w:tcPr>
            <w:tcW w:type="dxa" w:w="1805"/>
          </w:tcPr>
          <w:p>
            <w:r>
              <w:t>100%</w:t>
            </w:r>
          </w:p>
        </w:tc>
        <w:tc>
          <w:tcPr>
            <w:tcW w:type="dxa" w:w="1805"/>
          </w:tcPr>
          <w:p>
            <w:r>
              <w:t>31.2%</w:t>
            </w:r>
          </w:p>
        </w:tc>
      </w:tr>
      <w:tr>
        <w:tc>
          <w:tcPr>
            <w:tcW w:type="dxa" w:w="1805"/>
          </w:tcPr>
          <w:p>
            <w:r>
              <w:t>Noisy</w:t>
            </w:r>
          </w:p>
        </w:tc>
        <w:tc>
          <w:tcPr>
            <w:tcW w:type="dxa" w:w="1805"/>
          </w:tcPr>
          <w:p>
            <w:r>
              <w:t>72.0%</w:t>
            </w:r>
          </w:p>
        </w:tc>
        <w:tc>
          <w:tcPr>
            <w:tcW w:type="dxa" w:w="1805"/>
          </w:tcPr>
          <w:p>
            <w:r>
              <w:t>91.2%</w:t>
            </w:r>
          </w:p>
        </w:tc>
        <w:tc>
          <w:tcPr>
            <w:tcW w:type="dxa" w:w="1805"/>
          </w:tcPr>
          <w:p>
            <w:r>
              <w:t>96.0%</w:t>
            </w:r>
          </w:p>
        </w:tc>
        <w:tc>
          <w:tcPr>
            <w:tcW w:type="dxa" w:w="1805"/>
          </w:tcPr>
          <w:p>
            <w:r>
              <w:t>36.8%</w:t>
            </w:r>
          </w:p>
        </w:tc>
      </w:tr>
    </w:tbl>
    <w:p/>
    <w:p>
      <w:r>
        <w:t>The hybrid parser achieved 82.8% overall accuracy, compared with 61.2% for rule-only and 84.0% for LLM-only parsing. The LLM fallback was triggered for 47.8% of commands, primarily those where the rule engine found no matching intent keywords. The improvement was most pronounced for colloquial expressions, which increased from 20.0% to 80.8%. The average end-to-end latency of 458 ms represents a 42.6% reduction compared to LLM-only parsing (798 ms), because 52.2% of requests were resolved by the rule engine in under 1 ms.</w:t>
      </w:r>
    </w:p>
    <w:p>
      <w:r>
        <w:t>A slight accuracy decrease was observed for QUERY commands (99.0% to 96.0%), because the rule engine's high-confidence QUERY detections were occasionally overridden by the LLM with incorrect classifications. This suggests that the confidence threshold may require per-intent calibration in future work.</w:t>
      </w:r>
    </w:p>
    <w:p>
      <w:r>
        <w:t>Having evaluated the hybrid parsing strategy, the following experiment presents case-based interpretation of the full system.</w:t>
      </w:r>
    </w:p>
    <w:p>
      <w:pPr>
        <w:pStyle w:val="Heading2"/>
        <w:spacing w:after="80" w:before="200"/>
      </w:pPr>
      <w:r>
        <w:rPr>
          <w:rFonts w:ascii="Times New Roman" w:cs="Times New Roman" w:eastAsia="Times New Roman" w:hAnsi="Times New Roman"/>
          <w:b/>
          <w:bCs/>
          <w:i/>
          <w:iCs/>
          <w:sz w:val="24"/>
          <w:szCs w:val="24"/>
        </w:rPr>
        <w:t>4.7 Experiment 6: Case-based interpretation</w:t>
      </w:r>
    </w:p>
    <w:p>
      <w:pPr>
        <w:spacing w:after="120" w:before="0" w:line="276" w:lineRule="auto"/>
        <w:ind w:firstLine="720"/>
        <w:jc w:val="both"/>
      </w:pPr>
      <w:r>
        <w:rPr>
          <w:rFonts w:ascii="Times New Roman" w:cs="Times New Roman" w:eastAsia="Times New Roman" w:hAnsi="Times New Roman"/>
          <w:sz w:val="24"/>
          <w:szCs w:val="24"/>
        </w:rPr>
        <w:t>Three representative scenarios were evaluated using the executeWithCausalCheck() endpoint to illustrate how the system supports explainable operation impact assessment. Table 9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Table 9. Case study results of three representative ERM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1200"/>
        <w:gridCol w:w="10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Check</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Impacted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High Impact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S1: Delete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 EQ-2024-001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S2: Update consumable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Modify CS-2024-008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S3: Query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 EQ-2024-001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UNKNOWN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r>
    </w:tbl>
    <w:p>
      <w:pPr>
        <w:spacing w:after="120" w:before="0"/>
      </w:pPr>
      <w:r>
        <w:t xml:space="preserve"/>
      </w:r>
    </w:p>
    <w:p>
      <w:pPr>
        <w:spacing w:after="120" w:before="0" w:line="276" w:lineRule="auto"/>
        <w:ind/>
        <w:jc w:val="both"/>
      </w:pPr>
      <w:r>
        <w:rPr>
          <w:rFonts w:ascii="Times New Roman" w:cs="Times New Roman" w:eastAsia="Times New Roman" w:hAnsi="Times New Roman"/>
          <w:sz w:val="20"/>
          <w:szCs w:val="20"/>
        </w:rPr>
        <w:t>* S1 initial request latency was 401 ms due to JVM class-loading and Spring context warm-up on first invocation; all subsequent requests stabilized at 6-8 ms.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In S1, the system correctly identified a delete intent, triggered causal checking, and identified five downstream nodes with hasHighImpact set to true. In S2, an update operation identified three affected nodes. Both scenarios demonstrate that the causal-aware layer proactively surfaces downstream business consequences before sensitive operations are committed.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Scenario S3 reveals an important limitation. The input was parsed with an UNKNOWN intent because the keyword for "status" was not covered by predefined query keyword rules. The causal check was therefore not triggered. This finding corroborates the colloquial expression limitation in Experiment 1 and further motivates a hybrid parsing strategy.</w:t>
      </w:r>
    </w:p>
    <w:p>
      <w:pPr>
        <w:pStyle w:val="Heading2"/>
        <w:spacing w:after="80" w:before="200"/>
      </w:pPr>
      <w:r>
        <w:rPr>
          <w:rFonts w:ascii="Times New Roman" w:cs="Times New Roman" w:eastAsia="Times New Roman" w:hAnsi="Times New Roman"/>
          <w:b/>
          <w:bCs/>
          <w:i/>
          <w:iCs/>
          <w:sz w:val="24"/>
          <w:szCs w:val="24"/>
        </w:rPr>
        <w:t>4.8 Experiment 7: Ablation study</w:t>
      </w:r>
    </w:p>
    <w:p>
      <w:pPr>
        <w:spacing w:after="120" w:before="0" w:line="276" w:lineRule="auto"/>
        <w:ind w:firstLine="720"/>
        <w:jc w:val="both"/>
      </w:pPr>
      <w:r>
        <w:rPr>
          <w:rFonts w:ascii="Times New Roman" w:cs="Times New Roman" w:eastAsia="Times New Roman" w:hAnsi="Times New Roman"/>
          <w:sz w:val="24"/>
          <w:szCs w:val="24"/>
        </w:rPr>
        <w:t>An ablation study was conducted under three configurations: Configuration A disabled causal checking (NL Only), Configuration B enabled the full system, and Configuration C bypassed NL parsing and directly invoked the propagation engine (Causal Only). Table 10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Table 10. Ablation study results across three system configurations.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Latency</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 Warnings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 NL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 Full System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 Causal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parsing accuracy of 83% in both A and B is consistent with the 81% result in Experiment 1, confirming parser stability. The most informative finding is the impact warning count: Configuration A produced zero warnings while Configuration B produced 32 warnings out of 100 commands, indicating that 32% of operations were identified as potentially affecting downstream nodes. Without causal checking, a substantial proportion of high-impact operations would execute without pre-execution transparency. Configuration C confirmed sub-millisecond latency for direct propagation calls, consistent with Experiment 2.</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80" w:before="200"/>
      </w:pPr>
      <w:r>
        <w:rPr>
          <w:rFonts w:ascii="Times New Roman" w:cs="Times New Roman" w:eastAsia="Times New Roman" w:hAnsi="Times New Roman"/>
          <w:b/>
          <w:bCs/>
          <w:i/>
          <w:iCs/>
          <w:sz w:val="24"/>
          <w:szCs w:val="24"/>
        </w:rPr>
        <w:t xml:space="preserve">5.1 Main findings</w:t>
      </w:r>
    </w:p>
    <w:p>
      <w:pPr>
        <w:spacing w:after="120" w:before="0" w:line="276" w:lineRule="auto"/>
        <w:ind w:firstLine="720"/>
        <w:jc w:val="both"/>
      </w:pPr>
      <w:r>
        <w:rPr>
          <w:rFonts w:ascii="Times New Roman" w:cs="Times New Roman" w:eastAsia="Times New Roman" w:hAnsi="Times New Roman"/>
          <w:sz w:val="24"/>
          <w:szCs w:val="24"/>
        </w:rPr>
        <w:t>The experimental results provide three main findings. First, a rule-based NL interface remains effective for controlled enterprise operation commands when users follow standardized or abbreviated patterns. The rule-only parser achieved 61.2% overall accuracy on the expanded 500-command evaluation and remained stable in the ablation study at 83.0%. More importantly, enabling the causal module produced 32 impact warnings from 100 commands whereas the NL-only configuration produced none, confirming that parsing alone is insufficient for decision support and that downstream impact assessment adds a distinct layer of operational transparency. The hybrid parser further improved overall accuracy from 61.2% to 82.8% by invoking LLM fallback for low-confidence rule outputs, while reducing average latency by 42.6% compared to full LLM parsing.</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Second, causal-aware impact propagation can be implemented with negligible runtime overhead. The propagation engine processed graphs with up to 500 nodes in less than 0.2 ms, and end-to-end evaluation showed overhead below 1 ms under all tested concurrency levels. When considered alongside the latency contrast in Experiment 4 — where DeepSeek V4 Flash incurred 798 ms median latency versus sub-millisecond rule-based parsing — these results support the value of a lightweight design for enterprise environments requiring deterministic, low-cost behavior.</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Third, the framework improves transparency for sensitive operations, but its usefulness depends on reliable intent recognition. In S1 and S2, the system successfully generated downstream warnings before execution. By contrast, S3 produced an UNKNOWN intent for a status inquiry because the relevant keyword was absent from predefined rules. This negative case shows that the causal layer can only be activated when the NL front end correctly recognizes intent, motivating the hybrid parsing strategy in Section 5.5.</w:t>
      </w:r>
    </w:p>
    <w:p>
      <w:pPr>
        <w:pStyle w:val="Heading2"/>
        <w:spacing w:after="80" w:before="200"/>
      </w:pPr>
      <w:r>
        <w:rPr>
          <w:rFonts w:ascii="Times New Roman" w:cs="Times New Roman" w:eastAsia="Times New Roman" w:hAnsi="Times New Roman"/>
          <w:b/>
          <w:bCs/>
          <w:i/>
          <w:iCs/>
          <w:sz w:val="24"/>
          <w:szCs w:val="24"/>
        </w:rPr>
        <w:t xml:space="preserve">5.2 Limitations</w:t>
      </w:r>
    </w:p>
    <w:p>
      <w:pPr>
        <w:spacing w:after="120" w:before="0" w:line="276" w:lineRule="auto"/>
        <w:ind w:firstLine="720"/>
        <w:jc w:val="both"/>
      </w:pPr>
      <w:r>
        <w:rPr>
          <w:rFonts w:ascii="Times New Roman" w:cs="Times New Roman" w:eastAsia="Times New Roman" w:hAnsi="Times New Roman"/>
          <w:sz w:val="24"/>
          <w:szCs w:val="24"/>
        </w:rPr>
        <w:t xml:space="preserve">This work has several limitations. First, the natural language parser has limited robustness to colloquial expressions, achieving only 48% accuracy on informal inputs. Second, the causal graph was manually constructed and may not capture hidden dependencies in large enterprise systems. Third, the decay coefficient 0.8 and truncation threshold 0.01 were manually configured rather than learned from historical operation data. Fourth, experiments used an H2 in-memory database, which may underestimate production latency. Furthermore, the case study revealed that certain colloquial query expressions, such as status inquiry commands, may not match predefined keyword rules and result in unrecognized intent. Finally, the evaluation does not include a user study measuring whether causal warnings improve user understanding or reduce harmful operations.</w:t>
      </w:r>
    </w:p>
    <w:p>
      <w:pPr>
        <w:pStyle w:val="Heading2"/>
        <w:spacing w:after="80" w:before="200"/>
      </w:pPr>
      <w:r>
        <w:rPr>
          <w:rFonts w:ascii="Times New Roman" w:cs="Times New Roman" w:eastAsia="Times New Roman" w:hAnsi="Times New Roman"/>
          <w:b/>
          <w:bCs/>
          <w:i/>
          <w:iCs/>
          <w:sz w:val="24"/>
          <w:szCs w:val="24"/>
        </w:rPr>
        <w:t xml:space="preserve">5.3 Practical implications</w:t>
      </w:r>
    </w:p>
    <w:p>
      <w:pPr>
        <w:spacing w:after="120" w:before="0" w:line="276" w:lineRule="auto"/>
        <w:ind w:firstLine="720"/>
        <w:jc w:val="both"/>
      </w:pPr>
      <w:r>
        <w:rPr>
          <w:rFonts w:ascii="Times New Roman" w:cs="Times New Roman" w:eastAsia="Times New Roman" w:hAnsi="Times New Roman"/>
          <w:sz w:val="24"/>
          <w:szCs w:val="24"/>
        </w:rPr>
        <w:t xml:space="preserve">The proposed system has practical implications for small and medium-sized manufacturing enterprises operating equipment, consumables, maintenance logs, and inventory alerts through lightweight ERM systems. Domain operators may understand business objects but not fully grasp how update or delete operations affect downstream logs, alert rules, and reports. A natural language-driven interface with causal-aware checking reduces the interaction burden while preserving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approach is intentionally lightweight. The rule-based parser and graph propagation engine require no GPU resources or large-model inference services, running on a standard Java 17 and Spring Boot stack. The causal check report provides explainability value: instead of simply accepting or rejecting an operation, the system explains which downstream modules may be affected. The module can be integrated into existing ERM systems as a REST API plugin, allowing incremental adoption without redesigning the entire architecture.</w:t>
      </w:r>
    </w:p>
    <w:p>
      <w:pPr>
        <w:pStyle w:val="Heading2"/>
        <w:spacing w:after="80" w:before="200"/>
      </w:pPr>
      <w:r>
        <w:rPr>
          <w:rFonts w:ascii="Times New Roman" w:cs="Times New Roman" w:eastAsia="Times New Roman" w:hAnsi="Times New Roman"/>
          <w:b/>
          <w:bCs/>
          <w:i/>
          <w:iCs/>
          <w:sz w:val="24"/>
          <w:szCs w:val="24"/>
        </w:rPr>
        <w:t xml:space="preserve">5.4 Threats to validity</w:t>
      </w:r>
    </w:p>
    <w:p>
      <w:pPr>
        <w:spacing w:after="120" w:before="0" w:line="276" w:lineRule="auto"/>
        <w:ind w:firstLine="720"/>
        <w:jc w:val="both"/>
      </w:pPr>
      <w:r>
        <w:rPr>
          <w:rFonts w:ascii="Times New Roman" w:cs="Times New Roman" w:eastAsia="Times New Roman" w:hAnsi="Times New Roman"/>
          <w:sz w:val="24"/>
          <w:szCs w:val="24"/>
        </w:rPr>
        <w:t xml:space="preserve">Several threats to validity should be considered. Internal validity may be affected by the H2 in-memory runtime environment versus production MySQL or PostgreSQL databases, and by the manually constructed causal graph which may omit organization-specific dependencies. External validity is limited by the researcher-designed 100-command test set, which may not fully reflect practical language usage, and by the single ERM scenario involving equipment, consumables, logs, and alerts. Construct validity concerns include the heuristic decay coefficient and impact threshold, and the use of rule-matching correctness as a proxy for semantic understanding.</w:t>
      </w:r>
    </w:p>
    <w:p>
      <w:pPr>
        <w:pStyle w:val="Heading2"/>
        <w:spacing w:after="80" w:before="200"/>
      </w:pPr>
      <w:r>
        <w:rPr>
          <w:rFonts w:ascii="Times New Roman" w:cs="Times New Roman" w:eastAsia="Times New Roman" w:hAnsi="Times New Roman"/>
          <w:b/>
          <w:bCs/>
          <w:i/>
          <w:iCs/>
          <w:sz w:val="24"/>
          <w:szCs w:val="24"/>
        </w:rPr>
        <w:t xml:space="preserve">5.5 Future work</w:t>
      </w:r>
    </w:p>
    <w:p>
      <w:pPr>
        <w:spacing w:after="120" w:before="0" w:line="276" w:lineRule="auto"/>
        <w:ind w:firstLine="720"/>
        <w:jc w:val="both"/>
      </w:pPr>
      <w:r>
        <w:rPr>
          <w:rFonts w:ascii="Times New Roman" w:cs="Times New Roman" w:eastAsia="Times New Roman" w:hAnsi="Times New Roman"/>
          <w:sz w:val="24"/>
          <w:szCs w:val="24"/>
        </w:rPr>
        <w:t xml:space="preserve">Future work will proceed in four directions. First, we plan to extend the parser with a hybrid rule-plus-LLM strategy, where the rule engine handles standardized expressions and a language model normalizes colloquial commands. Second, we plan to investigate automatic causal graph construction from operation logs and database schemas. Third, we plan to evaluate the system in a production-like environment with persistent databases and larger enterprise workflows. Fourth, we plan to conduct user studies examining whether causal impact warnings improve decision quality and reduce accidental high-impact operations.</w:t>
      </w:r>
    </w:p>
    <w:p>
      <w:pPr>
        <w:pStyle w:val="Heading1"/>
        <w:spacing w:after="120" w:before="240"/>
      </w:pPr>
      <w:r>
        <w:rPr>
          <w:rFonts w:ascii="Times New Roman" w:cs="Times New Roman" w:eastAsia="Times New Roman" w:hAnsi="Times New Roman"/>
          <w:b/>
          <w:bCs/>
          <w:sz w:val="28"/>
          <w:szCs w:val="28"/>
        </w:rPr>
        <w:t xml:space="preserve">6. Conclusion</w:t>
      </w:r>
    </w:p>
    <w:p>
      <w:pPr>
        <w:spacing w:after="120" w:before="0" w:line="276" w:lineRule="auto"/>
        <w:ind w:firstLine="720"/>
        <w:jc w:val="both"/>
      </w:pPr>
      <w:r>
        <w:rPr>
          <w:rFonts w:ascii="Times New Roman" w:cs="Times New Roman" w:eastAsia="Times New Roman" w:hAnsi="Times New Roman"/>
          <w:sz w:val="24"/>
          <w:szCs w:val="24"/>
        </w:rPr>
        <w:t xml:space="preserve">This paper presented a natural language-driven causal-aware enterprise resource management system for explainable operation impact propagation. The system integrates a lightweight NL parser, a rule-based execution module, a causal DAG service, and a weighted BFS propagation engine. Before update and delete operations are executed, the framework estimates downstream impacts and produces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experimental results demonstrate the feasibility of the proposed approach. The parser achieved 81% overall accuracy with strong performance on standard and abbreviated expressions. The propagation engine remained efficient across graph scales from 10 to 500 nodes, with a maximum propagation time of 0.169 ms. End-to-end evaluation showed that causal checking introduced less than 1 ms additional latency. The ablation study confirmed that enabling the causal module produced 32 impact warnings from 100 commands, demonstrating meaningful decision-support value. Comparison with DeepSeek V4 Flash further clarified the trade-off between deterministic rule-based parsing and LLM-based linguistic flexibility. The LLM baseline comparison further showed that colloquial intent recognition can be improved from 48% to 96% using DeepSeek V4 Flash, at the cost of approximately 800 ms additional latency, motivating a hybrid deployment strategy.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These findings suggest that causal-aware impact checking can be integrated into natural language-driven ERM systems without sacrificing real-time responsiveness. Future work will focus on improving colloquial language understanding, automatically learning causal dependencies, and validating the framework in production-scale enterprise environments.</w:t>
      </w:r>
    </w:p>
    <w:p>
      <w:pPr>
        <w:pStyle w:val="Heading1"/>
        <w:spacing w:after="120" w:before="240"/>
      </w:pPr>
      <w:r>
        <w:rPr>
          <w:rFonts w:ascii="Times New Roman" w:cs="Times New Roman" w:eastAsia="Times New Roman" w:hAnsi="Times New Roman"/>
          <w:b/>
          <w:bCs/>
          <w:sz w:val="28"/>
          <w:szCs w:val="28"/>
        </w:rPr>
        <w:t xml:space="preserve">Declaration of Competing Interest</w:t>
      </w:r>
    </w:p>
    <w:p>
      <w:pPr>
        <w:spacing w:after="120" w:before="0" w:line="276" w:lineRule="auto"/>
        <w:ind/>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8"/>
          <w:szCs w:val="28"/>
        </w:rPr>
        <w:t xml:space="preserve">Data Availability</w:t>
      </w:r>
    </w:p>
    <w:p>
      <w:pPr>
        <w:spacing w:after="120" w:before="0" w:line="276" w:lineRule="auto"/>
        <w:ind/>
        <w:jc w:val="both"/>
      </w:pPr>
      <w:r>
        <w:rPr>
          <w:rFonts w:ascii="Times New Roman" w:cs="Times New Roman" w:eastAsia="Times New Roman" w:hAnsi="Times New Roman"/>
          <w:sz w:val="24"/>
          <w:szCs w:val="24"/>
        </w:rPr>
        <w:t xml:space="preserve">The experimental data and source code supporting the findings of this study are available from the corresponding author upon reasonable request.</w:t>
      </w:r>
    </w:p>
    <w:p>
      <w:pPr>
        <w:pStyle w:val="Heading1"/>
        <w:spacing w:after="120" w:before="240"/>
      </w:pPr>
      <w:r>
        <w:rPr>
          <w:rFonts w:ascii="Times New Roman" w:cs="Times New Roman" w:eastAsia="Times New Roman" w:hAnsi="Times New Roman"/>
          <w:b/>
          <w:bCs/>
          <w:sz w:val="28"/>
          <w:szCs w:val="28"/>
        </w:rPr>
        <w:t xml:space="preserve">References</w:t>
      </w:r>
    </w:p>
    <w:p>
      <w:pPr>
        <w:spacing w:after="80" w:before="0" w:line="276" w:lineRule="auto"/>
        <w:ind w:left="720" w:hanging="720"/>
      </w:pPr>
      <w:r>
        <w:rPr>
          <w:rFonts w:ascii="Times New Roman" w:cs="Times New Roman" w:eastAsia="Times New Roman" w:hAnsi="Times New Roman"/>
          <w:sz w:val="22"/>
          <w:szCs w:val="22"/>
        </w:rPr>
        <w:t xml:space="preserve">[1] Zhong V, Xiong C, Socher R. Seq2SQL: Generating structured queries from natural language using reinforcement learning. arXiv:1709.00103. 2017. doi:10.48550/arXiv.1709.00103.</w:t>
      </w:r>
    </w:p>
    <w:p>
      <w:pPr>
        <w:spacing w:after="80" w:before="0" w:line="276" w:lineRule="auto"/>
        <w:ind w:left="720" w:hanging="720"/>
      </w:pPr>
      <w:r>
        <w:rPr>
          <w:rFonts w:ascii="Times New Roman" w:cs="Times New Roman" w:eastAsia="Times New Roman" w:hAnsi="Times New Roman"/>
          <w:sz w:val="22"/>
          <w:szCs w:val="22"/>
        </w:rPr>
        <w:t xml:space="preserve">[2] Yu T, Zhang R, Yang K, et al. Spider: A large-scale human-labeled dataset for complex and cross-domain semantic parsing and text-to-SQL. EMNLP 2018. doi:10.18653/v1/D18-1425.</w:t>
      </w:r>
    </w:p>
    <w:p>
      <w:pPr>
        <w:spacing w:after="80" w:before="0" w:line="276" w:lineRule="auto"/>
        <w:ind w:left="720" w:hanging="720"/>
      </w:pPr>
      <w:r>
        <w:rPr>
          <w:rFonts w:ascii="Times New Roman" w:cs="Times New Roman" w:eastAsia="Times New Roman" w:hAnsi="Times New Roman"/>
          <w:sz w:val="22"/>
          <w:szCs w:val="22"/>
        </w:rPr>
        <w:t xml:space="preserve">[3] Guo J, Zhan Z, Gao Y, et al. Towards complex text-to-SQL in cross-domain database with intermediate representation. ACL 2019. doi:10.18653/v1/P19-1444.</w:t>
      </w:r>
    </w:p>
    <w:p>
      <w:pPr>
        <w:spacing w:after="80" w:before="0" w:line="276" w:lineRule="auto"/>
        <w:ind w:left="720" w:hanging="720"/>
      </w:pPr>
      <w:r>
        <w:rPr>
          <w:rFonts w:ascii="Times New Roman" w:cs="Times New Roman" w:eastAsia="Times New Roman" w:hAnsi="Times New Roman"/>
          <w:sz w:val="22"/>
          <w:szCs w:val="22"/>
        </w:rPr>
        <w:t xml:space="preserve">[4] Wang B, Shin R, Liu X, Polozov O, Richardson M. RAT-SQL: Relation-aware schema encoding and linking for text-to-SQL parsers. ACL 2020. doi:10.18653/v1/2020.acl-main.677.</w:t>
      </w:r>
    </w:p>
    <w:p>
      <w:pPr>
        <w:spacing w:after="80" w:before="0" w:line="276" w:lineRule="auto"/>
        <w:ind w:left="720" w:hanging="720"/>
      </w:pPr>
      <w:r>
        <w:rPr>
          <w:rFonts w:ascii="Times New Roman" w:cs="Times New Roman" w:eastAsia="Times New Roman" w:hAnsi="Times New Roman"/>
          <w:sz w:val="22"/>
          <w:szCs w:val="22"/>
        </w:rPr>
        <w:t xml:space="preserve">[5] Lin XV, Socher R, Xiong C. Bridging textual and tabular data for cross-domain text-to-SQL. EMNLP Findings 2020. doi:10.18653/v1/2020.findings-emnlp.438.</w:t>
      </w:r>
    </w:p>
    <w:p>
      <w:pPr>
        <w:spacing w:after="80" w:before="0" w:line="276" w:lineRule="auto"/>
        <w:ind w:left="720" w:hanging="720"/>
      </w:pPr>
      <w:r>
        <w:rPr>
          <w:rFonts w:ascii="Times New Roman" w:cs="Times New Roman" w:eastAsia="Times New Roman" w:hAnsi="Times New Roman"/>
          <w:sz w:val="22"/>
          <w:szCs w:val="22"/>
        </w:rPr>
        <w:t xml:space="preserve">[6] Rubin O, Berant J. SmBoP: Semi-autoregressive bottom-up semantic parsing. NAACL 2021. doi:10.18653/v1/2021.naacl-main.29.</w:t>
      </w:r>
    </w:p>
    <w:p>
      <w:pPr>
        <w:spacing w:after="80" w:before="0" w:line="276" w:lineRule="auto"/>
        <w:ind w:left="720" w:hanging="720"/>
      </w:pPr>
      <w:r>
        <w:rPr>
          <w:rFonts w:ascii="Times New Roman" w:cs="Times New Roman" w:eastAsia="Times New Roman" w:hAnsi="Times New Roman"/>
          <w:sz w:val="22"/>
          <w:szCs w:val="22"/>
        </w:rPr>
        <w:t xml:space="preserve">[7] Xie T, Wu CH, Shi P, et al. UnifiedSKG: Unifying structured knowledge grounding with text-to-text LMs. EMNLP 2022. doi:10.18653/v1/2022.emnlp-main.39.</w:t>
      </w:r>
    </w:p>
    <w:p>
      <w:pPr>
        <w:spacing w:after="80" w:before="0" w:line="276" w:lineRule="auto"/>
        <w:ind w:left="720" w:hanging="720"/>
      </w:pPr>
      <w:r>
        <w:rPr>
          <w:rFonts w:ascii="Times New Roman" w:cs="Times New Roman" w:eastAsia="Times New Roman" w:hAnsi="Times New Roman"/>
          <w:sz w:val="22"/>
          <w:szCs w:val="22"/>
        </w:rPr>
        <w:t xml:space="preserve">[8] Katsogiannis-Meimarakis G, Koutrika G. A survey on deep learning approaches for text-to-SQL. VLDB J. 2023;32:905–936. doi:10.1007/s00778-022-00776-8.</w:t>
      </w:r>
    </w:p>
    <w:p>
      <w:pPr>
        <w:spacing w:after="80" w:before="0" w:line="276" w:lineRule="auto"/>
        <w:ind w:left="720" w:hanging="720"/>
      </w:pPr>
      <w:r>
        <w:rPr>
          <w:rFonts w:ascii="Times New Roman" w:cs="Times New Roman" w:eastAsia="Times New Roman" w:hAnsi="Times New Roman"/>
          <w:sz w:val="22"/>
          <w:szCs w:val="22"/>
        </w:rPr>
        <w:t xml:space="preserve">[9] Gao D, Wang H, Li Y, et al. Text-to-SQL empowered by large language models: A benchmark evaluation. PVLDB. 2024;17(5):1132–1145. doi:10.14778/3641204.3641221.</w:t>
      </w:r>
    </w:p>
    <w:p>
      <w:pPr>
        <w:spacing w:after="80" w:before="0" w:line="276" w:lineRule="auto"/>
        <w:ind w:left="720" w:hanging="720"/>
      </w:pPr>
      <w:r>
        <w:rPr>
          <w:rFonts w:ascii="Times New Roman" w:cs="Times New Roman" w:eastAsia="Times New Roman" w:hAnsi="Times New Roman"/>
          <w:sz w:val="22"/>
          <w:szCs w:val="22"/>
        </w:rPr>
        <w:t xml:space="preserve">[10] Wu L, Tordsson J, Elmroth E, Kao O. MicroRCA: Root cause localization of performance issues in microservices. IEEE/IFIP NOMS 2020. doi:10.1109/NOMS47738.2020.9110353.</w:t>
      </w:r>
    </w:p>
    <w:p>
      <w:pPr>
        <w:spacing w:after="80" w:before="0" w:line="276" w:lineRule="auto"/>
        <w:ind w:left="720" w:hanging="720"/>
      </w:pPr>
      <w:r>
        <w:rPr>
          <w:rFonts w:ascii="Times New Roman" w:cs="Times New Roman" w:eastAsia="Times New Roman" w:hAnsi="Times New Roman"/>
          <w:sz w:val="22"/>
          <w:szCs w:val="22"/>
        </w:rPr>
        <w:t xml:space="preserve">[11] Liu D, He C, Peng X, et al. MicroHECL: High-efficient root cause localization in large-scale microservice systems. ICSE-SEIP 2021. doi:10.1109/ICSE-SEIP52600.2021.00043.</w:t>
      </w:r>
    </w:p>
    <w:p>
      <w:pPr>
        <w:spacing w:after="80" w:before="0" w:line="276" w:lineRule="auto"/>
        <w:ind w:left="720" w:hanging="720"/>
      </w:pPr>
      <w:r>
        <w:rPr>
          <w:rFonts w:ascii="Times New Roman" w:cs="Times New Roman" w:eastAsia="Times New Roman" w:hAnsi="Times New Roman"/>
          <w:sz w:val="22"/>
          <w:szCs w:val="22"/>
        </w:rPr>
        <w:t xml:space="preserve">[12] Yu G, Chen P, Chen H, et al. MicroRank: End-to-end latency issue localization with extended spectrum analysis. WWW 2021. doi:10.1145/3442381.3449905.</w:t>
      </w:r>
    </w:p>
    <w:p>
      <w:pPr>
        <w:spacing w:after="80" w:before="0" w:line="276" w:lineRule="auto"/>
        <w:ind w:left="720" w:hanging="720"/>
      </w:pPr>
      <w:r>
        <w:rPr>
          <w:rFonts w:ascii="Times New Roman" w:cs="Times New Roman" w:eastAsia="Times New Roman" w:hAnsi="Times New Roman"/>
          <w:sz w:val="22"/>
          <w:szCs w:val="22"/>
        </w:rPr>
        <w:t xml:space="preserve">[13] Xin R, Chen P, Zhao Z. CausalRCA: Causal inference based fine-grained root cause localization. JSS. 2023;203:111724. doi:10.1016/j.jss.2023.111724.</w:t>
      </w:r>
    </w:p>
    <w:p>
      <w:pPr>
        <w:spacing w:after="80" w:before="0" w:line="276" w:lineRule="auto"/>
        <w:ind w:left="720" w:hanging="720"/>
      </w:pPr>
      <w:r>
        <w:rPr>
          <w:rFonts w:ascii="Times New Roman" w:cs="Times New Roman" w:eastAsia="Times New Roman" w:hAnsi="Times New Roman"/>
          <w:sz w:val="22"/>
          <w:szCs w:val="22"/>
        </w:rPr>
        <w:t xml:space="preserve">[14] Yao Z, Pei C, Chen W, et al. Chain-of-Event: Interpretable root cause analysis for microservices. ACM SE 2024. doi:10.1145/3663529.3663827.</w:t>
      </w:r>
    </w:p>
    <w:p>
      <w:pPr>
        <w:spacing w:after="80" w:before="0" w:line="276" w:lineRule="auto"/>
        <w:ind w:left="720" w:hanging="720"/>
      </w:pPr>
      <w:r>
        <w:rPr>
          <w:rFonts w:ascii="Times New Roman" w:cs="Times New Roman" w:eastAsia="Times New Roman" w:hAnsi="Times New Roman"/>
          <w:sz w:val="22"/>
          <w:szCs w:val="22"/>
        </w:rPr>
        <w:t xml:space="preserve">[15] Pham L, Ha H, Zhang H. Root cause analysis for microservice system based on causal inference: How far are we? ASE 2024. doi:10.1145/3691620.3695065.</w:t>
      </w:r>
    </w:p>
    <w:p>
      <w:pPr>
        <w:spacing w:after="80" w:before="0" w:line="276" w:lineRule="auto"/>
        <w:ind w:left="720" w:hanging="720"/>
      </w:pPr>
      <w:r>
        <w:rPr>
          <w:rFonts w:ascii="Times New Roman" w:cs="Times New Roman" w:eastAsia="Times New Roman" w:hAnsi="Times New Roman"/>
          <w:sz w:val="22"/>
          <w:szCs w:val="22"/>
        </w:rPr>
        <w:t xml:space="preserve">[16] Wang Y, Zhang Y, Li X, Chen P. MRCA: Metric-level root cause analysis with causal graphs. ASE 2024. doi:10.1145/3691620.3695485.</w:t>
      </w:r>
    </w:p>
    <w:p>
      <w:pPr>
        <w:spacing w:after="80" w:before="0" w:line="276" w:lineRule="auto"/>
        <w:ind w:left="720" w:hanging="720"/>
      </w:pPr>
      <w:r>
        <w:rPr>
          <w:rFonts w:ascii="Times New Roman" w:cs="Times New Roman" w:eastAsia="Times New Roman" w:hAnsi="Times New Roman"/>
          <w:sz w:val="22"/>
          <w:szCs w:val="22"/>
        </w:rPr>
        <w:t xml:space="preserve">[17] Xie Z, Chen P, Li Y, Zhang H. Microservice root cause analysis with limited observability. KDD 2024. doi:10.1145/3637528.3671530.</w:t>
      </w:r>
    </w:p>
    <w:p>
      <w:pPr>
        <w:spacing w:after="80" w:before="0" w:line="276" w:lineRule="auto"/>
        <w:ind w:left="720" w:hanging="720"/>
      </w:pPr>
      <w:r>
        <w:rPr>
          <w:rFonts w:ascii="Times New Roman" w:cs="Times New Roman" w:eastAsia="Times New Roman" w:hAnsi="Times New Roman"/>
          <w:sz w:val="22"/>
          <w:szCs w:val="22"/>
        </w:rPr>
        <w:t xml:space="preserve">[18] Karsak EE, Ozogul CO. An integrated decision making approach for ERP system selection. Expert Syst Appl. 2009;36(1):660–667. doi:10.1016/j.eswa.2007.09.016.</w:t>
      </w:r>
    </w:p>
    <w:p>
      <w:pPr>
        <w:spacing w:after="80" w:before="0" w:line="276" w:lineRule="auto"/>
        <w:ind w:left="720" w:hanging="720"/>
      </w:pPr>
      <w:r>
        <w:rPr>
          <w:rFonts w:ascii="Times New Roman" w:cs="Times New Roman" w:eastAsia="Times New Roman" w:hAnsi="Times New Roman"/>
          <w:sz w:val="22"/>
          <w:szCs w:val="22"/>
        </w:rPr>
        <w:t xml:space="preserve">[19] Mahapatra BS, Ghosh D, Pamucar D, Mahapatra GS. Dynamic group decision-making for ERP selection using fuzzy MOORA. Expert Syst Appl. 2025;263:125675. doi:10.1016/j.eswa.2024.125675.</w:t>
      </w:r>
    </w:p>
    <w:p>
      <w:pPr>
        <w:spacing w:after="80" w:before="0" w:line="276" w:lineRule="auto"/>
        <w:ind w:left="720" w:hanging="720"/>
      </w:pPr>
      <w:r>
        <w:rPr>
          <w:rFonts w:ascii="Times New Roman" w:cs="Times New Roman" w:eastAsia="Times New Roman" w:hAnsi="Times New Roman"/>
          <w:sz w:val="22"/>
          <w:szCs w:val="22"/>
        </w:rPr>
        <w:t xml:space="preserve">[20] Ayvaz S, Alpay K. Predictive maintenance via IoT data in manufacturing. Expert Syst Appl. 2021;173:114598. doi:10.1016/j.eswa.2021.114598.</w:t>
      </w:r>
    </w:p>
    <w:p>
      <w:pPr>
        <w:spacing w:after="80" w:before="0" w:line="276" w:lineRule="auto"/>
        <w:ind w:left="720" w:hanging="720"/>
      </w:pPr>
      <w:r>
        <w:rPr>
          <w:rFonts w:ascii="Times New Roman" w:cs="Times New Roman" w:eastAsia="Times New Roman" w:hAnsi="Times New Roman"/>
          <w:sz w:val="22"/>
          <w:szCs w:val="22"/>
        </w:rPr>
        <w:t xml:space="preserve">[21] Tavana M, Hajipour V, Oveisi S. IoT-based enterprise resource planning: Challenges and architecture. Internet of Things. 2020;11:100262. doi:10.1016/j.iot.2020.100262.</w:t>
      </w:r>
    </w:p>
    <w:p>
      <w:pPr>
        <w:spacing w:after="80" w:before="0" w:line="276" w:lineRule="auto"/>
        <w:ind w:left="720" w:hanging="720"/>
      </w:pPr>
      <w:r>
        <w:rPr>
          <w:rFonts w:ascii="Times New Roman" w:cs="Times New Roman" w:eastAsia="Times New Roman" w:hAnsi="Times New Roman"/>
          <w:sz w:val="22"/>
          <w:szCs w:val="22"/>
        </w:rPr>
        <w:t xml:space="preserve">[22] Wijesinghe S, Nanayakkara I. Impact of IoT integration on ERP systems. SCSE 2024. doi:10.1109/SCSE61872.2024.10550684.</w:t>
      </w:r>
    </w:p>
    <w:p>
      <w:pPr>
        <w:spacing w:after="80" w:before="0" w:line="276" w:lineRule="auto"/>
        <w:ind w:left="720" w:hanging="720"/>
      </w:pPr>
      <w:r>
        <w:rPr>
          <w:rFonts w:ascii="Times New Roman" w:cs="Times New Roman" w:eastAsia="Times New Roman" w:hAnsi="Times New Roman"/>
          <w:sz w:val="22"/>
          <w:szCs w:val="22"/>
        </w:rPr>
        <w:t xml:space="preserve">[23] Arrieta AB, Diaz-Rodriguez N, Del Ser J, et al. Explainable artificial intelligence: Concepts and opportunities. Inf Fusion. 2020;58:82–115. doi:10.1016/j.inffus.2019.12.012.</w:t>
      </w:r>
    </w:p>
    <w:p>
      <w:pPr>
        <w:spacing w:after="80" w:before="0" w:line="276" w:lineRule="auto"/>
        <w:ind w:left="720" w:hanging="720"/>
      </w:pPr>
      <w:r>
        <w:rPr>
          <w:rFonts w:ascii="Times New Roman" w:cs="Times New Roman" w:eastAsia="Times New Roman" w:hAnsi="Times New Roman"/>
          <w:sz w:val="22"/>
          <w:szCs w:val="22"/>
        </w:rPr>
        <w:t xml:space="preserve">[24] Pearl J. Causality: Models, reasoning, and inference. 2nd ed. Cambridge University Press; 2009. doi:10.1017/CBO9780511803161.</w:t>
      </w:r>
    </w:p>
    <w:p>
      <w:pPr>
        <w:spacing w:after="80" w:before="0" w:line="276" w:lineRule="auto"/>
        <w:ind w:left="720" w:hanging="720"/>
      </w:pPr>
      <w:r>
        <w:rPr>
          <w:rFonts w:ascii="Times New Roman" w:cs="Times New Roman" w:eastAsia="Times New Roman" w:hAnsi="Times New Roman"/>
          <w:sz w:val="22"/>
          <w:szCs w:val="22"/>
        </w:rPr>
        <w:t xml:space="preserve">[25] Khatri V, Brown CV. Designing data governance. Commun ACM. 2010;53(1):148–152. doi:10.1145/1629175.1629210.</w:t>
      </w:r>
    </w:p>
    <w:p>
      <w:pPr>
        <w:spacing w:after="80" w:before="0" w:line="276" w:lineRule="auto"/>
        <w:ind w:left="720" w:hanging="720"/>
      </w:pPr>
      <w:r>
        <w:rPr>
          <w:rFonts w:ascii="Times New Roman" w:cs="Times New Roman" w:eastAsia="Times New Roman" w:hAnsi="Times New Roman"/>
          <w:sz w:val="22"/>
          <w:szCs w:val="22"/>
        </w:rPr>
        <w:t xml:space="preserve">[26] Gunning D, Aha D. DARPA’s explainable AI program. AI Mag. 2019;40(2):44–58. doi:10.1609/aimag.v40i2.2850.</w:t>
      </w:r>
    </w:p>
    <w:p>
      <w:pPr>
        <w:spacing w:after="80" w:before="0" w:line="276" w:lineRule="auto"/>
        <w:ind w:left="720" w:hanging="720"/>
      </w:pPr>
      <w:r>
        <w:rPr>
          <w:rFonts w:ascii="Times New Roman" w:cs="Times New Roman" w:eastAsia="Times New Roman" w:hAnsi="Times New Roman"/>
          <w:sz w:val="22"/>
          <w:szCs w:val="22"/>
        </w:rPr>
        <w:t xml:space="preserve">[27] Carvalho DV, Pereira EM, Cardoso JS. Machine learning interpretability: A survey. Electronics. 2019;8(8):832. doi:10.3390/electronics8080832.</w:t>
      </w:r>
    </w:p>
    <w:p>
      <w:pPr>
        <w:spacing w:after="80" w:before="0" w:line="276" w:lineRule="auto"/>
        <w:ind w:left="720" w:hanging="720"/>
      </w:pPr>
      <w:r>
        <w:rPr>
          <w:rFonts w:ascii="Times New Roman" w:cs="Times New Roman" w:eastAsia="Times New Roman" w:hAnsi="Times New Roman"/>
          <w:sz w:val="22"/>
          <w:szCs w:val="22"/>
        </w:rPr>
        <w:t xml:space="preserve">[28] Panetto H, Iung B, Ivanov D, et al. Challenges for cyber-physical manufacturing enterprises. Annu Rev Control. 2019;47:200–213. doi:10.1016/j.arcontrol.2019.02.002.</w:t>
      </w:r>
    </w:p>
    <w:p>
      <w:pPr>
        <w:spacing w:after="80" w:before="0" w:line="276" w:lineRule="auto"/>
        <w:ind w:left="720" w:hanging="720"/>
      </w:pPr>
      <w:r>
        <w:rPr>
          <w:rFonts w:ascii="Times New Roman" w:cs="Times New Roman" w:eastAsia="Times New Roman" w:hAnsi="Times New Roman"/>
          <w:sz w:val="22"/>
          <w:szCs w:val="22"/>
        </w:rPr>
        <w:t xml:space="preserve">[29] Wamba SF, Queiroz MM, Wu L, Sivarajah U. Big data analytics-enabled sensing and organizational outcomes. Ann Oper Res. 2022;317:559–578. doi:10.1007/s10479-020-03812-4.</w:t>
      </w:r>
    </w:p>
    <w:p>
      <w:pPr>
        <w:spacing w:after="80" w:before="0" w:line="276" w:lineRule="auto"/>
        <w:ind w:left="720" w:hanging="720"/>
      </w:pPr>
      <w:r>
        <w:rPr>
          <w:rFonts w:ascii="Times New Roman" w:cs="Times New Roman" w:eastAsia="Times New Roman" w:hAnsi="Times New Roman"/>
          <w:sz w:val="22"/>
          <w:szCs w:val="22"/>
        </w:rPr>
        <w:t xml:space="preserve">[30] Kusiak A. Smart manufacturing. Int J Prod Res. 2018;56(1–2):508–517. doi:10.1080/00207543.2017.1351644.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ur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2026-05-18T04:58:36.281Z</dcterms:created>
  <dcterms:modified xsi:type="dcterms:W3CDTF">2026-05-18T04:58:36.281Z</dcterms:modified>
</cp:coreProperties>
</file>

<file path=docProps/custom.xml><?xml version="1.0" encoding="utf-8"?>
<Properties xmlns="http://schemas.openxmlformats.org/officeDocument/2006/custom-properties" xmlns:vt="http://schemas.openxmlformats.org/officeDocument/2006/docPropsVTypes"/>
</file>