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员工手册摘要（测试）</w:t>
      </w:r>
    </w:p>
    <w:p>
      <w:r>
        <w:t>差旅报销制度（测试文档）</w:t>
        <w:br/>
        <w:br/>
        <w:t>一、适用范围</w:t>
        <w:br/>
        <w:t>本制度适用于全体员工因公出差产生的交通、住宿、餐饮等费用报销。</w:t>
        <w:br/>
        <w:br/>
        <w:t>二、住宿标准</w:t>
        <w:br/>
        <w:t>- 一线城市：500 元/晚</w:t>
        <w:br/>
        <w:t>- 二线城市：350 元/晚</w:t>
        <w:br/>
        <w:t>- 其他城市：280 元/晚</w:t>
        <w:br/>
        <w:br/>
        <w:t>三、交通标准</w:t>
        <w:br/>
        <w:t>- 高铁/动车：二等座</w:t>
        <w:br/>
        <w:t>- 飞机：经济舱，需提前 3 天申请</w:t>
        <w:br/>
        <w:br/>
        <w:t>四、报销流程</w:t>
        <w:br/>
        <w:t>1. 填写差旅申请单</w:t>
        <w:br/>
        <w:t>2. 部门负责人审批</w:t>
        <w:br/>
        <w:t>3. 财务审核票据</w:t>
        <w:br/>
        <w:t>4. 5 个工作日内到账</w:t>
        <w:br/>
        <w:br/>
        <w:t>联系人：财务部 张三，分机 8001</w:t>
        <w:br/>
      </w:r>
    </w:p>
    <w:p>
      <w:pPr>
        <w:pStyle w:val="Heading1"/>
      </w:pPr>
      <w:r>
        <w:t>考勤说明</w:t>
      </w:r>
    </w:p>
    <w:p>
      <w:r>
        <w:t>工作时间：9:00-18:00，弹性打卡 30 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