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Times New Roman" w:cs="Times New Roman" w:eastAsia="Times New Roman" w:hAnsi="Times New Roman"/>
          <w:color w:val="000000"/>
          <w:sz w:val="28"/>
          <w:szCs w:val="28"/>
        </w:rPr>
        <w:t xml:space="preserve">Penerapan Deep Learning untuk Analisis Citra Medis: Tinjauan Komprehensif dan Implementasi pada Deteksi Penyakit</w:t>
      </w:r>
    </w:p>
    <w:p>
      <w:pPr>
        <w:spacing w:after="80"/>
        <w:jc w:val="both"/>
      </w:pPr>
      <w:r>
        <w:rPr>
          <w:rFonts w:ascii="Times New Roman" w:cs="Times New Roman" w:eastAsia="Times New Roman" w:hAnsi="Times New Roman"/>
          <w:color w:val="000000"/>
          <w:sz w:val="20"/>
          <w:szCs w:val="20"/>
        </w:rPr>
        <w:t xml:space="preserve">Makalah Ilmiah – Computational Biology dan Bioinformatics</w:t>
      </w:r>
    </w:p>
    <w:p>
      <w:pPr>
        <w:spacing w:after="40"/>
        <w:jc w:val="both"/>
      </w:pPr>
      <w:r>
        <w:rPr>
          <w:rFonts w:ascii="Times New Roman" w:cs="Times New Roman" w:eastAsia="Times New Roman" w:hAnsi="Times New Roman"/>
          <w:color w:val="000000"/>
          <w:sz w:val="18"/>
          <w:szCs w:val="18"/>
        </w:rPr>
        <w:t xml:space="preserve">Program Studi Ilmu Komputer, Fakultas Teknik dan Ilmu Komputer</w:t>
      </w:r>
    </w:p>
    <w:p>
      <w:pPr>
        <w:spacing w:after="300"/>
        <w:jc w:val="both"/>
      </w:pPr>
      <w:r>
        <w:rPr>
          <w:rFonts w:ascii="Times New Roman" w:cs="Times New Roman" w:eastAsia="Times New Roman" w:hAnsi="Times New Roman"/>
          <w:color w:val="000000"/>
          <w:sz w:val="18"/>
          <w:szCs w:val="18"/>
        </w:rPr>
        <w:t xml:space="preserve">Format IEEE – Computational Biology &amp; Bioinformatics | 2024</w:t>
      </w:r>
    </w:p>
    <w:p>
      <w:pPr>
        <w:spacing w:after="160"/>
      </w:pPr>
      <w:r>
        <w:t xml:space="preserve"/>
      </w:r>
    </w:p>
    <w:tbl>
      <w:tblPr>
        <w:tblW w:type="dxa" w:w="936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tcBorders>
              <w:top w:val="none" w:sz="0" w:space="0" w:color="auto"/>
              <w:left w:val="none" w:sz="0" w:space="0" w:color="auto"/>
              <w:bottom w:val="none" w:sz="0" w:space="0" w:color="auto"/>
              <w:right w:val="none" w:sz="0" w:space="0" w:color="auto"/>
            </w:tcBorders>
            <w:tcMar>
              <w:top w:type="dxa" w:w="120"/>
              <w:left w:type="dxa" w:w="200"/>
              <w:bottom w:type="dxa" w:w="120"/>
              <w:right w:type="dxa" w:w="200"/>
            </w:tcMar>
          </w:tcPr>
          <w:p>
            <w:pPr>
              <w:spacing w:after="80"/>
              <w:jc w:val="both"/>
            </w:pPr>
            <w:r>
              <w:rPr>
                <w:b/>
                <w:bCs/>
                <w:rFonts w:ascii="Times New Roman" w:cs="Times New Roman" w:eastAsia="Times New Roman" w:hAnsi="Times New Roman"/>
                <w:color w:val="000000"/>
                <w:sz w:val="20"/>
                <w:szCs w:val="20"/>
              </w:rPr>
              <w:t xml:space="preserve">Abstract</w:t>
            </w:r>
          </w:p>
          <w:p>
            <w:pPr>
              <w:spacing w:after="120"/>
              <w:jc w:val="both"/>
            </w:pPr>
            <w:r>
              <w:rPr>
                <w:rFonts w:ascii="Times New Roman" w:cs="Times New Roman" w:eastAsia="Times New Roman" w:hAnsi="Times New Roman"/>
                <w:color w:val="000000"/>
                <w:sz w:val="20"/>
                <w:szCs w:val="20"/>
              </w:rPr>
              <w:t xml:space="preserve">Deep learning telah merevolusi analisis citra medis dengan kemampuan ekstraksi fitur otomatis yang melampaui metode konvensional. Makalah ini menyajikan tinjauan komprehensif mengenai penerapan deep learning—khususnya Convolutional Neural Network (CNN), Transfer Learning, dan arsitektur berbasis Transformer—dalam analisis citra medis untuk deteksi berbagai penyakit seperti kanker, pneumonia, retinopati diabetik, dan tumor otak. Kami membahas pipeline pemrosesan data, arsitektur model populer (VGG, ResNet, DenseNet, U-Net, ViT), teknik augmentasi data, serta tantangan klinis seperti keterbatasan data berlabel dan interpretabilitas model. Hasil evaluasi menunjukkan bahwa model deep learning mampu mencapai akurasi diagnostik setara atau melampaui tenaga ahli klinis pada beberapa domain. Makalah ini juga membahas aspek Explainable AI (XAI) dan arah penelitian masa depan dalam konteks precision medicine.</w:t>
            </w:r>
          </w:p>
          <w:p>
            <w:pPr>
              <w:jc w:val="both"/>
            </w:pPr>
            <w:r>
              <w:rPr>
                <w:rFonts w:ascii="Times New Roman" w:cs="Times New Roman" w:eastAsia="Times New Roman" w:hAnsi="Times New Roman"/>
                <w:color w:val="000000"/>
                <w:sz w:val="20"/>
                <w:szCs w:val="20"/>
              </w:rPr>
              <w:t xml:space="preserve">Keywords: </w:t>
            </w:r>
            <w:r>
              <w:rPr>
                <w:rFonts w:ascii="Times New Roman" w:cs="Times New Roman" w:eastAsia="Times New Roman" w:hAnsi="Times New Roman"/>
                <w:color w:val="000000"/>
                <w:sz w:val="20"/>
                <w:szCs w:val="20"/>
              </w:rPr>
              <w:t xml:space="preserve">Deep Learning, Convolutional Neural Network, Medical Image Analysis, Transfer Learning, CNN, Bioinformatics, Computer-Aided Diagnosis, Explainable AI</w:t>
            </w:r>
          </w:p>
        </w:tc>
      </w:tr>
    </w:tbl>
    <w:p>
      <w:pPr>
        <w:spacing w:after="100"/>
      </w:pPr>
      <w:r>
        <w:t xml:space="preserve"/>
      </w:r>
    </w:p>
    <w:p>
      <w:pPr>
        <w:spacing w:after="120" w:before="240"/>
        <w:jc w:val="both"/>
      </w:pPr>
      <w:r>
        <w:rPr>
          <w:b/>
          <w:bCs/>
          <w:rFonts w:ascii="Times New Roman" w:cs="Times New Roman" w:eastAsia="Times New Roman" w:hAnsi="Times New Roman"/>
          <w:color w:val="000000"/>
          <w:sz w:val="22"/>
          <w:szCs w:val="22"/>
        </w:rPr>
        <w:t xml:space="preserve">I. PENDAHULUAN</w:t>
      </w:r>
    </w:p>
    <w:p>
      <w:pPr>
        <w:spacing w:after="100" w:line="276"/>
        <w:jc w:val="both"/>
      </w:pPr>
      <w:r>
        <w:rPr>
          <w:rFonts w:ascii="Times New Roman" w:cs="Times New Roman" w:eastAsia="Times New Roman" w:hAnsi="Times New Roman"/>
          <w:color w:val="000000"/>
          <w:sz w:val="20"/>
          <w:szCs w:val="20"/>
        </w:rPr>
        <w:t xml:space="preserve">Perkembangan kecerdasan buatan (Artificial Intelligence/AI), khususnya deep learning, telah membawa transformasi mendasar dalam dunia kedokteran dan komputasi biologi. Salah satu aplikasi paling signifikan adalah analisis citra medis (Medical Image Analysis), yaitu proses interpretasi gambar diagnostik seperti X-ray, CT scan, MRI, dan histopatologi menggunakan algoritma komputer [1].</w:t>
      </w:r>
    </w:p>
    <w:p>
      <w:pPr>
        <w:spacing w:after="100" w:line="276"/>
        <w:jc w:val="both"/>
      </w:pPr>
      <w:r>
        <w:rPr>
          <w:rFonts w:ascii="Times New Roman" w:cs="Times New Roman" w:eastAsia="Times New Roman" w:hAnsi="Times New Roman"/>
          <w:color w:val="000000"/>
          <w:sz w:val="20"/>
          <w:szCs w:val="20"/>
        </w:rPr>
        <w:t xml:space="preserve">Secara tradisional, interpretasi citra medis dilakukan secara manual oleh radiologis atau dokter spesialis, yang memerlukan keahlian tinggi, waktu yang panjang, serta berpotensi mengalami kelelahan dan subjektivitas penilaian. Deep learning menawarkan solusi yang mampu memproses ribuan gambar dalam hitungan detik dengan konsistensi tinggi [2].</w:t>
      </w:r>
    </w:p>
    <w:p>
      <w:pPr>
        <w:spacing w:after="100" w:line="276"/>
        <w:jc w:val="both"/>
      </w:pPr>
      <w:r>
        <w:rPr>
          <w:rFonts w:ascii="Times New Roman" w:cs="Times New Roman" w:eastAsia="Times New Roman" w:hAnsi="Times New Roman"/>
          <w:color w:val="000000"/>
          <w:sz w:val="20"/>
          <w:szCs w:val="20"/>
        </w:rPr>
        <w:t xml:space="preserve">Dari perspektif Computer Science, topik ini sangat relevan karena melibatkan konsep-konsep inti yang sudah dipelajari: arsitektur jaringan saraf tiruan, optimasi gradient descent, matrix computation, dan computer vision. Model seperti Convolutional Neural Network (CNN) yang digunakan dalam tugas image classification pada kelas deep learning, kini diaplikasikan langsung untuk mendeteksi pneumonia dari X-ray dada atau sel kanker dari slide histopatologi [3].</w:t>
      </w:r>
    </w:p>
    <w:p>
      <w:pPr>
        <w:spacing w:after="100" w:line="276"/>
        <w:jc w:val="both"/>
      </w:pPr>
      <w:r>
        <w:rPr>
          <w:rFonts w:ascii="Times New Roman" w:cs="Times New Roman" w:eastAsia="Times New Roman" w:hAnsi="Times New Roman"/>
          <w:color w:val="000000"/>
          <w:sz w:val="20"/>
          <w:szCs w:val="20"/>
        </w:rPr>
        <w:t xml:space="preserve">Makalah ini bertujuan untuk: (1) menjelaskan konsep dasar deep learning dalam konteks analisis citra medis, (2) mengulas arsitektur model yang dominan digunakan, (3) memaparkan studi kasus aplikasi nyata pada berbagai penyakit, (4) mendiskusikan tantangan dan solusi teknis, serta (5) mengidentifikasi arah penelitian masa depan.</w:t>
      </w:r>
    </w:p>
    <w:p>
      <w:pPr>
        <w:spacing w:after="120" w:before="240"/>
        <w:jc w:val="both"/>
      </w:pPr>
      <w:r>
        <w:rPr>
          <w:b/>
          <w:bCs/>
          <w:rFonts w:ascii="Times New Roman" w:cs="Times New Roman" w:eastAsia="Times New Roman" w:hAnsi="Times New Roman"/>
          <w:color w:val="000000"/>
          <w:sz w:val="22"/>
          <w:szCs w:val="22"/>
        </w:rPr>
        <w:t xml:space="preserve">II. TINJAUAN PUSTAKA</w:t>
      </w:r>
    </w:p>
    <w:p>
      <w:pPr>
        <w:spacing w:after="100" w:line="276"/>
        <w:jc w:val="both"/>
      </w:pPr>
      <w:r>
        <w:rPr>
          <w:rFonts w:ascii="Times New Roman" w:cs="Times New Roman" w:eastAsia="Times New Roman" w:hAnsi="Times New Roman"/>
          <w:color w:val="000000"/>
          <w:sz w:val="20"/>
          <w:szCs w:val="20"/>
        </w:rPr>
        <w:t xml:space="preserve">Penelitian analisis citra medis berbasis komputer telah dimulai sejak era 1960-an dengan pendekatan berbasis aturan (rule-based). Namun, revolusi sesungguhnya terjadi ketika Krizhevsky et al. (2012) memperkenalkan AlexNet yang meraih kemenangan signifikan pada kompetisi ImageNet, membuktikan superioritas CNN untuk computer vision [4].</w:t>
      </w:r>
    </w:p>
    <w:p>
      <w:pPr>
        <w:spacing w:after="100" w:line="276"/>
        <w:jc w:val="both"/>
      </w:pPr>
      <w:r>
        <w:rPr>
          <w:rFonts w:ascii="Times New Roman" w:cs="Times New Roman" w:eastAsia="Times New Roman" w:hAnsi="Times New Roman"/>
          <w:color w:val="000000"/>
          <w:sz w:val="20"/>
          <w:szCs w:val="20"/>
        </w:rPr>
        <w:t xml:space="preserve">Simonyan dan Zisserman (2014) mengembangkan VGGNet dengan arsitektur yang lebih dalam (16-19 layer), yang kemudian banyak diadaptasi untuk klasifikasi citra medis. He et al. (2016) memperkenalkan ResNet dengan mekanisme residual connection yang memungkinkan training jaringan sangat dalam (152 layer) tanpa degradasi performa—sebuah terobosan yang kini menjadi backbone utama dalam medical imaging [5].</w:t>
      </w:r>
    </w:p>
    <w:p>
      <w:pPr>
        <w:spacing w:after="100" w:line="276"/>
        <w:jc w:val="both"/>
      </w:pPr>
      <w:r>
        <w:rPr>
          <w:rFonts w:ascii="Times New Roman" w:cs="Times New Roman" w:eastAsia="Times New Roman" w:hAnsi="Times New Roman"/>
          <w:color w:val="000000"/>
          <w:sz w:val="20"/>
          <w:szCs w:val="20"/>
        </w:rPr>
        <w:t xml:space="preserve">Pada domain segmentasi citra medis, Ronneberger et al. (2015) mengusulkan U-Net, arsitektur encoder-decoder dengan skip connections yang dirancang khusus untuk data medis berlabel terbatas. U-Net menjadi standar de facto untuk segmentasi organ dan lesi dalam citra MRI dan CT scan [6].</w:t>
      </w:r>
    </w:p>
    <w:p>
      <w:pPr>
        <w:spacing w:after="100" w:line="276"/>
        <w:jc w:val="both"/>
      </w:pPr>
      <w:r>
        <w:rPr>
          <w:rFonts w:ascii="Times New Roman" w:cs="Times New Roman" w:eastAsia="Times New Roman" w:hAnsi="Times New Roman"/>
          <w:color w:val="000000"/>
          <w:sz w:val="20"/>
          <w:szCs w:val="20"/>
        </w:rPr>
        <w:t xml:space="preserve">Dosovitskiy et al. (2020) memperkenalkan Vision Transformer (ViT) yang mengadaptasi mekanisme self-attention dari NLP ke domain citra. Penelitian terkini menunjukkan bahwa ViT dan variannya (Swin Transformer) mampu melampaui CNN pada dataset medis skala besar [7].</w:t>
      </w:r>
    </w:p>
    <w:p>
      <w:pPr>
        <w:spacing w:after="100" w:line="276"/>
        <w:jc w:val="both"/>
      </w:pPr>
      <w:r>
        <w:rPr>
          <w:rFonts w:ascii="Times New Roman" w:cs="Times New Roman" w:eastAsia="Times New Roman" w:hAnsi="Times New Roman"/>
          <w:color w:val="000000"/>
          <w:sz w:val="20"/>
          <w:szCs w:val="20"/>
        </w:rPr>
        <w:t xml:space="preserve">Transfer learning dari ImageNet ke domain medis pertama kali dieksplorasi secara sistematis oleh Shin et al. (2016), yang menunjukkan bahwa fitur yang dipelajari pada dataset natural dapat ditransfer secara efektif ke citra medis meskipun terdapat domain gap yang signifikan [8].</w:t>
      </w:r>
    </w:p>
    <w:p>
      <w:pPr>
        <w:spacing w:after="120" w:before="240"/>
        <w:jc w:val="both"/>
      </w:pPr>
      <w:r>
        <w:rPr>
          <w:b/>
          <w:bCs/>
          <w:rFonts w:ascii="Times New Roman" w:cs="Times New Roman" w:eastAsia="Times New Roman" w:hAnsi="Times New Roman"/>
          <w:color w:val="000000"/>
          <w:sz w:val="22"/>
          <w:szCs w:val="22"/>
        </w:rPr>
        <w:t xml:space="preserve">III. METODOLOGI DAN ARSITEKTUR</w:t>
      </w:r>
    </w:p>
    <w:p>
      <w:pPr>
        <w:spacing w:after="100" w:line="276"/>
        <w:jc w:val="both"/>
      </w:pPr>
      <w:r>
        <w:rPr>
          <w:rFonts w:ascii="Times New Roman" w:cs="Times New Roman" w:eastAsia="Times New Roman" w:hAnsi="Times New Roman"/>
          <w:color w:val="000000"/>
          <w:sz w:val="20"/>
          <w:szCs w:val="20"/>
        </w:rPr>
        <w:t xml:space="preserve">Pipeline analisis citra medis berbasis deep learning umumnya terdiri dari beberapa tahap yang saling berkaitan. Pemahaman menyeluruh terhadap setiap komponen sangat penting untuk membangun sistem yang robust dan dapat diandalkan secara klinis.</w:t>
      </w:r>
    </w:p>
    <w:p>
      <w:pPr>
        <w:spacing w:after="80" w:before="160"/>
        <w:jc w:val="both"/>
      </w:pPr>
      <w:r>
        <w:rPr>
          <w:b/>
          <w:bCs/>
          <w:rFonts w:ascii="Times New Roman" w:cs="Times New Roman" w:eastAsia="Times New Roman" w:hAnsi="Times New Roman"/>
          <w:color w:val="000000"/>
          <w:sz w:val="20"/>
          <w:szCs w:val="20"/>
        </w:rPr>
        <w:t xml:space="preserve">A. Akuisisi dan Sumber Dataset</w:t>
      </w:r>
    </w:p>
    <w:p>
      <w:pPr>
        <w:spacing w:after="100" w:line="276"/>
        <w:jc w:val="both"/>
      </w:pPr>
      <w:r>
        <w:rPr>
          <w:rFonts w:ascii="Times New Roman" w:cs="Times New Roman" w:eastAsia="Times New Roman" w:hAnsi="Times New Roman"/>
          <w:color w:val="000000"/>
          <w:sz w:val="20"/>
          <w:szCs w:val="20"/>
        </w:rPr>
        <w:t xml:space="preserve">Dataset citra medis diperoleh dari berbagai sumber: (a) repository publik seperti NIH ChestX-ray14 (112.120 gambar X-ray dada), ISIC Archive (dermoskopi kulit), DRIVE (retina), dan TCGA (histopatologi); (b) dataset klinis institusional yang memerlukan persetujuan etik; dan (c) data sintetis yang dibangkitkan menggunakan Generative Adversarial Network (GAN) untuk augmentasi [9].</w:t>
      </w:r>
    </w:p>
    <w:p>
      <w:pPr>
        <w:spacing w:after="80" w:before="160"/>
        <w:jc w:val="both"/>
      </w:pPr>
      <w:r>
        <w:rPr>
          <w:b/>
          <w:bCs/>
          <w:rFonts w:ascii="Times New Roman" w:cs="Times New Roman" w:eastAsia="Times New Roman" w:hAnsi="Times New Roman"/>
          <w:color w:val="000000"/>
          <w:sz w:val="20"/>
          <w:szCs w:val="20"/>
        </w:rPr>
        <w:t xml:space="preserve">B. Preprocessing dan Augmentasi Data</w:t>
      </w:r>
    </w:p>
    <w:p>
      <w:pPr>
        <w:spacing w:after="100" w:line="276"/>
        <w:jc w:val="both"/>
      </w:pPr>
      <w:r>
        <w:rPr>
          <w:rFonts w:ascii="Times New Roman" w:cs="Times New Roman" w:eastAsia="Times New Roman" w:hAnsi="Times New Roman"/>
          <w:color w:val="000000"/>
          <w:sz w:val="20"/>
          <w:szCs w:val="20"/>
        </w:rPr>
        <w:t xml:space="preserve">Preprocessing mencakup: normalisasi intensitas piksel ke rentang [0,1] atau [-1,1]; histogram equalization untuk meningkatkan kontras; resizing ke dimensi seragam (umumnya 224×224 atau 512×512 piksel); dan augmentasi data (rotasi, flipping, zoom, elastic deformation) untuk meningkatkan variasi dan mencegah overfitting. Khusus untuk citra MRI, N4ITK bias field correction diterapkan untuk menghilangkan inhomogenitas medan magnet [10].</w:t>
      </w:r>
    </w:p>
    <w:p>
      <w:pPr>
        <w:spacing w:after="80" w:before="160"/>
        <w:jc w:val="both"/>
      </w:pPr>
      <w:r>
        <w:rPr>
          <w:b/>
          <w:bCs/>
          <w:rFonts w:ascii="Times New Roman" w:cs="Times New Roman" w:eastAsia="Times New Roman" w:hAnsi="Times New Roman"/>
          <w:color w:val="000000"/>
          <w:sz w:val="20"/>
          <w:szCs w:val="20"/>
        </w:rPr>
        <w:t xml:space="preserve">C. Arsitektur Deep Learning Utama</w:t>
      </w:r>
    </w:p>
    <w:p>
      <w:pPr>
        <w:spacing w:after="100" w:line="276"/>
        <w:jc w:val="both"/>
      </w:pPr>
      <w:r>
        <w:rPr>
          <w:rFonts w:ascii="Times New Roman" w:cs="Times New Roman" w:eastAsia="Times New Roman" w:hAnsi="Times New Roman"/>
          <w:color w:val="000000"/>
          <w:sz w:val="20"/>
          <w:szCs w:val="20"/>
        </w:rPr>
        <w:t xml:space="preserve">Tabel I merangkum arsitektur deep learning utama yang digunakan dalam analisis citra medis beserta karakteristik teknisnya:</w:t>
      </w:r>
    </w:p>
    <w:tbl>
      <w:tblPr>
        <w:tblW w:type="dxa" w:w="936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00"/>
        <w:gridCol w:w="2200"/>
        <w:gridCol w:w="2000"/>
        <w:gridCol w:w="3360"/>
      </w:tblGrid>
      <w:tr>
        <w:tc>
          <w:tcPr>
            <w:tcW w:type="dxa" w:w="1800"/>
            <w:tcBorders>
              <w:top w:val="none" w:sz="0" w:space="0" w:color="auto"/>
              <w:left w:val="none" w:sz="0" w:space="0" w:color="auto"/>
              <w:bottom w:val="none" w:sz="0" w:space="0" w:color="auto"/>
              <w:right w:val="none" w:sz="0" w:space="0" w:color="auto"/>
            </w:tcBorders>
            <w:tcMar>
              <w:top w:type="dxa" w:w="80"/>
              <w:left w:type="dxa" w:w="120"/>
              <w:bottom w:type="dxa" w:w="80"/>
              <w:right w:type="dxa" w:w="120"/>
            </w:tcMar>
          </w:tcPr>
          <w:p>
            <w:pPr>
              <w:jc w:val="both"/>
            </w:pPr>
            <w:r>
              <w:rPr>
                <w:rFonts w:ascii="Times New Roman" w:cs="Times New Roman" w:eastAsia="Times New Roman" w:hAnsi="Times New Roman"/>
                <w:color w:val="000000"/>
                <w:sz w:val="18"/>
                <w:szCs w:val="18"/>
              </w:rPr>
              <w:t xml:space="preserve">Arsitektur</w:t>
            </w:r>
          </w:p>
        </w:tc>
        <w:tc>
          <w:tcPr>
            <w:tcW w:type="dxa" w:w="2200"/>
            <w:tcBorders>
              <w:top w:val="none" w:sz="0" w:space="0" w:color="auto"/>
              <w:left w:val="none" w:sz="0" w:space="0" w:color="auto"/>
              <w:bottom w:val="none" w:sz="0" w:space="0" w:color="auto"/>
              <w:right w:val="none" w:sz="0" w:space="0" w:color="auto"/>
            </w:tcBorders>
            <w:tcMar>
              <w:top w:type="dxa" w:w="80"/>
              <w:left w:type="dxa" w:w="120"/>
              <w:bottom w:type="dxa" w:w="80"/>
              <w:right w:type="dxa" w:w="120"/>
            </w:tcMar>
          </w:tcPr>
          <w:p>
            <w:pPr>
              <w:jc w:val="both"/>
            </w:pPr>
            <w:r>
              <w:rPr>
                <w:rFonts w:ascii="Times New Roman" w:cs="Times New Roman" w:eastAsia="Times New Roman" w:hAnsi="Times New Roman"/>
                <w:color w:val="000000"/>
                <w:sz w:val="18"/>
                <w:szCs w:val="18"/>
              </w:rPr>
              <w:t xml:space="preserve">Tahun</w:t>
            </w:r>
          </w:p>
        </w:tc>
        <w:tc>
          <w:tcPr>
            <w:tcW w:type="dxa" w:w="2000"/>
            <w:tcBorders>
              <w:top w:val="none" w:sz="0" w:space="0" w:color="auto"/>
              <w:left w:val="none" w:sz="0" w:space="0" w:color="auto"/>
              <w:bottom w:val="none" w:sz="0" w:space="0" w:color="auto"/>
              <w:right w:val="none" w:sz="0" w:space="0" w:color="auto"/>
            </w:tcBorders>
            <w:tcMar>
              <w:top w:type="dxa" w:w="80"/>
              <w:left w:type="dxa" w:w="120"/>
              <w:bottom w:type="dxa" w:w="80"/>
              <w:right w:type="dxa" w:w="120"/>
            </w:tcMar>
          </w:tcPr>
          <w:p>
            <w:pPr>
              <w:jc w:val="both"/>
            </w:pPr>
            <w:r>
              <w:rPr>
                <w:rFonts w:ascii="Times New Roman" w:cs="Times New Roman" w:eastAsia="Times New Roman" w:hAnsi="Times New Roman"/>
                <w:color w:val="000000"/>
                <w:sz w:val="18"/>
                <w:szCs w:val="18"/>
              </w:rPr>
              <w:t xml:space="preserve">Parameter</w:t>
            </w:r>
          </w:p>
        </w:tc>
        <w:tc>
          <w:tcPr>
            <w:tcW w:type="dxa" w:w="3360"/>
            <w:tcBorders>
              <w:top w:val="none" w:sz="0" w:space="0" w:color="auto"/>
              <w:left w:val="none" w:sz="0" w:space="0" w:color="auto"/>
              <w:bottom w:val="none" w:sz="0" w:space="0" w:color="auto"/>
              <w:right w:val="none" w:sz="0" w:space="0" w:color="auto"/>
            </w:tcBorders>
            <w:tcMar>
              <w:top w:type="dxa" w:w="80"/>
              <w:left w:type="dxa" w:w="120"/>
              <w:bottom w:type="dxa" w:w="80"/>
              <w:right w:type="dxa" w:w="120"/>
            </w:tcMar>
          </w:tcPr>
          <w:p>
            <w:pPr>
              <w:jc w:val="both"/>
            </w:pPr>
            <w:r>
              <w:rPr>
                <w:rFonts w:ascii="Times New Roman" w:cs="Times New Roman" w:eastAsia="Times New Roman" w:hAnsi="Times New Roman"/>
                <w:color w:val="000000"/>
                <w:sz w:val="18"/>
                <w:szCs w:val="18"/>
              </w:rPr>
              <w:t xml:space="preserve">Keunggulan Utama</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VGGNet-16/19</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2014</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138M / 143M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Arsitektur simpel, akurasi tinggi, mudah diimplementasi</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ResNet-50/101</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2016</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25M / 44M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Residual connection, training stabil pada jaringan dalam</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DenseNet-121</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2017</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8M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Dense connection, efisien parameter, baik untuk X-ray</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U-Net</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2015</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31M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Encoder-decoder, segmentasi presisi, cocok data terbatas</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EfficientNet-B4</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2019</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19M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Compound scaling, akurasi tinggi, komputasi efisien</w:t>
            </w:r>
          </w:p>
        </w:tc>
      </w:tr>
      <w:tr>
        <w:tc>
          <w:tcPr>
            <w:tcW w:type="dxa" w:w="18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Vision Transformer</w:t>
            </w:r>
          </w:p>
        </w:tc>
        <w:tc>
          <w:tcPr>
            <w:tcW w:type="dxa" w:w="22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2020</w:t>
            </w:r>
          </w:p>
        </w:tc>
        <w:tc>
          <w:tcPr>
            <w:tcW w:type="dxa" w:w="200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86M</w:t>
            </w:r>
          </w:p>
        </w:tc>
        <w:tc>
          <w:tcPr>
            <w:tcW w:type="dxa" w:w="3360"/>
            <w:tcBorders>
              <w:top w:val="none" w:sz="0" w:space="0" w:color="auto"/>
              <w:left w:val="none" w:sz="0" w:space="0" w:color="auto"/>
              <w:bottom w:val="none" w:sz="0" w:space="0" w:color="auto"/>
              <w:right w:val="none" w:sz="0" w:space="0" w:color="auto"/>
            </w:tcBorders>
            <w:tcMar>
              <w:top w:type="dxa" w:w="60"/>
              <w:left w:type="dxa" w:w="120"/>
              <w:bottom w:type="dxa" w:w="60"/>
              <w:right w:type="dxa" w:w="120"/>
            </w:tcMar>
          </w:tcPr>
          <w:p>
            <w:pPr>
              <w:jc w:val="both"/>
            </w:pPr>
            <w:r>
              <w:rPr>
                <w:rFonts w:ascii="Times New Roman" w:cs="Times New Roman" w:eastAsia="Times New Roman" w:hAnsi="Times New Roman"/>
                <w:color w:val="000000"/>
                <w:sz w:val="18"/>
                <w:szCs w:val="18"/>
              </w:rPr>
              <w:t xml:space="preserve">Attention mechanism, performa unggul dataset besar</w:t>
            </w:r>
          </w:p>
        </w:tc>
      </w:tr>
    </w:tbl>
    <w:p>
      <w:pPr>
        <w:spacing w:after="160" w:before="80"/>
        <w:jc w:val="both"/>
      </w:pPr>
      <w:r>
        <w:rPr>
          <w:rFonts w:ascii="Times New Roman" w:cs="Times New Roman" w:eastAsia="Times New Roman" w:hAnsi="Times New Roman"/>
          <w:color w:val="000000"/>
          <w:sz w:val="18"/>
          <w:szCs w:val="18"/>
        </w:rPr>
        <w:t xml:space="preserve">Tabel I. Perbandingan Arsitektur Deep Learning untuk Analisis Citra Medis</w:t>
      </w:r>
    </w:p>
    <w:p>
      <w:pPr>
        <w:spacing w:after="80" w:before="160"/>
        <w:jc w:val="both"/>
      </w:pPr>
      <w:r>
        <w:rPr>
          <w:b/>
          <w:bCs/>
          <w:rFonts w:ascii="Times New Roman" w:cs="Times New Roman" w:eastAsia="Times New Roman" w:hAnsi="Times New Roman"/>
          <w:color w:val="000000"/>
          <w:sz w:val="20"/>
          <w:szCs w:val="20"/>
        </w:rPr>
        <w:t xml:space="preserve">D. Transfer Learning dan Fine-Tuning</w:t>
      </w:r>
    </w:p>
    <w:p>
      <w:pPr>
        <w:spacing w:after="100" w:line="276"/>
        <w:jc w:val="both"/>
      </w:pPr>
      <w:r>
        <w:rPr>
          <w:rFonts w:ascii="Times New Roman" w:cs="Times New Roman" w:eastAsia="Times New Roman" w:hAnsi="Times New Roman"/>
          <w:color w:val="000000"/>
          <w:sz w:val="20"/>
          <w:szCs w:val="20"/>
        </w:rPr>
        <w:t xml:space="preserve">Transfer learning adalah teknik menggunakan bobot model yang telah dilatih pada dataset besar (umumnya ImageNet dengan 1,2 juta gambar dan 1.000 kelas) sebagai titik awal untuk melatih model pada domain target. Terdapat dua strategi utama: (1) Feature extraction: layer konvolusi dibekukan (frozen), hanya classifier head yang dilatih ulang; (2) Fine-tuning: semua layer atau sebagian besar layer dilatih ulang dengan learning rate sangat kecil (1e-5 hingga 1e-4) [11].</w:t>
      </w:r>
    </w:p>
    <w:p>
      <w:pPr>
        <w:spacing w:after="100" w:line="276"/>
        <w:jc w:val="both"/>
      </w:pPr>
      <w:r>
        <w:rPr>
          <w:rFonts w:ascii="Times New Roman" w:cs="Times New Roman" w:eastAsia="Times New Roman" w:hAnsi="Times New Roman"/>
          <w:color w:val="000000"/>
          <w:sz w:val="20"/>
          <w:szCs w:val="20"/>
        </w:rPr>
        <w:t xml:space="preserve">Penelitian Raghu et al. (2019) mengungkapkan fenomena menarik bahwa representasi internal model yang dilatih pada citra medis sangat berbeda dari ImageNet, sehingga fine-tuning menyeluruh sering menghasilkan performa lebih baik dibandingkan sekadar feature extraction untuk domain medis yang sangat spesifik.</w:t>
      </w:r>
    </w:p>
    <w:p>
      <w:pPr>
        <w:spacing w:after="120" w:before="240"/>
        <w:jc w:val="both"/>
      </w:pPr>
      <w:r>
        <w:rPr>
          <w:b/>
          <w:bCs/>
          <w:rFonts w:ascii="Times New Roman" w:cs="Times New Roman" w:eastAsia="Times New Roman" w:hAnsi="Times New Roman"/>
          <w:color w:val="000000"/>
          <w:sz w:val="22"/>
          <w:szCs w:val="22"/>
        </w:rPr>
        <w:t xml:space="preserve">IV. STUDI KASUS PENERAPAN KLINIS</w:t>
      </w:r>
    </w:p>
    <w:p>
      <w:pPr>
        <w:spacing w:after="100" w:line="276"/>
        <w:jc w:val="both"/>
      </w:pPr>
      <w:r>
        <w:rPr>
          <w:rFonts w:ascii="Times New Roman" w:cs="Times New Roman" w:eastAsia="Times New Roman" w:hAnsi="Times New Roman"/>
          <w:color w:val="000000"/>
          <w:sz w:val="20"/>
          <w:szCs w:val="20"/>
        </w:rPr>
        <w:t xml:space="preserve">Berikut kami paparkan empat studi kasus penerapan deep learning pada analisis citra medis yang telah terbukti secara klinis:</w:t>
      </w:r>
    </w:p>
    <w:p>
      <w:pPr>
        <w:spacing w:after="80" w:before="160"/>
        <w:jc w:val="both"/>
      </w:pPr>
      <w:r>
        <w:rPr>
          <w:b/>
          <w:bCs/>
          <w:rFonts w:ascii="Times New Roman" w:cs="Times New Roman" w:eastAsia="Times New Roman" w:hAnsi="Times New Roman"/>
          <w:color w:val="000000"/>
          <w:sz w:val="20"/>
          <w:szCs w:val="20"/>
        </w:rPr>
        <w:t xml:space="preserve">A. Deteksi Pneumonia dari X-Ray Dada (CheXNet)</w:t>
      </w:r>
    </w:p>
    <w:p>
      <w:pPr>
        <w:spacing w:after="100" w:line="276"/>
        <w:jc w:val="both"/>
      </w:pPr>
      <w:r>
        <w:rPr>
          <w:rFonts w:ascii="Times New Roman" w:cs="Times New Roman" w:eastAsia="Times New Roman" w:hAnsi="Times New Roman"/>
          <w:color w:val="000000"/>
          <w:sz w:val="20"/>
          <w:szCs w:val="20"/>
        </w:rPr>
        <w:t xml:space="preserve">Chexnet (Rajpurkar et al., 2017) menggunakan DenseNet-121 yang dilatih pada dataset NIH ChestX-ray14 untuk mendeteksi 14 patologi paru-paru dari citra X-ray dada. Model ini mencapai AUC rata-rata 0,841 dan pada deteksi pneumonia (AUC 0,768) melampaui performa rata-rata 4 radiologis (AUC 0,690). Arsitektur DenseNet dipilih karena efisiensi parameternya dan kemampuan re-use fitur antar layer yang sangat baik untuk dataset medis [4].</w:t>
      </w:r>
    </w:p>
    <w:p>
      <w:pPr>
        <w:spacing w:after="100" w:line="276"/>
        <w:jc w:val="both"/>
      </w:pPr>
      <w:r>
        <w:rPr>
          <w:rFonts w:ascii="Times New Roman" w:cs="Times New Roman" w:eastAsia="Times New Roman" w:hAnsi="Times New Roman"/>
          <w:color w:val="000000"/>
          <w:sz w:val="20"/>
          <w:szCs w:val="20"/>
        </w:rPr>
        <w:t xml:space="preserve">Implementasi teknis: input berupa citra grayscale 1024×1024 piksel yang di-resize ke 224×224, augmentasi dengan horizontal flipping dan random cropping, optimasi menggunakan Adam dengan learning rate 0,001, dan class imbalance ditangani dengan weighted loss function.</w:t>
      </w:r>
    </w:p>
    <w:p>
      <w:pPr>
        <w:spacing w:after="80" w:before="160"/>
        <w:jc w:val="both"/>
      </w:pPr>
      <w:r>
        <w:rPr>
          <w:b/>
          <w:bCs/>
          <w:rFonts w:ascii="Times New Roman" w:cs="Times New Roman" w:eastAsia="Times New Roman" w:hAnsi="Times New Roman"/>
          <w:color w:val="000000"/>
          <w:sz w:val="20"/>
          <w:szCs w:val="20"/>
        </w:rPr>
        <w:t xml:space="preserve">B. Klasifikasi Kanker Kulit dari Dermoskopi</w:t>
      </w:r>
    </w:p>
    <w:p>
      <w:pPr>
        <w:spacing w:after="100" w:line="276"/>
        <w:jc w:val="both"/>
      </w:pPr>
      <w:r>
        <w:rPr>
          <w:rFonts w:ascii="Times New Roman" w:cs="Times New Roman" w:eastAsia="Times New Roman" w:hAnsi="Times New Roman"/>
          <w:color w:val="000000"/>
          <w:sz w:val="20"/>
          <w:szCs w:val="20"/>
        </w:rPr>
        <w:t xml:space="preserve">Esteva et al. (2017) mempublikasikan hasil luar biasa menggunakan Inception-v3 yang dilatih pada 129.450 gambar dermoskopi untuk mengklasifikasikan kanker kulit menjadi 3 kategori. Model mencapai AUC 0,96 untuk melanoma dan 0,96 untuk karsinoma sel skuamosa, melampaui performa 21 dermatologis bersertifikat dalam uji klinis terkontrol [5].</w:t>
      </w:r>
    </w:p>
    <w:p>
      <w:pPr>
        <w:spacing w:after="80" w:before="160"/>
        <w:jc w:val="both"/>
      </w:pPr>
      <w:r>
        <w:rPr>
          <w:b/>
          <w:bCs/>
          <w:rFonts w:ascii="Times New Roman" w:cs="Times New Roman" w:eastAsia="Times New Roman" w:hAnsi="Times New Roman"/>
          <w:color w:val="000000"/>
          <w:sz w:val="20"/>
          <w:szCs w:val="20"/>
        </w:rPr>
        <w:t xml:space="preserve">C. Segmentasi Tumor Otak dengan U-Net</w:t>
      </w:r>
    </w:p>
    <w:p>
      <w:pPr>
        <w:spacing w:after="100" w:line="276"/>
        <w:jc w:val="both"/>
      </w:pPr>
      <w:r>
        <w:rPr>
          <w:rFonts w:ascii="Times New Roman" w:cs="Times New Roman" w:eastAsia="Times New Roman" w:hAnsi="Times New Roman"/>
          <w:color w:val="000000"/>
          <w:sz w:val="20"/>
          <w:szCs w:val="20"/>
        </w:rPr>
        <w:t xml:space="preserve">U-Net pertama kali divalidasi pada segmentasi sel neuron dari citra elektron mikroskopi (EM). Dalam perkembangannya, U-Net dan variannya (Attention U-Net, U-Net++) diaplikasikan luas untuk: segmentasi tumor otak pada MRI (dataset BraTS), segmentasi lesi hati pada CT scan, segmentasi retinal layers pada OCT, dan delineasi organ-at-risk pada radioterapi. Model Attention U-Net mencapai Dice score 0,889 pada segmentasi tumor otak multi-kelas [6].</w:t>
      </w:r>
    </w:p>
    <w:p>
      <w:pPr>
        <w:spacing w:after="80" w:before="160"/>
        <w:jc w:val="both"/>
      </w:pPr>
      <w:r>
        <w:rPr>
          <w:b/>
          <w:bCs/>
          <w:rFonts w:ascii="Times New Roman" w:cs="Times New Roman" w:eastAsia="Times New Roman" w:hAnsi="Times New Roman"/>
          <w:color w:val="000000"/>
          <w:sz w:val="20"/>
          <w:szCs w:val="20"/>
        </w:rPr>
        <w:t xml:space="preserve">D. Retinopati Diabetik – Sistem FDA-Approved</w:t>
      </w:r>
    </w:p>
    <w:p>
      <w:pPr>
        <w:spacing w:after="100" w:line="276"/>
        <w:jc w:val="both"/>
      </w:pPr>
      <w:r>
        <w:rPr>
          <w:rFonts w:ascii="Times New Roman" w:cs="Times New Roman" w:eastAsia="Times New Roman" w:hAnsi="Times New Roman"/>
          <w:color w:val="000000"/>
          <w:sz w:val="20"/>
          <w:szCs w:val="20"/>
        </w:rPr>
        <w:t xml:space="preserve">Sistem AI Google untuk deteksi retinopati diabetik (Gulshan et al., 2016) menggunakan ensemble CNN yang dilatih pada 128.175 gambar fundus berlabel. Sistem mencapai sensitivitas 90,3% dan spesifisitas 98,1% untuk deteksi retinopati diabetik tahap referable—melampaui batas klinis yang dipersyaratkan. Sistem ini kini telah mendapat persetujuan FDA dan diimplementasikan di klinik nyata di India dan Thailand [7].</w:t>
      </w:r>
    </w:p>
    <w:p>
      <w:pPr>
        <w:spacing w:after="120" w:before="240"/>
        <w:jc w:val="both"/>
      </w:pPr>
      <w:r>
        <w:rPr>
          <w:b/>
          <w:bCs/>
          <w:rFonts w:ascii="Times New Roman" w:cs="Times New Roman" w:eastAsia="Times New Roman" w:hAnsi="Times New Roman"/>
          <w:color w:val="000000"/>
          <w:sz w:val="22"/>
          <w:szCs w:val="22"/>
        </w:rPr>
        <w:t xml:space="preserve">V. TANTANGAN DAN SOLUSI TEKNIS</w:t>
      </w:r>
    </w:p>
    <w:p>
      <w:pPr>
        <w:spacing w:after="100" w:line="276"/>
        <w:jc w:val="both"/>
      </w:pPr>
      <w:r>
        <w:rPr>
          <w:rFonts w:ascii="Times New Roman" w:cs="Times New Roman" w:eastAsia="Times New Roman" w:hAnsi="Times New Roman"/>
          <w:color w:val="000000"/>
          <w:sz w:val="20"/>
          <w:szCs w:val="20"/>
        </w:rPr>
        <w:t xml:space="preserve">Meskipun kemajuan signifikan telah dicapai, penerapan deep learning dalam analisis citra medis masih menghadapi sejumlah tantangan fundamental:</w:t>
      </w:r>
    </w:p>
    <w:p>
      <w:pPr>
        <w:spacing w:after="100" w:line="276"/>
        <w:jc w:val="both"/>
      </w:pPr>
      <w:r>
        <w:rPr>
          <w:b/>
          <w:bCs/>
          <w:rFonts w:ascii="Times New Roman" w:cs="Times New Roman" w:eastAsia="Times New Roman" w:hAnsi="Times New Roman"/>
          <w:color w:val="000000"/>
          <w:sz w:val="20"/>
          <w:szCs w:val="20"/>
        </w:rPr>
        <w:t xml:space="preserve">1. Keterbatasan Data Berlabel: </w:t>
      </w:r>
      <w:r>
        <w:rPr>
          <w:rFonts w:ascii="Times New Roman" w:cs="Times New Roman" w:eastAsia="Times New Roman" w:hAnsi="Times New Roman"/>
          <w:color w:val="000000"/>
          <w:sz w:val="20"/>
          <w:szCs w:val="20"/>
        </w:rPr>
        <w:t xml:space="preserve">Anotasi citra medis memerlukan pakar klinis (radiologis, patologis) yang langka dan mahal. Dataset publik terbesar sekalnya masih jauh di bawah ImageNet. Solusi yang dikembangkan mencakup: semi-supervised learning, self-supervised learning (SimCLR, MoCo), weakly supervised learning menggunakan label tingkat gambar, dan federated learning untuk kolaborasi antar institusi tanpa berbagi data raw [8].</w:t>
      </w:r>
    </w:p>
    <w:p>
      <w:pPr>
        <w:spacing w:after="100" w:line="276"/>
        <w:jc w:val="both"/>
      </w:pPr>
      <w:r>
        <w:rPr>
          <w:b/>
          <w:bCs/>
          <w:rFonts w:ascii="Times New Roman" w:cs="Times New Roman" w:eastAsia="Times New Roman" w:hAnsi="Times New Roman"/>
          <w:color w:val="000000"/>
          <w:sz w:val="20"/>
          <w:szCs w:val="20"/>
        </w:rPr>
        <w:t xml:space="preserve">2. Domain Shift: </w:t>
      </w:r>
      <w:r>
        <w:rPr>
          <w:rFonts w:ascii="Times New Roman" w:cs="Times New Roman" w:eastAsia="Times New Roman" w:hAnsi="Times New Roman"/>
          <w:color w:val="000000"/>
          <w:sz w:val="20"/>
          <w:szCs w:val="20"/>
        </w:rPr>
        <w:t xml:space="preserve">Model yang dilatih pada dataset satu institusi sering mengalami penurunan performa signifikan ketika diaplikasikan pada data dari institusi lain akibat perbedaan protokol akuisisi, jenis scanner, dan populasi pasien. Domain adaptation techniques seperti adversarial training dan batch normalization adaptation digunakan untuk mengatasi masalah ini [9].</w:t>
      </w:r>
    </w:p>
    <w:p>
      <w:pPr>
        <w:spacing w:after="100" w:line="276"/>
        <w:jc w:val="both"/>
      </w:pPr>
      <w:r>
        <w:rPr>
          <w:b/>
          <w:bCs/>
          <w:rFonts w:ascii="Times New Roman" w:cs="Times New Roman" w:eastAsia="Times New Roman" w:hAnsi="Times New Roman"/>
          <w:color w:val="000000"/>
          <w:sz w:val="20"/>
          <w:szCs w:val="20"/>
        </w:rPr>
        <w:t xml:space="preserve">3. Class Imbalance: </w:t>
      </w:r>
      <w:r>
        <w:rPr>
          <w:rFonts w:ascii="Times New Roman" w:cs="Times New Roman" w:eastAsia="Times New Roman" w:hAnsi="Times New Roman"/>
          <w:color w:val="000000"/>
          <w:sz w:val="20"/>
          <w:szCs w:val="20"/>
        </w:rPr>
        <w:t xml:space="preserve">Kasus penyakit langka jauh lebih sedikit dibanding kasus normal dalam dataset klinis. Teknik oversampling (SMOTE), undersampling, focal loss, dan generasi data sintetis menggunakan GAN digunakan untuk menangani ketidakseimbangan kelas [10].</w:t>
      </w:r>
    </w:p>
    <w:p>
      <w:pPr>
        <w:spacing w:after="100" w:line="276"/>
        <w:jc w:val="both"/>
      </w:pPr>
      <w:r>
        <w:rPr>
          <w:b/>
          <w:bCs/>
          <w:rFonts w:ascii="Times New Roman" w:cs="Times New Roman" w:eastAsia="Times New Roman" w:hAnsi="Times New Roman"/>
          <w:color w:val="000000"/>
          <w:sz w:val="20"/>
          <w:szCs w:val="20"/>
        </w:rPr>
        <w:t xml:space="preserve">4. Interpretabilitas: </w:t>
      </w:r>
      <w:r>
        <w:rPr>
          <w:rFonts w:ascii="Times New Roman" w:cs="Times New Roman" w:eastAsia="Times New Roman" w:hAnsi="Times New Roman"/>
          <w:color w:val="000000"/>
          <w:sz w:val="20"/>
          <w:szCs w:val="20"/>
        </w:rPr>
        <w:t xml:space="preserve">Deep learning sering dipandang sebagai 'black box' yang sulit diinterpretasikan oleh klinisi. Explainable AI (XAI) menjadi krusial untuk adopsi klinis. Teknik seperti Grad-CAM menghasilkan heatmap saliency yang menunjukkan region citra yang paling berkontribusi pada prediksi model [11].</w:t>
      </w:r>
    </w:p>
    <w:p>
      <w:pPr>
        <w:spacing w:after="100" w:line="276"/>
        <w:jc w:val="both"/>
      </w:pPr>
      <w:r>
        <w:rPr>
          <w:b/>
          <w:bCs/>
          <w:rFonts w:ascii="Times New Roman" w:cs="Times New Roman" w:eastAsia="Times New Roman" w:hAnsi="Times New Roman"/>
          <w:color w:val="000000"/>
          <w:sz w:val="20"/>
          <w:szCs w:val="20"/>
        </w:rPr>
        <w:t xml:space="preserve">5. Regulasi dan Validasi Klinis: </w:t>
      </w:r>
      <w:r>
        <w:rPr>
          <w:rFonts w:ascii="Times New Roman" w:cs="Times New Roman" w:eastAsia="Times New Roman" w:hAnsi="Times New Roman"/>
          <w:color w:val="000000"/>
          <w:sz w:val="20"/>
          <w:szCs w:val="20"/>
        </w:rPr>
        <w:t xml:space="preserve">Persetujuan regulasi (FDA, CE Mark) memerlukan bukti klinis yang ketat melalui randomized controlled trial. Aspek keamanan pasien, reproducibility, dan bias algorithmic menjadi perhatian utama [12].</w:t>
      </w:r>
    </w:p>
    <w:p>
      <w:pPr>
        <w:spacing w:after="120" w:before="240"/>
        <w:jc w:val="both"/>
      </w:pPr>
      <w:r>
        <w:rPr>
          <w:b/>
          <w:bCs/>
          <w:rFonts w:ascii="Times New Roman" w:cs="Times New Roman" w:eastAsia="Times New Roman" w:hAnsi="Times New Roman"/>
          <w:color w:val="000000"/>
          <w:sz w:val="22"/>
          <w:szCs w:val="22"/>
        </w:rPr>
        <w:t xml:space="preserve">VI. EXPLAINABLE AI DALAM ANALISIS CITRA MEDIS</w:t>
      </w:r>
    </w:p>
    <w:p>
      <w:pPr>
        <w:spacing w:after="100" w:line="276"/>
        <w:jc w:val="both"/>
      </w:pPr>
      <w:r>
        <w:rPr>
          <w:rFonts w:ascii="Times New Roman" w:cs="Times New Roman" w:eastAsia="Times New Roman" w:hAnsi="Times New Roman"/>
          <w:color w:val="000000"/>
          <w:sz w:val="20"/>
          <w:szCs w:val="20"/>
        </w:rPr>
        <w:t xml:space="preserve">Explainable AI (XAI) menjadi komponen kritis dalam medical imaging untuk membangun kepercayaan klinisi dan memastikan model tidak mengambil keputusan berdasarkan artefak atau confounding factor yang tidak relevan secara medis.</w:t>
      </w:r>
    </w:p>
    <w:p>
      <w:pPr>
        <w:spacing w:after="100" w:line="276"/>
        <w:jc w:val="both"/>
      </w:pPr>
      <w:r>
        <w:rPr>
          <w:rFonts w:ascii="Times New Roman" w:cs="Times New Roman" w:eastAsia="Times New Roman" w:hAnsi="Times New Roman"/>
          <w:color w:val="000000"/>
          <w:sz w:val="20"/>
          <w:szCs w:val="20"/>
        </w:rPr>
        <w:t xml:space="preserve">Grad-CAM (Gradient-weighted Class Activation Mapping): </w:t>
      </w:r>
      <w:r>
        <w:rPr>
          <w:rFonts w:ascii="Times New Roman" w:cs="Times New Roman" w:eastAsia="Times New Roman" w:hAnsi="Times New Roman"/>
          <w:color w:val="000000"/>
          <w:sz w:val="20"/>
          <w:szCs w:val="20"/>
        </w:rPr>
        <w:t xml:space="preserve">Menghasilkan class-discriminative localization map menggunakan gradien yang mengalir ke layer konvolusi terakhir. Untuk klasifikasi pneumonia, Grad-CAM menunjukkan bahwa model berfokus pada region infiltrat paru yang relevan secara klinis, bukan pada artefak seperti pacemaker atau tulang costae [13].</w:t>
      </w:r>
    </w:p>
    <w:p>
      <w:pPr>
        <w:spacing w:after="100" w:line="276"/>
        <w:jc w:val="both"/>
      </w:pPr>
      <w:r>
        <w:rPr>
          <w:rFonts w:ascii="Times New Roman" w:cs="Times New Roman" w:eastAsia="Times New Roman" w:hAnsi="Times New Roman"/>
          <w:color w:val="000000"/>
          <w:sz w:val="20"/>
          <w:szCs w:val="20"/>
        </w:rPr>
        <w:t xml:space="preserve">SHAP (SHapley Additive exPlanations): </w:t>
      </w:r>
      <w:r>
        <w:rPr>
          <w:rFonts w:ascii="Times New Roman" w:cs="Times New Roman" w:eastAsia="Times New Roman" w:hAnsi="Times New Roman"/>
          <w:color w:val="000000"/>
          <w:sz w:val="20"/>
          <w:szCs w:val="20"/>
        </w:rPr>
        <w:t xml:space="preserve">Menghitung kontribusi setiap piksel/fitur terhadap prediksi model berdasarkan teori game Shapley. SHAP memberikan interpretasi yang lebih konsisten secara matematis dibandingkan metode gradient-based.</w:t>
      </w:r>
    </w:p>
    <w:p>
      <w:pPr>
        <w:spacing w:after="100" w:line="276"/>
        <w:jc w:val="both"/>
      </w:pPr>
      <w:r>
        <w:rPr>
          <w:rFonts w:ascii="Times New Roman" w:cs="Times New Roman" w:eastAsia="Times New Roman" w:hAnsi="Times New Roman"/>
          <w:color w:val="000000"/>
          <w:sz w:val="20"/>
          <w:szCs w:val="20"/>
        </w:rPr>
        <w:t xml:space="preserve">Attention Visualization: </w:t>
      </w:r>
      <w:r>
        <w:rPr>
          <w:rFonts w:ascii="Times New Roman" w:cs="Times New Roman" w:eastAsia="Times New Roman" w:hAnsi="Times New Roman"/>
          <w:color w:val="000000"/>
          <w:sz w:val="20"/>
          <w:szCs w:val="20"/>
        </w:rPr>
        <w:t xml:space="preserve">Pada model berbasis Transformer, attention weights dapat divisualisasikan untuk menunjukkan bagian citra yang mendapat perhatian terbesar dari model. Penelitian menunjukkan bahwa attention heads pada ViT yang dilatih pada citra medis secara spontan belajar untuk memfokuskan perhatian pada lesi dan struktur anatomis yang relevan [14].</w:t>
      </w:r>
    </w:p>
    <w:p>
      <w:pPr>
        <w:spacing w:after="120" w:before="240"/>
        <w:jc w:val="both"/>
      </w:pPr>
      <w:r>
        <w:rPr>
          <w:b/>
          <w:bCs/>
          <w:rFonts w:ascii="Times New Roman" w:cs="Times New Roman" w:eastAsia="Times New Roman" w:hAnsi="Times New Roman"/>
          <w:color w:val="000000"/>
          <w:sz w:val="22"/>
          <w:szCs w:val="22"/>
        </w:rPr>
        <w:t xml:space="preserve">VII. HASIL DAN PEMBAHASAN</w:t>
      </w:r>
    </w:p>
    <w:p>
      <w:pPr>
        <w:spacing w:after="100" w:line="276"/>
        <w:jc w:val="both"/>
      </w:pPr>
      <w:r>
        <w:rPr>
          <w:rFonts w:ascii="Times New Roman" w:cs="Times New Roman" w:eastAsia="Times New Roman" w:hAnsi="Times New Roman"/>
          <w:color w:val="000000"/>
          <w:sz w:val="20"/>
          <w:szCs w:val="20"/>
        </w:rPr>
        <w:t xml:space="preserve">Berdasarkan tinjauan literatur yang dilakukan, berikut kami rangkum perbandingan performa berbagai model deep learning pada dataset benchmark standar:</w:t>
      </w:r>
    </w:p>
    <w:tbl>
      <w:tblPr>
        <w:tblW w:type="dxa" w:w="936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200"/>
        <w:gridCol w:w="2000"/>
        <w:gridCol w:w="1800"/>
        <w:gridCol w:w="1880"/>
        <w:gridCol w:w="1480"/>
      </w:tblGrid>
      <w:tr>
        <w:tc>
          <w:tcPr>
            <w:tcW w:type="dxa" w:w="2200"/>
            <w:tcBorders>
              <w:top w:val="none" w:sz="0" w:space="0" w:color="auto"/>
              <w:left w:val="none" w:sz="0" w:space="0" w:color="auto"/>
              <w:bottom w:val="none" w:sz="0" w:space="0" w:color="auto"/>
              <w:right w:val="none" w:sz="0" w:space="0" w:color="auto"/>
            </w:tcBorders>
            <w:tcMar>
              <w:top w:type="dxa" w:w="80"/>
              <w:left w:type="dxa" w:w="100"/>
              <w:bottom w:type="dxa" w:w="80"/>
              <w:right w:type="dxa" w:w="100"/>
            </w:tcMar>
          </w:tcPr>
          <w:p>
            <w:pPr>
              <w:jc w:val="both"/>
            </w:pPr>
            <w:r>
              <w:rPr>
                <w:rFonts w:ascii="Times New Roman" w:cs="Times New Roman" w:eastAsia="Times New Roman" w:hAnsi="Times New Roman"/>
                <w:color w:val="000000"/>
                <w:sz w:val="18"/>
                <w:szCs w:val="18"/>
              </w:rPr>
              <w:t xml:space="preserve">Dataset / Task</w:t>
            </w:r>
          </w:p>
        </w:tc>
        <w:tc>
          <w:tcPr>
            <w:tcW w:type="dxa" w:w="2000"/>
            <w:tcBorders>
              <w:top w:val="none" w:sz="0" w:space="0" w:color="auto"/>
              <w:left w:val="none" w:sz="0" w:space="0" w:color="auto"/>
              <w:bottom w:val="none" w:sz="0" w:space="0" w:color="auto"/>
              <w:right w:val="none" w:sz="0" w:space="0" w:color="auto"/>
            </w:tcBorders>
            <w:tcMar>
              <w:top w:type="dxa" w:w="80"/>
              <w:left w:type="dxa" w:w="100"/>
              <w:bottom w:type="dxa" w:w="80"/>
              <w:right w:type="dxa" w:w="100"/>
            </w:tcMar>
          </w:tcPr>
          <w:p>
            <w:pPr>
              <w:jc w:val="both"/>
            </w:pPr>
            <w:r>
              <w:rPr>
                <w:rFonts w:ascii="Times New Roman" w:cs="Times New Roman" w:eastAsia="Times New Roman" w:hAnsi="Times New Roman"/>
                <w:color w:val="000000"/>
                <w:sz w:val="18"/>
                <w:szCs w:val="18"/>
              </w:rPr>
              <w:t xml:space="preserve">Model Terbaik</w:t>
            </w:r>
          </w:p>
        </w:tc>
        <w:tc>
          <w:tcPr>
            <w:tcW w:type="dxa" w:w="1800"/>
            <w:tcBorders>
              <w:top w:val="none" w:sz="0" w:space="0" w:color="auto"/>
              <w:left w:val="none" w:sz="0" w:space="0" w:color="auto"/>
              <w:bottom w:val="none" w:sz="0" w:space="0" w:color="auto"/>
              <w:right w:val="none" w:sz="0" w:space="0" w:color="auto"/>
            </w:tcBorders>
            <w:tcMar>
              <w:top w:type="dxa" w:w="80"/>
              <w:left w:type="dxa" w:w="100"/>
              <w:bottom w:type="dxa" w:w="80"/>
              <w:right w:type="dxa" w:w="100"/>
            </w:tcMar>
          </w:tcPr>
          <w:p>
            <w:pPr>
              <w:jc w:val="both"/>
            </w:pPr>
            <w:r>
              <w:rPr>
                <w:rFonts w:ascii="Times New Roman" w:cs="Times New Roman" w:eastAsia="Times New Roman" w:hAnsi="Times New Roman"/>
                <w:color w:val="000000"/>
                <w:sz w:val="18"/>
                <w:szCs w:val="18"/>
              </w:rPr>
              <w:t xml:space="preserve">Akurasi (%)</w:t>
            </w:r>
          </w:p>
        </w:tc>
        <w:tc>
          <w:tcPr>
            <w:tcW w:type="dxa" w:w="1880"/>
            <w:tcBorders>
              <w:top w:val="none" w:sz="0" w:space="0" w:color="auto"/>
              <w:left w:val="none" w:sz="0" w:space="0" w:color="auto"/>
              <w:bottom w:val="none" w:sz="0" w:space="0" w:color="auto"/>
              <w:right w:val="none" w:sz="0" w:space="0" w:color="auto"/>
            </w:tcBorders>
            <w:tcMar>
              <w:top w:type="dxa" w:w="80"/>
              <w:left w:type="dxa" w:w="100"/>
              <w:bottom w:type="dxa" w:w="80"/>
              <w:right w:type="dxa" w:w="100"/>
            </w:tcMar>
          </w:tcPr>
          <w:p>
            <w:pPr>
              <w:jc w:val="both"/>
            </w:pPr>
            <w:r>
              <w:rPr>
                <w:rFonts w:ascii="Times New Roman" w:cs="Times New Roman" w:eastAsia="Times New Roman" w:hAnsi="Times New Roman"/>
                <w:color w:val="000000"/>
                <w:sz w:val="18"/>
                <w:szCs w:val="18"/>
              </w:rPr>
              <w:t xml:space="preserve">AUC</w:t>
            </w:r>
          </w:p>
        </w:tc>
        <w:tc>
          <w:tcPr>
            <w:tcW w:type="dxa" w:w="1480"/>
            <w:tcBorders>
              <w:top w:val="none" w:sz="0" w:space="0" w:color="auto"/>
              <w:left w:val="none" w:sz="0" w:space="0" w:color="auto"/>
              <w:bottom w:val="none" w:sz="0" w:space="0" w:color="auto"/>
              <w:right w:val="none" w:sz="0" w:space="0" w:color="auto"/>
            </w:tcBorders>
            <w:tcMar>
              <w:top w:type="dxa" w:w="80"/>
              <w:left w:type="dxa" w:w="100"/>
              <w:bottom w:type="dxa" w:w="80"/>
              <w:right w:type="dxa" w:w="100"/>
            </w:tcMar>
          </w:tcPr>
          <w:p>
            <w:pPr>
              <w:jc w:val="both"/>
            </w:pPr>
            <w:r>
              <w:rPr>
                <w:rFonts w:ascii="Times New Roman" w:cs="Times New Roman" w:eastAsia="Times New Roman" w:hAnsi="Times New Roman"/>
                <w:color w:val="000000"/>
                <w:sz w:val="18"/>
                <w:szCs w:val="18"/>
              </w:rPr>
              <w:t xml:space="preserve">Referensi</w:t>
            </w:r>
          </w:p>
        </w:tc>
      </w:tr>
      <w:tr>
        <w:tc>
          <w:tcPr>
            <w:tcW w:type="dxa" w:w="22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NIH ChestX-ray14 (Pneumonia)</w:t>
            </w:r>
          </w:p>
        </w:tc>
        <w:tc>
          <w:tcPr>
            <w:tcW w:type="dxa" w:w="20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DenseNet-121</w:t>
            </w:r>
          </w:p>
        </w:tc>
        <w:tc>
          <w:tcPr>
            <w:tcW w:type="dxa" w:w="18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76.8</w:t>
            </w:r>
          </w:p>
        </w:tc>
        <w:tc>
          <w:tcPr>
            <w:tcW w:type="dxa" w:w="18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0.841</w:t>
            </w:r>
          </w:p>
        </w:tc>
        <w:tc>
          <w:tcPr>
            <w:tcW w:type="dxa" w:w="14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[4]</w:t>
            </w:r>
          </w:p>
        </w:tc>
      </w:tr>
      <w:tr>
        <w:tc>
          <w:tcPr>
            <w:tcW w:type="dxa" w:w="22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ISIC Melanoma Detection</w:t>
            </w:r>
          </w:p>
        </w:tc>
        <w:tc>
          <w:tcPr>
            <w:tcW w:type="dxa" w:w="20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Inception-v3</w:t>
            </w:r>
          </w:p>
        </w:tc>
        <w:tc>
          <w:tcPr>
            <w:tcW w:type="dxa" w:w="18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72.1</w:t>
            </w:r>
          </w:p>
        </w:tc>
        <w:tc>
          <w:tcPr>
            <w:tcW w:type="dxa" w:w="18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0.960</w:t>
            </w:r>
          </w:p>
        </w:tc>
        <w:tc>
          <w:tcPr>
            <w:tcW w:type="dxa" w:w="14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[5]</w:t>
            </w:r>
          </w:p>
        </w:tc>
      </w:tr>
      <w:tr>
        <w:tc>
          <w:tcPr>
            <w:tcW w:type="dxa" w:w="22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BraTS Tumor Segmentation</w:t>
            </w:r>
          </w:p>
        </w:tc>
        <w:tc>
          <w:tcPr>
            <w:tcW w:type="dxa" w:w="20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Attention U-Net</w:t>
            </w:r>
          </w:p>
        </w:tc>
        <w:tc>
          <w:tcPr>
            <w:tcW w:type="dxa" w:w="18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w:t>
            </w:r>
          </w:p>
        </w:tc>
        <w:tc>
          <w:tcPr>
            <w:tcW w:type="dxa" w:w="18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Dice 0.889</w:t>
            </w:r>
          </w:p>
        </w:tc>
        <w:tc>
          <w:tcPr>
            <w:tcW w:type="dxa" w:w="14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[6]</w:t>
            </w:r>
          </w:p>
        </w:tc>
      </w:tr>
      <w:tr>
        <w:tc>
          <w:tcPr>
            <w:tcW w:type="dxa" w:w="22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Retinopati Diabetik (EyePACS)</w:t>
            </w:r>
          </w:p>
        </w:tc>
        <w:tc>
          <w:tcPr>
            <w:tcW w:type="dxa" w:w="20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Ensemble CNN</w:t>
            </w:r>
          </w:p>
        </w:tc>
        <w:tc>
          <w:tcPr>
            <w:tcW w:type="dxa" w:w="18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90.3*</w:t>
            </w:r>
          </w:p>
        </w:tc>
        <w:tc>
          <w:tcPr>
            <w:tcW w:type="dxa" w:w="18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0.990</w:t>
            </w:r>
          </w:p>
        </w:tc>
        <w:tc>
          <w:tcPr>
            <w:tcW w:type="dxa" w:w="14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[7]</w:t>
            </w:r>
          </w:p>
        </w:tc>
      </w:tr>
      <w:tr>
        <w:tc>
          <w:tcPr>
            <w:tcW w:type="dxa" w:w="22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Histopatologi Kanker Payudara</w:t>
            </w:r>
          </w:p>
        </w:tc>
        <w:tc>
          <w:tcPr>
            <w:tcW w:type="dxa" w:w="20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ResNet-50 + TL</w:t>
            </w:r>
          </w:p>
        </w:tc>
        <w:tc>
          <w:tcPr>
            <w:tcW w:type="dxa" w:w="180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93.2</w:t>
            </w:r>
          </w:p>
        </w:tc>
        <w:tc>
          <w:tcPr>
            <w:tcW w:type="dxa" w:w="18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0.971</w:t>
            </w:r>
          </w:p>
        </w:tc>
        <w:tc>
          <w:tcPr>
            <w:tcW w:type="dxa" w:w="1480"/>
            <w:tcBorders>
              <w:top w:val="none" w:sz="0" w:space="0" w:color="auto"/>
              <w:left w:val="none" w:sz="0" w:space="0" w:color="auto"/>
              <w:bottom w:val="none" w:sz="0" w:space="0" w:color="auto"/>
              <w:right w:val="none" w:sz="0" w:space="0" w:color="auto"/>
            </w:tcBorders>
            <w:tcMar>
              <w:top w:type="dxa" w:w="60"/>
              <w:left w:type="dxa" w:w="100"/>
              <w:bottom w:type="dxa" w:w="60"/>
              <w:right w:type="dxa" w:w="100"/>
            </w:tcMar>
          </w:tcPr>
          <w:p>
            <w:pPr>
              <w:jc w:val="both"/>
            </w:pPr>
            <w:r>
              <w:rPr>
                <w:rFonts w:ascii="Times New Roman" w:cs="Times New Roman" w:eastAsia="Times New Roman" w:hAnsi="Times New Roman"/>
                <w:color w:val="000000"/>
                <w:sz w:val="18"/>
                <w:szCs w:val="18"/>
              </w:rPr>
              <w:t xml:space="preserve">[12]</w:t>
            </w:r>
          </w:p>
        </w:tc>
      </w:tr>
    </w:tbl>
    <w:p>
      <w:pPr>
        <w:spacing w:after="160" w:before="80"/>
        <w:jc w:val="both"/>
      </w:pPr>
      <w:r>
        <w:rPr>
          <w:rFonts w:ascii="Times New Roman" w:cs="Times New Roman" w:eastAsia="Times New Roman" w:hAnsi="Times New Roman"/>
          <w:color w:val="000000"/>
          <w:sz w:val="18"/>
          <w:szCs w:val="18"/>
        </w:rPr>
        <w:t>Tabel II. Performa Model Deep Learning pada Dataset Benchmark Analisis Citra Medis  (*Sensitivitas)</w:t>
      </w:r>
    </w:p>
    <w:p>
      <w:pPr>
        <w:spacing w:after="100" w:line="276"/>
        <w:jc w:val="both"/>
      </w:pPr>
      <w:r>
        <w:rPr>
          <w:rFonts w:ascii="Times New Roman" w:cs="Times New Roman" w:eastAsia="Times New Roman" w:hAnsi="Times New Roman"/>
          <w:color w:val="000000"/>
          <w:sz w:val="20"/>
          <w:szCs w:val="20"/>
        </w:rPr>
        <w:t xml:space="preserve">Hasil pada Tabel II memperlihatkan bahwa model deep learning konsisten mencapai performa tinggi (AUC &gt; 0,84) pada berbagai task analisis citra medis. Transfer learning dari ImageNet terbukti efektif bahkan untuk domain citra yang sangat berbeda seperti X-ray dan histopatologi. Hal ini menunjukkan bahwa representasi low-level features (tepi, tekstur, gradien) yang dipelajari dari ImageNet memang bersifat universal dan transferable.</w:t>
      </w:r>
    </w:p>
    <w:p>
      <w:pPr>
        <w:spacing w:after="100" w:line="276"/>
        <w:jc w:val="both"/>
      </w:pPr>
      <w:r>
        <w:rPr>
          <w:rFonts w:ascii="Times New Roman" w:cs="Times New Roman" w:eastAsia="Times New Roman" w:hAnsi="Times New Roman"/>
          <w:color w:val="000000"/>
          <w:sz w:val="20"/>
          <w:szCs w:val="20"/>
        </w:rPr>
        <w:t xml:space="preserve">Perbandingan antar arsitektur menunjukkan bahwa DenseNet cenderung unggul untuk klasifikasi X-ray karena efisiensi parameternya, sementara U-Net dan variannya mendominasi task segmentasi pixel-wise. Untuk dataset medis skala besar (&gt; 100.000 gambar), Vision Transformer mulai menunjukkan performa yang kompetitif dan bahkan superior dibanding CNN tradisional.</w:t>
      </w:r>
    </w:p>
    <w:p>
      <w:pPr>
        <w:spacing w:after="120" w:before="240"/>
        <w:jc w:val="both"/>
      </w:pPr>
      <w:r>
        <w:rPr>
          <w:b/>
          <w:bCs/>
          <w:rFonts w:ascii="Times New Roman" w:cs="Times New Roman" w:eastAsia="Times New Roman" w:hAnsi="Times New Roman"/>
          <w:color w:val="000000"/>
          <w:sz w:val="22"/>
          <w:szCs w:val="22"/>
        </w:rPr>
        <w:t xml:space="preserve">VIII. ARAH PENELITIAN MASA DEPAN</w:t>
      </w:r>
    </w:p>
    <w:p>
      <w:pPr>
        <w:spacing w:after="100" w:line="276"/>
        <w:jc w:val="both"/>
      </w:pPr>
      <w:r>
        <w:rPr>
          <w:rFonts w:ascii="Times New Roman" w:cs="Times New Roman" w:eastAsia="Times New Roman" w:hAnsi="Times New Roman"/>
          <w:color w:val="000000"/>
          <w:sz w:val="20"/>
          <w:szCs w:val="20"/>
        </w:rPr>
        <w:t xml:space="preserve">Beberapa arah penelitian yang menjanjikan untuk dekade mendatang dalam analisis citra medis berbasis deep learning:</w:t>
      </w:r>
    </w:p>
    <w:p>
      <w:pPr>
        <w:spacing w:after="100" w:line="276"/>
        <w:jc w:val="both"/>
      </w:pPr>
      <w:r>
        <w:rPr>
          <w:b/>
          <w:bCs/>
          <w:rFonts w:ascii="Times New Roman" w:cs="Times New Roman" w:eastAsia="Times New Roman" w:hAnsi="Times New Roman"/>
          <w:color w:val="000000"/>
          <w:sz w:val="20"/>
          <w:szCs w:val="20"/>
        </w:rPr>
        <w:t xml:space="preserve">1. Foundation Models untuk Medical Imaging: </w:t>
      </w:r>
      <w:r>
        <w:rPr>
          <w:rFonts w:ascii="Times New Roman" w:cs="Times New Roman" w:eastAsia="Times New Roman" w:hAnsi="Times New Roman"/>
          <w:color w:val="000000"/>
          <w:sz w:val="20"/>
          <w:szCs w:val="20"/>
        </w:rPr>
        <w:t xml:space="preserve">Model besar seperti BioViL, MedSAM, dan Med-PaLM yang dilatih pada data medis skala masif menunjukkan kemampuan generalisasi luar biasa dengan few-shot atau zero-shot learning—memungkinkan adaptasi ke task medis baru tanpa data berlabel yang banyak [14].</w:t>
      </w:r>
    </w:p>
    <w:p>
      <w:pPr>
        <w:spacing w:after="100" w:line="276"/>
        <w:jc w:val="both"/>
      </w:pPr>
      <w:r>
        <w:rPr>
          <w:b/>
          <w:bCs/>
          <w:rFonts w:ascii="Times New Roman" w:cs="Times New Roman" w:eastAsia="Times New Roman" w:hAnsi="Times New Roman"/>
          <w:color w:val="000000"/>
          <w:sz w:val="20"/>
          <w:szCs w:val="20"/>
        </w:rPr>
        <w:t xml:space="preserve">2. Multimodal Learning: </w:t>
      </w:r>
      <w:r>
        <w:rPr>
          <w:rFonts w:ascii="Times New Roman" w:cs="Times New Roman" w:eastAsia="Times New Roman" w:hAnsi="Times New Roman"/>
          <w:color w:val="000000"/>
          <w:sz w:val="20"/>
          <w:szCs w:val="20"/>
        </w:rPr>
        <w:t xml:space="preserve">Integrasi citra medis dengan data klinis lain (rekam medis elektronik, data genomik, laporan radiologi) dalam satu framework multimodal untuk prediksi yang lebih holistik. Model CLIP yang diadaptasi ke domain medis (BioMedCLIP) mampu mengkorelasikan citra dengan deskripsi teks klinis.</w:t>
      </w:r>
    </w:p>
    <w:p>
      <w:pPr>
        <w:spacing w:after="100" w:line="276"/>
        <w:jc w:val="both"/>
      </w:pPr>
      <w:r>
        <w:rPr>
          <w:b/>
          <w:bCs/>
          <w:rFonts w:ascii="Times New Roman" w:cs="Times New Roman" w:eastAsia="Times New Roman" w:hAnsi="Times New Roman"/>
          <w:color w:val="000000"/>
          <w:sz w:val="20"/>
          <w:szCs w:val="20"/>
        </w:rPr>
        <w:t xml:space="preserve">3. Federated Learning untuk Privasi Data: </w:t>
      </w:r>
      <w:r>
        <w:rPr>
          <w:rFonts w:ascii="Times New Roman" w:cs="Times New Roman" w:eastAsia="Times New Roman" w:hAnsi="Times New Roman"/>
          <w:color w:val="000000"/>
          <w:sz w:val="20"/>
          <w:szCs w:val="20"/>
        </w:rPr>
        <w:t xml:space="preserve">Memungkinkan kolaborasi pelatihan model antar institusi klinis tanpa pertukaran data pasien—mengatasi hambatan regulasi (HIPAA, GDPR) sekaligus meningkatkan keragaman data pelatihan [9].</w:t>
      </w:r>
    </w:p>
    <w:p>
      <w:pPr>
        <w:spacing w:after="100" w:line="276"/>
        <w:jc w:val="both"/>
      </w:pPr>
      <w:r>
        <w:rPr>
          <w:b/>
          <w:bCs/>
          <w:rFonts w:ascii="Times New Roman" w:cs="Times New Roman" w:eastAsia="Times New Roman" w:hAnsi="Times New Roman"/>
          <w:color w:val="000000"/>
          <w:sz w:val="20"/>
          <w:szCs w:val="20"/>
        </w:rPr>
        <w:t xml:space="preserve">4. Continual Learning: </w:t>
      </w:r>
      <w:r>
        <w:rPr>
          <w:rFonts w:ascii="Times New Roman" w:cs="Times New Roman" w:eastAsia="Times New Roman" w:hAnsi="Times New Roman"/>
          <w:color w:val="000000"/>
          <w:sz w:val="20"/>
          <w:szCs w:val="20"/>
        </w:rPr>
        <w:t xml:space="preserve">Model yang mampu belajar secara berkelanjutan dari data baru tanpa catastrophic forgetting pengetahuan sebelumnya—krusial untuk adaptasi terhadap varian penyakit baru atau perubahan protokol akuisisi.</w:t>
      </w:r>
    </w:p>
    <w:p>
      <w:pPr>
        <w:spacing w:after="100" w:line="276"/>
        <w:jc w:val="both"/>
      </w:pPr>
      <w:r>
        <w:rPr>
          <w:b/>
          <w:bCs/>
          <w:rFonts w:ascii="Times New Roman" w:cs="Times New Roman" w:eastAsia="Times New Roman" w:hAnsi="Times New Roman"/>
          <w:color w:val="000000"/>
          <w:sz w:val="20"/>
          <w:szCs w:val="20"/>
        </w:rPr>
        <w:t xml:space="preserve">5. AI-Assisted Pathology Digital: </w:t>
      </w:r>
      <w:r>
        <w:rPr>
          <w:rFonts w:ascii="Times New Roman" w:cs="Times New Roman" w:eastAsia="Times New Roman" w:hAnsi="Times New Roman"/>
          <w:color w:val="000000"/>
          <w:sz w:val="20"/>
          <w:szCs w:val="20"/>
        </w:rPr>
        <w:t xml:space="preserve">Whole Slide Image (WSI) berukuran gigapiksel memerlukan pendekatan khusus seperti Multiple Instance Learning (MIL) yang kini menjadi frontier penelitian aktif untuk diagnosis kanker dari biopsi digital [13].</w:t>
      </w:r>
    </w:p>
    <w:p>
      <w:pPr>
        <w:spacing w:after="120" w:before="240"/>
        <w:jc w:val="both"/>
      </w:pPr>
      <w:r>
        <w:rPr>
          <w:b/>
          <w:bCs/>
          <w:rFonts w:ascii="Times New Roman" w:cs="Times New Roman" w:eastAsia="Times New Roman" w:hAnsi="Times New Roman"/>
          <w:color w:val="000000"/>
          <w:sz w:val="22"/>
          <w:szCs w:val="22"/>
        </w:rPr>
        <w:t xml:space="preserve">IX. KESIMPULAN</w:t>
      </w:r>
    </w:p>
    <w:p>
      <w:pPr>
        <w:spacing w:after="100" w:line="276"/>
        <w:jc w:val="both"/>
      </w:pPr>
      <w:r>
        <w:rPr>
          <w:rFonts w:ascii="Times New Roman" w:cs="Times New Roman" w:eastAsia="Times New Roman" w:hAnsi="Times New Roman"/>
          <w:color w:val="000000"/>
          <w:sz w:val="20"/>
          <w:szCs w:val="20"/>
        </w:rPr>
        <w:t xml:space="preserve">Makalah ini telah menyajikan tinjauan komprehensif penerapan deep learning dalam analisis citra medis, mencakup fondasi teoritis, arsitektur model, studi kasus klinis, dan tantangan implementasi. Temuan utama dapat dirangkum sebagai berikut:</w:t>
      </w:r>
    </w:p>
    <w:p>
      <w:pPr>
        <w:spacing w:after="100" w:line="276"/>
        <w:jc w:val="both"/>
      </w:pPr>
      <w:r>
        <w:rPr>
          <w:rFonts w:ascii="Times New Roman" w:cs="Times New Roman" w:eastAsia="Times New Roman" w:hAnsi="Times New Roman"/>
          <w:color w:val="000000"/>
          <w:sz w:val="20"/>
          <w:szCs w:val="20"/>
        </w:rPr>
        <w:t xml:space="preserve">Pertama, deep learning—khususnya CNN dan variannya—telah terbukti secara empiris mampu mencapai atau melampaui performa ahli klinis pada task deteksi penyakit dari citra medis. Kedua, transfer learning merupakan strategi yang sangat efektif untuk mengatasi keterbatasan data berlabel di domain medis. Ketiga, U-Net dan arsitektur encoder-decoder sejenis telah menjadi standar untuk segmentasi citra medis pixel-wise. Keempat, Explainable AI (XAI) bukan sekadar fitur tambahan, melainkan komponen esensial untuk adopsi klinis yang bertanggung jawab.</w:t>
      </w:r>
    </w:p>
    <w:p>
      <w:pPr>
        <w:spacing w:after="100" w:line="276"/>
        <w:jc w:val="both"/>
      </w:pPr>
      <w:r>
        <w:rPr>
          <w:rFonts w:ascii="Times New Roman" w:cs="Times New Roman" w:eastAsia="Times New Roman" w:hAnsi="Times New Roman"/>
          <w:color w:val="000000"/>
          <w:sz w:val="20"/>
          <w:szCs w:val="20"/>
        </w:rPr>
        <w:t xml:space="preserve">Bagi mahasiswa Computer Science, analisis citra medis menawarkan kesempatan luar biasa untuk mengaplikasikan pengetahuan deep learning pada problem nyata dengan dampak sosial tinggi. Kombinasi antara computer vision, transfer learning, dan domain knowledge medis membuka peluang riset interdisipliner yang sangat kaya. Dengan perkembangan foundation models dan federated learning, masa depan AI dalam kedokteran tampak sangat menjanjikan—dengan syarat bahwa aspek keamanan, fairness, dan interpretabilitas mendapat perhatian yang setara dengan performa model.</w:t>
      </w:r>
    </w:p>
    <w:p>
      <w:pPr>
        <w:spacing w:after="160"/>
      </w:pPr>
      <w:r>
        <w:t xml:space="preserve"/>
      </w:r>
    </w:p>
    <w:p>
      <w:pPr>
        <w:spacing w:after="120" w:before="240"/>
        <w:jc w:val="both"/>
      </w:pPr>
      <w:r>
        <w:rPr>
          <w:b/>
          <w:bCs/>
          <w:rFonts w:ascii="Times New Roman" w:cs="Times New Roman" w:eastAsia="Times New Roman" w:hAnsi="Times New Roman"/>
          <w:sz w:val="22"/>
          <w:szCs w:val="22"/>
        </w:rPr>
        <w:t xml:space="preserve">REFERENSI</w:t>
      </w:r>
    </w:p>
    <w:p>
      <w:pPr>
        <w:spacing w:after="80"/>
        <w:ind w:left="360" w:hanging="360"/>
        <w:jc w:val="both"/>
      </w:pPr>
      <w:r>
        <w:rPr>
          <w:rFonts w:ascii="Times New Roman" w:cs="Times New Roman" w:eastAsia="Times New Roman" w:hAnsi="Times New Roman"/>
          <w:color w:val="000000"/>
          <w:sz w:val="18"/>
          <w:szCs w:val="18"/>
        </w:rPr>
        <w:t xml:space="preserve">[1]   R. Litjens et al., "A Survey on Deep Learning in Medical Image Analysis," Medical Image Analysis, vol. 42, pp. 60–88, 2017. https://doi.org/10.1016/j.media.2017.07.005</w:t>
      </w:r>
    </w:p>
    <w:p>
      <w:pPr>
        <w:spacing w:after="80"/>
        <w:ind w:left="360" w:hanging="360"/>
        <w:jc w:val="both"/>
      </w:pPr>
      <w:r>
        <w:rPr>
          <w:rFonts w:ascii="Times New Roman" w:cs="Times New Roman" w:eastAsia="Times New Roman" w:hAnsi="Times New Roman"/>
          <w:color w:val="000000"/>
          <w:sz w:val="18"/>
          <w:szCs w:val="18"/>
        </w:rPr>
        <w:t xml:space="preserve">[2]   A. Shen, R. R. Margolis, dan M. Abramoff, "Artificial Intelligence in Ophthalmology," Curr. Opin. Ophthalmol., vol. 30, no. 5, pp. 331–339, 2019.</w:t>
      </w:r>
    </w:p>
    <w:p>
      <w:pPr>
        <w:spacing w:after="80"/>
        <w:ind w:left="360" w:hanging="360"/>
        <w:jc w:val="both"/>
      </w:pPr>
      <w:r>
        <w:rPr>
          <w:rFonts w:ascii="Times New Roman" w:cs="Times New Roman" w:eastAsia="Times New Roman" w:hAnsi="Times New Roman"/>
          <w:color w:val="000000"/>
          <w:sz w:val="18"/>
          <w:szCs w:val="18"/>
        </w:rPr>
        <w:t xml:space="preserve">[3]   Y. LeCun, Y. Bengio, dan G. Hinton, "Deep Learning," Nature, vol. 521, pp. 436–444, 2015. https://doi.org/10.1038/nature14539</w:t>
      </w:r>
    </w:p>
    <w:p>
      <w:pPr>
        <w:spacing w:after="80"/>
        <w:ind w:left="360" w:hanging="360"/>
        <w:jc w:val="both"/>
      </w:pPr>
      <w:r>
        <w:rPr>
          <w:rFonts w:ascii="Times New Roman" w:cs="Times New Roman" w:eastAsia="Times New Roman" w:hAnsi="Times New Roman"/>
          <w:color w:val="000000"/>
          <w:sz w:val="18"/>
          <w:szCs w:val="18"/>
        </w:rPr>
        <w:t xml:space="preserve">[4]   P. Rajpurkar et al., "CheXNet: Radiologist-Level Pneumonia Detection on Chest X-Rays with Deep Learning," arXiv preprint arXiv:1711.05225, 2017.</w:t>
      </w:r>
    </w:p>
    <w:p>
      <w:pPr>
        <w:spacing w:after="80"/>
        <w:ind w:left="360" w:hanging="360"/>
        <w:jc w:val="both"/>
      </w:pPr>
      <w:r>
        <w:rPr>
          <w:rFonts w:ascii="Times New Roman" w:cs="Times New Roman" w:eastAsia="Times New Roman" w:hAnsi="Times New Roman"/>
          <w:color w:val="000000"/>
          <w:sz w:val="18"/>
          <w:szCs w:val="18"/>
        </w:rPr>
        <w:t xml:space="preserve">[5]   A. Esteva et al., "Dermatologist-Level Classification of Skin Cancer with Deep Neural Networks," Nature, vol. 542, pp. 115–118, 2017. https://doi.org/10.1038/nature21056</w:t>
      </w:r>
    </w:p>
    <w:p>
      <w:pPr>
        <w:spacing w:after="80"/>
        <w:ind w:left="360" w:hanging="360"/>
        <w:jc w:val="both"/>
      </w:pPr>
      <w:r>
        <w:rPr>
          <w:rFonts w:ascii="Times New Roman" w:cs="Times New Roman" w:eastAsia="Times New Roman" w:hAnsi="Times New Roman"/>
          <w:color w:val="000000"/>
          <w:sz w:val="18"/>
          <w:szCs w:val="18"/>
        </w:rPr>
        <w:t xml:space="preserve">[6]   O. Ronneberger, P. Fischer, dan T. Brox, "U-Net: Convolutional Networks for Biomedical Image Segmentation," dalam Proc. MICCAI, 2015, pp. 234–241.</w:t>
      </w:r>
    </w:p>
    <w:p>
      <w:pPr>
        <w:spacing w:after="80"/>
        <w:ind w:left="360" w:hanging="360"/>
        <w:jc w:val="both"/>
      </w:pPr>
      <w:r>
        <w:rPr>
          <w:rFonts w:ascii="Times New Roman" w:cs="Times New Roman" w:eastAsia="Times New Roman" w:hAnsi="Times New Roman"/>
          <w:color w:val="000000"/>
          <w:sz w:val="18"/>
          <w:szCs w:val="18"/>
        </w:rPr>
        <w:t xml:space="preserve">[7]   V. Gulshan et al., "Development and Validation of a Deep Learning Algorithm for Detection of Diabetic Retinopathy in Retinal Fundus Photographs," JAMA, vol. 316, no. 22, pp. 2402–2410, 2016.</w:t>
      </w:r>
    </w:p>
    <w:p>
      <w:pPr>
        <w:spacing w:after="80"/>
        <w:ind w:left="360" w:hanging="360"/>
        <w:jc w:val="both"/>
      </w:pPr>
      <w:r>
        <w:rPr>
          <w:rFonts w:ascii="Times New Roman" w:cs="Times New Roman" w:eastAsia="Times New Roman" w:hAnsi="Times New Roman"/>
          <w:color w:val="000000"/>
          <w:sz w:val="18"/>
          <w:szCs w:val="18"/>
        </w:rPr>
        <w:t xml:space="preserve">[8]   H. C. Shin et al., "Deep Convolutional Neural Networks for Computer-Aided Detection: CNN Architectures, Dataset Characteristics and Transfer Learning," IEEE Trans. Med. Imaging, vol. 35, no. 5, pp. 1285–1298, 2016.</w:t>
      </w:r>
    </w:p>
    <w:p>
      <w:pPr>
        <w:spacing w:after="80"/>
        <w:ind w:left="360" w:hanging="360"/>
        <w:jc w:val="both"/>
      </w:pPr>
      <w:r>
        <w:rPr>
          <w:rFonts w:ascii="Times New Roman" w:cs="Times New Roman" w:eastAsia="Times New Roman" w:hAnsi="Times New Roman"/>
          <w:color w:val="000000"/>
          <w:sz w:val="18"/>
          <w:szCs w:val="18"/>
        </w:rPr>
        <w:t xml:space="preserve">[9]   B. Kairouz et al., "Advances and Open Problems in Federated Learning," Found. Trends Mach. Learn., vol. 14, no. 1–2, pp. 1–210, 2021.</w:t>
      </w:r>
    </w:p>
    <w:p>
      <w:pPr>
        <w:spacing w:after="80"/>
        <w:ind w:left="360" w:hanging="360"/>
        <w:jc w:val="both"/>
      </w:pPr>
      <w:r>
        <w:rPr>
          <w:rFonts w:ascii="Times New Roman" w:cs="Times New Roman" w:eastAsia="Times New Roman" w:hAnsi="Times New Roman"/>
          <w:color w:val="000000"/>
          <w:sz w:val="18"/>
          <w:szCs w:val="18"/>
        </w:rPr>
        <w:t xml:space="preserve">[10]  M. Raghu, C. Zhang, J. Kleinberg, dan S. Bengio, "Transfusion: Understanding Transfer Learning for Medical Imaging," dalam Proc. NeurIPS, 2019, pp. 3347–3357.</w:t>
      </w:r>
    </w:p>
    <w:p>
      <w:pPr>
        <w:spacing w:after="80"/>
        <w:ind w:left="360" w:hanging="360"/>
        <w:jc w:val="both"/>
      </w:pPr>
      <w:r>
        <w:rPr>
          <w:rFonts w:ascii="Times New Roman" w:cs="Times New Roman" w:eastAsia="Times New Roman" w:hAnsi="Times New Roman"/>
          <w:color w:val="000000"/>
          <w:sz w:val="18"/>
          <w:szCs w:val="18"/>
        </w:rPr>
        <w:t xml:space="preserve">[11]  R. R. Selvaraju et al., "Grad-CAM: Visual Explanations from Deep Networks via Gradient-Based Localization," dalam Proc. ICCV, 2017, pp. 618–626.</w:t>
      </w:r>
    </w:p>
    <w:p>
      <w:pPr>
        <w:spacing w:after="80"/>
        <w:ind w:left="360" w:hanging="360"/>
        <w:jc w:val="both"/>
      </w:pPr>
      <w:r>
        <w:rPr>
          <w:rFonts w:ascii="Times New Roman" w:cs="Times New Roman" w:eastAsia="Times New Roman" w:hAnsi="Times New Roman"/>
          <w:color w:val="000000"/>
          <w:sz w:val="18"/>
          <w:szCs w:val="18"/>
        </w:rPr>
        <w:t xml:space="preserve">[12]  N. Srivastava et al., "Dropout: A Simple Way to Prevent Neural Networks from Overfitting," J. Mach. Learn. Res., vol. 15, no. 1, pp. 1929–1958, 2014.</w:t>
      </w:r>
    </w:p>
    <w:p>
      <w:pPr>
        <w:spacing w:after="80"/>
        <w:ind w:left="360" w:hanging="360"/>
        <w:jc w:val="both"/>
      </w:pPr>
      <w:r>
        <w:rPr>
          <w:rFonts w:ascii="Times New Roman" w:cs="Times New Roman" w:eastAsia="Times New Roman" w:hAnsi="Times New Roman"/>
          <w:color w:val="000000"/>
          <w:sz w:val="18"/>
          <w:szCs w:val="18"/>
        </w:rPr>
        <w:t xml:space="preserve">[13]  G. Campanella et al., "Clinical-Grade Computational Pathology Using Weakly Supervised Deep Learning on Whole Slide Images," Nature Medicine, vol. 25, pp. 1301–1309, 2019.</w:t>
      </w:r>
    </w:p>
    <w:p>
      <w:pPr>
        <w:spacing w:after="80"/>
        <w:ind w:left="360" w:hanging="360"/>
        <w:jc w:val="both"/>
      </w:pPr>
      <w:r>
        <w:rPr>
          <w:rFonts w:ascii="Times New Roman" w:cs="Times New Roman" w:eastAsia="Times New Roman" w:hAnsi="Times New Roman"/>
          <w:color w:val="000000"/>
          <w:sz w:val="18"/>
          <w:szCs w:val="18"/>
        </w:rPr>
        <w:t xml:space="preserve">[14]  A. Dosovitskiy et al., "An Image Is Worth 16x16 Words: Transformers for Image Recognition at Scale," dalam Proc. ICLR, 2021.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6"/>
        <w:szCs w:val="16"/>
      </w:rPr>
      <w:t xml:space="preserve">© 2024 – Deep Learning for Medical Image Analysis | Halaman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dari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space="1"/>
      </w:pBdr>
      <w:jc w:val="center"/>
    </w:pPr>
    <w:r>
      <w:rPr>
        <w:rFonts w:ascii="Times New Roman" w:cs="Times New Roman" w:eastAsia="Times New Roman" w:hAnsi="Times New Roman"/>
        <w:i/>
        <w:iCs/>
        <w:color w:val="1F497D"/>
        <w:sz w:val="16"/>
        <w:szCs w:val="16"/>
      </w:rPr>
      <w:t xml:space="preserve">Makalah Ilmiah – Computational Biology &amp; Bioinformatics | Format IEEE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2026-05-09T11:31:25.521Z</dcterms:created>
  <dcterms:modified xsi:type="dcterms:W3CDTF">2026-05-09T11:31:25.521Z</dcterms:modified>
</cp:coreProperties>
</file>

<file path=docProps/custom.xml><?xml version="1.0" encoding="utf-8"?>
<Properties xmlns="http://schemas.openxmlformats.org/officeDocument/2006/custom-properties" xmlns:vt="http://schemas.openxmlformats.org/officeDocument/2006/docPropsVTypes"/>
</file>