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623AB">
      <w:pPr>
        <w:spacing w:after="0" w:line="240" w:lineRule="auto"/>
        <w:rPr>
          <w:rFonts w:hint="eastAsia" w:ascii="宋体" w:hAnsi="宋体" w:eastAsia="宋体" w:cs="宋体"/>
        </w:rPr>
      </w:pPr>
    </w:p>
    <w:p w14:paraId="42E50480">
      <w:pPr>
        <w:pStyle w:val="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内孤立波算例复现</w:t>
      </w:r>
      <w:r>
        <w:rPr>
          <w:rFonts w:hint="eastAsia" w:ascii="宋体" w:hAnsi="宋体" w:eastAsia="宋体" w:cs="宋体"/>
          <w:lang w:val="en-US" w:eastAsia="zh-CN"/>
        </w:rPr>
        <w:t>与</w:t>
      </w:r>
      <w:r>
        <w:rPr>
          <w:rFonts w:hint="eastAsia" w:ascii="宋体" w:hAnsi="宋体" w:eastAsia="宋体" w:cs="宋体"/>
        </w:rPr>
        <w:t>论文研读阶段汇报</w:t>
      </w:r>
    </w:p>
    <w:p w14:paraId="12DD97CB">
      <w:pPr>
        <w:spacing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组会汇报稿</w:t>
      </w:r>
    </w:p>
    <w:p w14:paraId="6E035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40" w:line="240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b w:val="0"/>
          <w:color w:val="595959"/>
          <w:sz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color w:val="595959"/>
          <w:sz w:val="21"/>
        </w:rPr>
        <w:t>2026 年 10 月 22 日</w:t>
      </w:r>
    </w:p>
    <w:p w14:paraId="4ACB125F">
      <w:pPr>
        <w:spacing w:after="80" w:line="348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汇报结论：</w:t>
      </w:r>
      <w:r>
        <w:rPr>
          <w:rFonts w:hint="eastAsia" w:ascii="宋体" w:hAnsi="宋体" w:eastAsia="宋体" w:cs="宋体"/>
          <w:b w:val="0"/>
          <w:color w:val="000000"/>
          <w:sz w:val="24"/>
          <w:szCs w:val="24"/>
        </w:rPr>
        <w:t>本次汇报围绕 Zhuang et al. (2026) 的 Fig. 3 算例展开。该图用 G1-G4 四个测站的界面位移 ζ(t) 验证重力塌陷生成内孤立波的过程。目前已完成粗网格 Nx=500、Nz=28 的完整复现，整理出可重复执行的五步流程和成果包；前处理代码的逐段阅读仍在进行；论文三档网格 Nx=1000、Nz=28/56/112 计划在超算上完成。</w:t>
      </w:r>
    </w:p>
    <w:p w14:paraId="23140605">
      <w:pPr>
        <w:spacing w:after="80" w:line="348" w:lineRule="auto"/>
        <w:ind w:firstLine="42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szCs w:val="24"/>
        </w:rPr>
        <w:t>已完成的工作能够回答三个问题：算例怎么跑、每一步调用什么、会生成什么。当前结果</w:t>
      </w:r>
      <w:r>
        <w:rPr>
          <w:rFonts w:hint="eastAsia" w:ascii="宋体" w:hAnsi="宋体" w:cs="宋体"/>
          <w:b w:val="0"/>
          <w:color w:val="000000"/>
          <w:sz w:val="24"/>
          <w:szCs w:val="24"/>
          <w:lang w:val="en-US" w:eastAsia="zh-CN"/>
        </w:rPr>
        <w:t>对</w:t>
      </w:r>
      <w:r>
        <w:rPr>
          <w:rFonts w:hint="eastAsia" w:ascii="宋体" w:hAnsi="宋体" w:eastAsia="宋体" w:cs="宋体"/>
          <w:b w:val="0"/>
          <w:color w:val="000000"/>
          <w:sz w:val="24"/>
          <w:szCs w:val="24"/>
        </w:rPr>
        <w:t>比论文同一档粗网格</w:t>
      </w:r>
      <w:r>
        <w:rPr>
          <w:rFonts w:hint="eastAsia" w:ascii="宋体" w:hAnsi="宋体" w:cs="宋体"/>
          <w:b w:val="0"/>
          <w:color w:val="000000"/>
          <w:sz w:val="24"/>
          <w:szCs w:val="24"/>
          <w:lang w:val="en-US" w:eastAsia="zh-CN"/>
        </w:rPr>
        <w:t>得出的四联图趋势基本一致。</w:t>
      </w:r>
    </w:p>
    <w:p w14:paraId="6958D0DD">
      <w:pPr>
        <w:spacing w:before="160" w:after="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汇报结构</w:t>
      </w:r>
    </w:p>
    <w:p w14:paraId="27C36120">
      <w:pPr>
        <w:spacing w:after="60" w:line="336" w:lineRule="auto"/>
        <w:ind w:left="425" w:hanging="22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000000"/>
          <w:sz w:val="24"/>
          <w:szCs w:val="24"/>
        </w:rPr>
        <w:t>• 论文算例复现：已完成粗网格复现，正在读懂前处理代码，下一步跑三档大网格。</w:t>
      </w:r>
    </w:p>
    <w:p w14:paraId="49FC4E3E">
      <w:pPr>
        <w:spacing w:after="60" w:line="336" w:lineRule="auto"/>
        <w:ind w:left="425" w:hanging="22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000000"/>
          <w:sz w:val="24"/>
          <w:szCs w:val="24"/>
        </w:rPr>
        <w:t>• 论文研读：重力塌陷实验的设置、尾波与噪声处理，以及理论对比。</w:t>
      </w:r>
    </w:p>
    <w:p w14:paraId="1992582A">
      <w:pPr>
        <w:spacing w:after="60" w:line="336" w:lineRule="auto"/>
        <w:ind w:left="425" w:hanging="227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szCs w:val="24"/>
        </w:rPr>
        <w:t>• 文献获取与下一步：学校数据库访问受限，</w:t>
      </w:r>
      <w:r>
        <w:rPr>
          <w:rFonts w:hint="eastAsia" w:ascii="宋体" w:hAnsi="宋体" w:cs="宋体"/>
          <w:b w:val="0"/>
          <w:color w:val="000000"/>
          <w:sz w:val="24"/>
          <w:szCs w:val="24"/>
          <w:lang w:val="en-US" w:eastAsia="zh-CN"/>
        </w:rPr>
        <w:t>需采用其他方法获取，直接购买成本高昂。</w:t>
      </w:r>
    </w:p>
    <w:p w14:paraId="36544B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A36C73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一、论文算例复现</w:t>
      </w:r>
    </w:p>
    <w:p w14:paraId="5E58288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目标与算例背景</w:t>
      </w:r>
    </w:p>
    <w:p w14:paraId="385D5E04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论文 Fig. 3 的算例是一个重力塌陷实验：5.00 m 长、0.28 m 水深的水槽中，上层为硅油（ρ=941 kg/m³，厚 0.04 m），下层为水（ρ=1006 kg/m³，厚 0.24 m）；挡板位于 x=0，初始界面在挡板两侧相差 7 cm。撤去挡板后，界面坍塌并向右侧传播，在 x=2.0、2.5、3.0、3.5 m 四个测站记录界面位移 ζ(t)。</w:t>
      </w:r>
    </w:p>
    <w:p w14:paraId="1671F903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本次复现的目标是先把这条数值链路跑通，并得到与论文同类的四联图；暂不追求与实验完全一致，也不把三档网格一次跑完。这样可以在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短</w:t>
      </w:r>
      <w:r>
        <w:rPr>
          <w:rFonts w:hint="eastAsia" w:ascii="宋体" w:hAnsi="宋体" w:eastAsia="宋体" w:cs="宋体"/>
          <w:b w:val="0"/>
          <w:color w:val="000000"/>
          <w:sz w:val="21"/>
        </w:rPr>
        <w:t>时间内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明确流程</w:t>
      </w:r>
      <w:r>
        <w:rPr>
          <w:rFonts w:hint="eastAsia" w:ascii="宋体" w:hAnsi="宋体" w:eastAsia="宋体" w:cs="宋体"/>
          <w:b w:val="0"/>
          <w:color w:val="000000"/>
          <w:sz w:val="21"/>
        </w:rPr>
        <w:t>，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清楚要干什么，怎么干，</w:t>
      </w:r>
      <w:r>
        <w:rPr>
          <w:rFonts w:hint="eastAsia" w:ascii="宋体" w:hAnsi="宋体" w:eastAsia="宋体" w:cs="宋体"/>
          <w:b w:val="0"/>
          <w:color w:val="000000"/>
          <w:sz w:val="21"/>
        </w:rPr>
        <w:t>再逐步提高分辨率</w:t>
      </w:r>
      <w:r>
        <w:rPr>
          <w:rFonts w:hint="eastAsia" w:ascii="宋体" w:hAnsi="宋体" w:cs="宋体"/>
          <w:b w:val="0"/>
          <w:color w:val="000000"/>
          <w:sz w:val="21"/>
          <w:lang w:eastAsia="zh-CN"/>
        </w:rPr>
        <w:t>，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先做成再做好</w:t>
      </w:r>
      <w:r>
        <w:rPr>
          <w:rFonts w:hint="eastAsia" w:ascii="宋体" w:hAnsi="宋体" w:eastAsia="宋体" w:cs="宋体"/>
          <w:b w:val="0"/>
          <w:color w:val="000000"/>
          <w:sz w:val="21"/>
        </w:rPr>
        <w:t>。</w:t>
      </w:r>
    </w:p>
    <w:p w14:paraId="4FD3B60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 四阶段进展</w:t>
      </w:r>
    </w:p>
    <w:tbl>
      <w:tblPr>
        <w:tblStyle w:val="32"/>
        <w:tblW w:w="9297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5" w:type="dxa"/>
          <w:left w:w="120" w:type="dxa"/>
          <w:bottom w:w="75" w:type="dxa"/>
          <w:right w:w="120" w:type="dxa"/>
        </w:tblCellMar>
      </w:tblPr>
      <w:tblGrid>
        <w:gridCol w:w="1700"/>
        <w:gridCol w:w="1133"/>
        <w:gridCol w:w="3968"/>
        <w:gridCol w:w="2494"/>
      </w:tblGrid>
      <w:tr w14:paraId="42CE76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F3864"/>
            <w:vAlign w:val="center"/>
          </w:tcPr>
          <w:p w14:paraId="01E0832D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阶段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5FEA1EE9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状态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7D6BF5D0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主要工作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3D98A218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产出</w:t>
            </w:r>
          </w:p>
        </w:tc>
      </w:tr>
      <w:tr w14:paraId="177EDE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0128A47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跑通四联图</w:t>
            </w:r>
          </w:p>
        </w:tc>
        <w:tc>
          <w:tcPr>
            <w:tcW w:w="1134" w:type="dxa"/>
            <w:vAlign w:val="center"/>
          </w:tcPr>
          <w:p w14:paraId="7F0C803E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2E7D32"/>
                <w:sz w:val="18"/>
              </w:rPr>
              <w:t>已完成</w:t>
            </w:r>
          </w:p>
        </w:tc>
        <w:tc>
          <w:tcPr>
            <w:tcW w:w="3969" w:type="dxa"/>
            <w:vAlign w:val="center"/>
          </w:tcPr>
          <w:p w14:paraId="39981BA5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环境配置、依赖安装、前处理、编译、30 s 仿真、后处理</w:t>
            </w:r>
          </w:p>
        </w:tc>
        <w:tc>
          <w:tcPr>
            <w:tcW w:w="2494" w:type="dxa"/>
            <w:vAlign w:val="center"/>
          </w:tcPr>
          <w:p w14:paraId="2CDA47C6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四联图、run.log</w:t>
            </w:r>
          </w:p>
        </w:tc>
      </w:tr>
      <w:tr w14:paraId="4E30DE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2F5FA"/>
            <w:vAlign w:val="center"/>
          </w:tcPr>
          <w:p w14:paraId="0E1B81DA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流程与成果包</w:t>
            </w:r>
          </w:p>
        </w:tc>
        <w:tc>
          <w:tcPr>
            <w:tcW w:w="1134" w:type="dxa"/>
            <w:shd w:val="clear" w:color="auto" w:fill="F2F5FA"/>
            <w:vAlign w:val="center"/>
          </w:tcPr>
          <w:p w14:paraId="3493CA46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2E7D32"/>
                <w:sz w:val="18"/>
              </w:rPr>
              <w:t>已完成</w:t>
            </w:r>
          </w:p>
        </w:tc>
        <w:tc>
          <w:tcPr>
            <w:tcW w:w="3969" w:type="dxa"/>
            <w:shd w:val="clear" w:color="auto" w:fill="F2F5FA"/>
            <w:vAlign w:val="center"/>
          </w:tcPr>
          <w:p w14:paraId="06DE9943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拆成五步，建立“调用的/成果”目录，写操作手册；两次独立运行</w:t>
            </w:r>
          </w:p>
        </w:tc>
        <w:tc>
          <w:tcPr>
            <w:tcW w:w="2494" w:type="dxa"/>
            <w:shd w:val="clear" w:color="auto" w:fill="F2F5FA"/>
            <w:vAlign w:val="center"/>
          </w:tcPr>
          <w:p w14:paraId="73DD47A0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成果包、操作手册、MD5 一致的数据</w:t>
            </w:r>
          </w:p>
        </w:tc>
      </w:tr>
      <w:tr w14:paraId="0DC3C7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8A408E7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读懂前处理</w:t>
            </w:r>
          </w:p>
        </w:tc>
        <w:tc>
          <w:tcPr>
            <w:tcW w:w="1134" w:type="dxa"/>
            <w:vAlign w:val="center"/>
          </w:tcPr>
          <w:p w14:paraId="00488BCC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B26A00"/>
                <w:sz w:val="18"/>
              </w:rPr>
              <w:t>进行中</w:t>
            </w:r>
          </w:p>
        </w:tc>
        <w:tc>
          <w:tcPr>
            <w:tcW w:w="3969" w:type="dxa"/>
            <w:vAlign w:val="center"/>
          </w:tcPr>
          <w:p w14:paraId="08A9EAA3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梳理三个类、13 个输入文件和关键参数；正在核对公式</w:t>
            </w:r>
          </w:p>
        </w:tc>
        <w:tc>
          <w:tcPr>
            <w:tcW w:w="2494" w:type="dxa"/>
            <w:vAlign w:val="center"/>
          </w:tcPr>
          <w:p w14:paraId="1F63A402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代码笔记</w:t>
            </w:r>
          </w:p>
        </w:tc>
      </w:tr>
      <w:tr w14:paraId="0ADB98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2F5FA"/>
            <w:vAlign w:val="center"/>
          </w:tcPr>
          <w:p w14:paraId="020CB126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三档大网格</w:t>
            </w:r>
          </w:p>
        </w:tc>
        <w:tc>
          <w:tcPr>
            <w:tcW w:w="1134" w:type="dxa"/>
            <w:shd w:val="clear" w:color="auto" w:fill="F2F5FA"/>
            <w:vAlign w:val="center"/>
          </w:tcPr>
          <w:p w14:paraId="228DBB4D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595959"/>
                <w:sz w:val="18"/>
              </w:rPr>
              <w:t>计划中</w:t>
            </w:r>
          </w:p>
        </w:tc>
        <w:tc>
          <w:tcPr>
            <w:tcW w:w="3969" w:type="dxa"/>
            <w:shd w:val="clear" w:color="auto" w:fill="F2F5FA"/>
            <w:vAlign w:val="center"/>
          </w:tcPr>
          <w:p w14:paraId="1B2A0A53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Nx=1000，Nz=28/56/112；网格收敛与论文对比</w:t>
            </w:r>
          </w:p>
        </w:tc>
        <w:tc>
          <w:tcPr>
            <w:tcW w:w="2494" w:type="dxa"/>
            <w:shd w:val="clear" w:color="auto" w:fill="F2F5FA"/>
            <w:vAlign w:val="center"/>
          </w:tcPr>
          <w:p w14:paraId="614C3AB4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待超算</w:t>
            </w:r>
          </w:p>
        </w:tc>
      </w:tr>
    </w:tbl>
    <w:p w14:paraId="7D9130DC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95959"/>
          <w:sz w:val="18"/>
        </w:rPr>
        <w:t>表 1  复现工作的四个阶段</w:t>
      </w:r>
    </w:p>
    <w:p w14:paraId="0A00EE17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第一、二阶段不只是把图跑出来，而是把过程变成别人可以重复的操作。每一步都保留了输入、程序、日志和产物，出现问题时可以回到对应目录定位，不需要从头再猜。</w:t>
      </w:r>
    </w:p>
    <w:p w14:paraId="6548DC0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 计算设置</w:t>
      </w:r>
    </w:p>
    <w:tbl>
      <w:tblPr>
        <w:tblStyle w:val="32"/>
        <w:tblW w:w="9297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5" w:type="dxa"/>
          <w:left w:w="120" w:type="dxa"/>
          <w:bottom w:w="75" w:type="dxa"/>
          <w:right w:w="120" w:type="dxa"/>
        </w:tblCellMar>
      </w:tblPr>
      <w:tblGrid>
        <w:gridCol w:w="2721"/>
        <w:gridCol w:w="3061"/>
        <w:gridCol w:w="3514"/>
      </w:tblGrid>
      <w:tr w14:paraId="214C66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2721" w:type="dxa"/>
            <w:shd w:val="clear" w:color="auto" w:fill="1F3864"/>
            <w:vAlign w:val="center"/>
          </w:tcPr>
          <w:p w14:paraId="286D4248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参数</w:t>
            </w:r>
          </w:p>
        </w:tc>
        <w:tc>
          <w:tcPr>
            <w:tcW w:w="3061" w:type="dxa"/>
            <w:shd w:val="clear" w:color="auto" w:fill="1F3864"/>
            <w:vAlign w:val="center"/>
          </w:tcPr>
          <w:p w14:paraId="5F5BE707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本次粗网格</w:t>
            </w:r>
          </w:p>
        </w:tc>
        <w:tc>
          <w:tcPr>
            <w:tcW w:w="3515" w:type="dxa"/>
            <w:shd w:val="clear" w:color="auto" w:fill="1F3864"/>
            <w:vAlign w:val="center"/>
          </w:tcPr>
          <w:p w14:paraId="760AF40F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论文三档</w:t>
            </w:r>
          </w:p>
        </w:tc>
      </w:tr>
      <w:tr w14:paraId="48FBBA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6C082C73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水平网格 Nx</w:t>
            </w:r>
          </w:p>
        </w:tc>
        <w:tc>
          <w:tcPr>
            <w:tcW w:w="3061" w:type="dxa"/>
            <w:vAlign w:val="center"/>
          </w:tcPr>
          <w:p w14:paraId="0D3F373C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500</w:t>
            </w:r>
          </w:p>
        </w:tc>
        <w:tc>
          <w:tcPr>
            <w:tcW w:w="3515" w:type="dxa"/>
            <w:vAlign w:val="center"/>
          </w:tcPr>
          <w:p w14:paraId="3DF65C81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1000</w:t>
            </w:r>
          </w:p>
        </w:tc>
      </w:tr>
      <w:tr w14:paraId="683128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2F5FA"/>
            <w:vAlign w:val="center"/>
          </w:tcPr>
          <w:p w14:paraId="7D5B49F5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垂向层数 Nz</w:t>
            </w:r>
          </w:p>
        </w:tc>
        <w:tc>
          <w:tcPr>
            <w:tcW w:w="3061" w:type="dxa"/>
            <w:shd w:val="clear" w:color="auto" w:fill="F2F5FA"/>
            <w:vAlign w:val="center"/>
          </w:tcPr>
          <w:p w14:paraId="4265A5FD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28</w:t>
            </w:r>
          </w:p>
        </w:tc>
        <w:tc>
          <w:tcPr>
            <w:tcW w:w="3515" w:type="dxa"/>
            <w:shd w:val="clear" w:color="auto" w:fill="F2F5FA"/>
            <w:vAlign w:val="center"/>
          </w:tcPr>
          <w:p w14:paraId="1C233156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28 / 56 / 112</w:t>
            </w:r>
          </w:p>
        </w:tc>
      </w:tr>
      <w:tr w14:paraId="16BAAA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1AF271C1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水平步长 dx</w:t>
            </w:r>
          </w:p>
        </w:tc>
        <w:tc>
          <w:tcPr>
            <w:tcW w:w="3061" w:type="dxa"/>
            <w:vAlign w:val="center"/>
          </w:tcPr>
          <w:p w14:paraId="20865752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0.01 m</w:t>
            </w:r>
          </w:p>
        </w:tc>
        <w:tc>
          <w:tcPr>
            <w:tcW w:w="3515" w:type="dxa"/>
            <w:vAlign w:val="center"/>
          </w:tcPr>
          <w:p w14:paraId="5D88F694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0.005 m</w:t>
            </w:r>
          </w:p>
        </w:tc>
      </w:tr>
      <w:tr w14:paraId="40BCA0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2F5FA"/>
            <w:vAlign w:val="center"/>
          </w:tcPr>
          <w:p w14:paraId="6070EC7C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垂向步长 dz</w:t>
            </w:r>
          </w:p>
        </w:tc>
        <w:tc>
          <w:tcPr>
            <w:tcW w:w="3061" w:type="dxa"/>
            <w:shd w:val="clear" w:color="auto" w:fill="F2F5FA"/>
            <w:vAlign w:val="center"/>
          </w:tcPr>
          <w:p w14:paraId="4599C0FC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0.01 m</w:t>
            </w:r>
          </w:p>
        </w:tc>
        <w:tc>
          <w:tcPr>
            <w:tcW w:w="3515" w:type="dxa"/>
            <w:shd w:val="clear" w:color="auto" w:fill="F2F5FA"/>
            <w:vAlign w:val="center"/>
          </w:tcPr>
          <w:p w14:paraId="3BE3514A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0.01 / 0.005 / 0.0025 m</w:t>
            </w:r>
          </w:p>
        </w:tc>
      </w:tr>
      <w:tr w14:paraId="6112C3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7D16A599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计算域</w:t>
            </w:r>
          </w:p>
        </w:tc>
        <w:tc>
          <w:tcPr>
            <w:tcW w:w="3061" w:type="dxa"/>
            <w:vAlign w:val="center"/>
          </w:tcPr>
          <w:p w14:paraId="5ECB15D4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5.00 m × 0.28 m</w:t>
            </w:r>
          </w:p>
        </w:tc>
        <w:tc>
          <w:tcPr>
            <w:tcW w:w="3515" w:type="dxa"/>
            <w:vAlign w:val="center"/>
          </w:tcPr>
          <w:p w14:paraId="6C94660E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5.00 m × 0.28 m</w:t>
            </w:r>
          </w:p>
        </w:tc>
      </w:tr>
      <w:tr w14:paraId="674E8A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2F5FA"/>
            <w:vAlign w:val="center"/>
          </w:tcPr>
          <w:p w14:paraId="4F365401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网格总量</w:t>
            </w:r>
          </w:p>
        </w:tc>
        <w:tc>
          <w:tcPr>
            <w:tcW w:w="3061" w:type="dxa"/>
            <w:shd w:val="clear" w:color="auto" w:fill="F2F5FA"/>
            <w:vAlign w:val="center"/>
          </w:tcPr>
          <w:p w14:paraId="45A31E04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约 1.4 万</w:t>
            </w:r>
          </w:p>
        </w:tc>
        <w:tc>
          <w:tcPr>
            <w:tcW w:w="3515" w:type="dxa"/>
            <w:shd w:val="clear" w:color="auto" w:fill="F2F5FA"/>
            <w:vAlign w:val="center"/>
          </w:tcPr>
          <w:p w14:paraId="5A86E494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2.8 万 - 11.2 万</w:t>
            </w:r>
          </w:p>
        </w:tc>
      </w:tr>
      <w:tr w14:paraId="6C5BEA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6B7ED728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仿真时长</w:t>
            </w:r>
          </w:p>
        </w:tc>
        <w:tc>
          <w:tcPr>
            <w:tcW w:w="3061" w:type="dxa"/>
            <w:vAlign w:val="center"/>
          </w:tcPr>
          <w:p w14:paraId="6A52A5C4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30 s</w:t>
            </w:r>
          </w:p>
        </w:tc>
        <w:tc>
          <w:tcPr>
            <w:tcW w:w="3515" w:type="dxa"/>
            <w:vAlign w:val="center"/>
          </w:tcPr>
          <w:p w14:paraId="1D52FAD2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30 s</w:t>
            </w:r>
          </w:p>
        </w:tc>
      </w:tr>
      <w:tr w14:paraId="1053BE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2F5FA"/>
            <w:vAlign w:val="center"/>
          </w:tcPr>
          <w:p w14:paraId="62D553A1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实际耗时</w:t>
            </w:r>
          </w:p>
        </w:tc>
        <w:tc>
          <w:tcPr>
            <w:tcW w:w="3061" w:type="dxa"/>
            <w:shd w:val="clear" w:color="auto" w:fill="F2F5FA"/>
            <w:vAlign w:val="center"/>
          </w:tcPr>
          <w:p w14:paraId="7F301E6F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约 1 小时</w:t>
            </w:r>
          </w:p>
        </w:tc>
        <w:tc>
          <w:tcPr>
            <w:tcW w:w="3515" w:type="dxa"/>
            <w:shd w:val="clear" w:color="auto" w:fill="F2F5FA"/>
            <w:vAlign w:val="center"/>
          </w:tcPr>
          <w:p w14:paraId="01E7DFBA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—</w:t>
            </w:r>
          </w:p>
        </w:tc>
      </w:tr>
    </w:tbl>
    <w:p w14:paraId="7BDC05EB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95959"/>
          <w:sz w:val="18"/>
        </w:rPr>
        <w:t>表 2  本次计算与论文的网格设置对比</w:t>
      </w:r>
    </w:p>
    <w:p w14:paraId="0D6D58F7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本次只跑一档，而且水平方向只有论文的一半细。这样做的目的不是替代论文结果，而是先用约一小时把整条链路走通；等流程稳定后，再把 Nx 和 Nz 加到论文设置。</w:t>
      </w:r>
    </w:p>
    <w:p w14:paraId="4002087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1.4 结果与对比</w:t>
      </w:r>
    </w:p>
    <w:p w14:paraId="6F2B2702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四个测站的波谷值如下。表中“差值”为本次减论文，正值表示本次波谷更浅。</w:t>
      </w:r>
    </w:p>
    <w:tbl>
      <w:tblPr>
        <w:tblStyle w:val="32"/>
        <w:tblW w:w="9297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5" w:type="dxa"/>
          <w:left w:w="120" w:type="dxa"/>
          <w:bottom w:w="75" w:type="dxa"/>
          <w:right w:w="120" w:type="dxa"/>
        </w:tblCellMar>
      </w:tblPr>
      <w:tblGrid>
        <w:gridCol w:w="1247"/>
        <w:gridCol w:w="1927"/>
        <w:gridCol w:w="2267"/>
        <w:gridCol w:w="1814"/>
        <w:gridCol w:w="2040"/>
      </w:tblGrid>
      <w:tr w14:paraId="44BC76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1F3864"/>
            <w:vAlign w:val="center"/>
          </w:tcPr>
          <w:p w14:paraId="45CF5FB2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测站</w:t>
            </w:r>
          </w:p>
        </w:tc>
        <w:tc>
          <w:tcPr>
            <w:tcW w:w="1928" w:type="dxa"/>
            <w:shd w:val="clear" w:color="auto" w:fill="1F3864"/>
            <w:vAlign w:val="center"/>
          </w:tcPr>
          <w:p w14:paraId="32F734AF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本次 ζmin (cm)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54BD5B5F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论文 Nx1000-Nz28</w:t>
            </w:r>
          </w:p>
        </w:tc>
        <w:tc>
          <w:tcPr>
            <w:tcW w:w="1814" w:type="dxa"/>
            <w:shd w:val="clear" w:color="auto" w:fill="1F3864"/>
            <w:vAlign w:val="center"/>
          </w:tcPr>
          <w:p w14:paraId="53724BB1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实验 ζmin (cm)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7C0929CB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本次 - 论文</w:t>
            </w:r>
          </w:p>
        </w:tc>
      </w:tr>
      <w:tr w14:paraId="36CC91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BAE4CE8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G1</w:t>
            </w:r>
          </w:p>
        </w:tc>
        <w:tc>
          <w:tcPr>
            <w:tcW w:w="1928" w:type="dxa"/>
            <w:vAlign w:val="center"/>
          </w:tcPr>
          <w:p w14:paraId="2C8AF28C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-4.33</w:t>
            </w:r>
          </w:p>
        </w:tc>
        <w:tc>
          <w:tcPr>
            <w:tcW w:w="2268" w:type="dxa"/>
            <w:vAlign w:val="center"/>
          </w:tcPr>
          <w:p w14:paraId="212DFA00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-4.48</w:t>
            </w:r>
          </w:p>
        </w:tc>
        <w:tc>
          <w:tcPr>
            <w:tcW w:w="1814" w:type="dxa"/>
            <w:vAlign w:val="center"/>
          </w:tcPr>
          <w:p w14:paraId="4CB02C14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-3.49</w:t>
            </w:r>
          </w:p>
        </w:tc>
        <w:tc>
          <w:tcPr>
            <w:tcW w:w="2041" w:type="dxa"/>
            <w:vAlign w:val="center"/>
          </w:tcPr>
          <w:p w14:paraId="66AA7AED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+0.15</w:t>
            </w:r>
          </w:p>
        </w:tc>
      </w:tr>
      <w:tr w14:paraId="627126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2F5FA"/>
            <w:vAlign w:val="center"/>
          </w:tcPr>
          <w:p w14:paraId="5C55F064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G2</w:t>
            </w:r>
          </w:p>
        </w:tc>
        <w:tc>
          <w:tcPr>
            <w:tcW w:w="1928" w:type="dxa"/>
            <w:shd w:val="clear" w:color="auto" w:fill="F2F5FA"/>
            <w:vAlign w:val="center"/>
          </w:tcPr>
          <w:p w14:paraId="7B17412C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-4.34</w:t>
            </w:r>
          </w:p>
        </w:tc>
        <w:tc>
          <w:tcPr>
            <w:tcW w:w="2268" w:type="dxa"/>
            <w:shd w:val="clear" w:color="auto" w:fill="F2F5FA"/>
            <w:vAlign w:val="center"/>
          </w:tcPr>
          <w:p w14:paraId="2F2DBE25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-4.51</w:t>
            </w:r>
          </w:p>
        </w:tc>
        <w:tc>
          <w:tcPr>
            <w:tcW w:w="1814" w:type="dxa"/>
            <w:shd w:val="clear" w:color="auto" w:fill="F2F5FA"/>
            <w:vAlign w:val="center"/>
          </w:tcPr>
          <w:p w14:paraId="418EAE52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-3.50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470D7301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+0.17</w:t>
            </w:r>
          </w:p>
        </w:tc>
      </w:tr>
      <w:tr w14:paraId="0EF4FB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59700A8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G3</w:t>
            </w:r>
          </w:p>
        </w:tc>
        <w:tc>
          <w:tcPr>
            <w:tcW w:w="1928" w:type="dxa"/>
            <w:vAlign w:val="center"/>
          </w:tcPr>
          <w:p w14:paraId="6E4227F0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-4.27</w:t>
            </w:r>
          </w:p>
        </w:tc>
        <w:tc>
          <w:tcPr>
            <w:tcW w:w="2268" w:type="dxa"/>
            <w:vAlign w:val="center"/>
          </w:tcPr>
          <w:p w14:paraId="125F4C06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-4.45</w:t>
            </w:r>
          </w:p>
        </w:tc>
        <w:tc>
          <w:tcPr>
            <w:tcW w:w="1814" w:type="dxa"/>
            <w:vAlign w:val="center"/>
          </w:tcPr>
          <w:p w14:paraId="5A557F77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-3.47</w:t>
            </w:r>
          </w:p>
        </w:tc>
        <w:tc>
          <w:tcPr>
            <w:tcW w:w="2041" w:type="dxa"/>
            <w:vAlign w:val="center"/>
          </w:tcPr>
          <w:p w14:paraId="79F03D7C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+0.18</w:t>
            </w:r>
          </w:p>
        </w:tc>
      </w:tr>
      <w:tr w14:paraId="7AC216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2F5FA"/>
            <w:vAlign w:val="center"/>
          </w:tcPr>
          <w:p w14:paraId="3CF2ABD6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G4</w:t>
            </w:r>
          </w:p>
        </w:tc>
        <w:tc>
          <w:tcPr>
            <w:tcW w:w="1928" w:type="dxa"/>
            <w:shd w:val="clear" w:color="auto" w:fill="F2F5FA"/>
            <w:vAlign w:val="center"/>
          </w:tcPr>
          <w:p w14:paraId="673C6B86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-4.31</w:t>
            </w:r>
          </w:p>
        </w:tc>
        <w:tc>
          <w:tcPr>
            <w:tcW w:w="2268" w:type="dxa"/>
            <w:shd w:val="clear" w:color="auto" w:fill="F2F5FA"/>
            <w:vAlign w:val="center"/>
          </w:tcPr>
          <w:p w14:paraId="7BA64B0F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-4.55</w:t>
            </w:r>
          </w:p>
        </w:tc>
        <w:tc>
          <w:tcPr>
            <w:tcW w:w="1814" w:type="dxa"/>
            <w:shd w:val="clear" w:color="auto" w:fill="F2F5FA"/>
            <w:vAlign w:val="center"/>
          </w:tcPr>
          <w:p w14:paraId="3B947AB1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-3.56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0EDCE67F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+0.24</w:t>
            </w:r>
          </w:p>
        </w:tc>
      </w:tr>
    </w:tbl>
    <w:p w14:paraId="12601F63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95959"/>
          <w:sz w:val="18"/>
        </w:rPr>
        <w:t>表 3  四个测站的波谷值对比</w:t>
      </w:r>
    </w:p>
    <w:p w14:paraId="7DB05E94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本次比论文同一档 Nz=28 浅 0.15-0.24 cm，约 3%-5%。差异方向与网格粗细一致：水平网格从 1000 降到 500 后，数值耗散更强，波谷被磨浅。主波到达时刻和整体形状与论文粗网格基本一致，尾波和反射波的细节受网格影响更明显。</w:t>
      </w:r>
    </w:p>
    <w:p w14:paraId="69972B44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模型整体仍比实验深约 0.8-1.2 cm。粗网格的 0.8 cm 差距看起来更小，但这是粗网格耗散与模型系统偏差相互抵消的结果，不能作为精度更高的证据。论文最细网格与实验仍差约 1 cm，说明差异不是单靠加密网格就能消除。</w:t>
      </w:r>
    </w:p>
    <w:p w14:paraId="65699E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1C43009">
      <w:pPr>
        <w:spacing w:before="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31840" cy="7872730"/>
            <wp:effectExtent l="0" t="0" r="0" b="0"/>
            <wp:docPr id="1" name="Picture 1" descr="本次粗网格结果与论文、实验数据的四测站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本次粗网格结果与论文、实验数据的四测站对比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78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5F96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95959"/>
          <w:sz w:val="18"/>
        </w:rPr>
        <w:t>图 1  本次粗网格结果与论文 Nx1000-Nz28、实验数据的对比（各曲线波谷对齐到 t=0）</w:t>
      </w:r>
    </w:p>
    <w:p w14:paraId="37F512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1B33EC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1.5 成果包与可复现性</w:t>
      </w:r>
    </w:p>
    <w:p w14:paraId="159F49DF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成果包按五步组织，每一步都分成“调用的”和“成果”两个子目录。这样既能看出用了哪些文件，也能直接找到运行后的产物。</w:t>
      </w:r>
    </w:p>
    <w:tbl>
      <w:tblPr>
        <w:tblStyle w:val="32"/>
        <w:tblW w:w="9297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5" w:type="dxa"/>
          <w:left w:w="120" w:type="dxa"/>
          <w:bottom w:w="75" w:type="dxa"/>
          <w:right w:w="120" w:type="dxa"/>
        </w:tblCellMar>
      </w:tblPr>
      <w:tblGrid>
        <w:gridCol w:w="1587"/>
        <w:gridCol w:w="3514"/>
        <w:gridCol w:w="2834"/>
        <w:gridCol w:w="1360"/>
      </w:tblGrid>
      <w:tr w14:paraId="495105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1F3864"/>
            <w:vAlign w:val="center"/>
          </w:tcPr>
          <w:p w14:paraId="41B8D8B7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步骤</w:t>
            </w:r>
          </w:p>
        </w:tc>
        <w:tc>
          <w:tcPr>
            <w:tcW w:w="3515" w:type="dxa"/>
            <w:shd w:val="clear" w:color="auto" w:fill="1F3864"/>
            <w:vAlign w:val="center"/>
          </w:tcPr>
          <w:p w14:paraId="4B7FD8F4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主要程序或文件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522CE989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主要产物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30890E24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本次耗时</w:t>
            </w:r>
          </w:p>
        </w:tc>
      </w:tr>
      <w:tr w14:paraId="23F08B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36E3608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前处理</w:t>
            </w:r>
          </w:p>
        </w:tc>
        <w:tc>
          <w:tcPr>
            <w:tcW w:w="3515" w:type="dxa"/>
            <w:vAlign w:val="center"/>
          </w:tcPr>
          <w:p w14:paraId="31BDF1D2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preprocessNhwaveFunwaveData.py 及函数文件</w:t>
            </w:r>
          </w:p>
        </w:tc>
        <w:tc>
          <w:tcPr>
            <w:tcW w:w="2835" w:type="dxa"/>
            <w:vAlign w:val="center"/>
          </w:tcPr>
          <w:p w14:paraId="530F7FFD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13 个输入 txt、前处理示意图</w:t>
            </w:r>
          </w:p>
        </w:tc>
        <w:tc>
          <w:tcPr>
            <w:tcW w:w="1361" w:type="dxa"/>
            <w:vAlign w:val="center"/>
          </w:tcPr>
          <w:p w14:paraId="0564D3F3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1-2 分钟</w:t>
            </w:r>
          </w:p>
        </w:tc>
      </w:tr>
      <w:tr w14:paraId="5D88A0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2F5FA"/>
            <w:vAlign w:val="center"/>
          </w:tcPr>
          <w:p w14:paraId="5E37C88D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编译</w:t>
            </w:r>
          </w:p>
        </w:tc>
        <w:tc>
          <w:tcPr>
            <w:tcW w:w="3515" w:type="dxa"/>
            <w:shd w:val="clear" w:color="auto" w:fill="F2F5FA"/>
            <w:vAlign w:val="center"/>
          </w:tcPr>
          <w:p w14:paraId="70F66BA3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MakefileDensity1 与 Fortran 源码</w:t>
            </w:r>
          </w:p>
        </w:tc>
        <w:tc>
          <w:tcPr>
            <w:tcW w:w="2835" w:type="dxa"/>
            <w:shd w:val="clear" w:color="auto" w:fill="F2F5FA"/>
            <w:vAlign w:val="center"/>
          </w:tcPr>
          <w:p w14:paraId="48996346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nhwaveZhisongDensity1、compile.log</w:t>
            </w:r>
          </w:p>
        </w:tc>
        <w:tc>
          <w:tcPr>
            <w:tcW w:w="1361" w:type="dxa"/>
            <w:shd w:val="clear" w:color="auto" w:fill="F2F5FA"/>
            <w:vAlign w:val="center"/>
          </w:tcPr>
          <w:p w14:paraId="552E9397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2-5 分钟</w:t>
            </w:r>
          </w:p>
        </w:tc>
      </w:tr>
      <w:tr w14:paraId="324E5F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0D9A679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跑模型</w:t>
            </w:r>
          </w:p>
        </w:tc>
        <w:tc>
          <w:tcPr>
            <w:tcW w:w="3515" w:type="dxa"/>
            <w:vAlign w:val="center"/>
          </w:tcPr>
          <w:p w14:paraId="52B0DA48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input-Nx0500-Nz028.txt 与控制参数</w:t>
            </w:r>
          </w:p>
        </w:tc>
        <w:tc>
          <w:tcPr>
            <w:tcW w:w="2835" w:type="dxa"/>
            <w:vAlign w:val="center"/>
          </w:tcPr>
          <w:p w14:paraId="2E65DC07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run.log、probe 输出</w:t>
            </w:r>
          </w:p>
        </w:tc>
        <w:tc>
          <w:tcPr>
            <w:tcW w:w="1361" w:type="dxa"/>
            <w:vAlign w:val="center"/>
          </w:tcPr>
          <w:p w14:paraId="7B512F8D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约 1 小时</w:t>
            </w:r>
          </w:p>
        </w:tc>
      </w:tr>
      <w:tr w14:paraId="5A36B6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2F5FA"/>
            <w:vAlign w:val="center"/>
          </w:tcPr>
          <w:p w14:paraId="3E2EC4A1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后处理</w:t>
            </w:r>
          </w:p>
        </w:tc>
        <w:tc>
          <w:tcPr>
            <w:tcW w:w="3515" w:type="dxa"/>
            <w:shd w:val="clear" w:color="auto" w:fill="F2F5FA"/>
            <w:vAlign w:val="center"/>
          </w:tcPr>
          <w:p w14:paraId="347DFC87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postprocess_probes.py、figureGauge.py</w:t>
            </w:r>
          </w:p>
        </w:tc>
        <w:tc>
          <w:tcPr>
            <w:tcW w:w="2835" w:type="dxa"/>
            <w:shd w:val="clear" w:color="auto" w:fill="F2F5FA"/>
            <w:vAlign w:val="center"/>
          </w:tcPr>
          <w:p w14:paraId="409911E6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zeta_curves.csv、四联图</w:t>
            </w:r>
          </w:p>
        </w:tc>
        <w:tc>
          <w:tcPr>
            <w:tcW w:w="1361" w:type="dxa"/>
            <w:shd w:val="clear" w:color="auto" w:fill="F2F5FA"/>
            <w:vAlign w:val="center"/>
          </w:tcPr>
          <w:p w14:paraId="75EB0851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1-2 分钟</w:t>
            </w:r>
          </w:p>
        </w:tc>
      </w:tr>
      <w:tr w14:paraId="4B081C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927D44E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对比</w:t>
            </w:r>
          </w:p>
        </w:tc>
        <w:tc>
          <w:tcPr>
            <w:tcW w:w="3515" w:type="dxa"/>
            <w:vAlign w:val="center"/>
          </w:tcPr>
          <w:p w14:paraId="4095E280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论文 Fig. 3 与实验数据</w:t>
            </w:r>
          </w:p>
        </w:tc>
        <w:tc>
          <w:tcPr>
            <w:tcW w:w="2835" w:type="dxa"/>
            <w:vAlign w:val="center"/>
          </w:tcPr>
          <w:p w14:paraId="2696EF57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结果对比图、偏差统计</w:t>
            </w:r>
          </w:p>
        </w:tc>
        <w:tc>
          <w:tcPr>
            <w:tcW w:w="1361" w:type="dxa"/>
            <w:vAlign w:val="center"/>
          </w:tcPr>
          <w:p w14:paraId="61863EB8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数分钟</w:t>
            </w:r>
          </w:p>
        </w:tc>
      </w:tr>
    </w:tbl>
    <w:p w14:paraId="5BDCBB67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95959"/>
          <w:sz w:val="18"/>
        </w:rPr>
        <w:t>表 4  五步流程与主要产物</w:t>
      </w:r>
    </w:p>
    <w:p w14:paraId="747B99ED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两次独立运行后，zeta_curves.csv 的 MD5 完全一致，说明在当前机器和参数下结果可重复。操作手册给出了每一步的命令、预期输出、运行时间和常见错误；换机器时需要重新安装 Ubuntu 侧的依赖。</w:t>
      </w:r>
    </w:p>
    <w:p w14:paraId="32797B21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前处理生成 13 个 txt：x、xc、y、yc、sigma、sigmac、depth 七个网格与水深文件，eta0、u0、v0、w0、sali0 五个初始场文件，以及 stat.txt 测站文件。这 13 个文件就是下一步 NHWAVE 直接读取的输入。</w:t>
      </w:r>
    </w:p>
    <w:p w14:paraId="0E22EC7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1.6 当前问题</w:t>
      </w:r>
    </w:p>
    <w:p w14:paraId="743E06E1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前处理代码已梳理到三个类：ClassNhwaveMesh 负责网格和水深，ClassNhwaveEtaUVW 负责初始水面、流速、密度与盐度，ClassNhwaveStation 负责测站。现在正在把每个参数对应到论文 3.1 节，并核对初始场的构造方式。</w:t>
      </w:r>
    </w:p>
    <w:p w14:paraId="5E30F420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需要确认：</w:t>
      </w:r>
      <w:r>
        <w:rPr>
          <w:rFonts w:hint="eastAsia" w:ascii="宋体" w:hAnsi="宋体" w:eastAsia="宋体" w:cs="宋体"/>
          <w:b w:val="0"/>
          <w:color w:val="000000"/>
          <w:sz w:val="21"/>
        </w:rPr>
        <w:t>代码实际调用 _build_salinity()，用 np.where 生成硬阶跃界面；论文 3.4.1 节描述的是有限厚度 tanh 过渡层（Eq. 12）。这可能是为了简化数值实现，也可能我拿到的是较早版本。这个差异会影响界面厚度的解释，需要确认后再写进最终报告。</w:t>
      </w:r>
    </w:p>
    <w:p w14:paraId="2B0FD9B8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另一个问题是三档网格的计算量。Nx=1000、Nz=112 的网格量约为本次的 8 倍，实际耗时还会受时间步长和并行效率影响，需要超算资源。</w:t>
      </w:r>
    </w:p>
    <w:p w14:paraId="408198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69BEF00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二、论文研读</w:t>
      </w:r>
    </w:p>
    <w:p w14:paraId="6115087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实验设置</w:t>
      </w:r>
    </w:p>
    <w:p w14:paraId="7CF29349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中文论文《基于 OpenFOAM 软件的内孤立波生成模拟及试验》采用重力塌陷法造波。上层是低密度硅油，下层是高密度水，挡板把两层液体分开，并使两侧界面高度不同；撤去挡板后，界面在重力作用下坍塌，生成沿水槽向右侧传播的内孤立波。</w:t>
      </w:r>
    </w:p>
    <w:tbl>
      <w:tblPr>
        <w:tblStyle w:val="32"/>
        <w:tblW w:w="9297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5" w:type="dxa"/>
          <w:left w:w="120" w:type="dxa"/>
          <w:bottom w:w="75" w:type="dxa"/>
          <w:right w:w="120" w:type="dxa"/>
        </w:tblCellMar>
      </w:tblPr>
      <w:tblGrid>
        <w:gridCol w:w="3288"/>
        <w:gridCol w:w="6009"/>
      </w:tblGrid>
      <w:tr w14:paraId="56B4CB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3288" w:type="dxa"/>
            <w:shd w:val="clear" w:color="auto" w:fill="1F3864"/>
            <w:vAlign w:val="center"/>
          </w:tcPr>
          <w:p w14:paraId="4EF5DCBF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实验参数</w:t>
            </w:r>
          </w:p>
        </w:tc>
        <w:tc>
          <w:tcPr>
            <w:tcW w:w="6009" w:type="dxa"/>
            <w:shd w:val="clear" w:color="auto" w:fill="1F3864"/>
            <w:vAlign w:val="center"/>
          </w:tcPr>
          <w:p w14:paraId="6B77E7C7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数值</w:t>
            </w:r>
          </w:p>
        </w:tc>
      </w:tr>
      <w:tr w14:paraId="255380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3288" w:type="dxa"/>
            <w:vAlign w:val="center"/>
          </w:tcPr>
          <w:p w14:paraId="36F08484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水槽内部尺寸</w:t>
            </w:r>
          </w:p>
        </w:tc>
        <w:tc>
          <w:tcPr>
            <w:tcW w:w="6009" w:type="dxa"/>
            <w:vAlign w:val="center"/>
          </w:tcPr>
          <w:p w14:paraId="60814446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5.00 m × 0.47 m × 0.55 m</w:t>
            </w:r>
          </w:p>
        </w:tc>
      </w:tr>
      <w:tr w14:paraId="0AA2A6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3288" w:type="dxa"/>
            <w:shd w:val="clear" w:color="auto" w:fill="F2F5FA"/>
            <w:vAlign w:val="center"/>
          </w:tcPr>
          <w:p w14:paraId="1985FD8F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上层硅油</w:t>
            </w:r>
          </w:p>
        </w:tc>
        <w:tc>
          <w:tcPr>
            <w:tcW w:w="6009" w:type="dxa"/>
            <w:shd w:val="clear" w:color="auto" w:fill="F2F5FA"/>
            <w:vAlign w:val="center"/>
          </w:tcPr>
          <w:p w14:paraId="6912CBF8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ρ=941 kg/m³，厚 0.04 m</w:t>
            </w:r>
          </w:p>
        </w:tc>
      </w:tr>
      <w:tr w14:paraId="7A8BA2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3288" w:type="dxa"/>
            <w:vAlign w:val="center"/>
          </w:tcPr>
          <w:p w14:paraId="56BDC4DF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下层水</w:t>
            </w:r>
          </w:p>
        </w:tc>
        <w:tc>
          <w:tcPr>
            <w:tcW w:w="6009" w:type="dxa"/>
            <w:vAlign w:val="center"/>
          </w:tcPr>
          <w:p w14:paraId="15DC94DA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ρ=1006 kg/m³，厚 0.24 m</w:t>
            </w:r>
          </w:p>
        </w:tc>
      </w:tr>
      <w:tr w14:paraId="0EAC32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3288" w:type="dxa"/>
            <w:shd w:val="clear" w:color="auto" w:fill="F2F5FA"/>
            <w:vAlign w:val="center"/>
          </w:tcPr>
          <w:p w14:paraId="23299C4D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挡板位置与锁长</w:t>
            </w:r>
          </w:p>
        </w:tc>
        <w:tc>
          <w:tcPr>
            <w:tcW w:w="6009" w:type="dxa"/>
            <w:shd w:val="clear" w:color="auto" w:fill="F2F5FA"/>
            <w:vAlign w:val="center"/>
          </w:tcPr>
          <w:p w14:paraId="174D48AB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x=0，锁长 0.33 m</w:t>
            </w:r>
          </w:p>
        </w:tc>
      </w:tr>
      <w:tr w14:paraId="76113A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3288" w:type="dxa"/>
            <w:vAlign w:val="center"/>
          </w:tcPr>
          <w:p w14:paraId="41A1219F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初始界面落差</w:t>
            </w:r>
          </w:p>
        </w:tc>
        <w:tc>
          <w:tcPr>
            <w:tcW w:w="6009" w:type="dxa"/>
            <w:vAlign w:val="center"/>
          </w:tcPr>
          <w:p w14:paraId="1F2B797E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0.07 m</w:t>
            </w:r>
          </w:p>
        </w:tc>
      </w:tr>
      <w:tr w14:paraId="3E7CE6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3288" w:type="dxa"/>
            <w:shd w:val="clear" w:color="auto" w:fill="F2F5FA"/>
            <w:vAlign w:val="center"/>
          </w:tcPr>
          <w:p w14:paraId="15230813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测站位置</w:t>
            </w:r>
          </w:p>
        </w:tc>
        <w:tc>
          <w:tcPr>
            <w:tcW w:w="6009" w:type="dxa"/>
            <w:shd w:val="clear" w:color="auto" w:fill="F2F5FA"/>
            <w:vAlign w:val="center"/>
          </w:tcPr>
          <w:p w14:paraId="4DE0F66D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G1-G4：2.0 / 2.5 / 3.0 / 3.5 m</w:t>
            </w:r>
          </w:p>
        </w:tc>
      </w:tr>
    </w:tbl>
    <w:p w14:paraId="252A3E27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95959"/>
          <w:sz w:val="18"/>
        </w:rPr>
        <w:t>表 5  重力塌陷实验的主要参数</w:t>
      </w:r>
    </w:p>
    <w:p w14:paraId="13B4861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主要结论</w:t>
      </w:r>
    </w:p>
    <w:p w14:paraId="017E63CC">
      <w:pPr>
        <w:spacing w:after="60" w:line="336" w:lineRule="auto"/>
        <w:ind w:left="425" w:hanging="22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 xml:space="preserve">• </w:t>
      </w:r>
      <w:r>
        <w:rPr>
          <w:rFonts w:hint="eastAsia" w:ascii="宋体" w:hAnsi="宋体" w:eastAsia="宋体" w:cs="宋体"/>
          <w:b/>
          <w:color w:val="000000"/>
          <w:sz w:val="21"/>
        </w:rPr>
        <w:t>主波与尾波：</w:t>
      </w:r>
      <w:r>
        <w:rPr>
          <w:rFonts w:hint="eastAsia" w:ascii="宋体" w:hAnsi="宋体" w:eastAsia="宋体" w:cs="宋体"/>
          <w:b w:val="0"/>
          <w:color w:val="000000"/>
          <w:sz w:val="21"/>
        </w:rPr>
        <w:t>重力塌陷不会只产生一个干净的主波，还会产生尾波。论文用小波变换分析主波与尾波的能量，指出尾波能量不可忽略，约为总能量的三分之一。</w:t>
      </w:r>
    </w:p>
    <w:p w14:paraId="2F4E9496">
      <w:pPr>
        <w:spacing w:after="60" w:line="336" w:lineRule="auto"/>
        <w:ind w:left="425" w:hanging="227"/>
        <w:rPr>
          <w:rFonts w:hint="eastAsia" w:ascii="宋体" w:hAnsi="宋体" w:cs="宋体"/>
          <w:b w:val="0"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 xml:space="preserve">• </w:t>
      </w:r>
      <w:r>
        <w:rPr>
          <w:rFonts w:hint="eastAsia" w:ascii="宋体" w:hAnsi="宋体" w:eastAsia="宋体" w:cs="宋体"/>
          <w:b/>
          <w:color w:val="000000"/>
          <w:sz w:val="21"/>
        </w:rPr>
        <w:t>噪声处理：</w:t>
      </w:r>
      <w:r>
        <w:rPr>
          <w:rFonts w:hint="eastAsia" w:ascii="宋体" w:hAnsi="宋体" w:eastAsia="宋体" w:cs="宋体"/>
          <w:b w:val="0"/>
          <w:color w:val="000000"/>
          <w:sz w:val="21"/>
        </w:rPr>
        <w:t>实验信号本身带有毛刺和杂波，需要通过光顺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做</w:t>
      </w:r>
      <w:r>
        <w:rPr>
          <w:rFonts w:hint="eastAsia" w:ascii="宋体" w:hAnsi="宋体" w:eastAsia="宋体" w:cs="宋体"/>
          <w:b w:val="0"/>
          <w:color w:val="000000"/>
          <w:sz w:val="21"/>
        </w:rPr>
        <w:t>滤波处理，否则会影响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主波的波峰大小</w:t>
      </w:r>
    </w:p>
    <w:p w14:paraId="4AF967DA">
      <w:pPr>
        <w:spacing w:after="60" w:line="336" w:lineRule="auto"/>
        <w:ind w:left="425" w:hanging="22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 xml:space="preserve">• </w:t>
      </w:r>
      <w:r>
        <w:rPr>
          <w:rFonts w:hint="eastAsia" w:ascii="宋体" w:hAnsi="宋体" w:eastAsia="宋体" w:cs="宋体"/>
          <w:b/>
          <w:color w:val="000000"/>
          <w:sz w:val="21"/>
        </w:rPr>
        <w:t>理论对比：</w:t>
      </w:r>
      <w:r>
        <w:rPr>
          <w:rFonts w:hint="eastAsia" w:ascii="宋体" w:hAnsi="宋体" w:eastAsia="宋体" w:cs="宋体"/>
          <w:b w:val="0"/>
          <w:color w:val="000000"/>
          <w:sz w:val="21"/>
        </w:rPr>
        <w:t>论文将实验波形与 KdV/eKdV 类理论模型对比，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最后得出该实验的结果和e</w:t>
      </w:r>
      <w:r>
        <w:rPr>
          <w:rFonts w:hint="eastAsia" w:ascii="宋体" w:hAnsi="宋体" w:eastAsia="宋体" w:cs="宋体"/>
          <w:b w:val="0"/>
          <w:color w:val="000000"/>
          <w:sz w:val="21"/>
        </w:rPr>
        <w:t>KdV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模型的数值模拟结果相拟合</w:t>
      </w:r>
      <w:r>
        <w:rPr>
          <w:rFonts w:hint="eastAsia" w:ascii="宋体" w:hAnsi="宋体" w:eastAsia="宋体" w:cs="宋体"/>
          <w:b w:val="0"/>
          <w:color w:val="000000"/>
          <w:sz w:val="21"/>
        </w:rPr>
        <w:t>。</w:t>
      </w:r>
    </w:p>
    <w:p w14:paraId="4E85E25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 收获与下一步</w:t>
      </w:r>
    </w:p>
    <w:p w14:paraId="6725B1C2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这部分最大的收获是把“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非线性效应</w:t>
      </w:r>
      <w:r>
        <w:rPr>
          <w:rFonts w:hint="eastAsia" w:ascii="宋体" w:hAnsi="宋体" w:eastAsia="宋体" w:cs="宋体"/>
          <w:b w:val="0"/>
          <w:color w:val="000000"/>
          <w:sz w:val="21"/>
        </w:rPr>
        <w:t>、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频散效应</w:t>
      </w:r>
      <w:r>
        <w:rPr>
          <w:rFonts w:hint="eastAsia" w:ascii="宋体" w:hAnsi="宋体" w:eastAsia="宋体" w:cs="宋体"/>
          <w:b w:val="0"/>
          <w:color w:val="000000"/>
          <w:sz w:val="21"/>
        </w:rPr>
        <w:t>、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重力塌陷法</w:t>
      </w:r>
      <w:r>
        <w:rPr>
          <w:rFonts w:hint="eastAsia" w:ascii="宋体" w:hAnsi="宋体" w:eastAsia="宋体" w:cs="宋体"/>
          <w:b w:val="0"/>
          <w:color w:val="000000"/>
          <w:sz w:val="21"/>
        </w:rPr>
        <w:t>、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小波变换法、</w:t>
      </w:r>
      <w:r>
        <w:rPr>
          <w:rFonts w:hint="eastAsia" w:ascii="宋体" w:hAnsi="宋体" w:eastAsia="宋体" w:cs="宋体"/>
          <w:b w:val="0"/>
          <w:color w:val="000000"/>
          <w:sz w:val="21"/>
        </w:rPr>
        <w:t>尾波</w:t>
      </w:r>
      <w:r>
        <w:rPr>
          <w:rFonts w:hint="eastAsia" w:ascii="宋体" w:hAnsi="宋体" w:cs="宋体"/>
          <w:b w:val="0"/>
          <w:color w:val="000000"/>
          <w:sz w:val="21"/>
          <w:lang w:eastAsia="zh-CN"/>
        </w:rPr>
        <w:t>，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等</w:t>
      </w:r>
      <w:r>
        <w:rPr>
          <w:rFonts w:hint="eastAsia" w:ascii="宋体" w:hAnsi="宋体" w:eastAsia="宋体" w:cs="宋体"/>
          <w:b w:val="0"/>
          <w:color w:val="000000"/>
          <w:sz w:val="21"/>
        </w:rPr>
        <w:t>”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实验方法进行了解并</w:t>
      </w:r>
      <w:r>
        <w:rPr>
          <w:rFonts w:hint="eastAsia" w:ascii="宋体" w:hAnsi="宋体" w:eastAsia="宋体" w:cs="宋体"/>
          <w:b w:val="0"/>
          <w:color w:val="000000"/>
          <w:sz w:val="21"/>
        </w:rPr>
        <w:t>在纸质版上做了标注，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如果后续有需要，我会将纸质版带有批注的文献</w:t>
      </w:r>
      <w:r>
        <w:rPr>
          <w:rFonts w:hint="eastAsia" w:ascii="宋体" w:hAnsi="宋体" w:eastAsia="宋体" w:cs="宋体"/>
          <w:b w:val="0"/>
          <w:color w:val="000000"/>
          <w:sz w:val="21"/>
        </w:rPr>
        <w:t>，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整理成电子版</w:t>
      </w:r>
      <w:r>
        <w:rPr>
          <w:rFonts w:hint="eastAsia" w:ascii="宋体" w:hAnsi="宋体" w:eastAsia="宋体" w:cs="宋体"/>
          <w:b w:val="0"/>
          <w:color w:val="000000"/>
          <w:sz w:val="21"/>
        </w:rPr>
        <w:t>方便</w:t>
      </w:r>
      <w:r>
        <w:rPr>
          <w:rFonts w:hint="eastAsia" w:ascii="宋体" w:hAnsi="宋体" w:cs="宋体"/>
          <w:b w:val="0"/>
          <w:color w:val="000000"/>
          <w:sz w:val="21"/>
          <w:lang w:val="en-US" w:eastAsia="zh-CN"/>
        </w:rPr>
        <w:t>后续的归纳寻找</w:t>
      </w:r>
      <w:r>
        <w:rPr>
          <w:rFonts w:hint="eastAsia" w:ascii="宋体" w:hAnsi="宋体" w:eastAsia="宋体" w:cs="宋体"/>
          <w:b w:val="0"/>
          <w:color w:val="000000"/>
          <w:sz w:val="21"/>
        </w:rPr>
        <w:t>。</w:t>
      </w:r>
    </w:p>
    <w:p w14:paraId="0B05740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三、文献获取进展</w:t>
      </w:r>
    </w:p>
    <w:p w14:paraId="16F6FB78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我尝试通过学校图书馆访问 Annual Reviews 和 Elsevier。上海海事大学目前没有开通 Annual Reviews 的机构访问，CALIS 外文期刊网只能查到题录，不能下载全文。出版社页面的 Get Access 需要付费，单篇购买不划算。</w:t>
      </w:r>
    </w:p>
    <w:p w14:paraId="7CB9CF18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现在的方案有两条：一是通过图书馆的文献传递或馆际互借提交申请；二是直接联系作者索取 PDF。图书馆一般不会为单篇论文单独采购，文献传递才是实际可用的流程。</w:t>
      </w:r>
      <w:r>
        <w:rPr>
          <w:rFonts w:ascii="宋体" w:hAnsi="宋体" w:eastAsia="宋体" w:cs="宋体"/>
          <w:sz w:val="24"/>
          <w:szCs w:val="24"/>
        </w:rPr>
        <w:t>这两篇的分工很清楚：</w:t>
      </w:r>
      <w:r>
        <w:rPr>
          <w:rStyle w:val="133"/>
          <w:rFonts w:ascii="宋体" w:hAnsi="宋体" w:eastAsia="宋体" w:cs="宋体"/>
          <w:sz w:val="24"/>
          <w:szCs w:val="24"/>
        </w:rPr>
        <w:t>Ma 2012 讲“模型怎么算”，Helfrich 2006 讲“内波是什么”</w:t>
      </w:r>
      <w:r>
        <w:rPr>
          <w:rFonts w:ascii="宋体" w:hAnsi="宋体" w:eastAsia="宋体" w:cs="宋体"/>
          <w:sz w:val="24"/>
          <w:szCs w:val="24"/>
        </w:rPr>
        <w:t>。</w:t>
      </w:r>
      <w:bookmarkStart w:id="0" w:name="_GoBack"/>
      <w:bookmarkEnd w:id="0"/>
    </w:p>
    <w:tbl>
      <w:tblPr>
        <w:tblStyle w:val="32"/>
        <w:tblW w:w="9297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5" w:type="dxa"/>
          <w:left w:w="120" w:type="dxa"/>
          <w:bottom w:w="75" w:type="dxa"/>
          <w:right w:w="120" w:type="dxa"/>
        </w:tblCellMar>
      </w:tblPr>
      <w:tblGrid>
        <w:gridCol w:w="4648"/>
        <w:gridCol w:w="1700"/>
        <w:gridCol w:w="2948"/>
      </w:tblGrid>
      <w:tr w14:paraId="337246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4649" w:type="dxa"/>
            <w:shd w:val="clear" w:color="auto" w:fill="1F3864"/>
            <w:vAlign w:val="center"/>
          </w:tcPr>
          <w:p w14:paraId="0EF0C30F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文献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51996369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当前状态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4A602E30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下一步</w:t>
            </w:r>
          </w:p>
        </w:tc>
      </w:tr>
      <w:tr w14:paraId="00B3BC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4649" w:type="dxa"/>
            <w:vAlign w:val="center"/>
          </w:tcPr>
          <w:p w14:paraId="73546E4B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Zhuang et al. 2026, APOR 175:105243</w:t>
            </w:r>
          </w:p>
        </w:tc>
        <w:tc>
          <w:tcPr>
            <w:tcW w:w="1701" w:type="dxa"/>
            <w:vAlign w:val="center"/>
          </w:tcPr>
          <w:p w14:paraId="0BD664CE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已有 PDF</w:t>
            </w:r>
          </w:p>
        </w:tc>
        <w:tc>
          <w:tcPr>
            <w:tcW w:w="2948" w:type="dxa"/>
            <w:vAlign w:val="center"/>
          </w:tcPr>
          <w:p w14:paraId="3E5A2E78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精读 3.1 和 3.4.1 节</w:t>
            </w:r>
          </w:p>
        </w:tc>
      </w:tr>
      <w:tr w14:paraId="72E6BC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4649" w:type="dxa"/>
            <w:shd w:val="clear" w:color="auto" w:fill="F2F5FA"/>
            <w:vAlign w:val="center"/>
          </w:tcPr>
          <w:p w14:paraId="06D47FE6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于宗冰等 2020, 中国海洋平台 35(5)</w:t>
            </w:r>
          </w:p>
        </w:tc>
        <w:tc>
          <w:tcPr>
            <w:tcW w:w="1701" w:type="dxa"/>
            <w:shd w:val="clear" w:color="auto" w:fill="F2F5FA"/>
            <w:vAlign w:val="center"/>
          </w:tcPr>
          <w:p w14:paraId="6D8F8E9A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已有 PDF</w:t>
            </w:r>
          </w:p>
        </w:tc>
        <w:tc>
          <w:tcPr>
            <w:tcW w:w="2948" w:type="dxa"/>
            <w:shd w:val="clear" w:color="auto" w:fill="F2F5FA"/>
            <w:vAlign w:val="center"/>
          </w:tcPr>
          <w:p w14:paraId="4D0BAB98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核对实验参数与尾波结论</w:t>
            </w:r>
          </w:p>
        </w:tc>
      </w:tr>
      <w:tr w14:paraId="24901A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4649" w:type="dxa"/>
            <w:vAlign w:val="center"/>
          </w:tcPr>
          <w:p w14:paraId="69B1E8F6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Ma, Shi &amp; Kirby 2012, Ocean Modelling</w:t>
            </w:r>
          </w:p>
        </w:tc>
        <w:tc>
          <w:tcPr>
            <w:tcW w:w="1701" w:type="dxa"/>
            <w:vAlign w:val="center"/>
          </w:tcPr>
          <w:p w14:paraId="427CFB71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未获取</w:t>
            </w:r>
          </w:p>
        </w:tc>
        <w:tc>
          <w:tcPr>
            <w:tcW w:w="2948" w:type="dxa"/>
            <w:vAlign w:val="center"/>
          </w:tcPr>
          <w:p w14:paraId="12CD2675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文献传递；必要时联系作者</w:t>
            </w:r>
          </w:p>
        </w:tc>
      </w:tr>
      <w:tr w14:paraId="7D2B53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20" w:type="dxa"/>
            <w:bottom w:w="75" w:type="dxa"/>
            <w:right w:w="120" w:type="dxa"/>
          </w:tblCellMar>
        </w:tblPrEx>
        <w:trPr>
          <w:cantSplit/>
          <w:jc w:val="center"/>
        </w:trPr>
        <w:tc>
          <w:tcPr>
            <w:tcW w:w="4649" w:type="dxa"/>
            <w:shd w:val="clear" w:color="auto" w:fill="F2F5FA"/>
            <w:vAlign w:val="center"/>
          </w:tcPr>
          <w:p w14:paraId="5E2F05E5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Helfrich &amp; Melville 2006, Annu. Rev. Fluid Mech.</w:t>
            </w:r>
          </w:p>
        </w:tc>
        <w:tc>
          <w:tcPr>
            <w:tcW w:w="1701" w:type="dxa"/>
            <w:shd w:val="clear" w:color="auto" w:fill="F2F5FA"/>
            <w:vAlign w:val="center"/>
          </w:tcPr>
          <w:p w14:paraId="738637C8">
            <w:pPr>
              <w:spacing w:before="0" w:after="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未获取</w:t>
            </w:r>
          </w:p>
        </w:tc>
        <w:tc>
          <w:tcPr>
            <w:tcW w:w="2948" w:type="dxa"/>
            <w:shd w:val="clear" w:color="auto" w:fill="F2F5FA"/>
            <w:vAlign w:val="center"/>
          </w:tcPr>
          <w:p w14:paraId="006A2914">
            <w:pPr>
              <w:spacing w:before="0" w:after="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文献传递 + 作者邮件</w:t>
            </w:r>
          </w:p>
        </w:tc>
      </w:tr>
    </w:tbl>
    <w:p w14:paraId="115D1E7C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95959"/>
          <w:sz w:val="18"/>
        </w:rPr>
        <w:t>表 6  主要文献的获取状态</w:t>
      </w:r>
    </w:p>
    <w:p w14:paraId="0818700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四、下一步计划与请求</w:t>
      </w:r>
    </w:p>
    <w:p w14:paraId="593D77D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下周计划</w:t>
      </w:r>
    </w:p>
    <w:p w14:paraId="439BA3C5">
      <w:pPr>
        <w:spacing w:after="60" w:line="336" w:lineRule="auto"/>
        <w:ind w:left="425" w:hanging="22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• 完成前处理代码的逐段阅读，把每个参数对应到论文 3.1 节，并解决硬阶跃界面与 tanh 过渡层的差异。</w:t>
      </w:r>
    </w:p>
    <w:p w14:paraId="55281E30">
      <w:pPr>
        <w:spacing w:after="60" w:line="336" w:lineRule="auto"/>
        <w:ind w:left="425" w:hanging="22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• 拿到 Ma et al. (2012) 和 Helfrich &amp; Melville (2006)，补齐模型方程和内波理论两块背景。</w:t>
      </w:r>
    </w:p>
    <w:p w14:paraId="0D31CD4D">
      <w:pPr>
        <w:spacing w:after="60" w:line="336" w:lineRule="auto"/>
        <w:ind w:left="425" w:hanging="22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• 如果超算账号可用，先跑 Nx=1000、Nz=28 这一档，与论文黑线对比；确认无误后再决定是否跑 56 和 112。</w:t>
      </w:r>
    </w:p>
    <w:p w14:paraId="3334D66E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本次汇报的核心不是宣称已经完美复现，而是把复现过程变成可检查、可重复、可继续扩展的流程。下一步会在保证流程正确的前提下，逐步提高网格分辨率，并把模型与实验的差异解释清楚。</w:t>
      </w:r>
    </w:p>
    <w:p w14:paraId="516329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CF811F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附：关键口径与备查</w:t>
      </w:r>
    </w:p>
    <w:p w14:paraId="47AC2AF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口径说明</w:t>
      </w:r>
    </w:p>
    <w:p w14:paraId="0B5DDBDE">
      <w:pPr>
        <w:spacing w:after="60" w:line="336" w:lineRule="auto"/>
        <w:ind w:left="425" w:hanging="22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 xml:space="preserve">• </w:t>
      </w:r>
      <w:r>
        <w:rPr>
          <w:rFonts w:hint="eastAsia" w:ascii="宋体" w:hAnsi="宋体" w:eastAsia="宋体" w:cs="宋体"/>
          <w:b/>
          <w:color w:val="000000"/>
          <w:sz w:val="21"/>
        </w:rPr>
        <w:t>网格：</w:t>
      </w:r>
      <w:r>
        <w:rPr>
          <w:rFonts w:hint="eastAsia" w:ascii="宋体" w:hAnsi="宋体" w:eastAsia="宋体" w:cs="宋体"/>
          <w:b w:val="0"/>
          <w:color w:val="000000"/>
          <w:sz w:val="21"/>
        </w:rPr>
        <w:t>Nx 是水平方向网格数，Nz 是垂向层数；dx、dz 是对应的步长。Nx=500、Nz=28 表示水平 500 格、垂向 28 层，不是步长 500 和 28。</w:t>
      </w:r>
    </w:p>
    <w:p w14:paraId="4509A4A7">
      <w:pPr>
        <w:spacing w:after="60" w:line="336" w:lineRule="auto"/>
        <w:ind w:left="425" w:hanging="22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 xml:space="preserve">• </w:t>
      </w:r>
      <w:r>
        <w:rPr>
          <w:rFonts w:hint="eastAsia" w:ascii="宋体" w:hAnsi="宋体" w:eastAsia="宋体" w:cs="宋体"/>
          <w:b/>
          <w:color w:val="000000"/>
          <w:sz w:val="21"/>
        </w:rPr>
        <w:t>界面位移：</w:t>
      </w:r>
      <w:r>
        <w:rPr>
          <w:rFonts w:hint="eastAsia" w:ascii="宋体" w:hAnsi="宋体" w:eastAsia="宋体" w:cs="宋体"/>
          <w:b w:val="0"/>
          <w:color w:val="000000"/>
          <w:sz w:val="21"/>
        </w:rPr>
        <w:t>ζ(t)=z_if(t)-z_if(0)，z_if 是密度界面高度；ζmin 是整条曲线的最小值，负值表示界面下凹。</w:t>
      </w:r>
    </w:p>
    <w:p w14:paraId="62C1B27B">
      <w:pPr>
        <w:spacing w:after="60" w:line="336" w:lineRule="auto"/>
        <w:ind w:left="425" w:hanging="22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 xml:space="preserve">• </w:t>
      </w:r>
      <w:r>
        <w:rPr>
          <w:rFonts w:hint="eastAsia" w:ascii="宋体" w:hAnsi="宋体" w:eastAsia="宋体" w:cs="宋体"/>
          <w:b/>
          <w:color w:val="000000"/>
          <w:sz w:val="21"/>
        </w:rPr>
        <w:t>网格收敛：</w:t>
      </w:r>
      <w:r>
        <w:rPr>
          <w:rFonts w:hint="eastAsia" w:ascii="宋体" w:hAnsi="宋体" w:eastAsia="宋体" w:cs="宋体"/>
          <w:b w:val="0"/>
          <w:color w:val="000000"/>
          <w:sz w:val="21"/>
        </w:rPr>
        <w:t>网格加密后结果变化越来越小，说明解趋近于与网格无关的结果，称为网格收敛。本次 28→56 层变化 0.10 cm，56→112 层变化 0.05 cm，符合收敛趋势。</w:t>
      </w:r>
    </w:p>
    <w:p w14:paraId="2C4AF040">
      <w:pPr>
        <w:spacing w:after="60" w:line="336" w:lineRule="auto"/>
        <w:ind w:left="425" w:hanging="22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 xml:space="preserve">• </w:t>
      </w:r>
      <w:r>
        <w:rPr>
          <w:rFonts w:hint="eastAsia" w:ascii="宋体" w:hAnsi="宋体" w:eastAsia="宋体" w:cs="宋体"/>
          <w:b/>
          <w:color w:val="000000"/>
          <w:sz w:val="21"/>
        </w:rPr>
        <w:t>误差抵消：</w:t>
      </w:r>
      <w:r>
        <w:rPr>
          <w:rFonts w:hint="eastAsia" w:ascii="宋体" w:hAnsi="宋体" w:eastAsia="宋体" w:cs="宋体"/>
          <w:b w:val="0"/>
          <w:color w:val="000000"/>
          <w:sz w:val="21"/>
        </w:rPr>
        <w:t>粗网格数值耗散使波谷变浅，恰好抵消模型本身偏深的部分，使结果看起来更接近实验；这不是精度更高，不能作为模型改进的依据。</w:t>
      </w:r>
    </w:p>
    <w:p w14:paraId="6383CA6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汇报备查</w:t>
      </w:r>
    </w:p>
    <w:p w14:paraId="1A4D2BA9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 xml:space="preserve">问：为什么本次结果比论文浅？ </w:t>
      </w:r>
      <w:r>
        <w:rPr>
          <w:rFonts w:hint="eastAsia" w:ascii="宋体" w:hAnsi="宋体" w:eastAsia="宋体" w:cs="宋体"/>
          <w:b w:val="0"/>
          <w:color w:val="000000"/>
          <w:sz w:val="21"/>
        </w:rPr>
        <w:t>因为水平网格从 1000 降到 500，数值耗散更大，波谷被磨浅了 3%-5%。这是下一步要跑 Nx=1000 的原因。</w:t>
      </w:r>
    </w:p>
    <w:p w14:paraId="013E4BB0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 xml:space="preserve">问：本次比实验更接近，是不是更准？ </w:t>
      </w:r>
      <w:r>
        <w:rPr>
          <w:rFonts w:hint="eastAsia" w:ascii="宋体" w:hAnsi="宋体" w:eastAsia="宋体" w:cs="宋体"/>
          <w:b w:val="0"/>
          <w:color w:val="000000"/>
          <w:sz w:val="21"/>
        </w:rPr>
        <w:t>不是。粗网格的耗散恰好抵消了模型本身偏深的部分，属于误差抵消；论文最细网格与实验仍差约 1 cm。</w:t>
      </w:r>
    </w:p>
    <w:p w14:paraId="2B7ED5A0">
      <w:pPr>
        <w:spacing w:after="80" w:line="348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 xml:space="preserve">问：四联图里的四条线是什么？ </w:t>
      </w:r>
      <w:r>
        <w:rPr>
          <w:rFonts w:hint="eastAsia" w:ascii="宋体" w:hAnsi="宋体" w:eastAsia="宋体" w:cs="宋体"/>
          <w:b w:val="0"/>
          <w:color w:val="000000"/>
          <w:sz w:val="21"/>
        </w:rPr>
        <w:t>三条实线是 Nx=1000、Nz=28/56/112 三档数值结果，黑圈是实验。三条线逐渐接近说明垂向网格在收敛，黑圈离得远说明模型与实验存在系统偏差。</w:t>
      </w:r>
    </w:p>
    <w:p w14:paraId="36B9A30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主要依据</w:t>
      </w:r>
    </w:p>
    <w:p w14:paraId="10771B94">
      <w:pPr>
        <w:spacing w:after="40" w:line="312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· Zhuang, Y., et al. (2026). Finite-distance limits of Whitham's inverse-scattering prediction for solitary-like tsunami wave fission over a flat bottom. Applied Ocean Research, 175, 105243.</w:t>
      </w:r>
    </w:p>
    <w:p w14:paraId="7E466700">
      <w:pPr>
        <w:spacing w:after="40" w:line="312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· 于宗冰, 邹丽, 马小舟, 裴玉国, 姜胜超 (2020). 基于 OpenFOAM 软件的内孤立波生成模拟及试验. 中国海洋平台, 35(5), 27-34.</w:t>
      </w:r>
    </w:p>
    <w:p w14:paraId="03E11460">
      <w:pPr>
        <w:spacing w:after="40" w:line="312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· Ma, G., Shi, F., Kirby, J.T. (2012). Shock-capturing non-hydrostatic model for fully dispersive surface wave processes. Ocean Modelling, 43-44, 22-35.</w:t>
      </w:r>
    </w:p>
    <w:p w14:paraId="462E9B55">
      <w:pPr>
        <w:spacing w:after="40" w:line="312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· NHWAVE User Manual, GitHub: NHWAVE/NHWAVE.</w:t>
      </w:r>
    </w:p>
    <w:sectPr>
      <w:footerReference r:id="rId5" w:type="default"/>
      <w:pgSz w:w="11906" w:h="16838"/>
      <w:pgMar w:top="1247" w:right="1304" w:bottom="1247" w:left="1304" w:header="720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Oradano-mincho-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Oradano-mincho-t">
    <w:panose1 w:val="02000600000000000000"/>
    <w:charset w:val="88"/>
    <w:family w:val="auto"/>
    <w:pitch w:val="default"/>
    <w:sig w:usb0="800002AF" w:usb1="080768E8" w:usb2="00000010" w:usb3="00000000" w:csb0="0012000C" w:csb1="12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ACF6F">
    <w:pPr>
      <w:pStyle w:val="24"/>
      <w:jc w:val="center"/>
    </w:pPr>
    <w:r>
      <w:rPr>
        <w:rFonts w:ascii="Times New Roman" w:hAnsi="Times New Roman" w:eastAsia="宋体"/>
        <w:b w:val="0"/>
        <w:color w:val="595959"/>
        <w:sz w:val="17"/>
      </w:rPr>
      <w:t xml:space="preserve">第 </w:t>
    </w:r>
    <w:r>
      <w:rPr>
        <w:rFonts w:ascii="Times New Roman" w:hAnsi="Times New Roman" w:eastAsia="宋体"/>
        <w:b w:val="0"/>
        <w:color w:val="595959"/>
        <w:sz w:val="17"/>
      </w:rPr>
      <w:fldChar w:fldCharType="begin"/>
    </w:r>
    <w:r>
      <w:rPr>
        <w:rFonts w:ascii="Times New Roman" w:hAnsi="Times New Roman" w:eastAsia="宋体"/>
        <w:b w:val="0"/>
        <w:color w:val="595959"/>
        <w:sz w:val="17"/>
      </w:rPr>
      <w:instrText xml:space="preserve"> PAGE </w:instrText>
    </w:r>
    <w:r>
      <w:rPr>
        <w:rFonts w:ascii="Times New Roman" w:hAnsi="Times New Roman" w:eastAsia="宋体"/>
        <w:b w:val="0"/>
        <w:color w:val="595959"/>
        <w:sz w:val="17"/>
      </w:rPr>
      <w:fldChar w:fldCharType="separate"/>
    </w:r>
    <w:r>
      <w:rPr>
        <w:rFonts w:ascii="Times New Roman" w:hAnsi="Times New Roman" w:eastAsia="宋体"/>
        <w:b w:val="0"/>
        <w:color w:val="595959"/>
        <w:sz w:val="17"/>
      </w:rPr>
      <w:fldChar w:fldCharType="end"/>
    </w:r>
    <w:r>
      <w:rPr>
        <w:rFonts w:ascii="Times New Roman" w:hAnsi="Times New Roman" w:eastAsia="宋体"/>
        <w:b w:val="0"/>
        <w:color w:val="595959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5D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48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6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8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654</Words>
  <Characters>781</Characters>
  <Lines>0</Lines>
  <Paragraphs>0</Paragraphs>
  <TotalTime>51</TotalTime>
  <ScaleCrop>false</ScaleCrop>
  <LinksUpToDate>false</LinksUpToDate>
  <CharactersWithSpaces>834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组会汇报</dc:creator>
  <dc:description>generated by python-docx</dc:description>
  <cp:lastModifiedBy>张恒</cp:lastModifiedBy>
  <dcterms:modified xsi:type="dcterms:W3CDTF">2026-10-22T14:39:24Z</dcterms:modified>
  <dc:subject>组会汇报稿</dc:subject>
  <dc:title>内孤立波算例复现与论文研读阶段汇报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eyJoZGlkIjoiN2RhMzBjM2M3MGRhNjRiYjU1N2ZhNmQ3YjZhM2NlMmQiLCJ1c2VySWQiOiI5ODg5NjQ2NDUifQ==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A825C912396F43D9B4EF738D2A5F1F98_12</vt:lpwstr>
  </property>
</Properties>
</file>