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Arial" w:cs="Arial" w:eastAsia="Arial" w:hAnsi="Arial"/>
          <w:b/>
          <w:bCs/>
        </w:rPr>
        <w:t xml:space="preserve">ZhiYin HBG-V1.0 — Embedded Firmware Architecture Specification</w:t>
      </w: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**Document status: Internal technical review draft | Version: v0.9-draft**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Firmware Architecture Overview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1.1 Layered Architecture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graph TB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subgraph Application_Layer[Application Layer]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FSM[Audio state machine FSM]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UI[LVGL UI manager]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MCP[MCP tool registration and dispatch JSON-RPC 2.0]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subgraph Protocol_Layer[Protocol Layer]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WS[WebSocket TLS1.3]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MQTT[MQTT+UDP TLS1.2]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BP[BinaryProtocol2 Opus frame framing]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subgraph Audio_Pipeline[Audio Pipeline]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AEC[AEC3 echo cancellation] --&gt; NS[NS/AGC noise suppression and gain]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NS --&gt; VAD[VAD endpoint detection]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VAD --&gt; Opus[Opus codec]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Opus --&gt; DMA[DMA I2S transport]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subgraph Hardware_Abstraction[Hardware Abstraction]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MCU[Main-controller BSP]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CoMCU[Co-processor BSP]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LCD[Dedicated LCD driver]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Codec[Codec driver]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Sensor[IMU/touch sensor]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end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Application_Layer --&gt; Protocol_Layer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Protocol_Layer --&gt; Audio_Pipeline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Audio_Pipeline --&gt; Hardware_Abstraction</w:t>
      </w:r>
    </w:p>
    <w:p>
      <w:pPr>
        <w:spacing w:after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1.2 FreeRTOS Task Allocation (Dual-Core SMP)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Stack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Period/trigger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`audio_input_task`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23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MEMS microphone DMA capture and RingBuffer writes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`opus_codec_task`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 codec and WebRTC AEC3 echo cancellation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`audio_output_task`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Consume decoded frames and output through I2S TX DMA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`wifi_event_task`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state machine, auto-reconnect, and AP scan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`main_loop_task`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protocol parsing, state-machine scheduling, and MCP routing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`lvgl_timer_task`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Periodic (target FPS)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LVGL rendering, animation decoding, and touch events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`ble_nus_task`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Event-driven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BLE UART provisioning data bridge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`ota_task`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1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Large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OTA only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 firmware download, SHA-256 verification, and partition switch</w:t>
            </w:r>
          </w:p>
        </w:tc>
      </w:tr>
      <w:tr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`watchdog_task`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Small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Every second</w:t>
            </w:r>
          </w:p>
        </w:tc>
        <w:tc>
          <w:tcPr>
            <w:tcW w:type="dxa" w:w="156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Software watchdog, task heartbeat monitoring, and fault reset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1.3 Memory Plan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Memory region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 fast memory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Globals, FreeRTOS kernel objects, and driver buffers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External PSRAM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 buffers, animation frames, LVGL draw buffers, and OTA staging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On-board flash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Firmware, resource package, OTA partitions, and configuration data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**PSRAM fragmentation is a core challenge.** Enable external-memory allocation support and prefer allocation APIs that can use external memory instead of ordinary `malloc`.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Detailed Audio Subsystem Design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2.1 Dual-Microphone Array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graph TD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LeftMic[Left MEMS microphone] --&gt;|I2S_CH0| Ref[AEC3 reference: speaker playback]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RightMic[Right MEMS microphone] --&gt;|I2S_CH1| Near[AEC3 near end: user voice + echo]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Ref --- Near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style Ref stroke-dasharray: 5 5</w:t>
      </w:r>
    </w:p>
    <w:p>
      <w:pPr>
        <w:spacing w:after="120"/>
      </w:pP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Place two silicon microphones at an acoustic spacing that forms an approximately uniform linear array.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Enable AEC3 noise suppression and automatic gain control.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Set the AEC tail length for indoor near- and mid-field conditions.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2.2 VAD (Voice Activity Detection)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Use a two-stage cascaded VAD: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**Front-end VAD:** WebRTC VAD (GMM model), Aggressive=2, processing 10 ms frames.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1"/>
          <w:szCs w:val="21"/>
        </w:rPr>
        <w:t xml:space="preserve">**Back-end VAD:** secondary confirmation using an energy threshold and zero-crossing rate, with a 300 ms filter window.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2.3 Opus Codec Parameters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Uplink (Mic → Server)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Downlink (Server → Speaker)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Sample rate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16000 Hz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16000 Hz / 24000 Hz (music)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Channels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(Mono)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(Mono)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duration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ms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ms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Bitrate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 kbps (CVBR)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32–64 kbps (music mode)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VOIP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AUDIO</w:t>
            </w:r>
          </w:p>
        </w:tc>
      </w:tr>
      <w:tr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Complexity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2.4 Audio Latency Budget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Latency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Microphone capture (DMA buffer)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AEC3 + NS processing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 encoding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uplink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15–40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Server ASR + LLM + TTS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800–1500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Wi-Fi downlink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15–40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Opus decoding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I2S playback (DMA buffer)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ms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**End-to-end total**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**~850–1615 ms**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Network Protocol Design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3.1 WebSocket Application Protocol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Client → Server JSON frame: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"type": "hello",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"version": 3,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"features": {"mcp": true, "aec": true},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"transport": "websocket",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"audio_params": {"format": "opus", "sample_rate": 16000,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                "channels": 1, "frame_duration": 60}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Server → Client JSON frame: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{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"type": "hello",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"session_id": "uuid",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"audio_params": {"sample_rate": 16000, "frame_duration": 60}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Audio uplink (BinaryProtocol2):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[2B version][2B type][4B timestamp][4B payload_size][N bytes Opus]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/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Audio downlink: same format.</w:t>
      </w:r>
    </w:p>
    <w:p>
      <w:pPr>
        <w:spacing w:after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3.2 Device Provisioning Flow</w:t>
      </w:r>
    </w:p>
    <w:p>
      <w:pPr>
        <w:spacing w:after="60"/>
      </w:pP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graph TD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Start[Power on] --&gt; Check{Wi-Fi credentials in NVS?}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Check --&gt;|YES| ConnWiFi[Connect Wi-Fi]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ConnWiFi --&gt; ConnServer[Connect server]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ConnServer --&gt;|Failure? Retry 3 times| Fail[Still failed]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Check --&gt;|NO| BLE[Enable BLE advertising]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Fail --&gt; AP[Enter AP mode]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BLE --&gt; App[App scans and connects over BLE; sends SSID/password]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 --&gt; Web[Phone joins hotspot and provisions in browser]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App --&gt; WriteNVS1[Write NVS; reboot controller]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Web --&gt; WriteNVS2[Write NVS; reboot controller]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WriteNVS1 --&gt; ConnWiFi2[Connect Wi-Fi]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WriteNVS2 --&gt; ConnWiFi2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ConnWiFi2 --&gt; Auth[Server authentication JWT]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Auth --&gt; CheckBind{Activation code bound?}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CheckBind --&gt;|YES| Idle[Enter Idle]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CheckBind --&gt;|First activation| Bind[Show activation code; user binds]</w:t>
      </w:r>
    </w:p>
    <w:p>
      <w:pPr>
        <w:spacing w:after="0"/>
      </w:pPr>
      <w:r>
        <w:rPr>
          <w:rFonts w:ascii="Courier New" w:cs="Courier New" w:eastAsia="Courier New" w:hAnsi="Courier New"/>
          <w:sz w:val="17"/>
          <w:szCs w:val="17"/>
        </w:rPr>
        <w:t xml:space="preserve">    Bind --&gt; Idle</w:t>
      </w:r>
    </w:p>
    <w:p>
      <w:pPr>
        <w:spacing w:after="12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3.3 MCP (Model Context Protocol) Integration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The device implements a complete MCP JSON-RPC 2.0 server: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`tools/list` — return the device capability list.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`tools/call` — execute a selected tool.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Cursor-based pagination is supported; each response is ≤ 8 KB.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User-only tools require the `withUserTools=true` parameter.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Display, UI, and Multimodal Character Animation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4.1 LVGL Configuration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LVGL version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v9.1.0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Display resolution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display with a square layout adapted to the panel size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Color depth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RGB565 (16-bit)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rate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 30 FPS; render period follows the target frame rate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Draw buffers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Double-buffered DMA transfer, sized for display bandwidth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Animation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Multiple expression and motion sequences generated by a lightweight on-device multimodal model and rendered through a custom double-buffer decoder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Fonts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Embedded vector fonts covering ASCII and CJK character sets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4.2 On-Device Animation Generation and Rendering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On-device animation is not playback of stored GIFs. The cloud multimodal character-animation model emits continuous implicit representations, which the local lightweight runtime decodes into pixel frames in real time: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Continuous implicit time encoding drives smooth transitions between frames and avoids keyframe jumps.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Operator-level optimization keeps single-frame inference and post-processing within the target frame budget.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Frame buffers use an external-memory pool; double-buffer DMA and dirty-rectangle updates reduce bus bandwidth.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Local IMU posture is injected into the model input so physical motion can immediately affect the character expression.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4.3 Lightweight On-Device Animation Inference Engine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shd w:fill="EAF2F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Input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implicit animation representation + normalized local IMU signal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Inference flow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Lightweight decoder → pixel-frame reconstruction → double-buffer write to LVGL draw buffer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Performance constraint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Single-frame inference and post-processing must fit the target FPS budget through operator fusion and fixed-point arithmetic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Cache strategy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Pre-allocated external-memory frame pool + dirty-rectangle updates</w:t>
            </w:r>
          </w:p>
        </w:tc>
      </w:tr>
      <w:tr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Fallback</w:t>
            </w:r>
          </w:p>
        </w:tc>
        <w:tc>
          <w:tcPr>
            <w:tcW w:type="dxa" w:w="4680"/>
            <w:tcBorders>
              <w:top w:val="single" w:color="D0D7DE" w:sz="1"/>
              <w:left w:val="single" w:color="D0D7DE" w:sz="1"/>
              <w:bottom w:val="single" w:color="D0D7DE" w:sz="1"/>
              <w:right w:val="single" w:color="D0D7DE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a local fallback emotion representation during network failures so basic expressions do not freeze</w:t>
            </w:r>
          </w:p>
        </w:tc>
      </w:tr>
    </w:tbl>
    <w:p>
      <w:pPr>
        <w:spacing w:after="100"/>
      </w:pP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5. System-Level Memory and Scheduling Refactoring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5.1 Memory-Fragmentation Control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With limited on-board external memory, running TLS, Opus decoding, LVGL rendering, and OTA downloads at the same time can easily trigger an `OOM (Out Of Memory)` crash.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This project **rewrites the ESP-IDF low-level allocator**: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**Custom memory pool:** use a dedicated static pool for the many small Opus codec allocations to eliminate long-run fragmentation.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**PSRAM DMA pass-through:** rewrite the SPI bus driver so the LCD DMA list can be sent directly from PSRAM (native IDF supports SRAM only), increasing the remaining SRAM margin by 40%.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5.2 Watchdog and Lock-Contention Protection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Audio interrupts, UI refresh, and complex network JSON-RPC traffic run concurrently on both cores, so deadlocks must be prevented.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Implement distributed mutexes with timeout-based fallback.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Rewrite `watchdog_task` as a multi-level heartbeat monitor that tracks every subtask queue depth and proactively degrades services before backlog occurs.</w:t>
      </w:r>
    </w:p>
    <w:p>
      <w:pPr>
        <w:spacing w:after="60"/>
      </w:pP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6. Acoustic Array and Driver Customization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6.1 Latency-Compensation Channel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Normal I2S communication has small, accumulated clock drift. In the non-standard acoustic cavity of an AI toy, even a small time offset can make AEC alignment fail.</w:t>
      </w:r>
    </w:p>
    <w:p>
      <w:pPr>
        <w:spacing w:after="60"/>
      </w:pP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Add precise high-frequency RTC, microsecond-level alignment in the driver layer; dynamically resample the PCM stream and lock the timestamp buffer entering the WebRTC AEC3 engine.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  <w:b w:val="false"/>
          <w:bCs w:val="false"/>
        </w:rPr>
        <w:t xml:space="preserve">6.2 Customized Hardware-Interrupt Attachment</w:t>
      </w:r>
    </w:p>
    <w:p>
      <w:pPr>
        <w:spacing w:after="60"/>
      </w:pP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To achieve millisecond-level standby wake-up, route the TTP223 touch-chip edge signal past the normal OS event queue. Inject a software interrupt into the assembly-level scheduler from a low-level `IRAM_ATTR` interrupt and force the main clock to wake.</w:t>
      </w:r>
    </w:p>
    <w:p>
      <w:pPr>
        <w:spacing w:after="60"/>
      </w:pP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300" w:before="120"/>
      <w:jc w:val="center"/>
    </w:pPr>
    <w:rPr>
      <w:rFonts w:ascii="Arial" w:cs="Arial" w:eastAsia="Arial" w:hAnsi="Arial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spacing w:after="160" w:before="260"/>
      <w:outlineLvl w:val="0"/>
    </w:pPr>
    <w:rPr>
      <w:rFonts w:ascii="Arial" w:cs="Arial" w:eastAsia="Arial" w:hAnsi="Arial"/>
      <w:b/>
      <w:bCs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2026-07-21T17:41:11.165Z</dcterms:created>
  <dcterms:modified xsi:type="dcterms:W3CDTF">2026-07-21T17:41:11.165Z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