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LPR计算报告</w:t>
      </w:r>
    </w:p>
    <w:p>
      <w:pPr>
        <w:jc w:val="right"/>
      </w:pPr>
      <w:r>
        <w:t>报告生成日期: 2025-06-19 22:43:00</w:t>
      </w:r>
    </w:p>
    <w:p>
      <w:pPr>
        <w:pStyle w:val="Heading1"/>
      </w:pPr>
      <w:r>
        <w:t>计算参数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计算金额</w:t>
            </w:r>
          </w:p>
        </w:tc>
        <w:tc>
          <w:tcPr>
            <w:tcW w:type="dxa" w:w="4986"/>
          </w:tcPr>
          <w:p>
            <w:r>
              <w:t>268,236.00 元</w:t>
            </w:r>
          </w:p>
        </w:tc>
      </w:tr>
      <w:tr>
        <w:tc>
          <w:tcPr>
            <w:tcW w:type="dxa" w:w="4986"/>
          </w:tcPr>
          <w:p>
            <w:r>
              <w:t>计算期间</w:t>
            </w:r>
          </w:p>
        </w:tc>
        <w:tc>
          <w:tcPr>
            <w:tcW w:type="dxa" w:w="4986"/>
          </w:tcPr>
          <w:p>
            <w:r>
              <w:t>2023-08-29 至 2025-06-19</w:t>
            </w:r>
          </w:p>
        </w:tc>
      </w:tr>
      <w:tr>
        <w:tc>
          <w:tcPr>
            <w:tcW w:type="dxa" w:w="4986"/>
          </w:tcPr>
          <w:p>
            <w:r>
              <w:t>LPR期限</w:t>
            </w:r>
          </w:p>
        </w:tc>
        <w:tc>
          <w:tcPr>
            <w:tcW w:type="dxa" w:w="4986"/>
          </w:tcPr>
          <w:p>
            <w:r>
              <w:t>一年期</w:t>
            </w:r>
          </w:p>
        </w:tc>
      </w:tr>
      <w:tr>
        <w:tc>
          <w:tcPr>
            <w:tcW w:type="dxa" w:w="4986"/>
          </w:tcPr>
          <w:p>
            <w:r>
              <w:t>约定倍数</w:t>
            </w:r>
          </w:p>
        </w:tc>
        <w:tc>
          <w:tcPr>
            <w:tcW w:type="dxa" w:w="4986"/>
          </w:tcPr>
          <w:p>
            <w:r>
              <w:t>1 倍</w:t>
            </w:r>
          </w:p>
        </w:tc>
      </w:tr>
      <w:tr>
        <w:tc>
          <w:tcPr>
            <w:tcW w:type="dxa" w:w="4986"/>
          </w:tcPr>
          <w:p>
            <w:r>
              <w:t>天数算法</w:t>
            </w:r>
          </w:p>
        </w:tc>
        <w:tc>
          <w:tcPr>
            <w:tcW w:type="dxa" w:w="4986"/>
          </w:tcPr>
          <w:p>
            <w:r>
              <w:t>算头不算尾</w:t>
            </w:r>
          </w:p>
        </w:tc>
      </w:tr>
      <w:tr>
        <w:tc>
          <w:tcPr>
            <w:tcW w:type="dxa" w:w="4986"/>
          </w:tcPr>
          <w:p>
            <w:r>
              <w:t>计息基础</w:t>
            </w:r>
          </w:p>
        </w:tc>
        <w:tc>
          <w:tcPr>
            <w:tcW w:type="dxa" w:w="4986"/>
          </w:tcPr>
          <w:p>
            <w:r>
              <w:t>每年365天</w:t>
            </w:r>
          </w:p>
        </w:tc>
      </w:tr>
      <w:tr>
        <w:tc>
          <w:tcPr>
            <w:tcW w:type="dxa" w:w="4986"/>
          </w:tcPr>
          <w:p>
            <w:r>
              <w:t>总天数</w:t>
            </w:r>
          </w:p>
        </w:tc>
        <w:tc>
          <w:tcPr>
            <w:tcW w:type="dxa" w:w="4986"/>
          </w:tcPr>
          <w:p>
            <w:r>
              <w:t>660 天</w:t>
            </w:r>
          </w:p>
        </w:tc>
      </w:tr>
      <w:tr>
        <w:tc>
          <w:tcPr>
            <w:tcW w:type="dxa" w:w="4986"/>
          </w:tcPr>
          <w:p>
            <w:r>
              <w:t>总金额</w:t>
            </w:r>
          </w:p>
        </w:tc>
        <w:tc>
          <w:tcPr>
            <w:tcW w:type="dxa" w:w="4986"/>
          </w:tcPr>
          <w:p>
            <w:r>
              <w:t>16,024.71 元</w:t>
            </w:r>
          </w:p>
        </w:tc>
      </w:tr>
    </w:tbl>
    <w:p/>
    <w:p>
      <w:pPr>
        <w:pStyle w:val="Heading1"/>
      </w:pPr>
      <w:r>
        <w:t>分段计算明细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开始日期</w:t>
            </w:r>
          </w:p>
        </w:tc>
        <w:tc>
          <w:tcPr>
            <w:tcW w:type="dxa" w:w="1994"/>
          </w:tcPr>
          <w:p>
            <w:r>
              <w:t>结束日期</w:t>
            </w:r>
          </w:p>
        </w:tc>
        <w:tc>
          <w:tcPr>
            <w:tcW w:type="dxa" w:w="1994"/>
          </w:tcPr>
          <w:p>
            <w:r>
              <w:t>天数</w:t>
            </w:r>
          </w:p>
        </w:tc>
        <w:tc>
          <w:tcPr>
            <w:tcW w:type="dxa" w:w="1994"/>
          </w:tcPr>
          <w:p>
            <w:r>
              <w:t>适用LPR</w:t>
            </w:r>
          </w:p>
        </w:tc>
        <w:tc>
          <w:tcPr>
            <w:tcW w:type="dxa" w:w="1994"/>
          </w:tcPr>
          <w:p>
            <w:r>
              <w:t>利息金额</w:t>
            </w:r>
          </w:p>
        </w:tc>
      </w:tr>
      <w:tr>
        <w:tc>
          <w:tcPr>
            <w:tcW w:type="dxa" w:w="1994"/>
          </w:tcPr>
          <w:p>
            <w:r>
              <w:t>2023-08-29</w:t>
            </w:r>
          </w:p>
        </w:tc>
        <w:tc>
          <w:tcPr>
            <w:tcW w:type="dxa" w:w="1994"/>
          </w:tcPr>
          <w:p>
            <w:r>
              <w:t>2024-07-21</w:t>
            </w:r>
          </w:p>
        </w:tc>
        <w:tc>
          <w:tcPr>
            <w:tcW w:type="dxa" w:w="1994"/>
          </w:tcPr>
          <w:p>
            <w:r>
              <w:t>328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8,316.05</w:t>
            </w:r>
          </w:p>
        </w:tc>
      </w:tr>
      <w:tr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2024-10-20</w:t>
            </w:r>
          </w:p>
        </w:tc>
        <w:tc>
          <w:tcPr>
            <w:tcW w:type="dxa" w:w="1994"/>
          </w:tcPr>
          <w:p>
            <w:r>
              <w:t>91</w:t>
            </w:r>
          </w:p>
        </w:tc>
        <w:tc>
          <w:tcPr>
            <w:tcW w:type="dxa" w:w="1994"/>
          </w:tcPr>
          <w:p>
            <w:r>
              <w:t>3.35%</w:t>
            </w:r>
          </w:p>
        </w:tc>
        <w:tc>
          <w:tcPr>
            <w:tcW w:type="dxa" w:w="1994"/>
          </w:tcPr>
          <w:p>
            <w:r>
              <w:t>2,240.32</w:t>
            </w:r>
          </w:p>
        </w:tc>
      </w:tr>
      <w:tr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2025-05-19</w:t>
            </w:r>
          </w:p>
        </w:tc>
        <w:tc>
          <w:tcPr>
            <w:tcW w:type="dxa" w:w="1994"/>
          </w:tcPr>
          <w:p>
            <w:r>
              <w:t>211</w:t>
            </w:r>
          </w:p>
        </w:tc>
        <w:tc>
          <w:tcPr>
            <w:tcW w:type="dxa" w:w="1994"/>
          </w:tcPr>
          <w:p>
            <w:r>
              <w:t>3.10%</w:t>
            </w:r>
          </w:p>
        </w:tc>
        <w:tc>
          <w:tcPr>
            <w:tcW w:type="dxa" w:w="1994"/>
          </w:tcPr>
          <w:p>
            <w:r>
              <w:t>4,806.94</w:t>
            </w:r>
          </w:p>
        </w:tc>
      </w:tr>
      <w:tr>
        <w:tc>
          <w:tcPr>
            <w:tcW w:type="dxa" w:w="1994"/>
          </w:tcPr>
          <w:p>
            <w:r>
              <w:t>2025-05-20</w:t>
            </w:r>
          </w:p>
        </w:tc>
        <w:tc>
          <w:tcPr>
            <w:tcW w:type="dxa" w:w="1994"/>
          </w:tcPr>
          <w:p>
            <w:r>
              <w:t>2025-06-19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>3.00%</w:t>
            </w:r>
          </w:p>
        </w:tc>
        <w:tc>
          <w:tcPr>
            <w:tcW w:type="dxa" w:w="1994"/>
          </w:tcPr>
          <w:p>
            <w:r>
              <w:t>661.40</w:t>
            </w:r>
          </w:p>
        </w:tc>
      </w:tr>
      <w:tr>
        <w:tc>
          <w:tcPr>
            <w:tcW w:type="dxa" w:w="7976"/>
            <w:gridSpan w:val="4"/>
          </w:tcPr>
          <w:p>
            <w:r>
              <w:t>总计</w:t>
            </w:r>
          </w:p>
        </w:tc>
        <w:tc>
          <w:tcPr>
            <w:tcW w:type="dxa" w:w="1994"/>
          </w:tcPr>
          <w:p>
            <w:r>
              <w:t>16,024.71</w:t>
            </w:r>
          </w:p>
        </w:tc>
      </w:tr>
    </w:tbl>
    <w:p/>
    <w:p>
      <w:pPr>
        <w:pStyle w:val="Heading1"/>
      </w:pPr>
      <w:r>
        <w:t>说明</w:t>
      </w:r>
    </w:p>
    <w:p>
      <w:r>
        <w:t>1. 本报告基于中国人民银行公布的LPR（贷款市场报价利率）数据计算。</w:t>
      </w:r>
    </w:p>
    <w:p>
      <w:r>
        <w:t>2. 计算采用实际天数和指定的年度天数（360或365）计算。</w:t>
      </w:r>
    </w:p>
    <w:p>
      <w:r>
        <w:t>3. 当LPR变更时，利息计算会按照不同的时间段分别计算，相同LPR利率的时间段已合并显示。</w:t>
      </w:r>
    </w:p>
    <w:p>
      <w:r>
        <w:t>4. 如果计算日期超出已公布的LPR数据范围，则使用最新的LPR利率。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64" w:lineRule="auto" w:before="0" w:after="0"/>
    </w:pPr>
    <w:rPr>
      <w:rFonts w:ascii="仿宋" w:hAnsi="仿宋" w:eastAsia="仿宋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264" w:lineRule="auto"/>
      <w:outlineLvl w:val="0"/>
    </w:pPr>
    <w:rPr>
      <w:rFonts w:ascii="黑体" w:hAnsi="黑体" w:eastAsia="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0" w:line="264" w:lineRule="auto" w:before="0"/>
      <w:contextualSpacing/>
    </w:pPr>
    <w:rPr>
      <w:rFonts w:ascii="黑体" w:hAnsi="黑体" w:eastAsia="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