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b969df06e1db6c20d7320af48e2e60cc1f1810"/>
    <w:p>
      <w:pPr>
        <w:pStyle w:val="Heading1"/>
      </w:pPr>
      <w:r>
        <w:t xml:space="preserve">AI Swing Breakout Pro v2.0 – Institutional Edition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AI Swing Breakout Pro v2.0 – Institutional Edition</w:t>
      </w:r>
      <w:r>
        <w:t xml:space="preserve"> </w:t>
      </w:r>
      <w:r>
        <w:t xml:space="preserve">is a professional-grade algorithmic trading framework for</w:t>
      </w:r>
      <w:r>
        <w:t xml:space="preserve"> </w:t>
      </w:r>
      <w:r>
        <w:rPr>
          <w:b/>
          <w:bCs/>
        </w:rPr>
        <w:t xml:space="preserve">MetaTrader 5 (MQL5)</w:t>
      </w:r>
      <w:r>
        <w:t xml:space="preserve">. The project is designed using a modular, object-oriented architecture with a strong emphasis on reliability, maintainability, performance, and risk management.</w:t>
      </w:r>
    </w:p>
    <w:p>
      <w:pPr>
        <w:pStyle w:val="BodyText"/>
      </w:pPr>
      <w:r>
        <w:t xml:space="preserve">This project is intended to evolve beyond a single Expert Advisor into a reusable trading framework capable of supporting multiple trading strategies.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bjectives"/>
    <w:p>
      <w:pPr>
        <w:pStyle w:val="Heading1"/>
      </w:pPr>
      <w:r>
        <w:t xml:space="preserve">Project Objectives</w:t>
      </w:r>
    </w:p>
    <w:p>
      <w:pPr>
        <w:pStyle w:val="Compact"/>
        <w:numPr>
          <w:ilvl w:val="0"/>
          <w:numId w:val="1001"/>
        </w:numPr>
      </w:pPr>
      <w:r>
        <w:t xml:space="preserve">Develop a production-quality Expert Advisor for MetaTrader 5.</w:t>
      </w:r>
    </w:p>
    <w:p>
      <w:pPr>
        <w:pStyle w:val="Compact"/>
        <w:numPr>
          <w:ilvl w:val="0"/>
          <w:numId w:val="1001"/>
        </w:numPr>
      </w:pPr>
      <w:r>
        <w:t xml:space="preserve">Maintain clean, modular, and scalable architecture.</w:t>
      </w:r>
    </w:p>
    <w:p>
      <w:pPr>
        <w:pStyle w:val="Compact"/>
        <w:numPr>
          <w:ilvl w:val="0"/>
          <w:numId w:val="1001"/>
        </w:numPr>
      </w:pPr>
      <w:r>
        <w:t xml:space="preserve">Prioritize capital preservation through advanced risk management.</w:t>
      </w:r>
    </w:p>
    <w:p>
      <w:pPr>
        <w:pStyle w:val="Compact"/>
        <w:numPr>
          <w:ilvl w:val="0"/>
          <w:numId w:val="1001"/>
        </w:numPr>
      </w:pPr>
      <w:r>
        <w:t xml:space="preserve">Optimize execution speed and resource usage.</w:t>
      </w:r>
    </w:p>
    <w:p>
      <w:pPr>
        <w:pStyle w:val="Compact"/>
        <w:numPr>
          <w:ilvl w:val="0"/>
          <w:numId w:val="1001"/>
        </w:numPr>
      </w:pPr>
      <w:r>
        <w:t xml:space="preserve">Support multi-symbol and multi-timeframe trading.</w:t>
      </w:r>
    </w:p>
    <w:p>
      <w:pPr>
        <w:pStyle w:val="Compact"/>
        <w:numPr>
          <w:ilvl w:val="0"/>
          <w:numId w:val="1001"/>
        </w:numPr>
      </w:pPr>
      <w:r>
        <w:t xml:space="preserve">Provide comprehensive logging, diagnostics, and performance statistics.</w:t>
      </w:r>
    </w:p>
    <w:p>
      <w:pPr>
        <w:pStyle w:val="Compact"/>
        <w:numPr>
          <w:ilvl w:val="0"/>
          <w:numId w:val="1001"/>
        </w:numPr>
      </w:pPr>
      <w:r>
        <w:t xml:space="preserve">Create a solid foundation for future AI and machine learning integration.</w:t>
      </w:r>
    </w:p>
    <w:p>
      <w:r>
        <w:pict>
          <v:rect style="width:0;height:1.5pt" o:hralign="center" o:hrstd="t" o:hr="t"/>
        </w:pict>
      </w:r>
    </w:p>
    <w:bookmarkEnd w:id="22"/>
    <w:bookmarkStart w:id="23" w:name="target-platform"/>
    <w:p>
      <w:pPr>
        <w:pStyle w:val="Heading1"/>
      </w:pPr>
      <w:r>
        <w:t xml:space="preserve">Target Platform</w:t>
      </w:r>
    </w:p>
    <w:p>
      <w:pPr>
        <w:pStyle w:val="Compact"/>
        <w:numPr>
          <w:ilvl w:val="0"/>
          <w:numId w:val="1002"/>
        </w:numPr>
      </w:pPr>
      <w:r>
        <w:t xml:space="preserve">MetaTrader 5</w:t>
      </w:r>
    </w:p>
    <w:p>
      <w:pPr>
        <w:pStyle w:val="Compact"/>
        <w:numPr>
          <w:ilvl w:val="0"/>
          <w:numId w:val="1002"/>
        </w:numPr>
      </w:pPr>
      <w:r>
        <w:t xml:space="preserve">MQL5 (Build 4000+)</w:t>
      </w:r>
    </w:p>
    <w:p>
      <w:pPr>
        <w:pStyle w:val="Compact"/>
        <w:numPr>
          <w:ilvl w:val="0"/>
          <w:numId w:val="1002"/>
        </w:numPr>
      </w:pPr>
      <w:r>
        <w:t xml:space="preserve">Windows VPS Ready</w:t>
      </w:r>
    </w:p>
    <w:p>
      <w:pPr>
        <w:pStyle w:val="Compact"/>
        <w:numPr>
          <w:ilvl w:val="0"/>
          <w:numId w:val="1002"/>
        </w:numPr>
      </w:pPr>
      <w:r>
        <w:t xml:space="preserve">Hedging Account Support</w:t>
      </w:r>
    </w:p>
    <w:p>
      <w:pPr>
        <w:pStyle w:val="Compact"/>
        <w:numPr>
          <w:ilvl w:val="0"/>
          <w:numId w:val="1002"/>
        </w:numPr>
      </w:pPr>
      <w:r>
        <w:t xml:space="preserve">Multi-Symbol Support</w:t>
      </w:r>
    </w:p>
    <w:p>
      <w:r>
        <w:pict>
          <v:rect style="width:0;height:1.5pt" o:hralign="center" o:hrstd="t" o:hr="t"/>
        </w:pict>
      </w:r>
    </w:p>
    <w:bookmarkEnd w:id="23"/>
    <w:bookmarkStart w:id="24" w:name="supported-markets"/>
    <w:p>
      <w:pPr>
        <w:pStyle w:val="Heading1"/>
      </w:pPr>
      <w:r>
        <w:t xml:space="preserve">Supported Markets</w:t>
      </w:r>
    </w:p>
    <w:p>
      <w:pPr>
        <w:pStyle w:val="Compact"/>
        <w:numPr>
          <w:ilvl w:val="0"/>
          <w:numId w:val="1003"/>
        </w:numPr>
      </w:pPr>
      <w:r>
        <w:t xml:space="preserve">Bitcoin (BTCUSD / XBTUSD)</w:t>
      </w:r>
    </w:p>
    <w:p>
      <w:pPr>
        <w:pStyle w:val="Compact"/>
        <w:numPr>
          <w:ilvl w:val="0"/>
          <w:numId w:val="1003"/>
        </w:numPr>
      </w:pPr>
      <w:r>
        <w:t xml:space="preserve">Gold (XAUUSD)</w:t>
      </w:r>
    </w:p>
    <w:p>
      <w:pPr>
        <w:pStyle w:val="Compact"/>
        <w:numPr>
          <w:ilvl w:val="0"/>
          <w:numId w:val="1003"/>
        </w:numPr>
      </w:pPr>
      <w:r>
        <w:t xml:space="preserve">Major Forex Pairs</w:t>
      </w:r>
    </w:p>
    <w:p>
      <w:pPr>
        <w:pStyle w:val="Compact"/>
        <w:numPr>
          <w:ilvl w:val="0"/>
          <w:numId w:val="1003"/>
        </w:numPr>
      </w:pPr>
      <w:r>
        <w:t xml:space="preserve">Stock Indices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e"/>
    <w:p>
      <w:pPr>
        <w:pStyle w:val="Heading1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AI_SwingBreakout_Pro/</w:t>
      </w:r>
      <w:r>
        <w:br/>
      </w:r>
      <w:r>
        <w:br/>
      </w:r>
      <w:r>
        <w:rPr>
          <w:rStyle w:val="VerbatimChar"/>
        </w:rPr>
        <w:t xml:space="preserve">├── Source/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├── Indicators/</w:t>
      </w:r>
      <w:r>
        <w:br/>
      </w:r>
      <w:r>
        <w:rPr>
          <w:rStyle w:val="VerbatimChar"/>
        </w:rPr>
        <w:t xml:space="preserve">│   ├── Market/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├── Risk/</w:t>
      </w:r>
      <w:r>
        <w:br/>
      </w:r>
      <w:r>
        <w:rPr>
          <w:rStyle w:val="VerbatimChar"/>
        </w:rPr>
        <w:t xml:space="preserve">│   ├── Trade/</w:t>
      </w:r>
      <w:r>
        <w:br/>
      </w:r>
      <w:r>
        <w:rPr>
          <w:rStyle w:val="VerbatimChar"/>
        </w:rPr>
        <w:t xml:space="preserve">│   ├── Statistics/</w:t>
      </w:r>
      <w:r>
        <w:br/>
      </w:r>
      <w:r>
        <w:rPr>
          <w:rStyle w:val="VerbatimChar"/>
        </w:rPr>
        <w:t xml:space="preserve">│   └── Common/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Presets/</w:t>
      </w:r>
      <w:r>
        <w:br/>
      </w:r>
      <w:r>
        <w:rPr>
          <w:rStyle w:val="VerbatimChar"/>
        </w:rPr>
        <w:t xml:space="preserve">├── Documentation/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└── LICENSE</w:t>
      </w:r>
    </w:p>
    <w:p>
      <w:r>
        <w:pict>
          <v:rect style="width:0;height:1.5pt" o:hralign="center" o:hrstd="t" o:hr="t"/>
        </w:pict>
      </w:r>
    </w:p>
    <w:bookmarkEnd w:id="25"/>
    <w:bookmarkStart w:id="33" w:name="core-components"/>
    <w:p>
      <w:pPr>
        <w:pStyle w:val="Heading1"/>
      </w:pPr>
      <w:r>
        <w:t xml:space="preserve">Core Components</w:t>
      </w:r>
    </w:p>
    <w:bookmarkStart w:id="26" w:name="core"/>
    <w:p>
      <w:pPr>
        <w:pStyle w:val="Heading2"/>
      </w:pPr>
      <w:r>
        <w:t xml:space="preserve">Core</w:t>
      </w:r>
    </w:p>
    <w:p>
      <w:pPr>
        <w:pStyle w:val="Compact"/>
        <w:numPr>
          <w:ilvl w:val="0"/>
          <w:numId w:val="1004"/>
        </w:numPr>
      </w:pPr>
      <w:r>
        <w:t xml:space="preserve">Configuration Manager</w:t>
      </w:r>
    </w:p>
    <w:p>
      <w:pPr>
        <w:pStyle w:val="Compact"/>
        <w:numPr>
          <w:ilvl w:val="0"/>
          <w:numId w:val="1004"/>
        </w:numPr>
      </w:pPr>
      <w:r>
        <w:t xml:space="preserve">Logger</w:t>
      </w:r>
    </w:p>
    <w:p>
      <w:pPr>
        <w:pStyle w:val="Compact"/>
        <w:numPr>
          <w:ilvl w:val="0"/>
          <w:numId w:val="1004"/>
        </w:numPr>
      </w:pPr>
      <w:r>
        <w:t xml:space="preserve">Error Handler</w:t>
      </w:r>
    </w:p>
    <w:p>
      <w:pPr>
        <w:pStyle w:val="Compact"/>
        <w:numPr>
          <w:ilvl w:val="0"/>
          <w:numId w:val="1004"/>
        </w:numPr>
      </w:pPr>
      <w:r>
        <w:t xml:space="preserve">Utilities</w:t>
      </w:r>
    </w:p>
    <w:p>
      <w:pPr>
        <w:pStyle w:val="Compact"/>
        <w:numPr>
          <w:ilvl w:val="0"/>
          <w:numId w:val="1004"/>
        </w:numPr>
      </w:pPr>
      <w:r>
        <w:t xml:space="preserve">Symbol Manager</w:t>
      </w:r>
    </w:p>
    <w:p>
      <w:pPr>
        <w:pStyle w:val="Compact"/>
        <w:numPr>
          <w:ilvl w:val="0"/>
          <w:numId w:val="1004"/>
        </w:numPr>
      </w:pPr>
      <w:r>
        <w:t xml:space="preserve">Market Snapshot</w:t>
      </w:r>
    </w:p>
    <w:p>
      <w:pPr>
        <w:pStyle w:val="Compact"/>
        <w:numPr>
          <w:ilvl w:val="0"/>
          <w:numId w:val="1004"/>
        </w:numPr>
      </w:pPr>
      <w:r>
        <w:t xml:space="preserve">Indicator Cache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bookmarkEnd w:id="26"/>
    <w:bookmarkStart w:id="27" w:name="indicators"/>
    <w:p>
      <w:pPr>
        <w:pStyle w:val="Heading2"/>
      </w:pPr>
      <w:r>
        <w:t xml:space="preserve">Indicators</w:t>
      </w:r>
    </w:p>
    <w:p>
      <w:pPr>
        <w:pStyle w:val="Compact"/>
        <w:numPr>
          <w:ilvl w:val="0"/>
          <w:numId w:val="1005"/>
        </w:numPr>
      </w:pPr>
      <w:r>
        <w:t xml:space="preserve">EMA</w:t>
      </w:r>
    </w:p>
    <w:p>
      <w:pPr>
        <w:pStyle w:val="Compact"/>
        <w:numPr>
          <w:ilvl w:val="0"/>
          <w:numId w:val="1005"/>
        </w:numPr>
      </w:pPr>
      <w:r>
        <w:t xml:space="preserve">ATR</w:t>
      </w:r>
    </w:p>
    <w:p>
      <w:pPr>
        <w:pStyle w:val="Compact"/>
        <w:numPr>
          <w:ilvl w:val="0"/>
          <w:numId w:val="1005"/>
        </w:numPr>
      </w:pPr>
      <w:r>
        <w:t xml:space="preserve">ADX</w:t>
      </w:r>
    </w:p>
    <w:p>
      <w:pPr>
        <w:pStyle w:val="Compact"/>
        <w:numPr>
          <w:ilvl w:val="0"/>
          <w:numId w:val="1005"/>
        </w:numPr>
      </w:pPr>
      <w:r>
        <w:t xml:space="preserve">Volume</w:t>
      </w:r>
    </w:p>
    <w:p>
      <w:pPr>
        <w:pStyle w:val="Compact"/>
        <w:numPr>
          <w:ilvl w:val="0"/>
          <w:numId w:val="1005"/>
        </w:numPr>
      </w:pPr>
      <w:r>
        <w:t xml:space="preserve">Spread</w:t>
      </w:r>
    </w:p>
    <w:bookmarkEnd w:id="27"/>
    <w:bookmarkStart w:id="28" w:name="market-engine"/>
    <w:p>
      <w:pPr>
        <w:pStyle w:val="Heading2"/>
      </w:pPr>
      <w:r>
        <w:t xml:space="preserve">Market Engine</w:t>
      </w:r>
    </w:p>
    <w:p>
      <w:pPr>
        <w:pStyle w:val="Compact"/>
        <w:numPr>
          <w:ilvl w:val="0"/>
          <w:numId w:val="1006"/>
        </w:numPr>
      </w:pPr>
      <w:r>
        <w:t xml:space="preserve">Swing Detector</w:t>
      </w:r>
    </w:p>
    <w:p>
      <w:pPr>
        <w:pStyle w:val="Compact"/>
        <w:numPr>
          <w:ilvl w:val="0"/>
          <w:numId w:val="1006"/>
        </w:numPr>
      </w:pPr>
      <w:r>
        <w:t xml:space="preserve">Structure Detector</w:t>
      </w:r>
    </w:p>
    <w:p>
      <w:pPr>
        <w:pStyle w:val="Compact"/>
        <w:numPr>
          <w:ilvl w:val="0"/>
          <w:numId w:val="1006"/>
        </w:numPr>
      </w:pPr>
      <w:r>
        <w:t xml:space="preserve">Trend Detector</w:t>
      </w:r>
    </w:p>
    <w:p>
      <w:pPr>
        <w:pStyle w:val="Compact"/>
        <w:numPr>
          <w:ilvl w:val="0"/>
          <w:numId w:val="1006"/>
        </w:numPr>
      </w:pPr>
      <w:r>
        <w:t xml:space="preserve">Breakout Detector</w:t>
      </w:r>
    </w:p>
    <w:p>
      <w:pPr>
        <w:pStyle w:val="Compact"/>
        <w:numPr>
          <w:ilvl w:val="0"/>
          <w:numId w:val="1006"/>
        </w:numPr>
      </w:pPr>
      <w:r>
        <w:t xml:space="preserve">Session Filter</w:t>
      </w:r>
    </w:p>
    <w:p>
      <w:pPr>
        <w:pStyle w:val="Compact"/>
        <w:numPr>
          <w:ilvl w:val="0"/>
          <w:numId w:val="1006"/>
        </w:numPr>
      </w:pPr>
      <w:r>
        <w:t xml:space="preserve">Market Regime Detector</w:t>
      </w:r>
    </w:p>
    <w:bookmarkEnd w:id="28"/>
    <w:bookmarkStart w:id="29" w:name="ai-engine"/>
    <w:p>
      <w:pPr>
        <w:pStyle w:val="Heading2"/>
      </w:pPr>
      <w:r>
        <w:t xml:space="preserve">AI Engine</w:t>
      </w:r>
    </w:p>
    <w:p>
      <w:pPr>
        <w:pStyle w:val="Compact"/>
        <w:numPr>
          <w:ilvl w:val="0"/>
          <w:numId w:val="1007"/>
        </w:numPr>
      </w:pPr>
      <w:r>
        <w:t xml:space="preserve">Probability Engine</w:t>
      </w:r>
    </w:p>
    <w:p>
      <w:pPr>
        <w:pStyle w:val="Compact"/>
        <w:numPr>
          <w:ilvl w:val="0"/>
          <w:numId w:val="1007"/>
        </w:numPr>
      </w:pPr>
      <w:r>
        <w:t xml:space="preserve">Score Calculator</w:t>
      </w:r>
    </w:p>
    <w:p>
      <w:pPr>
        <w:pStyle w:val="Compact"/>
        <w:numPr>
          <w:ilvl w:val="0"/>
          <w:numId w:val="1007"/>
        </w:numPr>
      </w:pPr>
      <w:r>
        <w:t xml:space="preserve">Signal Engine</w:t>
      </w:r>
    </w:p>
    <w:bookmarkEnd w:id="29"/>
    <w:bookmarkStart w:id="30" w:name="risk-engine"/>
    <w:p>
      <w:pPr>
        <w:pStyle w:val="Heading2"/>
      </w:pPr>
      <w:r>
        <w:t xml:space="preserve">Risk Engine</w:t>
      </w:r>
    </w:p>
    <w:p>
      <w:pPr>
        <w:pStyle w:val="Compact"/>
        <w:numPr>
          <w:ilvl w:val="0"/>
          <w:numId w:val="1008"/>
        </w:numPr>
      </w:pPr>
      <w:r>
        <w:t xml:space="preserve">Position Sizer</w:t>
      </w:r>
    </w:p>
    <w:p>
      <w:pPr>
        <w:pStyle w:val="Compact"/>
        <w:numPr>
          <w:ilvl w:val="0"/>
          <w:numId w:val="1008"/>
        </w:numPr>
      </w:pPr>
      <w:r>
        <w:t xml:space="preserve">Dynamic Risk</w:t>
      </w:r>
    </w:p>
    <w:p>
      <w:pPr>
        <w:pStyle w:val="Compact"/>
        <w:numPr>
          <w:ilvl w:val="0"/>
          <w:numId w:val="1008"/>
        </w:numPr>
      </w:pPr>
      <w:r>
        <w:t xml:space="preserve">Daily Protection</w:t>
      </w:r>
    </w:p>
    <w:p>
      <w:pPr>
        <w:pStyle w:val="Compact"/>
        <w:numPr>
          <w:ilvl w:val="0"/>
          <w:numId w:val="1008"/>
        </w:numPr>
      </w:pPr>
      <w:r>
        <w:t xml:space="preserve">Drawdown Guard</w:t>
      </w:r>
    </w:p>
    <w:p>
      <w:pPr>
        <w:pStyle w:val="Compact"/>
        <w:numPr>
          <w:ilvl w:val="0"/>
          <w:numId w:val="1008"/>
        </w:numPr>
      </w:pPr>
      <w:r>
        <w:t xml:space="preserve">Exposure Manager</w:t>
      </w:r>
    </w:p>
    <w:p>
      <w:pPr>
        <w:pStyle w:val="Compact"/>
        <w:numPr>
          <w:ilvl w:val="0"/>
          <w:numId w:val="1008"/>
        </w:numPr>
      </w:pPr>
      <w:r>
        <w:t xml:space="preserve">Portfolio Manager</w:t>
      </w:r>
    </w:p>
    <w:bookmarkEnd w:id="30"/>
    <w:bookmarkStart w:id="31" w:name="trade-engine"/>
    <w:p>
      <w:pPr>
        <w:pStyle w:val="Heading2"/>
      </w:pPr>
      <w:r>
        <w:t xml:space="preserve">Trade Engine</w:t>
      </w:r>
    </w:p>
    <w:p>
      <w:pPr>
        <w:pStyle w:val="Compact"/>
        <w:numPr>
          <w:ilvl w:val="0"/>
          <w:numId w:val="1009"/>
        </w:numPr>
      </w:pPr>
      <w:r>
        <w:t xml:space="preserve">Entry Engine</w:t>
      </w:r>
    </w:p>
    <w:p>
      <w:pPr>
        <w:pStyle w:val="Compact"/>
        <w:numPr>
          <w:ilvl w:val="0"/>
          <w:numId w:val="1009"/>
        </w:numPr>
      </w:pPr>
      <w:r>
        <w:t xml:space="preserve">Pending Order Manager</w:t>
      </w:r>
    </w:p>
    <w:p>
      <w:pPr>
        <w:pStyle w:val="Compact"/>
        <w:numPr>
          <w:ilvl w:val="0"/>
          <w:numId w:val="1009"/>
        </w:numPr>
      </w:pPr>
      <w:r>
        <w:t xml:space="preserve">Position Manager</w:t>
      </w:r>
    </w:p>
    <w:p>
      <w:pPr>
        <w:pStyle w:val="Compact"/>
        <w:numPr>
          <w:ilvl w:val="0"/>
          <w:numId w:val="1009"/>
        </w:numPr>
      </w:pPr>
      <w:r>
        <w:t xml:space="preserve">Break-even Manager</w:t>
      </w:r>
    </w:p>
    <w:p>
      <w:pPr>
        <w:pStyle w:val="Compact"/>
        <w:numPr>
          <w:ilvl w:val="0"/>
          <w:numId w:val="1009"/>
        </w:numPr>
      </w:pPr>
      <w:r>
        <w:t xml:space="preserve">Partial Close Manager</w:t>
      </w:r>
    </w:p>
    <w:p>
      <w:pPr>
        <w:pStyle w:val="Compact"/>
        <w:numPr>
          <w:ilvl w:val="0"/>
          <w:numId w:val="1009"/>
        </w:numPr>
      </w:pPr>
      <w:r>
        <w:t xml:space="preserve">ATR Trailing Stop</w:t>
      </w:r>
    </w:p>
    <w:p>
      <w:pPr>
        <w:pStyle w:val="Compact"/>
        <w:numPr>
          <w:ilvl w:val="0"/>
          <w:numId w:val="1009"/>
        </w:numPr>
      </w:pPr>
      <w:r>
        <w:t xml:space="preserve">Exit Manager</w:t>
      </w:r>
    </w:p>
    <w:bookmarkEnd w:id="31"/>
    <w:bookmarkStart w:id="32" w:name="statistics"/>
    <w:p>
      <w:pPr>
        <w:pStyle w:val="Heading2"/>
      </w:pPr>
      <w:r>
        <w:t xml:space="preserve">Statistics</w:t>
      </w:r>
    </w:p>
    <w:p>
      <w:pPr>
        <w:pStyle w:val="Compact"/>
        <w:numPr>
          <w:ilvl w:val="0"/>
          <w:numId w:val="1010"/>
        </w:numPr>
      </w:pPr>
      <w:r>
        <w:t xml:space="preserve">Trade Journal</w:t>
      </w:r>
    </w:p>
    <w:p>
      <w:pPr>
        <w:pStyle w:val="Compact"/>
        <w:numPr>
          <w:ilvl w:val="0"/>
          <w:numId w:val="1010"/>
        </w:numPr>
      </w:pPr>
      <w:r>
        <w:t xml:space="preserve">CSV Export</w:t>
      </w:r>
    </w:p>
    <w:p>
      <w:pPr>
        <w:pStyle w:val="Compact"/>
        <w:numPr>
          <w:ilvl w:val="0"/>
          <w:numId w:val="1010"/>
        </w:numPr>
      </w:pPr>
      <w:r>
        <w:t xml:space="preserve">Performance Analyzer</w:t>
      </w:r>
    </w:p>
    <w:p>
      <w:pPr>
        <w:pStyle w:val="Compact"/>
        <w:numPr>
          <w:ilvl w:val="0"/>
          <w:numId w:val="1010"/>
        </w:numPr>
      </w:pPr>
      <w:r>
        <w:t xml:space="preserve">Optimization Tools</w:t>
      </w:r>
    </w:p>
    <w:p>
      <w:pPr>
        <w:pStyle w:val="Compact"/>
        <w:numPr>
          <w:ilvl w:val="0"/>
          <w:numId w:val="1010"/>
        </w:numPr>
      </w:pPr>
      <w:r>
        <w:t xml:space="preserve">Walk-Forward Support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rading-philosophy"/>
    <w:p>
      <w:pPr>
        <w:pStyle w:val="Heading1"/>
      </w:pPr>
      <w:r>
        <w:t xml:space="preserve">Trading Philosophy</w:t>
      </w:r>
    </w:p>
    <w:p>
      <w:pPr>
        <w:pStyle w:val="FirstParagraph"/>
      </w:pPr>
      <w:r>
        <w:t xml:space="preserve">The strategy follows four priorities:</w:t>
      </w:r>
    </w:p>
    <w:p>
      <w:pPr>
        <w:pStyle w:val="Compact"/>
        <w:numPr>
          <w:ilvl w:val="0"/>
          <w:numId w:val="1011"/>
        </w:numPr>
      </w:pPr>
      <w:r>
        <w:t xml:space="preserve">Protect Capital</w:t>
      </w:r>
    </w:p>
    <w:p>
      <w:pPr>
        <w:pStyle w:val="Compact"/>
        <w:numPr>
          <w:ilvl w:val="0"/>
          <w:numId w:val="1011"/>
        </w:numPr>
      </w:pPr>
      <w:r>
        <w:t xml:space="preserve">Avoid Low-Quality Trades</w:t>
      </w:r>
    </w:p>
    <w:p>
      <w:pPr>
        <w:pStyle w:val="Compact"/>
        <w:numPr>
          <w:ilvl w:val="0"/>
          <w:numId w:val="1011"/>
        </w:numPr>
      </w:pPr>
      <w:r>
        <w:t xml:space="preserve">Manage Winning Positions</w:t>
      </w:r>
    </w:p>
    <w:p>
      <w:pPr>
        <w:pStyle w:val="Compact"/>
        <w:numPr>
          <w:ilvl w:val="0"/>
          <w:numId w:val="1011"/>
        </w:numPr>
      </w:pPr>
      <w:r>
        <w:t xml:space="preserve">Generate Consistent Profits</w:t>
      </w:r>
    </w:p>
    <w:p>
      <w:pPr>
        <w:pStyle w:val="FirstParagraph"/>
      </w:pPr>
      <w:r>
        <w:t xml:space="preserve">The EA only trades when multiple independent conditions align, including trend, market structure, volatility, volume, and probability.</w:t>
      </w:r>
    </w:p>
    <w:p>
      <w:r>
        <w:pict>
          <v:rect style="width:0;height:1.5pt" o:hralign="center" o:hrstd="t" o:hr="t"/>
        </w:pict>
      </w:r>
    </w:p>
    <w:bookmarkEnd w:id="34"/>
    <w:bookmarkStart w:id="35" w:name="coding-standards"/>
    <w:p>
      <w:pPr>
        <w:pStyle w:val="Heading1"/>
      </w:pPr>
      <w:r>
        <w:t xml:space="preserve">Coding Standards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#property strict</w:t>
      </w:r>
    </w:p>
    <w:p>
      <w:pPr>
        <w:pStyle w:val="Compact"/>
        <w:numPr>
          <w:ilvl w:val="0"/>
          <w:numId w:val="1012"/>
        </w:numPr>
      </w:pPr>
      <w:r>
        <w:t xml:space="preserve">Zero compiler warnings</w:t>
      </w:r>
    </w:p>
    <w:p>
      <w:pPr>
        <w:pStyle w:val="Compact"/>
        <w:numPr>
          <w:ilvl w:val="0"/>
          <w:numId w:val="1012"/>
        </w:numPr>
      </w:pPr>
      <w:r>
        <w:t xml:space="preserve">Zero compiler errors</w:t>
      </w:r>
    </w:p>
    <w:p>
      <w:pPr>
        <w:pStyle w:val="Compact"/>
        <w:numPr>
          <w:ilvl w:val="0"/>
          <w:numId w:val="1012"/>
        </w:numPr>
      </w:pPr>
      <w:r>
        <w:t xml:space="preserve">Object-Oriented Programming (OOP)</w:t>
      </w:r>
    </w:p>
    <w:p>
      <w:pPr>
        <w:pStyle w:val="Compact"/>
        <w:numPr>
          <w:ilvl w:val="0"/>
          <w:numId w:val="1012"/>
        </w:numPr>
      </w:pPr>
      <w:r>
        <w:t xml:space="preserve">Single Responsibility Principle</w:t>
      </w:r>
    </w:p>
    <w:p>
      <w:pPr>
        <w:pStyle w:val="Compact"/>
        <w:numPr>
          <w:ilvl w:val="0"/>
          <w:numId w:val="1012"/>
        </w:numPr>
      </w:pPr>
      <w:r>
        <w:t xml:space="preserve">Configurable parameters</w:t>
      </w:r>
    </w:p>
    <w:p>
      <w:pPr>
        <w:pStyle w:val="Compact"/>
        <w:numPr>
          <w:ilvl w:val="0"/>
          <w:numId w:val="1012"/>
        </w:numPr>
      </w:pPr>
      <w:r>
        <w:t xml:space="preserve">Minimal work per tick</w:t>
      </w:r>
    </w:p>
    <w:p>
      <w:pPr>
        <w:pStyle w:val="Compact"/>
        <w:numPr>
          <w:ilvl w:val="0"/>
          <w:numId w:val="1012"/>
        </w:numPr>
      </w:pPr>
      <w:r>
        <w:t xml:space="preserve">Cached indicator calculations</w:t>
      </w:r>
    </w:p>
    <w:p>
      <w:pPr>
        <w:pStyle w:val="Compact"/>
        <w:numPr>
          <w:ilvl w:val="0"/>
          <w:numId w:val="1012"/>
        </w:numPr>
      </w:pPr>
      <w:r>
        <w:t xml:space="preserve">Comprehensive logging</w:t>
      </w:r>
    </w:p>
    <w:p>
      <w:pPr>
        <w:pStyle w:val="Compact"/>
        <w:numPr>
          <w:ilvl w:val="0"/>
          <w:numId w:val="1012"/>
        </w:numPr>
      </w:pPr>
      <w:r>
        <w:t xml:space="preserve">Broker-independent implementation</w:t>
      </w:r>
    </w:p>
    <w:p>
      <w:r>
        <w:pict>
          <v:rect style="width:0;height:1.5pt" o:hralign="center" o:hrstd="t" o:hr="t"/>
        </w:pict>
      </w:r>
    </w:p>
    <w:bookmarkEnd w:id="35"/>
    <w:bookmarkStart w:id="36" w:name="development-workflow"/>
    <w:p>
      <w:pPr>
        <w:pStyle w:val="Heading1"/>
      </w:pPr>
      <w:r>
        <w:t xml:space="preserve">Development Workflow</w:t>
      </w:r>
    </w:p>
    <w:p>
      <w:pPr>
        <w:pStyle w:val="SourceCode"/>
      </w:pP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Compilation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Module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Optimization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Walk-Forward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Forward Demo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Live Deployment</w:t>
      </w:r>
    </w:p>
    <w:p>
      <w:r>
        <w:pict>
          <v:rect style="width:0;height:1.5pt" o:hralign="center" o:hrstd="t" o:hr="t"/>
        </w:pict>
      </w:r>
    </w:p>
    <w:bookmarkEnd w:id="36"/>
    <w:bookmarkStart w:id="37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A module is considered complete only when it:</w:t>
      </w:r>
    </w:p>
    <w:p>
      <w:pPr>
        <w:pStyle w:val="Compact"/>
        <w:numPr>
          <w:ilvl w:val="0"/>
          <w:numId w:val="1013"/>
        </w:numPr>
      </w:pPr>
      <w:r>
        <w:t xml:space="preserve">Compiles without errors</w:t>
      </w:r>
    </w:p>
    <w:p>
      <w:pPr>
        <w:pStyle w:val="Compact"/>
        <w:numPr>
          <w:ilvl w:val="0"/>
          <w:numId w:val="1013"/>
        </w:numPr>
      </w:pPr>
      <w:r>
        <w:t xml:space="preserve">Compiles without warnings</w:t>
      </w:r>
    </w:p>
    <w:p>
      <w:pPr>
        <w:pStyle w:val="Compact"/>
        <w:numPr>
          <w:ilvl w:val="0"/>
          <w:numId w:val="1013"/>
        </w:numPr>
      </w:pPr>
      <w:r>
        <w:t xml:space="preserve">Properly releases all resources</w:t>
      </w:r>
    </w:p>
    <w:p>
      <w:pPr>
        <w:pStyle w:val="Compact"/>
        <w:numPr>
          <w:ilvl w:val="0"/>
          <w:numId w:val="1013"/>
        </w:numPr>
      </w:pPr>
      <w:r>
        <w:t xml:space="preserve">Includes documentation</w:t>
      </w:r>
    </w:p>
    <w:p>
      <w:pPr>
        <w:pStyle w:val="Compact"/>
        <w:numPr>
          <w:ilvl w:val="0"/>
          <w:numId w:val="1013"/>
        </w:numPr>
      </w:pPr>
      <w:r>
        <w:t xml:space="preserve">Includes logging</w:t>
      </w:r>
    </w:p>
    <w:p>
      <w:pPr>
        <w:pStyle w:val="Compact"/>
        <w:numPr>
          <w:ilvl w:val="0"/>
          <w:numId w:val="1013"/>
        </w:numPr>
      </w:pPr>
      <w:r>
        <w:t xml:space="preserve">Uses configurable parameters</w:t>
      </w:r>
    </w:p>
    <w:p>
      <w:pPr>
        <w:pStyle w:val="Compact"/>
        <w:numPr>
          <w:ilvl w:val="0"/>
          <w:numId w:val="1013"/>
        </w:numPr>
      </w:pPr>
      <w:r>
        <w:t xml:space="preserve">Has no duplicated logic</w:t>
      </w:r>
    </w:p>
    <w:p>
      <w:pPr>
        <w:pStyle w:val="Compact"/>
        <w:numPr>
          <w:ilvl w:val="0"/>
          <w:numId w:val="1013"/>
        </w:numPr>
      </w:pPr>
      <w:r>
        <w:t xml:space="preserve">Passes planned testing</w:t>
      </w:r>
    </w:p>
    <w:p>
      <w:r>
        <w:pict>
          <v:rect style="width:0;height:1.5pt" o:hralign="center" o:hrstd="t" o:hr="t"/>
        </w:pict>
      </w:r>
    </w:p>
    <w:bookmarkEnd w:id="37"/>
    <w:bookmarkStart w:id="42" w:name="version-roadmap"/>
    <w:p>
      <w:pPr>
        <w:pStyle w:val="Heading1"/>
      </w:pPr>
      <w:r>
        <w:t xml:space="preserve">Version Roadmap</w:t>
      </w:r>
    </w:p>
    <w:bookmarkStart w:id="38" w:name="version-2.0"/>
    <w:p>
      <w:pPr>
        <w:pStyle w:val="Heading2"/>
      </w:pPr>
      <w:r>
        <w:t xml:space="preserve">Version 2.0</w:t>
      </w:r>
    </w:p>
    <w:p>
      <w:pPr>
        <w:pStyle w:val="Compact"/>
        <w:numPr>
          <w:ilvl w:val="0"/>
          <w:numId w:val="1014"/>
        </w:numPr>
      </w:pPr>
      <w:r>
        <w:t xml:space="preserve">Institutional Swing Breakout EA</w:t>
      </w:r>
    </w:p>
    <w:p>
      <w:pPr>
        <w:pStyle w:val="Compact"/>
        <w:numPr>
          <w:ilvl w:val="0"/>
          <w:numId w:val="1014"/>
        </w:numPr>
      </w:pPr>
      <w:r>
        <w:t xml:space="preserve">Dynamic Risk Engine</w:t>
      </w:r>
    </w:p>
    <w:p>
      <w:pPr>
        <w:pStyle w:val="Compact"/>
        <w:numPr>
          <w:ilvl w:val="0"/>
          <w:numId w:val="1014"/>
        </w:numPr>
      </w:pPr>
      <w:r>
        <w:t xml:space="preserve">Probability Engine</w:t>
      </w:r>
    </w:p>
    <w:p>
      <w:pPr>
        <w:pStyle w:val="Compact"/>
        <w:numPr>
          <w:ilvl w:val="0"/>
          <w:numId w:val="1014"/>
        </w:numPr>
      </w:pPr>
      <w:r>
        <w:t xml:space="preserve">Professional Trade Management</w:t>
      </w:r>
    </w:p>
    <w:bookmarkEnd w:id="38"/>
    <w:bookmarkStart w:id="39" w:name="version-2.1"/>
    <w:p>
      <w:pPr>
        <w:pStyle w:val="Heading2"/>
      </w:pPr>
      <w:r>
        <w:t xml:space="preserve">Version 2.1</w:t>
      </w:r>
    </w:p>
    <w:p>
      <w:pPr>
        <w:pStyle w:val="Compact"/>
        <w:numPr>
          <w:ilvl w:val="0"/>
          <w:numId w:val="1015"/>
        </w:numPr>
      </w:pPr>
      <w:r>
        <w:t xml:space="preserve">Portfolio Manager</w:t>
      </w:r>
    </w:p>
    <w:p>
      <w:pPr>
        <w:pStyle w:val="Compact"/>
        <w:numPr>
          <w:ilvl w:val="0"/>
          <w:numId w:val="1015"/>
        </w:numPr>
      </w:pPr>
      <w:r>
        <w:t xml:space="preserve">Strategy Health Monitor</w:t>
      </w:r>
    </w:p>
    <w:p>
      <w:pPr>
        <w:pStyle w:val="Compact"/>
        <w:numPr>
          <w:ilvl w:val="0"/>
          <w:numId w:val="1015"/>
        </w:numPr>
      </w:pPr>
      <w:r>
        <w:t xml:space="preserve">Performance Dashboard</w:t>
      </w:r>
    </w:p>
    <w:bookmarkEnd w:id="39"/>
    <w:bookmarkStart w:id="40" w:name="version-2.2"/>
    <w:p>
      <w:pPr>
        <w:pStyle w:val="Heading2"/>
      </w:pPr>
      <w:r>
        <w:t xml:space="preserve">Version 2.2</w:t>
      </w:r>
    </w:p>
    <w:p>
      <w:pPr>
        <w:pStyle w:val="Compact"/>
        <w:numPr>
          <w:ilvl w:val="0"/>
          <w:numId w:val="1016"/>
        </w:numPr>
      </w:pPr>
      <w:r>
        <w:t xml:space="preserve">Adaptive Market Regime Engine</w:t>
      </w:r>
    </w:p>
    <w:p>
      <w:pPr>
        <w:pStyle w:val="Compact"/>
        <w:numPr>
          <w:ilvl w:val="0"/>
          <w:numId w:val="1016"/>
        </w:numPr>
      </w:pPr>
      <w:r>
        <w:t xml:space="preserve">Correlation Filter</w:t>
      </w:r>
    </w:p>
    <w:p>
      <w:pPr>
        <w:pStyle w:val="Compact"/>
        <w:numPr>
          <w:ilvl w:val="0"/>
          <w:numId w:val="1016"/>
        </w:numPr>
      </w:pPr>
      <w:r>
        <w:t xml:space="preserve">Enhanced Optimization</w:t>
      </w:r>
    </w:p>
    <w:bookmarkEnd w:id="40"/>
    <w:bookmarkStart w:id="41" w:name="version-3.0"/>
    <w:p>
      <w:pPr>
        <w:pStyle w:val="Heading2"/>
      </w:pPr>
      <w:r>
        <w:t xml:space="preserve">Version 3.0</w:t>
      </w:r>
    </w:p>
    <w:p>
      <w:pPr>
        <w:pStyle w:val="Compact"/>
        <w:numPr>
          <w:ilvl w:val="0"/>
          <w:numId w:val="1017"/>
        </w:numPr>
      </w:pPr>
      <w:r>
        <w:t xml:space="preserve">ONNX Machine Learning Integration</w:t>
      </w:r>
    </w:p>
    <w:p>
      <w:pPr>
        <w:pStyle w:val="Compact"/>
        <w:numPr>
          <w:ilvl w:val="0"/>
          <w:numId w:val="1017"/>
        </w:numPr>
      </w:pPr>
      <w:r>
        <w:t xml:space="preserve">AI Probability Filter</w:t>
      </w:r>
    </w:p>
    <w:p>
      <w:pPr>
        <w:pStyle w:val="Compact"/>
        <w:numPr>
          <w:ilvl w:val="0"/>
          <w:numId w:val="1017"/>
        </w:numPr>
      </w:pPr>
      <w:r>
        <w:t xml:space="preserve">Advanced Feature Engineering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erformance-goals"/>
    <w:p>
      <w:pPr>
        <w:pStyle w:val="Heading1"/>
      </w:pPr>
      <w:r>
        <w:t xml:space="preserve">Performance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Errors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Warnings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&lt;2% per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&lt;50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&lt;10% (target)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 Factor</w:t>
            </w:r>
          </w:p>
        </w:tc>
        <w:tc>
          <w:tcPr/>
          <w:p>
            <w:pPr>
              <w:pStyle w:val="Compact"/>
            </w:pPr>
            <w:r>
              <w:t xml:space="preserve">&gt;1.70 (target)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Factor</w:t>
            </w:r>
          </w:p>
        </w:tc>
        <w:tc>
          <w:tcPr/>
          <w:p>
            <w:pPr>
              <w:pStyle w:val="Compact"/>
            </w:pPr>
            <w:r>
              <w:t xml:space="preserve">&gt;2.50 (target)</w:t>
            </w:r>
          </w:p>
        </w:tc>
      </w:tr>
    </w:tbl>
    <w:p>
      <w:pPr>
        <w:pStyle w:val="BodyText"/>
      </w:pPr>
      <w:r>
        <w:rPr>
          <w:i/>
          <w:iCs/>
        </w:rPr>
        <w:t xml:space="preserve">Performance targets are objectives for validation through testing, not guarantees.</w:t>
      </w:r>
    </w:p>
    <w:p>
      <w:r>
        <w:pict>
          <v:rect style="width:0;height:1.5pt" o:hralign="center" o:hrstd="t" o:hr="t"/>
        </w:pict>
      </w:r>
    </w:p>
    <w:bookmarkEnd w:id="43"/>
    <w:bookmarkStart w:id="44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The long-term objective is to create a reusable institutional-grade trading framework capable of supporting multiple strategies while sharing common infrastructure such as:</w:t>
      </w:r>
    </w:p>
    <w:p>
      <w:pPr>
        <w:pStyle w:val="Compact"/>
        <w:numPr>
          <w:ilvl w:val="0"/>
          <w:numId w:val="1018"/>
        </w:numPr>
      </w:pPr>
      <w:r>
        <w:t xml:space="preserve">Risk Management</w:t>
      </w:r>
    </w:p>
    <w:p>
      <w:pPr>
        <w:pStyle w:val="Compact"/>
        <w:numPr>
          <w:ilvl w:val="0"/>
          <w:numId w:val="1018"/>
        </w:numPr>
      </w:pPr>
      <w:r>
        <w:t xml:space="preserve">Execution Engine</w:t>
      </w:r>
    </w:p>
    <w:p>
      <w:pPr>
        <w:pStyle w:val="Compact"/>
        <w:numPr>
          <w:ilvl w:val="0"/>
          <w:numId w:val="1018"/>
        </w:numPr>
      </w:pPr>
      <w:r>
        <w:t xml:space="preserve">Portfolio Management</w:t>
      </w:r>
    </w:p>
    <w:p>
      <w:pPr>
        <w:pStyle w:val="Compact"/>
        <w:numPr>
          <w:ilvl w:val="0"/>
          <w:numId w:val="1018"/>
        </w:numPr>
      </w:pPr>
      <w:r>
        <w:t xml:space="preserve">Statistics</w:t>
      </w:r>
    </w:p>
    <w:p>
      <w:pPr>
        <w:pStyle w:val="Compact"/>
        <w:numPr>
          <w:ilvl w:val="0"/>
          <w:numId w:val="1018"/>
        </w:numPr>
      </w:pPr>
      <w:r>
        <w:t xml:space="preserve">Logging</w:t>
      </w:r>
    </w:p>
    <w:p>
      <w:pPr>
        <w:pStyle w:val="Compact"/>
        <w:numPr>
          <w:ilvl w:val="0"/>
          <w:numId w:val="1018"/>
        </w:numPr>
      </w:pPr>
      <w:r>
        <w:t xml:space="preserve">AI Integration</w:t>
      </w:r>
    </w:p>
    <w:p>
      <w:pPr>
        <w:pStyle w:val="FirstParagraph"/>
      </w:pPr>
      <w:r>
        <w:t xml:space="preserve">Future strategy modules can then be developed without rewriting the underlying framework.</w:t>
      </w:r>
    </w:p>
    <w:p>
      <w:r>
        <w:pict>
          <v:rect style="width:0;height:1.5pt" o:hralign="center" o:hrstd="t" o:hr="t"/>
        </w:pict>
      </w:r>
    </w:p>
    <w:bookmarkEnd w:id="44"/>
    <w:bookmarkStart w:id="45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This project is currently under active development. Licensing terms will be defined upon completion of Version 2.0.</w:t>
      </w:r>
    </w:p>
    <w:p>
      <w:r>
        <w:pict>
          <v:rect style="width:0;height:1.5pt" o:hralign="center" o:hrstd="t" o:hr="t"/>
        </w:pict>
      </w:r>
    </w:p>
    <w:bookmarkEnd w:id="45"/>
    <w:bookmarkStart w:id="46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project is being developed collaboratively with a strong focus on software engineering best practices, disciplined testing, and continuous improvement. The objective is to build a maintainable, transparent, and professional algorithmic trading system suitable for long-term evolution.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2026-06-26T02:35:03Z</dcterms:created>
  <dcterms:modified xsi:type="dcterms:W3CDTF">2026-06-26T02:35:03Z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