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Multivariable Cox model of first regional WNV invasion.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65"/>
        <w:gridCol w:w="1625"/>
        <w:gridCol w:w="934"/>
      </w:tblGrid>
      <w:tr>
        <w:trPr>
          <w:trHeight w:val="47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4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Distance (per 100 km)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 (0.50–0.62)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Invasion pressure (per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(1.17–1.35)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7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Source-region intensity (log cases)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(1.18–1.62)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Temperature (per 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(1.19–1.31)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Relative humidity (per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(0.93–0.99)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4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Precipitation (per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(0.85–1.14)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0.836</w:t>
            </w:r>
          </w:p>
        </w:tc>
      </w:tr>
      <w:tr>
        <w:trPr>
          <w:trHeight w:val="47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Urbanisation: intermediate (vs urban)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(0.63–1.17)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</w:t>
            </w:r>
          </w:p>
        </w:tc>
      </w:tr>
      <w:tr>
        <w:trPr>
          <w:trHeight w:val="472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Urbanisation: rural (vs urban)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(0.59–1.16)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</w:tr>
    </w:tbl>
    <w:p>
      <w:pPr>
        <w:pStyle w:val="Normal"/>
      </w:pPr>
      <w:r>
        <w:t xml:space="preserve">n = 16318 region-years; 269 events; concordance = 0.875.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ziafarooq</cp:lastModifiedBy>
  <cp:revision>9</cp:revision>
  <dcterms:created xsi:type="dcterms:W3CDTF">2017-02-28T11:18:00Z</dcterms:created>
  <dcterms:modified xsi:type="dcterms:W3CDTF">2026-07-06T01:20:38Z</dcterms:modified>
  <cp:category/>
</cp:coreProperties>
</file>