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F43A4">
      <w:pPr>
        <w:spacing w:before="720"/>
        <w:jc w:val="center"/>
      </w:pPr>
      <w:r>
        <w:rPr>
          <w:rFonts w:ascii="Times New Roman" w:hAnsi="Times New Roman" w:eastAsia="黑体"/>
          <w:b/>
          <w:color w:val="1F4E79"/>
          <w:sz w:val="40"/>
        </w:rPr>
        <w:t>《The Future of Education: Symbiotic Intelligence and the AI+X Paradigm》</w:t>
      </w:r>
      <w:r>
        <w:rPr>
          <w:rFonts w:ascii="Times New Roman" w:hAnsi="Times New Roman" w:eastAsia="黑体"/>
          <w:b/>
          <w:color w:val="1F4E79"/>
          <w:sz w:val="40"/>
        </w:rPr>
        <w:br w:type="textWrapping"/>
      </w:r>
      <w:r>
        <w:rPr>
          <w:rFonts w:eastAsia="黑体"/>
          <w:b/>
          <w:color w:val="1F4E79"/>
          <w:sz w:val="44"/>
        </w:rPr>
        <w:t>审稿意见</w:t>
      </w:r>
    </w:p>
    <w:p w14:paraId="76DC8781">
      <w:pPr>
        <w:spacing w:before="240"/>
        <w:jc w:val="center"/>
      </w:pPr>
      <w:r>
        <w:rPr>
          <w:i/>
          <w:sz w:val="24"/>
        </w:rPr>
        <w:t>定位建议：A conceptual framework and institutional case study of AI+X education reform</w:t>
      </w:r>
      <w:r>
        <w:rPr>
          <w:i/>
          <w:sz w:val="24"/>
        </w:rPr>
        <w:br w:type="textWrapping"/>
      </w:r>
      <w:r>
        <w:rPr>
          <w:rFonts w:eastAsia="宋体"/>
          <w:b/>
          <w:sz w:val="24"/>
        </w:rPr>
        <w:t>AI+X 教育改革的理论框架与院校案例研究</w:t>
      </w:r>
    </w:p>
    <w:p w14:paraId="7AB33C40">
      <w:pPr>
        <w:spacing w:before="360"/>
        <w:jc w:val="center"/>
        <w:rPr>
          <w:sz w:val="22"/>
        </w:rPr>
      </w:pPr>
      <w:r>
        <w:rPr>
          <w:sz w:val="22"/>
        </w:rPr>
        <w:t>评审视角：高等教育、人工智能教育、教育心理学与组织管理</w:t>
      </w:r>
    </w:p>
    <w:p w14:paraId="2AA1FC21">
      <w:pPr>
        <w:spacing w:before="360"/>
        <w:jc w:val="center"/>
        <w:rPr>
          <w:rFonts w:hint="default" w:eastAsia="宋体"/>
          <w:sz w:val="22"/>
          <w:lang w:val="en-US" w:eastAsia="zh-CN"/>
        </w:rPr>
      </w:pPr>
      <w:r>
        <w:rPr>
          <w:rFonts w:hint="eastAsia"/>
          <w:sz w:val="22"/>
          <w:lang w:val="en-US" w:eastAsia="zh-CN"/>
        </w:rPr>
        <w:t>作者：</w:t>
      </w:r>
      <w:bookmarkStart w:id="0" w:name="_GoBack"/>
      <w:bookmarkEnd w:id="0"/>
      <w:r>
        <w:rPr>
          <w:rFonts w:hint="eastAsia"/>
          <w:sz w:val="22"/>
          <w:lang w:val="en-US" w:eastAsia="zh-CN"/>
        </w:rPr>
        <w:t>肖福军+AI</w:t>
      </w:r>
    </w:p>
    <w:p w14:paraId="365812EF">
      <w:pPr>
        <w:spacing w:before="360"/>
      </w:pPr>
      <w:r>
        <w:rPr>
          <w:rFonts w:eastAsia="黑体"/>
          <w:b/>
          <w:sz w:val="26"/>
        </w:rPr>
        <w:t>审稿结论摘要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3"/>
        <w:gridCol w:w="4873"/>
      </w:tblGrid>
      <w:tr w14:paraId="1F226E66">
        <w:trPr>
          <w:jc w:val="center"/>
        </w:trPr>
        <w:tc>
          <w:tcPr>
            <w:tcW w:w="4873" w:type="dxa"/>
            <w:shd w:val="clear" w:color="auto" w:fill="1F4E79"/>
            <w:vAlign w:val="center"/>
          </w:tcPr>
          <w:p w14:paraId="35559F0A">
            <w:pPr>
              <w:spacing w:after="0" w:line="276" w:lineRule="auto"/>
            </w:pPr>
            <w:r>
              <w:rPr>
                <w:b/>
                <w:color w:val="FFFFFF"/>
                <w:sz w:val="21"/>
              </w:rPr>
              <w:t>建议定位</w:t>
            </w:r>
          </w:p>
        </w:tc>
        <w:tc>
          <w:tcPr>
            <w:tcW w:w="4873" w:type="dxa"/>
            <w:vAlign w:val="center"/>
          </w:tcPr>
          <w:p w14:paraId="252FB2BF">
            <w:pPr>
              <w:spacing w:after="0" w:line="276" w:lineRule="auto"/>
            </w:pPr>
            <w:r>
              <w:rPr>
                <w:b w:val="0"/>
                <w:sz w:val="21"/>
              </w:rPr>
              <w:t>AI+X 教育改革的理论框架与院校案例研究</w:t>
            </w:r>
          </w:p>
        </w:tc>
      </w:tr>
      <w:tr w14:paraId="77B3A76B">
        <w:trPr>
          <w:jc w:val="center"/>
        </w:trPr>
        <w:tc>
          <w:tcPr>
            <w:tcW w:w="4873" w:type="dxa"/>
            <w:shd w:val="clear" w:color="auto" w:fill="1F4E79"/>
            <w:vAlign w:val="center"/>
          </w:tcPr>
          <w:p w14:paraId="55B34474">
            <w:pPr>
              <w:spacing w:after="0" w:line="276" w:lineRule="auto"/>
            </w:pPr>
            <w:r>
              <w:rPr>
                <w:b/>
                <w:color w:val="FFFFFF"/>
                <w:sz w:val="21"/>
              </w:rPr>
              <w:t>核心价值</w:t>
            </w:r>
          </w:p>
        </w:tc>
        <w:tc>
          <w:tcPr>
            <w:tcW w:w="4873" w:type="dxa"/>
            <w:vAlign w:val="center"/>
          </w:tcPr>
          <w:p w14:paraId="12AAC3E6">
            <w:pPr>
              <w:spacing w:after="0" w:line="276" w:lineRule="auto"/>
            </w:pPr>
            <w:r>
              <w:rPr>
                <w:b w:val="0"/>
                <w:sz w:val="21"/>
              </w:rPr>
              <w:t>提出 AI+X 教育范式，并以 SIAS University 的 Vibe Coding 课程实践展示范式如何进入真实课程与学生能力培养</w:t>
            </w:r>
          </w:p>
        </w:tc>
      </w:tr>
      <w:tr w14:paraId="61C024CE">
        <w:trPr>
          <w:jc w:val="center"/>
        </w:trPr>
        <w:tc>
          <w:tcPr>
            <w:tcW w:w="4873" w:type="dxa"/>
            <w:shd w:val="clear" w:color="auto" w:fill="1F4E79"/>
            <w:vAlign w:val="center"/>
          </w:tcPr>
          <w:p w14:paraId="0EAB7634">
            <w:pPr>
              <w:spacing w:after="0" w:line="276" w:lineRule="auto"/>
            </w:pPr>
            <w:r>
              <w:rPr>
                <w:b/>
                <w:color w:val="FFFFFF"/>
                <w:sz w:val="21"/>
              </w:rPr>
              <w:t>重点优势</w:t>
            </w:r>
          </w:p>
        </w:tc>
        <w:tc>
          <w:tcPr>
            <w:tcW w:w="4873" w:type="dxa"/>
            <w:vAlign w:val="center"/>
          </w:tcPr>
          <w:p w14:paraId="4C5FD29D">
            <w:pPr>
              <w:spacing w:after="0" w:line="276" w:lineRule="auto"/>
            </w:pPr>
            <w:r>
              <w:rPr>
                <w:b w:val="0"/>
                <w:sz w:val="21"/>
              </w:rPr>
              <w:t>三维学习目标、三阶段智能体循环、双回路教学法、证据型作品集、院校实施路径</w:t>
            </w:r>
          </w:p>
        </w:tc>
      </w:tr>
      <w:tr w14:paraId="029C59EC">
        <w:trPr>
          <w:jc w:val="center"/>
        </w:trPr>
        <w:tc>
          <w:tcPr>
            <w:tcW w:w="4873" w:type="dxa"/>
            <w:shd w:val="clear" w:color="auto" w:fill="1F4E79"/>
            <w:vAlign w:val="center"/>
          </w:tcPr>
          <w:p w14:paraId="7BBA0523">
            <w:pPr>
              <w:spacing w:after="0" w:line="276" w:lineRule="auto"/>
            </w:pPr>
            <w:r>
              <w:rPr>
                <w:b/>
                <w:color w:val="FFFFFF"/>
                <w:sz w:val="21"/>
              </w:rPr>
              <w:t>主要修改方向</w:t>
            </w:r>
          </w:p>
        </w:tc>
        <w:tc>
          <w:tcPr>
            <w:tcW w:w="4873" w:type="dxa"/>
            <w:vAlign w:val="center"/>
          </w:tcPr>
          <w:p w14:paraId="6100877C">
            <w:pPr>
              <w:spacing w:after="0" w:line="276" w:lineRule="auto"/>
            </w:pPr>
            <w:r>
              <w:rPr>
                <w:b w:val="0"/>
                <w:sz w:val="21"/>
              </w:rPr>
              <w:t>聚焦教育主线；增加文献综述；用模型图表达框架；强化 SIAS-Vibe Coding 案例；完善风险治理与政策建议</w:t>
            </w:r>
          </w:p>
        </w:tc>
      </w:tr>
      <w:tr w14:paraId="00A88E4D">
        <w:trPr>
          <w:jc w:val="center"/>
        </w:trPr>
        <w:tc>
          <w:tcPr>
            <w:tcW w:w="4873" w:type="dxa"/>
            <w:shd w:val="clear" w:color="auto" w:fill="1F4E79"/>
            <w:vAlign w:val="center"/>
          </w:tcPr>
          <w:p w14:paraId="2546DD2A">
            <w:pPr>
              <w:spacing w:after="0" w:line="276" w:lineRule="auto"/>
            </w:pPr>
            <w:r>
              <w:rPr>
                <w:b/>
                <w:color w:val="FFFFFF"/>
                <w:sz w:val="21"/>
              </w:rPr>
              <w:t>一句话评价</w:t>
            </w:r>
          </w:p>
        </w:tc>
        <w:tc>
          <w:tcPr>
            <w:tcW w:w="4873" w:type="dxa"/>
            <w:vAlign w:val="center"/>
          </w:tcPr>
          <w:p w14:paraId="039331B8">
            <w:pPr>
              <w:spacing w:after="0" w:line="276" w:lineRule="auto"/>
            </w:pPr>
            <w:r>
              <w:rPr>
                <w:b w:val="0"/>
                <w:sz w:val="21"/>
              </w:rPr>
              <w:t>本文的核心价值在于提出 AI 时代教育系统重构的概念模型，并通过 SIAS University 案例说明这一模型如何通过 Vibe Coding 课程进入真实教育实践。</w:t>
            </w:r>
          </w:p>
        </w:tc>
      </w:tr>
    </w:tbl>
    <w:p w14:paraId="7D348895">
      <w:r>
        <w:br w:type="page"/>
      </w:r>
    </w:p>
    <w:p w14:paraId="7B24CA0F">
      <w:pPr>
        <w:pStyle w:val="3"/>
      </w:pPr>
      <w:r>
        <w:t>一、论文定位与评审标准</w:t>
      </w:r>
    </w:p>
    <w:p w14:paraId="30B44AF1">
      <w:r>
        <w:t>本文更适合定位为：A conceptual framework and institutional case study of AI+X education reform，即“AI+X 教育改革的理论框架与院校案例研究”。这一定位比单纯的理论框架论文、政策倡议论文或实证研究论文都更准确。文章一方面提出 Symbiotic Intelligence / 共生智能 和 AI+X Paradigm / AI+X 范式，构建面向 AI 时代教育重构的概念体系；另一方面又以 SIAS University 作为早期院校实施案例，展示该范式如何从理念走向制度安排、教师发展、课程运行、真实项目和学生能力培养。</w:t>
      </w:r>
    </w:p>
    <w:p w14:paraId="2ED49C0D">
      <w:r>
        <w:t>据此，本文最合适的评审标准应聚焦于以下几个问题：</w:t>
      </w:r>
    </w:p>
    <w:p w14:paraId="370F39F2">
      <w:pPr>
        <w:pStyle w:val="16"/>
      </w:pPr>
      <w:r>
        <w:t>概念框架是否清晰、有原创性、有解释力；</w:t>
      </w:r>
    </w:p>
    <w:p w14:paraId="31ADDD25">
      <w:pPr>
        <w:pStyle w:val="16"/>
      </w:pPr>
      <w:r>
        <w:t>AI+X 教育改革所要解决的教育问题是否被准确界定；</w:t>
      </w:r>
    </w:p>
    <w:p w14:paraId="57B772FA">
      <w:pPr>
        <w:pStyle w:val="16"/>
      </w:pPr>
      <w:r>
        <w:t>L1—L2—L3 三维学习目标是否构成稳定、可迁移的能力结构；</w:t>
      </w:r>
    </w:p>
    <w:p w14:paraId="4581DD3B">
      <w:pPr>
        <w:pStyle w:val="16"/>
      </w:pPr>
      <w:r>
        <w:t>三阶段智能体学习循环与双回路教学法是否能够说明 AI+X 的学习机制；</w:t>
      </w:r>
    </w:p>
    <w:p w14:paraId="09A0C123">
      <w:pPr>
        <w:pStyle w:val="16"/>
      </w:pPr>
      <w:r>
        <w:t>SIAS University 案例是否有效展示了 AI+X 范式经由 Vibe Coding 课程进入真实教育实践的路径；</w:t>
      </w:r>
    </w:p>
    <w:p w14:paraId="4009AB78">
      <w:pPr>
        <w:pStyle w:val="16"/>
      </w:pPr>
      <w:r>
        <w:t>文章是否充分说明原创概念与已有研究之间的关系；</w:t>
      </w:r>
    </w:p>
    <w:p w14:paraId="2B1AE8D7">
      <w:pPr>
        <w:pStyle w:val="16"/>
      </w:pPr>
      <w:r>
        <w:t>文章是否将重点放在教育本身，而不是过度扩展到宏观社会叙事。</w:t>
      </w:r>
    </w:p>
    <w:p w14:paraId="6EF0AB4D">
      <w:r>
        <w:t>从摘要和目录看，文章已经具备这一定位的基础。摘要指出，AI+X 范式旨在重构面向人机共生协作的教育体系，核心包括学科世界建模、AI 协作流畅度、元认知自我学习三维目标，并通过智能体支持的概念—流程双回路教学法实现。</w:t>
      </w:r>
    </w:p>
    <w:p w14:paraId="67090D06">
      <w:r>
        <w:t>从国际研究背景看，本文与 UNESCO、OECD 和欧盟关于 AI 教育、未来技能、教师数字能力的研究方向高度相关。UNESCO 教师 AI 能力框架提出教师在 AI 时代需要掌握 15 项能力，涵盖人本理念、AI 伦理、AI 基础与应用、AI 教学法、专业学习五个维度；UNESCO 学生 AI 能力框架强调学生应成为负责任的 AI 使用者和共同创造者；OECD 的 Artificial Intelligence and the Future of Skills 项目关注 AI 和机器人能力如何影响工作，以及教育应如何提前调整；欧盟 DigCompEdu 框架则为教育者数字能力提供了较成熟的结构化参照。</w:t>
      </w:r>
    </w:p>
    <w:p w14:paraId="5A8E3ED6">
      <w:pPr>
        <w:pStyle w:val="3"/>
      </w:pPr>
      <w:r>
        <w:t>二、总体评价</w:t>
      </w:r>
    </w:p>
    <w:p w14:paraId="27295253">
      <w:r>
        <w:t>本文是一篇具有较强理论雄心、教育改革意识和现实指向的 AI+X 教育框架论文。文章试图回答的核心问题是：在生成式 AI 和智能体系统快速发展的背景下，教育应如何重新定义学习目标、学习过程、教师角色、学生能力和评价方式。</w:t>
      </w:r>
    </w:p>
    <w:p w14:paraId="6539AE89">
      <w:r>
        <w:t>文章的主要价值在于，它没有把 AI 教育停留在“工具接入”或“课堂辅助”的层面，而是把 AI 视为重构教育系统的关键变量。它试图重新回答教育中的几个基本问题：谁在学习、学什么、如何学习、如何评价、教师如何转型、院校制度如何配套、学生如何在 AI 时代形成可迁移的生产力。</w:t>
      </w:r>
    </w:p>
    <w:p w14:paraId="66731104">
      <w:r>
        <w:t>本文提出的 L1 世界建模、L2 人机协同建模、L3 自我建模，具有较强解释力。它将学科理解、AI 协作和元认知成长放在同一个能力结构中，避免了当前 AI 教育中常见的两种浅层化倾向：一种是只讲工具，另一种是只讲理念而缺少学习机制。</w:t>
      </w:r>
    </w:p>
    <w:p w14:paraId="2B5294AF">
      <w:r>
        <w:t>SIAS University 在文中不是附带说明，也不只是教师 AI 教学改进案例，而是 AI+X 范式通过 Vibe Coding 课程进入真实教育实践的院校案例。它展示了学生如何在真实问题牵引下，通过人机协同完成产品原型与项目成果，并在作品集和 AAR 中沉淀 AI 技能、问题解决能力和“dual-brain”能力结构。</w:t>
      </w:r>
    </w:p>
    <w:p w14:paraId="65E69403">
      <w:r>
        <w:t>不过，文章目前仍有几个需要重点修改的方面：第一，论文主线应进一步聚焦教育，减少过多宏观社会叙事；第二，专业术语和原创概念较多，需要更充分的文献综述和概念对照；第三，SIAS 案例应更明确地承担“院校案例研究”的功能，突出 Vibe Coding 作为 AI+X 范式课程化载体的作用；第四，文章应增加模型图、概念图或机制图，以帮助读者理解复杂框架；第五，部分关键术语的英文表达可进一步优化，例如“双脑人才”可译为 “dual-brain” talents。</w:t>
      </w:r>
    </w:p>
    <w:p w14:paraId="4E1DF497">
      <w:pPr>
        <w:pStyle w:val="3"/>
      </w:pPr>
      <w:r>
        <w:t>三、主要贡献与创新点</w:t>
      </w:r>
    </w:p>
    <w:p w14:paraId="2BF4BCCB">
      <w:pPr>
        <w:pStyle w:val="4"/>
      </w:pPr>
      <w:r>
        <w:t>1. 将 AI 教育从“工具使用”提升为“教育系统重构”</w:t>
      </w:r>
    </w:p>
    <w:p w14:paraId="3FFF1EBC">
      <w:r>
        <w:t>本文最重要的贡献，是没有把 AI 教育理解为简单的软件培训、平台接入或课堂辅助，而是提出对教育系统进行整体重构。文章将 AI+X 定义为对教育中的参与者、学习目标和教学法的整体重构。学生不再只是被动接受内容的人，而是能够调度生物脑与 AI 认知脑的 “dual-brain” talents / 双脑人才；教师不再只是知识传递者，而是学习体验设计者、智能工具编排者和认知教练。</w:t>
      </w:r>
    </w:p>
    <w:p w14:paraId="11C0F25B">
      <w:r>
        <w:t>这一表述使 AI+X 不只是“AI + 某门课程”，而是关于教育目的、知识形态、学习过程、评价方式和院校组织机制的重新定义。它回应了 AI 时代最关键的问题：当知识获取、文本生成、代码编写、信息检索和部分分析工作都可以由 AI 高速完成时，教育还应培养什么？本文给出的回答是：教育应培养能够建模世界、协同 AI、反思自身并编排复杂智能系统的人。</w:t>
      </w:r>
    </w:p>
    <w:p w14:paraId="42F70A38">
      <w:pPr>
        <w:pStyle w:val="4"/>
      </w:pPr>
      <w:r>
        <w:t>2. L1—L2—L3 三维学习目标具有较强解释力</w:t>
      </w:r>
    </w:p>
    <w:p w14:paraId="16E7249C">
      <w:r>
        <w:t>论文提出的三维目标结构是全文最有理论价值的部分之一：</w:t>
      </w:r>
    </w:p>
    <w:p w14:paraId="33A07E3A">
      <w:pPr>
        <w:pStyle w:val="16"/>
      </w:pPr>
      <w:r>
        <w:t>L1：Disciplinary Knowledge as World Modeling。学科知识不是事实堆积，而是世界建模。学生真正掌握一门学科，不是能背诵知识点，而是能用学科模型解释、预测和改造现实。</w:t>
      </w:r>
    </w:p>
    <w:p w14:paraId="5083450E">
      <w:pPr>
        <w:pStyle w:val="16"/>
      </w:pPr>
      <w:r>
        <w:t>L2：AI Collaboration Skills as Human–AI Co-Modeling。AI 能力不是简单的软件操作或 prompt 技巧，而是能够与 AI 共同定义问题、分配任务、生成方案、校验结果、整合输出。</w:t>
      </w:r>
    </w:p>
    <w:p w14:paraId="3B346F30">
      <w:pPr>
        <w:pStyle w:val="16"/>
      </w:pPr>
      <w:r>
        <w:t>L3：Metacognitive Intelligence as Self-Modeling。学习能力不是被动完成任务，而是对自己的认知过程、学习习惯、错误模式和策略调整进行持续建模。</w:t>
      </w:r>
    </w:p>
    <w:p w14:paraId="42925BD9">
      <w:r>
        <w:t>这个结构的优点在于，它将“学科理解、AI 协作、元认知成长”放在同一能力框架中。其中，L1 保证学生不因 AI 而失去学科根基；L2 保证学生不是被 AI 替代，而是学会与 AI 分工协同；L3 保证学生能持续理解、监控和调整自己的学习过程。</w:t>
      </w:r>
    </w:p>
    <w:p w14:paraId="65B8F346">
      <w:pPr>
        <w:pStyle w:val="4"/>
      </w:pPr>
      <w:r>
        <w:t>3. SIAS University 案例体现了 AI+X 范式通过 Vibe Coding 的课程化实践</w:t>
      </w:r>
    </w:p>
    <w:p w14:paraId="2B9081CF">
      <w:r>
        <w:t>SIAS University 案例的意义，应从一般的教师发展进一步扩展为“AI+X 范式通过 Vibe Coding 课程实现院校实践”的案例。它不仅展示教师如何适应 AI 时代的教学变化，更重要的是展示 AI+X 如何进入学生真实学习过程，并通过真实问题、AI 工具、产品原型、作品集和 AAR 形成完整的学习闭环。</w:t>
      </w:r>
    </w:p>
    <w:p w14:paraId="33DF9904">
      <w:r>
        <w:t>在这一意义上，Vibe Coding 课程是 AI+X 范式的实践载体。它把文章中的抽象概念转化为具体课程机制：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3"/>
        <w:gridCol w:w="4873"/>
      </w:tblGrid>
      <w:tr w14:paraId="7F841617">
        <w:trPr>
          <w:jc w:val="center"/>
        </w:trPr>
        <w:tc>
          <w:tcPr>
            <w:tcW w:w="4873" w:type="dxa"/>
            <w:shd w:val="clear" w:color="auto" w:fill="1F4E79"/>
            <w:vAlign w:val="center"/>
          </w:tcPr>
          <w:p w14:paraId="006B355A">
            <w:pPr>
              <w:spacing w:after="0" w:line="276" w:lineRule="auto"/>
            </w:pPr>
            <w:r>
              <w:rPr>
                <w:b/>
                <w:color w:val="FFFFFF"/>
                <w:sz w:val="21"/>
              </w:rPr>
              <w:t>AI+X 理念</w:t>
            </w:r>
          </w:p>
        </w:tc>
        <w:tc>
          <w:tcPr>
            <w:tcW w:w="4873" w:type="dxa"/>
            <w:shd w:val="clear" w:color="auto" w:fill="1F4E79"/>
            <w:vAlign w:val="center"/>
          </w:tcPr>
          <w:p w14:paraId="1F36905D">
            <w:pPr>
              <w:spacing w:after="0" w:line="276" w:lineRule="auto"/>
            </w:pPr>
            <w:r>
              <w:rPr>
                <w:b/>
                <w:color w:val="FFFFFF"/>
                <w:sz w:val="21"/>
              </w:rPr>
              <w:t>Vibe Coding 中的实践表现</w:t>
            </w:r>
          </w:p>
        </w:tc>
      </w:tr>
      <w:tr w14:paraId="7064A934">
        <w:trPr>
          <w:jc w:val="center"/>
        </w:trPr>
        <w:tc>
          <w:tcPr>
            <w:tcW w:w="4873" w:type="dxa"/>
            <w:vAlign w:val="center"/>
          </w:tcPr>
          <w:p w14:paraId="5FDBCA13">
            <w:pPr>
              <w:spacing w:after="0" w:line="276" w:lineRule="auto"/>
            </w:pPr>
            <w:r>
              <w:rPr>
                <w:b/>
                <w:sz w:val="21"/>
              </w:rPr>
              <w:t>世界建模</w:t>
            </w:r>
          </w:p>
        </w:tc>
        <w:tc>
          <w:tcPr>
            <w:tcW w:w="4873" w:type="dxa"/>
            <w:vAlign w:val="center"/>
          </w:tcPr>
          <w:p w14:paraId="52AABFC9">
            <w:pPr>
              <w:spacing w:after="0" w:line="276" w:lineRule="auto"/>
            </w:pPr>
            <w:r>
              <w:rPr>
                <w:b w:val="0"/>
                <w:sz w:val="21"/>
              </w:rPr>
              <w:t>学生从真实需求出发，理解问题情境、用户痛点和系统边界。</w:t>
            </w:r>
          </w:p>
        </w:tc>
      </w:tr>
      <w:tr w14:paraId="26FDBDF1">
        <w:trPr>
          <w:jc w:val="center"/>
        </w:trPr>
        <w:tc>
          <w:tcPr>
            <w:tcW w:w="4873" w:type="dxa"/>
            <w:vAlign w:val="center"/>
          </w:tcPr>
          <w:p w14:paraId="7AE85788">
            <w:pPr>
              <w:spacing w:after="0" w:line="276" w:lineRule="auto"/>
            </w:pPr>
            <w:r>
              <w:rPr>
                <w:b/>
                <w:sz w:val="21"/>
              </w:rPr>
              <w:t>人机协同建模</w:t>
            </w:r>
          </w:p>
        </w:tc>
        <w:tc>
          <w:tcPr>
            <w:tcW w:w="4873" w:type="dxa"/>
            <w:vAlign w:val="center"/>
          </w:tcPr>
          <w:p w14:paraId="2A9AFB92">
            <w:pPr>
              <w:spacing w:after="0" w:line="276" w:lineRule="auto"/>
            </w:pPr>
            <w:r>
              <w:rPr>
                <w:b w:val="0"/>
                <w:sz w:val="21"/>
              </w:rPr>
              <w:t>学生使用 ChatGPT、Claude、Cursor、GitHub Copilot、Replit 等工具进行方案、代码、界面和调试迭代。</w:t>
            </w:r>
          </w:p>
        </w:tc>
      </w:tr>
      <w:tr w14:paraId="4C87DBFF">
        <w:trPr>
          <w:jc w:val="center"/>
        </w:trPr>
        <w:tc>
          <w:tcPr>
            <w:tcW w:w="4873" w:type="dxa"/>
            <w:vAlign w:val="center"/>
          </w:tcPr>
          <w:p w14:paraId="7FD909C5">
            <w:pPr>
              <w:spacing w:after="0" w:line="276" w:lineRule="auto"/>
            </w:pPr>
            <w:r>
              <w:rPr>
                <w:b/>
                <w:sz w:val="21"/>
              </w:rPr>
              <w:t>自我建模</w:t>
            </w:r>
          </w:p>
        </w:tc>
        <w:tc>
          <w:tcPr>
            <w:tcW w:w="4873" w:type="dxa"/>
            <w:vAlign w:val="center"/>
          </w:tcPr>
          <w:p w14:paraId="0CC7459E">
            <w:pPr>
              <w:spacing w:after="0" w:line="276" w:lineRule="auto"/>
            </w:pPr>
            <w:r>
              <w:rPr>
                <w:b w:val="0"/>
                <w:sz w:val="21"/>
              </w:rPr>
              <w:t>学生通过学习日志、AAR 和作品集反思自己如何与 AI 协作、如何解决问题、如何调整策略。</w:t>
            </w:r>
          </w:p>
        </w:tc>
      </w:tr>
      <w:tr w14:paraId="2EB61D5D">
        <w:trPr>
          <w:jc w:val="center"/>
        </w:trPr>
        <w:tc>
          <w:tcPr>
            <w:tcW w:w="4873" w:type="dxa"/>
            <w:vAlign w:val="center"/>
          </w:tcPr>
          <w:p w14:paraId="7495CCDD">
            <w:pPr>
              <w:spacing w:after="0" w:line="276" w:lineRule="auto"/>
            </w:pPr>
            <w:r>
              <w:rPr>
                <w:b/>
                <w:sz w:val="21"/>
              </w:rPr>
              <w:t>双回路教学法</w:t>
            </w:r>
          </w:p>
        </w:tc>
        <w:tc>
          <w:tcPr>
            <w:tcW w:w="4873" w:type="dxa"/>
            <w:vAlign w:val="center"/>
          </w:tcPr>
          <w:p w14:paraId="3FC142D1">
            <w:pPr>
              <w:spacing w:after="0" w:line="276" w:lineRule="auto"/>
            </w:pPr>
            <w:r>
              <w:rPr>
                <w:b w:val="0"/>
                <w:sz w:val="21"/>
              </w:rPr>
              <w:t>学生在人类概念判断与 AI 流程执行之间往复切换，既不重复低价值流程，也不把理解外包给 AI。</w:t>
            </w:r>
          </w:p>
        </w:tc>
      </w:tr>
      <w:tr w14:paraId="795DA987">
        <w:trPr>
          <w:jc w:val="center"/>
        </w:trPr>
        <w:tc>
          <w:tcPr>
            <w:tcW w:w="4873" w:type="dxa"/>
            <w:vAlign w:val="center"/>
          </w:tcPr>
          <w:p w14:paraId="1C33E05B">
            <w:pPr>
              <w:spacing w:after="0" w:line="276" w:lineRule="auto"/>
            </w:pPr>
            <w:r>
              <w:rPr>
                <w:b/>
                <w:sz w:val="21"/>
              </w:rPr>
              <w:t>证据型评价</w:t>
            </w:r>
          </w:p>
        </w:tc>
        <w:tc>
          <w:tcPr>
            <w:tcW w:w="4873" w:type="dxa"/>
            <w:vAlign w:val="center"/>
          </w:tcPr>
          <w:p w14:paraId="34832EF0">
            <w:pPr>
              <w:spacing w:after="0" w:line="276" w:lineRule="auto"/>
            </w:pPr>
            <w:r>
              <w:rPr>
                <w:b w:val="0"/>
                <w:sz w:val="21"/>
              </w:rPr>
              <w:t>学生以可运行产品、过程记录、版本迭代和反思材料证明能力。</w:t>
            </w:r>
          </w:p>
        </w:tc>
      </w:tr>
      <w:tr w14:paraId="4AE94E5C">
        <w:trPr>
          <w:jc w:val="center"/>
        </w:trPr>
        <w:tc>
          <w:tcPr>
            <w:tcW w:w="4873" w:type="dxa"/>
            <w:vAlign w:val="center"/>
          </w:tcPr>
          <w:p w14:paraId="2D68C356">
            <w:pPr>
              <w:spacing w:after="0" w:line="276" w:lineRule="auto"/>
            </w:pPr>
            <w:r>
              <w:rPr>
                <w:b/>
                <w:sz w:val="21"/>
              </w:rPr>
              <w:t>双脑人才</w:t>
            </w:r>
          </w:p>
        </w:tc>
        <w:tc>
          <w:tcPr>
            <w:tcW w:w="4873" w:type="dxa"/>
            <w:vAlign w:val="center"/>
          </w:tcPr>
          <w:p w14:paraId="22D95007">
            <w:pPr>
              <w:spacing w:after="0" w:line="276" w:lineRule="auto"/>
            </w:pPr>
            <w:r>
              <w:rPr>
                <w:b w:val="0"/>
                <w:sz w:val="21"/>
              </w:rPr>
              <w:t>学生逐步形成“人脑判断 + AI 执行 + 系统整合”的能力结构。</w:t>
            </w:r>
          </w:p>
        </w:tc>
      </w:tr>
    </w:tbl>
    <w:p w14:paraId="67FC6317">
      <w:r>
        <w:t>因此，SIAS 案例不只是说明教师如何借助 AI 改进教学，而是说明 AI+X 范式如何通过 Vibe Coding 课程培养能够解决真实问题、系统掌握 AI 技能、形成真实数字产品和作品集的 “dual-brain” talents / 双脑人才。</w:t>
      </w:r>
    </w:p>
    <w:p w14:paraId="462553AF">
      <w:pPr>
        <w:pStyle w:val="4"/>
      </w:pPr>
      <w:r>
        <w:t>4. 三阶段智能体学习循环具有较强教育设计价值</w:t>
      </w:r>
    </w:p>
    <w:p w14:paraId="3C2BA62D">
      <w:r>
        <w:t>论文提出的三阶段智能体学习循环包括：Socratic Playground / 苏格拉底式学习场、Interactive Learning Task / 互动学习任务、After-Action Review / 行动后复盘。这一设计的价值在于，它没有把 AI 仅仅作为答案生成器，而是把 AI 智能体安排在学习流程的不同阶段。课前，AI 是苏格拉底式学习伙伴；任务中，AI 是共创任务智能体；课后，AI 是反思伙伴。</w:t>
      </w:r>
    </w:p>
    <w:p w14:paraId="1865C054">
      <w:r>
        <w:t>这比一般意义上的“AI 辅助教学”更接近一种完整的学习生态设计。它把 AI 纳入“准备—行动—反思—再行动”的循环之中，使 AI 从工具变为学习过程的脚手架。</w:t>
      </w:r>
    </w:p>
    <w:p w14:paraId="20ACD481">
      <w:pPr>
        <w:pStyle w:val="4"/>
      </w:pPr>
      <w:r>
        <w:t>5. 双回路教学法回应了“理解”与“执行”的分工问题</w:t>
      </w:r>
    </w:p>
    <w:p w14:paraId="15E0A86C">
      <w:r>
        <w:t>文章提出概念回路与流程回路的双回路设计，具有较强现实意义。AI 时代教育面临一个根本问题：当 AI 可以承担大量流程性任务时，学生还需要学习什么？若完全让 AI 执行，学生可能获得产出却没有理解；若完全拒绝 AI，教育又会脱离真实工作场景。</w:t>
      </w:r>
    </w:p>
    <w:p w14:paraId="5FECBA8E">
      <w:r>
        <w:t>本文的双回路设计试图调和这一矛盾：概念回路以人为中心，关注理解、判断、迁移和意义建构；流程回路由 AI 增强，关注执行、生成、计算、模拟和操作。在这个框架下，学生不必把大量认知资源消耗在低价值重复性流程上，但仍必须理解流程的结构、边界和校验方式。</w:t>
      </w:r>
    </w:p>
    <w:p w14:paraId="11A0198E">
      <w:pPr>
        <w:pStyle w:val="4"/>
      </w:pPr>
      <w:r>
        <w:t>6. 证据型作品集评价回应了 AI 时代评价转型的核心问题</w:t>
      </w:r>
    </w:p>
    <w:p w14:paraId="1313E659">
      <w:r>
        <w:t>本文提出从传统考试转向 AI+X Digital Portfolio / AI+X 数字作品集，即用作品集、过程记录、AI 协作轨迹、反思日志、版本迭代和口头验证等方式评价学生。这一方向具有重要意义。</w:t>
      </w:r>
    </w:p>
    <w:p w14:paraId="31C6775D">
      <w:r>
        <w:t>在 AI 深度参与学习和生产的背景下，传统封闭式评价越来越难以反映真实能力。一个学生能否在没有工具的情况下记住知识，已经不足以说明他能否在真实场景中解决问题。更关键的是，他能否定义问题、调用工具、判断结果、修正错误、解释过程、承担责任。因此，AI+X 的评价对象应从“最终答案”扩展为“能力证据链”。</w:t>
      </w:r>
    </w:p>
    <w:p w14:paraId="67EBD899">
      <w:pPr>
        <w:pStyle w:val="3"/>
      </w:pPr>
      <w:r>
        <w:t>四、主要问题与修改建议</w:t>
      </w:r>
    </w:p>
    <w:p w14:paraId="71A19C1E">
      <w:pPr>
        <w:pStyle w:val="4"/>
      </w:pPr>
      <w:r>
        <w:t>1. 文章定位应进一步明确为“理论框架与院校案例研究”</w:t>
      </w:r>
    </w:p>
    <w:p w14:paraId="4D95FD5B">
      <w:r>
        <w:t>建议将论文定位明确为：A conceptual framework and institutional case study of AI+X education reform。这一定位有三个好处：第一，它承认本文的理论贡献，即 AI+X 是一个概念框架；第二，它承认 SIAS University 的重要性，即它不是简单附录，而是院校案例；第三，它避免将文章误读为单纯的政策宣言或严格的因果评估。</w:t>
      </w:r>
    </w:p>
    <w:p w14:paraId="1ADDD4D7">
      <w:r>
        <w:t>建议在引言中增加类似表述：This paper develops a conceptual framework for AI+X education reform and presents SIAS University as an institutional case study of early implementation. The case is used to illustrate implementation pathways, institutional conditions, and design principles for translating the AI+X paradigm into educational practice through Vibe Coding and real-world problem solving.</w:t>
      </w:r>
    </w:p>
    <w:p w14:paraId="69D0BCA8">
      <w:pPr>
        <w:pStyle w:val="4"/>
      </w:pPr>
      <w:r>
        <w:t>2. 文章内容应更加专注教育，减少过多宏观叙事</w:t>
      </w:r>
    </w:p>
    <w:p w14:paraId="684A24C0">
      <w:r>
        <w:t>目前论文第 5 部分关于宏观经济、人口结构、教育—人口陷阱、time-to-productivity 等内容具有启发性，但篇幅和位置可能会分散读者注意力。文章最有价值的部分是 AI+X 如何重构教育目标、学习机制、评价方式、教师角色和院校实施路径。因此，建议把宏观叙事调整为背景，而不是作为正文主体之一。</w:t>
      </w:r>
    </w:p>
    <w:p w14:paraId="368F1D15">
      <w:pPr>
        <w:pStyle w:val="16"/>
      </w:pPr>
      <w:r>
        <w:t>将第 5 部分内容压缩，放到引言或背景部分；</w:t>
      </w:r>
    </w:p>
    <w:p w14:paraId="5736C09D">
      <w:pPr>
        <w:pStyle w:val="16"/>
      </w:pPr>
      <w:r>
        <w:t>将“教育—人口陷阱”“time-to-productivity”等内容作为问题背景和政策动因简要说明；</w:t>
      </w:r>
    </w:p>
    <w:p w14:paraId="69A07C7B">
      <w:pPr>
        <w:pStyle w:val="16"/>
      </w:pPr>
      <w:r>
        <w:t>正文主体更多聚焦 AI+X 学习目标、学习机制、教师角色、学生能力、评价体系、院校案例、风险治理和制度建议。</w:t>
      </w:r>
    </w:p>
    <w:p w14:paraId="7300F152">
      <w:pPr>
        <w:pStyle w:val="4"/>
      </w:pPr>
      <w:r>
        <w:t>3. 需要增加文献综述，说明原创概念与已有概念的关系</w:t>
      </w:r>
    </w:p>
    <w:p w14:paraId="07E8BF3D">
      <w:r>
        <w:t>文章中列出了较多专业名词和学术概念，包括共生智能、AI+X、世界建模、人机协同建模、自我建模、动态函子主义、KSTAR、双回路教学法、三阶段智能体循环等。其优点是概念创造力强，缺点是如果缺少足够文献基础，读者会难以判断哪些是作者原创，哪些是已有理论的发展，哪些是对既有概念的新组合。</w:t>
      </w:r>
    </w:p>
    <w:p w14:paraId="25CEDC0B">
      <w:r>
        <w:t>建议增加一节：Literature Review and Conceptual Positioning。这一节的目的不是堆砌文献，而是回答三个问题：现有研究已经解决了什么；现有研究还没有解决什么；AI+X 框架在此基础上做出了什么新的发展。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3249"/>
        <w:gridCol w:w="3249"/>
      </w:tblGrid>
      <w:tr w14:paraId="5FA6AB14">
        <w:trPr>
          <w:jc w:val="center"/>
        </w:trPr>
        <w:tc>
          <w:tcPr>
            <w:tcW w:w="3249" w:type="dxa"/>
            <w:shd w:val="clear" w:color="auto" w:fill="1F4E79"/>
            <w:vAlign w:val="center"/>
          </w:tcPr>
          <w:p w14:paraId="166ABC6F">
            <w:pPr>
              <w:spacing w:after="0" w:line="276" w:lineRule="auto"/>
            </w:pPr>
            <w:r>
              <w:rPr>
                <w:b/>
                <w:color w:val="FFFFFF"/>
                <w:sz w:val="20"/>
              </w:rPr>
              <w:t>研究脉络</w:t>
            </w:r>
          </w:p>
        </w:tc>
        <w:tc>
          <w:tcPr>
            <w:tcW w:w="3249" w:type="dxa"/>
            <w:shd w:val="clear" w:color="auto" w:fill="1F4E79"/>
            <w:vAlign w:val="center"/>
          </w:tcPr>
          <w:p w14:paraId="6456CB68">
            <w:pPr>
              <w:spacing w:after="0" w:line="276" w:lineRule="auto"/>
            </w:pPr>
            <w:r>
              <w:rPr>
                <w:b/>
                <w:color w:val="FFFFFF"/>
                <w:sz w:val="20"/>
              </w:rPr>
              <w:t>与本文关系</w:t>
            </w:r>
          </w:p>
        </w:tc>
        <w:tc>
          <w:tcPr>
            <w:tcW w:w="3249" w:type="dxa"/>
            <w:shd w:val="clear" w:color="auto" w:fill="1F4E79"/>
            <w:vAlign w:val="center"/>
          </w:tcPr>
          <w:p w14:paraId="714F7237">
            <w:pPr>
              <w:spacing w:after="0" w:line="276" w:lineRule="auto"/>
            </w:pPr>
            <w:r>
              <w:rPr>
                <w:b/>
                <w:color w:val="FFFFFF"/>
                <w:sz w:val="20"/>
              </w:rPr>
              <w:t>本文可强调的新增贡献</w:t>
            </w:r>
          </w:p>
        </w:tc>
      </w:tr>
      <w:tr w14:paraId="1A9025C0">
        <w:trPr>
          <w:jc w:val="center"/>
        </w:trPr>
        <w:tc>
          <w:tcPr>
            <w:tcW w:w="3249" w:type="dxa"/>
            <w:vAlign w:val="center"/>
          </w:tcPr>
          <w:p w14:paraId="62A920B5">
            <w:pPr>
              <w:spacing w:after="0" w:line="276" w:lineRule="auto"/>
            </w:pPr>
            <w:r>
              <w:rPr>
                <w:b w:val="0"/>
                <w:sz w:val="19"/>
              </w:rPr>
              <w:t>AI literacy</w:t>
            </w:r>
          </w:p>
        </w:tc>
        <w:tc>
          <w:tcPr>
            <w:tcW w:w="3249" w:type="dxa"/>
            <w:vAlign w:val="center"/>
          </w:tcPr>
          <w:p w14:paraId="48D3888B">
            <w:pPr>
              <w:spacing w:after="0" w:line="276" w:lineRule="auto"/>
            </w:pPr>
            <w:r>
              <w:rPr>
                <w:b w:val="0"/>
                <w:sz w:val="19"/>
              </w:rPr>
              <w:t>关注 AI 基础知识、伦理、应用能力</w:t>
            </w:r>
          </w:p>
        </w:tc>
        <w:tc>
          <w:tcPr>
            <w:tcW w:w="3249" w:type="dxa"/>
            <w:vAlign w:val="center"/>
          </w:tcPr>
          <w:p w14:paraId="7CA6A59F">
            <w:pPr>
              <w:spacing w:after="0" w:line="276" w:lineRule="auto"/>
            </w:pPr>
            <w:r>
              <w:rPr>
                <w:b w:val="0"/>
                <w:sz w:val="19"/>
              </w:rPr>
              <w:t>AI+X 将 AI 素养嵌入学科任务、真实项目和院校制度</w:t>
            </w:r>
          </w:p>
        </w:tc>
      </w:tr>
      <w:tr w14:paraId="1AF951FD">
        <w:trPr>
          <w:jc w:val="center"/>
        </w:trPr>
        <w:tc>
          <w:tcPr>
            <w:tcW w:w="3249" w:type="dxa"/>
            <w:vAlign w:val="center"/>
          </w:tcPr>
          <w:p w14:paraId="269FBBE1">
            <w:pPr>
              <w:spacing w:after="0" w:line="276" w:lineRule="auto"/>
            </w:pPr>
            <w:r>
              <w:rPr>
                <w:b w:val="0"/>
                <w:sz w:val="19"/>
              </w:rPr>
              <w:t>Human-AI collaboration</w:t>
            </w:r>
          </w:p>
        </w:tc>
        <w:tc>
          <w:tcPr>
            <w:tcW w:w="3249" w:type="dxa"/>
            <w:vAlign w:val="center"/>
          </w:tcPr>
          <w:p w14:paraId="2C222799">
            <w:pPr>
              <w:spacing w:after="0" w:line="276" w:lineRule="auto"/>
            </w:pPr>
            <w:r>
              <w:rPr>
                <w:b w:val="0"/>
                <w:sz w:val="19"/>
              </w:rPr>
              <w:t>关注人与 AI 如何协作</w:t>
            </w:r>
          </w:p>
        </w:tc>
        <w:tc>
          <w:tcPr>
            <w:tcW w:w="3249" w:type="dxa"/>
            <w:vAlign w:val="center"/>
          </w:tcPr>
          <w:p w14:paraId="5E2E246D">
            <w:pPr>
              <w:spacing w:after="0" w:line="276" w:lineRule="auto"/>
            </w:pPr>
            <w:r>
              <w:rPr>
                <w:b w:val="0"/>
                <w:sz w:val="19"/>
              </w:rPr>
              <w:t>AI+X 将协作过程课程化、任务化、评价化</w:t>
            </w:r>
          </w:p>
        </w:tc>
      </w:tr>
      <w:tr w14:paraId="731B5208">
        <w:trPr>
          <w:jc w:val="center"/>
        </w:trPr>
        <w:tc>
          <w:tcPr>
            <w:tcW w:w="3249" w:type="dxa"/>
            <w:vAlign w:val="center"/>
          </w:tcPr>
          <w:p w14:paraId="022D09F2">
            <w:pPr>
              <w:spacing w:after="0" w:line="276" w:lineRule="auto"/>
            </w:pPr>
            <w:r>
              <w:rPr>
                <w:b w:val="0"/>
                <w:sz w:val="19"/>
              </w:rPr>
              <w:t>Self-regulated learning / metacognition</w:t>
            </w:r>
          </w:p>
        </w:tc>
        <w:tc>
          <w:tcPr>
            <w:tcW w:w="3249" w:type="dxa"/>
            <w:vAlign w:val="center"/>
          </w:tcPr>
          <w:p w14:paraId="0886BE0F">
            <w:pPr>
              <w:spacing w:after="0" w:line="276" w:lineRule="auto"/>
            </w:pPr>
            <w:r>
              <w:rPr>
                <w:b w:val="0"/>
                <w:sz w:val="19"/>
              </w:rPr>
              <w:t>关注学习者自我监控和策略调整</w:t>
            </w:r>
          </w:p>
        </w:tc>
        <w:tc>
          <w:tcPr>
            <w:tcW w:w="3249" w:type="dxa"/>
            <w:vAlign w:val="center"/>
          </w:tcPr>
          <w:p w14:paraId="3C974D58">
            <w:pPr>
              <w:spacing w:after="0" w:line="276" w:lineRule="auto"/>
            </w:pPr>
            <w:r>
              <w:rPr>
                <w:b w:val="0"/>
                <w:sz w:val="19"/>
              </w:rPr>
              <w:t>L3 自我建模把元认知与 AI 反思伙伴结合</w:t>
            </w:r>
          </w:p>
        </w:tc>
      </w:tr>
      <w:tr w14:paraId="53DC4148">
        <w:trPr>
          <w:jc w:val="center"/>
        </w:trPr>
        <w:tc>
          <w:tcPr>
            <w:tcW w:w="3249" w:type="dxa"/>
            <w:vAlign w:val="center"/>
          </w:tcPr>
          <w:p w14:paraId="560838A3">
            <w:pPr>
              <w:spacing w:after="0" w:line="276" w:lineRule="auto"/>
            </w:pPr>
            <w:r>
              <w:rPr>
                <w:b w:val="0"/>
                <w:sz w:val="19"/>
              </w:rPr>
              <w:t>Project-based learning</w:t>
            </w:r>
          </w:p>
        </w:tc>
        <w:tc>
          <w:tcPr>
            <w:tcW w:w="3249" w:type="dxa"/>
            <w:vAlign w:val="center"/>
          </w:tcPr>
          <w:p w14:paraId="518D75BF">
            <w:pPr>
              <w:spacing w:after="0" w:line="276" w:lineRule="auto"/>
            </w:pPr>
            <w:r>
              <w:rPr>
                <w:b w:val="0"/>
                <w:sz w:val="19"/>
              </w:rPr>
              <w:t>关注真实任务和项目成果</w:t>
            </w:r>
          </w:p>
        </w:tc>
        <w:tc>
          <w:tcPr>
            <w:tcW w:w="3249" w:type="dxa"/>
            <w:vAlign w:val="center"/>
          </w:tcPr>
          <w:p w14:paraId="1201A313">
            <w:pPr>
              <w:spacing w:after="0" w:line="276" w:lineRule="auto"/>
            </w:pPr>
            <w:r>
              <w:rPr>
                <w:b w:val="0"/>
                <w:sz w:val="19"/>
              </w:rPr>
              <w:t>ILT 将项目式学习与智能体协作、KSTAR 表征结合</w:t>
            </w:r>
          </w:p>
        </w:tc>
      </w:tr>
      <w:tr w14:paraId="3AC291E5">
        <w:trPr>
          <w:jc w:val="center"/>
        </w:trPr>
        <w:tc>
          <w:tcPr>
            <w:tcW w:w="3249" w:type="dxa"/>
            <w:vAlign w:val="center"/>
          </w:tcPr>
          <w:p w14:paraId="16150249">
            <w:pPr>
              <w:spacing w:after="0" w:line="276" w:lineRule="auto"/>
            </w:pPr>
            <w:r>
              <w:rPr>
                <w:b w:val="0"/>
                <w:sz w:val="19"/>
              </w:rPr>
              <w:t>Portfolio assessment</w:t>
            </w:r>
          </w:p>
        </w:tc>
        <w:tc>
          <w:tcPr>
            <w:tcW w:w="3249" w:type="dxa"/>
            <w:vAlign w:val="center"/>
          </w:tcPr>
          <w:p w14:paraId="7E3A1FAA">
            <w:pPr>
              <w:spacing w:after="0" w:line="276" w:lineRule="auto"/>
            </w:pPr>
            <w:r>
              <w:rPr>
                <w:b w:val="0"/>
                <w:sz w:val="19"/>
              </w:rPr>
              <w:t>关注作品与过程证据</w:t>
            </w:r>
          </w:p>
        </w:tc>
        <w:tc>
          <w:tcPr>
            <w:tcW w:w="3249" w:type="dxa"/>
            <w:vAlign w:val="center"/>
          </w:tcPr>
          <w:p w14:paraId="40869686">
            <w:pPr>
              <w:spacing w:after="0" w:line="276" w:lineRule="auto"/>
            </w:pPr>
            <w:r>
              <w:rPr>
                <w:b w:val="0"/>
                <w:sz w:val="19"/>
              </w:rPr>
              <w:t>AI+X 作品集增加 AI 协作轨迹、版本迭代和 AAR 证据</w:t>
            </w:r>
          </w:p>
        </w:tc>
      </w:tr>
      <w:tr w14:paraId="0E09702D">
        <w:trPr>
          <w:jc w:val="center"/>
        </w:trPr>
        <w:tc>
          <w:tcPr>
            <w:tcW w:w="3249" w:type="dxa"/>
            <w:vAlign w:val="center"/>
          </w:tcPr>
          <w:p w14:paraId="022993C8">
            <w:pPr>
              <w:spacing w:after="0" w:line="276" w:lineRule="auto"/>
            </w:pPr>
            <w:r>
              <w:rPr>
                <w:b w:val="0"/>
                <w:sz w:val="19"/>
              </w:rPr>
              <w:t>Digital competence frameworks</w:t>
            </w:r>
          </w:p>
        </w:tc>
        <w:tc>
          <w:tcPr>
            <w:tcW w:w="3249" w:type="dxa"/>
            <w:vAlign w:val="center"/>
          </w:tcPr>
          <w:p w14:paraId="3C3CB90F">
            <w:pPr>
              <w:spacing w:after="0" w:line="276" w:lineRule="auto"/>
            </w:pPr>
            <w:r>
              <w:rPr>
                <w:b w:val="0"/>
                <w:sz w:val="19"/>
              </w:rPr>
              <w:t>关注教师数字能力与学习者数字能力</w:t>
            </w:r>
          </w:p>
        </w:tc>
        <w:tc>
          <w:tcPr>
            <w:tcW w:w="3249" w:type="dxa"/>
            <w:vAlign w:val="center"/>
          </w:tcPr>
          <w:p w14:paraId="572BBB53">
            <w:pPr>
              <w:spacing w:after="0" w:line="276" w:lineRule="auto"/>
            </w:pPr>
            <w:r>
              <w:rPr>
                <w:b w:val="0"/>
                <w:sz w:val="19"/>
              </w:rPr>
              <w:t>AI+X 提供教育系统重构层面的整合框架</w:t>
            </w:r>
          </w:p>
        </w:tc>
      </w:tr>
      <w:tr w14:paraId="227DE716">
        <w:trPr>
          <w:jc w:val="center"/>
        </w:trPr>
        <w:tc>
          <w:tcPr>
            <w:tcW w:w="3249" w:type="dxa"/>
            <w:vAlign w:val="center"/>
          </w:tcPr>
          <w:p w14:paraId="678F4282">
            <w:pPr>
              <w:spacing w:after="0" w:line="276" w:lineRule="auto"/>
            </w:pPr>
            <w:r>
              <w:rPr>
                <w:b w:val="0"/>
                <w:sz w:val="19"/>
              </w:rPr>
              <w:t>Learning analytics / AI in education</w:t>
            </w:r>
          </w:p>
        </w:tc>
        <w:tc>
          <w:tcPr>
            <w:tcW w:w="3249" w:type="dxa"/>
            <w:vAlign w:val="center"/>
          </w:tcPr>
          <w:p w14:paraId="6BF6E477">
            <w:pPr>
              <w:spacing w:after="0" w:line="276" w:lineRule="auto"/>
            </w:pPr>
            <w:r>
              <w:rPr>
                <w:b w:val="0"/>
                <w:sz w:val="19"/>
              </w:rPr>
              <w:t>关注数据驱动学习支持</w:t>
            </w:r>
          </w:p>
        </w:tc>
        <w:tc>
          <w:tcPr>
            <w:tcW w:w="3249" w:type="dxa"/>
            <w:vAlign w:val="center"/>
          </w:tcPr>
          <w:p w14:paraId="0CB2F01A">
            <w:pPr>
              <w:spacing w:after="0" w:line="276" w:lineRule="auto"/>
            </w:pPr>
            <w:r>
              <w:rPr>
                <w:b w:val="0"/>
                <w:sz w:val="19"/>
              </w:rPr>
              <w:t>AI+X 强调数据、智能体、作品集和元认知闭环</w:t>
            </w:r>
          </w:p>
        </w:tc>
      </w:tr>
    </w:tbl>
    <w:p w14:paraId="4C10F24D">
      <w:r>
        <w:t>通过这样的文献综述，文章可以更清楚地说明：AI+X 不是凭空提出的一组新词，而是在已有 AI 素养、项目式学习、元认知、作品集评价和教师数字能力研究基础上的系统整合与新发展。</w:t>
      </w:r>
    </w:p>
    <w:p w14:paraId="53B3A4CE">
      <w:pPr>
        <w:pStyle w:val="4"/>
      </w:pPr>
      <w:r>
        <w:t>4. 应增加模型图和术语图示，提升可读性与传播力</w:t>
      </w:r>
    </w:p>
    <w:p w14:paraId="16FD3F04">
      <w:r>
        <w:t>目前文章中已有若干表格，但对于这样一篇概念框架论文，仅有表格还不够。建议增加若干模型图或术语图示，以抓住读者注意力，并帮助读者快速理解复杂关系。</w:t>
      </w:r>
    </w:p>
    <w:p w14:paraId="3CC205A6">
      <w:pPr>
        <w:pStyle w:val="16"/>
      </w:pPr>
      <w:r>
        <w:t>图 1：AI+X 教育范式总模型。以 Symbiotic Intelligence / 共生智能 为中心，向外展开 L1、L2、L3、三阶段智能体循环、双回路教学法、作品集评价和院校制度支持。</w:t>
      </w:r>
    </w:p>
    <w:p w14:paraId="3A50B88B">
      <w:pPr>
        <w:pStyle w:val="16"/>
      </w:pPr>
      <w:r>
        <w:t>图 2：L1—L2—L3 三维学习目标模型。可画成三角模型，中心为 AI+X Learner / “dual-brain” talent。</w:t>
      </w:r>
    </w:p>
    <w:p w14:paraId="74839F6E">
      <w:pPr>
        <w:pStyle w:val="16"/>
      </w:pPr>
      <w:r>
        <w:t>图 3：三阶段智能体学习循环。Socratic Playground → Interactive Learning Task → After-Action Review → Next Cycle，并标注 Socratic Companion、Co-Creative Task Agent、Reflective Companion。</w:t>
      </w:r>
    </w:p>
    <w:p w14:paraId="1C022208">
      <w:pPr>
        <w:pStyle w:val="16"/>
      </w:pPr>
      <w:r>
        <w:t>图 4：双回路教学法图示。用两个互相嵌套或交叉的循环表示 Concept Loop 与 Procedure Loop。</w:t>
      </w:r>
    </w:p>
    <w:p w14:paraId="58357523">
      <w:pPr>
        <w:pStyle w:val="16"/>
      </w:pPr>
      <w:r>
        <w:t>图 5：SIAS University 院校实施路径图。制度实验 → 教师发展 → Elite 20 旗舰项目 → Vibe Coding 真实项目 → 作品集与 AAR → 课程迭代 → 院校扩散。</w:t>
      </w:r>
    </w:p>
    <w:p w14:paraId="26E6DDDF">
      <w:pPr>
        <w:pStyle w:val="4"/>
      </w:pPr>
      <w:r>
        <w:t>5. 关键术语翻译与表达需要统一</w:t>
      </w:r>
    </w:p>
    <w:p w14:paraId="1DCA3B18">
      <w:r>
        <w:t>建议将 Super Individual 调整为 “dual-brain” talents，或首次出现时写作：“dual-brain” talents, i.e., learners capable of orchestrating both their biological cognition and AI-augmented cognitive systems. 中文对应为：双脑人才，即能够同时调度自身生物脑与 AI 增强认知系统的学习者。</w:t>
      </w:r>
    </w:p>
    <w:p w14:paraId="0C6AFE79">
      <w:r>
        <w:t>这一译法比 Super Individual 更准确。因为 Super Individual 容易让国际读者联想到个人英雄主义、效率主义或超人化表述，而 “dual-brain” talents 更能体现 AI+X 的核心理念：不是让学生成为孤立的超级个体，而是让他们学会在人脑与 AI 认知脑之间形成协同。</w:t>
      </w:r>
    </w:p>
    <w:p w14:paraId="2E5814B8">
      <w:pPr>
        <w:pStyle w:val="4"/>
      </w:pPr>
      <w:r>
        <w:t>6. 风险治理与边界条件仍需补充</w:t>
      </w:r>
    </w:p>
    <w:p w14:paraId="47A3A6CD">
      <w:r>
        <w:t>作为理论框架与院校案例研究，本文应更充分讨论 AI+X 推广中的风险和边界条件。AI+X 的核心不是“让 AI 完成更多任务”，而是“让学生在 AI 协作中形成更高质量的理解、判断和创造”。因此，必须防止 AI 成为学习捷径。</w:t>
      </w:r>
    </w:p>
    <w:p w14:paraId="339649FF">
      <w:pPr>
        <w:pStyle w:val="16"/>
      </w:pPr>
      <w:r>
        <w:t>AI 可能造成“虚假掌握感”，学生以为 AI 生成了高质量文本就等于自己理解了；</w:t>
      </w:r>
    </w:p>
    <w:p w14:paraId="31C60D67">
      <w:pPr>
        <w:pStyle w:val="16"/>
      </w:pPr>
      <w:r>
        <w:t>学生过度依赖 AI，导致基础能力和深度思考弱化；</w:t>
      </w:r>
    </w:p>
    <w:p w14:paraId="54D121E8">
      <w:pPr>
        <w:pStyle w:val="16"/>
      </w:pPr>
      <w:r>
        <w:t>教师将备课、评价、反馈过度外包给 AI，导致专业判断退化；</w:t>
      </w:r>
    </w:p>
    <w:p w14:paraId="1DF2E8B3">
      <w:pPr>
        <w:pStyle w:val="16"/>
      </w:pPr>
      <w:r>
        <w:t>AI 输出的幻觉、偏见和错误可能被学生吸收；</w:t>
      </w:r>
    </w:p>
    <w:p w14:paraId="50F82367">
      <w:pPr>
        <w:pStyle w:val="16"/>
      </w:pPr>
      <w:r>
        <w:t>作品集评价中 AI 生成物可能掩盖学生真实能力；</w:t>
      </w:r>
    </w:p>
    <w:p w14:paraId="354A66A3">
      <w:pPr>
        <w:pStyle w:val="16"/>
      </w:pPr>
      <w:r>
        <w:t>数据隐私、学习轨迹监控和算法治理问题；</w:t>
      </w:r>
    </w:p>
    <w:p w14:paraId="0D327D83">
      <w:pPr>
        <w:pStyle w:val="16"/>
      </w:pPr>
      <w:r>
        <w:t>工具可及性差异可能扩大教育不平等；</w:t>
      </w:r>
    </w:p>
    <w:p w14:paraId="10E511B1">
      <w:pPr>
        <w:pStyle w:val="16"/>
      </w:pPr>
      <w:r>
        <w:t>院校制度、教师能力、网络环境、设备条件不足时，AI+X 可能无法有效运行。</w:t>
      </w:r>
    </w:p>
    <w:p w14:paraId="602A5FF7">
      <w:r>
        <w:t>OECD 关于 AI 与未来技能的项目强调，其目标是帮助政策制定者理解 AI 和机器人对工作与教育的影响，而不是把 AI 简单视为自动进步力量。近期关于生成式 AI 教育风险的讨论也提醒，AI 可能带来 false mastery / 虚假掌握感，使学生通过高质量生成文本掩盖真实理解不足；这进一步说明 AI+X 必须把过程证据、口头解释、AAR 和教师判断纳入治理机制。</w:t>
      </w:r>
    </w:p>
    <w:p w14:paraId="38DB7CCA">
      <w:pPr>
        <w:pStyle w:val="4"/>
      </w:pPr>
      <w:r>
        <w:t>7. SIAS University 案例应进一步案例研究化，并突出 Vibe Coding 的核心作用</w:t>
      </w:r>
    </w:p>
    <w:p w14:paraId="64788DA0">
      <w:r>
        <w:t>SIAS University 案例目前已经具备制度路径，但还可以进一步增强案例研究特征。建议不只是说明“做了哪些事情”，而是进一步说明：为什么选择这样的推进顺序；每一阶段解决了什么教育问题；参与者有哪些；关键机制是什么；产生了哪些早期证据；哪些经验具有可迁移性；哪些问题仍未解决。</w:t>
      </w:r>
    </w:p>
    <w:p w14:paraId="0146F6CB">
      <w:r>
        <w:t>更重要的是，SIAS 案例应突出 Vibe Coding 课程的核心作用。Vibe Coding 不是一般意义上的编程课，也不是单纯的软件开发训练，而是 AI+X 范式的课程化载体。它应被呈现为：真实问题牵引、AI 协作完成、产品化交付、作品集沉淀、元认知复盘和双脑人才培养的综合课程机制。</w:t>
      </w:r>
    </w:p>
    <w:p w14:paraId="2E3652F2">
      <w:r>
        <w:t>建议第 6.3 节可采用如下结构：</w:t>
      </w:r>
    </w:p>
    <w:p w14:paraId="5F1EAA91">
      <w:pPr>
        <w:pStyle w:val="16"/>
      </w:pPr>
      <w:r>
        <w:t>6.3.1 Institutional Context and Reform Motivation</w:t>
      </w:r>
    </w:p>
    <w:p w14:paraId="0A90E089">
      <w:pPr>
        <w:pStyle w:val="16"/>
      </w:pPr>
      <w:r>
        <w:t>6.3.2 Phase 1: Governance and Policy Experiment</w:t>
      </w:r>
    </w:p>
    <w:p w14:paraId="5BB95874">
      <w:pPr>
        <w:pStyle w:val="16"/>
      </w:pPr>
      <w:r>
        <w:t>6.3.3 Phase 2: Faculty Development and AI+X Pedagogical Capacity</w:t>
      </w:r>
    </w:p>
    <w:p w14:paraId="79F54A1F">
      <w:pPr>
        <w:pStyle w:val="16"/>
      </w:pPr>
      <w:r>
        <w:t>6.3.4 Vibe Coding as the Curricular Carrier of the AI+X Paradigm</w:t>
      </w:r>
    </w:p>
    <w:p w14:paraId="2CB71659">
      <w:pPr>
        <w:pStyle w:val="16"/>
      </w:pPr>
      <w:r>
        <w:t>6.3.5 From Real Problems to AI-Augmented Products</w:t>
      </w:r>
    </w:p>
    <w:p w14:paraId="397D6A13">
      <w:pPr>
        <w:pStyle w:val="16"/>
      </w:pPr>
      <w:r>
        <w:t>6.3.6 Developing “Dual-Brain” Talents through Human–AI Co-Modeling</w:t>
      </w:r>
    </w:p>
    <w:p w14:paraId="3FD7DFE4">
      <w:pPr>
        <w:pStyle w:val="16"/>
      </w:pPr>
      <w:r>
        <w:t>6.3.7 Evidence-Based Portfolios and AAR as Learning Proof</w:t>
      </w:r>
    </w:p>
    <w:p w14:paraId="6D51FB55">
      <w:pPr>
        <w:pStyle w:val="16"/>
      </w:pPr>
      <w:r>
        <w:t>6.3.8 Transferable Design Principles for Other Universities</w:t>
      </w:r>
    </w:p>
    <w:p w14:paraId="7F776695">
      <w:pPr>
        <w:pStyle w:val="3"/>
      </w:pPr>
      <w:r>
        <w:t>五、建议修改后的论文结构</w:t>
      </w:r>
    </w:p>
    <w:p w14:paraId="4374A4C8">
      <w:r>
        <w:rPr>
          <w:b/>
        </w:rPr>
        <w:t>1. Introduction: AI, Future Skills, and the Need for AI+X Education Reform</w:t>
      </w:r>
      <w:r>
        <w:t>：将原第 5 部分中关于宏观经济、人口、教育—生产力关系的内容压缩为背景，简要说明 AI+X 的时代动因。</w:t>
      </w:r>
    </w:p>
    <w:p w14:paraId="4AC609FC">
      <w:r>
        <w:rPr>
          <w:b/>
        </w:rPr>
        <w:t>2. Literature Review and Conceptual Positioning</w:t>
      </w:r>
      <w:r>
        <w:t>：新增文献综述，梳理 AI literacy、human-AI collaboration、self-regulated learning、project-based learning、portfolio assessment、DigCompEdu、UNESCO AI competency frameworks 等研究，并说明 AI+X 的新增贡献。</w:t>
      </w:r>
    </w:p>
    <w:p w14:paraId="6F77DEAA">
      <w:r>
        <w:rPr>
          <w:b/>
        </w:rPr>
        <w:t>3. The AI+X Conceptual Framework: Symbiotic Intelligence and “Dual-Brain” Talents</w:t>
      </w:r>
      <w:r>
        <w:t>：定义共生智能、AI+X、“dual-brain” talents，并用模型图展示总框架。</w:t>
      </w:r>
    </w:p>
    <w:p w14:paraId="69B9B67B">
      <w:r>
        <w:rPr>
          <w:b/>
        </w:rPr>
        <w:t>4. Learning Objectives: L1 World Modeling, L2 Human–AI Co-Modeling, L3 Self-Modeling</w:t>
      </w:r>
      <w:r>
        <w:t>：展开三维学习目标，并增加三角模型图。</w:t>
      </w:r>
    </w:p>
    <w:p w14:paraId="620290CB">
      <w:r>
        <w:rPr>
          <w:b/>
        </w:rPr>
        <w:t>5. Learning Methodology: Three-Stage Agentic Cycle and Dual-Loop Pedagogy</w:t>
      </w:r>
      <w:r>
        <w:t>：展开苏格拉底式学习场、互动学习任务、行动后复盘，以及概念回路和流程回路，并增加循环图。</w:t>
      </w:r>
    </w:p>
    <w:p w14:paraId="33C09BB1">
      <w:r>
        <w:rPr>
          <w:b/>
        </w:rPr>
        <w:t>6. Assessment: Evidence-Based AI+X Portfolio</w:t>
      </w:r>
      <w:r>
        <w:t>：说明作品集评价、AI 协作轨迹、元认知反思、口头验证等机制。</w:t>
      </w:r>
    </w:p>
    <w:p w14:paraId="42A1DDE0">
      <w:r>
        <w:rPr>
          <w:b/>
        </w:rPr>
        <w:t>7. SIAS University as an Institutional Case Study of AI+X through Vibe Coding</w:t>
      </w:r>
      <w:r>
        <w:t>：将 SIAS 作为 AI+X 范式通过 Vibe Coding 课程早期实施的院校案例，突出真实问题、AI 技能、产品化交付、作品集和 AAR。</w:t>
      </w:r>
    </w:p>
    <w:p w14:paraId="2A316428">
      <w:r>
        <w:rPr>
          <w:b/>
        </w:rPr>
        <w:t>8. Governance Risks and Boundary Conditions</w:t>
      </w:r>
      <w:r>
        <w:t>：讨论 AI+X 的风险、边界条件和治理要求。</w:t>
      </w:r>
    </w:p>
    <w:p w14:paraId="08DE4316">
      <w:r>
        <w:rPr>
          <w:b/>
        </w:rPr>
        <w:t>9. Policy and Institutional Recommendations</w:t>
      </w:r>
      <w:r>
        <w:t>：分层提出国家、高校、教师、学生、产业协同建议。</w:t>
      </w:r>
    </w:p>
    <w:p w14:paraId="3B76D2B6">
      <w:r>
        <w:rPr>
          <w:b/>
        </w:rPr>
        <w:t>10. Conclusion: Toward Symbiotic AI+X Education</w:t>
      </w:r>
      <w:r>
        <w:t>：收束到 AI+X 对教育目标、学习机制和院校改革的意义。</w:t>
      </w:r>
    </w:p>
    <w:p w14:paraId="6B301585">
      <w:pPr>
        <w:pStyle w:val="3"/>
      </w:pPr>
      <w:r>
        <w:t>六、具体修改建议清单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3249"/>
        <w:gridCol w:w="3249"/>
      </w:tblGrid>
      <w:tr w14:paraId="55AACCBE">
        <w:trPr>
          <w:jc w:val="center"/>
        </w:trPr>
        <w:tc>
          <w:tcPr>
            <w:tcW w:w="3249" w:type="dxa"/>
            <w:shd w:val="clear" w:color="auto" w:fill="1F4E79"/>
            <w:vAlign w:val="center"/>
          </w:tcPr>
          <w:p w14:paraId="4EF18D83">
            <w:pPr>
              <w:spacing w:after="0" w:line="276" w:lineRule="auto"/>
            </w:pPr>
            <w:r>
              <w:rPr>
                <w:b/>
                <w:color w:val="FFFFFF"/>
                <w:sz w:val="20"/>
              </w:rPr>
              <w:t>序号</w:t>
            </w:r>
          </w:p>
        </w:tc>
        <w:tc>
          <w:tcPr>
            <w:tcW w:w="3249" w:type="dxa"/>
            <w:shd w:val="clear" w:color="auto" w:fill="1F4E79"/>
            <w:vAlign w:val="center"/>
          </w:tcPr>
          <w:p w14:paraId="7DBF1650">
            <w:pPr>
              <w:spacing w:after="0" w:line="276" w:lineRule="auto"/>
            </w:pPr>
            <w:r>
              <w:rPr>
                <w:b/>
                <w:color w:val="FFFFFF"/>
                <w:sz w:val="20"/>
              </w:rPr>
              <w:t>修改方向</w:t>
            </w:r>
          </w:p>
        </w:tc>
        <w:tc>
          <w:tcPr>
            <w:tcW w:w="3249" w:type="dxa"/>
            <w:shd w:val="clear" w:color="auto" w:fill="1F4E79"/>
            <w:vAlign w:val="center"/>
          </w:tcPr>
          <w:p w14:paraId="5CCC77A6">
            <w:pPr>
              <w:spacing w:after="0" w:line="276" w:lineRule="auto"/>
            </w:pPr>
            <w:r>
              <w:rPr>
                <w:b/>
                <w:color w:val="FFFFFF"/>
                <w:sz w:val="20"/>
              </w:rPr>
              <w:t>具体建议</w:t>
            </w:r>
          </w:p>
        </w:tc>
      </w:tr>
      <w:tr w14:paraId="38DC3262">
        <w:trPr>
          <w:jc w:val="center"/>
        </w:trPr>
        <w:tc>
          <w:tcPr>
            <w:tcW w:w="3249" w:type="dxa"/>
            <w:vAlign w:val="center"/>
          </w:tcPr>
          <w:p w14:paraId="7A18EF68">
            <w:pPr>
              <w:spacing w:after="0" w:line="276" w:lineRule="auto"/>
            </w:pPr>
            <w:r>
              <w:rPr>
                <w:b w:val="0"/>
                <w:sz w:val="19"/>
              </w:rPr>
              <w:t>1</w:t>
            </w:r>
          </w:p>
        </w:tc>
        <w:tc>
          <w:tcPr>
            <w:tcW w:w="3249" w:type="dxa"/>
            <w:vAlign w:val="center"/>
          </w:tcPr>
          <w:p w14:paraId="37D0231E">
            <w:pPr>
              <w:spacing w:after="0" w:line="276" w:lineRule="auto"/>
            </w:pPr>
            <w:r>
              <w:rPr>
                <w:b w:val="0"/>
                <w:sz w:val="19"/>
              </w:rPr>
              <w:t>明确论文定位</w:t>
            </w:r>
          </w:p>
        </w:tc>
        <w:tc>
          <w:tcPr>
            <w:tcW w:w="3249" w:type="dxa"/>
            <w:vAlign w:val="center"/>
          </w:tcPr>
          <w:p w14:paraId="714458ED">
            <w:pPr>
              <w:spacing w:after="0" w:line="276" w:lineRule="auto"/>
            </w:pPr>
            <w:r>
              <w:rPr>
                <w:b w:val="0"/>
                <w:sz w:val="19"/>
              </w:rPr>
              <w:t>定位为 “A conceptual framework and institutional case study of AI+X education reform”</w:t>
            </w:r>
          </w:p>
        </w:tc>
      </w:tr>
      <w:tr w14:paraId="7F0D7A9D">
        <w:trPr>
          <w:jc w:val="center"/>
        </w:trPr>
        <w:tc>
          <w:tcPr>
            <w:tcW w:w="3249" w:type="dxa"/>
            <w:vAlign w:val="center"/>
          </w:tcPr>
          <w:p w14:paraId="5C744C9C">
            <w:pPr>
              <w:spacing w:after="0" w:line="276" w:lineRule="auto"/>
            </w:pPr>
            <w:r>
              <w:rPr>
                <w:b w:val="0"/>
                <w:sz w:val="19"/>
              </w:rPr>
              <w:t>2</w:t>
            </w:r>
          </w:p>
        </w:tc>
        <w:tc>
          <w:tcPr>
            <w:tcW w:w="3249" w:type="dxa"/>
            <w:vAlign w:val="center"/>
          </w:tcPr>
          <w:p w14:paraId="5A8BC1BD">
            <w:pPr>
              <w:spacing w:after="0" w:line="276" w:lineRule="auto"/>
            </w:pPr>
            <w:r>
              <w:rPr>
                <w:b w:val="0"/>
                <w:sz w:val="19"/>
              </w:rPr>
              <w:t>聚焦教育主线</w:t>
            </w:r>
          </w:p>
        </w:tc>
        <w:tc>
          <w:tcPr>
            <w:tcW w:w="3249" w:type="dxa"/>
            <w:vAlign w:val="center"/>
          </w:tcPr>
          <w:p w14:paraId="77435425">
            <w:pPr>
              <w:spacing w:after="0" w:line="276" w:lineRule="auto"/>
            </w:pPr>
            <w:r>
              <w:rPr>
                <w:b w:val="0"/>
                <w:sz w:val="19"/>
              </w:rPr>
              <w:t>将宏观叙事压缩至引言背景，第 5 部分不宜作为独立大篇幅主体</w:t>
            </w:r>
          </w:p>
        </w:tc>
      </w:tr>
      <w:tr w14:paraId="073E5D65">
        <w:trPr>
          <w:jc w:val="center"/>
        </w:trPr>
        <w:tc>
          <w:tcPr>
            <w:tcW w:w="3249" w:type="dxa"/>
            <w:vAlign w:val="center"/>
          </w:tcPr>
          <w:p w14:paraId="5CD7D504">
            <w:pPr>
              <w:spacing w:after="0" w:line="276" w:lineRule="auto"/>
            </w:pPr>
            <w:r>
              <w:rPr>
                <w:b w:val="0"/>
                <w:sz w:val="19"/>
              </w:rPr>
              <w:t>3</w:t>
            </w:r>
          </w:p>
        </w:tc>
        <w:tc>
          <w:tcPr>
            <w:tcW w:w="3249" w:type="dxa"/>
            <w:vAlign w:val="center"/>
          </w:tcPr>
          <w:p w14:paraId="312EF6EC">
            <w:pPr>
              <w:spacing w:after="0" w:line="276" w:lineRule="auto"/>
            </w:pPr>
            <w:r>
              <w:rPr>
                <w:b w:val="0"/>
                <w:sz w:val="19"/>
              </w:rPr>
              <w:t>增加文献综述</w:t>
            </w:r>
          </w:p>
        </w:tc>
        <w:tc>
          <w:tcPr>
            <w:tcW w:w="3249" w:type="dxa"/>
            <w:vAlign w:val="center"/>
          </w:tcPr>
          <w:p w14:paraId="57417D87">
            <w:pPr>
              <w:spacing w:after="0" w:line="276" w:lineRule="auto"/>
            </w:pPr>
            <w:r>
              <w:rPr>
                <w:b w:val="0"/>
                <w:sz w:val="19"/>
              </w:rPr>
              <w:t>系统对接 AI literacy、human-AI collaboration、metacognition、PBL、portfolio assessment、DigCompEdu、UNESCO AI frameworks</w:t>
            </w:r>
          </w:p>
        </w:tc>
      </w:tr>
      <w:tr w14:paraId="2ECD0564">
        <w:trPr>
          <w:jc w:val="center"/>
        </w:trPr>
        <w:tc>
          <w:tcPr>
            <w:tcW w:w="3249" w:type="dxa"/>
            <w:vAlign w:val="center"/>
          </w:tcPr>
          <w:p w14:paraId="3EAD56A8">
            <w:pPr>
              <w:spacing w:after="0" w:line="276" w:lineRule="auto"/>
            </w:pPr>
            <w:r>
              <w:rPr>
                <w:b w:val="0"/>
                <w:sz w:val="19"/>
              </w:rPr>
              <w:t>4</w:t>
            </w:r>
          </w:p>
        </w:tc>
        <w:tc>
          <w:tcPr>
            <w:tcW w:w="3249" w:type="dxa"/>
            <w:vAlign w:val="center"/>
          </w:tcPr>
          <w:p w14:paraId="05ABFD86">
            <w:pPr>
              <w:spacing w:after="0" w:line="276" w:lineRule="auto"/>
            </w:pPr>
            <w:r>
              <w:rPr>
                <w:b w:val="0"/>
                <w:sz w:val="19"/>
              </w:rPr>
              <w:t>说明原创贡献</w:t>
            </w:r>
          </w:p>
        </w:tc>
        <w:tc>
          <w:tcPr>
            <w:tcW w:w="3249" w:type="dxa"/>
            <w:vAlign w:val="center"/>
          </w:tcPr>
          <w:p w14:paraId="25A992E4">
            <w:pPr>
              <w:spacing w:after="0" w:line="276" w:lineRule="auto"/>
            </w:pPr>
            <w:r>
              <w:rPr>
                <w:b w:val="0"/>
                <w:sz w:val="19"/>
              </w:rPr>
              <w:t>明确 AI+X 相比已有框架的新发展：三维目标、智能体循环、双回路、KSTAR、作品集证据链、院校实施路径</w:t>
            </w:r>
          </w:p>
        </w:tc>
      </w:tr>
      <w:tr w14:paraId="0D274BE0">
        <w:trPr>
          <w:jc w:val="center"/>
        </w:trPr>
        <w:tc>
          <w:tcPr>
            <w:tcW w:w="3249" w:type="dxa"/>
            <w:vAlign w:val="center"/>
          </w:tcPr>
          <w:p w14:paraId="17735DD1">
            <w:pPr>
              <w:spacing w:after="0" w:line="276" w:lineRule="auto"/>
            </w:pPr>
            <w:r>
              <w:rPr>
                <w:b w:val="0"/>
                <w:sz w:val="19"/>
              </w:rPr>
              <w:t>5</w:t>
            </w:r>
          </w:p>
        </w:tc>
        <w:tc>
          <w:tcPr>
            <w:tcW w:w="3249" w:type="dxa"/>
            <w:vAlign w:val="center"/>
          </w:tcPr>
          <w:p w14:paraId="26F30F7B">
            <w:pPr>
              <w:spacing w:after="0" w:line="276" w:lineRule="auto"/>
            </w:pPr>
            <w:r>
              <w:rPr>
                <w:b w:val="0"/>
                <w:sz w:val="19"/>
              </w:rPr>
              <w:t>增加模型图</w:t>
            </w:r>
          </w:p>
        </w:tc>
        <w:tc>
          <w:tcPr>
            <w:tcW w:w="3249" w:type="dxa"/>
            <w:vAlign w:val="center"/>
          </w:tcPr>
          <w:p w14:paraId="1C7BAA10">
            <w:pPr>
              <w:spacing w:after="0" w:line="276" w:lineRule="auto"/>
            </w:pPr>
            <w:r>
              <w:rPr>
                <w:b w:val="0"/>
                <w:sz w:val="19"/>
              </w:rPr>
              <w:t>增加 AI+X 总模型、L1—L2—L3 三角模型、三阶段循环图、双回路图、SIAS 实施路径图</w:t>
            </w:r>
          </w:p>
        </w:tc>
      </w:tr>
      <w:tr w14:paraId="50CC3269">
        <w:trPr>
          <w:jc w:val="center"/>
        </w:trPr>
        <w:tc>
          <w:tcPr>
            <w:tcW w:w="3249" w:type="dxa"/>
            <w:vAlign w:val="center"/>
          </w:tcPr>
          <w:p w14:paraId="01D62D54">
            <w:pPr>
              <w:spacing w:after="0" w:line="276" w:lineRule="auto"/>
            </w:pPr>
            <w:r>
              <w:rPr>
                <w:b w:val="0"/>
                <w:sz w:val="19"/>
              </w:rPr>
              <w:t>6</w:t>
            </w:r>
          </w:p>
        </w:tc>
        <w:tc>
          <w:tcPr>
            <w:tcW w:w="3249" w:type="dxa"/>
            <w:vAlign w:val="center"/>
          </w:tcPr>
          <w:p w14:paraId="60BD30BC">
            <w:pPr>
              <w:spacing w:after="0" w:line="276" w:lineRule="auto"/>
            </w:pPr>
            <w:r>
              <w:rPr>
                <w:b w:val="0"/>
                <w:sz w:val="19"/>
              </w:rPr>
              <w:t>优化术语</w:t>
            </w:r>
          </w:p>
        </w:tc>
        <w:tc>
          <w:tcPr>
            <w:tcW w:w="3249" w:type="dxa"/>
            <w:vAlign w:val="center"/>
          </w:tcPr>
          <w:p w14:paraId="48124C0B">
            <w:pPr>
              <w:spacing w:after="0" w:line="276" w:lineRule="auto"/>
            </w:pPr>
            <w:r>
              <w:rPr>
                <w:b w:val="0"/>
                <w:sz w:val="19"/>
              </w:rPr>
              <w:t>将 Super Individual 改为 “dual-brain” talents，并在首次出现时解释</w:t>
            </w:r>
          </w:p>
        </w:tc>
      </w:tr>
      <w:tr w14:paraId="272B250C">
        <w:trPr>
          <w:jc w:val="center"/>
        </w:trPr>
        <w:tc>
          <w:tcPr>
            <w:tcW w:w="3249" w:type="dxa"/>
            <w:vAlign w:val="center"/>
          </w:tcPr>
          <w:p w14:paraId="2A32416F">
            <w:pPr>
              <w:spacing w:after="0" w:line="276" w:lineRule="auto"/>
            </w:pPr>
            <w:r>
              <w:rPr>
                <w:b w:val="0"/>
                <w:sz w:val="19"/>
              </w:rPr>
              <w:t>7</w:t>
            </w:r>
          </w:p>
        </w:tc>
        <w:tc>
          <w:tcPr>
            <w:tcW w:w="3249" w:type="dxa"/>
            <w:vAlign w:val="center"/>
          </w:tcPr>
          <w:p w14:paraId="0DFF07D7">
            <w:pPr>
              <w:spacing w:after="0" w:line="276" w:lineRule="auto"/>
            </w:pPr>
            <w:r>
              <w:rPr>
                <w:b w:val="0"/>
                <w:sz w:val="19"/>
              </w:rPr>
              <w:t>强化 Vibe Coding 案例</w:t>
            </w:r>
          </w:p>
        </w:tc>
        <w:tc>
          <w:tcPr>
            <w:tcW w:w="3249" w:type="dxa"/>
            <w:vAlign w:val="center"/>
          </w:tcPr>
          <w:p w14:paraId="3F319DE5">
            <w:pPr>
              <w:spacing w:after="0" w:line="276" w:lineRule="auto"/>
            </w:pPr>
            <w:r>
              <w:rPr>
                <w:b w:val="0"/>
                <w:sz w:val="19"/>
              </w:rPr>
              <w:t>突出 Vibe Coding 作为 AI+X 范式课程化载体的作用</w:t>
            </w:r>
          </w:p>
        </w:tc>
      </w:tr>
      <w:tr w14:paraId="613899C7">
        <w:trPr>
          <w:jc w:val="center"/>
        </w:trPr>
        <w:tc>
          <w:tcPr>
            <w:tcW w:w="3249" w:type="dxa"/>
            <w:vAlign w:val="center"/>
          </w:tcPr>
          <w:p w14:paraId="33EFA202">
            <w:pPr>
              <w:spacing w:after="0" w:line="276" w:lineRule="auto"/>
            </w:pPr>
            <w:r>
              <w:rPr>
                <w:b w:val="0"/>
                <w:sz w:val="19"/>
              </w:rPr>
              <w:t>8</w:t>
            </w:r>
          </w:p>
        </w:tc>
        <w:tc>
          <w:tcPr>
            <w:tcW w:w="3249" w:type="dxa"/>
            <w:vAlign w:val="center"/>
          </w:tcPr>
          <w:p w14:paraId="1086DC18">
            <w:pPr>
              <w:spacing w:after="0" w:line="276" w:lineRule="auto"/>
            </w:pPr>
            <w:r>
              <w:rPr>
                <w:b w:val="0"/>
                <w:sz w:val="19"/>
              </w:rPr>
              <w:t>案例研究化</w:t>
            </w:r>
          </w:p>
        </w:tc>
        <w:tc>
          <w:tcPr>
            <w:tcW w:w="3249" w:type="dxa"/>
            <w:vAlign w:val="center"/>
          </w:tcPr>
          <w:p w14:paraId="4689111C">
            <w:pPr>
              <w:spacing w:after="0" w:line="276" w:lineRule="auto"/>
            </w:pPr>
            <w:r>
              <w:rPr>
                <w:b w:val="0"/>
                <w:sz w:val="19"/>
              </w:rPr>
              <w:t>将 SIAS 案例改写为院校案例研究，突出情境、阶段、机制、证据、经验和可迁移原则</w:t>
            </w:r>
          </w:p>
        </w:tc>
      </w:tr>
      <w:tr w14:paraId="0FD3415B">
        <w:trPr>
          <w:jc w:val="center"/>
        </w:trPr>
        <w:tc>
          <w:tcPr>
            <w:tcW w:w="3249" w:type="dxa"/>
            <w:vAlign w:val="center"/>
          </w:tcPr>
          <w:p w14:paraId="38355491">
            <w:pPr>
              <w:spacing w:after="0" w:line="276" w:lineRule="auto"/>
            </w:pPr>
            <w:r>
              <w:rPr>
                <w:b w:val="0"/>
                <w:sz w:val="19"/>
              </w:rPr>
              <w:t>9</w:t>
            </w:r>
          </w:p>
        </w:tc>
        <w:tc>
          <w:tcPr>
            <w:tcW w:w="3249" w:type="dxa"/>
            <w:vAlign w:val="center"/>
          </w:tcPr>
          <w:p w14:paraId="17A86160">
            <w:pPr>
              <w:spacing w:after="0" w:line="276" w:lineRule="auto"/>
            </w:pPr>
            <w:r>
              <w:rPr>
                <w:b w:val="0"/>
                <w:sz w:val="19"/>
              </w:rPr>
              <w:t>加强风险治理</w:t>
            </w:r>
          </w:p>
        </w:tc>
        <w:tc>
          <w:tcPr>
            <w:tcW w:w="3249" w:type="dxa"/>
            <w:vAlign w:val="center"/>
          </w:tcPr>
          <w:p w14:paraId="63187816">
            <w:pPr>
              <w:spacing w:after="0" w:line="276" w:lineRule="auto"/>
            </w:pPr>
            <w:r>
              <w:rPr>
                <w:b w:val="0"/>
                <w:sz w:val="19"/>
              </w:rPr>
              <w:t>增加 AI 虚假掌握感、过度依赖、隐私、偏见、作品集真实性、教师专业弱化等风险讨论</w:t>
            </w:r>
          </w:p>
        </w:tc>
      </w:tr>
      <w:tr w14:paraId="1C51AA41">
        <w:trPr>
          <w:jc w:val="center"/>
        </w:trPr>
        <w:tc>
          <w:tcPr>
            <w:tcW w:w="3249" w:type="dxa"/>
            <w:vAlign w:val="center"/>
          </w:tcPr>
          <w:p w14:paraId="1AFBEB91">
            <w:pPr>
              <w:spacing w:after="0" w:line="276" w:lineRule="auto"/>
            </w:pPr>
            <w:r>
              <w:rPr>
                <w:b w:val="0"/>
                <w:sz w:val="19"/>
              </w:rPr>
              <w:t>10</w:t>
            </w:r>
          </w:p>
        </w:tc>
        <w:tc>
          <w:tcPr>
            <w:tcW w:w="3249" w:type="dxa"/>
            <w:vAlign w:val="center"/>
          </w:tcPr>
          <w:p w14:paraId="397038CB">
            <w:pPr>
              <w:spacing w:after="0" w:line="276" w:lineRule="auto"/>
            </w:pPr>
            <w:r>
              <w:rPr>
                <w:b w:val="0"/>
                <w:sz w:val="19"/>
              </w:rPr>
              <w:t>提高可读性</w:t>
            </w:r>
          </w:p>
        </w:tc>
        <w:tc>
          <w:tcPr>
            <w:tcW w:w="3249" w:type="dxa"/>
            <w:vAlign w:val="center"/>
          </w:tcPr>
          <w:p w14:paraId="138B9D54">
            <w:pPr>
              <w:spacing w:after="0" w:line="276" w:lineRule="auto"/>
            </w:pPr>
            <w:r>
              <w:rPr>
                <w:b w:val="0"/>
                <w:sz w:val="19"/>
              </w:rPr>
              <w:t>减少概念堆叠，用图示、术语表和小结增强读者理解</w:t>
            </w:r>
          </w:p>
        </w:tc>
      </w:tr>
    </w:tbl>
    <w:p w14:paraId="1D2F7DDE">
      <w:pPr>
        <w:pStyle w:val="3"/>
      </w:pPr>
      <w:r>
        <w:t>七、修订后评价</w:t>
      </w:r>
    </w:p>
    <w:p w14:paraId="554312B1">
      <w:r>
        <w:t>本文具有较强的理论建构潜力和院校实践价值。它试图提出 AI 时代教育的新框架，并通过 SIAS University 的早期实践展示该框架的实施可能性。其突出贡献在于：将 AI 教育从工具使用提升到教育系统重构；提出 L1 世界建模、L2 人机协同建模、L3 自我建模的三维学习目标；设计三阶段智能体学习循环与双回路教学法；强调证据型作品集评价；并以 SIAS University 作为院校案例呈现 AI+X 通过 Vibe Coding 课程进行制度化和课程化落地的路径。</w:t>
      </w:r>
    </w:p>
    <w:p w14:paraId="4F15F742">
      <w:r>
        <w:t>文章后续最需要加强的，不是增加宏观叙事，而是进一步回到教育本身：明确 AI+X 解决了哪些教育问题，如何重构学习目标与学习过程，如何帮助教师和学生形成新的能力结构，如何通过 Vibe Coding 课程让学生在真实问题解决、AI 技能系统掌握、产品化交付和元认知复盘中成长为 “dual-brain” talents，如何通过院校制度保障其落地，如何用文献综述说明其概念来源与原创贡献，如何用模型图提高框架的可理解性和传播力。</w:t>
      </w:r>
    </w:p>
    <w:p w14:paraId="09001CD7">
      <w:r>
        <w:t>一句话评价：本文应进一步发展为一篇“AI+X 教育改革的理论框架与院校案例研究”论文；其核心价值在于提出 AI 时代教育系统重构的概念模型，并通过 SIAS University 案例说明这一模型如何经由 Vibe Coding 课程进入真实教育实践，培养能够解决真实问题、系统掌握 AI 技能并形成双脑能力结构的学生。</w:t>
      </w:r>
    </w:p>
    <w:p w14:paraId="7C1947A0">
      <w:pPr>
        <w:pStyle w:val="3"/>
      </w:pPr>
      <w:r>
        <w:t>参考资料与外部参照</w:t>
      </w:r>
    </w:p>
    <w:p w14:paraId="147406A8">
      <w:r>
        <w:t xml:space="preserve">[1] UNESCO. AI Competency Framework for Teachers. </w:t>
      </w:r>
      <w:r>
        <w:fldChar w:fldCharType="begin"/>
      </w:r>
      <w:r>
        <w:instrText xml:space="preserve"> HYPERLINK "https://www.unesco.org/en/articles/ai-competency-framework-teachers" \h </w:instrText>
      </w:r>
      <w:r>
        <w:fldChar w:fldCharType="separate"/>
      </w:r>
      <w:r>
        <w:rPr>
          <w:color w:val="0563C1"/>
          <w:u w:val="single"/>
        </w:rPr>
        <w:t>https://www.unesco.org/en/articles/ai-competency-framework-teachers</w:t>
      </w:r>
      <w:r>
        <w:rPr>
          <w:color w:val="0563C1"/>
          <w:u w:val="single"/>
        </w:rPr>
        <w:fldChar w:fldCharType="end"/>
      </w:r>
    </w:p>
    <w:p w14:paraId="4A116926">
      <w:r>
        <w:t xml:space="preserve">[2] UNESCO. AI Competency Framework for Students. </w:t>
      </w:r>
      <w:r>
        <w:fldChar w:fldCharType="begin"/>
      </w:r>
      <w:r>
        <w:instrText xml:space="preserve"> HYPERLINK "https://www.unesco.org/en/articles/ai-competency-framework-students" \h </w:instrText>
      </w:r>
      <w:r>
        <w:fldChar w:fldCharType="separate"/>
      </w:r>
      <w:r>
        <w:rPr>
          <w:color w:val="0563C1"/>
          <w:u w:val="single"/>
        </w:rPr>
        <w:t>https://www.unesco.org/en/articles/ai-competency-framework-students</w:t>
      </w:r>
      <w:r>
        <w:rPr>
          <w:color w:val="0563C1"/>
          <w:u w:val="single"/>
        </w:rPr>
        <w:fldChar w:fldCharType="end"/>
      </w:r>
    </w:p>
    <w:p w14:paraId="26FFDD11">
      <w:r>
        <w:t xml:space="preserve">[3] OECD. Artificial Intelligence and the Future of Skills. </w:t>
      </w:r>
      <w:r>
        <w:fldChar w:fldCharType="begin"/>
      </w:r>
      <w:r>
        <w:instrText xml:space="preserve"> HYPERLINK "https://www.oecd.org/en/about/projects/artificial-intelligence-and-future-of-skills.html" \h </w:instrText>
      </w:r>
      <w:r>
        <w:fldChar w:fldCharType="separate"/>
      </w:r>
      <w:r>
        <w:rPr>
          <w:color w:val="0563C1"/>
          <w:u w:val="single"/>
        </w:rPr>
        <w:t>https://www.oecd.org/en/about/projects/artificial-intelligence-and-future-of-skills.html</w:t>
      </w:r>
      <w:r>
        <w:rPr>
          <w:color w:val="0563C1"/>
          <w:u w:val="single"/>
        </w:rPr>
        <w:fldChar w:fldCharType="end"/>
      </w:r>
    </w:p>
    <w:p w14:paraId="2CA2507F">
      <w:r>
        <w:t xml:space="preserve">[4] European Commission Joint Research Centre. Digital Competence Framework for Educators (DigCompEdu). </w:t>
      </w:r>
      <w:r>
        <w:fldChar w:fldCharType="begin"/>
      </w:r>
      <w:r>
        <w:instrText xml:space="preserve"> HYPERLINK "https://joint-research-centre.ec.europa.eu/digcompedu_en" \h </w:instrText>
      </w:r>
      <w:r>
        <w:fldChar w:fldCharType="separate"/>
      </w:r>
      <w:r>
        <w:rPr>
          <w:color w:val="0563C1"/>
          <w:u w:val="single"/>
        </w:rPr>
        <w:t>https://joint-research-centre.ec.europa.eu/digcompedu_en</w:t>
      </w:r>
      <w:r>
        <w:rPr>
          <w:color w:val="0563C1"/>
          <w:u w:val="single"/>
        </w:rPr>
        <w:fldChar w:fldCharType="end"/>
      </w:r>
    </w:p>
    <w:p w14:paraId="78D83792">
      <w:r>
        <w:t xml:space="preserve">[5] OECD / media discussion on generative AI risks, including false mastery. </w:t>
      </w:r>
      <w:r>
        <w:fldChar w:fldCharType="begin"/>
      </w:r>
      <w:r>
        <w:instrText xml:space="preserve"> HYPERLINK "https://www.theaustralian.com.au/higher-education/student-reliance-on-ai-is-a-shortcut-that-masks-a-failure-to-learn-the-oecd-warns/news-story/868d0c5769c42446ba140807e8de8fd4" \h </w:instrText>
      </w:r>
      <w:r>
        <w:fldChar w:fldCharType="separate"/>
      </w:r>
      <w:r>
        <w:rPr>
          <w:color w:val="0563C1"/>
          <w:u w:val="single"/>
        </w:rPr>
        <w:t>https://www.theaustralian.com.au/higher-education/student-reliance-on-ai-is-a-shortcut-that-masks-a-failure-to-learn-the-oecd-warns/news-story/868d0c5769c42446ba140807e8de8fd4</w:t>
      </w:r>
      <w:r>
        <w:rPr>
          <w:color w:val="0563C1"/>
          <w:u w:val="single"/>
        </w:rPr>
        <w:fldChar w:fldCharType="end"/>
      </w:r>
    </w:p>
    <w:sectPr>
      <w:footerReference r:id="rId5" w:type="default"/>
      <w:pgSz w:w="12240" w:h="15840"/>
      <w:pgMar w:top="1247"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04869">
    <w:pPr>
      <w:pStyle w:val="24"/>
      <w:jc w:val="center"/>
    </w:pPr>
    <w:r>
      <w:t xml:space="preserve">— 第 </w:t>
    </w:r>
    <w:r>
      <w:fldChar w:fldCharType="begin"/>
    </w:r>
    <w:r>
      <w:instrText xml:space="preserve">PAGE</w:instrText>
    </w:r>
    <w:r>
      <w:fldChar w:fldCharType="end"/>
    </w:r>
    <w:r>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EFC1EF8"/>
    <w:rsid w:val="EF8FBE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F5496"/>
      <w:sz w:val="27"/>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OpenAI</dc:creator>
  <dc:description>generated by python-docx</dc:description>
  <cp:lastModifiedBy>肖福军(2022500100)</cp:lastModifiedBy>
  <dcterms:modified xsi:type="dcterms:W3CDTF">2026-04-24T22:39:25Z</dcterms:modified>
  <dc:subject>The Future of Education: Symbiotic Intelligence and the AI+X Paradigm</dc:subject>
  <dc:title>AI+X 教育改革的理论框架与院校案例研究审稿意见</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B1A96F1B9E6832809480EB692EF85CFC_42</vt:lpwstr>
  </property>
</Properties>
</file>