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Loan Agreement is entered into between:</w:t>
      </w:r>
    </w:p>
    <w:p>
      <w:r>
        <w:t>Borrower: Synthetic Borrower LLC</w:t>
      </w:r>
    </w:p>
    <w:p>
      <w:r>
        <w:t>Lender: OKOA Capital</w:t>
      </w:r>
    </w:p>
    <w:p>
      <w:r>
        <w:t>Principal Amount: $1,500,000.00</w:t>
      </w:r>
    </w:p>
    <w:p>
      <w:r>
        <w:t>Origination Date: 2026-05-11</w:t>
      </w:r>
    </w:p>
    <w:p>
      <w:r>
        <w:t>Maturity Date: 2027-05-11</w:t>
      </w:r>
    </w:p>
    <w:p>
      <w:r>
        <w:t>This is a synthetic test fixture for acos-dataroom smoke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