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1F4E79"/>
          <w:sz w:val="40"/>
        </w:rPr>
        <w:t>GTG-memory 项目目录结构与环境规范</w:t>
      </w:r>
    </w:p>
    <w:p>
      <w:pPr>
        <w:jc w:val="center"/>
      </w:pPr>
      <w:r>
        <w:rPr>
          <w:i/>
          <w:color w:val="595959"/>
          <w:sz w:val="21"/>
        </w:rPr>
        <w:t>服务器当前约定版本（基于 /root/autodl-tmp）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236"/>
      </w:tblGrid>
      <w:tr>
        <w:tc>
          <w:tcPr>
            <w:tcW w:type="dxa" w:w="47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  <w:shd w:fill="D9EAF7"/>
          </w:tcPr>
          <w:p>
            <w:r>
              <w:t>文档目的</w:t>
            </w:r>
          </w:p>
        </w:tc>
        <w:tc>
          <w:tcPr>
            <w:tcW w:type="dxa" w:w="47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  <w:shd w:fill="D9EAF7"/>
          </w:tcPr>
          <w:p>
            <w:r>
              <w:t>统一记录 GTG-memory 项目在 AutoDL 服务器上的目录位置、环境位置、缓存位置、参考资料位置、环境冻结文件位置，以及后续新增目录的命名规则。</w:t>
            </w:r>
          </w:p>
        </w:tc>
      </w:tr>
      <w:tr>
        <w:tc>
          <w:tcPr>
            <w:tcW w:type="dxa" w:w="47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适用范围</w:t>
            </w:r>
          </w:p>
        </w:tc>
        <w:tc>
          <w:tcPr>
            <w:tcW w:type="dxa" w:w="47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当前 4090D 服务器、当前数据盘路径 /root/autodl-tmp、当前 conda 环境 GTG、当前开发仓库 GTG-memory。</w:t>
            </w:r>
          </w:p>
        </w:tc>
      </w:tr>
      <w:tr>
        <w:tc>
          <w:tcPr>
            <w:tcW w:type="dxa" w:w="47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管理原则</w:t>
            </w:r>
          </w:p>
        </w:tc>
        <w:tc>
          <w:tcPr>
            <w:tcW w:type="dxa" w:w="47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所有工程内容尽量放在数据盘下；开发仓库与上游参考仓库分开；环境与缓存单独固化；大文件默认不进入 Git 历史。</w:t>
            </w:r>
          </w:p>
        </w:tc>
      </w:tr>
      <w:tr>
        <w:tc>
          <w:tcPr>
            <w:tcW w:type="dxa" w:w="47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维护建议</w:t>
            </w:r>
          </w:p>
        </w:tc>
        <w:tc>
          <w:tcPr>
            <w:tcW w:type="dxa" w:w="475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每次目录、环境或依赖发生重大变化后，同步更新本规范文档与环境快照文件。</w:t>
            </w:r>
          </w:p>
        </w:tc>
      </w:tr>
    </w:tbl>
    <w:p/>
    <w:p>
      <w:pPr>
        <w:pStyle w:val="Heading1"/>
      </w:pPr>
      <w:r>
        <w:t>1. 当前服务器关键路径总表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t>类别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t>实际路径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t>当前用途</w:t>
            </w:r>
          </w:p>
        </w:tc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t>备注</w:t>
            </w:r>
          </w:p>
        </w:tc>
      </w:tr>
      <w:tr>
        <w:tc>
          <w:tcPr>
            <w:tcW w:type="dxa" w:w="1814"/>
          </w:tcPr>
          <w:p>
            <w:r>
              <w:t>数据盘根目录</w:t>
            </w:r>
          </w:p>
        </w:tc>
        <w:tc>
          <w:tcPr>
            <w:tcW w:type="dxa" w:w="3402"/>
          </w:tcPr>
          <w:p>
            <w:r>
              <w:t>/root/autodl-tmp</w:t>
            </w:r>
          </w:p>
        </w:tc>
        <w:tc>
          <w:tcPr>
            <w:tcW w:type="dxa" w:w="2835"/>
          </w:tcPr>
          <w:p>
            <w:r>
              <w:t>所有项目、环境、缓存、数据与模型的统一根目录</w:t>
            </w:r>
          </w:p>
        </w:tc>
        <w:tc>
          <w:tcPr>
            <w:tcW w:type="dxa" w:w="1814"/>
          </w:tcPr>
          <w:p>
            <w:r>
              <w:t>后续新增内容优先放在这里</w:t>
            </w:r>
          </w:p>
        </w:tc>
      </w:tr>
      <w:tr>
        <w:tc>
          <w:tcPr>
            <w:tcW w:type="dxa" w:w="1814"/>
          </w:tcPr>
          <w:p>
            <w:r>
              <w:t>主开发仓库</w:t>
            </w:r>
          </w:p>
        </w:tc>
        <w:tc>
          <w:tcPr>
            <w:tcW w:type="dxa" w:w="3402"/>
          </w:tcPr>
          <w:p>
            <w:r>
              <w:t>/root/autodl-tmp/GTG-memory</w:t>
            </w:r>
          </w:p>
        </w:tc>
        <w:tc>
          <w:tcPr>
            <w:tcW w:type="dxa" w:w="2835"/>
          </w:tcPr>
          <w:p>
            <w:r>
              <w:t>当前正式开发仓库</w:t>
            </w:r>
          </w:p>
        </w:tc>
        <w:tc>
          <w:tcPr>
            <w:tcW w:type="dxa" w:w="1814"/>
          </w:tcPr>
          <w:p>
            <w:r>
              <w:t>所有改动、提交、脚本、规范文档都在这里完成</w:t>
            </w:r>
          </w:p>
        </w:tc>
      </w:tr>
      <w:tr>
        <w:tc>
          <w:tcPr>
            <w:tcW w:type="dxa" w:w="1814"/>
          </w:tcPr>
          <w:p>
            <w:r>
              <w:t>上游参考仓库</w:t>
            </w:r>
          </w:p>
        </w:tc>
        <w:tc>
          <w:tcPr>
            <w:tcW w:type="dxa" w:w="3402"/>
          </w:tcPr>
          <w:p>
            <w:r>
              <w:t>/root/autodl-tmp/GTG2Vid-upstream</w:t>
            </w:r>
          </w:p>
        </w:tc>
        <w:tc>
          <w:tcPr>
            <w:tcW w:type="dxa" w:w="2835"/>
          </w:tcPr>
          <w:p>
            <w:r>
              <w:t>官方 GTG2Vid 只读参考仓库</w:t>
            </w:r>
          </w:p>
        </w:tc>
        <w:tc>
          <w:tcPr>
            <w:tcW w:type="dxa" w:w="1814"/>
          </w:tcPr>
          <w:p>
            <w:r>
              <w:t>用于对照原始实现，不建议在其中直接开发</w:t>
            </w:r>
          </w:p>
        </w:tc>
      </w:tr>
      <w:tr>
        <w:tc>
          <w:tcPr>
            <w:tcW w:type="dxa" w:w="1814"/>
          </w:tcPr>
          <w:p>
            <w:r>
              <w:t>Conda 环境</w:t>
            </w:r>
          </w:p>
        </w:tc>
        <w:tc>
          <w:tcPr>
            <w:tcW w:type="dxa" w:w="3402"/>
          </w:tcPr>
          <w:p>
            <w:r>
              <w:t>/root/autodl-tmp/envs/GTG</w:t>
            </w:r>
          </w:p>
        </w:tc>
        <w:tc>
          <w:tcPr>
            <w:tcW w:type="dxa" w:w="2835"/>
          </w:tcPr>
          <w:p>
            <w:r>
              <w:t>当前 GPU 开发环境</w:t>
            </w:r>
          </w:p>
        </w:tc>
        <w:tc>
          <w:tcPr>
            <w:tcW w:type="dxa" w:w="1814"/>
          </w:tcPr>
          <w:p>
            <w:r>
              <w:t>通过 env.sh 激活</w:t>
            </w:r>
          </w:p>
        </w:tc>
      </w:tr>
      <w:tr>
        <w:tc>
          <w:tcPr>
            <w:tcW w:type="dxa" w:w="1814"/>
          </w:tcPr>
          <w:p>
            <w:r>
              <w:t>统一缓存根目录</w:t>
            </w:r>
          </w:p>
        </w:tc>
        <w:tc>
          <w:tcPr>
            <w:tcW w:type="dxa" w:w="3402"/>
          </w:tcPr>
          <w:p>
            <w:r>
              <w:t>/root/autodl-tmp/.cache</w:t>
            </w:r>
          </w:p>
        </w:tc>
        <w:tc>
          <w:tcPr>
            <w:tcW w:type="dxa" w:w="2835"/>
          </w:tcPr>
          <w:p>
            <w:r>
              <w:t>pip、Hugging Face 等缓存目录</w:t>
            </w:r>
          </w:p>
        </w:tc>
        <w:tc>
          <w:tcPr>
            <w:tcW w:type="dxa" w:w="1814"/>
          </w:tcPr>
          <w:p>
            <w:r>
              <w:t>避免缓存写入系统盘</w:t>
            </w:r>
          </w:p>
        </w:tc>
      </w:tr>
      <w:tr>
        <w:tc>
          <w:tcPr>
            <w:tcW w:type="dxa" w:w="1814"/>
          </w:tcPr>
          <w:p>
            <w:r>
              <w:t>数据目录</w:t>
            </w:r>
          </w:p>
        </w:tc>
        <w:tc>
          <w:tcPr>
            <w:tcW w:type="dxa" w:w="3402"/>
          </w:tcPr>
          <w:p>
            <w:r>
              <w:t>/root/autodl-tmp/data</w:t>
            </w:r>
          </w:p>
        </w:tc>
        <w:tc>
          <w:tcPr>
            <w:tcW w:type="dxa" w:w="2835"/>
          </w:tcPr>
          <w:p>
            <w:r>
              <w:t>未来存放 processed datasets 或临时输入数据</w:t>
            </w:r>
          </w:p>
        </w:tc>
        <w:tc>
          <w:tcPr>
            <w:tcW w:type="dxa" w:w="1814"/>
          </w:tcPr>
          <w:p>
            <w:r>
              <w:t>数据默认不纳入 Git</w:t>
            </w:r>
          </w:p>
        </w:tc>
      </w:tr>
      <w:tr>
        <w:tc>
          <w:tcPr>
            <w:tcW w:type="dxa" w:w="1814"/>
          </w:tcPr>
          <w:p>
            <w:r>
              <w:t>模型目录</w:t>
            </w:r>
          </w:p>
        </w:tc>
        <w:tc>
          <w:tcPr>
            <w:tcW w:type="dxa" w:w="3402"/>
          </w:tcPr>
          <w:p>
            <w:r>
              <w:t>/root/autodl-tmp/models</w:t>
            </w:r>
          </w:p>
        </w:tc>
        <w:tc>
          <w:tcPr>
            <w:tcW w:type="dxa" w:w="2835"/>
          </w:tcPr>
          <w:p>
            <w:r>
              <w:t>未来存放预训练权重与下载模型</w:t>
            </w:r>
          </w:p>
        </w:tc>
        <w:tc>
          <w:tcPr>
            <w:tcW w:type="dxa" w:w="1814"/>
          </w:tcPr>
          <w:p>
            <w:r>
              <w:t>大文件默认不纳入 Git</w:t>
            </w:r>
          </w:p>
        </w:tc>
      </w:tr>
      <w:tr>
        <w:tc>
          <w:tcPr>
            <w:tcW w:type="dxa" w:w="1814"/>
          </w:tcPr>
          <w:p>
            <w:r>
              <w:t>日志目录</w:t>
            </w:r>
          </w:p>
        </w:tc>
        <w:tc>
          <w:tcPr>
            <w:tcW w:type="dxa" w:w="3402"/>
          </w:tcPr>
          <w:p>
            <w:r>
              <w:t>/root/autodl-tmp/logs</w:t>
            </w:r>
          </w:p>
        </w:tc>
        <w:tc>
          <w:tcPr>
            <w:tcW w:type="dxa" w:w="2835"/>
          </w:tcPr>
          <w:p>
            <w:r>
              <w:t>可放全局运行日志</w:t>
            </w:r>
          </w:p>
        </w:tc>
        <w:tc>
          <w:tcPr>
            <w:tcW w:type="dxa" w:w="1814"/>
          </w:tcPr>
          <w:p>
            <w:r>
              <w:t>项目内部也可单独保留 logs/</w:t>
            </w:r>
          </w:p>
        </w:tc>
      </w:tr>
      <w:tr>
        <w:tc>
          <w:tcPr>
            <w:tcW w:type="dxa" w:w="1814"/>
          </w:tcPr>
          <w:p>
            <w:r>
              <w:t>项目环境脚本</w:t>
            </w:r>
          </w:p>
        </w:tc>
        <w:tc>
          <w:tcPr>
            <w:tcW w:type="dxa" w:w="3402"/>
          </w:tcPr>
          <w:p>
            <w:r>
              <w:t>/root/autodl-tmp/GTG-memory/env.sh</w:t>
            </w:r>
          </w:p>
        </w:tc>
        <w:tc>
          <w:tcPr>
            <w:tcW w:type="dxa" w:w="2835"/>
          </w:tcPr>
          <w:p>
            <w:r>
              <w:t>一键激活环境并设置路径变量</w:t>
            </w:r>
          </w:p>
        </w:tc>
        <w:tc>
          <w:tcPr>
            <w:tcW w:type="dxa" w:w="1814"/>
          </w:tcPr>
          <w:p>
            <w:r>
              <w:t>建议后续所有终端会话都先 source 该文件</w:t>
            </w:r>
          </w:p>
        </w:tc>
      </w:tr>
      <w:tr>
        <w:tc>
          <w:tcPr>
            <w:tcW w:type="dxa" w:w="1814"/>
          </w:tcPr>
          <w:p>
            <w:r>
              <w:t>文档资料目录</w:t>
            </w:r>
          </w:p>
        </w:tc>
        <w:tc>
          <w:tcPr>
            <w:tcW w:type="dxa" w:w="3402"/>
          </w:tcPr>
          <w:p>
            <w:r>
              <w:t>/root/autodl-tmp/GTG-memory/references/docs</w:t>
            </w:r>
          </w:p>
        </w:tc>
        <w:tc>
          <w:tcPr>
            <w:tcW w:type="dxa" w:w="2835"/>
          </w:tcPr>
          <w:p>
            <w:r>
              <w:t>论文、README、PPT、设计方案等参考资料</w:t>
            </w:r>
          </w:p>
        </w:tc>
        <w:tc>
          <w:tcPr>
            <w:tcW w:type="dxa" w:w="1814"/>
          </w:tcPr>
          <w:p>
            <w:r>
              <w:t>建议统一命名</w:t>
            </w:r>
          </w:p>
        </w:tc>
      </w:tr>
      <w:tr>
        <w:tc>
          <w:tcPr>
            <w:tcW w:type="dxa" w:w="1814"/>
          </w:tcPr>
          <w:p>
            <w:r>
              <w:t>环境快照目录</w:t>
            </w:r>
          </w:p>
        </w:tc>
        <w:tc>
          <w:tcPr>
            <w:tcW w:type="dxa" w:w="3402"/>
          </w:tcPr>
          <w:p>
            <w:r>
              <w:t>/root/autodl-tmp/GTG-memory/references/environment_snapshot</w:t>
            </w:r>
          </w:p>
        </w:tc>
        <w:tc>
          <w:tcPr>
            <w:tcW w:type="dxa" w:w="2835"/>
          </w:tcPr>
          <w:p>
            <w:r>
              <w:t>冻结当前环境的导出文件</w:t>
            </w:r>
          </w:p>
        </w:tc>
        <w:tc>
          <w:tcPr>
            <w:tcW w:type="dxa" w:w="1814"/>
          </w:tcPr>
          <w:p>
            <w:r>
              <w:t>用于复现与排错</w:t>
            </w:r>
          </w:p>
        </w:tc>
      </w:tr>
    </w:tbl>
    <w:p/>
    <w:p>
      <w:pPr>
        <w:pStyle w:val="Heading1"/>
      </w:pPr>
      <w:r>
        <w:t>2. 推荐目录树（当前约定）</w:t>
      </w:r>
    </w:p>
    <w:p>
      <w:pPr>
        <w:pStyle w:val="CodeBlock"/>
      </w:pPr>
      <w:r>
        <w:t>/root/autodl-tmp</w:t>
        <w:br/>
        <w:t>├── GTG-memory/                      # 主开发仓库</w:t>
        <w:br/>
        <w:t>│   ├── configs/                     # 配置文件</w:t>
        <w:br/>
        <w:t>│   ├── datasets/                    # 数据读取与任务图相关代码</w:t>
        <w:br/>
        <w:t>│   ├── dp/                          # GTG2Vid 动态规划相关代码</w:t>
        <w:br/>
        <w:t>│   ├── models/                      # 当前上游 backbone 代码</w:t>
        <w:br/>
        <w:t>│   ├── utils/                       # 工具函数</w:t>
        <w:br/>
        <w:t>│   ├── references/</w:t>
        <w:br/>
        <w:t>│   │   ├── docs/                    # 论文、README、PPT、方案文档</w:t>
        <w:br/>
        <w:t>│   │   └── environment_snapshot/    # requirements.freeze.txt 等</w:t>
        <w:br/>
        <w:t>│   ├── env.sh                       # 项目环境激活脚本</w:t>
        <w:br/>
        <w:t>│   ├── main.py</w:t>
        <w:br/>
        <w:t>│   ├── runner.py</w:t>
        <w:br/>
        <w:t>│   └── ...</w:t>
        <w:br/>
        <w:t>├── GTG2Vid-upstream/                # 官方上游参考仓库（只读）</w:t>
        <w:br/>
        <w:t>├── envs/</w:t>
        <w:br/>
        <w:t>│   └── GTG/                         # 当前 conda 环境</w:t>
        <w:br/>
        <w:t>├── .cache/</w:t>
        <w:br/>
        <w:t>│   ├── pip/</w:t>
        <w:br/>
        <w:t>│   └── huggingface/</w:t>
        <w:br/>
        <w:t>├── data/                            # 未来数据目录</w:t>
        <w:br/>
        <w:t>├── models/                          # 未来权重目录</w:t>
        <w:br/>
        <w:t>└── logs/                            # 全局日志目录</w:t>
      </w:r>
    </w:p>
    <w:p>
      <w:pPr>
        <w:spacing w:after="120"/>
      </w:pPr>
      <w:r>
        <w:t>说明：主开发仓库与上游参考仓库必须分开。这样做可以同时满足“只在 GTG-memory 中正式开发”和“随时对照官方实现”这两个目标，避免 git 仓库套仓库带来的管理混乱。</w:t>
      </w:r>
    </w:p>
    <w:p>
      <w:pPr>
        <w:pStyle w:val="Heading1"/>
      </w:pPr>
      <w:r>
        <w:t>3. 仓库层级与代码管理规范</w:t>
      </w:r>
    </w:p>
    <w:p>
      <w:r>
        <w:rPr>
          <w:b/>
        </w:rPr>
        <w:t xml:space="preserve">3.1 GTG-memory 的角色  </w:t>
      </w:r>
      <w:r>
        <w:t>GTG-memory 是正式开发仓库。后续所有记忆增强 backbone、第二次 GTG2Vid 后处理、ERM 多节点软加权改造、规范文档、实验脚本和提交历史都应当在该仓库中完成。</w:t>
      </w:r>
    </w:p>
    <w:p>
      <w:r>
        <w:rPr>
          <w:b/>
        </w:rPr>
        <w:t xml:space="preserve">3.2 GTG2Vid-upstream 的角色  </w:t>
      </w:r>
      <w:r>
        <w:t>GTG2Vid-upstream 仅作为官方参考实现保留。它的主要价值是：对照原始逻辑、检查原论文接口、定位最小改动点、排查是否偏离原方法。原则上不在该仓库中直接开发。</w:t>
      </w:r>
    </w:p>
    <w:p>
      <w:r>
        <w:rPr>
          <w:b/>
        </w:rPr>
        <w:t xml:space="preserve">3.3 上游代码导入方式  </w:t>
      </w:r>
      <w:r>
        <w:t>如果需要把官方代码内容同步进 GTG-memory，应采用“复制代码内容但排除 .git”的方式，例如使用 rsync --exclude='.git'。不要把完整上游仓库目录直接嵌套到主开发仓库里。</w:t>
      </w:r>
    </w:p>
    <w:p>
      <w:r>
        <w:rPr>
          <w:b/>
        </w:rPr>
        <w:t xml:space="preserve">3.4 大文件管理原则  </w:t>
      </w:r>
      <w:r>
        <w:t>数据、权重、checkpoints、runs、输出结果、npy/npz/pth/safetensors 等大文件默认不进入 Git 历史。若未来必须共享大文件，再单独评估 Git LFS 或外部存储方案。</w:t>
      </w:r>
    </w:p>
    <w:p>
      <w:pPr>
        <w:pStyle w:val="Heading1"/>
      </w:pPr>
      <w:r>
        <w:t>4. 环境位置、激活方式与环境冻结文件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t>项目</w:t>
            </w:r>
          </w:p>
        </w:tc>
        <w:tc>
          <w:tcPr>
            <w:tcW w:type="dxa" w:w="48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t>路径/命令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t>说明</w:t>
            </w:r>
          </w:p>
        </w:tc>
      </w:tr>
      <w:tr>
        <w:tc>
          <w:tcPr>
            <w:tcW w:type="dxa" w:w="1928"/>
          </w:tcPr>
          <w:p>
            <w:r>
              <w:t>conda 环境实际位置</w:t>
            </w:r>
          </w:p>
        </w:tc>
        <w:tc>
          <w:tcPr>
            <w:tcW w:type="dxa" w:w="4876"/>
          </w:tcPr>
          <w:p>
            <w:r>
              <w:t>/root/autodl-tmp/envs/GTG</w:t>
            </w:r>
          </w:p>
        </w:tc>
        <w:tc>
          <w:tcPr>
            <w:tcW w:type="dxa" w:w="3402"/>
          </w:tcPr>
          <w:p>
            <w:r>
              <w:t>当前 Python 3.10 + PyTorch + CUDA 开发环境</w:t>
            </w:r>
          </w:p>
        </w:tc>
      </w:tr>
      <w:tr>
        <w:tc>
          <w:tcPr>
            <w:tcW w:type="dxa" w:w="1928"/>
          </w:tcPr>
          <w:p>
            <w:r>
              <w:t>标准激活方式</w:t>
            </w:r>
          </w:p>
        </w:tc>
        <w:tc>
          <w:tcPr>
            <w:tcW w:type="dxa" w:w="4876"/>
          </w:tcPr>
          <w:p>
            <w:r>
              <w:t>source /root/autodl-tmp/GTG-memory/env.sh</w:t>
            </w:r>
          </w:p>
        </w:tc>
        <w:tc>
          <w:tcPr>
            <w:tcW w:type="dxa" w:w="3402"/>
          </w:tcPr>
          <w:p>
            <w:r>
              <w:t>建议统一使用，不要每次手动重新设置变量</w:t>
            </w:r>
          </w:p>
        </w:tc>
      </w:tr>
      <w:tr>
        <w:tc>
          <w:tcPr>
            <w:tcW w:type="dxa" w:w="1928"/>
          </w:tcPr>
          <w:p>
            <w:r>
              <w:t>直接激活方式</w:t>
            </w:r>
          </w:p>
        </w:tc>
        <w:tc>
          <w:tcPr>
            <w:tcW w:type="dxa" w:w="4876"/>
          </w:tcPr>
          <w:p>
            <w:r>
              <w:t>conda activate /root/autodl-tmp/envs/GTG</w:t>
            </w:r>
          </w:p>
        </w:tc>
        <w:tc>
          <w:tcPr>
            <w:tcW w:type="dxa" w:w="3402"/>
          </w:tcPr>
          <w:p>
            <w:r>
              <w:t>适合临时使用</w:t>
            </w:r>
          </w:p>
        </w:tc>
      </w:tr>
      <w:tr>
        <w:tc>
          <w:tcPr>
            <w:tcW w:type="dxa" w:w="1928"/>
          </w:tcPr>
          <w:p>
            <w:r>
              <w:t>环境冻结文件 1</w:t>
            </w:r>
          </w:p>
        </w:tc>
        <w:tc>
          <w:tcPr>
            <w:tcW w:type="dxa" w:w="4876"/>
          </w:tcPr>
          <w:p>
            <w:r>
              <w:t>/root/autodl-tmp/GTG-memory/references/environment_snapshot/requirements.freeze.txt</w:t>
            </w:r>
          </w:p>
        </w:tc>
        <w:tc>
          <w:tcPr>
            <w:tcW w:type="dxa" w:w="3402"/>
          </w:tcPr>
          <w:p>
            <w:r>
              <w:t>pip 精确冻结结果</w:t>
            </w:r>
          </w:p>
        </w:tc>
      </w:tr>
      <w:tr>
        <w:tc>
          <w:tcPr>
            <w:tcW w:type="dxa" w:w="1928"/>
          </w:tcPr>
          <w:p>
            <w:r>
              <w:t>环境冻结文件 2</w:t>
            </w:r>
          </w:p>
        </w:tc>
        <w:tc>
          <w:tcPr>
            <w:tcW w:type="dxa" w:w="4876"/>
          </w:tcPr>
          <w:p>
            <w:r>
              <w:t>/root/autodl-tmp/GTG-memory/references/environment_snapshot/conda-spec.txt</w:t>
            </w:r>
          </w:p>
        </w:tc>
        <w:tc>
          <w:tcPr>
            <w:tcW w:type="dxa" w:w="3402"/>
          </w:tcPr>
          <w:p>
            <w:r>
              <w:t>conda 显式包快照</w:t>
            </w:r>
          </w:p>
        </w:tc>
      </w:tr>
      <w:tr>
        <w:tc>
          <w:tcPr>
            <w:tcW w:type="dxa" w:w="1928"/>
          </w:tcPr>
          <w:p>
            <w:r>
              <w:t>环境冻结文件 3</w:t>
            </w:r>
          </w:p>
        </w:tc>
        <w:tc>
          <w:tcPr>
            <w:tcW w:type="dxa" w:w="4876"/>
          </w:tcPr>
          <w:p>
            <w:r>
              <w:t>/root/autodl-tmp/GTG-memory/references/environment_snapshot/environment.export.yml</w:t>
            </w:r>
          </w:p>
        </w:tc>
        <w:tc>
          <w:tcPr>
            <w:tcW w:type="dxa" w:w="3402"/>
          </w:tcPr>
          <w:p>
            <w:r>
              <w:t>可读性更好的 conda 导出文件</w:t>
            </w:r>
          </w:p>
        </w:tc>
      </w:tr>
    </w:tbl>
    <w:p/>
    <w:p>
      <w:r>
        <w:rPr>
          <w:b/>
        </w:rPr>
        <w:t>固定要求：</w:t>
      </w:r>
      <w:r>
        <w:t xml:space="preserve"> 每当环境发生重大变化（例如 PyTorch 版本变更、关键依赖新增、Python 版本调整）后，都应重新导出上述三份环境冻结文件，并提交到主仓库。</w:t>
      </w:r>
    </w:p>
    <w:p>
      <w:pPr>
        <w:pStyle w:val="Heading1"/>
      </w:pPr>
      <w:r>
        <w:t>5. 缓存、数据与模型目录规范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t>目录</w:t>
            </w:r>
          </w:p>
        </w:tc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t>当前路径</w:t>
            </w:r>
          </w:p>
        </w:tc>
        <w:tc>
          <w:tcPr>
            <w:tcW w:type="dxa" w:w="32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t>存放内容</w:t>
            </w:r>
          </w:p>
        </w:tc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t>是否建议纳入 Git</w:t>
            </w:r>
          </w:p>
        </w:tc>
      </w:tr>
      <w:tr>
        <w:tc>
          <w:tcPr>
            <w:tcW w:type="dxa" w:w="1757"/>
          </w:tcPr>
          <w:p>
            <w:r>
              <w:t>pip 缓存</w:t>
            </w:r>
          </w:p>
        </w:tc>
        <w:tc>
          <w:tcPr>
            <w:tcW w:type="dxa" w:w="3402"/>
          </w:tcPr>
          <w:p>
            <w:r>
              <w:t>/root/autodl-tmp/.cache/pip</w:t>
            </w:r>
          </w:p>
        </w:tc>
        <w:tc>
          <w:tcPr>
            <w:tcW w:type="dxa" w:w="3231"/>
          </w:tcPr>
          <w:p>
            <w:r>
              <w:t>pip 下载与构建缓存</w:t>
            </w:r>
          </w:p>
        </w:tc>
        <w:tc>
          <w:tcPr>
            <w:tcW w:type="dxa" w:w="1247"/>
          </w:tcPr>
          <w:p>
            <w:r>
              <w:t>否</w:t>
            </w:r>
          </w:p>
        </w:tc>
      </w:tr>
      <w:tr>
        <w:tc>
          <w:tcPr>
            <w:tcW w:type="dxa" w:w="1757"/>
          </w:tcPr>
          <w:p>
            <w:r>
              <w:t>HF 缓存</w:t>
            </w:r>
          </w:p>
        </w:tc>
        <w:tc>
          <w:tcPr>
            <w:tcW w:type="dxa" w:w="3402"/>
          </w:tcPr>
          <w:p>
            <w:r>
              <w:t>/root/autodl-tmp/.cache/huggingface</w:t>
            </w:r>
          </w:p>
        </w:tc>
        <w:tc>
          <w:tcPr>
            <w:tcW w:type="dxa" w:w="3231"/>
          </w:tcPr>
          <w:p>
            <w:r>
              <w:t>transformers / hub 缓存</w:t>
            </w:r>
          </w:p>
        </w:tc>
        <w:tc>
          <w:tcPr>
            <w:tcW w:type="dxa" w:w="1247"/>
          </w:tcPr>
          <w:p>
            <w:r>
              <w:t>否</w:t>
            </w:r>
          </w:p>
        </w:tc>
      </w:tr>
      <w:tr>
        <w:tc>
          <w:tcPr>
            <w:tcW w:type="dxa" w:w="1757"/>
          </w:tcPr>
          <w:p>
            <w:r>
              <w:t>数据目录</w:t>
            </w:r>
          </w:p>
        </w:tc>
        <w:tc>
          <w:tcPr>
            <w:tcW w:type="dxa" w:w="3402"/>
          </w:tcPr>
          <w:p>
            <w:r>
              <w:t>/root/autodl-tmp/data</w:t>
            </w:r>
          </w:p>
        </w:tc>
        <w:tc>
          <w:tcPr>
            <w:tcW w:type="dxa" w:w="3231"/>
          </w:tcPr>
          <w:p>
            <w:r>
              <w:t>processed datasets、临时样例数据、测试输入</w:t>
            </w:r>
          </w:p>
        </w:tc>
        <w:tc>
          <w:tcPr>
            <w:tcW w:type="dxa" w:w="1247"/>
          </w:tcPr>
          <w:p>
            <w:r>
              <w:t>否</w:t>
            </w:r>
          </w:p>
        </w:tc>
      </w:tr>
      <w:tr>
        <w:tc>
          <w:tcPr>
            <w:tcW w:type="dxa" w:w="1757"/>
          </w:tcPr>
          <w:p>
            <w:r>
              <w:t>模型目录</w:t>
            </w:r>
          </w:p>
        </w:tc>
        <w:tc>
          <w:tcPr>
            <w:tcW w:type="dxa" w:w="3402"/>
          </w:tcPr>
          <w:p>
            <w:r>
              <w:t>/root/autodl-tmp/models</w:t>
            </w:r>
          </w:p>
        </w:tc>
        <w:tc>
          <w:tcPr>
            <w:tcW w:type="dxa" w:w="3231"/>
          </w:tcPr>
          <w:p>
            <w:r>
              <w:t>预训练权重、下载模型</w:t>
            </w:r>
          </w:p>
        </w:tc>
        <w:tc>
          <w:tcPr>
            <w:tcW w:type="dxa" w:w="1247"/>
          </w:tcPr>
          <w:p>
            <w:r>
              <w:t>否</w:t>
            </w:r>
          </w:p>
        </w:tc>
      </w:tr>
      <w:tr>
        <w:tc>
          <w:tcPr>
            <w:tcW w:type="dxa" w:w="1757"/>
          </w:tcPr>
          <w:p>
            <w:r>
              <w:t>项目 logs/</w:t>
            </w:r>
          </w:p>
        </w:tc>
        <w:tc>
          <w:tcPr>
            <w:tcW w:type="dxa" w:w="3402"/>
          </w:tcPr>
          <w:p>
            <w:r>
              <w:t>/root/autodl-tmp/GTG-memory/logs</w:t>
            </w:r>
          </w:p>
        </w:tc>
        <w:tc>
          <w:tcPr>
            <w:tcW w:type="dxa" w:w="3231"/>
          </w:tcPr>
          <w:p>
            <w:r>
              <w:t>项目内部日志</w:t>
            </w:r>
          </w:p>
        </w:tc>
        <w:tc>
          <w:tcPr>
            <w:tcW w:type="dxa" w:w="1247"/>
          </w:tcPr>
          <w:p>
            <w:r>
              <w:t>通常否</w:t>
            </w:r>
          </w:p>
        </w:tc>
      </w:tr>
      <w:tr>
        <w:tc>
          <w:tcPr>
            <w:tcW w:type="dxa" w:w="1757"/>
          </w:tcPr>
          <w:p>
            <w:r>
              <w:t>项目 runs/</w:t>
            </w:r>
          </w:p>
        </w:tc>
        <w:tc>
          <w:tcPr>
            <w:tcW w:type="dxa" w:w="3402"/>
          </w:tcPr>
          <w:p>
            <w:r>
              <w:t>/root/autodl-tmp/GTG-memory/runs</w:t>
            </w:r>
          </w:p>
        </w:tc>
        <w:tc>
          <w:tcPr>
            <w:tcW w:type="dxa" w:w="3231"/>
          </w:tcPr>
          <w:p>
            <w:r>
              <w:t>训练与评测输出</w:t>
            </w:r>
          </w:p>
        </w:tc>
        <w:tc>
          <w:tcPr>
            <w:tcW w:type="dxa" w:w="1247"/>
          </w:tcPr>
          <w:p>
            <w:r>
              <w:t>通常否</w:t>
            </w:r>
          </w:p>
        </w:tc>
      </w:tr>
    </w:tbl>
    <w:p>
      <w:pPr>
        <w:pStyle w:val="Heading1"/>
      </w:pPr>
      <w:r>
        <w:t>6. 参考资料目录规范</w:t>
      </w:r>
    </w:p>
    <w:p>
      <w:r>
        <w:t>建议把所有项目相关论文、README 副本、汇报 PPT、设计方案文档统一放在 references/docs/ 中，避免散落在仓库根目录或服务器其他位置。当前建议在 references/docs/ 下进一步区分 active/ 与 archive/ 两类子目录：active/ 用于放当前生效的规范与设计定稿，archive/ 用于放已被替换但仍需保留的历史版本文档。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t>建议文件类型</w:t>
            </w:r>
          </w:p>
        </w:tc>
        <w:tc>
          <w:tcPr>
            <w:tcW w:type="dxa" w:w="31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t>建议示例文件名</w:t>
            </w:r>
          </w:p>
        </w:tc>
        <w:tc>
          <w:tcPr>
            <w:tcW w:type="dxa" w:w="31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t>说明</w:t>
            </w:r>
          </w:p>
        </w:tc>
      </w:tr>
      <w:tr>
        <w:tc>
          <w:tcPr>
            <w:tcW w:type="dxa" w:w="3173"/>
          </w:tcPr>
          <w:p>
            <w:r>
              <w:t>论文 PDF</w:t>
            </w:r>
          </w:p>
        </w:tc>
        <w:tc>
          <w:tcPr>
            <w:tcW w:type="dxa" w:w="3173"/>
          </w:tcPr>
          <w:p>
            <w:r>
              <w:t>paper_gtg2vid_iccv2025.pdf</w:t>
            </w:r>
          </w:p>
        </w:tc>
        <w:tc>
          <w:tcPr>
            <w:tcW w:type="dxa" w:w="3173"/>
          </w:tcPr>
          <w:p>
            <w:r>
              <w:t>统一使用简洁英文名，便于脚本和检索</w:t>
            </w:r>
          </w:p>
        </w:tc>
      </w:tr>
      <w:tr>
        <w:tc>
          <w:tcPr>
            <w:tcW w:type="dxa" w:w="3173"/>
          </w:tcPr>
          <w:p>
            <w:r>
              <w:t>README 副本</w:t>
            </w:r>
          </w:p>
        </w:tc>
        <w:tc>
          <w:tcPr>
            <w:tcW w:type="dxa" w:w="3173"/>
          </w:tcPr>
          <w:p>
            <w:r>
              <w:t>readme_gtg2vid.md</w:t>
            </w:r>
          </w:p>
        </w:tc>
        <w:tc>
          <w:tcPr>
            <w:tcW w:type="dxa" w:w="3173"/>
          </w:tcPr>
          <w:p>
            <w:r>
              <w:t>保留关键说明，防止后续仓库变化</w:t>
            </w:r>
          </w:p>
        </w:tc>
      </w:tr>
      <w:tr>
        <w:tc>
          <w:tcPr>
            <w:tcW w:type="dxa" w:w="3173"/>
          </w:tcPr>
          <w:p>
            <w:r>
              <w:t>设计方案</w:t>
            </w:r>
          </w:p>
        </w:tc>
        <w:tc>
          <w:tcPr>
            <w:tcW w:type="dxa" w:w="3173"/>
          </w:tcPr>
          <w:p>
            <w:r>
              <w:t>GTG_memory_视觉记忆模块详细设计定稿_v2.docx</w:t>
            </w:r>
          </w:p>
        </w:tc>
        <w:tc>
          <w:tcPr>
            <w:tcW w:type="dxa" w:w="3173"/>
          </w:tcPr>
          <w:p>
            <w:r>
              <w:t>当前视觉记忆模块的唯一正式设计依据；旧版文档建议转入 archive/</w:t>
            </w:r>
          </w:p>
        </w:tc>
      </w:tr>
      <w:tr>
        <w:tc>
          <w:tcPr>
            <w:tcW w:type="dxa" w:w="3173"/>
          </w:tcPr>
          <w:p>
            <w:r>
              <w:t>汇报 PPT</w:t>
            </w:r>
          </w:p>
        </w:tc>
        <w:tc>
          <w:tcPr>
            <w:tcW w:type="dxa" w:w="3173"/>
          </w:tcPr>
          <w:p>
            <w:r>
              <w:t>slides_2026_02_08.pptx / slides_2026_03_23.pptx</w:t>
            </w:r>
          </w:p>
        </w:tc>
        <w:tc>
          <w:tcPr>
            <w:tcW w:type="dxa" w:w="3173"/>
          </w:tcPr>
          <w:p>
            <w:r>
              <w:t>按日期命名更清楚</w:t>
            </w:r>
          </w:p>
        </w:tc>
      </w:tr>
    </w:tbl>
    <w:p>
      <w:pPr>
        <w:pStyle w:val="Heading1"/>
      </w:pPr>
      <w:r>
        <w:t>7. 后续新增目录与文档分工建议</w:t>
      </w:r>
    </w:p>
    <w:p>
      <w:r>
        <w:t>本规范文档负责服务器路径、环境位置、缓存/数据/模型放置规则与仓库层级管理；它不再写死算法代码的最终骨架。视觉记忆模块及其后续实现的具体代码目录，应以当前生效的《GTG-memory｜视觉记忆模块详细设计定稿_v2》及后续代码骨架文档为准。下面给出的仅是当前建议保留或新增的稳定目录，以及文档分工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t>目录/规则</w:t>
            </w:r>
          </w:p>
        </w:tc>
        <w:tc>
          <w:tcPr>
            <w:tcW w:type="dxa" w:w="31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t>用途</w:t>
            </w:r>
          </w:p>
        </w:tc>
        <w:tc>
          <w:tcPr>
            <w:tcW w:type="dxa" w:w="31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t>当前说明</w:t>
            </w:r>
          </w:p>
        </w:tc>
      </w:tr>
      <w:tr>
        <w:tc>
          <w:tcPr>
            <w:tcW w:type="dxa" w:w="3173"/>
          </w:tcPr>
          <w:p>
            <w:r>
              <w:t>scripts/</w:t>
            </w:r>
          </w:p>
        </w:tc>
        <w:tc>
          <w:tcPr>
            <w:tcW w:type="dxa" w:w="3173"/>
          </w:tcPr>
          <w:p>
            <w:r>
              <w:t>运行脚本</w:t>
            </w:r>
          </w:p>
        </w:tc>
        <w:tc>
          <w:tcPr>
            <w:tcW w:type="dxa" w:w="3173"/>
          </w:tcPr>
          <w:p>
            <w:r>
              <w:t>建议保留；用于环境检查、smoke test、导出脚本与简单联调脚本</w:t>
            </w:r>
          </w:p>
        </w:tc>
      </w:tr>
      <w:tr>
        <w:tc>
          <w:tcPr>
            <w:tcW w:type="dxa" w:w="3173"/>
          </w:tcPr>
          <w:p>
            <w:r>
              <w:t>notes/</w:t>
            </w:r>
          </w:p>
        </w:tc>
        <w:tc>
          <w:tcPr>
            <w:tcW w:type="dxa" w:w="3173"/>
          </w:tcPr>
          <w:p>
            <w:r>
              <w:t>实现记录</w:t>
            </w:r>
          </w:p>
        </w:tc>
        <w:tc>
          <w:tcPr>
            <w:tcW w:type="dxa" w:w="3173"/>
          </w:tcPr>
          <w:p>
            <w:r>
              <w:t>建议新增；用于放调试记录、设计变更、问题清单与阶段总结</w:t>
            </w:r>
          </w:p>
        </w:tc>
      </w:tr>
      <w:tr>
        <w:tc>
          <w:tcPr>
            <w:tcW w:type="dxa" w:w="3173"/>
          </w:tcPr>
          <w:p>
            <w:r>
              <w:t>references/docs/active/</w:t>
            </w:r>
          </w:p>
        </w:tc>
        <w:tc>
          <w:tcPr>
            <w:tcW w:type="dxa" w:w="3173"/>
          </w:tcPr>
          <w:p>
            <w:r>
              <w:t>当前生效文档</w:t>
            </w:r>
          </w:p>
        </w:tc>
        <w:tc>
          <w:tcPr>
            <w:tcW w:type="dxa" w:w="3173"/>
          </w:tcPr>
          <w:p>
            <w:r>
              <w:t>建议新增或至少逻辑区分；放当前有效的目录规范、路线说明和详细设计定稿</w:t>
            </w:r>
          </w:p>
        </w:tc>
      </w:tr>
      <w:tr>
        <w:tc>
          <w:tcPr>
            <w:tcW w:type="dxa" w:w="3173"/>
          </w:tcPr>
          <w:p>
            <w:r>
              <w:t>references/docs/archive/</w:t>
            </w:r>
          </w:p>
        </w:tc>
        <w:tc>
          <w:tcPr>
            <w:tcW w:type="dxa" w:w="3173"/>
          </w:tcPr>
          <w:p>
            <w:r>
              <w:t>历史文档归档</w:t>
            </w:r>
          </w:p>
        </w:tc>
        <w:tc>
          <w:tcPr>
            <w:tcW w:type="dxa" w:w="3173"/>
          </w:tcPr>
          <w:p>
            <w:r>
              <w:t>建议新增；放旧版路线图、旧版设计文档和已被替换但仍需保留的版本</w:t>
            </w:r>
          </w:p>
        </w:tc>
      </w:tr>
      <w:tr>
        <w:tc>
          <w:tcPr>
            <w:tcW w:type="dxa" w:w="3173"/>
          </w:tcPr>
          <w:p>
            <w:r>
              <w:t>算法代码目录（如 memory/、models/、pipeline/、erm/）</w:t>
            </w:r>
          </w:p>
        </w:tc>
        <w:tc>
          <w:tcPr>
            <w:tcW w:type="dxa" w:w="3173"/>
          </w:tcPr>
          <w:p>
            <w:r>
              <w:t>实现位置</w:t>
            </w:r>
          </w:p>
        </w:tc>
        <w:tc>
          <w:tcPr>
            <w:tcW w:type="dxa" w:w="3173"/>
          </w:tcPr>
          <w:p>
            <w:r>
              <w:t>不在本规范中写死最终路径；以后续详细设计定稿和代码骨架文档为准</w:t>
            </w:r>
          </w:p>
        </w:tc>
      </w:tr>
    </w:tbl>
    <w:p>
      <w:pPr>
        <w:pStyle w:val="Heading1"/>
      </w:pPr>
      <w:r>
        <w:t>8. 每日使用建议流程</w:t>
      </w:r>
    </w:p>
    <w:p>
      <w:pPr>
        <w:pStyle w:val="ListNumber"/>
      </w:pPr>
      <w:r>
        <w:t>进入服务器后，优先执行：source /root/autodl-tmp/GTG-memory/env.sh。</w:t>
      </w:r>
    </w:p>
    <w:p>
      <w:pPr>
        <w:pStyle w:val="ListNumber"/>
      </w:pPr>
      <w:r>
        <w:t>所有开发、修改、提交默认在 /root/autodl-tmp/GTG-memory 中完成。</w:t>
      </w:r>
    </w:p>
    <w:p>
      <w:pPr>
        <w:pStyle w:val="ListNumber"/>
      </w:pPr>
      <w:r>
        <w:t>需要对照原始实现时，只在 /root/autodl-tmp/GTG2Vid-upstream 中查看，不直接在其中开发。</w:t>
      </w:r>
    </w:p>
    <w:p>
      <w:pPr>
        <w:pStyle w:val="ListNumber"/>
      </w:pPr>
      <w:r>
        <w:t>每次新增重要依赖后，及时更新 references/environment_snapshot/ 下的三份环境快照。</w:t>
      </w:r>
    </w:p>
    <w:p>
      <w:pPr>
        <w:pStyle w:val="ListNumber"/>
      </w:pPr>
      <w:r>
        <w:t>每次引入新数据、权重或实验输出前，先确认其目标目录是否为 /root/autodl-tmp/data、/root/autodl-tmp/models、logs/ 或 runs/，避免误写到系统盘。</w:t>
      </w:r>
    </w:p>
    <w:p>
      <w:pPr>
        <w:pStyle w:val="ListNumber"/>
      </w:pPr>
      <w:r>
        <w:t>每次准备提交前，先执行 git status，并确认没有误加入数据、权重、缓存或中间输出。</w:t>
      </w:r>
    </w:p>
    <w:p>
      <w:pPr>
        <w:pStyle w:val="Heading1"/>
      </w:pPr>
      <w:r>
        <w:t>9. 当前结论</w:t>
      </w:r>
    </w:p>
    <w:p>
      <w:r>
        <w:t>截至本规范文档更新时，GTG-memory 项目已经完成服务器环境引导、PyTorch/CUDA 基线验证、主仓库建立、上游代码导入、环境冻结文件保存与基本 Git 同步。当前这份文档继续作为“服务器目录结构与环境规范”的正式依据；而视觉记忆模块的算法、接口、训练与日志设计，则以后续《GTG-memory｜视觉记忆模块详细设计定稿_v2》为唯一正式设计依据。已被替换的旧版设计或路线文档建议转入 references/docs/archive/ 管理。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before="60" w:after="60"/>
      <w:ind w:left="283"/>
    </w:pPr>
    <w:rPr>
      <w:rFonts w:ascii="Courier New" w:hAnsi="Courier New" w:eastAsia="Courier New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