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Noto Sans CJK SC"/>
          <w:b/>
          <w:color w:val="2D5D7B"/>
          <w:sz w:val="32"/>
        </w:rPr>
        <w:t>GTG-memory</w:t>
      </w:r>
    </w:p>
    <w:p>
      <w:pPr>
        <w:spacing w:after="120"/>
        <w:jc w:val="center"/>
      </w:pPr>
      <w:r>
        <w:rPr>
          <w:rFonts w:ascii="Times New Roman" w:hAnsi="Times New Roman" w:eastAsia="Noto Serif CJK SC"/>
          <w:b/>
          <w:color w:val="17324D"/>
          <w:sz w:val="44"/>
        </w:rPr>
        <w:t>语义记忆模块详细设计定稿</w:t>
      </w:r>
    </w:p>
    <w:p>
      <w:pPr>
        <w:jc w:val="center"/>
      </w:pPr>
      <w:r>
        <w:rPr>
          <w:rFonts w:ascii="Arial" w:hAnsi="Arial" w:eastAsia="Noto Sans CJK SC"/>
          <w:color w:val="335C67"/>
          <w:sz w:val="23"/>
        </w:rPr>
        <w:t>适用范围：第一次 GTG2Vid 之前的语义记忆增强打分器（第一版正式定稿）</w:t>
      </w:r>
    </w:p>
    <w:p>
      <w:pPr>
        <w:jc w:val="center"/>
      </w:pPr>
      <w:r>
        <w:rPr>
          <w:rFonts w:ascii="Arial" w:hAnsi="Arial" w:eastAsia="Noto Sans CJK SC"/>
          <w:color w:val="335C67"/>
          <w:sz w:val="23"/>
        </w:rPr>
        <w:t>定位：用于后续目录骨架、代码骨架、实现与测试推进的唯一正式设计依据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4788"/>
        <w:gridCol w:w="4788"/>
      </w:tblGrid>
      <w:tr>
        <w:trPr>
          <w:tblHeader w:val="true"/>
          <w:tblHeader w:val="true"/>
          <w:cantSplit w:val="1"/>
        </w:trP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文档状态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建议定稿版（已按当前讨论结果统一收口）</w:t>
            </w:r>
          </w:p>
        </w:tc>
      </w:tr>
      <w:tr>
        <w:trPr>
          <w:cantSplit w:val="1"/>
        </w:trP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上游依赖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视觉记忆模块详细设计定稿；GTG/GTG2Vid 原论文流程；3.23 汇报中的总体思路</w:t>
            </w:r>
          </w:p>
        </w:tc>
      </w:tr>
      <w:tr>
        <w:trPr>
          <w:cantSplit w:val="1"/>
        </w:trP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系统边界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不改两次 GTG2Vid 本体，不重写 ERM 主推理链，只重写新的 action logits / C_{i,t} 生成器</w:t>
            </w:r>
          </w:p>
        </w:tc>
      </w:tr>
      <w:tr>
        <w:trPr>
          <w:cantSplit w:val="1"/>
        </w:trP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当前阶段角色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视觉记忆主线之上的并行、受控语义增强分支</w:t>
            </w:r>
          </w:p>
        </w:tc>
      </w:tr>
      <w:tr>
        <w:trPr>
          <w:cantSplit w:val="1"/>
        </w:trP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文档日期</w:t>
            </w:r>
          </w:p>
        </w:tc>
        <w:tc>
          <w:tcPr>
            <w:tcW w:type="dxa" w:w="55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2026-04-03</w:t>
            </w:r>
          </w:p>
        </w:tc>
      </w:tr>
    </w:tbl>
    <w:p/>
    <w:p>
      <w:pPr>
        <w:pStyle w:val="BodyText2"/>
        <w:jc w:val="center"/>
      </w:pPr>
      <w:r>
        <w:rPr>
          <w:i/>
        </w:rPr>
        <w:t>说明：本文件已将当前讨论中拍板的关键设计项统一写成正式文档语言；仍保留少量“推荐默认值”作为后续实现阶段的首选配置。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ListNumber"/>
        <w:spacing w:after="60"/>
      </w:pPr>
      <w:r>
        <w:t>1. 文档定位与不覆盖范围</w:t>
      </w:r>
    </w:p>
    <w:p>
      <w:pPr>
        <w:pStyle w:val="ListNumber"/>
        <w:spacing w:after="60"/>
      </w:pPr>
      <w:r>
        <w:t>2. 当前基线与设计前提</w:t>
      </w:r>
    </w:p>
    <w:p>
      <w:pPr>
        <w:pStyle w:val="ListNumber"/>
        <w:spacing w:after="60"/>
      </w:pPr>
      <w:r>
        <w:t>3. 设计目标与总体原则</w:t>
      </w:r>
    </w:p>
    <w:p>
      <w:pPr>
        <w:pStyle w:val="ListNumber"/>
        <w:spacing w:after="60"/>
      </w:pPr>
      <w:r>
        <w:t>4. 语义记忆在整体系统中的位置</w:t>
      </w:r>
    </w:p>
    <w:p>
      <w:pPr>
        <w:pStyle w:val="ListNumber"/>
        <w:spacing w:after="60"/>
      </w:pPr>
      <w:r>
        <w:t>5. 语义观测来源与软分数定义</w:t>
      </w:r>
    </w:p>
    <w:p>
      <w:pPr>
        <w:pStyle w:val="ListNumber"/>
        <w:spacing w:after="60"/>
      </w:pPr>
      <w:r>
        <w:t>6. 语义记忆的表示形式</w:t>
      </w:r>
    </w:p>
    <w:p>
      <w:pPr>
        <w:pStyle w:val="ListNumber"/>
        <w:spacing w:after="60"/>
      </w:pPr>
      <w:r>
        <w:t>7. 语义记忆的更新器与更新公式</w:t>
      </w:r>
    </w:p>
    <w:p>
      <w:pPr>
        <w:pStyle w:val="ListNumber"/>
        <w:spacing w:after="60"/>
      </w:pPr>
      <w:r>
        <w:t>8. 视觉—语义联合融合与最终打分</w:t>
      </w:r>
    </w:p>
    <w:p>
      <w:pPr>
        <w:pStyle w:val="ListNumber"/>
        <w:spacing w:after="60"/>
      </w:pPr>
      <w:r>
        <w:t>9. 训练原则与参数策略</w:t>
      </w:r>
    </w:p>
    <w:p>
      <w:pPr>
        <w:pStyle w:val="ListNumber"/>
        <w:spacing w:after="60"/>
      </w:pPr>
      <w:r>
        <w:t>10. 日志监控与调试接口设计</w:t>
      </w:r>
    </w:p>
    <w:p>
      <w:pPr>
        <w:pStyle w:val="ListNumber"/>
        <w:spacing w:after="60"/>
      </w:pPr>
      <w:r>
        <w:t>11. 实现边界、暂不做的事与正式对照方案</w:t>
      </w:r>
    </w:p>
    <w:p>
      <w:pPr>
        <w:pStyle w:val="ListNumber"/>
        <w:spacing w:after="60"/>
      </w:pPr>
      <w:r>
        <w:t>12. 最终数据流、推荐默认值与正式结论</w:t>
      </w:r>
    </w:p>
    <w:p>
      <w:pPr>
        <w:pStyle w:val="Heading2"/>
        <w:keepNext/>
      </w:pPr>
      <w:r>
        <w:t>本次拍板的核心决议（摘要）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3192"/>
        <w:gridCol w:w="3192"/>
        <w:gridCol w:w="3192"/>
      </w:tblGrid>
      <w:tr>
        <w:trPr>
          <w:tblHeader w:val="true"/>
          <w:tblHeader w:val="true"/>
          <w:cantSplit w:val="1"/>
        </w:trPr>
        <w:tc>
          <w:tcPr>
            <w:tcW w:type="dxa" w:w="1757"/>
            <w:shd w:fill="DDE7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主题</w:t>
            </w:r>
          </w:p>
        </w:tc>
        <w:tc>
          <w:tcPr>
            <w:tcW w:type="dxa" w:w="2891"/>
            <w:shd w:fill="DDE7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最终决定</w:t>
            </w:r>
          </w:p>
        </w:tc>
        <w:tc>
          <w:tcPr>
            <w:tcW w:type="dxa" w:w="3515"/>
            <w:shd w:fill="DDE7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说明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系统位置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视觉支路与语义支路并行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语义分支不从 C^{vis} 读取主观测，避免退化为视觉分支的文本化表达。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语义软分数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帧-文本直接相似度 + GTG 拓扑 soft bias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step / error 两路分开建模，主 step posterior 不做硬阈值和硬 Top-K。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记忆形式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semantic short=256；semantic long=384；coverage + uncertainty 轨迹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统一 semantic memory 主状态，双路观测输入，不做四套独立 memory。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更新器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short 用 GRUCell；long 用固定上限 0.2 的慢速门控更新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低置信度、背景样、错误样帧通过 semantic write gate 做弱写入而非硬跳写。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融合方式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feature-level asymmetric gated fusion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语义分支是主打分主链中的受控增强，而不是 logits 后处理改分器。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最终打分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main head 覆盖全 GTG 节点；prototype head 只增强真实步骤节点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extra/background 节点仍由主 learned head 正式打分。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训练原则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主损失保持 action segmentation 主损失；raw prototypes 固定、adapter 可训练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有预训练时推荐短 warm-up；从零训练时直接联合训练。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日志与调试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默认聚合标量 + debug/aux 细粒度张量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重点监控是否塌缩成视觉分支文本投影，以及 prototype 是否过度推高真实步骤节点。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rPr>
                <w:rFonts w:ascii="Arial" w:hAnsi="Arial" w:eastAsia="Noto Sans CJK SC"/>
                <w:b/>
                <w:color w:val="17324D"/>
                <w:sz w:val="21"/>
              </w:rPr>
              <w:t>边界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不改 GTG2Vid 本体；不在本稿中重写 ERM；不做复杂 GNN/slot bank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本文件是语义记忆正式定稿，不把多节点软加权 ERM 纳入第一版。</w:t>
            </w:r>
          </w:p>
        </w:tc>
      </w:tr>
    </w:tbl>
    <w:p>
      <w:pPr>
        <w:pStyle w:val="Heading1"/>
        <w:keepNext/>
      </w:pPr>
      <w:r>
        <w:t>1. 文档定位与不覆盖范围</w:t>
      </w:r>
    </w:p>
    <w:p>
      <w:pPr>
        <w:pStyle w:val="BodyText"/>
      </w:pPr>
      <w:r>
        <w:t>本文档不是工程目录草案、也不是代码模板清单，而是 GTG-memory 项目中语义记忆模块本体的正式设计定稿。它的任务与视觉记忆定稿一致：先把语义记忆模块在系统中的角色、表示形式、更新机制、融合方式、训练原则、监控策略和实现边界完整确定下来，再反推目录骨架、代码骨架、实现顺序与测试方案。</w:t>
      </w:r>
    </w:p>
    <w:p>
      <w:pPr>
        <w:pStyle w:val="BodyText"/>
      </w:pPr>
      <w:r>
        <w:t>本次定稿的适用范围仅覆盖第一次 GTG2Vid 之前的语义记忆增强打分器。它与视觉记忆模块处于同一级别，但承担的是语义历史建模职责，而不是视觉局部动态建模职责。</w:t>
      </w:r>
    </w:p>
    <w:p>
      <w:pPr>
        <w:pStyle w:val="Heading2"/>
        <w:keepNext/>
      </w:pPr>
      <w:r>
        <w:t>1.1 本文档明确覆盖的内容</w:t>
      </w:r>
    </w:p>
    <w:p>
      <w:pPr>
        <w:pStyle w:val="ListBullet"/>
        <w:spacing w:after="60"/>
      </w:pPr>
      <w:r>
        <w:t>GTG2Vid 前的 step-level 语义历史校正分支；</w:t>
      </w:r>
    </w:p>
    <w:p>
      <w:pPr>
        <w:pStyle w:val="ListBullet"/>
        <w:spacing w:after="60"/>
      </w:pPr>
      <w:r>
        <w:t>step / error 两路语义观测的构造方式；</w:t>
      </w:r>
    </w:p>
    <w:p>
      <w:pPr>
        <w:pStyle w:val="ListBullet"/>
        <w:spacing w:after="60"/>
      </w:pPr>
      <w:r>
        <w:t>semantic short / long memory 的形式、更新器与门控机制；</w:t>
      </w:r>
    </w:p>
    <w:p>
      <w:pPr>
        <w:pStyle w:val="ListBullet"/>
        <w:spacing w:after="60"/>
      </w:pPr>
      <w:r>
        <w:t>语义分支与视觉分支的联合融合方式，以及其对新 logits / C_{i,t} 的作用方式；</w:t>
      </w:r>
    </w:p>
    <w:p>
      <w:pPr>
        <w:pStyle w:val="ListBullet"/>
        <w:spacing w:after="60"/>
      </w:pPr>
      <w:r>
        <w:t>训练原则、参数策略、日志监控与 forward_with_aux 调试接口；</w:t>
      </w:r>
    </w:p>
    <w:p>
      <w:pPr>
        <w:pStyle w:val="ListBullet"/>
        <w:spacing w:after="60"/>
      </w:pPr>
      <w:r>
        <w:t>第一版明确不做的事、实现边界和正式对照方案。</w:t>
      </w:r>
    </w:p>
    <w:p>
      <w:pPr>
        <w:pStyle w:val="Heading2"/>
        <w:keepNext/>
      </w:pPr>
      <w:r>
        <w:t>1.2 本文档明确不覆盖的内容</w:t>
      </w:r>
    </w:p>
    <w:p>
      <w:pPr>
        <w:pStyle w:val="ListBullet"/>
        <w:spacing w:after="60"/>
      </w:pPr>
      <w:r>
        <w:t>不改第一次 GTG2Vid 本体；</w:t>
      </w:r>
    </w:p>
    <w:p>
      <w:pPr>
        <w:pStyle w:val="ListBullet"/>
        <w:spacing w:after="60"/>
      </w:pPr>
      <w:r>
        <w:t>不改第二次 no-drop GTG2Vid 本体；</w:t>
      </w:r>
    </w:p>
    <w:p>
      <w:pPr>
        <w:pStyle w:val="ListBullet"/>
        <w:spacing w:after="60"/>
      </w:pPr>
      <w:r>
        <w:t>不在本稿中正式实现多节点软加权 ERM；</w:t>
      </w:r>
    </w:p>
    <w:p>
      <w:pPr>
        <w:pStyle w:val="ListBullet"/>
        <w:spacing w:after="60"/>
      </w:pPr>
      <w:r>
        <w:t>不引入 GNN、graph transformer、slot-bank 读写寻址等复杂图记忆系统；</w:t>
      </w:r>
    </w:p>
    <w:p>
      <w:pPr>
        <w:pStyle w:val="ListBullet"/>
        <w:spacing w:after="60"/>
      </w:pPr>
      <w:r>
        <w:t>不增加 memory-specific 辅助监督与大量消融树。</w:t>
      </w:r>
    </w:p>
    <w:p>
      <w:pPr>
        <w:pStyle w:val="Heading1"/>
        <w:keepNext/>
      </w:pPr>
      <w:r>
        <w:t>2. 当前基线与设计前提</w:t>
      </w:r>
    </w:p>
    <w:p>
      <w:pPr>
        <w:pStyle w:val="BodyText"/>
      </w:pPr>
      <w:r>
        <w:t>当前代码主链的角色分工可以概括为：Runner 实例化 backbone，backbone 负责产生中间特征与最终 action logits；其后评测链路读取 logits，依次执行第一次 GTG2Vid、第二次 no-drop GTG2Vid 和 ERM。也就是说，当前真正需要被语义记忆改写的，不是 GTG2Vid 或 ERM 的算法本体，而是新的 action logits / C_{i,t} 如何产生。</w:t>
      </w:r>
    </w:p>
    <w:p>
      <w:pPr>
        <w:pStyle w:val="BodyText"/>
      </w:pPr>
      <w:r>
        <w:t>在此基础上，视觉记忆模块已经作为正式版本定稿：原始 backbone 主干被保留，在其中间特征之后接入 visual short / long memory、融合模块与新的输出头，统一生成新的 logits；两次 GTG2Vid 都读取这一套新 logits。语义记忆模块是在该主线之上继续扩展，而不是另起一套独立系统。</w:t>
      </w:r>
    </w:p>
    <w:p>
      <w:pPr>
        <w:pStyle w:val="Heading2"/>
        <w:keepNext/>
      </w:pPr>
      <w:r>
        <w:t>2.1 当前系统中已知且必须保持的硬边界</w:t>
      </w:r>
    </w:p>
    <w:p>
      <w:pPr>
        <w:pStyle w:val="ListBullet"/>
        <w:spacing w:after="60"/>
      </w:pPr>
      <w:r>
        <w:t>GTG2Vid 仍然是基于 GTG 节点分数表的动态规划，不在本稿中改写；</w:t>
      </w:r>
    </w:p>
    <w:p>
      <w:pPr>
        <w:pStyle w:val="ListBullet"/>
        <w:spacing w:after="60"/>
      </w:pPr>
      <w:r>
        <w:t>第二次 GTG2Vid 只是 no-drop 版本，不单独训练；</w:t>
      </w:r>
    </w:p>
    <w:p>
      <w:pPr>
        <w:pStyle w:val="ListBullet"/>
        <w:spacing w:after="60"/>
      </w:pPr>
      <w:r>
        <w:t>ERM 仍保留原论文匹配式识别范式；</w:t>
      </w:r>
    </w:p>
    <w:p>
      <w:pPr>
        <w:pStyle w:val="ListBullet"/>
        <w:spacing w:after="60"/>
      </w:pPr>
      <w:r>
        <w:t>最终主输出接口仍然是 action_logits [B, C_gtg, T] 与 frame_features [B, D, T]。</w:t>
      </w:r>
    </w:p>
    <w:p>
      <w:pPr>
        <w:pStyle w:val="Heading1"/>
        <w:keepNext/>
      </w:pPr>
      <w:r>
        <w:t>3. 设计目标与总体原则</w:t>
      </w:r>
    </w:p>
    <w:p>
      <w:pPr>
        <w:pStyle w:val="BodyText"/>
      </w:pPr>
      <w:r>
        <w:t>引入语义记忆的核心动机，不是再造一套文本分类器，而是解决原流程中“当前帧语义状态过于依赖单次硬映射”的问题。第一版语义记忆的正式目标，是在不改两次 GTG2Vid 本体的前提下，为 GTG2Vid 之前的节点打分生成过程引入独立的语义历史状态，使模型在步骤切换、局部模糊、前置遗漏和短时异常附近具备更强的语义连续性与进度一致性。</w:t>
      </w:r>
    </w:p>
    <w:p>
      <w:pPr>
        <w:pStyle w:val="BodyText"/>
      </w:pPr>
      <w:r>
        <w:t>第一版总体原则如下：语义记忆与视觉记忆并行；语义历史与视觉历史同时建模；采用 short / long 两级记忆；只看过去与当前，不看未来；在 GTG2Vid 前增强逐帧打分，而不是在 DP 之后后补语义解释。</w:t>
      </w:r>
    </w:p>
    <w:p>
      <w:pPr>
        <w:pStyle w:val="Heading2"/>
        <w:keepNext/>
      </w:pPr>
      <w:r>
        <w:t>3.1 第一版的正式职责</w:t>
      </w:r>
    </w:p>
    <w:p>
      <w:pPr>
        <w:pStyle w:val="ListBullet"/>
        <w:spacing w:after="60"/>
      </w:pPr>
      <w:r>
        <w:t>主职责：step-level 语义历史校正；</w:t>
      </w:r>
    </w:p>
    <w:p>
      <w:pPr>
        <w:pStyle w:val="ListBullet"/>
        <w:spacing w:after="60"/>
      </w:pPr>
      <w:r>
        <w:t>辅职责：为 error-level 语义建模与后续 ERM 接口保留状态；</w:t>
      </w:r>
    </w:p>
    <w:p>
      <w:pPr>
        <w:pStyle w:val="ListBullet"/>
        <w:spacing w:after="60"/>
      </w:pPr>
      <w:r>
        <w:t>不把语义分支设计成独立主打分器，不让其在第一版里接管整个打分主线。</w:t>
      </w:r>
    </w:p>
    <w:p>
      <w:pPr>
        <w:pStyle w:val="Heading2"/>
        <w:keepNext/>
      </w:pPr>
      <w:r>
        <w:t>3.2 第一版坚持的设计哲学</w:t>
      </w:r>
    </w:p>
    <w:p>
      <w:pPr>
        <w:pStyle w:val="ListBullet"/>
        <w:spacing w:after="60"/>
      </w:pPr>
      <w:r>
        <w:t>结构先验优先：GTG 拓扑是显式约束，不是隐式可学噪声；</w:t>
      </w:r>
    </w:p>
    <w:p>
      <w:pPr>
        <w:pStyle w:val="ListBullet"/>
        <w:spacing w:after="60"/>
      </w:pPr>
      <w:r>
        <w:t>受控增强优先：语义分支进入主打分主链，但其影响强度显式门控；</w:t>
      </w:r>
    </w:p>
    <w:p>
      <w:pPr>
        <w:pStyle w:val="ListBullet"/>
        <w:spacing w:after="60"/>
      </w:pPr>
      <w:r>
        <w:t>解释性优先：coverage 与 uncertainty 轨迹显式保留；</w:t>
      </w:r>
    </w:p>
    <w:p>
      <w:pPr>
        <w:pStyle w:val="ListBullet"/>
        <w:spacing w:after="60"/>
      </w:pPr>
      <w:r>
        <w:t>实现稳健优先：先形成清晰、可调、可分析的正式版本，再考虑更自由的后续扩展。</w:t>
      </w:r>
    </w:p>
    <w:p>
      <w:pPr>
        <w:pStyle w:val="Heading1"/>
        <w:keepNext/>
      </w:pPr>
      <w:r>
        <w:t>4. 语义记忆在整体系统中的位置</w:t>
      </w:r>
    </w:p>
    <w:p>
      <w:pPr>
        <w:pStyle w:val="BodyText"/>
      </w:pPr>
      <w:r>
        <w:t>语义记忆在第一版中被正式定位为：与视觉记忆同级并行的独立 memory branch，而不是视觉记忆的文本解释层，也不是视觉分支之后的串联后处理模块。这个定位非常关键，因为如果语义观测主要从视觉分支已经生成的 C^{vis} 读取，就会很容易退化成视觉分支结论的文本化表达。</w:t>
      </w:r>
    </w:p>
    <w:p>
      <w:pPr>
        <w:pStyle w:val="BodyText"/>
      </w:pPr>
      <w:r>
        <w:t>因此，正确的系统位置应写成：backbone 中间特征先形成当前帧基础表征；随后分叉为视觉记忆支路和语义记忆支路；两条支路分别形成 visual context 与 semantic context；最后在 final head 之前联合融合，生成新的 action logits / C_{i,t}，再送给两次 GTG2Vid。</w:t>
      </w:r>
    </w:p>
    <w:p>
      <w:pPr>
        <w:pStyle w:val="Heading2"/>
        <w:keepNext/>
      </w:pPr>
      <w:r>
        <w:t>4.1 位置示意（第一版正式数据流）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x_t -&gt; backbone features h_t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h_t -&gt; visual memory branch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h_t -&gt; semantic observation -&gt; semantic memory branch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[base, visual context, semantic context] -&gt; joint fusion -&gt; final heads -&gt; action_logits / C_{i,t}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action_logits -&gt; GTG2Vid_1 and GTG2Vid_2</w:t>
      </w:r>
    </w:p>
    <w:p>
      <w:pPr>
        <w:pStyle w:val="Heading2"/>
        <w:keepNext/>
      </w:pPr>
      <w:r>
        <w:t>4.2 这一位置设计的直接收益</w:t>
      </w:r>
    </w:p>
    <w:p>
      <w:pPr>
        <w:pStyle w:val="ListBullet"/>
        <w:spacing w:after="60"/>
      </w:pPr>
      <w:r>
        <w:t>保证视觉与语义是并行、同级的两个 branch；</w:t>
      </w:r>
    </w:p>
    <w:p>
      <w:pPr>
        <w:pStyle w:val="ListBullet"/>
        <w:spacing w:after="60"/>
      </w:pPr>
      <w:r>
        <w:t>保证语义记忆真正参与“当前帧如何被理解”，而不是只在最后改几分；</w:t>
      </w:r>
    </w:p>
    <w:p>
      <w:pPr>
        <w:pStyle w:val="ListBullet"/>
        <w:spacing w:after="60"/>
      </w:pPr>
      <w:r>
        <w:t>避免“视觉记忆 -&gt; C^{vis} -&gt; 语义记忆 -&gt; 再回改 C”的串联闭环。</w:t>
      </w:r>
    </w:p>
    <w:p>
      <w:pPr>
        <w:pStyle w:val="Heading1"/>
        <w:keepNext/>
      </w:pPr>
      <w:r>
        <w:t>5. 语义观测来源与软分数定义</w:t>
      </w:r>
    </w:p>
    <w:p>
      <w:pPr>
        <w:pStyle w:val="BodyText"/>
      </w:pPr>
      <w:r>
        <w:t>第一版语义分支的当前观测，不直接来自视觉记忆输出的 C_{i,t}，而来自三类信息的联合：当前帧基础特征 h_t、step / error 文本原型，以及 GTG 拓扑 soft prior。目标是在不脱离任务图约束的前提下，构造独立于视觉分支结论的语义 soft score。</w:t>
      </w:r>
    </w:p>
    <w:p>
      <w:pPr>
        <w:pStyle w:val="Heading2"/>
        <w:keepNext/>
      </w:pPr>
      <w:r>
        <w:t>5.1 输入对象与文本原型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3192"/>
        <w:gridCol w:w="3192"/>
        <w:gridCol w:w="3192"/>
      </w:tblGrid>
      <w:tr>
        <w:trPr>
          <w:tblHeader w:val="true"/>
          <w:tblHeader w:val="true"/>
          <w:cantSplit w:val="1"/>
        </w:trPr>
        <w:tc>
          <w:tcPr>
            <w:tcW w:type="dxa" w:w="1757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对象</w:t>
            </w:r>
          </w:p>
        </w:tc>
        <w:tc>
          <w:tcPr>
            <w:tcW w:type="dxa" w:w="2438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符号 / 形式</w:t>
            </w:r>
          </w:p>
        </w:tc>
        <w:tc>
          <w:tcPr>
            <w:tcW w:type="dxa" w:w="3855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rPr>
                <w:rFonts w:ascii="Arial" w:hAnsi="Arial" w:eastAsia="Noto Sans CJK SC"/>
                <w:b/>
                <w:sz w:val="21"/>
              </w:rPr>
              <w:t>说明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当前帧基础特征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h_t ∈ R^{D_h}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来自 backbone 中间特征，不是最终 logits，也不是 GTG2Vid 输出。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步骤文本原型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z_i^{step}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来自 normal_actions.txt 与 vc_normal_action_features；每个真实步骤节点一个原型。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错误文本原型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z_{i,m}^{err}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来自 chatgpt4omini_error.txt 与 vc_chatgpt4omini_error_features；按“步骤 i 下的错误类型 m”组织。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GTG 拓扑先验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A(i), E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来自构图阶段给出的任务图前驱 / 后继关系，不由语义分支在线推断。</w:t>
            </w:r>
          </w:p>
        </w:tc>
      </w:tr>
    </w:tbl>
    <w:p>
      <w:pPr>
        <w:pStyle w:val="Heading2"/>
        <w:keepNext/>
      </w:pPr>
      <w:r>
        <w:t>5.2 相似度类型与两路 query</w:t>
      </w:r>
    </w:p>
    <w:p>
      <w:pPr>
        <w:pStyle w:val="BodyText"/>
      </w:pPr>
      <w:r>
        <w:t>第一版相似度正式采用“归一化余弦相似度 + 温度缩放 + 轻量可训练 projector / adapter”。同时，step 与 error 两路相似度使用两套独立 query projector，不共用一个 query，避免 error 分支退化为 step 分支的附属物。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q_t^{step} = Norm(P_step(h_t))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q_t^{err}  = Norm(P_err(h_t))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z̄_i^{step} = Norm(A_step(z_i^{step}))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z̄_{i,m}^{err} = Norm(A_err(z_{i,m}^{err}))</w:t>
      </w:r>
    </w:p>
    <w:p>
      <w:pPr>
        <w:pStyle w:val="Heading2"/>
        <w:keepNext/>
      </w:pPr>
      <w:r>
        <w:t>5.3 Step raw score 与拓扑 soft bias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s_{t,i}^{step,raw} = &lt;q_t^{step}, z̄_i^{step}&gt; / τ_step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b_t^{topo}(i) = λ_self α_{t-1}(i) + λ_succ max_{k:(k,i)∈E} α_{t-1}(k) + λ_pred mean_{k∈A(i)} α_{t-1}(k)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u_t^{step}(i) = s_{t,i}^{step,raw} + λ_topo log(ε + b_t^{topo}(i))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α_t(i) = softmax_i(u_t^{step}(i))</w:t>
      </w:r>
    </w:p>
    <w:p>
      <w:pPr>
        <w:pStyle w:val="BodyText"/>
      </w:pPr>
      <w:r>
        <w:t>上述拓扑系数 λ_self、λ_succ、λ_pred、λ_topo 在第一版中固定为可调超参数，不作为训练参数。其理由是：这些系数表达的是结构先验进入语义观测的力度，第一版更应将其作为可解释、可控的设计选择保留下来，而不是让模型自由学习掉。</w:t>
      </w:r>
    </w:p>
    <w:p>
      <w:pPr>
        <w:pStyle w:val="Heading2"/>
        <w:keepNext/>
      </w:pPr>
      <w:r>
        <w:t>5.4 Error 分支候选收缩规则</w:t>
      </w:r>
    </w:p>
    <w:p>
      <w:pPr>
        <w:pStyle w:val="BodyText"/>
      </w:pPr>
      <w:r>
        <w:t>step posterior 本身保持 full soft distribution，不做硬阈值和硬 Top-K。error 分支为了控制噪声与计算量，采用“累计概率阈值 + 最大候选数上限”的收缩规则：先按 α_t 从大到小排序，取最小候选集 K_t，使累计概率达到 ρ_err；再限制候选数不超过 K_max。第一版默认推荐 ρ_err = 0.85，K_max = 5。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choose smallest K_t such that Σ_{i∈K_t} α_t(i) ≥ ρ_err , with |K_t| ≤ K_max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β_t(m | i) = softmax_m( s_{t,i,m}^{err,raw} ) ,  i ∈ K_t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γ_t(i,m) = α_t(i) · β_t(m | i)</w:t>
      </w:r>
    </w:p>
    <w:p>
      <w:pPr>
        <w:pStyle w:val="Heading2"/>
        <w:keepNext/>
      </w:pPr>
      <w:r>
        <w:t>5.5 当前时刻的语义观测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e_t^{step} = Σ_i α_t(i) z̄_i^{step}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e_t^{err}  = Σ_i Σ_m γ_t(i,m) z̄_{i,m}^{err}</w:t>
      </w:r>
    </w:p>
    <w:p>
      <w:pPr>
        <w:pStyle w:val="BodyText"/>
      </w:pPr>
      <w:r>
        <w:t>因此，语义分支真正写入 memory 的不是整张 posterior 表，而是以 posterior 为权重读出的连续语义观测，加上少量低维统计摘要。</w:t>
      </w:r>
    </w:p>
    <w:p>
      <w:pPr>
        <w:pStyle w:val="Heading2"/>
        <w:keepNext/>
      </w:pPr>
      <w:r>
        <w:t>5.6 extra/background 节点与背景样 / 错误样帧的解释</w:t>
      </w:r>
    </w:p>
    <w:p>
      <w:pPr>
        <w:pStyle w:val="BodyText"/>
      </w:pPr>
      <w:r>
        <w:t>第一版语义文本原型只覆盖真实步骤节点，不给 extra/background 节点单独建文本原型。需要特别区分两件事：其一，哪些节点是 extra/background node，在 GTG 构图阶段就已经显式给出；其二，哪些帧最终落到 extra node 或被 drop，是 GTG2Vid 对齐后的结果，而不是输入时已知。因而，语义分支并不提前判定哪些帧是 background 或 error，而只是让这类帧在真实步骤节点上表现为更分散、更不确定的语义分布。</w:t>
      </w:r>
    </w:p>
    <w:p>
      <w:pPr>
        <w:pStyle w:val="Heading1"/>
        <w:keepNext/>
      </w:pPr>
      <w:r>
        <w:t>6. 语义记忆的表示形式</w:t>
      </w:r>
    </w:p>
    <w:p>
      <w:pPr>
        <w:pStyle w:val="BodyText"/>
      </w:pPr>
      <w:r>
        <w:t>第一版语义记忆采用“统一主状态 + 显式辅助轨迹”的设计：主状态负责存储抽象语义历史，辅助轨迹负责存储覆盖与不确定度等可解释信息。这样既避免了把 memory 退化成 posterior 缓存，又保证后续分析与调试有可解释抓手。</w:t>
      </w:r>
    </w:p>
    <w:p>
      <w:pPr>
        <w:pStyle w:val="Heading2"/>
        <w:keepNext/>
      </w:pPr>
      <w:r>
        <w:t>6.1 核心 memory 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2394"/>
        <w:gridCol w:w="2394"/>
        <w:gridCol w:w="2394"/>
        <w:gridCol w:w="2394"/>
      </w:tblGrid>
      <w:tr>
        <w:trPr>
          <w:tblHeader w:val="true"/>
          <w:tblHeader w:val="true"/>
          <w:cantSplit w:val="1"/>
        </w:trPr>
        <w:tc>
          <w:tcPr>
            <w:tcW w:type="dxa" w:w="1701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1191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t>维度</w:t>
            </w:r>
          </w:p>
        </w:tc>
        <w:tc>
          <w:tcPr>
            <w:tcW w:type="dxa" w:w="2438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t>职责</w:t>
            </w:r>
          </w:p>
        </w:tc>
        <w:tc>
          <w:tcPr>
            <w:tcW w:type="dxa" w:w="2721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BodyText2"/>
              <w:jc w:val="center"/>
            </w:pPr>
            <w:r>
              <w:t>设计理由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semantic short memory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256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记录最近局部步骤切换趋势、局部语义歧义、短时错误语义活跃。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与视觉 short 维度对齐，便于联合融合；强调“快响应”。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semantic long memory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384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记录长期阶段语义、整体进度一致性、长期覆盖 / 遗漏趋势。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与视觉 long 维度对齐；强调“慢更新、全局摘要”。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step coverage trace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S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显式记录各真实步骤在历史上的支持程度。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避免 long 完全黑盒化，增强进度与覆盖的可解释性。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uncertainty trace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32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显式记录最近一段时间的语义模糊度与异常活跃度。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为低置信度帧处理、写入门控和融合门控提供专门位置。</w:t>
            </w:r>
          </w:p>
        </w:tc>
      </w:tr>
    </w:tbl>
    <w:p>
      <w:pPr>
        <w:pStyle w:val="Heading2"/>
        <w:keepNext/>
      </w:pPr>
      <w:r>
        <w:t>6.2 当前时刻观测包</w:t>
      </w:r>
    </w:p>
    <w:p>
      <w:pPr>
        <w:pStyle w:val="ListBullet"/>
        <w:spacing w:after="60"/>
      </w:pPr>
      <w:r>
        <w:t>step semantic observation e_t^{step};</w:t>
      </w:r>
    </w:p>
    <w:p>
      <w:pPr>
        <w:pStyle w:val="ListBullet"/>
        <w:spacing w:after="60"/>
      </w:pPr>
      <w:r>
        <w:t>error semantic observation e_t^{err};</w:t>
      </w:r>
    </w:p>
    <w:p>
      <w:pPr>
        <w:pStyle w:val="ListBullet"/>
        <w:spacing w:after="60"/>
      </w:pPr>
      <w:r>
        <w:t>step posterior summary（如 entropy、top-1、top-1/top-2 gap、topology mass 等）；</w:t>
      </w:r>
    </w:p>
    <w:p>
      <w:pPr>
        <w:pStyle w:val="ListBullet"/>
        <w:spacing w:after="60"/>
      </w:pPr>
      <w:r>
        <w:t>error posterior summary（如 error mass、error entropy 等）。</w:t>
      </w:r>
    </w:p>
    <w:p>
      <w:pPr>
        <w:pStyle w:val="BodyText"/>
      </w:pPr>
      <w:r>
        <w:t>step / error 两路观测先各自编码，再融合成统一语义观测输入 semantic short / long memory；第一版不做 step-short、step-long、error-short、error-long 四套独立 memory。</w:t>
      </w:r>
    </w:p>
    <w:p>
      <w:pPr>
        <w:pStyle w:val="Heading1"/>
        <w:keepNext/>
      </w:pPr>
      <w:r>
        <w:t>7. 语义记忆的更新器与更新公式</w:t>
      </w:r>
    </w:p>
    <w:p>
      <w:pPr>
        <w:pStyle w:val="BodyText"/>
      </w:pPr>
      <w:r>
        <w:t>第一版语义记忆在更新器选择上继续沿用视觉记忆已经验证过的“short 快、long 慢”的设计哲学，但门控信号会更语义化。具体而言：semantic short 使用 GRUCell；semantic long 使用固定上限 0.2 的慢速门控累积更新器；coverage 和 uncertainty 两条显式轨迹采用 EMA。</w:t>
      </w:r>
    </w:p>
    <w:p>
      <w:pPr>
        <w:pStyle w:val="Heading2"/>
        <w:keepNext/>
      </w:pPr>
      <w:r>
        <w:t>7.1 semantic short 更新器</w:t>
      </w:r>
    </w:p>
    <w:p>
      <w:pPr>
        <w:pStyle w:val="BodyText"/>
      </w:pPr>
      <w:r>
        <w:t>将当前统一语义观测、低维统计、上一时刻 coverage / uncertainty 摘要拼接后，经 P_short 投到 256 维，再交给 GRUCell。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x_t^{short} = P_short([u_t^{sem}; r_t^{aux}; c_{t-1}; u_{t-1}^{unc}])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m_t^{sem,short} = GRUCell(x_t^{short}, m_{t-1}^{sem,short})</w:t>
      </w:r>
    </w:p>
    <w:p>
      <w:pPr>
        <w:pStyle w:val="Heading2"/>
        <w:keepNext/>
      </w:pPr>
      <w:r>
        <w:t>7.2 semantic long 更新器</w:t>
      </w:r>
    </w:p>
    <w:p>
      <w:pPr>
        <w:pStyle w:val="BodyText"/>
      </w:pPr>
      <w:r>
        <w:t>semantic long 不直接读取当前观测，而是先读取由 short state、coverage、uncertainty 与当前统计构成的摘要向量，再通过固定写入上限 0.2 的慢速门控累积更新。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s_t^{sem} = φ_sem([m_t^{sem,short}; c_t; u_t^{unc}; r_t^{aux}])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g_t^{conf} = σ(w_c^T r_t^{aux} + b_c)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g_t^{sem,long} = 0.2 · σ(W_g s_t^{sem} + U_g m_{t-1}^{sem,long} + V_g g_t^{conf} + b_g)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m̃_t^{sem,long} = tanh(W_u s_t^{sem} + U_u m_{t-1}^{sem,long} + b_u)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m_t^{sem,long} = (1 - g_t^{sem,long}) ⊙ m_{t-1}^{sem,long} + g_t^{sem,long} ⊙ m̃_t^{sem,long}</w:t>
      </w:r>
    </w:p>
    <w:p>
      <w:pPr>
        <w:pStyle w:val="Heading2"/>
        <w:keepNext/>
      </w:pPr>
      <w:r>
        <w:t>7.3 显式辅助轨迹更新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c_t = (1 - η_c) c_{t-1} + η_c α_t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u_t^{unc} = (1 - η_u) u_{t-1}^{unc} + η_u P_unc(z_t^{unc})</w:t>
      </w:r>
    </w:p>
    <w:p>
      <w:pPr>
        <w:pStyle w:val="BodyText"/>
      </w:pPr>
      <w:r>
        <w:t>推荐默认值：coverage EMA 速率 η_c = 0.05；uncertainty EMA 速率 η_u = 0.10；uncertainty trace 维度固定为 32。</w:t>
      </w:r>
    </w:p>
    <w:p>
      <w:pPr>
        <w:pStyle w:val="Heading2"/>
        <w:keepNext/>
      </w:pPr>
      <w:r>
        <w:t>7.4 背景样帧 / 错误样帧 / 低置信度帧的具体处理</w:t>
      </w:r>
    </w:p>
    <w:p>
      <w:pPr>
        <w:pStyle w:val="BodyText"/>
      </w:pPr>
      <w:r>
        <w:t>第一版不做硬跳写，而是通过 semantic write gate 实施“分层弱写入”：高置信度步骤帧正常写入；背景样或高度模糊帧弱写入 short、更弱写入 long、强更新 uncertainty；错误样帧保留 short 写入，但更依赖 error 语义观测，同时降低 coverage 更新。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ρ_t = σ(w_ρ^T r_t^{aux} + b_ρ)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x_t^{short,eff} = ρ_t · x_t^{short}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g_t^{sem,long,eff} = ρ_t · g_t^{sem,long}</w:t>
      </w:r>
    </w:p>
    <w:p>
      <w:pPr>
        <w:pStyle w:val="BodyText"/>
      </w:pPr>
      <w:r>
        <w:t>这样做的意义在于：模糊区本身也是一种重要历史状态，不应完全跳过；正确做法应是“主要写入 uncertainty，弱写入主语义状态”。</w:t>
      </w:r>
    </w:p>
    <w:p>
      <w:pPr>
        <w:pStyle w:val="Heading1"/>
        <w:keepNext/>
      </w:pPr>
      <w:r>
        <w:t>8. 视觉—语义联合融合与最终打分</w:t>
      </w:r>
    </w:p>
    <w:p>
      <w:pPr>
        <w:pStyle w:val="BodyText"/>
      </w:pPr>
      <w:r>
        <w:t>语义记忆不是 logits 层后处理，也不是与视觉分支完全等权竞争的独立主打分器。第一版正式采用 feature-level asymmetric gated fusion：视觉主线负责主时序表征与主节点打分，语义分支以受控增强项进入主干。</w:t>
      </w:r>
    </w:p>
    <w:p>
      <w:pPr>
        <w:pStyle w:val="Heading2"/>
        <w:keepNext/>
      </w:pPr>
      <w:r>
        <w:t>8.1 联合融合位置与总结构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h_t^{base} -&gt; [visual branch, semantic branch] -&gt; joint fusion -&gt; z_t -&gt; final heads -&gt; C_{i,t}</w:t>
      </w:r>
    </w:p>
    <w:p>
      <w:pPr>
        <w:pStyle w:val="BodyText"/>
      </w:pPr>
      <w:r>
        <w:t>各路信息先投到统一 256 维 fusion space，再先压成 visual context summary 与 semantic context summary，最后与 base feature 做 joint fusion。最终仍以 base branch 为锚点做残差保底。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v_t^{ctx} = F_vis([m_t^{vis,short}; m_t^{vis,long}])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s_t^{ctx} = F_sem([m_t^{sem,short}; m_t^{sem,long}])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g_t^{sem,fuse} = σ(W_f[ ĥ_t^{base}; v_t^{ctx}; s_t^{ctx}; r_t^{aux}] + b_f)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s̃_t^{ctx} = g_t^{sem,fuse} ⊙ s_t^{ctx}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f_t = F_joint([ĥ_t^{base}; v_t^{ctx}; s̃_t^{ctx}])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z_t = LayerNorm(ĥ_t^{base} + f_t)</w:t>
      </w:r>
    </w:p>
    <w:p>
      <w:pPr>
        <w:pStyle w:val="BodyText"/>
      </w:pPr>
      <w:r>
        <w:t>semantic fusion gate 在第一版中正式采用 256 维逐通道门控，而不是标量门。这样既保留“什么时候信任语义”的控制能力，也保留“哪些通道代表可用语义”的细粒度控制能力。</w:t>
      </w:r>
    </w:p>
    <w:p>
      <w:pPr>
        <w:pStyle w:val="Heading2"/>
        <w:keepNext/>
      </w:pPr>
      <w:r>
        <w:t>8.2 双路打分：main head 为主，prototype-conditioned score 为辅</w:t>
      </w:r>
    </w:p>
    <w:p>
      <w:pPr>
        <w:pStyle w:val="BodyText"/>
      </w:pPr>
      <w:r>
        <w:t>最终打分采用双路结构。主路 main head 继续负责全 GTG 节点 logits；辅路 prototype head 只对真实步骤节点计算 prototype-conditioned score，并通过逐步骤 prototype gate 受控叠加。extra/background 节点不走 prototype 分支。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main_logits = Conv1d_{1×1}( z_seq^{conv} ) ,   main_logits ∈ R^{B×C_gtg×T}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q_t^{proto} = Norm(P_proto(z_t))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z̄_i^{step,final} = Norm(A_proto(z_i^{step}))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proto_logits_{t,i} = &lt;q_t^{proto}, z̄_i^{step,final}&gt; / τ_proto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g_t^{proto} = σ(MLP_gate([z_t; s_t^{ctx}; r_t^{aux}])) ,   g_t^{proto} ∈ R^S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for step nodes:   ℓ_{t,i}^{final} = ℓ_{t,i}^{main} + g_t^{proto}(i) · ℓ_{t,i}^{proto}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for extra nodes:  ℓ_{t,k}^{final} = ℓ_{t,k}^{main}</w:t>
      </w:r>
    </w:p>
    <w:p>
      <w:pPr>
        <w:pStyle w:val="BodyText"/>
      </w:pPr>
      <w:r>
        <w:t>这一定义解释了为什么“不给 extra/background 节点建文本原型”不会导致其失去建模能力：它们始终由覆盖全 GTG 节点的 main head 正式打分；prototype 分支只是给真实步骤节点增加一条受控语义增强通道。</w:t>
      </w:r>
    </w:p>
    <w:p>
      <w:pPr>
        <w:pStyle w:val="Heading2"/>
        <w:keepNext/>
      </w:pPr>
      <w:r>
        <w:t>8.3 输出接口</w:t>
      </w:r>
    </w:p>
    <w:p>
      <w:pPr>
        <w:pStyle w:val="ListBullet"/>
        <w:spacing w:after="60"/>
      </w:pPr>
      <w:r>
        <w:t>main head：Conv1d(256, C_gtg, kernel_size = 1)；</w:t>
      </w:r>
    </w:p>
    <w:p>
      <w:pPr>
        <w:pStyle w:val="ListBullet"/>
        <w:spacing w:after="60"/>
      </w:pPr>
      <w:r>
        <w:t>prototype head：query projector + prototype adapter + 归一化相似度；</w:t>
      </w:r>
    </w:p>
    <w:p>
      <w:pPr>
        <w:pStyle w:val="ListBullet"/>
        <w:spacing w:after="60"/>
      </w:pPr>
      <w:r>
        <w:t>prototype gate：输出 [B, S, T] 的逐步骤 gate；</w:t>
      </w:r>
    </w:p>
    <w:p>
      <w:pPr>
        <w:pStyle w:val="ListBullet"/>
        <w:spacing w:after="60"/>
      </w:pPr>
      <w:r>
        <w:t>最终输出 action_logits [B, C_gtg, T]，与现有 Runner / GTG2Vid 接口完全兼容；</w:t>
      </w:r>
    </w:p>
    <w:p>
      <w:pPr>
        <w:pStyle w:val="ListBullet"/>
        <w:spacing w:after="60"/>
      </w:pPr>
      <w:r>
        <w:t>frame_features 继续定义为最终融合特征 z_seq 的 [B, 256, T] 表示。</w:t>
      </w:r>
    </w:p>
    <w:p>
      <w:pPr>
        <w:pStyle w:val="Heading1"/>
        <w:keepNext/>
      </w:pPr>
      <w:r>
        <w:t>9. 训练原则与参数策略</w:t>
      </w:r>
    </w:p>
    <w:p>
      <w:pPr>
        <w:pStyle w:val="BodyText"/>
      </w:pPr>
      <w:r>
        <w:t>第一版语义记忆继续沿用视觉记忆已经确定的训练哲学：不改主任务定义，不新增复杂监督，不把语义分支做成独立训练器，而是让它通过帮助模型生成更好的 action_logits / C_{i,t} 被主任务间接训练出来。</w:t>
      </w:r>
    </w:p>
    <w:p>
      <w:pPr>
        <w:pStyle w:val="Heading2"/>
        <w:keepNext/>
      </w:pPr>
      <w:r>
        <w:t>9.1 参数分组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2394"/>
        <w:gridCol w:w="2394"/>
        <w:gridCol w:w="2394"/>
        <w:gridCol w:w="2394"/>
      </w:tblGrid>
      <w:tr>
        <w:trPr>
          <w:tblHeader w:val="true"/>
          <w:tblHeader w:val="true"/>
          <w:cantSplit w:val="1"/>
        </w:trPr>
        <w:tc>
          <w:tcPr>
            <w:tcW w:type="dxa" w:w="1701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参数组</w:t>
            </w:r>
          </w:p>
        </w:tc>
        <w:tc>
          <w:tcPr>
            <w:tcW w:type="dxa" w:w="2835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包含内容</w:t>
            </w:r>
          </w:p>
        </w:tc>
        <w:tc>
          <w:tcPr>
            <w:tcW w:type="dxa" w:w="1757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训练状态</w:t>
            </w:r>
          </w:p>
        </w:tc>
        <w:tc>
          <w:tcPr>
            <w:tcW w:type="dxa" w:w="1871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推荐学习率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Group 1：backbone 主干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conv_in + module 等原始主干参数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训练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加载预训练时 5e-5；从零训练时 1e-4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Group 2：视觉记忆模块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已定稿的 visual short/long、摘要器、融合模块等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训练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1e-4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Group 3：语义记忆 + 新头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step/error projector、semantic short/long、semantic gates、main/prototype/gate heads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训练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1e-4</w:t>
            </w:r>
          </w:p>
        </w:tc>
      </w:tr>
      <w:tr>
        <w:trPr>
          <w:cantSplit w:val="1"/>
        </w:trPr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Raw prototypes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离线文本原型特征本体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固定，不直接训练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—</w:t>
            </w:r>
          </w:p>
        </w:tc>
      </w:tr>
    </w:tbl>
    <w:p>
      <w:pPr>
        <w:pStyle w:val="Heading2"/>
        <w:keepNext/>
      </w:pPr>
      <w:r>
        <w:t>9.2 固定项与可训练项</w:t>
      </w:r>
    </w:p>
    <w:p>
      <w:pPr>
        <w:pStyle w:val="ListBullet"/>
        <w:spacing w:after="60"/>
      </w:pPr>
      <w:r>
        <w:t>raw step / error prototype 特征固定；</w:t>
      </w:r>
    </w:p>
    <w:p>
      <w:pPr>
        <w:pStyle w:val="ListBullet"/>
        <w:spacing w:after="60"/>
      </w:pPr>
      <w:r>
        <w:t>prototype adapter / projector 可训练；</w:t>
      </w:r>
    </w:p>
    <w:p>
      <w:pPr>
        <w:pStyle w:val="ListBullet"/>
        <w:spacing w:after="60"/>
      </w:pPr>
      <w:r>
        <w:t>旧 baseline action_head 不再属于正式输出路径，也不作为正式优化器核心参数组；</w:t>
      </w:r>
    </w:p>
    <w:p>
      <w:pPr>
        <w:pStyle w:val="ListBullet"/>
        <w:spacing w:after="60"/>
      </w:pPr>
      <w:r>
        <w:t>拓扑 soft bias 系数固定为可调超参数，不设为可学习参数。</w:t>
      </w:r>
    </w:p>
    <w:p>
      <w:pPr>
        <w:pStyle w:val="Heading2"/>
        <w:keepNext/>
      </w:pPr>
      <w:r>
        <w:t>9.3 优化器、warm-up 与损失</w:t>
      </w:r>
    </w:p>
    <w:p>
      <w:pPr>
        <w:pStyle w:val="ListBullet"/>
        <w:spacing w:after="60"/>
      </w:pPr>
      <w:r>
        <w:t>优化器继续使用 Adam，第一版不使用 scheduler；</w:t>
      </w:r>
    </w:p>
    <w:p>
      <w:pPr>
        <w:pStyle w:val="ListBullet"/>
        <w:spacing w:after="60"/>
      </w:pPr>
      <w:r>
        <w:t>若加载 baseline / 视觉记忆预训练权重，正式推荐一个很短的 warm-up：先训语义新增模块与新输出头，再全部解冻联合训练；</w:t>
      </w:r>
    </w:p>
    <w:p>
      <w:pPr>
        <w:pStyle w:val="ListBullet"/>
        <w:spacing w:after="60"/>
      </w:pPr>
      <w:r>
        <w:t>若从零开始训练，则直接联合训练，不做 warm-up；</w:t>
      </w:r>
    </w:p>
    <w:p>
      <w:pPr>
        <w:pStyle w:val="ListBullet"/>
        <w:spacing w:after="60"/>
      </w:pPr>
      <w:r>
        <w:t>主损失继续沿用 action segmentation 主损失；</w:t>
      </w:r>
    </w:p>
    <w:p>
      <w:pPr>
        <w:pStyle w:val="ListBullet"/>
        <w:spacing w:after="60"/>
      </w:pPr>
      <w:r>
        <w:t>prototype 分支不单独增加 prototype classification loss；</w:t>
      </w:r>
    </w:p>
    <w:p>
      <w:pPr>
        <w:pStyle w:val="ListBullet"/>
        <w:spacing w:after="60"/>
      </w:pPr>
      <w:r>
        <w:t>error semantic branch 不单独增加 error classification supervision。</w:t>
      </w:r>
    </w:p>
    <w:p>
      <w:pPr>
        <w:pStyle w:val="BodyText"/>
      </w:pPr>
      <w:r>
        <w:t>为稳定训练，semantic fusion gate 与 prototype gate 的初始偏置应偏保守，尤其 prototype gate 最后一层 bias 应初始化为负值，使训练初期模型主要依赖 main head。</w:t>
      </w:r>
    </w:p>
    <w:p>
      <w:pPr>
        <w:pStyle w:val="Heading1"/>
        <w:keepNext/>
      </w:pPr>
      <w:r>
        <w:t>10. 日志监控与调试接口设计</w:t>
      </w:r>
    </w:p>
    <w:p>
      <w:pPr>
        <w:pStyle w:val="BodyText"/>
      </w:pPr>
      <w:r>
        <w:t>语义记忆模块比视觉记忆更容易出现“看起来接进去了，但实际上没在工作”的情况，因此第一版必须配套两层调试体系：训练期聚合标量日志，以及 forward_with_aux 的细粒度中间量。日志设计的目标不是增加花样，而是验证语义分支的独立性、功能边界与稳定性。</w:t>
      </w:r>
    </w:p>
    <w:p>
      <w:pPr>
        <w:pStyle w:val="Heading2"/>
        <w:keepNext/>
      </w:pPr>
      <w:r>
        <w:t>10.1 默认训练日志（聚合标量）</w:t>
      </w:r>
    </w:p>
    <w:p>
      <w:pPr>
        <w:pStyle w:val="ListBullet"/>
        <w:spacing w:after="60"/>
      </w:pPr>
      <w:r>
        <w:t>语义观测分布类：alpha_entropy、alpha_top1_mean、alpha_gap_mean、error_mass_mean、error_entropy、topology_mass_mean；</w:t>
      </w:r>
    </w:p>
    <w:p>
      <w:pPr>
        <w:pStyle w:val="ListBullet"/>
        <w:spacing w:after="60"/>
      </w:pPr>
      <w:r>
        <w:t>语义记忆动力学类：short_norm、long_norm、delta_short、delta_long、short_long_ratio、long_gate_mean、long_gate_near_zero_ratio、long_gate_near_cap_ratio；</w:t>
      </w:r>
    </w:p>
    <w:p>
      <w:pPr>
        <w:pStyle w:val="ListBullet"/>
        <w:spacing w:after="60"/>
      </w:pPr>
      <w:r>
        <w:t>显式辅助轨迹类：coverage_mean、coverage_sparsity、coverage_update_mean、uncertainty_mean、uncertainty_delta；</w:t>
      </w:r>
    </w:p>
    <w:p>
      <w:pPr>
        <w:pStyle w:val="ListBullet"/>
        <w:spacing w:after="60"/>
      </w:pPr>
      <w:r>
        <w:t>融合与原型行为类：fuse_gate_mean、fuse_gate_low_ratio、fuse_gate_high_ratio、proto_gate_mean、proto_gate_step_var、proto_boost_mean、proto_boost_to_main_ratio；</w:t>
      </w:r>
    </w:p>
    <w:p>
      <w:pPr>
        <w:pStyle w:val="ListBullet"/>
        <w:spacing w:after="60"/>
      </w:pPr>
      <w:r>
        <w:t>视觉—语义关系类：cos_vis_sem_short、cos_vis_sem_long、cos_base_semctx、cos_sem_short_long；</w:t>
      </w:r>
    </w:p>
    <w:p>
      <w:pPr>
        <w:pStyle w:val="ListBullet"/>
        <w:spacing w:after="60"/>
      </w:pPr>
      <w:r>
        <w:t>输出层结果类：main_vs_final_logit_diff、step_logit_margin_mean、extra_logit_mean、step_vs_extra_gap。</w:t>
      </w:r>
    </w:p>
    <w:p>
      <w:pPr>
        <w:pStyle w:val="Heading2"/>
        <w:keepNext/>
      </w:pPr>
      <w:r>
        <w:t>10.2 forward_with_aux 必须暴露的中间量</w:t>
      </w:r>
    </w:p>
    <w:p>
      <w:pPr>
        <w:pStyle w:val="ListBullet"/>
        <w:spacing w:after="60"/>
      </w:pPr>
      <w:r>
        <w:t>step_posteriors α_t；error_posteriors γ_t / β_t；</w:t>
      </w:r>
    </w:p>
    <w:p>
      <w:pPr>
        <w:pStyle w:val="ListBullet"/>
        <w:spacing w:after="60"/>
      </w:pPr>
      <w:r>
        <w:t>step_sem_obs、error_sem_obs、aux_stats_seq；</w:t>
      </w:r>
    </w:p>
    <w:p>
      <w:pPr>
        <w:pStyle w:val="ListBullet"/>
        <w:spacing w:after="60"/>
      </w:pPr>
      <w:r>
        <w:t>sem_short_seq、sem_long_seq、sem_long_gate_seq；</w:t>
      </w:r>
    </w:p>
    <w:p>
      <w:pPr>
        <w:pStyle w:val="ListBullet"/>
        <w:spacing w:after="60"/>
      </w:pPr>
      <w:r>
        <w:t>coverage_trace_seq、uncertainty_trace_seq；</w:t>
      </w:r>
    </w:p>
    <w:p>
      <w:pPr>
        <w:pStyle w:val="ListBullet"/>
        <w:spacing w:after="60"/>
      </w:pPr>
      <w:r>
        <w:t>visual_ctx_seq、semantic_ctx_seq、semantic_fuse_gate_seq、joint_fused_seq；</w:t>
      </w:r>
    </w:p>
    <w:p>
      <w:pPr>
        <w:pStyle w:val="ListBullet"/>
        <w:spacing w:after="60"/>
      </w:pPr>
      <w:r>
        <w:t>main_logits、proto_logits、proto_gate、final_logits，以及 step_node_ids / extra_node_ids。</w:t>
      </w:r>
    </w:p>
    <w:p>
      <w:pPr>
        <w:pStyle w:val="Heading2"/>
        <w:keepNext/>
      </w:pPr>
      <w:r>
        <w:t>10.3 这一组日志要解决的三个关键问题</w:t>
      </w:r>
    </w:p>
    <w:p>
      <w:pPr>
        <w:pStyle w:val="ListBullet"/>
        <w:spacing w:after="60"/>
      </w:pPr>
      <w:r>
        <w:t>语义记忆有没有真正工作，而不是只接入图中但不更新；</w:t>
      </w:r>
    </w:p>
    <w:p>
      <w:pPr>
        <w:pStyle w:val="ListBullet"/>
        <w:spacing w:after="60"/>
      </w:pPr>
      <w:r>
        <w:t>语义分支会不会塌缩成视觉分支的文本化表达；</w:t>
      </w:r>
    </w:p>
    <w:p>
      <w:pPr>
        <w:pStyle w:val="ListBullet"/>
        <w:spacing w:after="60"/>
      </w:pPr>
      <w:r>
        <w:t>prototype 分支会不会过度推高真实步骤节点，从而压制 extra/background 节点。</w:t>
      </w:r>
    </w:p>
    <w:p>
      <w:pPr>
        <w:pStyle w:val="BodyText"/>
      </w:pPr>
      <w:r>
        <w:t>默认训练只记录聚合标量；所有时序大张量、单视频时间曲线与逐段可视化分析，仅在 debug / aux 模式下开启。</w:t>
      </w:r>
    </w:p>
    <w:p>
      <w:pPr>
        <w:pStyle w:val="Heading1"/>
        <w:keepNext/>
      </w:pPr>
      <w:r>
        <w:t>11. 实现边界、暂不做的事与正式对照方案</w:t>
      </w:r>
    </w:p>
    <w:p>
      <w:pPr>
        <w:pStyle w:val="BodyText"/>
      </w:pPr>
      <w:r>
        <w:t>第一版语义记忆只改新的 action_logits / C_{i,t} 生成器，不改 GTG2Vid 动态规划本体，也不改现有 ERM 推理主链。它是对当前视觉记忆正式版本的结构性扩展，而不是推翻式重写。</w:t>
      </w:r>
    </w:p>
    <w:p>
      <w:pPr>
        <w:pStyle w:val="Heading2"/>
        <w:keepNext/>
      </w:pPr>
      <w:r>
        <w:t>11.1 明确不改的内容</w:t>
      </w:r>
    </w:p>
    <w:p>
      <w:pPr>
        <w:pStyle w:val="ListBullet"/>
        <w:spacing w:after="60"/>
      </w:pPr>
      <w:r>
        <w:t>不改第一次 GTG2Vid 的 DP 表、frame dropping、node dropping 与 traceback；</w:t>
      </w:r>
    </w:p>
    <w:p>
      <w:pPr>
        <w:pStyle w:val="ListBullet"/>
        <w:spacing w:after="60"/>
      </w:pPr>
      <w:r>
        <w:t>不改第二次 no-drop GTG2Vid 的算法逻辑；</w:t>
      </w:r>
    </w:p>
    <w:p>
      <w:pPr>
        <w:pStyle w:val="ListBullet"/>
        <w:spacing w:after="60"/>
      </w:pPr>
      <w:r>
        <w:t>不改 ERM 的主推理形式；</w:t>
      </w:r>
    </w:p>
    <w:p>
      <w:pPr>
        <w:pStyle w:val="ListBullet"/>
        <w:spacing w:after="60"/>
      </w:pPr>
      <w:r>
        <w:t>不在本稿中正式实现多节点软加权 ERM。</w:t>
      </w:r>
    </w:p>
    <w:p>
      <w:pPr>
        <w:pStyle w:val="Heading2"/>
        <w:keepNext/>
      </w:pPr>
      <w:r>
        <w:t>11.2 第一版明确不做的事</w:t>
      </w:r>
    </w:p>
    <w:p>
      <w:pPr>
        <w:pStyle w:val="ListBullet"/>
        <w:spacing w:after="60"/>
      </w:pPr>
      <w:r>
        <w:t>不引入 GNN、graph transformer、slot bank 和记忆读写寻址系统；</w:t>
      </w:r>
    </w:p>
    <w:p>
      <w:pPr>
        <w:pStyle w:val="ListBullet"/>
        <w:spacing w:after="60"/>
      </w:pPr>
      <w:r>
        <w:t>不给 extra/background 节点建独立文本原型；</w:t>
      </w:r>
    </w:p>
    <w:p>
      <w:pPr>
        <w:pStyle w:val="ListBullet"/>
        <w:spacing w:after="60"/>
      </w:pPr>
      <w:r>
        <w:t>不增加 memory-specific 辅助监督与 long smoothing loss；</w:t>
      </w:r>
    </w:p>
    <w:p>
      <w:pPr>
        <w:pStyle w:val="ListBullet"/>
        <w:spacing w:after="60"/>
      </w:pPr>
      <w:r>
        <w:t>不把 raw prototypes 设为可训练自由参数；</w:t>
      </w:r>
    </w:p>
    <w:p>
      <w:pPr>
        <w:pStyle w:val="ListBullet"/>
        <w:spacing w:after="60"/>
      </w:pPr>
      <w:r>
        <w:t>不把语义分支做成独立主打分器；</w:t>
      </w:r>
    </w:p>
    <w:p>
      <w:pPr>
        <w:pStyle w:val="ListBullet"/>
        <w:spacing w:after="60"/>
      </w:pPr>
      <w:r>
        <w:t>不做大规模消融树。</w:t>
      </w:r>
    </w:p>
    <w:p>
      <w:pPr>
        <w:pStyle w:val="Heading2"/>
        <w:keepNext/>
      </w:pPr>
      <w:r>
        <w:t>11.3 第一版正式对照方案</w:t>
      </w:r>
    </w:p>
    <w:p>
      <w:pPr>
        <w:pStyle w:val="ListBullet"/>
        <w:spacing w:after="60"/>
      </w:pPr>
      <w:r>
        <w:t>对照 A：视觉记忆版（当前正式版本）；</w:t>
      </w:r>
    </w:p>
    <w:p>
      <w:pPr>
        <w:pStyle w:val="ListBullet"/>
        <w:spacing w:after="60"/>
      </w:pPr>
      <w:r>
        <w:t>对照 B：视觉 + 语义完整版。</w:t>
      </w:r>
    </w:p>
    <w:p>
      <w:pPr>
        <w:pStyle w:val="BodyText"/>
      </w:pPr>
      <w:r>
        <w:t>step-only、去 prototype、去 topology、去 uncertainty 等更多变体不写入第一版正式设计主线，必要时只作为后续补充探索。</w:t>
      </w:r>
    </w:p>
    <w:p>
      <w:pPr>
        <w:pStyle w:val="Heading1"/>
        <w:keepNext/>
      </w:pPr>
      <w:r>
        <w:t>12. 最终数据流、推荐默认值与正式结论</w:t>
      </w:r>
    </w:p>
    <w:p>
      <w:pPr>
        <w:pStyle w:val="BodyText"/>
      </w:pPr>
      <w:r>
        <w:t>到本节为止，语义记忆模块的关键结构、更新器、融合方式、训练原则、日志监控和实现边界均已形成闭环。后续目录骨架、代码骨架、实现和测试推进，应以本节给出的最终数据流与推荐默认值为统一依据。</w:t>
      </w:r>
    </w:p>
    <w:p>
      <w:pPr>
        <w:pStyle w:val="Heading2"/>
        <w:keepNext/>
      </w:pPr>
      <w:r>
        <w:t>12.1 最终数据流（第一版正式写法）</w:t>
      </w:r>
    </w:p>
    <w:p>
      <w:pPr>
        <w:pStyle w:val="Equation"/>
        <w:jc w:val="center"/>
      </w:pPr>
      <w:r>
        <w:rPr>
          <w:rFonts w:ascii="Liberation Mono" w:hAnsi="Liberation Mono" w:eastAsia="Noto Sans CJK SC"/>
          <w:i/>
          <w:color w:val="334E68"/>
          <w:sz w:val="21"/>
        </w:rPr>
        <w:t>x_t -&gt; backbone features h_t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h_t -&gt; visual memory branch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h_t -&gt; [step / error similarity + topology soft bias] -&gt; semantic observation -&gt; semantic memory branch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[base feature, visual context, semantic context] -&gt; asymmetric gated fusion -&gt; z_t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z_t -&gt; main head + prototype head + prototype gate -&gt; action_logits / C_{i,t}</w:t>
        <w:br/>
      </w:r>
      <w:r>
        <w:rPr>
          <w:rFonts w:ascii="Liberation Mono" w:hAnsi="Liberation Mono" w:eastAsia="Noto Sans CJK SC"/>
          <w:i/>
          <w:color w:val="334E68"/>
          <w:sz w:val="21"/>
        </w:rPr>
        <w:t>action_logits -&gt; GTG2Vid_1 and GTG2Vid_2</w:t>
      </w:r>
    </w:p>
    <w:p>
      <w:pPr>
        <w:pStyle w:val="Heading2"/>
        <w:keepNext/>
      </w:pPr>
      <w:r>
        <w:t>12.2 推荐默认值总表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7D3E3"/>
          <w:left w:val="single" w:sz="8" w:space="0" w:color="C7D3E3"/>
          <w:bottom w:val="single" w:sz="8" w:space="0" w:color="C7D3E3"/>
          <w:right w:val="single" w:sz="8" w:space="0" w:color="C7D3E3"/>
          <w:insideH w:val="single" w:sz="8" w:space="0" w:color="C7D3E3"/>
          <w:insideV w:val="single" w:sz="8" w:space="0" w:color="C7D3E3"/>
        </w:tblBorders>
      </w:tblPr>
      <w:tblGrid>
        <w:gridCol w:w="3192"/>
        <w:gridCol w:w="3192"/>
        <w:gridCol w:w="3192"/>
      </w:tblGrid>
      <w:tr>
        <w:trPr>
          <w:tblHeader w:val="true"/>
          <w:tblHeader w:val="true"/>
          <w:cantSplit w:val="1"/>
        </w:trPr>
        <w:tc>
          <w:tcPr>
            <w:tcW w:type="dxa" w:w="2268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配置项</w:t>
            </w:r>
          </w:p>
        </w:tc>
        <w:tc>
          <w:tcPr>
            <w:tcW w:type="dxa" w:w="1984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推荐默认值</w:t>
            </w:r>
          </w:p>
        </w:tc>
        <w:tc>
          <w:tcPr>
            <w:tcW w:type="dxa" w:w="3345"/>
            <w:shd w:fill="DDE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说明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semantic short memory 维度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256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与视觉 short 对齐，便于联合融合。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semantic long memory 维度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384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与视觉 long 对齐，强调慢更新全局摘要。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uncertainty trace 维度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32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辅助轨迹，不与主状态等量级。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long 写入上限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0.2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与视觉 long 一致，作为结构性慢更新先验。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coverage EMA 速率 η_c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0.05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保守积累步骤覆盖。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uncertainty EMA 速率 η_u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0.10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比 coverage 更敏感。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error 候选累计概率阈值 ρ_err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0.85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error 分支候选收缩默认值。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error 候选数上限 K_max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5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避免模糊帧 error 分支无限展开。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拓扑系数 λ_self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1.0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鼓励当前步骤延续。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拓扑系数 λ_succ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0.8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鼓励向后继步骤过渡。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拓扑系数 λ_pred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0.4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前驱整体支持的弱辅助。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拓扑偏置总强度 λ_topo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0.5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保持拓扑为 soft prior 而非主导项。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semantic fusion gate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256 维 channel-wise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不采用标量门。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warm-up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有预训练时推荐短 warm-up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从零训练时直接联合训练。</w:t>
            </w:r>
          </w:p>
        </w:tc>
      </w:tr>
      <w:tr>
        <w:trPr>
          <w:cantSplit w:val="1"/>
        </w:trPr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"/>
            </w:pPr>
            <w:r>
              <w:t>日志默认策略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聚合标量默认开启；大张量仅 debug</w:t>
            </w:r>
          </w:p>
        </w:tc>
        <w:tc>
          <w:tcPr>
            <w:tcW w:type="dxa" w:w="3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BodyText2"/>
            </w:pPr>
            <w:r>
              <w:t>控制训练开销。</w:t>
            </w:r>
          </w:p>
        </w:tc>
      </w:tr>
    </w:tbl>
    <w:p>
      <w:pPr>
        <w:pStyle w:val="Heading2"/>
        <w:keepNext/>
      </w:pPr>
      <w:r>
        <w:t>12.3 最终正式结论</w:t>
      </w:r>
    </w:p>
    <w:p>
      <w:pPr>
        <w:pStyle w:val="ListBullet"/>
        <w:spacing w:after="60"/>
      </w:pPr>
      <w:r>
        <w:t>第一版语义记忆是与视觉记忆同级并行的独立语义历史建模分支；</w:t>
      </w:r>
    </w:p>
    <w:p>
      <w:pPr>
        <w:pStyle w:val="ListBullet"/>
        <w:spacing w:after="60"/>
      </w:pPr>
      <w:r>
        <w:t>它通过“帧-文本直接相似度 + GTG 拓扑 soft bias”构造 step / error 语义观测，并以 short / long 记忆形式持续积累；</w:t>
      </w:r>
    </w:p>
    <w:p>
      <w:pPr>
        <w:pStyle w:val="ListBullet"/>
        <w:spacing w:after="60"/>
      </w:pPr>
      <w:r>
        <w:t>它以 feature-level、受控增强的方式进入主打分主链，而不是在 logits 层后处理改分；</w:t>
      </w:r>
    </w:p>
    <w:p>
      <w:pPr>
        <w:pStyle w:val="ListBullet"/>
        <w:spacing w:after="60"/>
      </w:pPr>
      <w:r>
        <w:t>final logits 仍由统一输出头产生，其中 main head 覆盖全 GTG 节点，prototype head 只对真实步骤节点提供 gated 语义增强；</w:t>
      </w:r>
    </w:p>
    <w:p>
      <w:pPr>
        <w:pStyle w:val="ListBullet"/>
        <w:spacing w:after="60"/>
      </w:pPr>
      <w:r>
        <w:t>整套设计在不改两次 GTG2Vid 本体、不改 ERM 主推理链的前提下完成，且可直接作为后续目录骨架、代码骨架、实现与测试推进的唯一正式依据。</w:t>
      </w:r>
    </w:p>
    <w:p>
      <w:pPr>
        <w:pStyle w:val="BodyText"/>
      </w:pPr>
      <w:r>
        <w:t>在没有新的讨论结论之前，不应再随意改动本方案中的关键结构选择。后续如果需要推进多节点软加权 ERM、可学习拓扑系数、复杂图记忆或额外辅助监督，应另行形成新文档，而不应回写到当前第一版正式定稿中。</w:t>
      </w:r>
    </w:p>
    <w:p>
      <w:pPr>
        <w:pStyle w:val="Heading2"/>
        <w:keepNext/>
      </w:pPr>
      <w:r>
        <w:t>附：写作与实现时的使用说明</w:t>
      </w:r>
    </w:p>
    <w:p>
      <w:pPr>
        <w:pStyle w:val="BodyText"/>
      </w:pPr>
      <w:r>
        <w:t>本文件建议存放在 references/docs/active/ 下，并作为后续语义记忆目录骨架、代码骨架、实现顺序和测试推进的唯一正式依据。代码实现应以本文件章节顺序为准：先接口、后观测、再 memory、再融合和头、最后训练与调试。</w:t>
      </w:r>
    </w:p>
    <w:sectPr w:rsidR="00FC693F" w:rsidRPr="0006063C" w:rsidSect="00034616">
      <w:headerReference w:type="default" r:id="rId9"/>
      <w:pgSz w:w="12240" w:h="15840"/>
      <w:pgMar w:top="1247" w:right="1332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B7A8F"/>
        <w:sz w:val="18"/>
      </w:rPr>
      <w:t>GTG-memory｜语义记忆模块详细设计定稿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 w:before="0"/>
    </w:pPr>
    <w:rPr>
      <w:rFonts w:ascii="Times New Roman" w:hAnsi="Times New Roman" w:eastAsia="Noto Serif CJK SC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14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55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31" w:lineRule="auto"/>
      <w:ind w:firstLine="420"/>
    </w:pPr>
    <w:rPr>
      <w:rFonts w:ascii="Times New Roman" w:hAnsi="Times New Roman" w:eastAsia="Noto Serif CJK SC"/>
      <w:b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307" w:lineRule="auto"/>
      <w:ind w:firstLine="420"/>
    </w:pPr>
    <w:rPr>
      <w:rFonts w:ascii="Times New Roman" w:hAnsi="Times New Roman" w:eastAsia="Noto Serif CJK SC"/>
      <w:b w:val="0"/>
      <w:color w:val="415A77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40"/>
      <w:contextualSpacing/>
    </w:pPr>
    <w:rPr>
      <w:rFonts w:ascii="Times New Roman" w:hAnsi="Times New Roman" w:eastAsia="Noto Serif CJK SC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93" w:lineRule="auto" w:after="40"/>
      <w:contextualSpacing/>
    </w:pPr>
    <w:rPr>
      <w:rFonts w:ascii="Times New Roman" w:hAnsi="Times New Roman" w:eastAsia="Noto Serif CJK SC"/>
      <w:b w:val="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40"/>
      <w:contextualSpacing/>
    </w:pPr>
    <w:rPr>
      <w:rFonts w:ascii="Times New Roman" w:hAnsi="Times New Roman" w:eastAsia="Noto Serif CJK SC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93" w:lineRule="auto" w:after="40"/>
      <w:contextualSpacing/>
    </w:pPr>
    <w:rPr>
      <w:rFonts w:ascii="Times New Roman" w:hAnsi="Times New Roman" w:eastAsia="Noto Serif CJK SC"/>
      <w:b w:val="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120" w:line="276" w:lineRule="auto"/>
    </w:pPr>
    <w:rPr>
      <w:rFonts w:ascii="Liberation Mono" w:hAnsi="Liberation Mono" w:eastAsia="Noto Sans CJK SC"/>
      <w:b w:val="0"/>
      <w:color w:val="334E68"/>
      <w:sz w:val="21"/>
    </w:rPr>
  </w:style>
  <w:style w:type="paragraph" w:customStyle="1" w:styleId="Small">
    <w:name w:val="Small"/>
    <w:pPr>
      <w:spacing w:line="276" w:lineRule="auto" w:after="40"/>
    </w:pPr>
    <w:rPr>
      <w:rFonts w:ascii="Times New Roman" w:hAnsi="Times New Roman" w:eastAsia="Noto Serif CJK SC"/>
      <w:b w:val="0"/>
      <w:color w:val="556B7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