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SLAC OpenWebUI 数据格式字段规范与约束</w:t>
      </w:r>
    </w:p>
    <w:p>
      <w:pPr>
        <w:jc w:val="left"/>
      </w:pPr>
      <w:r>
        <w:rPr>
          <w:b/>
          <w:color w:val="222222"/>
          <w:sz w:val="26"/>
        </w:rPr>
        <w:t>SLAC 最后一层 · OpenWebUI 交互与后端整合模块数据规范</w:t>
      </w:r>
    </w:p>
    <w:p>
      <w:r>
        <w:rPr>
          <w:i/>
          <w:color w:val="5A5A5A"/>
          <w:sz w:val="20"/>
        </w:rPr>
        <w:t>版本：v1.0    形态：当前实现版 / 面向可落地代码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0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7256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模块位置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SLAC 最后一层三模块划分中的第 1 个模块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模块职责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接收 OpenWebUI Pipe 请求，解析当前问题与当前会话上下文，构造成模块 3 可消费的 slac_integration_request_v1，并将最终结果适配回 OpenWebUI 返回格式。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正式下游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3 的 slac_integration_request_v1；不得绕过模块 3 直接拼装 provider payload。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正式对外返回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slac_openwebui_response_v1；可携带 integration_response 作为调试或透传对象。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兼容约束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必须保持与 slac_integration_request_v1、slac_integration_response_v1、slac_llm_request_v1 以及 retrieval / reranker 已冻结字段语义兼容。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b/>
                <w:color w:val="1F4E79"/>
                <w:sz w:val="22"/>
              </w:rPr>
              <w:t>定位摘要</w:t>
              <w:br/>
            </w:r>
            <w:r>
              <w:rPr>
                <w:sz w:val="21"/>
              </w:rPr>
              <w:t>模块 1 应被定义为薄适配层与入口编排层：它负责“接什么、转成什么、回什么”，而不负责证据选择、prompt 构造或模型调用细节。当前会话记忆由 OpenWebUI 上层传入或由其消息序列派生；模块 1 只做整理与透传，不实现长期记忆系统。</w:t>
            </w:r>
          </w:p>
        </w:tc>
      </w:tr>
    </w:tbl>
    <w:p>
      <w:r>
        <w:br w:type="page"/>
      </w:r>
    </w:p>
    <w:p>
      <w:pPr>
        <w:pStyle w:val="Heading1"/>
      </w:pPr>
      <w:r>
        <w:t>一、适用范围与冻结边界</w:t>
      </w:r>
    </w:p>
    <w:p>
      <w:pPr>
        <w:spacing w:line="293" w:lineRule="auto" w:after="80"/>
      </w:pPr>
      <w:r>
        <w:t>本文档用于冻结模块 1 的对外数据格式、字段命名、输入输出边界与映射规则。模块 1 不是新的检索、重排或大模型模块，而是 OpenWebUI 与后端主链之间的协议适配层。</w:t>
      </w:r>
    </w:p>
    <w:p>
      <w:pPr>
        <w:pStyle w:val="ListBullet"/>
        <w:spacing w:line="276" w:lineRule="auto" w:after="40"/>
      </w:pPr>
      <w:r>
        <w:t>正式上游：OpenWebUI Pipe 请求或其规范化后的等价对象。</w:t>
      </w:r>
    </w:p>
    <w:p>
      <w:pPr>
        <w:pStyle w:val="ListBullet"/>
        <w:spacing w:line="276" w:lineRule="auto" w:after="40"/>
      </w:pPr>
      <w:r>
        <w:t>正式下游：slac_integration_request_v1；模块 1 不重新定义 integration schema。</w:t>
      </w:r>
    </w:p>
    <w:p>
      <w:pPr>
        <w:pStyle w:val="ListBullet"/>
        <w:spacing w:line="276" w:lineRule="auto" w:after="40"/>
      </w:pPr>
      <w:r>
        <w:t>返回对象：slac_openwebui_response_v1；供 Pipe / 前端继续消费。</w:t>
      </w:r>
    </w:p>
    <w:p>
      <w:pPr>
        <w:pStyle w:val="ListBullet"/>
        <w:spacing w:line="276" w:lineRule="auto" w:after="40"/>
      </w:pPr>
      <w:r>
        <w:t>当前会话记忆：仅消费当前会话上下文，不承担长期记忆、独立记忆落盘或知识库存储。</w:t>
      </w:r>
    </w:p>
    <w:p>
      <w:pPr>
        <w:pStyle w:val="ListBullet"/>
        <w:spacing w:line="276" w:lineRule="auto" w:after="40"/>
      </w:pPr>
      <w:r>
        <w:t>禁止职责漂移：不得在模块 1 内实现 evidence selection、prompt build、reranker 排序或 provider 调用。</w:t>
      </w:r>
    </w:p>
    <w:p>
      <w:pPr>
        <w:pStyle w:val="Heading1"/>
      </w:pPr>
      <w:r>
        <w:t>二、总体数据流</w:t>
      </w:r>
    </w:p>
    <w:p>
      <w:pPr>
        <w:spacing w:line="293" w:lineRule="auto" w:after="80"/>
      </w:pPr>
      <w:r>
        <w:t>模块 1 的数据流应明确分层，避免把 OpenWebUI 前端输入与后端业务逻辑直接耦合。推荐主链如下。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color w:val="222222"/>
                <w:sz w:val="18"/>
              </w:rPr>
              <w:t>OpenWebUI Pipe request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模块 1：OpenWebUI 交互与后端整合模块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-&gt; parse / normalize / memory extract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-&gt; slac_integration_request_v1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模块 3：Integration 模块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-&gt; retrieval / reranker / evidence / prompt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-&gt; slac_llm_request_v1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模块 2：LLM 模块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-&gt; slac_llm_answer_v1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模块 3：slac_integration_response_v1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模块 1：slac_openwebui_response_v1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-&gt; OpenWebUI 前端显示</w:t>
              <w:br/>
            </w:r>
          </w:p>
        </w:tc>
      </w:tr>
    </w:tbl>
    <w:p/>
    <w:p>
      <w:pPr>
        <w:spacing w:line="293" w:lineRule="auto" w:after="80"/>
      </w:pPr>
      <w:r>
        <w:t>冻结原则：模块 1 只决定如何把 UI 侧输入整理为模块 3 的正式入口，并把模块 3 的返回结果转成 UI 可消费结构；真正“发什么给模型”由模块 3 决定，真正“怎么调模型”由模块 2 决定。</w:t>
      </w:r>
    </w:p>
    <w:p>
      <w:pPr>
        <w:pStyle w:val="Heading1"/>
      </w:pPr>
      <w:r>
        <w:t>三、正式输入契约：slac_openwebui_request_v1</w:t>
      </w:r>
    </w:p>
    <w:p>
      <w:pPr>
        <w:spacing w:line="293" w:lineRule="auto" w:after="80"/>
      </w:pPr>
      <w:r>
        <w:t>为避免直接依赖 OpenWebUI Pipe 的原始结构细节，模块 1 的正式输入建议冻结为 slac_openwebui_request_v1。若实际运行时收到的是 Pipe 原始 payload，应先做 parse / normalize，再进入本契约。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7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907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4988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schema_version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固定为 slac_openwebui_request_v1。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record_type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固定为 openwebui_request。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request_id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本次入口请求唯一标识。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session_id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当前会话标识；建议与 OpenWebUI chat/session 对齐。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query_id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当前问题标识；建议贯穿模块 1、3、2。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query_text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当前轮问题文本；若上游未显式提供，模块 1 应从当前用户消息中抽取。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raw_messages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list[message]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OpenWebUI 当前会话消息序列；用于抽取当前轮消息与当前会话记忆。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memory_override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若上游已整理好当前会话记忆，可直接透传；否则由模块 1 从 raw_messages 派生。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context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文档范围、域提示、来源类型、文件选择等业务上下文。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runtime_config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integration / retrieval / reranker / llm 相关运行参数与目录注入。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openwebui_meta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chat_id、message_id、selected_model、stream 等 UI 侧元信息。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meta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其他透传扩展信息。</w:t>
            </w:r>
          </w:p>
        </w:tc>
      </w:tr>
    </w:tbl>
    <w:p/>
    <w:p>
      <w:pPr>
        <w:pStyle w:val="Heading2"/>
      </w:pPr>
      <w:r>
        <w:t>3.1 message 对象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1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1133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02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4762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role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system / user / assistant。建议保持 OpenWebUI 原顺序。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content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消息文本内容。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如 UI 上层有角色名，可透传到 meta。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meta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消息级附加信息，例如 message_id、timestamp。</w:t>
            </w:r>
          </w:p>
        </w:tc>
      </w:tr>
    </w:tbl>
    <w:p/>
    <w:p>
      <w:pPr>
        <w:pStyle w:val="Heading2"/>
      </w:pPr>
      <w:r>
        <w:t>3.2 memory_override 对象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1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1133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02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4762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source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建议固定为 openwebui_current_session。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messages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list[message]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当前会话历史消息；不含当前轮问题时更利于职责清晰。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summary_text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若未来 OpenWebUI 提供摘要式会话上下文，可作为兼容扩展字段。</w:t>
            </w:r>
          </w:p>
        </w:tc>
      </w:tr>
    </w:tbl>
    <w:p/>
    <w:p>
      <w:pPr>
        <w:pStyle w:val="Heading2"/>
      </w:pPr>
      <w:r>
        <w:t>3.3 context 对象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1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1133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02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4762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doc_scope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list[str]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限定当前问答仅在某些 doc_id 范围内工作。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expected_doc_hint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上层已有预期文档提示时透传给模块 3 记录或 tie-break。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domain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例如 railway、general。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source_type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例如 docx、pdf、mixed；仅作上下文提示。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files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list[file_ref]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UI 选择的文件或附件引用；可进一步映射到 doc_scope 或 meta。</w:t>
            </w:r>
          </w:p>
        </w:tc>
      </w:tr>
    </w:tbl>
    <w:p/>
    <w:p>
      <w:pPr>
        <w:pStyle w:val="Heading2"/>
      </w:pPr>
      <w:r>
        <w:t>3.4 runtime_config 对象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1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1133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020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4762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retrieval_run_dir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模块 3 / retrieval adapter 可使用的 retrieval 产物目录。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reranker_run_dir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模块 3 / reranker adapter 可使用的 reranker 产物目录。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working_dir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必要时用于 subprocess 调用或相对路径解析。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pipeline_overrides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对 slac_integration_request_v1 中 pipeline_config 的覆盖项。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prompt_hints_overrides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对 prompt_hints 的覆盖项。</w:t>
            </w:r>
          </w:p>
        </w:tc>
      </w:tr>
      <w:tr>
        <w:tc>
          <w:tcPr>
            <w:tcW w:type="dxa" w:w="181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response_options</w:t>
            </w:r>
          </w:p>
        </w:tc>
        <w:tc>
          <w:tcPr>
            <w:tcW w:type="dxa" w:w="11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76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是否透传 integration_response、是否保留 debug 信息等返回偏好。</w:t>
            </w:r>
          </w:p>
        </w:tc>
      </w:tr>
    </w:tbl>
    <w:p/>
    <w:p>
      <w:pPr>
        <w:pStyle w:val="Heading1"/>
      </w:pPr>
      <w:r>
        <w:t>四、模块 1 到模块 3 的映射规则</w:t>
      </w:r>
    </w:p>
    <w:p>
      <w:pPr>
        <w:spacing w:line="293" w:lineRule="auto" w:after="80"/>
      </w:pPr>
      <w:r>
        <w:t>模块 1 的正式下游应直接采用 slac_integration_request_v1。它不应重命名模块 3 已冻结字段，也不应额外发明第二套 integration schema。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81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模块 1 字段</w:t>
            </w:r>
          </w:p>
        </w:tc>
        <w:tc>
          <w:tcPr>
            <w:tcW w:type="dxa" w:w="2381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映射到模块 3</w:t>
            </w:r>
          </w:p>
        </w:tc>
        <w:tc>
          <w:tcPr>
            <w:tcW w:type="dxa" w:w="3514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request_id / session_id / query_id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同名透传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建议原样透传，便于全链路 trace。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query_text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query_text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必须保证非空。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raw_messages 中当前轮用户消息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messages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模块 3 需要明确的 current messages，不能只填 query_text。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memory_override 或 raw_messages 历史轮次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memory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当前会话记忆入口；保持模块 2 / 3 兼容格式。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context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context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doc_scope / domain / source_type 等可直接透传。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runtime_config.pipeline_overrides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pipeline_config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只允许做配置覆盖，不应把 evidence 直接塞入模块 1。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runtime_config.prompt_hints_overrides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prompt_hints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仅影响回答风格与提示偏好。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openwebui_meta / meta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meta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r>
              <w:t>保留 chat_id、message_id、selected_model 等 UI 痕迹。</w:t>
            </w:r>
          </w:p>
        </w:tc>
      </w:tr>
    </w:tbl>
    <w:p/>
    <w:p>
      <w:pPr>
        <w:spacing w:line="293" w:lineRule="auto" w:after="80"/>
      </w:pPr>
      <w:r>
        <w:t>关键约束：模块 1 必须明确抽出“当前轮问题”作为 current messages，避免只把 query_text 填进 integration_request 而不提供 messages。模块 3 的设计已要求 current messages 中显式包含当前问题。</w:t>
      </w:r>
    </w:p>
    <w:p>
      <w:pPr>
        <w:pStyle w:val="Heading1"/>
      </w:pPr>
      <w:r>
        <w:t>五、当前会话记忆派生规则</w:t>
      </w:r>
    </w:p>
    <w:p>
      <w:pPr>
        <w:pStyle w:val="ListBullet"/>
        <w:spacing w:line="276" w:lineRule="auto" w:after="40"/>
      </w:pPr>
      <w:r>
        <w:t>若提供 memory_override，则优先直接使用，并视为当前会话记忆入口。</w:t>
      </w:r>
    </w:p>
    <w:p>
      <w:pPr>
        <w:pStyle w:val="ListBullet"/>
        <w:spacing w:line="276" w:lineRule="auto" w:after="40"/>
      </w:pPr>
      <w:r>
        <w:t>若未提供 memory_override，但提供 raw_messages，则模块 1 应按消息顺序派生 memory.messages。</w:t>
      </w:r>
    </w:p>
    <w:p>
      <w:pPr>
        <w:pStyle w:val="ListBullet"/>
        <w:spacing w:line="276" w:lineRule="auto" w:after="40"/>
      </w:pPr>
      <w:r>
        <w:t>推荐将“当前轮用户问题”单独放入 messages，把此前轮次放入 memory.messages；这样与模块 3、模块 2 的职责边界更清楚。</w:t>
      </w:r>
    </w:p>
    <w:p>
      <w:pPr>
        <w:pStyle w:val="ListBullet"/>
        <w:spacing w:line="276" w:lineRule="auto" w:after="40"/>
      </w:pPr>
      <w:r>
        <w:t>若上层未来改为摘要式上下文，可通过 summary_text 兼容扩展，但本版仍以 messages 为主。</w:t>
      </w:r>
    </w:p>
    <w:p>
      <w:pPr>
        <w:pStyle w:val="ListBullet"/>
        <w:spacing w:line="276" w:lineRule="auto" w:after="40"/>
      </w:pPr>
      <w:r>
        <w:t>模块 1 不做长期记忆落盘、检索增强或独立摘要压缩。</w:t>
      </w:r>
    </w:p>
    <w:p>
      <w:pPr>
        <w:pStyle w:val="Heading1"/>
      </w:pPr>
      <w:r>
        <w:t>六、正式对外返回：slac_openwebui_response_v1</w:t>
      </w:r>
    </w:p>
    <w:p>
      <w:pPr>
        <w:spacing w:line="293" w:lineRule="auto" w:after="80"/>
      </w:pPr>
      <w:r>
        <w:t>模块 1 的对外返回建议冻结为 slac_openwebui_response_v1。它既要足够薄，便于 OpenWebUI 消费；也要保留必要的后端结果与错误信息。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7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907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4988"/>
            <w:shd w:fill="BDD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schema_version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固定为 slac_openwebui_response_v1。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record_type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固定为 openwebui_response。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ok / degraded / error。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request_id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与输入 request_id 对齐。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session_id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与 OpenWebUI 当前会话对齐。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query_id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与整条后端主链保持一致。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answer_text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必填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最终展示给前端的回答文本。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display_messages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list[message]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若 Pipe 侧需要结构化返回，可放标准 assistant 消息对象。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integration_response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推荐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模块 3 返回的 slac_integration_response_v1；可按 response_options 决定是否透传。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trace_summary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面向 UI 或日志的精简 trace，例如 candidate_source、evidence_count、llm_status。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error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错误类型、阶段、摘要。status=error 时建议保留。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meta</w:t>
            </w:r>
          </w:p>
        </w:tc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jc w:val="center"/>
            </w:pPr>
            <w:r>
              <w:t>可选</w:t>
            </w:r>
          </w:p>
        </w:tc>
        <w:tc>
          <w:tcPr>
            <w:tcW w:type="dxa" w:w="49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r>
              <w:t>chat_id、selected_model、render options 等扩展信息。</w:t>
            </w:r>
          </w:p>
        </w:tc>
      </w:tr>
    </w:tbl>
    <w:p/>
    <w:p>
      <w:pPr>
        <w:pStyle w:val="Heading1"/>
      </w:pPr>
      <w:r>
        <w:t>七、目录与命名建议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color w:val="222222"/>
                <w:sz w:val="18"/>
              </w:rPr>
              <w:t>SLAC/openwebui_bridge/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configs/openwebui_bridge_config.yaml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io/{schemas.py, validators.py}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parsers/{pipe_request_parser.py, memory_extractor.py}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builders/{integration_request_builder.py, response_builder.py}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adapters/{integration_adapter.py}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├─ service/openwebui_bridge_service.py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└─ run/run_openwebui_bridge_smoke.py</w:t>
              <w:br/>
            </w:r>
          </w:p>
        </w:tc>
      </w:tr>
    </w:tbl>
    <w:p/>
    <w:p>
      <w:pPr>
        <w:spacing w:line="293" w:lineRule="auto" w:after="80"/>
      </w:pPr>
      <w:r>
        <w:t>该目录命名强调“桥接 / 适配”而不是“再造一个业务主链”。其中 integration_adapter 只调用模块 3，不能把模块 3 的 orchestrator 逻辑复制到模块 1。</w:t>
      </w:r>
    </w:p>
    <w:p>
      <w:pPr>
        <w:pStyle w:val="Heading1"/>
      </w:pPr>
      <w:r>
        <w:t>八、示例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"schema_version": "slac_openwebui_request_v1",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"record_type": "openwebui_request",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"request_id": "ow_req_0001",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"session_id": "chat_001",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"query_id": "qt_001",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"query_text": "桥梁上部结构设计要求是什么？",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"raw_messages": [...],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"context": {"doc_scope": ["doc_001"], "domain": "railway"},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"runtime_config":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"retrieval_run_dir": "/root/autodl-tmp/data/retrieval_workspace/runs/run_a",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"reranker_run_dir": "/root/autodl-tmp/data/reranker_workspace/runs/run_b"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},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"openwebui_meta": {"chat_id": "chat_001", "selected_model": "slac"},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"meta": {}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</w:p>
        </w:tc>
      </w:tr>
    </w:tbl>
    <w:p/>
    <w:p>
      <w:pPr>
        <w:spacing w:line="293" w:lineRule="auto" w:after="80"/>
      </w:pPr>
      <w:r>
        <w:t>模块 1 内部完成 parse / memory extract 后，应直接生成 slac_integration_request_v1，再调用模块 3。</w:t>
      </w:r>
    </w:p>
    <w:p>
      <w:pPr>
        <w:pStyle w:val="Heading1"/>
      </w:pPr>
      <w:r>
        <w:t>九、本版本冻结结论</w:t>
      </w:r>
    </w:p>
    <w:p>
      <w:pPr>
        <w:pStyle w:val="ListBullet"/>
        <w:spacing w:line="276" w:lineRule="auto" w:after="40"/>
      </w:pPr>
      <w:r>
        <w:t>模块 1 的正式输入建议冻结为 slac_openwebui_request_v1；原始 Pipe payload 应先规范化再进入主链。</w:t>
      </w:r>
    </w:p>
    <w:p>
      <w:pPr>
        <w:pStyle w:val="ListBullet"/>
        <w:spacing w:line="276" w:lineRule="auto" w:after="40"/>
      </w:pPr>
      <w:r>
        <w:t>模块 1 对模块 3 的正式输出应直接采用 slac_integration_request_v1，不再新建第二套 integration schema。</w:t>
      </w:r>
    </w:p>
    <w:p>
      <w:pPr>
        <w:pStyle w:val="ListBullet"/>
        <w:spacing w:line="276" w:lineRule="auto" w:after="40"/>
      </w:pPr>
      <w:r>
        <w:t>模块 1 的正式对外返回建议冻结为 slac_openwebui_response_v1。</w:t>
      </w:r>
    </w:p>
    <w:p>
      <w:pPr>
        <w:pStyle w:val="ListBullet"/>
        <w:spacing w:line="276" w:lineRule="auto" w:after="40"/>
      </w:pPr>
      <w:r>
        <w:t>当前会话记忆只做消费与派生，不做长期记忆系统。</w:t>
      </w:r>
    </w:p>
    <w:p>
      <w:pPr>
        <w:pStyle w:val="ListBullet"/>
        <w:spacing w:line="276" w:lineRule="auto" w:after="40"/>
      </w:pPr>
      <w:r>
        <w:t>模块 1 应保持薄适配层定位，禁止承载 evidence selection、prompt build 与 provider 调用逻辑。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7"/>
      </w:rPr>
      <w:t>SLAC · OpenWebUI 模块文档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