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spacing w:before="320" w:after="160" w:line="288" w:lineRule="auto"/>
        <w:jc w:val="center"/>
      </w:pPr>
      <w:r>
        <w:rPr>
          <w:rFonts w:ascii="Noto Sans CJK SC" w:hAnsi="Noto Sans CJK SC" w:eastAsia="Noto Sans CJK SC"/>
          <w:b/>
          <w:i w:val="0"/>
          <w:color w:val="1F4E79"/>
          <w:sz w:val="46"/>
        </w:rPr>
        <w:t>Refine + Retrieval 链路规范</w:t>
      </w:r>
    </w:p>
    <w:p>
      <w:pPr>
        <w:keepNext w:val="0"/>
        <w:keepLines w:val="0"/>
        <w:spacing w:before="0" w:after="200" w:line="288" w:lineRule="auto"/>
        <w:jc w:val="center"/>
      </w:pPr>
      <w:r>
        <w:rPr>
          <w:rFonts w:ascii="Noto Sans CJK SC" w:hAnsi="Noto Sans CJK SC" w:eastAsia="Noto Sans CJK SC"/>
          <w:b w:val="0"/>
          <w:i w:val="0"/>
          <w:color w:val="637381"/>
          <w:sz w:val="23"/>
        </w:rPr>
        <w:t>Retrieval Baseline Specification v1.0 · For Future Neural Reranker Integration</w:t>
      </w:r>
    </w:p>
    <w:p>
      <w:pPr>
        <w:keepNext w:val="0"/>
        <w:keepLines w:val="0"/>
        <w:spacing w:before="0" w:after="280" w:line="288" w:lineRule="auto"/>
        <w:jc w:val="center"/>
      </w:pPr>
      <w:r>
        <w:rPr>
          <w:rFonts w:ascii="Noto Sans CJK SC" w:hAnsi="Noto Sans CJK SC" w:eastAsia="Noto Sans CJK SC"/>
          <w:b/>
          <w:i w:val="0"/>
          <w:color w:val="252B36"/>
          <w:sz w:val="20"/>
        </w:rPr>
        <w:t>适用阶段：Refiner 已冻结，开始推进 retrieval baseline 与 reranker-ready candidates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391"/>
      </w:tblGrid>
      <w:tr>
        <w:tc>
          <w:tcPr>
            <w:tcW w:type="dxa" w:w="9746"/>
            <w:shd w:fill="F7FAFC"/>
            <w:tcMar>
              <w:top w:w="140" w:type="dxa"/>
              <w:start w:w="140" w:type="dxa"/>
              <w:bottom w:w="140" w:type="dxa"/>
              <w:end w:w="140" w:type="dxa"/>
            </w:tcMar>
            <w:vAlign w:val="center"/>
          </w:tcPr>
          <w:p>
            <w:pPr>
              <w:keepNext w:val="0"/>
              <w:keepLines w:val="0"/>
              <w:spacing w:before="0" w:after="0" w:line="300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本文档用于冻结 Boundary Refiner Week 2 当前最佳版本，并为后续 refine → retrieval → rerank 链路提供稳定接口。</w:t>
            </w:r>
            <w:r>
              <w:br/>
            </w: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术语、坐标系、字段命名与默认使用规则均以本文为准；如后续实现需要偏离，必须在新版本规范中显式声明。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1. 文档目标与阶段定位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本文档定义 Refiner 下游的 retrieval baseline 规范，目标是把 query 逐步转换为稳定、可评测、可重排的候选证据集合，并为未来的 cross-encoder reranker 留出直接可用的接口。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阶段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目标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当前阶段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先把 refine + retrieval 的工程链路跑通，形成可评测 baseline。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不在本阶段做的事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暂不训练 neural reranker；暂不做策略学习式 expansion；暂不引入复杂 sentence selector。</w:t>
            </w:r>
          </w:p>
        </w:tc>
      </w:tr>
      <w:tr>
        <w:tc>
          <w:tcPr>
            <w:tcW w:type="dxa" w:w="170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本阶段必须产出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离线索引、在线召回、规则树扩展、packing、评测输出，以及 reranker-ready candidate dump。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2. 设计决策：先完成 retrieval baseline，再接神经重排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设计项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v1 结论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召回入口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默认从 leaf / small unit 做 dense retrieval，以提高高召回能力。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最终证据单位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以 refined chunk 作为后续 expansion、packing 与 reranker 的主单位。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扩展策略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当前阶段采用规则式 tree-guided expansion；暂不训练策略网络。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重排策略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本阶段只预留接口和导出格式，待 retrieval baseline 稳定后再接 cross-encoder reranker。</w:t>
            </w:r>
          </w:p>
        </w:tc>
      </w:tr>
      <w:tr>
        <w:tc>
          <w:tcPr>
            <w:tcW w:type="dxa" w:w="181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评测原则</w:t>
            </w:r>
          </w:p>
        </w:tc>
        <w:tc>
          <w:tcPr>
            <w:tcW w:type="dxa" w:w="714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先做召回质量、扩展增益、噪声率、token 预算和延迟统计，再判断是否需要引入神经重排。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FF2CC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实现顺序固定为：离线建库 → 在线召回 → 规则扩展 → Packing → 评测 → 再接 reranker。不要在候选生成尚未稳定时先训练 reranker。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3. 统一坐标系、ID 与上游接口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retrieval 侧与 refiner 侧必须共用同一套 span、gap 和 ID 规范。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span 一律写成 atom 左闭右开区间 [start_atom, end_atom)。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所有索引均采用 0-based。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chunk_id、leaf_id 必须稳定可复现，不能在每次导出时随机变化。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path 必须按从上到下的层级顺序保存；depth 以根节点为 0 或 1 需全系统一致，本文推荐根节点 depth=0。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4932"/>
        <w:gridCol w:w="1587"/>
      </w:tblGrid>
      <w:tr>
        <w:trPr/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上游标准文件</w:t>
            </w:r>
          </w:p>
        </w:tc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角色</w:t>
            </w:r>
          </w:p>
        </w:tc>
        <w:tc>
          <w:tcPr>
            <w:tcW w:type="dxa" w:w="3249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是否必需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refined_chunks.jsonl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Refiner 规范化输出；retrieval 的主消费对象。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必需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leaf_records.jsonl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更细粒度叶节点 / 句子 / 短行记录；dense retrieval 默认入口。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推荐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doc_catalog.jsonl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文档级元信息，如标题、域别、版本、来源路径。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可选</w:t>
            </w:r>
          </w:p>
        </w:tc>
      </w:tr>
      <w:tr>
        <w:tc>
          <w:tcPr>
            <w:tcW w:type="dxa" w:w="232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index metadata</w:t>
            </w:r>
          </w:p>
        </w:tc>
        <w:tc>
          <w:tcPr>
            <w:tcW w:type="dxa" w:w="493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embedding model、向量维度、归一化方式、构建时间等。</w:t>
            </w:r>
          </w:p>
        </w:tc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必需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4. 离线标准产物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6917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文件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最小字段集合</w:t>
            </w:r>
          </w:p>
        </w:tc>
      </w:tr>
      <w:t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refined_chunks.jsonl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doc_id, chunk_id, chunk_index, atom_start, atom_end, text, num_atoms, path, depth, parent_id, prev_chunk_id, next_chunk_id</w:t>
            </w:r>
          </w:p>
        </w:tc>
      </w:tr>
      <w:t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leaf_records.jsonl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doc_id, leaf_id, owner_chunk_id, leaf_index, atom_start, atom_end, text, path, depth, prev_leaf_id, next_leaf_id</w:t>
            </w:r>
          </w:p>
        </w:tc>
      </w:tr>
      <w:t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index_meta.json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encoder_name, tokenizer_name, embedding_dim, normalized, similarity_metric, build_time, corpus_version</w:t>
            </w:r>
          </w:p>
        </w:tc>
      </w:tr>
      <w:tr>
        <w:tc>
          <w:tcPr>
            <w:tcW w:type="dxa" w:w="204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lookup tables</w:t>
            </w:r>
          </w:p>
        </w:tc>
        <w:tc>
          <w:tcPr>
            <w:tcW w:type="dxa" w:w="691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chunk_id → record；leaf_id → record；parent/child/sibling 邻接映射。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7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"doc_id": "rail_doc_001",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"chunk_id": "rail_doc_001::chunk_00012",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"atom_start": 35,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"atom_end": 48,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"text": "......",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"path": ["第3章", "3.2", "桥梁结构"]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}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3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如果当前没有完整神经结构恢复器，也应至少保证 path / depth / parent_id / 邻接关系来自规则树或弱树；tree-guided expansion 依赖这些字段。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5. 离线建索引规范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7087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项目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v1 建议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主召回粒度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leaf records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主证据粒度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refined chunks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相似度度量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若 embedding 归一化，优先 cosine / inner product；必须在 index_meta 中显式记录。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索引组织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至少保留 leaf dense index；如资源允许，可补一个 chunk dense index 作为对照或 fallback。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默认 top-k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online retrieval 的 leaf top-k 默认 50；实验模式可扩到 100 或 200。</w:t>
            </w:r>
          </w:p>
        </w:tc>
      </w:tr>
      <w:tr>
        <w:tc>
          <w:tcPr>
            <w:tcW w:type="dxa" w:w="187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向量版本控制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每次重建索引都必须生成 index_meta.json，并写明 corpus_version 与 encoder 版本。</w:t>
            </w:r>
          </w:p>
        </w:tc>
      </w:tr>
    </w:tbl>
    <w:p/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推荐的最小目录：retrieval/data/、retrieval/index/、retrieval/meta/、retrieval/eval/。不要把索引、元数据和评测结果混在同一个目录。</w:t>
      </w:r>
    </w:p>
    <w:p>
      <w:pPr>
        <w:pStyle w:val="Heading1"/>
        <w:keepNext/>
        <w:keepLines w:val="0"/>
        <w:spacing w:before="160" w:after="100" w:line="288" w:lineRule="auto"/>
      </w:pPr>
      <w:r>
        <w:t>6. 在线 retrieval baseline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Step 1：对 query 编码，在 leaf index 上取 top-k。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Step 2：按 owner_chunk_id 将命中的 leaves 聚合成 chunk candidates，并保留命中的 leaf_id、rank 与 score。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Step 3：对高价值 chunk candidates 做 tree-guided expansion。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Step 4：形成统一 candidate set，供 packing 与未来 reranker 消费。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4"/>
        <w:gridCol w:w="6973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子步骤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默认规则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Leaf retrieval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默认 top-k=50；保留 retrieve_score、retrieve_rank、hit leaf ids。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 aggregation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同一 chunk 命中多个 leaves 时合并；chunk 的基础召回分数默认取该 chunk 内最高 leaf score，并记录 hit_count。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Candidate 去重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chunk_id 是唯一键；若同一 chunk 同时来自 direct hit 与 expansion，保留所有来源标签但只保留一条 candidate 记录。</w:t>
            </w:r>
          </w:p>
        </w:tc>
      </w:tr>
      <w:t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Candidate 排序</w:t>
            </w:r>
          </w:p>
        </w:tc>
        <w:tc>
          <w:tcPr>
            <w:tcW w:type="dxa" w:w="697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在无 reranker 时，先按 direct hit 优先、再按 retrieve_score、再按稳定 tie-break 规则排序。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7. Tree-guided Expansion 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7030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扩展类型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默认做法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纵向扩展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对高价值 chunk candidates 补 parent / ancestor；默认最多上溯 1 层，配置允许放宽到 2 层。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横向扩展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补 sibling 或相邻 chunk；默认左右各 1 段。若 chunk 很短且预算充足，可配置扩到 2。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扩展触发门控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默认仅对 top-R_expand 候选触发扩展；R_expand 建议初值为 20。可附加模型相关的 score threshold，但必须写入配置。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预算约束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扩展必须在 packing 预算意识下进行；不能因为盲目补全上下文而挤掉更高价值的 direct evidence。</w:t>
            </w:r>
          </w:p>
        </w:tc>
      </w:tr>
      <w:tr>
        <w:tc>
          <w:tcPr>
            <w:tcW w:type="dxa" w:w="192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日志记录</w:t>
            </w:r>
          </w:p>
        </w:tc>
        <w:tc>
          <w:tcPr>
            <w:tcW w:type="dxa" w:w="703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所有扩展候选必须记录 expansion_from、expansion_type、expansion_depth，便于误差分析。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v1 推荐采用可解释的规则扩展，而不是学习式 expansion。只有当 baseline 已证明存在明显瓶颈时，才考虑策略学习。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8. 在线候选输出契约</w:t>
      </w:r>
    </w:p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统一输出 retrieval_candidates.jsonl。每行对应一个 query；候选列表中的每条记录都要保留来源信息，便于后续 reranker 与 ablation。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7FAFC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pPr>
              <w:keepNext w:val="0"/>
              <w:keepLines w:val="0"/>
              <w:spacing w:before="0" w:after="0" w:line="252" w:lineRule="auto"/>
            </w:pP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"query_id": "q_001",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"query": "......",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"candidates": [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{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  "chunk_id": "doc_x::chunk_00012",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  "retrieve_score": 0.8123,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  "retrieve_rank": 1,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  "hit_type": "leaf_direct"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  }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 xml:space="preserve">  ]</w:t>
            </w:r>
            <w:r>
              <w:br/>
            </w:r>
            <w:r>
              <w:rPr>
                <w:rFonts w:ascii="Liberation Mono" w:hAnsi="Liberation Mono" w:eastAsia="Liberation Mono"/>
                <w:b w:val="0"/>
                <w:i w:val="0"/>
                <w:color w:val="252B36"/>
                <w:sz w:val="17"/>
              </w:rPr>
              <w:t>}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98"/>
        <w:gridCol w:w="6860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字段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说明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retrieve_score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原始 dense retrieval 分数；不得在导出时丢失。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retrieve_rank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原始召回排序。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hit_type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如 leaf_direct / chunk_direct / parent_expand / sibling_expand / neighbor_expand。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expansion_from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若该候选来自扩展，则记录其来源 chunk_id。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path / depth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提供结构信号，供 reranker 使用。</w:t>
            </w:r>
          </w:p>
        </w:tc>
      </w:tr>
      <w:tr>
        <w:tc>
          <w:tcPr>
            <w:tcW w:type="dxa" w:w="209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token_est</w:t>
            </w:r>
          </w:p>
        </w:tc>
        <w:tc>
          <w:tcPr>
            <w:tcW w:type="dxa" w:w="686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建议额外记录候选文本的大致 token 数，供 packing 使用。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9. Packing 预算规范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6803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项目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默认规范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最终 evidence budget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建议先设为 2000–3000 tokens；初始默认可取 2500。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单个 chunk 长度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优先保留完整 chunk；若 chunk 过长且暂无 sentence selector，不建议随意硬截断生产版本。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去冗余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同一路径下连续重复或高度相似的 chunk 要做去重；必要时使用简单 MMR。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结构优先级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同等分数下，优先保留 direct hit，再考虑 parent/neighbor 补充。</w:t>
            </w:r>
          </w:p>
        </w:tc>
      </w:tr>
      <w:t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输出形式</w:t>
            </w:r>
          </w:p>
        </w:tc>
        <w:tc>
          <w:tcPr>
            <w:tcW w:type="dxa" w:w="680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统一导出 packed_evidence.jsonl，包含最终上下文顺序、各证据来源和累计 token。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F3F6F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sentence-level filtering 与 evidence sentence selector 不是本阶段默认要求。v1 先把 chunk-level packing 跑通；后续再把句级选择插入到 packing 前。</w:t>
            </w:r>
          </w:p>
        </w:tc>
      </w:tr>
    </w:tbl>
    <w:p/>
    <w:p>
      <w:r>
        <w:br w:type="page"/>
      </w:r>
    </w:p>
    <w:p>
      <w:pPr>
        <w:pStyle w:val="Heading1"/>
        <w:keepNext/>
        <w:keepLines w:val="0"/>
        <w:spacing w:before="160" w:after="100" w:line="288" w:lineRule="auto"/>
      </w:pPr>
      <w:r>
        <w:t>10. 评测协议 v0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6746"/>
      </w:tblGrid>
      <w:tr>
        <w:trPr/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指标</w:t>
            </w:r>
          </w:p>
        </w:tc>
        <w:tc>
          <w:tcPr>
            <w:tcW w:type="dxa" w:w="4873"/>
            <w:shd w:fill="EAF1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/>
                <w:b/>
                <w:i w:val="0"/>
                <w:color w:val="252B36"/>
                <w:sz w:val="20"/>
              </w:rPr>
              <w:t>说明</w:t>
            </w:r>
          </w:p>
        </w:tc>
      </w:tr>
      <w:t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center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Recall@K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gold evidence chunk 是否出现在 top-K candidate 中。</w:t>
            </w:r>
          </w:p>
        </w:tc>
      </w:tr>
      <w:t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Expansion gain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加入 tree expansion 之后 Recall@K 的提升量。</w:t>
            </w:r>
          </w:p>
        </w:tc>
      </w:tr>
      <w:t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Expansion noise ratio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扩展候选中无关项占比。</w:t>
            </w:r>
          </w:p>
        </w:tc>
      </w:tr>
      <w:t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Avg packed tokens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最终 evidence pack 的平均 token 数。</w:t>
            </w:r>
          </w:p>
        </w:tc>
      </w:tr>
      <w:t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Avg candidates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每个 query 最终候选数。</w:t>
            </w:r>
          </w:p>
        </w:tc>
      </w:tr>
      <w:tr>
        <w:tc>
          <w:tcPr>
            <w:tcW w:type="dxa" w:w="221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Latency breakdown</w:t>
            </w:r>
          </w:p>
        </w:tc>
        <w:tc>
          <w:tcPr>
            <w:tcW w:type="dxa" w:w="674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keepLines w:val="0"/>
              <w:spacing w:before="0" w:after="0" w:line="274" w:lineRule="auto"/>
              <w:jc w:val="left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19"/>
              </w:rPr>
              <w:t>编码、检索、扩展、packing 各阶段耗时。</w:t>
            </w:r>
          </w:p>
        </w:tc>
      </w:tr>
    </w:tbl>
    <w:p/>
    <w:p>
      <w:pPr>
        <w:keepNext w:val="0"/>
        <w:keepLines w:val="0"/>
        <w:spacing w:before="0" w:after="8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1"/>
        </w:rPr>
        <w:t>评测时至少保留 direct retrieval 与 retrieval+expansion 两条曲线；否则无法判断 tree-guided expansion 的真实收益。</w:t>
      </w:r>
    </w:p>
    <w:p>
      <w:pPr>
        <w:pStyle w:val="Heading1"/>
        <w:keepNext/>
        <w:keepLines w:val="0"/>
        <w:spacing w:before="160" w:after="100" w:line="288" w:lineRule="auto"/>
      </w:pPr>
      <w:r>
        <w:t>11. 为 future neural reranker 预留的接口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每条 candidate 必须保留 query、chunk text、retrieve_score、retrieve_rank、hit_type、path、depth。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建议单独导出 reranker_input.jsonl，避免在训练或推理时再次回读多个中间文件。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当前阶段不要求训练 reranker，但必须让 candidate dump 足够稳定、可复现实验。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后续接 cross-encoder 时，优先把结构信息作为显式拼接特征，而不是把 candidate 重新改成另一套 schema。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9746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keepNext w:val="0"/>
              <w:keepLines w:val="0"/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52B36"/>
                <w:sz w:val="20"/>
              </w:rPr>
              <w:t>一句话原则：现在先把 candidate generation 做干净；等候选集、扩展策略和 packing 评测稳定后，再决定是否训练 neural reranker。</w:t>
            </w:r>
          </w:p>
        </w:tc>
      </w:tr>
    </w:tbl>
    <w:p/>
    <w:p>
      <w:pPr>
        <w:pStyle w:val="Heading1"/>
        <w:keepNext/>
        <w:keepLines w:val="0"/>
        <w:spacing w:before="160" w:after="100" w:line="288" w:lineRule="auto"/>
      </w:pPr>
      <w:r>
        <w:t>12. 版本边界与变更控制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本规范是 retrieval baseline v1.0，默认配合冻结版 Refiner 使用。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如后续将主召回粒度从 leaf 改成 chunk，或引入句级选择器、策略学习扩展，需要升级规范版本。</w:t>
      </w:r>
    </w:p>
    <w:p>
      <w:pPr>
        <w:pStyle w:val="ListBullet"/>
        <w:keepNext w:val="0"/>
        <w:keepLines w:val="0"/>
        <w:spacing w:before="0" w:after="20" w:line="288" w:lineRule="auto"/>
      </w:pPr>
      <w:r>
        <w:rPr>
          <w:rFonts w:ascii="Noto Sans CJK SC" w:hAnsi="Noto Sans CJK SC" w:eastAsia="Noto Sans CJK SC"/>
          <w:b w:val="0"/>
          <w:i w:val="0"/>
          <w:color w:val="252B36"/>
          <w:sz w:val="20"/>
        </w:rPr>
        <w:t>任何修改只要影响文件字段、ID 规则、坐标系或默认预算，都必须在文档中显式记录。</w:t>
      </w:r>
    </w:p>
    <w:sectPr w:rsidR="00FC693F" w:rsidRPr="0006063C" w:rsidSect="00034616"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80"/>
    </w:pPr>
    <w:rPr>
      <w:rFonts w:ascii="Noto Sans CJK SC" w:hAnsi="Noto Sans CJK SC" w:eastAsia="Noto Sans CJK SC"/>
      <w:color w:val="252B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3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2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