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360"/>
        <w:jc w:val="center"/>
      </w:pPr>
      <w:r>
        <w:rPr>
          <w:b/>
          <w:color w:val="1A4766"/>
          <w:sz w:val="44"/>
          <w:rFonts w:eastAsia="微软雅黑" w:ascii="Calibri" w:hAnsi="Calibri"/>
        </w:rPr>
        <w:t>SLAC LLM 交互模块设计文档</w:t>
      </w:r>
    </w:p>
    <w:p>
      <w:pPr>
        <w:spacing w:before="0" w:after="200" w:line="300" w:lineRule="auto"/>
        <w:jc w:val="center"/>
      </w:pPr>
      <w:r>
        <w:rPr>
          <w:color w:val="5A5A5A"/>
          <w:sz w:val="22"/>
          <w:rFonts w:eastAsia="宋体" w:ascii="Calibri" w:hAnsi="Calibri"/>
        </w:rPr>
        <w:t>版本：v1.0    形态：当前实现版</w:t>
      </w:r>
    </w:p>
    <w:p>
      <w:pPr>
        <w:spacing w:before="240" w:after="0"/>
        <w:jc w:val="center"/>
      </w:pPr>
      <w:r>
        <w:rPr>
          <w:color w:val="1A4766"/>
          <w:sz w:val="22"/>
          <w:rFonts w:eastAsia="宋体" w:ascii="Calibri" w:hAnsi="Calibri"/>
        </w:rPr>
        <w:t>SLAC · 当前实现版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vAlign w:val="center"/>
            <w:shd w:fill="DCE6F1"/>
          </w:tcPr>
          <w:p>
            <w:pPr>
              <w:spacing w:before="0" w:after="0" w:line="300" w:lineRule="auto"/>
            </w:pPr>
            <w:r>
              <w:rPr>
                <w:b/>
                <w:i w:val="0"/>
                <w:color w:val="1A4766"/>
                <w:sz w:val="20"/>
                <w:rFonts w:eastAsia="宋体" w:ascii="Calibri" w:hAnsi="Calibri"/>
              </w:rPr>
              <w:t>模块定位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300" w:lineRule="auto"/>
            </w:pPr>
            <w:r>
              <w:rPr>
                <w:b w:val="0"/>
                <w:i w:val="0"/>
                <w:sz w:val="20"/>
                <w:rFonts w:eastAsia="宋体" w:ascii="Calibri" w:hAnsi="Calibri"/>
              </w:rPr>
              <w:t>SLAC 最后一层三模块划分中的第 2 个模块：负责接收上层整理好的 prompt / messages / evidence / 当前会话记忆，调用目标 LLM，并返回标准化 answer_result。</w:t>
            </w:r>
          </w:p>
        </w:tc>
      </w:tr>
      <w:tr>
        <w:tc>
          <w:tcPr>
            <w:tcW w:type="dxa" w:w="2381"/>
            <w:vAlign w:val="center"/>
            <w:shd w:fill="DCE6F1"/>
          </w:tcPr>
          <w:p>
            <w:pPr>
              <w:spacing w:before="0" w:after="0" w:line="300" w:lineRule="auto"/>
            </w:pPr>
            <w:r>
              <w:rPr>
                <w:b/>
                <w:i w:val="0"/>
                <w:color w:val="1A4766"/>
                <w:sz w:val="20"/>
                <w:rFonts w:eastAsia="宋体" w:ascii="Calibri" w:hAnsi="Calibri"/>
              </w:rPr>
              <w:t>设计状态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300" w:lineRule="auto"/>
            </w:pPr>
            <w:r>
              <w:rPr>
                <w:b w:val="0"/>
                <w:i w:val="0"/>
                <w:sz w:val="20"/>
                <w:rFonts w:eastAsia="宋体" w:ascii="Calibri" w:hAnsi="Calibri"/>
              </w:rPr>
              <w:t>面向当前可落地实现；优先冻结工程定位、输入输出契约、目录组织与 runner/client 组织方式。</w:t>
            </w:r>
          </w:p>
        </w:tc>
      </w:tr>
      <w:tr>
        <w:tc>
          <w:tcPr>
            <w:tcW w:type="dxa" w:w="2381"/>
            <w:vAlign w:val="center"/>
            <w:shd w:fill="DCE6F1"/>
          </w:tcPr>
          <w:p>
            <w:pPr>
              <w:spacing w:before="0" w:after="0" w:line="300" w:lineRule="auto"/>
            </w:pPr>
            <w:r>
              <w:rPr>
                <w:b/>
                <w:i w:val="0"/>
                <w:color w:val="1A4766"/>
                <w:sz w:val="20"/>
                <w:rFonts w:eastAsia="宋体" w:ascii="Calibri" w:hAnsi="Calibri"/>
              </w:rPr>
              <w:t>上游依赖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300" w:lineRule="auto"/>
            </w:pPr>
            <w:r>
              <w:rPr>
                <w:b w:val="0"/>
                <w:i w:val="0"/>
                <w:sz w:val="20"/>
                <w:rFonts w:eastAsia="宋体" w:ascii="Calibri" w:hAnsi="Calibri"/>
              </w:rPr>
              <w:t>上游由最终整合模块负责 retrieval、reranker、证据选择、prompt 构造与会话上下文整理。</w:t>
            </w:r>
          </w:p>
        </w:tc>
      </w:tr>
      <w:tr>
        <w:tc>
          <w:tcPr>
            <w:tcW w:type="dxa" w:w="2381"/>
            <w:vAlign w:val="center"/>
            <w:shd w:fill="DCE6F1"/>
          </w:tcPr>
          <w:p>
            <w:pPr>
              <w:spacing w:before="0" w:after="0" w:line="300" w:lineRule="auto"/>
            </w:pPr>
            <w:r>
              <w:rPr>
                <w:b/>
                <w:i w:val="0"/>
                <w:color w:val="1A4766"/>
                <w:sz w:val="20"/>
                <w:rFonts w:eastAsia="宋体" w:ascii="Calibri" w:hAnsi="Calibri"/>
              </w:rPr>
              <w:t>非目标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300" w:lineRule="auto"/>
            </w:pPr>
            <w:r>
              <w:rPr>
                <w:b w:val="0"/>
                <w:i w:val="0"/>
                <w:sz w:val="20"/>
                <w:rFonts w:eastAsia="宋体" w:ascii="Calibri" w:hAnsi="Calibri"/>
              </w:rPr>
              <w:t>本阶段不处理 OpenWebUI Pipe 解析、不做长期记忆存储、不做 retrieval/reranker 排序逻辑、不承担最终整合模块职责。</w:t>
            </w:r>
          </w:p>
        </w:tc>
      </w:tr>
      <w:tr>
        <w:tc>
          <w:tcPr>
            <w:tcW w:type="dxa" w:w="2381"/>
            <w:vAlign w:val="center"/>
            <w:shd w:fill="DCE6F1"/>
          </w:tcPr>
          <w:p>
            <w:pPr>
              <w:spacing w:before="0" w:after="0" w:line="300" w:lineRule="auto"/>
            </w:pPr>
            <w:r>
              <w:rPr>
                <w:b/>
                <w:i w:val="0"/>
                <w:color w:val="1A4766"/>
                <w:sz w:val="20"/>
                <w:rFonts w:eastAsia="宋体" w:ascii="Calibri" w:hAnsi="Calibri"/>
              </w:rPr>
              <w:t>分支建议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300" w:lineRule="auto"/>
            </w:pPr>
            <w:r>
              <w:rPr>
                <w:b w:val="0"/>
                <w:i w:val="0"/>
                <w:sz w:val="20"/>
                <w:rFonts w:eastAsia="宋体" w:ascii="Calibri" w:hAnsi="Calibri"/>
              </w:rPr>
              <w:t>当前建议在 git 的 llm 分支内完成该模块的目录、schema、client、service 与 infer-only runner。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4FB"/>
          </w:tcPr>
          <w:p>
            <w:pPr>
              <w:spacing w:before="0" w:after="40" w:line="300" w:lineRule="auto"/>
            </w:pPr>
            <w:r>
              <w:rPr>
                <w:b/>
                <w:i w:val="0"/>
                <w:color w:val="1A4766"/>
                <w:sz w:val="21"/>
                <w:rFonts w:eastAsia="宋体" w:ascii="Calibri" w:hAnsi="Calibri"/>
              </w:rPr>
              <w:t>设计总原则：</w:t>
            </w:r>
            <w:r>
              <w:rPr>
                <w:b w:val="0"/>
                <w:i w:val="0"/>
                <w:sz w:val="21"/>
                <w:rFonts w:eastAsia="宋体" w:ascii="Calibri" w:hAnsi="Calibri"/>
              </w:rPr>
              <w:t>模块 2 应被设计为窄接口调用层。上层负责把信息整理成标准请求对象；模块 2 负责调用模型并返回统一答案对象。这样既能和前面已冻结的 retrieval/reranker 契约兼容，也能避免后续耦合扩散。</w:t>
            </w:r>
          </w:p>
        </w:tc>
      </w:tr>
    </w:tbl>
    <w:p/>
    <w:p>
      <w:pPr>
        <w:spacing w:before="160" w:after="80" w:line="300" w:lineRule="auto"/>
      </w:pPr>
      <w:r>
        <w:rPr>
          <w:b/>
          <w:i w:val="0"/>
          <w:color w:val="1A4766"/>
          <w:sz w:val="28"/>
          <w:rFonts w:eastAsia="微软雅黑" w:ascii="Calibri" w:hAnsi="Calibri"/>
        </w:rPr>
        <w:t>1. 阶段目标与结论</w:t>
      </w:r>
    </w:p>
    <w:p>
      <w:pPr>
        <w:pStyle w:val="SLACBody"/>
        <w:spacing w:before="0" w:after="120" w:line="300" w:lineRule="auto"/>
        <w:ind w:firstLine="420"/>
      </w:pPr>
      <w:r>
        <w:rPr>
          <w:b w:val="0"/>
          <w:i w:val="0"/>
          <w:sz w:val="21"/>
          <w:rFonts w:eastAsia="宋体" w:ascii="Calibri" w:hAnsi="Calibri"/>
        </w:rPr>
        <w:t>当前阶段推进 LLM 交互模块，核心目标不是再讨论 retrieval 或 reranker 本体，而是把“已整理好的问题输入”稳定送入模型，并把模型响应以标准结构返回给上层。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当前最重要的是把模块定位、I/O 契约、目录结构和第一版代码骨架先冻结。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设计优先级高于功能堆叠；应先保证接口清楚、字段稳定、调用链路简单可跑。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当前只预留“当前会话记忆”入口，不独立实现长期记忆系统。</w:t>
      </w:r>
    </w:p>
    <w:p>
      <w:pPr>
        <w:spacing w:before="160" w:after="80" w:line="300" w:lineRule="auto"/>
      </w:pPr>
      <w:r>
        <w:rPr>
          <w:b/>
          <w:i w:val="0"/>
          <w:color w:val="1A4766"/>
          <w:sz w:val="28"/>
          <w:rFonts w:eastAsia="微软雅黑" w:ascii="Calibri" w:hAnsi="Calibri"/>
        </w:rPr>
        <w:t>2. 三模块关系与本模块边界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54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模块</w:t>
            </w:r>
          </w:p>
        </w:tc>
        <w:tc>
          <w:tcPr>
            <w:tcW w:type="dxa" w:w="3458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职责</w:t>
            </w:r>
          </w:p>
        </w:tc>
        <w:tc>
          <w:tcPr>
            <w:tcW w:type="dxa" w:w="1247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是否属于本次范围</w:t>
            </w:r>
          </w:p>
        </w:tc>
        <w:tc>
          <w:tcPr>
            <w:tcW w:type="dxa" w:w="2324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说明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OpenWebUI 交互模块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接收 Pipe 请求并整理当前 query 与会话上下文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否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属于模块 1。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LLM 交互模块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消费标准请求对象，调用目标 LLM，返回标准 answer_result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是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本文档核心对象。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最终整合模块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整合 retrieval、reranker、证据选择、prompt 构造，再调用模块 2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否</w:t>
            </w:r>
          </w:p>
        </w:tc>
        <w:tc>
          <w:tcPr>
            <w:tcW w:type="dxa" w:w="2324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属于模块 3。</w:t>
            </w:r>
          </w:p>
        </w:tc>
      </w:tr>
    </w:tbl>
    <w:p/>
    <w:p>
      <w:pPr>
        <w:pStyle w:val="SLACBody"/>
        <w:spacing w:before="0" w:after="120" w:line="300" w:lineRule="auto"/>
      </w:pPr>
      <w:r>
        <w:rPr>
          <w:b w:val="0"/>
          <w:i w:val="0"/>
          <w:sz w:val="21"/>
          <w:rFonts w:eastAsia="宋体" w:ascii="Calibri" w:hAnsi="Calibri"/>
        </w:rPr>
        <w:t>因此，模块 2 的输入边界应尽量窄：只接收模块 3 整理好的标准请求对象，而不是直接读取 retrieval run、reranker workspace 或 OpenWebUI Pipe 原始输入。</w:t>
      </w:r>
    </w:p>
    <w:p>
      <w:pPr>
        <w:spacing w:before="160" w:after="80" w:line="300" w:lineRule="auto"/>
      </w:pPr>
      <w:r>
        <w:rPr>
          <w:b/>
          <w:i w:val="0"/>
          <w:color w:val="1A4766"/>
          <w:sz w:val="28"/>
          <w:rFonts w:eastAsia="微软雅黑" w:ascii="Calibri" w:hAnsi="Calibri"/>
        </w:rPr>
        <w:t>3. 为什么采用窄接口设计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前序模块已经冻结了 retrieval -&gt; reranker -&gt; bridge 的真实接口；模块 2 再去理解这些内部细节，会把责任边界重新打乱。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将 prompt 构造、证据选择、记忆整理留给模块 3，可以让模块 2 保持可替换：未来即使切换模型、API 或 provider，主链结构也不需要大改。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把调用逻辑与工程编排拆开，可以保持 service、client、runner 三层职责清楚。</w:t>
      </w:r>
    </w:p>
    <w:p>
      <w:pPr>
        <w:spacing w:before="160" w:after="80" w:line="300" w:lineRule="auto"/>
      </w:pPr>
      <w:r>
        <w:rPr>
          <w:b/>
          <w:i w:val="0"/>
          <w:color w:val="1A4766"/>
          <w:sz w:val="28"/>
          <w:rFonts w:eastAsia="微软雅黑" w:ascii="Calibri" w:hAnsi="Calibri"/>
        </w:rPr>
        <w:t>4. 与前序模块的兼容设计</w:t>
      </w:r>
    </w:p>
    <w:p>
      <w:pPr>
        <w:pStyle w:val="SLACBody"/>
        <w:spacing w:before="0" w:after="120" w:line="300" w:lineRule="auto"/>
        <w:ind w:firstLine="420"/>
      </w:pPr>
      <w:r>
        <w:rPr>
          <w:b w:val="0"/>
          <w:i w:val="0"/>
          <w:sz w:val="21"/>
          <w:rFonts w:eastAsia="宋体" w:ascii="Calibri" w:hAnsi="Calibri"/>
        </w:rPr>
        <w:t>与 retrieval、reranker 的兼容关键点，不在于模块 2 直接读取它们的文件，而在于继续往下传的 evidence 字段名和排序语义保持一致。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若 reranker 已启用，上层应优先消费 pack_bridge/*.for_packing.jsonl；该 bridge 本身就被建议与 reranked_candidates 保持同构。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若暂未接 bridge，可临时由模块 3 直接消费 queries/*.reranked_candidates.jsonl 的同构字段。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模块 2 不应依赖 debug/*.scored_pairs.jsonl，也不应依赖 retrieval 的旧 packed_evidence 作为重排依据。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evidence 中若存在 rerank_rank，则本模块只能按既有顺序消费，不再自行改排。</w:t>
      </w:r>
    </w:p>
    <w:p>
      <w:pPr>
        <w:spacing w:before="160" w:after="80" w:line="300" w:lineRule="auto"/>
      </w:pPr>
      <w:r>
        <w:rPr>
          <w:b/>
          <w:i w:val="0"/>
          <w:color w:val="1A4766"/>
          <w:sz w:val="28"/>
          <w:rFonts w:eastAsia="微软雅黑" w:ascii="Calibri" w:hAnsi="Calibri"/>
        </w:rPr>
        <w:t>5. 输入输出设计</w:t>
      </w:r>
    </w:p>
    <w:p>
      <w:pPr>
        <w:pStyle w:val="SLACBody"/>
        <w:spacing w:before="0" w:after="120" w:line="300" w:lineRule="auto"/>
        <w:ind w:firstLine="420"/>
      </w:pPr>
      <w:r>
        <w:rPr>
          <w:b w:val="0"/>
          <w:i w:val="0"/>
          <w:sz w:val="21"/>
          <w:rFonts w:eastAsia="宋体" w:ascii="Calibri" w:hAnsi="Calibri"/>
        </w:rPr>
        <w:t>输入采用 slac_llm_request_v1，输出采用 slac_llm_answer_v1。这样做的目的，是把模块 2 的正式接口与 provider 原始接口解耦。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输入最关键的对象为 messages、memory、evidence、generation_config。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输出最关键的对象为 answer_text、usage、memory_used、evidence_refs。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provider 原始响应可以作为 raw_response 可选保留，但不能成为正式下游契约。</w:t>
      </w:r>
    </w:p>
    <w:p>
      <w:pPr>
        <w:spacing w:before="160" w:after="80" w:line="300" w:lineRule="auto"/>
      </w:pPr>
      <w:r>
        <w:rPr>
          <w:b/>
          <w:i w:val="0"/>
          <w:color w:val="1A4766"/>
          <w:sz w:val="28"/>
          <w:rFonts w:eastAsia="微软雅黑" w:ascii="Calibri" w:hAnsi="Calibri"/>
        </w:rPr>
        <w:t>6. 当前对话记忆入口设计</w:t>
      </w:r>
    </w:p>
    <w:p>
      <w:pPr>
        <w:pStyle w:val="SLACBody"/>
        <w:spacing w:before="0" w:after="120" w:line="300" w:lineRule="auto"/>
        <w:ind w:firstLine="420"/>
      </w:pPr>
      <w:r>
        <w:rPr>
          <w:b w:val="0"/>
          <w:i w:val="0"/>
          <w:sz w:val="21"/>
          <w:rFonts w:eastAsia="宋体" w:ascii="Calibri" w:hAnsi="Calibri"/>
        </w:rPr>
        <w:t>当前只支持“当前会话的上下文记忆”，记忆由 OpenWebUI 上层传入。模块 2 不负责持久化、检索、摘要压缩或长时管理。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记忆入口统一收敛为 memory.messages，且使用与普通 messages 相同的 schema。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默认注入顺序为：system_prompt -&gt; memory.messages -&gt; current messages -&gt; evidence context block。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这样做的好处是实现简单、边界清楚，也便于未来替换为 summary_text 而不改主接口。</w:t>
      </w:r>
    </w:p>
    <w:p>
      <w:pPr>
        <w:spacing w:before="40" w:after="80" w:line="300" w:lineRule="auto"/>
      </w:pPr>
      <w:r>
        <w:rPr>
          <w:b/>
          <w:i w:val="0"/>
          <w:color w:val="1A4766"/>
          <w:sz w:val="21"/>
          <w:rFonts w:eastAsia="宋体" w:ascii="Calibri" w:hAnsi="Calibri"/>
        </w:rPr>
        <w:t>记忆相关的设计决策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设计项</w:t>
            </w:r>
          </w:p>
        </w:tc>
        <w:tc>
          <w:tcPr>
            <w:tcW w:type="dxa" w:w="2608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当前方案</w:t>
            </w:r>
          </w:p>
        </w:tc>
        <w:tc>
          <w:tcPr>
            <w:tcW w:type="dxa" w:w="3969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理由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记忆来源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由模块 1 / 模块 3 上层传入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避免模块 2 承担状态管理。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内部存储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不做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本阶段只预留入口，不做长期记忆系统。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记忆格式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memory.messages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与 chat message schema 保持统一。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记忆回写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不做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回写属于上层会话系统逻辑。</w:t>
            </w:r>
          </w:p>
        </w:tc>
      </w:tr>
    </w:tbl>
    <w:p/>
    <w:p>
      <w:pPr>
        <w:spacing w:before="160" w:after="80" w:line="300" w:lineRule="auto"/>
      </w:pPr>
      <w:r>
        <w:rPr>
          <w:b/>
          <w:i w:val="0"/>
          <w:color w:val="1A4766"/>
          <w:sz w:val="28"/>
          <w:rFonts w:eastAsia="微软雅黑" w:ascii="Calibri" w:hAnsi="Calibri"/>
        </w:rPr>
        <w:t>7. 工程结构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7F7"/>
          </w:tcPr>
          <w:p>
            <w:pPr>
              <w:pStyle w:val="SLACCode"/>
              <w:spacing w:before="0" w:after="0" w:line="276" w:lineRule="auto"/>
            </w:pPr>
            <w:r>
              <w:rPr>
                <w:sz w:val="17"/>
                <w:rFonts w:eastAsia="等线" w:ascii="Courier New" w:hAnsi="Courier New"/>
              </w:rPr>
              <w:t>SLAC/llm/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├─ configs/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│   └─ llm_config.yaml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├─ io/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│   ├─ schemas.py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│   ├─ validators.py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│   ├─ readers.py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│   └─ writers.py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├─ clients/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│   ├─ base.py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│   ├─ openai_compatible.py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│   └─ registry.py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├─ memory/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│   └─ merge.py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├─ service/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│   ├─ renderers.py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│   ├─ request_compiler.py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│   └─ llm_service.py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├─ run/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│   └─ run_llm_infer_only.py</w:t>
              <w:br/>
            </w:r>
            <w:r>
              <w:rPr>
                <w:sz w:val="17"/>
                <w:rFonts w:eastAsia="等线" w:ascii="Courier New" w:hAnsi="Courier New"/>
              </w:rPr>
              <w:t xml:space="preserve">  └─ utils/</w:t>
            </w:r>
          </w:p>
        </w:tc>
      </w:tr>
    </w:tbl>
    <w:p/>
    <w:p>
      <w:pPr>
        <w:pStyle w:val="SLACBody"/>
        <w:spacing w:before="0" w:after="120" w:line="300" w:lineRule="auto"/>
      </w:pPr>
      <w:r>
        <w:rPr>
          <w:b w:val="0"/>
          <w:i w:val="0"/>
          <w:sz w:val="21"/>
          <w:rFonts w:eastAsia="宋体" w:ascii="Calibri" w:hAnsi="Calibri"/>
        </w:rPr>
        <w:t>这套结构沿用了前面模块的工程风格：输入归一化、模型/客户端封装、runner 编排三者分离。这样后续即使切换 provider 或增加更严格的 validator，也不需要重写主链。</w:t>
      </w:r>
    </w:p>
    <w:p>
      <w:pPr>
        <w:spacing w:before="160" w:after="80" w:line="300" w:lineRule="auto"/>
      </w:pPr>
      <w:r>
        <w:rPr>
          <w:b/>
          <w:i w:val="0"/>
          <w:color w:val="1A4766"/>
          <w:sz w:val="28"/>
          <w:rFonts w:eastAsia="微软雅黑" w:ascii="Calibri" w:hAnsi="Calibri"/>
        </w:rPr>
        <w:t>8. client / service / runner 组织方式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层级</w:t>
            </w:r>
          </w:p>
        </w:tc>
        <w:tc>
          <w:tcPr>
            <w:tcW w:type="dxa" w:w="3515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核心职责</w:t>
            </w:r>
          </w:p>
        </w:tc>
        <w:tc>
          <w:tcPr>
            <w:tcW w:type="dxa" w:w="3969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当前建议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client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封装具体 provider 调用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第一版只实现 OpenAI-compatible client。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service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做 validate、compile、call、normalize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LLMService 作为主入口。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runner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做离线 smoke test / 批量回放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先保留 run_llm_infer_only.py。</w:t>
            </w:r>
          </w:p>
        </w:tc>
      </w:tr>
    </w:tbl>
    <w:p/>
    <w:p>
      <w:pPr>
        <w:pStyle w:val="SLACBody"/>
        <w:spacing w:before="0" w:after="120" w:line="300" w:lineRule="auto"/>
      </w:pPr>
      <w:r>
        <w:rPr>
          <w:b w:val="0"/>
          <w:i w:val="0"/>
          <w:sz w:val="21"/>
          <w:rFonts w:eastAsia="宋体" w:ascii="Calibri" w:hAnsi="Calibri"/>
        </w:rPr>
        <w:t>第一版不建议一开始就扩展多个 provider adapter，也不建议在模块 2 内再造一个 pipeline runner。真正的 pipeline 编排应留给模块 3。</w:t>
      </w:r>
    </w:p>
    <w:p>
      <w:pPr>
        <w:spacing w:before="160" w:after="80" w:line="300" w:lineRule="auto"/>
      </w:pPr>
      <w:r>
        <w:rPr>
          <w:b/>
          <w:i w:val="0"/>
          <w:color w:val="1A4766"/>
          <w:sz w:val="28"/>
          <w:rFonts w:eastAsia="微软雅黑" w:ascii="Calibri" w:hAnsi="Calibri"/>
        </w:rPr>
        <w:t>9. 标准调用路径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7F7"/>
          </w:tcPr>
          <w:p>
            <w:pPr>
              <w:pStyle w:val="SLACCode"/>
              <w:spacing w:before="0" w:after="0" w:line="276" w:lineRule="auto"/>
            </w:pPr>
            <w:r>
              <w:rPr>
                <w:sz w:val="17"/>
                <w:rFonts w:eastAsia="等线" w:ascii="Courier New" w:hAnsi="Courier New"/>
              </w:rPr>
              <w:t>llm_request = final_integrator.build_llm_request(...)</w:t>
              <w:br/>
            </w:r>
            <w:r>
              <w:rPr>
                <w:sz w:val="17"/>
                <w:rFonts w:eastAsia="等线" w:ascii="Courier New" w:hAnsi="Courier New"/>
              </w:rPr>
              <w:t>answer_result = llm_service.invoke(llm_request)</w:t>
              <w:br/>
            </w:r>
            <w:r>
              <w:rPr>
                <w:sz w:val="17"/>
                <w:rFonts w:eastAsia="等线" w:ascii="Courier New" w:hAnsi="Courier New"/>
              </w:rPr>
              <w:br/>
            </w:r>
            <w:r>
              <w:rPr>
                <w:sz w:val="17"/>
                <w:rFonts w:eastAsia="等线" w:ascii="Courier New" w:hAnsi="Courier New"/>
              </w:rPr>
              <w:t># invoke 内部</w:t>
              <w:br/>
            </w:r>
            <w:r>
              <w:rPr>
                <w:sz w:val="17"/>
                <w:rFonts w:eastAsia="等线" w:ascii="Courier New" w:hAnsi="Courier New"/>
              </w:rPr>
              <w:t>validate_llm_request(req)</w:t>
              <w:br/>
            </w:r>
            <w:r>
              <w:rPr>
                <w:sz w:val="17"/>
                <w:rFonts w:eastAsia="等线" w:ascii="Courier New" w:hAnsi="Courier New"/>
              </w:rPr>
              <w:t>payload = compile_provider_payload(req)</w:t>
              <w:br/>
            </w:r>
            <w:r>
              <w:rPr>
                <w:sz w:val="17"/>
                <w:rFonts w:eastAsia="等线" w:ascii="Courier New" w:hAnsi="Courier New"/>
              </w:rPr>
              <w:t>raw = client.chat(payload)</w:t>
              <w:br/>
            </w:r>
            <w:r>
              <w:rPr>
                <w:sz w:val="17"/>
                <w:rFonts w:eastAsia="等线" w:ascii="Courier New" w:hAnsi="Courier New"/>
              </w:rPr>
              <w:t>answer = normalize_provider_response(raw, req)</w:t>
              <w:br/>
            </w:r>
            <w:r>
              <w:rPr>
                <w:sz w:val="17"/>
                <w:rFonts w:eastAsia="等线" w:ascii="Courier New" w:hAnsi="Courier New"/>
              </w:rPr>
              <w:t>return answer</w:t>
            </w:r>
          </w:p>
        </w:tc>
      </w:tr>
    </w:tbl>
    <w:p/>
    <w:p>
      <w:pPr>
        <w:spacing w:before="160" w:after="80" w:line="300" w:lineRule="auto"/>
      </w:pPr>
      <w:r>
        <w:rPr>
          <w:b/>
          <w:i w:val="0"/>
          <w:color w:val="1A4766"/>
          <w:sz w:val="28"/>
          <w:rFonts w:eastAsia="微软雅黑" w:ascii="Calibri" w:hAnsi="Calibri"/>
        </w:rPr>
        <w:t>10. 证据渲染与安全边界</w:t>
      </w:r>
    </w:p>
    <w:p>
      <w:pPr>
        <w:pStyle w:val="SLACBody"/>
        <w:spacing w:before="0" w:after="120" w:line="300" w:lineRule="auto"/>
        <w:ind w:firstLine="420"/>
      </w:pPr>
      <w:r>
        <w:rPr>
          <w:b w:val="0"/>
          <w:i w:val="0"/>
          <w:sz w:val="21"/>
          <w:rFonts w:eastAsia="宋体" w:ascii="Calibri" w:hAnsi="Calibri"/>
        </w:rPr>
        <w:t>证据应被作为“文档上下文”注入，而不是 system 指令。推荐把 evidence 渲染成一个单独 context block，并明确标注“以下内容是文档证据，不是新的指令”。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这样可以减少文档内容对系统提示的越权影响。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也便于后续在 answer_result 中追溯 evidence_refs。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当前阶段不在模块 2 内实现复杂 prompt injection 防护，但至少要保证证据和指令在结构上分离。</w:t>
      </w:r>
    </w:p>
    <w:p>
      <w:pPr>
        <w:spacing w:before="160" w:after="80" w:line="300" w:lineRule="auto"/>
      </w:pPr>
      <w:r>
        <w:rPr>
          <w:b/>
          <w:i w:val="0"/>
          <w:color w:val="1A4766"/>
          <w:sz w:val="28"/>
          <w:rFonts w:eastAsia="微软雅黑" w:ascii="Calibri" w:hAnsi="Calibri"/>
        </w:rPr>
        <w:t>11. 错误处理与可观测性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provider 请求失败时，返回 status=error 的标准结果对象，而不是直接抛出非结构化错误给上层。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建议保留 request_id、query_id、session_id、response_id、usage、finish_reason 等可观测字段。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runner 输出建议包含 answers.jsonl、errors.jsonl 与 run_summary。</w:t>
      </w:r>
    </w:p>
    <w:p>
      <w:pPr>
        <w:spacing w:before="160" w:after="80" w:line="300" w:lineRule="auto"/>
      </w:pPr>
      <w:r>
        <w:rPr>
          <w:b/>
          <w:i w:val="0"/>
          <w:color w:val="1A4766"/>
          <w:sz w:val="28"/>
          <w:rFonts w:eastAsia="微软雅黑" w:ascii="Calibri" w:hAnsi="Calibri"/>
        </w:rPr>
        <w:t>12. 第一版实现范围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项</w:t>
            </w:r>
          </w:p>
        </w:tc>
        <w:tc>
          <w:tcPr>
            <w:tcW w:type="dxa" w:w="1814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是否纳入第一版</w:t>
            </w:r>
          </w:p>
        </w:tc>
        <w:tc>
          <w:tcPr>
            <w:tcW w:type="dxa" w:w="5102"/>
            <w:shd w:fill="DCE6F1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b/>
                <w:i w:val="0"/>
                <w:color w:val="1A4766"/>
                <w:sz w:val="18"/>
                <w:rFonts w:eastAsia="宋体" w:ascii="Calibri" w:hAnsi="Calibri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标准 schema 与 validator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是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必须先冻结。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OpenAI-compatible client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是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覆盖当前最常见部署方式。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LLMService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是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统一主入口。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当前会话记忆入口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是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只消费，不存储。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多 provider 适配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否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后续再扩展。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长期记忆系统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否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不属于本阶段。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复杂拒答策略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否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属于更上层业务逻辑。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最终整合 runner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否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76" w:lineRule="auto"/>
            </w:pPr>
            <w:r>
              <w:rPr>
                <w:b w:val="0"/>
                <w:i w:val="0"/>
                <w:sz w:val="18"/>
                <w:rFonts w:eastAsia="宋体" w:ascii="Calibri" w:hAnsi="Calibri"/>
              </w:rPr>
              <w:t>属于模块 3。</w:t>
            </w:r>
          </w:p>
        </w:tc>
      </w:tr>
    </w:tbl>
    <w:p/>
    <w:p>
      <w:pPr>
        <w:spacing w:before="160" w:after="80" w:line="300" w:lineRule="auto"/>
      </w:pPr>
      <w:r>
        <w:rPr>
          <w:b/>
          <w:i w:val="0"/>
          <w:color w:val="1A4766"/>
          <w:sz w:val="28"/>
          <w:rFonts w:eastAsia="微软雅黑" w:ascii="Calibri" w:hAnsi="Calibri"/>
        </w:rPr>
        <w:t>13. 与最终整合模块的衔接方式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模块 3 负责 retrieval、reranker、证据选择、prompt 构造、会话上下文整理，并输出 slac_llm_request_v1。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模块 2 只负责执行 llm_service.invoke(req) 并返回 slac_llm_answer_v1。</w:t>
      </w:r>
    </w:p>
    <w:p>
      <w:pPr>
        <w:pStyle w:val="ListBullet"/>
        <w:spacing w:before="0" w:after="60" w:line="300" w:lineRule="auto"/>
      </w:pPr>
      <w:r>
        <w:rPr>
          <w:b w:val="0"/>
          <w:i w:val="0"/>
          <w:sz w:val="20"/>
          <w:rFonts w:eastAsia="宋体" w:ascii="Calibri" w:hAnsi="Calibri"/>
        </w:rPr>
        <w:t>未来即使模块 3 改了 evidence selection 策略，只要 evidence 的同构字段和 request schema 不变，模块 2 就不需要修改。</w:t>
      </w:r>
    </w:p>
    <w:p>
      <w:pPr>
        <w:spacing w:before="160" w:after="80" w:line="300" w:lineRule="auto"/>
      </w:pPr>
      <w:r>
        <w:rPr>
          <w:b/>
          <w:i w:val="0"/>
          <w:color w:val="1A4766"/>
          <w:sz w:val="28"/>
          <w:rFonts w:eastAsia="微软雅黑" w:ascii="Calibri" w:hAnsi="Calibri"/>
        </w:rPr>
        <w:t>14. 当前版本结论</w:t>
      </w:r>
    </w:p>
    <w:p>
      <w:pPr>
        <w:pStyle w:val="SLACBody"/>
        <w:spacing w:before="0" w:after="120" w:line="300" w:lineRule="auto"/>
        <w:ind w:firstLine="420"/>
      </w:pPr>
      <w:r>
        <w:rPr>
          <w:b w:val="0"/>
          <w:i w:val="0"/>
          <w:sz w:val="21"/>
          <w:rFonts w:eastAsia="宋体" w:ascii="Calibri" w:hAnsi="Calibri"/>
        </w:rPr>
        <w:t>当前最合理的落地方式，是先在 llm 分支内把模块 2 做成一个可独立 smoke test 的窄接口层：有清晰 schema、有统一 service、有单 provider client、有 infer-only runner，并对当前会话记忆预留稳定入口。这样既能与前面的 retrieval/reranker 契约兼容，也为后续模块 3 的整合留出清晰边界。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7"/>
        <w:rFonts w:eastAsia="宋体" w:ascii="Calibri" w:hAnsi="Calibri"/>
      </w:rPr>
      <w:t>SLAC LLM 文档 ·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787878"/>
        <w:sz w:val="17"/>
        <w:rFonts w:eastAsia="宋体" w:ascii="Calibri" w:hAnsi="Calibri"/>
      </w:rPr>
      <w:t>SLAC LLM 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LACBody">
    <w:name w:val="SLAC Body"/>
    <w:rPr>
      <w:rFonts w:ascii="Calibri" w:hAnsi="Calibri" w:eastAsia="宋体"/>
      <w:sz w:val="21"/>
    </w:rPr>
  </w:style>
  <w:style w:type="paragraph" w:customStyle="1" w:styleId="SLACCode">
    <w:name w:val="SLAC Code"/>
    <w:rPr>
      <w:rFonts w:ascii="Courier New" w:hAnsi="Courier New" w:eastAsia="等线"/>
      <w:sz w:val="18"/>
    </w:rPr>
  </w:style>
  <w:style w:type="paragraph" w:customStyle="1" w:styleId="SLACHeading">
    <w:name w:val="SLAC Heading"/>
    <w:rPr>
      <w:rFonts w:ascii="Calibri" w:hAnsi="Calibri" w:eastAsia="微软雅黑"/>
      <w:b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