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BC5" w:rsidRPr="00992199" w:rsidRDefault="00816A67" w:rsidP="003F0BC5">
      <w:pPr>
        <w:jc w:val="center"/>
        <w:rPr>
          <w:szCs w:val="20"/>
        </w:rPr>
      </w:pPr>
      <w:bookmarkStart w:id="0" w:name="_GoBack"/>
      <w:bookmarkEnd w:id="0"/>
      <w:r w:rsidRPr="003D1D9A">
        <w:rPr>
          <w:noProof/>
          <w:szCs w:val="20"/>
          <w:lang w:eastAsia="en-GB"/>
        </w:rPr>
        <w:drawing>
          <wp:inline distT="0" distB="0" distL="0" distR="0">
            <wp:extent cx="4321810" cy="802005"/>
            <wp:effectExtent l="0" t="0" r="0" b="0"/>
            <wp:docPr id="6" name="Picture 3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1810" cy="802005"/>
                    </a:xfrm>
                    <a:prstGeom prst="rect">
                      <a:avLst/>
                    </a:prstGeom>
                    <a:noFill/>
                    <a:ln>
                      <a:noFill/>
                    </a:ln>
                  </pic:spPr>
                </pic:pic>
              </a:graphicData>
            </a:graphic>
          </wp:inline>
        </w:drawing>
      </w:r>
    </w:p>
    <w:p w:rsidR="003F0BC5" w:rsidRPr="00992199" w:rsidRDefault="002A1AB1" w:rsidP="003F0BC5">
      <w:pPr>
        <w:spacing w:before="240"/>
        <w:jc w:val="center"/>
        <w:rPr>
          <w:b/>
          <w:sz w:val="36"/>
          <w:szCs w:val="36"/>
        </w:rPr>
      </w:pPr>
      <w:r>
        <w:rPr>
          <w:b/>
          <w:sz w:val="36"/>
          <w:szCs w:val="36"/>
        </w:rPr>
        <w:t>Greenyard Foods</w:t>
      </w:r>
      <w:r w:rsidR="003F0BC5" w:rsidRPr="00992199">
        <w:rPr>
          <w:b/>
          <w:sz w:val="36"/>
          <w:szCs w:val="36"/>
        </w:rPr>
        <w:t xml:space="preserve"> NV</w:t>
      </w:r>
    </w:p>
    <w:p w:rsidR="003F0BC5" w:rsidRPr="00992199" w:rsidRDefault="003F0BC5" w:rsidP="003F0BC5">
      <w:pPr>
        <w:spacing w:before="40" w:after="240"/>
        <w:jc w:val="center"/>
        <w:rPr>
          <w:b/>
          <w:i/>
          <w:szCs w:val="20"/>
        </w:rPr>
      </w:pPr>
      <w:r w:rsidRPr="00992199">
        <w:rPr>
          <w:b/>
          <w:i/>
          <w:szCs w:val="20"/>
        </w:rPr>
        <w:t xml:space="preserve">Skaldenstraat 7C - 9042 </w:t>
      </w:r>
      <w:smartTag w:uri="urn:schemas-microsoft-com:office:smarttags" w:element="City">
        <w:r w:rsidRPr="00992199">
          <w:rPr>
            <w:b/>
            <w:i/>
            <w:szCs w:val="20"/>
          </w:rPr>
          <w:t>Ghent</w:t>
        </w:r>
      </w:smartTag>
      <w:r w:rsidRPr="00992199">
        <w:rPr>
          <w:b/>
          <w:i/>
          <w:szCs w:val="20"/>
        </w:rPr>
        <w:t xml:space="preserve"> (</w:t>
      </w:r>
      <w:smartTag w:uri="urn:schemas-microsoft-com:office:smarttags" w:element="country-region">
        <w:r w:rsidRPr="00992199">
          <w:rPr>
            <w:b/>
            <w:i/>
            <w:szCs w:val="20"/>
          </w:rPr>
          <w:t>Belgium</w:t>
        </w:r>
      </w:smartTag>
      <w:r w:rsidRPr="00992199">
        <w:rPr>
          <w:b/>
          <w:i/>
          <w:szCs w:val="20"/>
        </w:rPr>
        <w:t xml:space="preserve">) - 0402.777.157 </w:t>
      </w:r>
      <w:r w:rsidR="00A07615" w:rsidRPr="00992199">
        <w:rPr>
          <w:b/>
          <w:i/>
          <w:szCs w:val="20"/>
        </w:rPr>
        <w:t xml:space="preserve">RPR </w:t>
      </w:r>
      <w:r w:rsidRPr="00992199">
        <w:rPr>
          <w:b/>
          <w:i/>
          <w:szCs w:val="20"/>
        </w:rPr>
        <w:t>(</w:t>
      </w:r>
      <w:smartTag w:uri="urn:schemas-microsoft-com:office:smarttags" w:element="City">
        <w:r w:rsidRPr="00992199">
          <w:rPr>
            <w:b/>
            <w:i/>
            <w:szCs w:val="20"/>
          </w:rPr>
          <w:t>Ghent</w:t>
        </w:r>
      </w:smartTag>
      <w:r w:rsidRPr="00992199">
        <w:rPr>
          <w:b/>
          <w:i/>
          <w:szCs w:val="20"/>
        </w:rPr>
        <w:t xml:space="preserve">, division </w:t>
      </w:r>
      <w:smartTag w:uri="urn:schemas-microsoft-com:office:smarttags" w:element="City">
        <w:smartTag w:uri="urn:schemas-microsoft-com:office:smarttags" w:element="place">
          <w:r w:rsidRPr="00992199">
            <w:rPr>
              <w:b/>
              <w:i/>
              <w:szCs w:val="20"/>
            </w:rPr>
            <w:t>Ghent</w:t>
          </w:r>
        </w:smartTag>
      </w:smartTag>
      <w:r w:rsidRPr="00992199">
        <w:rPr>
          <w:b/>
          <w:i/>
          <w:szCs w:val="20"/>
        </w:rPr>
        <w:t>)</w:t>
      </w:r>
    </w:p>
    <w:p w:rsidR="003F0BC5" w:rsidRPr="00992199" w:rsidRDefault="003F0BC5" w:rsidP="003F0BC5">
      <w:pPr>
        <w:tabs>
          <w:tab w:val="left" w:pos="1980"/>
        </w:tabs>
        <w:spacing w:after="240"/>
        <w:jc w:val="center"/>
        <w:rPr>
          <w:b/>
          <w:kern w:val="20"/>
          <w:sz w:val="24"/>
        </w:rPr>
      </w:pPr>
      <w:r w:rsidRPr="00992199">
        <w:rPr>
          <w:b/>
          <w:kern w:val="20"/>
          <w:sz w:val="24"/>
        </w:rPr>
        <w:t xml:space="preserve">Admission to trading and listing of 27,913,065 shares on the regulated market of Euronext Brussels in the context of the contribution and transfer to </w:t>
      </w:r>
      <w:r w:rsidR="002A1AB1">
        <w:rPr>
          <w:b/>
          <w:kern w:val="20"/>
          <w:sz w:val="24"/>
        </w:rPr>
        <w:t>Greenyard Foods</w:t>
      </w:r>
      <w:r w:rsidRPr="00992199">
        <w:rPr>
          <w:b/>
          <w:kern w:val="20"/>
          <w:sz w:val="24"/>
        </w:rPr>
        <w:t xml:space="preserve"> NV of all shares of </w:t>
      </w:r>
      <w:r w:rsidR="0082672E">
        <w:rPr>
          <w:b/>
          <w:kern w:val="20"/>
          <w:sz w:val="24"/>
        </w:rPr>
        <w:t>FieldLink NV</w:t>
      </w:r>
      <w:r w:rsidRPr="00992199">
        <w:rPr>
          <w:b/>
          <w:kern w:val="20"/>
          <w:sz w:val="24"/>
        </w:rPr>
        <w:t xml:space="preserve"> and Peatinvest NV</w:t>
      </w:r>
    </w:p>
    <w:p w:rsidR="003F0BC5" w:rsidRDefault="003F0BC5" w:rsidP="003F0BC5">
      <w:pPr>
        <w:spacing w:before="40" w:after="40"/>
        <w:rPr>
          <w:sz w:val="18"/>
          <w:szCs w:val="18"/>
        </w:rPr>
      </w:pPr>
    </w:p>
    <w:p w:rsidR="003F0BC5" w:rsidRPr="00992199" w:rsidRDefault="003F0BC5" w:rsidP="003F0BC5">
      <w:pPr>
        <w:spacing w:before="40" w:after="40"/>
        <w:rPr>
          <w:sz w:val="18"/>
          <w:szCs w:val="18"/>
        </w:rPr>
      </w:pPr>
      <w:r w:rsidRPr="00992199">
        <w:rPr>
          <w:sz w:val="18"/>
          <w:szCs w:val="18"/>
        </w:rPr>
        <w:t xml:space="preserve">This is a prospectus (the </w:t>
      </w:r>
      <w:r w:rsidRPr="00992199">
        <w:rPr>
          <w:b/>
          <w:i/>
          <w:sz w:val="18"/>
          <w:szCs w:val="18"/>
        </w:rPr>
        <w:t>Prospectus</w:t>
      </w:r>
      <w:r w:rsidRPr="00992199">
        <w:rPr>
          <w:sz w:val="18"/>
          <w:szCs w:val="18"/>
        </w:rPr>
        <w:t xml:space="preserve">) for the listing on the regulated market of Euronext Brussels of 27,913,065 new ordinary shares without nominal value (such 27,913,065 shares, the </w:t>
      </w:r>
      <w:r w:rsidRPr="00992199">
        <w:rPr>
          <w:b/>
          <w:i/>
          <w:sz w:val="18"/>
          <w:szCs w:val="18"/>
        </w:rPr>
        <w:t>New Shares</w:t>
      </w:r>
      <w:r w:rsidRPr="00992199">
        <w:rPr>
          <w:sz w:val="18"/>
          <w:szCs w:val="18"/>
        </w:rPr>
        <w:t xml:space="preserve">) of </w:t>
      </w:r>
      <w:r w:rsidR="002A1AB1">
        <w:rPr>
          <w:sz w:val="18"/>
          <w:szCs w:val="18"/>
        </w:rPr>
        <w:t>Greenyard Foods</w:t>
      </w:r>
      <w:r w:rsidRPr="00992199">
        <w:rPr>
          <w:sz w:val="18"/>
          <w:szCs w:val="18"/>
        </w:rPr>
        <w:t xml:space="preserve"> NV (</w:t>
      </w:r>
      <w:r w:rsidR="002A1AB1">
        <w:rPr>
          <w:b/>
          <w:i/>
          <w:sz w:val="18"/>
          <w:szCs w:val="18"/>
        </w:rPr>
        <w:t>Greenyard Foods</w:t>
      </w:r>
      <w:r w:rsidRPr="00992199">
        <w:rPr>
          <w:b/>
          <w:i/>
          <w:sz w:val="18"/>
          <w:szCs w:val="18"/>
        </w:rPr>
        <w:t xml:space="preserve"> </w:t>
      </w:r>
      <w:r w:rsidRPr="00992199">
        <w:rPr>
          <w:sz w:val="18"/>
          <w:szCs w:val="18"/>
        </w:rPr>
        <w:t xml:space="preserve">or the </w:t>
      </w:r>
      <w:r w:rsidRPr="00992199">
        <w:rPr>
          <w:b/>
          <w:i/>
          <w:sz w:val="18"/>
          <w:szCs w:val="18"/>
        </w:rPr>
        <w:t>Company</w:t>
      </w:r>
      <w:r w:rsidRPr="00992199">
        <w:rPr>
          <w:sz w:val="18"/>
          <w:szCs w:val="18"/>
        </w:rPr>
        <w:t>), a limited liability company organised under the laws of Belgium</w:t>
      </w:r>
      <w:r w:rsidR="005F4ABF">
        <w:rPr>
          <w:sz w:val="18"/>
          <w:szCs w:val="18"/>
        </w:rPr>
        <w:t>,</w:t>
      </w:r>
      <w:r w:rsidRPr="00992199">
        <w:rPr>
          <w:sz w:val="18"/>
          <w:szCs w:val="18"/>
        </w:rPr>
        <w:t xml:space="preserve"> </w:t>
      </w:r>
      <w:r w:rsidR="00112706">
        <w:rPr>
          <w:sz w:val="18"/>
          <w:szCs w:val="18"/>
        </w:rPr>
        <w:t xml:space="preserve">which are </w:t>
      </w:r>
      <w:r w:rsidRPr="00992199">
        <w:rPr>
          <w:sz w:val="18"/>
          <w:szCs w:val="18"/>
        </w:rPr>
        <w:t xml:space="preserve">expected to be admitted to trading on </w:t>
      </w:r>
      <w:r w:rsidR="00351F80">
        <w:rPr>
          <w:sz w:val="18"/>
          <w:szCs w:val="18"/>
        </w:rPr>
        <w:t>[19]</w:t>
      </w:r>
      <w:r w:rsidRPr="00992199">
        <w:rPr>
          <w:sz w:val="18"/>
          <w:szCs w:val="18"/>
        </w:rPr>
        <w:t xml:space="preserve"> June 2015 in the context of (i) the transfer of all shares of </w:t>
      </w:r>
      <w:r w:rsidR="0082672E">
        <w:rPr>
          <w:sz w:val="18"/>
          <w:szCs w:val="18"/>
        </w:rPr>
        <w:t xml:space="preserve">FieldLink </w:t>
      </w:r>
      <w:r w:rsidR="0082672E" w:rsidRPr="00584210">
        <w:rPr>
          <w:sz w:val="18"/>
          <w:szCs w:val="18"/>
        </w:rPr>
        <w:t>NV</w:t>
      </w:r>
      <w:r w:rsidRPr="00584210">
        <w:rPr>
          <w:sz w:val="18"/>
          <w:szCs w:val="18"/>
        </w:rPr>
        <w:t xml:space="preserve"> (</w:t>
      </w:r>
      <w:r w:rsidR="0082672E">
        <w:rPr>
          <w:b/>
          <w:i/>
          <w:sz w:val="18"/>
          <w:szCs w:val="18"/>
        </w:rPr>
        <w:t>Univeg</w:t>
      </w:r>
      <w:r w:rsidRPr="00584210">
        <w:rPr>
          <w:sz w:val="18"/>
          <w:szCs w:val="18"/>
        </w:rPr>
        <w:t xml:space="preserve">) </w:t>
      </w:r>
      <w:r w:rsidRPr="00992199">
        <w:rPr>
          <w:sz w:val="18"/>
          <w:szCs w:val="18"/>
        </w:rPr>
        <w:t>held by De Weide Blik NV (</w:t>
      </w:r>
      <w:r w:rsidRPr="00992199">
        <w:rPr>
          <w:b/>
          <w:i/>
          <w:sz w:val="18"/>
          <w:szCs w:val="18"/>
        </w:rPr>
        <w:t>DWB</w:t>
      </w:r>
      <w:r w:rsidRPr="00992199">
        <w:rPr>
          <w:sz w:val="18"/>
          <w:szCs w:val="18"/>
        </w:rPr>
        <w:t xml:space="preserve">) by way of partial demerger of DWB into </w:t>
      </w:r>
      <w:r w:rsidR="002A1AB1">
        <w:rPr>
          <w:sz w:val="18"/>
          <w:szCs w:val="18"/>
        </w:rPr>
        <w:t>Greenyard Foods</w:t>
      </w:r>
      <w:r w:rsidRPr="00992199">
        <w:rPr>
          <w:sz w:val="18"/>
          <w:szCs w:val="18"/>
        </w:rPr>
        <w:t xml:space="preserve"> (the </w:t>
      </w:r>
      <w:r w:rsidRPr="00992199">
        <w:rPr>
          <w:b/>
          <w:i/>
          <w:sz w:val="18"/>
          <w:szCs w:val="18"/>
        </w:rPr>
        <w:t>DWB Demerger</w:t>
      </w:r>
      <w:r w:rsidRPr="00992199">
        <w:rPr>
          <w:sz w:val="18"/>
          <w:szCs w:val="18"/>
        </w:rPr>
        <w:t xml:space="preserve">) and the contribution in kind of all shares of </w:t>
      </w:r>
      <w:r w:rsidR="0082672E">
        <w:rPr>
          <w:sz w:val="18"/>
          <w:szCs w:val="18"/>
        </w:rPr>
        <w:t>Univeg</w:t>
      </w:r>
      <w:r w:rsidRPr="00992199">
        <w:rPr>
          <w:sz w:val="18"/>
          <w:szCs w:val="18"/>
        </w:rPr>
        <w:t xml:space="preserve"> held by the other shareholder of </w:t>
      </w:r>
      <w:r w:rsidR="0082672E">
        <w:rPr>
          <w:sz w:val="18"/>
          <w:szCs w:val="18"/>
        </w:rPr>
        <w:t>Univeg</w:t>
      </w:r>
      <w:r w:rsidRPr="00992199">
        <w:rPr>
          <w:sz w:val="18"/>
          <w:szCs w:val="18"/>
        </w:rPr>
        <w:t xml:space="preserve"> (the </w:t>
      </w:r>
      <w:r w:rsidR="0082672E">
        <w:rPr>
          <w:b/>
          <w:i/>
          <w:sz w:val="18"/>
          <w:szCs w:val="18"/>
        </w:rPr>
        <w:t>Univeg</w:t>
      </w:r>
      <w:r w:rsidRPr="00992199">
        <w:rPr>
          <w:b/>
          <w:i/>
          <w:sz w:val="18"/>
          <w:szCs w:val="18"/>
        </w:rPr>
        <w:t xml:space="preserve"> Contribution</w:t>
      </w:r>
      <w:r w:rsidRPr="00992199">
        <w:rPr>
          <w:sz w:val="18"/>
          <w:szCs w:val="18"/>
        </w:rPr>
        <w:t xml:space="preserve">), (ii) the contributions in kind of all shares of Peatinvest NV </w:t>
      </w:r>
      <w:r w:rsidRPr="00584210">
        <w:rPr>
          <w:sz w:val="18"/>
          <w:szCs w:val="18"/>
        </w:rPr>
        <w:t>(</w:t>
      </w:r>
      <w:r w:rsidRPr="00992199">
        <w:rPr>
          <w:b/>
          <w:i/>
          <w:sz w:val="18"/>
          <w:szCs w:val="18"/>
        </w:rPr>
        <w:t>Peatinvest</w:t>
      </w:r>
      <w:r w:rsidRPr="00584210">
        <w:rPr>
          <w:sz w:val="18"/>
          <w:szCs w:val="18"/>
        </w:rPr>
        <w:t>)</w:t>
      </w:r>
      <w:r w:rsidRPr="00992199">
        <w:rPr>
          <w:sz w:val="18"/>
          <w:szCs w:val="18"/>
        </w:rPr>
        <w:t xml:space="preserve"> held by the current shareholders of Peatinvest to </w:t>
      </w:r>
      <w:r w:rsidR="002A1AB1">
        <w:rPr>
          <w:sz w:val="18"/>
          <w:szCs w:val="18"/>
        </w:rPr>
        <w:t>Greenyard Foods</w:t>
      </w:r>
      <w:r w:rsidRPr="00992199">
        <w:rPr>
          <w:sz w:val="18"/>
          <w:szCs w:val="18"/>
        </w:rPr>
        <w:t xml:space="preserve"> (the </w:t>
      </w:r>
      <w:r w:rsidRPr="00992199">
        <w:rPr>
          <w:b/>
          <w:i/>
          <w:sz w:val="18"/>
          <w:szCs w:val="18"/>
        </w:rPr>
        <w:t>Peatinvest Contribution</w:t>
      </w:r>
      <w:r w:rsidRPr="00992199">
        <w:rPr>
          <w:sz w:val="18"/>
          <w:szCs w:val="18"/>
        </w:rPr>
        <w:t xml:space="preserve">) (the DWB Demerger, the </w:t>
      </w:r>
      <w:r w:rsidR="0082672E">
        <w:rPr>
          <w:sz w:val="18"/>
          <w:szCs w:val="18"/>
        </w:rPr>
        <w:t>Univeg</w:t>
      </w:r>
      <w:r w:rsidRPr="00992199">
        <w:rPr>
          <w:sz w:val="18"/>
          <w:szCs w:val="18"/>
        </w:rPr>
        <w:t xml:space="preserve"> Contribution and the Peatinvest Contribution being together the </w:t>
      </w:r>
      <w:r w:rsidRPr="00992199">
        <w:rPr>
          <w:b/>
          <w:i/>
          <w:sz w:val="18"/>
          <w:szCs w:val="18"/>
        </w:rPr>
        <w:t xml:space="preserve">Contributions </w:t>
      </w:r>
      <w:r w:rsidRPr="00992199">
        <w:rPr>
          <w:sz w:val="18"/>
          <w:szCs w:val="18"/>
        </w:rPr>
        <w:t>and each a</w:t>
      </w:r>
      <w:r w:rsidRPr="00992199">
        <w:rPr>
          <w:b/>
          <w:i/>
          <w:sz w:val="18"/>
          <w:szCs w:val="18"/>
        </w:rPr>
        <w:t xml:space="preserve"> Contribution</w:t>
      </w:r>
      <w:r w:rsidRPr="00992199">
        <w:rPr>
          <w:sz w:val="18"/>
          <w:szCs w:val="18"/>
        </w:rPr>
        <w:t xml:space="preserve">), and (iii) the exercise </w:t>
      </w:r>
      <w:r w:rsidR="00A73F0A">
        <w:rPr>
          <w:sz w:val="18"/>
          <w:szCs w:val="18"/>
        </w:rPr>
        <w:t xml:space="preserve">of 2,400,000 warrants by </w:t>
      </w:r>
      <w:r w:rsidR="000F478D" w:rsidRPr="000F478D">
        <w:rPr>
          <w:sz w:val="18"/>
          <w:szCs w:val="18"/>
        </w:rPr>
        <w:t>Gimv NV, Gimv-XL Partners Invest Comm. V. and Adviesbeheer Gimv-XL NV</w:t>
      </w:r>
      <w:r w:rsidR="000F478D">
        <w:rPr>
          <w:sz w:val="18"/>
          <w:szCs w:val="18"/>
        </w:rPr>
        <w:t xml:space="preserve"> (</w:t>
      </w:r>
      <w:r w:rsidR="00304A20">
        <w:rPr>
          <w:sz w:val="18"/>
          <w:szCs w:val="18"/>
        </w:rPr>
        <w:t xml:space="preserve">together </w:t>
      </w:r>
      <w:r w:rsidR="000F478D">
        <w:rPr>
          <w:b/>
          <w:i/>
          <w:sz w:val="18"/>
          <w:szCs w:val="18"/>
        </w:rPr>
        <w:t>Gimv-XL</w:t>
      </w:r>
      <w:r w:rsidR="000F478D">
        <w:rPr>
          <w:sz w:val="18"/>
          <w:szCs w:val="18"/>
        </w:rPr>
        <w:t>)</w:t>
      </w:r>
      <w:r w:rsidRPr="00992199">
        <w:rPr>
          <w:sz w:val="18"/>
          <w:szCs w:val="18"/>
        </w:rPr>
        <w:t xml:space="preserve"> (the </w:t>
      </w:r>
      <w:r w:rsidRPr="00992199">
        <w:rPr>
          <w:b/>
          <w:i/>
          <w:sz w:val="18"/>
          <w:szCs w:val="18"/>
        </w:rPr>
        <w:t>Gimv Warrants Exercise</w:t>
      </w:r>
      <w:r w:rsidRPr="00992199">
        <w:rPr>
          <w:sz w:val="18"/>
          <w:szCs w:val="18"/>
        </w:rPr>
        <w:t xml:space="preserve">) (the Contributions and the Gimv Warrants Exercise being together the </w:t>
      </w:r>
      <w:r w:rsidRPr="00992199">
        <w:rPr>
          <w:b/>
          <w:i/>
          <w:sz w:val="18"/>
          <w:szCs w:val="18"/>
        </w:rPr>
        <w:t>Transactions</w:t>
      </w:r>
      <w:r w:rsidRPr="00992199">
        <w:rPr>
          <w:sz w:val="18"/>
          <w:szCs w:val="18"/>
        </w:rPr>
        <w:t xml:space="preserve"> and each a </w:t>
      </w:r>
      <w:r w:rsidRPr="00992199">
        <w:rPr>
          <w:b/>
          <w:i/>
          <w:sz w:val="18"/>
          <w:szCs w:val="18"/>
        </w:rPr>
        <w:t>Transaction</w:t>
      </w:r>
      <w:r w:rsidRPr="00992199">
        <w:rPr>
          <w:sz w:val="18"/>
          <w:szCs w:val="18"/>
        </w:rPr>
        <w:t>). All Transactions are conditional upon each other.</w:t>
      </w:r>
    </w:p>
    <w:p w:rsidR="003F0BC5" w:rsidRPr="00992199" w:rsidRDefault="003F0BC5" w:rsidP="003F0BC5">
      <w:pPr>
        <w:tabs>
          <w:tab w:val="left" w:pos="1980"/>
        </w:tabs>
        <w:spacing w:before="40" w:after="40"/>
        <w:rPr>
          <w:kern w:val="20"/>
          <w:sz w:val="18"/>
          <w:szCs w:val="18"/>
        </w:rPr>
      </w:pPr>
      <w:r w:rsidRPr="00992199">
        <w:rPr>
          <w:kern w:val="20"/>
          <w:sz w:val="18"/>
          <w:szCs w:val="18"/>
        </w:rPr>
        <w:t xml:space="preserve">An application has been made to list the New Shares on the regulated market of Euronext Brussels under the symbol GRYFO. The New Shares shall have the same rights as all existing shares of the Company (such existing shares, together as the case may be with the New Shares, being referred to hereinafter as the </w:t>
      </w:r>
      <w:r w:rsidRPr="00992199">
        <w:rPr>
          <w:b/>
          <w:i/>
          <w:kern w:val="20"/>
          <w:sz w:val="18"/>
          <w:szCs w:val="18"/>
        </w:rPr>
        <w:t>Shares</w:t>
      </w:r>
      <w:r w:rsidRPr="00992199">
        <w:rPr>
          <w:kern w:val="20"/>
          <w:sz w:val="18"/>
          <w:szCs w:val="18"/>
        </w:rPr>
        <w:t xml:space="preserve">). The listing of the New Shares of the Company to be issued in the context of the Transactions is expected to be effective on </w:t>
      </w:r>
      <w:r w:rsidR="00351F80">
        <w:rPr>
          <w:kern w:val="20"/>
          <w:sz w:val="18"/>
          <w:szCs w:val="18"/>
        </w:rPr>
        <w:t>[19]</w:t>
      </w:r>
      <w:r w:rsidRPr="00992199">
        <w:rPr>
          <w:kern w:val="20"/>
          <w:sz w:val="18"/>
          <w:szCs w:val="18"/>
        </w:rPr>
        <w:t> June 2015 under ISIN BE0003765790.</w:t>
      </w:r>
    </w:p>
    <w:p w:rsidR="003F0BC5" w:rsidRPr="00992199" w:rsidRDefault="003F0BC5" w:rsidP="003F0BC5">
      <w:pPr>
        <w:tabs>
          <w:tab w:val="left" w:pos="1980"/>
        </w:tabs>
        <w:spacing w:before="40" w:after="40"/>
        <w:rPr>
          <w:kern w:val="20"/>
          <w:sz w:val="18"/>
          <w:szCs w:val="18"/>
        </w:rPr>
      </w:pPr>
      <w:r w:rsidRPr="00992199">
        <w:rPr>
          <w:kern w:val="20"/>
          <w:sz w:val="18"/>
          <w:szCs w:val="18"/>
        </w:rPr>
        <w:t xml:space="preserve">Delivery of the New Shares to be issued in the context of the Transactions is expected to take place in book-entry form against transfer of ownership of the shares of </w:t>
      </w:r>
      <w:r w:rsidR="0082672E">
        <w:rPr>
          <w:kern w:val="20"/>
          <w:sz w:val="18"/>
          <w:szCs w:val="18"/>
        </w:rPr>
        <w:t>Univeg</w:t>
      </w:r>
      <w:r w:rsidRPr="00992199">
        <w:rPr>
          <w:kern w:val="20"/>
          <w:sz w:val="18"/>
          <w:szCs w:val="18"/>
        </w:rPr>
        <w:t xml:space="preserve"> and Peatinvest as a result of the completion of the Contributions on or about </w:t>
      </w:r>
      <w:r w:rsidR="00351F80">
        <w:rPr>
          <w:kern w:val="20"/>
          <w:sz w:val="18"/>
          <w:szCs w:val="18"/>
        </w:rPr>
        <w:t>[19]</w:t>
      </w:r>
      <w:r w:rsidRPr="00992199">
        <w:rPr>
          <w:kern w:val="20"/>
          <w:sz w:val="18"/>
          <w:szCs w:val="18"/>
        </w:rPr>
        <w:t xml:space="preserve"> June 2015 (the </w:t>
      </w:r>
      <w:r w:rsidRPr="00992199">
        <w:rPr>
          <w:b/>
          <w:i/>
          <w:kern w:val="20"/>
          <w:sz w:val="18"/>
          <w:szCs w:val="18"/>
        </w:rPr>
        <w:t>Closing Date</w:t>
      </w:r>
      <w:r w:rsidRPr="00992199">
        <w:rPr>
          <w:kern w:val="20"/>
          <w:sz w:val="18"/>
          <w:szCs w:val="18"/>
        </w:rPr>
        <w:t xml:space="preserve">) to securities accounts of the </w:t>
      </w:r>
      <w:r w:rsidR="00A431F0">
        <w:rPr>
          <w:kern w:val="20"/>
          <w:sz w:val="18"/>
          <w:szCs w:val="18"/>
        </w:rPr>
        <w:t>relevant persons</w:t>
      </w:r>
      <w:r w:rsidRPr="00992199">
        <w:rPr>
          <w:kern w:val="20"/>
          <w:sz w:val="18"/>
          <w:szCs w:val="18"/>
        </w:rPr>
        <w:t xml:space="preserve"> via Euroclear Belgium.</w:t>
      </w:r>
    </w:p>
    <w:p w:rsidR="003F0BC5" w:rsidRPr="00992199" w:rsidRDefault="003F0BC5" w:rsidP="00CA4193">
      <w:pPr>
        <w:tabs>
          <w:tab w:val="left" w:pos="1980"/>
        </w:tabs>
        <w:jc w:val="center"/>
        <w:rPr>
          <w:b/>
          <w:kern w:val="20"/>
          <w:sz w:val="18"/>
          <w:szCs w:val="18"/>
        </w:rPr>
      </w:pPr>
      <w:r w:rsidRPr="00992199">
        <w:rPr>
          <w:kern w:val="20"/>
          <w:sz w:val="18"/>
          <w:szCs w:val="18"/>
        </w:rPr>
        <w:t>__________________</w:t>
      </w:r>
    </w:p>
    <w:p w:rsidR="003F0BC5" w:rsidRPr="00992199" w:rsidRDefault="003F0BC5" w:rsidP="00CA4193">
      <w:pPr>
        <w:tabs>
          <w:tab w:val="left" w:pos="1980"/>
        </w:tabs>
        <w:jc w:val="center"/>
        <w:rPr>
          <w:b/>
          <w:kern w:val="20"/>
          <w:sz w:val="18"/>
          <w:szCs w:val="18"/>
        </w:rPr>
      </w:pPr>
      <w:r w:rsidRPr="00992199">
        <w:rPr>
          <w:b/>
          <w:kern w:val="20"/>
          <w:sz w:val="18"/>
          <w:szCs w:val="18"/>
        </w:rPr>
        <w:t>The risk</w:t>
      </w:r>
      <w:r w:rsidRPr="00992199">
        <w:rPr>
          <w:b/>
          <w:i/>
          <w:kern w:val="20"/>
          <w:sz w:val="18"/>
          <w:szCs w:val="18"/>
        </w:rPr>
        <w:t xml:space="preserve"> </w:t>
      </w:r>
      <w:r w:rsidRPr="00992199">
        <w:rPr>
          <w:b/>
          <w:kern w:val="20"/>
          <w:sz w:val="18"/>
          <w:szCs w:val="18"/>
        </w:rPr>
        <w:t xml:space="preserve">factors relating to the </w:t>
      </w:r>
      <w:r w:rsidR="00574013" w:rsidRPr="00574013">
        <w:rPr>
          <w:b/>
          <w:kern w:val="20"/>
          <w:sz w:val="18"/>
          <w:szCs w:val="18"/>
        </w:rPr>
        <w:t xml:space="preserve">Combined Greenyard Foods Group </w:t>
      </w:r>
      <w:r w:rsidRPr="00992199">
        <w:rPr>
          <w:b/>
          <w:kern w:val="20"/>
          <w:sz w:val="18"/>
          <w:szCs w:val="18"/>
        </w:rPr>
        <w:t xml:space="preserve">and its business, the risk factors relating to prevailing economic conditions, and the risk factors relating to the Shares, the </w:t>
      </w:r>
      <w:r w:rsidR="00FE467C">
        <w:rPr>
          <w:b/>
          <w:kern w:val="20"/>
          <w:sz w:val="18"/>
          <w:szCs w:val="18"/>
        </w:rPr>
        <w:t>Contributions</w:t>
      </w:r>
      <w:r w:rsidRPr="00992199">
        <w:rPr>
          <w:b/>
          <w:kern w:val="20"/>
          <w:sz w:val="18"/>
          <w:szCs w:val="18"/>
        </w:rPr>
        <w:t xml:space="preserve"> and the potential subsequent </w:t>
      </w:r>
      <w:r w:rsidR="005F4ABF">
        <w:rPr>
          <w:b/>
          <w:kern w:val="20"/>
          <w:sz w:val="18"/>
          <w:szCs w:val="18"/>
        </w:rPr>
        <w:t>secondary sale</w:t>
      </w:r>
      <w:r w:rsidR="005F4ABF" w:rsidRPr="00992199">
        <w:rPr>
          <w:b/>
          <w:kern w:val="20"/>
          <w:sz w:val="18"/>
          <w:szCs w:val="18"/>
        </w:rPr>
        <w:t xml:space="preserve"> </w:t>
      </w:r>
      <w:r w:rsidRPr="00992199">
        <w:rPr>
          <w:b/>
          <w:kern w:val="20"/>
          <w:sz w:val="18"/>
          <w:szCs w:val="18"/>
        </w:rPr>
        <w:t xml:space="preserve">of </w:t>
      </w:r>
      <w:r w:rsidR="002A1AB1">
        <w:rPr>
          <w:b/>
          <w:kern w:val="20"/>
          <w:sz w:val="18"/>
          <w:szCs w:val="18"/>
        </w:rPr>
        <w:t>Greenyard Foods</w:t>
      </w:r>
      <w:r w:rsidRPr="00992199">
        <w:rPr>
          <w:b/>
          <w:kern w:val="20"/>
          <w:sz w:val="18"/>
          <w:szCs w:val="18"/>
        </w:rPr>
        <w:t xml:space="preserve"> Shares (see Part II (</w:t>
      </w:r>
      <w:r w:rsidRPr="00992199">
        <w:rPr>
          <w:b/>
          <w:i/>
          <w:kern w:val="20"/>
          <w:sz w:val="18"/>
          <w:szCs w:val="18"/>
        </w:rPr>
        <w:t>Risk factors</w:t>
      </w:r>
      <w:r w:rsidRPr="00992199">
        <w:rPr>
          <w:b/>
          <w:kern w:val="20"/>
          <w:sz w:val="18"/>
          <w:szCs w:val="18"/>
        </w:rPr>
        <w:t>)) should be carefully reviewed.</w:t>
      </w:r>
    </w:p>
    <w:p w:rsidR="003F0BC5" w:rsidRPr="00992199" w:rsidRDefault="003F0BC5" w:rsidP="003F0BC5">
      <w:pPr>
        <w:tabs>
          <w:tab w:val="left" w:pos="1980"/>
        </w:tabs>
        <w:jc w:val="center"/>
        <w:rPr>
          <w:b/>
          <w:kern w:val="20"/>
          <w:sz w:val="18"/>
          <w:szCs w:val="18"/>
        </w:rPr>
      </w:pPr>
      <w:r w:rsidRPr="00992199">
        <w:rPr>
          <w:b/>
          <w:kern w:val="20"/>
          <w:sz w:val="18"/>
          <w:szCs w:val="18"/>
        </w:rPr>
        <w:t>This Prospectus needs to be read together with any documents included herein by reference.</w:t>
      </w:r>
    </w:p>
    <w:p w:rsidR="003F0BC5" w:rsidRPr="00992199" w:rsidRDefault="003F0BC5" w:rsidP="00CA4193">
      <w:pPr>
        <w:tabs>
          <w:tab w:val="left" w:pos="1980"/>
        </w:tabs>
        <w:jc w:val="center"/>
        <w:rPr>
          <w:kern w:val="20"/>
          <w:sz w:val="18"/>
          <w:szCs w:val="18"/>
        </w:rPr>
      </w:pPr>
      <w:r w:rsidRPr="00992199">
        <w:rPr>
          <w:kern w:val="20"/>
          <w:sz w:val="18"/>
          <w:szCs w:val="18"/>
        </w:rPr>
        <w:t>__________________</w:t>
      </w:r>
    </w:p>
    <w:p w:rsidR="003F0BC5" w:rsidRPr="00992199" w:rsidRDefault="003F0BC5" w:rsidP="005F4ABF">
      <w:pPr>
        <w:tabs>
          <w:tab w:val="left" w:pos="1980"/>
        </w:tabs>
        <w:spacing w:beforeLines="40" w:before="96" w:afterLines="40" w:after="96"/>
        <w:rPr>
          <w:kern w:val="20"/>
          <w:sz w:val="18"/>
          <w:szCs w:val="18"/>
        </w:rPr>
      </w:pPr>
      <w:r w:rsidRPr="00992199">
        <w:rPr>
          <w:kern w:val="20"/>
          <w:sz w:val="18"/>
          <w:szCs w:val="18"/>
        </w:rPr>
        <w:t xml:space="preserve">This document constitutes a prospectus for the purpose of article 20 of the law of 16 June 2006 on the public offering of securities and the admission of securities to trading on a regulated market, as amended </w:t>
      </w:r>
      <w:r w:rsidR="005F4ABF">
        <w:rPr>
          <w:kern w:val="20"/>
          <w:sz w:val="18"/>
          <w:szCs w:val="18"/>
        </w:rPr>
        <w:t>(</w:t>
      </w:r>
      <w:r w:rsidR="005F4ABF" w:rsidRPr="005F4ABF">
        <w:rPr>
          <w:i/>
          <w:kern w:val="20"/>
          <w:sz w:val="18"/>
          <w:szCs w:val="18"/>
        </w:rPr>
        <w:t>Wet op de openbare aanbieding van beleggingsinstrumenten en de toelating van beleggingsinstrumenten tot de verhandeling op een gereglementeerde markt / Loi relative aux offres publiques d'instruments de placement et aux admissions d'instruments de placement à la négociation sur des marches réglementés</w:t>
      </w:r>
      <w:r w:rsidR="005F4ABF">
        <w:rPr>
          <w:kern w:val="20"/>
          <w:sz w:val="18"/>
          <w:szCs w:val="18"/>
        </w:rPr>
        <w:t>)</w:t>
      </w:r>
      <w:r w:rsidR="005F4ABF" w:rsidRPr="005F4ABF">
        <w:rPr>
          <w:kern w:val="20"/>
          <w:sz w:val="18"/>
          <w:szCs w:val="18"/>
        </w:rPr>
        <w:t xml:space="preserve"> </w:t>
      </w:r>
      <w:r w:rsidRPr="005F4ABF">
        <w:rPr>
          <w:kern w:val="20"/>
          <w:sz w:val="18"/>
          <w:szCs w:val="18"/>
        </w:rPr>
        <w:t xml:space="preserve">(the </w:t>
      </w:r>
      <w:r w:rsidRPr="005F4ABF">
        <w:rPr>
          <w:b/>
          <w:i/>
          <w:kern w:val="20"/>
          <w:sz w:val="18"/>
          <w:szCs w:val="18"/>
        </w:rPr>
        <w:t>Prospectus Law</w:t>
      </w:r>
      <w:r w:rsidRPr="005F4ABF">
        <w:rPr>
          <w:kern w:val="20"/>
          <w:sz w:val="18"/>
          <w:szCs w:val="18"/>
        </w:rPr>
        <w:t xml:space="preserve">). </w:t>
      </w:r>
      <w:r w:rsidRPr="00992199">
        <w:rPr>
          <w:kern w:val="20"/>
          <w:sz w:val="18"/>
          <w:szCs w:val="18"/>
        </w:rPr>
        <w:t xml:space="preserve">This Prospectus was approved by the Financial Services and Markets Authority (the </w:t>
      </w:r>
      <w:r w:rsidRPr="00992199">
        <w:rPr>
          <w:b/>
          <w:i/>
          <w:kern w:val="20"/>
          <w:sz w:val="18"/>
          <w:szCs w:val="18"/>
        </w:rPr>
        <w:t>FSMA</w:t>
      </w:r>
      <w:r w:rsidRPr="00992199">
        <w:rPr>
          <w:kern w:val="20"/>
          <w:sz w:val="18"/>
          <w:szCs w:val="18"/>
        </w:rPr>
        <w:t>) on [16] June 2015.</w:t>
      </w:r>
    </w:p>
    <w:p w:rsidR="003F0BC5" w:rsidRPr="00992199" w:rsidRDefault="003F0BC5" w:rsidP="003F0BC5">
      <w:pPr>
        <w:tabs>
          <w:tab w:val="left" w:pos="1980"/>
        </w:tabs>
        <w:spacing w:beforeLines="40" w:before="96" w:afterLines="40" w:after="96"/>
        <w:rPr>
          <w:kern w:val="20"/>
          <w:sz w:val="18"/>
          <w:szCs w:val="18"/>
        </w:rPr>
      </w:pPr>
      <w:r w:rsidRPr="00992199">
        <w:rPr>
          <w:kern w:val="20"/>
          <w:sz w:val="18"/>
          <w:szCs w:val="18"/>
        </w:rPr>
        <w:t>This Prospectus does not constitute an offer to buy, subscribe or sell the New Shares described herein in any jurisdiction or to any person to whom it would be unlawful to make such an offer. This Prospectus serves as a prospectus for the purpose of article 20 of the Prospectus Law only and no Shares are being offered or sold pursuant to this Prospectus.</w:t>
      </w:r>
    </w:p>
    <w:p w:rsidR="003F0BC5" w:rsidRPr="00992199" w:rsidRDefault="003F0BC5" w:rsidP="003F0BC5">
      <w:pPr>
        <w:tabs>
          <w:tab w:val="left" w:pos="1980"/>
        </w:tabs>
        <w:spacing w:beforeLines="40" w:before="96" w:afterLines="40" w:after="96"/>
        <w:rPr>
          <w:kern w:val="20"/>
          <w:sz w:val="18"/>
          <w:szCs w:val="18"/>
        </w:rPr>
      </w:pPr>
      <w:r w:rsidRPr="00992199">
        <w:rPr>
          <w:kern w:val="20"/>
          <w:sz w:val="18"/>
          <w:szCs w:val="18"/>
        </w:rPr>
        <w:t>The Transactions have not yet been completed by the time this Prospectus was approved. The completion of the Transactions is expected to take place on [19] June 2015 and will be confirmed in an announcement that will be made public.</w:t>
      </w:r>
    </w:p>
    <w:p w:rsidR="003F0BC5" w:rsidRDefault="003F0BC5" w:rsidP="00CA4193">
      <w:pPr>
        <w:jc w:val="center"/>
        <w:rPr>
          <w:kern w:val="20"/>
          <w:szCs w:val="20"/>
        </w:rPr>
      </w:pPr>
      <w:r w:rsidRPr="00992199">
        <w:rPr>
          <w:kern w:val="20"/>
          <w:sz w:val="18"/>
          <w:szCs w:val="18"/>
        </w:rPr>
        <w:t>Prospectus dated [16] June 2015</w:t>
      </w:r>
    </w:p>
    <w:p w:rsidR="003F0BC5" w:rsidRDefault="003F0BC5" w:rsidP="003F0BC5">
      <w:pPr>
        <w:spacing w:after="280"/>
        <w:jc w:val="center"/>
        <w:rPr>
          <w:kern w:val="20"/>
          <w:szCs w:val="20"/>
        </w:rPr>
        <w:sectPr w:rsidR="003F0BC5" w:rsidSect="00BB0F52">
          <w:footerReference w:type="default" r:id="rId8"/>
          <w:headerReference w:type="first" r:id="rId9"/>
          <w:footerReference w:type="first" r:id="rId10"/>
          <w:pgSz w:w="11909" w:h="16834" w:code="9"/>
          <w:pgMar w:top="1440" w:right="1440" w:bottom="1440" w:left="1440" w:header="709" w:footer="709" w:gutter="0"/>
          <w:cols w:space="720"/>
          <w:titlePg/>
          <w:docGrid w:linePitch="360"/>
        </w:sectPr>
      </w:pPr>
    </w:p>
    <w:p w:rsidR="003F0BC5" w:rsidRPr="00992199" w:rsidRDefault="003F0BC5" w:rsidP="003F0BC5">
      <w:pPr>
        <w:jc w:val="center"/>
        <w:rPr>
          <w:b/>
          <w:szCs w:val="20"/>
        </w:rPr>
      </w:pPr>
      <w:r w:rsidRPr="00992199">
        <w:rPr>
          <w:b/>
          <w:szCs w:val="20"/>
        </w:rPr>
        <w:lastRenderedPageBreak/>
        <w:t>IMPORTANT NOTICE</w:t>
      </w:r>
    </w:p>
    <w:p w:rsidR="003F0BC5" w:rsidRPr="00992199" w:rsidRDefault="003F0BC5" w:rsidP="003F0BC5">
      <w:pPr>
        <w:rPr>
          <w:szCs w:val="20"/>
        </w:rPr>
      </w:pPr>
      <w:r w:rsidRPr="00992199">
        <w:rPr>
          <w:b/>
          <w:szCs w:val="20"/>
        </w:rPr>
        <w:t xml:space="preserve">IMPORTANT: You must read the following disclaimer before reading this Prospectus. </w:t>
      </w:r>
      <w:r w:rsidRPr="00992199">
        <w:rPr>
          <w:szCs w:val="20"/>
        </w:rPr>
        <w:t>The following disclaimer applies to this Prospectus and you are therefore advised to read this disclaimer carefully before reading, accessing or making any other use of the Prospectus. In accessing the attached Prospectus, you agree to be bound by the following terms and conditions, including any modifications to them from time to time, each time you receive any information from the Company.</w:t>
      </w:r>
    </w:p>
    <w:p w:rsidR="003F0BC5" w:rsidRPr="00992199" w:rsidRDefault="003F0BC5" w:rsidP="003F0BC5">
      <w:pPr>
        <w:rPr>
          <w:szCs w:val="20"/>
        </w:rPr>
      </w:pPr>
      <w:r w:rsidRPr="00992199">
        <w:rPr>
          <w:szCs w:val="20"/>
        </w:rPr>
        <w:t xml:space="preserve">This Prospectus has been approved for the purposes of the admission to trading of the New Shares on the regulated market of Euronext Brussels and does not constitute an offer to sell or the solicitation of an offer to buy any Shares in any jurisdiction to any person to whom it is unlawful to make the offer or solicitation in such jurisdiction. It can be distributed in </w:t>
      </w:r>
      <w:smartTag w:uri="urn:schemas-microsoft-com:office:smarttags" w:element="country-region">
        <w:smartTag w:uri="urn:schemas-microsoft-com:office:smarttags" w:element="place">
          <w:r w:rsidRPr="00992199">
            <w:rPr>
              <w:szCs w:val="20"/>
            </w:rPr>
            <w:t>Belgium</w:t>
          </w:r>
        </w:smartTag>
      </w:smartTag>
      <w:r w:rsidRPr="00992199">
        <w:rPr>
          <w:szCs w:val="20"/>
        </w:rPr>
        <w:t>, where it has been approved by the FSMA in accordance with the Prospectus Law.</w:t>
      </w:r>
    </w:p>
    <w:p w:rsidR="003F0BC5" w:rsidRPr="00992199" w:rsidRDefault="003F0BC5" w:rsidP="003F0BC5">
      <w:pPr>
        <w:rPr>
          <w:szCs w:val="20"/>
        </w:rPr>
      </w:pPr>
      <w:r w:rsidRPr="00992199">
        <w:rPr>
          <w:b/>
          <w:szCs w:val="20"/>
        </w:rPr>
        <w:t xml:space="preserve">The distribution of this Prospectus in any country other than </w:t>
      </w:r>
      <w:smartTag w:uri="urn:schemas-microsoft-com:office:smarttags" w:element="country-region">
        <w:smartTag w:uri="urn:schemas-microsoft-com:office:smarttags" w:element="place">
          <w:r w:rsidRPr="00992199">
            <w:rPr>
              <w:b/>
              <w:szCs w:val="20"/>
            </w:rPr>
            <w:t>Belgium</w:t>
          </w:r>
        </w:smartTag>
      </w:smartTag>
      <w:r w:rsidRPr="00992199">
        <w:rPr>
          <w:b/>
          <w:szCs w:val="20"/>
        </w:rPr>
        <w:t xml:space="preserve"> may be restricted by law.</w:t>
      </w:r>
      <w:r w:rsidRPr="00992199">
        <w:rPr>
          <w:szCs w:val="20"/>
        </w:rPr>
        <w:t xml:space="preserve"> The Company does not represent that this Prospectus may be lawfully distributed, or that any Shares may be lawfully offered, in compliance with any applicable registration or other requirements in any jurisdiction other than </w:t>
      </w:r>
      <w:smartTag w:uri="urn:schemas-microsoft-com:office:smarttags" w:element="country-region">
        <w:smartTag w:uri="urn:schemas-microsoft-com:office:smarttags" w:element="place">
          <w:r w:rsidRPr="00992199">
            <w:rPr>
              <w:szCs w:val="20"/>
            </w:rPr>
            <w:t>Belgium</w:t>
          </w:r>
        </w:smartTag>
      </w:smartTag>
      <w:r w:rsidRPr="00992199">
        <w:rPr>
          <w:szCs w:val="20"/>
        </w:rPr>
        <w:t xml:space="preserve">, or pursuant to an exemption available thereunder, or assume any responsibility for facilitating any such distribution or offering. In particular, no action has been taken by the Company which is intended to permit a public offering of any Shares or distribution of this Prospectus in any jurisdiction where action for that purpose is required. Accordingly, no Shares may be offered or sold, directly and indirectly, pursuant to this Prospectus and neither this Prospectus nor any advertisement or other advertising material may be distributed or published in any jurisdiction other than </w:t>
      </w:r>
      <w:smartTag w:uri="urn:schemas-microsoft-com:office:smarttags" w:element="country-region">
        <w:smartTag w:uri="urn:schemas-microsoft-com:office:smarttags" w:element="place">
          <w:r w:rsidRPr="00992199">
            <w:rPr>
              <w:szCs w:val="20"/>
            </w:rPr>
            <w:t>Belgium</w:t>
          </w:r>
        </w:smartTag>
      </w:smartTag>
      <w:r w:rsidRPr="00992199">
        <w:rPr>
          <w:szCs w:val="20"/>
        </w:rPr>
        <w:t>, except under circumstances that will result in compliance with any applicable laws and regulations. Persons in whose possession this Prospectus or any Shares may come must inform themselves about, and observe any such restrictions on the distribution of this Prospectus and the offering and sale of Shares.</w:t>
      </w:r>
    </w:p>
    <w:p w:rsidR="003F0BC5" w:rsidRPr="00992199" w:rsidRDefault="003F0BC5" w:rsidP="003F0BC5">
      <w:pPr>
        <w:spacing w:after="1080"/>
        <w:rPr>
          <w:szCs w:val="20"/>
        </w:rPr>
      </w:pPr>
      <w:r w:rsidRPr="00992199">
        <w:rPr>
          <w:b/>
          <w:szCs w:val="20"/>
        </w:rPr>
        <w:t xml:space="preserve">The Shares have not been and will not be registered under the </w:t>
      </w:r>
      <w:smartTag w:uri="urn:schemas-microsoft-com:office:smarttags" w:element="country-region">
        <w:smartTag w:uri="urn:schemas-microsoft-com:office:smarttags" w:element="place">
          <w:r w:rsidRPr="00992199">
            <w:rPr>
              <w:b/>
              <w:szCs w:val="20"/>
            </w:rPr>
            <w:t>United States</w:t>
          </w:r>
        </w:smartTag>
      </w:smartTag>
      <w:r w:rsidRPr="00992199">
        <w:rPr>
          <w:b/>
          <w:szCs w:val="20"/>
        </w:rPr>
        <w:t xml:space="preserve"> Securities Act of 1933, as amended (the </w:t>
      </w:r>
      <w:r w:rsidRPr="00992199">
        <w:rPr>
          <w:b/>
          <w:i/>
          <w:szCs w:val="20"/>
        </w:rPr>
        <w:t>Securities Act</w:t>
      </w:r>
      <w:r w:rsidRPr="00992199">
        <w:rPr>
          <w:b/>
          <w:szCs w:val="20"/>
        </w:rPr>
        <w:t>). Subject to certain exceptions, the Shares may not be offered or sold within the United States or to, or for the account or benefit of, US persons (as defined in Regulation S under the Securities Act).</w:t>
      </w:r>
    </w:p>
    <w:p w:rsidR="003F0BC5" w:rsidRPr="00992199" w:rsidRDefault="003F0BC5" w:rsidP="003F0BC5">
      <w:pPr>
        <w:pageBreakBefore/>
        <w:jc w:val="center"/>
        <w:rPr>
          <w:b/>
          <w:szCs w:val="20"/>
        </w:rPr>
      </w:pPr>
      <w:r w:rsidRPr="00992199">
        <w:rPr>
          <w:b/>
          <w:szCs w:val="20"/>
        </w:rPr>
        <w:lastRenderedPageBreak/>
        <w:t>IMPORTANT INFORMATION</w:t>
      </w:r>
    </w:p>
    <w:p w:rsidR="003F0BC5" w:rsidRPr="00992199" w:rsidRDefault="003F0BC5" w:rsidP="003F0BC5">
      <w:pPr>
        <w:rPr>
          <w:szCs w:val="20"/>
        </w:rPr>
      </w:pPr>
      <w:r w:rsidRPr="00992199">
        <w:rPr>
          <w:szCs w:val="20"/>
        </w:rPr>
        <w:t>In accordance with article 61</w:t>
      </w:r>
      <w:r w:rsidR="005F4ABF">
        <w:rPr>
          <w:szCs w:val="20"/>
        </w:rPr>
        <w:t>,</w:t>
      </w:r>
      <w:r w:rsidRPr="00992199">
        <w:rPr>
          <w:szCs w:val="20"/>
        </w:rPr>
        <w:t xml:space="preserve"> §1 and §2 of the Prospectus Law, the Company, represented by its board of directors (the </w:t>
      </w:r>
      <w:r w:rsidRPr="00992199">
        <w:rPr>
          <w:b/>
          <w:i/>
          <w:szCs w:val="20"/>
        </w:rPr>
        <w:t>Board of Directors</w:t>
      </w:r>
      <w:r w:rsidRPr="00992199">
        <w:rPr>
          <w:szCs w:val="20"/>
        </w:rPr>
        <w:t>), assumes responsibility for the information contained in this Prospectus, provided, however, that:</w:t>
      </w:r>
    </w:p>
    <w:p w:rsidR="003F0BC5" w:rsidRPr="00992199" w:rsidRDefault="003F0BC5" w:rsidP="003F0BC5">
      <w:pPr>
        <w:ind w:left="720" w:hanging="720"/>
        <w:rPr>
          <w:szCs w:val="20"/>
        </w:rPr>
      </w:pPr>
      <w:r w:rsidRPr="00992199">
        <w:rPr>
          <w:szCs w:val="20"/>
        </w:rPr>
        <w:t>(i)</w:t>
      </w:r>
      <w:r w:rsidRPr="00992199">
        <w:rPr>
          <w:szCs w:val="20"/>
        </w:rPr>
        <w:tab/>
        <w:t xml:space="preserve">all information relating to </w:t>
      </w:r>
      <w:r w:rsidR="0082672E">
        <w:rPr>
          <w:szCs w:val="20"/>
        </w:rPr>
        <w:t>Univeg</w:t>
      </w:r>
      <w:r w:rsidRPr="00992199">
        <w:rPr>
          <w:szCs w:val="20"/>
        </w:rPr>
        <w:t xml:space="preserve"> and its subsidiaries contained in this Prospectus has been provided by representatives of </w:t>
      </w:r>
      <w:r w:rsidR="0082672E">
        <w:rPr>
          <w:szCs w:val="20"/>
        </w:rPr>
        <w:t>Univeg</w:t>
      </w:r>
      <w:r w:rsidRPr="00992199">
        <w:rPr>
          <w:szCs w:val="20"/>
        </w:rPr>
        <w:t xml:space="preserve">; </w:t>
      </w:r>
      <w:r w:rsidR="0082672E">
        <w:rPr>
          <w:szCs w:val="20"/>
        </w:rPr>
        <w:t>Univeg</w:t>
      </w:r>
      <w:r w:rsidRPr="00992199">
        <w:rPr>
          <w:szCs w:val="20"/>
        </w:rPr>
        <w:t xml:space="preserve">, represented by its board of directors, has </w:t>
      </w:r>
      <w:r w:rsidR="00A431F0">
        <w:rPr>
          <w:szCs w:val="20"/>
        </w:rPr>
        <w:t>represented to</w:t>
      </w:r>
      <w:r w:rsidRPr="00992199">
        <w:rPr>
          <w:szCs w:val="20"/>
        </w:rPr>
        <w:t xml:space="preserve"> the Company the completeness and accuracy of all such information; and</w:t>
      </w:r>
    </w:p>
    <w:p w:rsidR="003F0BC5" w:rsidRPr="00992199" w:rsidRDefault="003F0BC5" w:rsidP="003F0BC5">
      <w:pPr>
        <w:ind w:left="720" w:hanging="720"/>
        <w:rPr>
          <w:szCs w:val="20"/>
        </w:rPr>
      </w:pPr>
      <w:r w:rsidRPr="00992199">
        <w:rPr>
          <w:szCs w:val="20"/>
        </w:rPr>
        <w:t>(ii)</w:t>
      </w:r>
      <w:r w:rsidRPr="00992199">
        <w:rPr>
          <w:szCs w:val="20"/>
        </w:rPr>
        <w:tab/>
        <w:t xml:space="preserve">all information relating to Peatinvest and its subsidiaries contained in this Prospectus has been provided by representatives of Peatinvest; Peatinvest, represented by its board of directors, has </w:t>
      </w:r>
      <w:r w:rsidR="00A431F0">
        <w:rPr>
          <w:szCs w:val="20"/>
        </w:rPr>
        <w:t>represented to</w:t>
      </w:r>
      <w:r w:rsidRPr="00992199">
        <w:rPr>
          <w:szCs w:val="20"/>
        </w:rPr>
        <w:t xml:space="preserve"> the Company the completeness and accuracy of all such information.</w:t>
      </w:r>
    </w:p>
    <w:p w:rsidR="003F0BC5" w:rsidRPr="00992199" w:rsidRDefault="003F0BC5" w:rsidP="003F0BC5">
      <w:pPr>
        <w:rPr>
          <w:szCs w:val="20"/>
        </w:rPr>
      </w:pPr>
      <w:r w:rsidRPr="00992199">
        <w:rPr>
          <w:szCs w:val="20"/>
        </w:rPr>
        <w:t>The Company is responsible for the consistency between the Dutch and English versions of the Prospectus. In case of discrepancies between the different versions of this Prospectus, the English version will prevail. To the best of the knowledge of the Company (having taken all reasonable care to ensure that such is the case), the information contained in this Prospectus is in accordance with the facts and contains no omission likely to affect t</w:t>
      </w:r>
      <w:r w:rsidR="00351F80">
        <w:rPr>
          <w:szCs w:val="20"/>
        </w:rPr>
        <w:t xml:space="preserve">he import of such information. </w:t>
      </w:r>
      <w:r w:rsidRPr="00992199">
        <w:rPr>
          <w:szCs w:val="20"/>
        </w:rPr>
        <w:t>Any information from third parties identified in this Prospectus as such, has been accurately reproduced and as far as the Company is aware and is able to ascertain from the information published by a third party, does not omit any facts which would render the reproduced inform</w:t>
      </w:r>
      <w:r w:rsidR="00351F80">
        <w:rPr>
          <w:szCs w:val="20"/>
        </w:rPr>
        <w:t>ation inaccurate or misleading.</w:t>
      </w:r>
    </w:p>
    <w:p w:rsidR="003F0BC5" w:rsidRPr="00992199" w:rsidRDefault="003F0BC5" w:rsidP="003F0BC5">
      <w:pPr>
        <w:rPr>
          <w:szCs w:val="20"/>
        </w:rPr>
      </w:pPr>
      <w:r w:rsidRPr="00992199">
        <w:rPr>
          <w:szCs w:val="20"/>
        </w:rPr>
        <w:t>The contents of this Prospectus should not be construed as providing legal, business, accounting or tax advice. Each prospective investor should consult its own legal, business, accounting and tax advisers prior to making a decision to invest in the Shares.</w:t>
      </w:r>
    </w:p>
    <w:p w:rsidR="003F0BC5" w:rsidRDefault="003F0BC5" w:rsidP="003F0BC5">
      <w:pPr>
        <w:rPr>
          <w:szCs w:val="20"/>
        </w:rPr>
      </w:pPr>
      <w:r w:rsidRPr="00992199">
        <w:rPr>
          <w:szCs w:val="20"/>
        </w:rPr>
        <w:t xml:space="preserve">The information in this Prospectus is as of the date printed </w:t>
      </w:r>
      <w:r w:rsidR="005F4ABF">
        <w:rPr>
          <w:szCs w:val="20"/>
        </w:rPr>
        <w:t>on</w:t>
      </w:r>
      <w:r w:rsidRPr="00992199">
        <w:rPr>
          <w:szCs w:val="20"/>
        </w:rPr>
        <w:t xml:space="preserve"> the front cover, unless expressly stated otherwise. The delivery of the Prospectus at any time does not imply that there has been no change in the Company’s business or affairs since the date hereof or that the information contained herein is correct as of any time subsequent to the date hereof. In accordance with article 34 of the Prospectus Law, in the event of any changes to the information in this Prospectus that may affect the valuation of the Shares during the period from the date of announcement to the first day of trading, a supplement of this Prospectus shall be published. Any supplement is subject to approval by the FSMA, in the same manner as this Prospectus and must be made public in the same manner as this Prospectus.</w:t>
      </w:r>
    </w:p>
    <w:p w:rsidR="00584210" w:rsidRPr="00992199" w:rsidRDefault="00584210" w:rsidP="003F0BC5">
      <w:pPr>
        <w:rPr>
          <w:szCs w:val="20"/>
        </w:rPr>
      </w:pPr>
      <w:r w:rsidRPr="00584210">
        <w:rPr>
          <w:szCs w:val="20"/>
        </w:rPr>
        <w:t>Unless otherwise stated, capitalised terms used in this Prospectus have the meaning set out in this Prospectus.</w:t>
      </w:r>
    </w:p>
    <w:p w:rsidR="003F0BC5" w:rsidRPr="00992199" w:rsidRDefault="003F0BC5" w:rsidP="003F0BC5">
      <w:pPr>
        <w:rPr>
          <w:b/>
          <w:i/>
          <w:szCs w:val="20"/>
        </w:rPr>
      </w:pPr>
      <w:r w:rsidRPr="00992199">
        <w:rPr>
          <w:b/>
          <w:i/>
          <w:szCs w:val="20"/>
        </w:rPr>
        <w:t>Approval of the Prospectus</w:t>
      </w:r>
    </w:p>
    <w:p w:rsidR="003F0BC5" w:rsidRPr="00992199" w:rsidRDefault="003F0BC5" w:rsidP="003F0BC5">
      <w:pPr>
        <w:rPr>
          <w:szCs w:val="20"/>
        </w:rPr>
      </w:pPr>
      <w:r w:rsidRPr="00992199">
        <w:rPr>
          <w:szCs w:val="20"/>
        </w:rPr>
        <w:t xml:space="preserve">This Prospectus has been approved on [16] June 2015 by the FSMA in its capacity as competent authority under the Prospectus Law. The approval of the Prospectus by the FSMA does not constitute an appreciation of the soundness of the </w:t>
      </w:r>
      <w:r w:rsidR="00351F80">
        <w:rPr>
          <w:szCs w:val="20"/>
        </w:rPr>
        <w:t>t</w:t>
      </w:r>
      <w:r w:rsidRPr="00992199">
        <w:rPr>
          <w:szCs w:val="20"/>
        </w:rPr>
        <w:t>ransaction proposed to investors and the FSMA assumes no responsibility as to the economic and financial soundness of the transaction and the quality or solvency of the Company.</w:t>
      </w:r>
    </w:p>
    <w:p w:rsidR="003F0BC5" w:rsidRPr="00992199" w:rsidRDefault="003F0BC5" w:rsidP="003F0BC5">
      <w:pPr>
        <w:rPr>
          <w:b/>
          <w:i/>
          <w:szCs w:val="20"/>
        </w:rPr>
      </w:pPr>
      <w:r w:rsidRPr="00992199">
        <w:rPr>
          <w:b/>
          <w:i/>
          <w:szCs w:val="20"/>
        </w:rPr>
        <w:t>Available information</w:t>
      </w:r>
    </w:p>
    <w:p w:rsidR="003F0BC5" w:rsidRPr="00992199" w:rsidRDefault="003F0BC5" w:rsidP="003F0BC5">
      <w:pPr>
        <w:rPr>
          <w:szCs w:val="20"/>
        </w:rPr>
      </w:pPr>
      <w:r w:rsidRPr="00992199">
        <w:rPr>
          <w:szCs w:val="20"/>
        </w:rPr>
        <w:t xml:space="preserve">This Prospectus is available in Dutch and in English in </w:t>
      </w:r>
      <w:smartTag w:uri="urn:schemas-microsoft-com:office:smarttags" w:element="country-region">
        <w:smartTag w:uri="urn:schemas-microsoft-com:office:smarttags" w:element="place">
          <w:r w:rsidRPr="00992199">
            <w:rPr>
              <w:szCs w:val="20"/>
            </w:rPr>
            <w:t>Belgium</w:t>
          </w:r>
        </w:smartTag>
      </w:smartTag>
      <w:r w:rsidRPr="00992199">
        <w:rPr>
          <w:szCs w:val="20"/>
        </w:rPr>
        <w:t xml:space="preserve">. The Prospectus will be made available at no cost at the Company’s registered office, located at Skaldenstraat 7C, 9042 </w:t>
      </w:r>
      <w:smartTag w:uri="urn:schemas-microsoft-com:office:smarttags" w:element="place">
        <w:smartTag w:uri="urn:schemas-microsoft-com:office:smarttags" w:element="City">
          <w:r w:rsidRPr="00992199">
            <w:rPr>
              <w:szCs w:val="20"/>
            </w:rPr>
            <w:t>Ghent</w:t>
          </w:r>
        </w:smartTag>
        <w:r w:rsidRPr="00992199">
          <w:rPr>
            <w:szCs w:val="20"/>
          </w:rPr>
          <w:t xml:space="preserve">, </w:t>
        </w:r>
        <w:smartTag w:uri="urn:schemas-microsoft-com:office:smarttags" w:element="country-region">
          <w:r w:rsidRPr="00992199">
            <w:rPr>
              <w:szCs w:val="20"/>
            </w:rPr>
            <w:t>Belgium</w:t>
          </w:r>
        </w:smartTag>
      </w:smartTag>
      <w:r w:rsidRPr="00992199">
        <w:rPr>
          <w:szCs w:val="20"/>
        </w:rPr>
        <w:t>. The Prospectus is also available on the Company’s website (</w:t>
      </w:r>
      <w:r w:rsidR="002A1AB1">
        <w:rPr>
          <w:szCs w:val="20"/>
        </w:rPr>
        <w:t>www.greenyardfoods.com</w:t>
      </w:r>
      <w:r w:rsidRPr="00992199">
        <w:rPr>
          <w:szCs w:val="20"/>
        </w:rPr>
        <w:t>). The posting of the Prospectus on the internet does not constitute an offer to sell or a solicitation of an offer to buy any of the Shares to or from any person in any jurisdiction in which it is unlawful to make such offer or solicitation to such person. The electronic version may not be copied, made available or printed for distribution. Information on the Company’s website (</w:t>
      </w:r>
      <w:hyperlink r:id="rId11" w:history="1">
        <w:r w:rsidR="002A1AB1">
          <w:rPr>
            <w:rStyle w:val="Hyperlink"/>
            <w:color w:val="auto"/>
            <w:szCs w:val="20"/>
            <w:u w:val="none"/>
          </w:rPr>
          <w:t>www.greenyardfoods.com</w:t>
        </w:r>
      </w:hyperlink>
      <w:r w:rsidRPr="00992199">
        <w:rPr>
          <w:szCs w:val="20"/>
        </w:rPr>
        <w:t>) or any other website does not form part of the Prospectus.</w:t>
      </w:r>
      <w:r w:rsidR="00A07615">
        <w:rPr>
          <w:szCs w:val="20"/>
        </w:rPr>
        <w:t xml:space="preserve"> </w:t>
      </w:r>
      <w:r w:rsidRPr="00992199">
        <w:rPr>
          <w:szCs w:val="20"/>
        </w:rPr>
        <w:t>This Prospectus should be read and construed in conjunction with the documents incorporated by reference as mentioned in Part XIII (</w:t>
      </w:r>
      <w:r w:rsidRPr="00992199">
        <w:rPr>
          <w:i/>
          <w:szCs w:val="20"/>
        </w:rPr>
        <w:t xml:space="preserve">Documents incorporated by </w:t>
      </w:r>
      <w:r w:rsidRPr="00304A20">
        <w:rPr>
          <w:i/>
          <w:szCs w:val="20"/>
        </w:rPr>
        <w:t>reference</w:t>
      </w:r>
      <w:r w:rsidRPr="00992199">
        <w:rPr>
          <w:szCs w:val="20"/>
        </w:rPr>
        <w:t>) of this Prospectus. The documents which have been filed with the FSMA, shall be incorporated in, and form part of, this Prospectus, save that any statement contained in the document which is incorporated by reference shall be modified or superseded for the purpose of the Prospectus to the extent that the statement contained herein modifies or supersedes such earlier statement (whether expressly, by implication or otherwise). Any statement so modified or superseded shall not, except as so modified or superseded, constitute a part of this Prospectus. Copies of documents incorporated by reference in the Prospectus are available on the website of the Company (</w:t>
      </w:r>
      <w:hyperlink r:id="rId12" w:history="1">
        <w:r w:rsidR="002A1AB1">
          <w:rPr>
            <w:rStyle w:val="Hyperlink"/>
            <w:color w:val="auto"/>
            <w:szCs w:val="20"/>
            <w:u w:val="none"/>
          </w:rPr>
          <w:t>www.greenyardfoods.com</w:t>
        </w:r>
      </w:hyperlink>
      <w:r w:rsidRPr="00992199">
        <w:rPr>
          <w:szCs w:val="20"/>
        </w:rPr>
        <w:t>).</w:t>
      </w:r>
    </w:p>
    <w:p w:rsidR="003F0BC5" w:rsidRPr="00992199" w:rsidRDefault="003F0BC5" w:rsidP="003F0BC5">
      <w:pPr>
        <w:rPr>
          <w:szCs w:val="20"/>
        </w:rPr>
      </w:pPr>
      <w:r w:rsidRPr="00992199">
        <w:rPr>
          <w:szCs w:val="20"/>
        </w:rPr>
        <w:t xml:space="preserve">The Company has filed its deed of incorporation and must file its restated </w:t>
      </w:r>
      <w:r w:rsidR="005F4ABF" w:rsidRPr="00992199">
        <w:rPr>
          <w:szCs w:val="20"/>
        </w:rPr>
        <w:t xml:space="preserve">articles of association (the </w:t>
      </w:r>
      <w:r w:rsidR="005F4ABF" w:rsidRPr="00992199">
        <w:rPr>
          <w:b/>
          <w:i/>
          <w:szCs w:val="20"/>
        </w:rPr>
        <w:t>Articles of Association</w:t>
      </w:r>
      <w:r w:rsidR="005F4ABF" w:rsidRPr="00992199">
        <w:rPr>
          <w:szCs w:val="20"/>
        </w:rPr>
        <w:t xml:space="preserve">) </w:t>
      </w:r>
      <w:r w:rsidRPr="00992199">
        <w:rPr>
          <w:szCs w:val="20"/>
        </w:rPr>
        <w:t>and all other deeds that are to be published in the Annexes to the Belgian State Gazette (</w:t>
      </w:r>
      <w:r w:rsidRPr="00992199">
        <w:rPr>
          <w:i/>
          <w:szCs w:val="20"/>
        </w:rPr>
        <w:t>Belgisch Staatsblad / Moniteur Belge</w:t>
      </w:r>
      <w:r w:rsidRPr="00992199">
        <w:rPr>
          <w:szCs w:val="20"/>
        </w:rPr>
        <w:t xml:space="preserve">) with the clerk’s office of the commercial court of </w:t>
      </w:r>
      <w:r w:rsidR="00351F80">
        <w:rPr>
          <w:szCs w:val="20"/>
        </w:rPr>
        <w:t xml:space="preserve">Ghent, division </w:t>
      </w:r>
      <w:smartTag w:uri="urn:schemas-microsoft-com:office:smarttags" w:element="City">
        <w:smartTag w:uri="urn:schemas-microsoft-com:office:smarttags" w:element="place">
          <w:r w:rsidR="00351F80">
            <w:rPr>
              <w:szCs w:val="20"/>
            </w:rPr>
            <w:t>Ghent</w:t>
          </w:r>
        </w:smartTag>
      </w:smartTag>
      <w:r w:rsidRPr="00992199">
        <w:rPr>
          <w:szCs w:val="20"/>
        </w:rPr>
        <w:t xml:space="preserve">, where </w:t>
      </w:r>
      <w:r w:rsidRPr="00992199">
        <w:rPr>
          <w:szCs w:val="20"/>
        </w:rPr>
        <w:lastRenderedPageBreak/>
        <w:t xml:space="preserve">they are available to the public. </w:t>
      </w:r>
      <w:r w:rsidR="002A1AB1">
        <w:rPr>
          <w:szCs w:val="20"/>
        </w:rPr>
        <w:t>Greenyard Foods</w:t>
      </w:r>
      <w:r w:rsidRPr="00992199">
        <w:rPr>
          <w:szCs w:val="20"/>
        </w:rPr>
        <w:t xml:space="preserve"> is registered with the register of legal entities under enterprise number 0402.777.157 RPR (</w:t>
      </w:r>
      <w:smartTag w:uri="urn:schemas-microsoft-com:office:smarttags" w:element="City">
        <w:r w:rsidRPr="00992199">
          <w:rPr>
            <w:szCs w:val="20"/>
          </w:rPr>
          <w:t>Ghent</w:t>
        </w:r>
      </w:smartTag>
      <w:r w:rsidRPr="00992199">
        <w:rPr>
          <w:szCs w:val="20"/>
        </w:rPr>
        <w:t xml:space="preserve">, division </w:t>
      </w:r>
      <w:smartTag w:uri="urn:schemas-microsoft-com:office:smarttags" w:element="City">
        <w:smartTag w:uri="urn:schemas-microsoft-com:office:smarttags" w:element="place">
          <w:r w:rsidRPr="00992199">
            <w:rPr>
              <w:szCs w:val="20"/>
            </w:rPr>
            <w:t>Ghent</w:t>
          </w:r>
        </w:smartTag>
      </w:smartTag>
      <w:r w:rsidRPr="00992199">
        <w:rPr>
          <w:szCs w:val="20"/>
        </w:rPr>
        <w:t xml:space="preserve">). A copy of the Company’s </w:t>
      </w:r>
      <w:r w:rsidR="005F4ABF" w:rsidRPr="005F4ABF">
        <w:rPr>
          <w:szCs w:val="20"/>
        </w:rPr>
        <w:t xml:space="preserve">Articles of Association </w:t>
      </w:r>
      <w:r w:rsidRPr="00992199">
        <w:rPr>
          <w:szCs w:val="20"/>
        </w:rPr>
        <w:t xml:space="preserve">and corporate governance charter (the </w:t>
      </w:r>
      <w:r w:rsidRPr="00992199">
        <w:rPr>
          <w:b/>
          <w:i/>
          <w:szCs w:val="20"/>
        </w:rPr>
        <w:t>Corporate Governance Charter</w:t>
      </w:r>
      <w:r w:rsidRPr="00992199">
        <w:rPr>
          <w:szCs w:val="20"/>
        </w:rPr>
        <w:t>) are available on its website (</w:t>
      </w:r>
      <w:hyperlink r:id="rId13" w:history="1">
        <w:r w:rsidR="002A1AB1">
          <w:rPr>
            <w:rStyle w:val="Hyperlink"/>
            <w:color w:val="auto"/>
            <w:szCs w:val="20"/>
            <w:u w:val="none"/>
          </w:rPr>
          <w:t>www.greenyardfoods.com</w:t>
        </w:r>
      </w:hyperlink>
      <w:r w:rsidRPr="00992199">
        <w:rPr>
          <w:szCs w:val="20"/>
        </w:rPr>
        <w:t>) prior to and after completion of the Transactions contemplated herein.</w:t>
      </w:r>
    </w:p>
    <w:p w:rsidR="003F0BC5" w:rsidRPr="00992199" w:rsidRDefault="003F0BC5" w:rsidP="003F0BC5">
      <w:pPr>
        <w:rPr>
          <w:szCs w:val="20"/>
        </w:rPr>
      </w:pPr>
      <w:r w:rsidRPr="00992199">
        <w:rPr>
          <w:szCs w:val="20"/>
        </w:rPr>
        <w:t xml:space="preserve">In accordance with Belgian law, the Company must also prepare audited annual statutory and consolidated financial statements. The annual statutory financial statements, together with the reports of the Board of Directors and the auditors of the Company as well as the consolidated financial statements, together with the report of the Board of Directors and the audit report of the auditors, will be filed with the National Bank of </w:t>
      </w:r>
      <w:smartTag w:uri="urn:schemas-microsoft-com:office:smarttags" w:element="country-region">
        <w:smartTag w:uri="urn:schemas-microsoft-com:office:smarttags" w:element="place">
          <w:r w:rsidRPr="00992199">
            <w:rPr>
              <w:szCs w:val="20"/>
            </w:rPr>
            <w:t>Belgium</w:t>
          </w:r>
        </w:smartTag>
      </w:smartTag>
      <w:r w:rsidRPr="00992199">
        <w:rPr>
          <w:szCs w:val="20"/>
        </w:rPr>
        <w:t>, where they will be available to the public. Furthermore, as a listed company, the Company must publish an annual financial report (composed of the financial information to be filed with the National Bank of Belgium and a responsibility statement)</w:t>
      </w:r>
      <w:r w:rsidR="00304A20">
        <w:rPr>
          <w:szCs w:val="20"/>
        </w:rPr>
        <w:t xml:space="preserve"> and</w:t>
      </w:r>
      <w:r w:rsidRPr="00992199">
        <w:rPr>
          <w:szCs w:val="20"/>
        </w:rPr>
        <w:t xml:space="preserve"> a semi-annual financial report (composed of condensed consolidated financial statements, the report of the auditors, if audited or reviewed, and a responsibility statement). These reports will be made publicly available on the Company’s website (</w:t>
      </w:r>
      <w:r w:rsidR="002A1AB1">
        <w:rPr>
          <w:szCs w:val="20"/>
        </w:rPr>
        <w:t>www.greenyardfoods.com</w:t>
      </w:r>
      <w:r w:rsidRPr="00992199">
        <w:rPr>
          <w:szCs w:val="20"/>
        </w:rPr>
        <w:t>).</w:t>
      </w:r>
    </w:p>
    <w:p w:rsidR="003F0BC5" w:rsidRPr="00992199" w:rsidRDefault="003F0BC5" w:rsidP="003F0BC5">
      <w:pPr>
        <w:spacing w:after="600"/>
        <w:rPr>
          <w:szCs w:val="20"/>
        </w:rPr>
      </w:pPr>
      <w:r w:rsidRPr="00992199">
        <w:rPr>
          <w:szCs w:val="20"/>
        </w:rPr>
        <w:t>As a listed company, the Company must also disclose price sensitive information, information about the shareholder structure and certain other information to the public. In accordance with the Belgian Royal Decree of 4 November 2007 relating to the obligations of issuers of financial instruments admitted to trading on a Belgian regulated market (</w:t>
      </w:r>
      <w:r w:rsidRPr="00992199">
        <w:rPr>
          <w:i/>
          <w:szCs w:val="20"/>
        </w:rPr>
        <w:t>Koninklijk besluit betreffende de verplichtingen van emittenten van financi</w:t>
      </w:r>
      <w:r w:rsidR="00351F80">
        <w:rPr>
          <w:i/>
          <w:szCs w:val="20"/>
        </w:rPr>
        <w:t>ë</w:t>
      </w:r>
      <w:r w:rsidRPr="00992199">
        <w:rPr>
          <w:i/>
          <w:szCs w:val="20"/>
        </w:rPr>
        <w:t>le instrumenten die zijn toegelaten tot de verhandeling op een Belgische gereglementeerde markt / Arrêté royal relatif aux obligations des émetteurs d’instruments financiers admis aux négociations sur marché réglementé</w:t>
      </w:r>
      <w:r w:rsidRPr="00992199">
        <w:rPr>
          <w:szCs w:val="20"/>
        </w:rPr>
        <w:t>), such information and documentation will be made available through press releases, the financial press in Belgium, the Company’s website, the communication channels of Euronext Brussels or a combination of these media.</w:t>
      </w:r>
    </w:p>
    <w:p w:rsidR="003F0BC5" w:rsidRPr="00992199" w:rsidRDefault="003F0BC5" w:rsidP="003F0BC5">
      <w:pPr>
        <w:pageBreakBefore/>
        <w:jc w:val="center"/>
        <w:rPr>
          <w:b/>
          <w:szCs w:val="20"/>
        </w:rPr>
      </w:pPr>
      <w:r w:rsidRPr="00992199">
        <w:rPr>
          <w:b/>
          <w:szCs w:val="20"/>
        </w:rPr>
        <w:lastRenderedPageBreak/>
        <w:t>PRESENTATION OF FINANCIAL AND OTHER INFORMATION</w:t>
      </w:r>
    </w:p>
    <w:p w:rsidR="003E14DE" w:rsidRPr="00992199" w:rsidRDefault="003E14DE" w:rsidP="003E14DE">
      <w:pPr>
        <w:rPr>
          <w:b/>
          <w:i/>
          <w:szCs w:val="20"/>
        </w:rPr>
      </w:pPr>
      <w:r w:rsidRPr="00992199">
        <w:rPr>
          <w:b/>
          <w:i/>
          <w:szCs w:val="20"/>
        </w:rPr>
        <w:t>Non-</w:t>
      </w:r>
      <w:r w:rsidR="005F4ABF">
        <w:rPr>
          <w:b/>
          <w:i/>
          <w:szCs w:val="20"/>
        </w:rPr>
        <w:t>GAAP</w:t>
      </w:r>
      <w:r w:rsidRPr="00992199">
        <w:rPr>
          <w:b/>
          <w:i/>
          <w:szCs w:val="20"/>
        </w:rPr>
        <w:t xml:space="preserve"> financial measures</w:t>
      </w:r>
    </w:p>
    <w:p w:rsidR="003E14DE" w:rsidRPr="00992199" w:rsidRDefault="003E14DE" w:rsidP="003E14DE">
      <w:pPr>
        <w:rPr>
          <w:szCs w:val="20"/>
        </w:rPr>
      </w:pPr>
      <w:r w:rsidRPr="00992199">
        <w:rPr>
          <w:szCs w:val="20"/>
        </w:rPr>
        <w:t xml:space="preserve">In this Prospectus, the </w:t>
      </w:r>
      <w:r w:rsidR="005F4ABF" w:rsidRPr="005F4ABF">
        <w:rPr>
          <w:szCs w:val="20"/>
        </w:rPr>
        <w:t xml:space="preserve">Combined Greenyard Foods Group </w:t>
      </w:r>
      <w:r w:rsidRPr="00992199">
        <w:rPr>
          <w:szCs w:val="20"/>
        </w:rPr>
        <w:t>presents certain non-</w:t>
      </w:r>
      <w:r w:rsidR="005F4ABF">
        <w:rPr>
          <w:szCs w:val="20"/>
        </w:rPr>
        <w:t>GAAP</w:t>
      </w:r>
      <w:r w:rsidRPr="00992199">
        <w:rPr>
          <w:szCs w:val="20"/>
        </w:rPr>
        <w:t xml:space="preserve"> </w:t>
      </w:r>
      <w:r w:rsidR="005F4ABF">
        <w:rPr>
          <w:szCs w:val="20"/>
        </w:rPr>
        <w:t>and non</w:t>
      </w:r>
      <w:r w:rsidR="00304A20">
        <w:rPr>
          <w:szCs w:val="20"/>
        </w:rPr>
        <w:t>-</w:t>
      </w:r>
      <w:r w:rsidRPr="00992199">
        <w:rPr>
          <w:szCs w:val="20"/>
        </w:rPr>
        <w:t xml:space="preserve">financial measures, particularly </w:t>
      </w:r>
      <w:r>
        <w:rPr>
          <w:szCs w:val="20"/>
        </w:rPr>
        <w:t xml:space="preserve">EBIT, REBIT, </w:t>
      </w:r>
      <w:r w:rsidRPr="00992199">
        <w:rPr>
          <w:szCs w:val="20"/>
        </w:rPr>
        <w:t>EBITDA</w:t>
      </w:r>
      <w:r>
        <w:rPr>
          <w:szCs w:val="20"/>
        </w:rPr>
        <w:t xml:space="preserve"> and REBITDA (</w:t>
      </w:r>
      <w:r w:rsidR="005F4ABF">
        <w:rPr>
          <w:b/>
          <w:i/>
          <w:szCs w:val="20"/>
        </w:rPr>
        <w:t>Non-GAAP Financial Measures</w:t>
      </w:r>
      <w:r>
        <w:rPr>
          <w:szCs w:val="20"/>
        </w:rPr>
        <w:t>)</w:t>
      </w:r>
      <w:r w:rsidRPr="00992199">
        <w:rPr>
          <w:szCs w:val="20"/>
        </w:rPr>
        <w:t xml:space="preserve">. </w:t>
      </w:r>
      <w:r>
        <w:rPr>
          <w:szCs w:val="20"/>
        </w:rPr>
        <w:t xml:space="preserve">These </w:t>
      </w:r>
      <w:r w:rsidR="005F4ABF">
        <w:rPr>
          <w:szCs w:val="20"/>
        </w:rPr>
        <w:t>Non-GAAP Financial Measures</w:t>
      </w:r>
      <w:r>
        <w:rPr>
          <w:szCs w:val="20"/>
        </w:rPr>
        <w:t xml:space="preserve"> are </w:t>
      </w:r>
      <w:r w:rsidRPr="00992199">
        <w:rPr>
          <w:szCs w:val="20"/>
        </w:rPr>
        <w:t>measure</w:t>
      </w:r>
      <w:r>
        <w:rPr>
          <w:szCs w:val="20"/>
        </w:rPr>
        <w:t>s</w:t>
      </w:r>
      <w:r w:rsidRPr="00992199">
        <w:rPr>
          <w:szCs w:val="20"/>
        </w:rPr>
        <w:t xml:space="preserve"> of operating performance, which the </w:t>
      </w:r>
      <w:r w:rsidR="00A7127D" w:rsidRPr="00A7127D">
        <w:rPr>
          <w:szCs w:val="20"/>
        </w:rPr>
        <w:t xml:space="preserve">Combined Greenyard Foods Group </w:t>
      </w:r>
      <w:r w:rsidRPr="00992199">
        <w:rPr>
          <w:szCs w:val="20"/>
        </w:rPr>
        <w:t xml:space="preserve">believes </w:t>
      </w:r>
      <w:r>
        <w:rPr>
          <w:szCs w:val="20"/>
        </w:rPr>
        <w:t xml:space="preserve">are </w:t>
      </w:r>
      <w:r w:rsidRPr="00992199">
        <w:rPr>
          <w:szCs w:val="20"/>
        </w:rPr>
        <w:t xml:space="preserve">frequently used by securities analysts, investors and other interested parties in the evaluation of companies in the </w:t>
      </w:r>
      <w:r>
        <w:rPr>
          <w:szCs w:val="20"/>
        </w:rPr>
        <w:t>fruit and vegetable</w:t>
      </w:r>
      <w:r w:rsidR="00304A20">
        <w:rPr>
          <w:szCs w:val="20"/>
        </w:rPr>
        <w:t>s</w:t>
      </w:r>
      <w:r>
        <w:rPr>
          <w:szCs w:val="20"/>
        </w:rPr>
        <w:t xml:space="preserve"> sector</w:t>
      </w:r>
      <w:r w:rsidRPr="00992199">
        <w:rPr>
          <w:szCs w:val="20"/>
        </w:rPr>
        <w:t xml:space="preserve">. </w:t>
      </w:r>
      <w:r>
        <w:rPr>
          <w:szCs w:val="20"/>
        </w:rPr>
        <w:t xml:space="preserve">These </w:t>
      </w:r>
      <w:r w:rsidR="005F4ABF">
        <w:rPr>
          <w:szCs w:val="20"/>
        </w:rPr>
        <w:t>Non-GAAP Financial Measures</w:t>
      </w:r>
      <w:r>
        <w:rPr>
          <w:szCs w:val="20"/>
        </w:rPr>
        <w:t xml:space="preserve"> have </w:t>
      </w:r>
      <w:r w:rsidRPr="00992199">
        <w:rPr>
          <w:szCs w:val="20"/>
        </w:rPr>
        <w:t xml:space="preserve">limitations as an analytical tool, and investors should not consider </w:t>
      </w:r>
      <w:r>
        <w:rPr>
          <w:szCs w:val="20"/>
        </w:rPr>
        <w:t>them</w:t>
      </w:r>
      <w:r w:rsidRPr="00992199">
        <w:rPr>
          <w:szCs w:val="20"/>
        </w:rPr>
        <w:t xml:space="preserve"> in isolation, or as a substitute for analysis of the operating results as reported under </w:t>
      </w:r>
      <w:r w:rsidR="000F478D">
        <w:rPr>
          <w:szCs w:val="20"/>
        </w:rPr>
        <w:t>IFRS or, in case of Peatinvest, Belgian GAAP</w:t>
      </w:r>
      <w:r w:rsidRPr="00992199">
        <w:rPr>
          <w:szCs w:val="20"/>
        </w:rPr>
        <w:t>. Some of these limitations are as follows:</w:t>
      </w:r>
    </w:p>
    <w:p w:rsidR="003E14DE" w:rsidRPr="00992199" w:rsidRDefault="003E14DE" w:rsidP="00584210">
      <w:pPr>
        <w:pStyle w:val="BulletsL1"/>
      </w:pPr>
      <w:r>
        <w:t xml:space="preserve">neither of these </w:t>
      </w:r>
      <w:r w:rsidR="005F4ABF">
        <w:rPr>
          <w:szCs w:val="20"/>
        </w:rPr>
        <w:t>Non-GAAP Financial Measures</w:t>
      </w:r>
      <w:r>
        <w:t xml:space="preserve"> </w:t>
      </w:r>
      <w:r w:rsidRPr="00992199">
        <w:t>reflect the impact of financing costs</w:t>
      </w:r>
      <w:r w:rsidR="00584210" w:rsidRPr="00584210">
        <w:t xml:space="preserve"> on the operating performance</w:t>
      </w:r>
      <w:r w:rsidRPr="00992199">
        <w:t>;</w:t>
      </w:r>
    </w:p>
    <w:p w:rsidR="003E14DE" w:rsidRPr="00992199" w:rsidRDefault="003E14DE" w:rsidP="003E14DE">
      <w:pPr>
        <w:pStyle w:val="BulletsL1"/>
      </w:pPr>
      <w:r>
        <w:t xml:space="preserve">neither of these </w:t>
      </w:r>
      <w:r w:rsidR="005F4ABF">
        <w:rPr>
          <w:szCs w:val="20"/>
        </w:rPr>
        <w:t>Non-GAAP Financial Measures</w:t>
      </w:r>
      <w:r>
        <w:t xml:space="preserve"> </w:t>
      </w:r>
      <w:r w:rsidRPr="00992199">
        <w:t>reflect the impact of income taxes on the operating performance;</w:t>
      </w:r>
    </w:p>
    <w:p w:rsidR="003E14DE" w:rsidRDefault="003E14DE" w:rsidP="003E14DE">
      <w:pPr>
        <w:pStyle w:val="BulletsL1"/>
      </w:pPr>
      <w:r>
        <w:t xml:space="preserve">REBITDA and </w:t>
      </w:r>
      <w:r w:rsidRPr="00992199">
        <w:t xml:space="preserve">EBITDA do not reflect the impact of depreciation and amortisation on the operating performance; </w:t>
      </w:r>
    </w:p>
    <w:p w:rsidR="003E14DE" w:rsidRPr="00992199" w:rsidRDefault="003E14DE" w:rsidP="003E14DE">
      <w:pPr>
        <w:pStyle w:val="BulletsL1"/>
      </w:pPr>
      <w:r>
        <w:t>EBIT and EBITDA may include earnings derived from non-recurring events or transactions or reflect costs of non-recurring events or transactions;</w:t>
      </w:r>
      <w:r w:rsidR="00F13D58">
        <w:t xml:space="preserve"> </w:t>
      </w:r>
      <w:r w:rsidRPr="00992199">
        <w:t>and</w:t>
      </w:r>
    </w:p>
    <w:p w:rsidR="003E14DE" w:rsidRPr="00992199" w:rsidRDefault="00A7127D" w:rsidP="00A7127D">
      <w:pPr>
        <w:pStyle w:val="BulletsL1"/>
      </w:pPr>
      <w:r>
        <w:t>o</w:t>
      </w:r>
      <w:r w:rsidR="003E14DE" w:rsidRPr="00992199">
        <w:t xml:space="preserve">ther companies in the relevant industries may calculate </w:t>
      </w:r>
      <w:r w:rsidR="003E14DE">
        <w:t xml:space="preserve">these </w:t>
      </w:r>
      <w:r w:rsidR="005F4ABF">
        <w:rPr>
          <w:szCs w:val="20"/>
        </w:rPr>
        <w:t>Non-GAAP Financial Measures</w:t>
      </w:r>
      <w:r w:rsidR="003E14DE">
        <w:t xml:space="preserve"> </w:t>
      </w:r>
      <w:r w:rsidR="003E14DE" w:rsidRPr="00992199">
        <w:t xml:space="preserve">differently or may use it for different purposes than the </w:t>
      </w:r>
      <w:r w:rsidRPr="00A7127D">
        <w:t>Combined Greenyard Foods Group</w:t>
      </w:r>
      <w:r w:rsidR="003E14DE" w:rsidRPr="00992199">
        <w:t>, limiting its usefulness as a comparative measure.</w:t>
      </w:r>
    </w:p>
    <w:p w:rsidR="003E14DE" w:rsidRDefault="00574013" w:rsidP="003E14DE">
      <w:r>
        <w:rPr>
          <w:szCs w:val="20"/>
        </w:rPr>
        <w:t>T</w:t>
      </w:r>
      <w:r w:rsidR="003E14DE">
        <w:rPr>
          <w:szCs w:val="20"/>
        </w:rPr>
        <w:t xml:space="preserve">here may be differences in the manner in which the </w:t>
      </w:r>
      <w:r w:rsidR="002A1AB1">
        <w:rPr>
          <w:szCs w:val="20"/>
        </w:rPr>
        <w:t>Greenyard Foods</w:t>
      </w:r>
      <w:r w:rsidR="003E14DE">
        <w:rPr>
          <w:szCs w:val="20"/>
        </w:rPr>
        <w:t xml:space="preserve"> Group</w:t>
      </w:r>
      <w:r w:rsidR="00A7127D">
        <w:rPr>
          <w:szCs w:val="20"/>
        </w:rPr>
        <w:t xml:space="preserve">, </w:t>
      </w:r>
      <w:r w:rsidR="00A7127D" w:rsidRPr="00A7127D">
        <w:rPr>
          <w:szCs w:val="20"/>
        </w:rPr>
        <w:t>the Univeg Group</w:t>
      </w:r>
      <w:r w:rsidR="003E14DE">
        <w:rPr>
          <w:szCs w:val="20"/>
        </w:rPr>
        <w:t xml:space="preserve"> and the Peatinvest Group calculate or use the </w:t>
      </w:r>
      <w:r w:rsidR="005F4ABF">
        <w:rPr>
          <w:szCs w:val="20"/>
        </w:rPr>
        <w:t>Non-GAAP Financial Measures</w:t>
      </w:r>
      <w:r w:rsidR="003E14DE">
        <w:rPr>
          <w:szCs w:val="20"/>
        </w:rPr>
        <w:t>.</w:t>
      </w:r>
      <w:r w:rsidR="00F13D58">
        <w:rPr>
          <w:szCs w:val="20"/>
        </w:rPr>
        <w:t xml:space="preserve"> </w:t>
      </w:r>
      <w:r w:rsidR="003E14DE">
        <w:rPr>
          <w:szCs w:val="20"/>
        </w:rPr>
        <w:t xml:space="preserve">Particularly, the Univeg Group includes the pro rata contribution of its minority shareholdings in each of the </w:t>
      </w:r>
      <w:r w:rsidR="005F4ABF">
        <w:rPr>
          <w:szCs w:val="20"/>
        </w:rPr>
        <w:t>Non-GAAP Financial Measures</w:t>
      </w:r>
      <w:r>
        <w:rPr>
          <w:szCs w:val="20"/>
        </w:rPr>
        <w:t xml:space="preserve"> which the Greenyard Foods Group and the Peatinvest Group do not</w:t>
      </w:r>
      <w:r w:rsidR="003E14DE">
        <w:t>.</w:t>
      </w:r>
      <w:r w:rsidR="00F13D58">
        <w:t xml:space="preserve"> </w:t>
      </w:r>
      <w:r w:rsidR="003E14DE">
        <w:t xml:space="preserve">There are furthermore certain differences in the items that the </w:t>
      </w:r>
      <w:r w:rsidR="002A1AB1">
        <w:t>Greenyard Foods</w:t>
      </w:r>
      <w:r w:rsidR="003E14DE">
        <w:t xml:space="preserve"> </w:t>
      </w:r>
      <w:r w:rsidR="00A7127D">
        <w:t xml:space="preserve">Group and </w:t>
      </w:r>
      <w:r w:rsidR="00A7127D" w:rsidRPr="00A7127D">
        <w:t xml:space="preserve">the Univeg Group </w:t>
      </w:r>
      <w:r w:rsidR="003E14DE">
        <w:t>have considered to be non-recurring, based in each case on their respective management’s best judgment.</w:t>
      </w:r>
      <w:r w:rsidR="00F13D58">
        <w:t xml:space="preserve"> </w:t>
      </w:r>
      <w:r w:rsidR="003E14DE">
        <w:t>Finally, the Peatinvest Group does not consider any elements of its EBIT and EBITDA to be non-recurring</w:t>
      </w:r>
      <w:r>
        <w:t xml:space="preserve"> and there is hence no quantitative difference between its REBIT and REBITDA, on the one hand, and its EBIT and EBITDA, on the other hand</w:t>
      </w:r>
      <w:r w:rsidR="003E14DE">
        <w:t>.</w:t>
      </w:r>
    </w:p>
    <w:p w:rsidR="003E14DE" w:rsidRDefault="003E14DE" w:rsidP="003E14DE">
      <w:pPr>
        <w:rPr>
          <w:szCs w:val="20"/>
        </w:rPr>
      </w:pPr>
      <w:r>
        <w:rPr>
          <w:szCs w:val="20"/>
        </w:rPr>
        <w:t>The</w:t>
      </w:r>
      <w:r w:rsidRPr="003E14DE">
        <w:rPr>
          <w:szCs w:val="20"/>
        </w:rPr>
        <w:t xml:space="preserve"> </w:t>
      </w:r>
      <w:r w:rsidR="002A1AB1">
        <w:rPr>
          <w:szCs w:val="20"/>
        </w:rPr>
        <w:t>Greenyard Foods</w:t>
      </w:r>
      <w:r w:rsidRPr="003E14DE">
        <w:rPr>
          <w:szCs w:val="20"/>
        </w:rPr>
        <w:t xml:space="preserve"> Group</w:t>
      </w:r>
      <w:r w:rsidR="00D92534">
        <w:rPr>
          <w:szCs w:val="20"/>
        </w:rPr>
        <w:t>, the</w:t>
      </w:r>
      <w:r w:rsidR="00D92534" w:rsidRPr="00D92534">
        <w:t xml:space="preserve"> </w:t>
      </w:r>
      <w:r w:rsidR="00D92534" w:rsidRPr="00D92534">
        <w:rPr>
          <w:szCs w:val="20"/>
        </w:rPr>
        <w:t>Univeg Group</w:t>
      </w:r>
      <w:r w:rsidRPr="003E14DE">
        <w:rPr>
          <w:szCs w:val="20"/>
        </w:rPr>
        <w:t xml:space="preserve"> </w:t>
      </w:r>
      <w:r>
        <w:rPr>
          <w:szCs w:val="20"/>
        </w:rPr>
        <w:t xml:space="preserve">and the Peatinvest Group have from time to time used and computed, and may continue to use and compute differently from time to time, these </w:t>
      </w:r>
      <w:r w:rsidR="005F4ABF">
        <w:rPr>
          <w:szCs w:val="20"/>
        </w:rPr>
        <w:t>Non-GAAP Financial Measures</w:t>
      </w:r>
      <w:r>
        <w:t xml:space="preserve"> as a reporting tool to certain debt holders, based on contractual arrangements with such debt holders.</w:t>
      </w:r>
      <w:r w:rsidR="00F13D58">
        <w:t xml:space="preserve"> </w:t>
      </w:r>
      <w:r>
        <w:t xml:space="preserve">For example, the Univeg Group uses an </w:t>
      </w:r>
      <w:r w:rsidR="00D92534">
        <w:t>a</w:t>
      </w:r>
      <w:r>
        <w:t xml:space="preserve">djusted EBITDA metric to report to </w:t>
      </w:r>
      <w:r w:rsidR="00D92534">
        <w:t xml:space="preserve">the </w:t>
      </w:r>
      <w:r>
        <w:t>holders</w:t>
      </w:r>
      <w:r w:rsidR="00D92534">
        <w:t xml:space="preserve"> of its Notes</w:t>
      </w:r>
      <w:r>
        <w:t xml:space="preserve">, which allows the Univeg Group to include the long-term effect (12 months) of its acquisitions into EBITDA. </w:t>
      </w:r>
    </w:p>
    <w:p w:rsidR="003E14DE" w:rsidRPr="00992199" w:rsidRDefault="003E14DE" w:rsidP="003E14DE">
      <w:pPr>
        <w:rPr>
          <w:szCs w:val="20"/>
        </w:rPr>
      </w:pPr>
      <w:r>
        <w:rPr>
          <w:szCs w:val="20"/>
        </w:rPr>
        <w:t xml:space="preserve">The </w:t>
      </w:r>
      <w:r w:rsidR="005F4ABF">
        <w:rPr>
          <w:szCs w:val="20"/>
        </w:rPr>
        <w:t>Non-GAAP Financial Measures</w:t>
      </w:r>
      <w:r w:rsidRPr="00992199">
        <w:rPr>
          <w:szCs w:val="20"/>
        </w:rPr>
        <w:t xml:space="preserve"> </w:t>
      </w:r>
      <w:r>
        <w:rPr>
          <w:szCs w:val="20"/>
        </w:rPr>
        <w:t xml:space="preserve">are </w:t>
      </w:r>
      <w:r w:rsidRPr="00992199">
        <w:rPr>
          <w:szCs w:val="20"/>
        </w:rPr>
        <w:t xml:space="preserve">not defined by, or presented in accordance with, </w:t>
      </w:r>
      <w:r w:rsidR="00A7127D">
        <w:rPr>
          <w:szCs w:val="20"/>
        </w:rPr>
        <w:t>GAAP</w:t>
      </w:r>
      <w:r w:rsidRPr="00992199">
        <w:rPr>
          <w:szCs w:val="20"/>
        </w:rPr>
        <w:t>.</w:t>
      </w:r>
      <w:r w:rsidR="00F13D58">
        <w:rPr>
          <w:szCs w:val="20"/>
        </w:rPr>
        <w:t xml:space="preserve"> </w:t>
      </w:r>
      <w:r>
        <w:rPr>
          <w:szCs w:val="20"/>
        </w:rPr>
        <w:t xml:space="preserve">The </w:t>
      </w:r>
      <w:r w:rsidR="005F4ABF">
        <w:rPr>
          <w:szCs w:val="20"/>
        </w:rPr>
        <w:t>Non-GAAP Financial Measures</w:t>
      </w:r>
      <w:r w:rsidRPr="00992199">
        <w:rPr>
          <w:szCs w:val="20"/>
        </w:rPr>
        <w:t xml:space="preserve"> </w:t>
      </w:r>
      <w:r>
        <w:rPr>
          <w:szCs w:val="20"/>
        </w:rPr>
        <w:t>are</w:t>
      </w:r>
      <w:r w:rsidRPr="00992199">
        <w:rPr>
          <w:szCs w:val="20"/>
        </w:rPr>
        <w:t xml:space="preserve"> not a measurement of the operating performance under </w:t>
      </w:r>
      <w:r w:rsidR="00A7127D">
        <w:rPr>
          <w:szCs w:val="20"/>
        </w:rPr>
        <w:t>GAAP</w:t>
      </w:r>
      <w:r w:rsidRPr="00992199">
        <w:rPr>
          <w:szCs w:val="20"/>
        </w:rPr>
        <w:t xml:space="preserve"> and should not be considered as an alternative to revenue or any other measure of performance under </w:t>
      </w:r>
      <w:r w:rsidR="00A7127D">
        <w:rPr>
          <w:szCs w:val="20"/>
        </w:rPr>
        <w:t>GAAP</w:t>
      </w:r>
      <w:r w:rsidRPr="00992199">
        <w:rPr>
          <w:szCs w:val="20"/>
        </w:rPr>
        <w:t xml:space="preserve"> or as an alternative to results from operating activities nor to cash flow from operating activities or as a measure of the </w:t>
      </w:r>
      <w:r w:rsidR="00E412E4">
        <w:rPr>
          <w:szCs w:val="20"/>
        </w:rPr>
        <w:t xml:space="preserve">Combined Greenyard Foods Group’s </w:t>
      </w:r>
      <w:r w:rsidRPr="00992199">
        <w:rPr>
          <w:szCs w:val="20"/>
        </w:rPr>
        <w:t xml:space="preserve">liquidity. In particular, </w:t>
      </w:r>
      <w:r w:rsidR="005F4ABF">
        <w:rPr>
          <w:szCs w:val="20"/>
        </w:rPr>
        <w:t>Non-GAAP Financial Measures</w:t>
      </w:r>
      <w:r w:rsidRPr="00992199">
        <w:rPr>
          <w:szCs w:val="20"/>
        </w:rPr>
        <w:t xml:space="preserve"> should not be considered as a measure of discretionary cash available to the </w:t>
      </w:r>
      <w:r w:rsidR="00E412E4" w:rsidRPr="00E412E4">
        <w:rPr>
          <w:szCs w:val="20"/>
        </w:rPr>
        <w:t xml:space="preserve">Combined Greenyard Foods Group </w:t>
      </w:r>
      <w:r w:rsidRPr="00992199">
        <w:rPr>
          <w:szCs w:val="20"/>
        </w:rPr>
        <w:t>to invest in the growth of its business.</w:t>
      </w:r>
    </w:p>
    <w:p w:rsidR="003E14DE" w:rsidRPr="00992199" w:rsidRDefault="003E14DE" w:rsidP="003E14DE">
      <w:pPr>
        <w:rPr>
          <w:b/>
          <w:i/>
          <w:szCs w:val="20"/>
        </w:rPr>
      </w:pPr>
      <w:r w:rsidRPr="00992199">
        <w:rPr>
          <w:b/>
          <w:i/>
          <w:szCs w:val="20"/>
        </w:rPr>
        <w:t>Financial year</w:t>
      </w:r>
    </w:p>
    <w:p w:rsidR="003E14DE" w:rsidRPr="00992199" w:rsidRDefault="003E14DE" w:rsidP="003E14DE">
      <w:pPr>
        <w:rPr>
          <w:szCs w:val="20"/>
        </w:rPr>
      </w:pPr>
      <w:r w:rsidRPr="00992199">
        <w:rPr>
          <w:szCs w:val="20"/>
        </w:rPr>
        <w:t xml:space="preserve">The Company’s financial year starts on 1 April and ends on 31 March. The financial year of </w:t>
      </w:r>
      <w:r w:rsidR="0082672E">
        <w:rPr>
          <w:szCs w:val="20"/>
        </w:rPr>
        <w:t>Univeg</w:t>
      </w:r>
      <w:r w:rsidRPr="00992199">
        <w:rPr>
          <w:szCs w:val="20"/>
        </w:rPr>
        <w:t xml:space="preserve"> starts on 1 January and ends on 31 December. The financial year of Peatinvest starts on 1 October and ends on 30 September.</w:t>
      </w:r>
    </w:p>
    <w:p w:rsidR="003E14DE" w:rsidRPr="00992199" w:rsidRDefault="003E14DE" w:rsidP="003E14DE">
      <w:pPr>
        <w:rPr>
          <w:b/>
          <w:i/>
          <w:szCs w:val="20"/>
        </w:rPr>
      </w:pPr>
      <w:r w:rsidRPr="00992199">
        <w:rPr>
          <w:b/>
          <w:i/>
          <w:szCs w:val="20"/>
        </w:rPr>
        <w:t>Annualisation</w:t>
      </w:r>
    </w:p>
    <w:p w:rsidR="003E14DE" w:rsidRPr="00992199" w:rsidRDefault="003E14DE" w:rsidP="003E14DE">
      <w:pPr>
        <w:rPr>
          <w:szCs w:val="20"/>
        </w:rPr>
      </w:pPr>
      <w:r>
        <w:rPr>
          <w:szCs w:val="20"/>
        </w:rPr>
        <w:t>D</w:t>
      </w:r>
      <w:r w:rsidRPr="00992199">
        <w:rPr>
          <w:szCs w:val="20"/>
        </w:rPr>
        <w:t>ata have been restated to an annualised (</w:t>
      </w:r>
      <w:r w:rsidRPr="00992199">
        <w:rPr>
          <w:i/>
          <w:szCs w:val="20"/>
        </w:rPr>
        <w:t>i.e.</w:t>
      </w:r>
      <w:r w:rsidRPr="00992199">
        <w:rPr>
          <w:szCs w:val="20"/>
        </w:rPr>
        <w:t>, calendar year) basis</w:t>
      </w:r>
      <w:r>
        <w:rPr>
          <w:szCs w:val="20"/>
        </w:rPr>
        <w:t xml:space="preserve"> in the pro forma financial information included </w:t>
      </w:r>
      <w:r w:rsidRPr="00992199">
        <w:rPr>
          <w:szCs w:val="20"/>
        </w:rPr>
        <w:t>in this Prospectus</w:t>
      </w:r>
      <w:r>
        <w:rPr>
          <w:szCs w:val="20"/>
        </w:rPr>
        <w:t>.</w:t>
      </w:r>
      <w:r w:rsidR="00F13D58">
        <w:rPr>
          <w:szCs w:val="20"/>
        </w:rPr>
        <w:t xml:space="preserve"> </w:t>
      </w:r>
      <w:r>
        <w:rPr>
          <w:szCs w:val="20"/>
        </w:rPr>
        <w:t>T</w:t>
      </w:r>
      <w:r w:rsidRPr="00992199">
        <w:rPr>
          <w:szCs w:val="20"/>
        </w:rPr>
        <w:t>he annualisation was done for comparative purposes only. Actual results may differ from these annualised figures.</w:t>
      </w:r>
    </w:p>
    <w:p w:rsidR="003E14DE" w:rsidRPr="00992199" w:rsidRDefault="003E14DE" w:rsidP="003E14DE">
      <w:pPr>
        <w:rPr>
          <w:b/>
          <w:i/>
          <w:szCs w:val="20"/>
        </w:rPr>
      </w:pPr>
      <w:r w:rsidRPr="00992199">
        <w:rPr>
          <w:b/>
          <w:i/>
          <w:szCs w:val="20"/>
        </w:rPr>
        <w:t>Rounding</w:t>
      </w:r>
    </w:p>
    <w:p w:rsidR="003E14DE" w:rsidRPr="00992199" w:rsidRDefault="003E14DE" w:rsidP="003F0BC5">
      <w:pPr>
        <w:spacing w:after="1080"/>
        <w:rPr>
          <w:szCs w:val="20"/>
        </w:rPr>
      </w:pPr>
      <w:r w:rsidRPr="00992199">
        <w:rPr>
          <w:szCs w:val="20"/>
        </w:rPr>
        <w:t>Certain amounts that appear in this Prospectus have been subject to rounding adjustments. Accordingly, figures shown as totals in certain tables may not be arithmetic aggregations of the figures that precede them.</w:t>
      </w:r>
    </w:p>
    <w:p w:rsidR="003F0BC5" w:rsidRPr="00992199" w:rsidRDefault="003F0BC5" w:rsidP="003F0BC5">
      <w:pPr>
        <w:pageBreakBefore/>
        <w:jc w:val="center"/>
        <w:rPr>
          <w:b/>
          <w:szCs w:val="20"/>
        </w:rPr>
      </w:pPr>
      <w:r w:rsidRPr="00992199">
        <w:rPr>
          <w:b/>
          <w:szCs w:val="20"/>
        </w:rPr>
        <w:lastRenderedPageBreak/>
        <w:t xml:space="preserve">INDUSTRY DATA, MARKET </w:t>
      </w:r>
      <w:r w:rsidR="00304A20">
        <w:rPr>
          <w:b/>
          <w:szCs w:val="20"/>
        </w:rPr>
        <w:t>SHARE</w:t>
      </w:r>
      <w:r w:rsidRPr="00992199">
        <w:rPr>
          <w:b/>
          <w:szCs w:val="20"/>
        </w:rPr>
        <w:t>, RANKING AND OTHER DATA</w:t>
      </w:r>
    </w:p>
    <w:p w:rsidR="003F0BC5" w:rsidRPr="00992199" w:rsidRDefault="003F0BC5" w:rsidP="003F0BC5">
      <w:pPr>
        <w:rPr>
          <w:szCs w:val="20"/>
        </w:rPr>
      </w:pPr>
      <w:r w:rsidRPr="00992199">
        <w:rPr>
          <w:szCs w:val="20"/>
        </w:rPr>
        <w:t xml:space="preserve">This Prospectus contains statistics, data and other information relating to markets, market sizes, market shares, market positions and other industry data pertaining to </w:t>
      </w:r>
      <w:r w:rsidR="00E412E4">
        <w:rPr>
          <w:szCs w:val="20"/>
        </w:rPr>
        <w:t xml:space="preserve">the </w:t>
      </w:r>
      <w:r w:rsidR="002A1AB1">
        <w:rPr>
          <w:szCs w:val="20"/>
        </w:rPr>
        <w:t>Combined Greenyard Foods Group</w:t>
      </w:r>
      <w:r w:rsidRPr="00992199">
        <w:rPr>
          <w:szCs w:val="20"/>
        </w:rPr>
        <w:t>’s business and markets. To the extent available, such information has been extracted from reliable third</w:t>
      </w:r>
      <w:r w:rsidRPr="00992199">
        <w:rPr>
          <w:rFonts w:ascii="Cambria Math" w:hAnsi="Cambria Math" w:cs="Cambria Math"/>
          <w:szCs w:val="20"/>
        </w:rPr>
        <w:t>‐</w:t>
      </w:r>
      <w:r w:rsidRPr="00992199">
        <w:rPr>
          <w:szCs w:val="20"/>
        </w:rPr>
        <w:t xml:space="preserve">party sources such as professional organisations, consultants and analysts and information otherwise obtained from third party sources and the National Bank of </w:t>
      </w:r>
      <w:smartTag w:uri="urn:schemas-microsoft-com:office:smarttags" w:element="country-region">
        <w:smartTag w:uri="urn:schemas-microsoft-com:office:smarttags" w:element="place">
          <w:r w:rsidRPr="00992199">
            <w:rPr>
              <w:szCs w:val="20"/>
            </w:rPr>
            <w:t>Belgium</w:t>
          </w:r>
        </w:smartTag>
      </w:smartTag>
      <w:r w:rsidRPr="00992199">
        <w:rPr>
          <w:szCs w:val="20"/>
        </w:rPr>
        <w:t>. Such information has been accurately reproduced, and, as far as the Company is aware from such information, no facts have been omitted which would render the information provided inaccurate or misleading.</w:t>
      </w:r>
    </w:p>
    <w:p w:rsidR="003F0BC5" w:rsidRPr="00992199" w:rsidRDefault="003F0BC5" w:rsidP="003F0BC5">
      <w:pPr>
        <w:rPr>
          <w:szCs w:val="20"/>
        </w:rPr>
      </w:pPr>
      <w:r w:rsidRPr="00992199">
        <w:rPr>
          <w:szCs w:val="20"/>
        </w:rPr>
        <w:t>Certain other statistical or market</w:t>
      </w:r>
      <w:r w:rsidRPr="00992199">
        <w:rPr>
          <w:rFonts w:ascii="Cambria Math" w:hAnsi="Cambria Math" w:cs="Cambria Math"/>
          <w:szCs w:val="20"/>
        </w:rPr>
        <w:t>‐</w:t>
      </w:r>
      <w:r w:rsidRPr="00992199">
        <w:rPr>
          <w:szCs w:val="20"/>
        </w:rPr>
        <w:t xml:space="preserve">related data has been estimated by </w:t>
      </w:r>
      <w:r w:rsidR="00E412E4">
        <w:rPr>
          <w:szCs w:val="20"/>
        </w:rPr>
        <w:t>the Company</w:t>
      </w:r>
      <w:r w:rsidRPr="00992199">
        <w:rPr>
          <w:szCs w:val="20"/>
        </w:rPr>
        <w:t xml:space="preserve"> based on reliable third</w:t>
      </w:r>
      <w:r w:rsidRPr="00992199">
        <w:rPr>
          <w:rFonts w:ascii="Cambria Math" w:hAnsi="Cambria Math" w:cs="Cambria Math"/>
          <w:szCs w:val="20"/>
        </w:rPr>
        <w:t>‐</w:t>
      </w:r>
      <w:r w:rsidRPr="00992199">
        <w:rPr>
          <w:szCs w:val="20"/>
        </w:rPr>
        <w:t xml:space="preserve">party sources, where possible, including those referred to above. Although </w:t>
      </w:r>
      <w:r w:rsidR="00E412E4" w:rsidRPr="00E412E4">
        <w:rPr>
          <w:szCs w:val="20"/>
        </w:rPr>
        <w:t xml:space="preserve">the Company </w:t>
      </w:r>
      <w:r w:rsidRPr="00992199">
        <w:rPr>
          <w:szCs w:val="20"/>
        </w:rPr>
        <w:t xml:space="preserve">believes its estimates regarding markets, market sizes, market shares, market positions and other industry data to be reasonable, these estimates have not been verified by any independent sources (except where explicitly cited to such sources), and the Company cannot assure the accuracy of these estimates or that a third party using different methods to assemble, analyse or compute market data would obtain the same results. </w:t>
      </w:r>
      <w:r w:rsidR="00E412E4">
        <w:rPr>
          <w:szCs w:val="20"/>
        </w:rPr>
        <w:t xml:space="preserve">The Company’s </w:t>
      </w:r>
      <w:r w:rsidRPr="00992199">
        <w:rPr>
          <w:szCs w:val="20"/>
        </w:rPr>
        <w:t>estimates are subject to risks and uncertainties and are subject to change based on various factors. The Company does not intend, and does not assume any obligation, to update the industry or market data set forth herein, other than as required by article 34 of the Prospectus Law.</w:t>
      </w:r>
    </w:p>
    <w:p w:rsidR="003F0BC5" w:rsidRPr="00992199" w:rsidRDefault="003F0BC5" w:rsidP="003F0BC5">
      <w:pPr>
        <w:rPr>
          <w:szCs w:val="20"/>
        </w:rPr>
      </w:pPr>
      <w:r w:rsidRPr="00992199">
        <w:rPr>
          <w:szCs w:val="20"/>
        </w:rPr>
        <w:t>Industry publications or reports generally state that the information they contain has been obtained from sources believed to be reliable, but the accuracy and completeness of such information is not guaranteed. The Company has not independently verified and cannot give any assurance as to the accuracy of market data contained in this Prospectus that were extracted or derived from these industry publications or reports. Market data and statistics are inherently predictive and subject to uncertainty and not necessarily reflective of actual market conditions. Such statistics are based on market research, which itself is based on sampling and subjective judgments by both the researchers and the respondents, including judgments about what types of products and transactions should be included in the relevant market.</w:t>
      </w:r>
    </w:p>
    <w:p w:rsidR="003F0BC5" w:rsidRPr="00992199" w:rsidRDefault="003F0BC5" w:rsidP="003F0BC5">
      <w:pPr>
        <w:spacing w:after="600"/>
        <w:rPr>
          <w:szCs w:val="20"/>
        </w:rPr>
      </w:pPr>
      <w:r w:rsidRPr="00992199">
        <w:rPr>
          <w:szCs w:val="20"/>
        </w:rPr>
        <w:t>As a result, prospective investors should be aware that statistics, data, statements and other information relating to markets, market sizes, market shares, market positions and other industry data in this Prospectus and estimates and assumptions based on that information are necessarily subject to a high degree of uncertainty and risk due to the limitations described above and to a variety of other factors, including those described in Part II (</w:t>
      </w:r>
      <w:r w:rsidRPr="00992199">
        <w:rPr>
          <w:i/>
          <w:szCs w:val="20"/>
        </w:rPr>
        <w:t>Risk Factors</w:t>
      </w:r>
      <w:r w:rsidRPr="00992199">
        <w:rPr>
          <w:szCs w:val="20"/>
        </w:rPr>
        <w:t>) of this Prospectus.</w:t>
      </w:r>
    </w:p>
    <w:p w:rsidR="003F0BC5" w:rsidRPr="00992199" w:rsidRDefault="003F0BC5" w:rsidP="003F0BC5">
      <w:pPr>
        <w:pageBreakBefore/>
        <w:jc w:val="center"/>
        <w:rPr>
          <w:b/>
          <w:szCs w:val="20"/>
        </w:rPr>
      </w:pPr>
      <w:r w:rsidRPr="00992199">
        <w:rPr>
          <w:b/>
          <w:szCs w:val="20"/>
        </w:rPr>
        <w:lastRenderedPageBreak/>
        <w:t>CAUTIONARY NOTE REGARDING FORWARD-LOOKING STATEMENTS</w:t>
      </w:r>
    </w:p>
    <w:p w:rsidR="003F0BC5" w:rsidRDefault="003F0BC5" w:rsidP="003F0BC5">
      <w:pPr>
        <w:rPr>
          <w:szCs w:val="20"/>
        </w:rPr>
      </w:pPr>
      <w:r w:rsidRPr="00992199">
        <w:rPr>
          <w:szCs w:val="20"/>
        </w:rPr>
        <w:t xml:space="preserve">This Prospectus includes forward-looking statements, which include all statements other than statements of historical fact, including, without limitation, any statements preceded by, followed by or that include the words </w:t>
      </w:r>
      <w:r w:rsidR="00BF553B">
        <w:rPr>
          <w:szCs w:val="20"/>
        </w:rPr>
        <w:t>“</w:t>
      </w:r>
      <w:r w:rsidRPr="00992199">
        <w:rPr>
          <w:szCs w:val="20"/>
        </w:rPr>
        <w:t>targets</w:t>
      </w:r>
      <w:r w:rsidR="00BF553B">
        <w:rPr>
          <w:szCs w:val="20"/>
        </w:rPr>
        <w:t>”</w:t>
      </w:r>
      <w:r w:rsidRPr="00992199">
        <w:rPr>
          <w:szCs w:val="20"/>
        </w:rPr>
        <w:t xml:space="preserve">, </w:t>
      </w:r>
      <w:r w:rsidR="00BF553B">
        <w:rPr>
          <w:szCs w:val="20"/>
        </w:rPr>
        <w:t>“</w:t>
      </w:r>
      <w:r w:rsidRPr="00992199">
        <w:rPr>
          <w:szCs w:val="20"/>
        </w:rPr>
        <w:t>believes</w:t>
      </w:r>
      <w:r w:rsidR="00BF553B">
        <w:rPr>
          <w:szCs w:val="20"/>
        </w:rPr>
        <w:t>”</w:t>
      </w:r>
      <w:r w:rsidRPr="00992199">
        <w:rPr>
          <w:szCs w:val="20"/>
        </w:rPr>
        <w:t xml:space="preserve">, </w:t>
      </w:r>
      <w:r w:rsidR="00BF553B">
        <w:rPr>
          <w:szCs w:val="20"/>
        </w:rPr>
        <w:t>“</w:t>
      </w:r>
      <w:r w:rsidRPr="00992199">
        <w:rPr>
          <w:szCs w:val="20"/>
        </w:rPr>
        <w:t>expects</w:t>
      </w:r>
      <w:r w:rsidR="00BF553B">
        <w:rPr>
          <w:szCs w:val="20"/>
        </w:rPr>
        <w:t>”</w:t>
      </w:r>
      <w:r w:rsidRPr="00992199">
        <w:rPr>
          <w:szCs w:val="20"/>
        </w:rPr>
        <w:t xml:space="preserve">, </w:t>
      </w:r>
      <w:r w:rsidR="00BF553B">
        <w:rPr>
          <w:szCs w:val="20"/>
        </w:rPr>
        <w:t>“</w:t>
      </w:r>
      <w:r w:rsidRPr="00992199">
        <w:rPr>
          <w:szCs w:val="20"/>
        </w:rPr>
        <w:t>aims</w:t>
      </w:r>
      <w:r w:rsidR="00BF553B">
        <w:rPr>
          <w:szCs w:val="20"/>
        </w:rPr>
        <w:t>”</w:t>
      </w:r>
      <w:r w:rsidRPr="00992199">
        <w:rPr>
          <w:szCs w:val="20"/>
        </w:rPr>
        <w:t xml:space="preserve">, </w:t>
      </w:r>
      <w:r w:rsidR="00BF553B">
        <w:rPr>
          <w:szCs w:val="20"/>
        </w:rPr>
        <w:t>“</w:t>
      </w:r>
      <w:r w:rsidRPr="00992199">
        <w:rPr>
          <w:szCs w:val="20"/>
        </w:rPr>
        <w:t>intends</w:t>
      </w:r>
      <w:r w:rsidR="00BF553B">
        <w:rPr>
          <w:szCs w:val="20"/>
        </w:rPr>
        <w:t>”</w:t>
      </w:r>
      <w:r w:rsidRPr="00992199">
        <w:rPr>
          <w:szCs w:val="20"/>
        </w:rPr>
        <w:t xml:space="preserve">, </w:t>
      </w:r>
      <w:r w:rsidR="00BF553B">
        <w:rPr>
          <w:szCs w:val="20"/>
        </w:rPr>
        <w:t>“</w:t>
      </w:r>
      <w:r w:rsidRPr="00992199">
        <w:rPr>
          <w:szCs w:val="20"/>
        </w:rPr>
        <w:t>will</w:t>
      </w:r>
      <w:r w:rsidR="00BF553B">
        <w:rPr>
          <w:szCs w:val="20"/>
        </w:rPr>
        <w:t>”</w:t>
      </w:r>
      <w:r w:rsidRPr="00992199">
        <w:rPr>
          <w:szCs w:val="20"/>
        </w:rPr>
        <w:t xml:space="preserve">, </w:t>
      </w:r>
      <w:r w:rsidR="00BF553B">
        <w:rPr>
          <w:szCs w:val="20"/>
        </w:rPr>
        <w:t>“</w:t>
      </w:r>
      <w:r w:rsidRPr="00992199">
        <w:rPr>
          <w:szCs w:val="20"/>
        </w:rPr>
        <w:t>may</w:t>
      </w:r>
      <w:r w:rsidR="00BF553B">
        <w:rPr>
          <w:szCs w:val="20"/>
        </w:rPr>
        <w:t>”</w:t>
      </w:r>
      <w:r w:rsidRPr="00992199">
        <w:rPr>
          <w:szCs w:val="20"/>
        </w:rPr>
        <w:t xml:space="preserve">, </w:t>
      </w:r>
      <w:r w:rsidR="00BF553B">
        <w:rPr>
          <w:szCs w:val="20"/>
        </w:rPr>
        <w:t>“</w:t>
      </w:r>
      <w:r w:rsidRPr="00992199">
        <w:rPr>
          <w:szCs w:val="20"/>
        </w:rPr>
        <w:t>anticipates</w:t>
      </w:r>
      <w:r w:rsidR="00BF553B">
        <w:rPr>
          <w:szCs w:val="20"/>
        </w:rPr>
        <w:t>”</w:t>
      </w:r>
      <w:r w:rsidRPr="00992199">
        <w:rPr>
          <w:szCs w:val="20"/>
        </w:rPr>
        <w:t xml:space="preserve">, </w:t>
      </w:r>
      <w:r w:rsidR="00BF553B">
        <w:rPr>
          <w:szCs w:val="20"/>
        </w:rPr>
        <w:t>“</w:t>
      </w:r>
      <w:r w:rsidRPr="00992199">
        <w:rPr>
          <w:szCs w:val="20"/>
        </w:rPr>
        <w:t>would</w:t>
      </w:r>
      <w:r w:rsidR="00BF553B">
        <w:rPr>
          <w:szCs w:val="20"/>
        </w:rPr>
        <w:t>”</w:t>
      </w:r>
      <w:r w:rsidRPr="00992199">
        <w:rPr>
          <w:szCs w:val="20"/>
        </w:rPr>
        <w:t xml:space="preserve">, </w:t>
      </w:r>
      <w:r w:rsidR="00BF553B">
        <w:rPr>
          <w:szCs w:val="20"/>
        </w:rPr>
        <w:t>“</w:t>
      </w:r>
      <w:r w:rsidRPr="00992199">
        <w:rPr>
          <w:szCs w:val="20"/>
        </w:rPr>
        <w:t>could</w:t>
      </w:r>
      <w:r w:rsidR="00BF553B">
        <w:rPr>
          <w:szCs w:val="20"/>
        </w:rPr>
        <w:t>”</w:t>
      </w:r>
      <w:r w:rsidRPr="00992199">
        <w:rPr>
          <w:szCs w:val="20"/>
        </w:rPr>
        <w:t>, or similar expressions or the negative thereof. Such forward-looking statements involve known and unknown risks, uncertainties and other important factors beyond the Company’s control that could cause actual results, performance or achievements to be materially different from future results, performance or achievements expressed or implied by such forward-looking statements. Such forward-looking statements are based on numerous assumptions regarding present and future business strategies and the environment in which the Company will operate in the future. The important factors that could cause actual results, performances or achievements to differ materially from those expressed in such forward-looking statements include those in Part VI (</w:t>
      </w:r>
      <w:r w:rsidRPr="00992199">
        <w:rPr>
          <w:i/>
          <w:szCs w:val="20"/>
        </w:rPr>
        <w:t>Operating</w:t>
      </w:r>
      <w:r w:rsidRPr="00992199">
        <w:rPr>
          <w:szCs w:val="20"/>
        </w:rPr>
        <w:t xml:space="preserve"> </w:t>
      </w:r>
      <w:r w:rsidRPr="00992199">
        <w:rPr>
          <w:i/>
          <w:szCs w:val="20"/>
        </w:rPr>
        <w:t>and financial review</w:t>
      </w:r>
      <w:r w:rsidRPr="00992199">
        <w:rPr>
          <w:szCs w:val="20"/>
        </w:rPr>
        <w:t>), Part II (</w:t>
      </w:r>
      <w:r w:rsidRPr="00992199">
        <w:rPr>
          <w:i/>
          <w:szCs w:val="20"/>
        </w:rPr>
        <w:t>Risk Factors</w:t>
      </w:r>
      <w:r w:rsidRPr="00992199">
        <w:rPr>
          <w:szCs w:val="20"/>
        </w:rPr>
        <w:t>) and elsewhere in this Prospectus. These forward-looking statements speak only as of the date of this Prospectus. Any statements regarding past trends or activities should not be taken as a representation that such trends or activities will continue in the future. Investors are cautioned not to place undue reliance on such forward-looking statements, which are based on facts known to the Company only as of the date of this Prospectus. It expressly disclaims any obligation or undertaking to disseminate any update or revision to any forward-looking statement contained in this Prospectus to reflect any change in expectations with regard thereto or any change in events, conditions or circumstances on which any of such statements are based unless required to do so by any applicable regulation.</w:t>
      </w:r>
    </w:p>
    <w:p w:rsidR="003F0BC5" w:rsidRDefault="003F0BC5" w:rsidP="003F0BC5">
      <w:pPr>
        <w:spacing w:after="1080"/>
        <w:rPr>
          <w:szCs w:val="20"/>
        </w:rPr>
      </w:pPr>
    </w:p>
    <w:p w:rsidR="003F0BC5" w:rsidRDefault="003F0BC5" w:rsidP="003F0BC5">
      <w:pPr>
        <w:spacing w:after="1080"/>
        <w:rPr>
          <w:szCs w:val="20"/>
        </w:rPr>
        <w:sectPr w:rsidR="003F0BC5" w:rsidSect="00BB0F52">
          <w:pgSz w:w="11909" w:h="16834" w:code="9"/>
          <w:pgMar w:top="1440" w:right="1440" w:bottom="1440" w:left="1440" w:header="709" w:footer="709" w:gutter="0"/>
          <w:cols w:space="720"/>
          <w:titlePg/>
          <w:docGrid w:linePitch="360"/>
        </w:sectPr>
      </w:pPr>
    </w:p>
    <w:p w:rsidR="003F0BC5" w:rsidRPr="00992199" w:rsidRDefault="003F0BC5" w:rsidP="003F0BC5">
      <w:pPr>
        <w:ind w:left="720" w:right="720" w:hanging="720"/>
        <w:jc w:val="center"/>
        <w:rPr>
          <w:b/>
          <w:szCs w:val="20"/>
        </w:rPr>
      </w:pPr>
      <w:r w:rsidRPr="00992199">
        <w:rPr>
          <w:b/>
          <w:szCs w:val="20"/>
        </w:rPr>
        <w:lastRenderedPageBreak/>
        <w:t>TABLE OF CONTENTS</w:t>
      </w:r>
    </w:p>
    <w:p w:rsidR="00304A20" w:rsidRPr="003D1D9A" w:rsidRDefault="00474373">
      <w:pPr>
        <w:pStyle w:val="TOC1"/>
        <w:rPr>
          <w:rFonts w:ascii="Calibri" w:eastAsia="SimSun" w:hAnsi="Calibri"/>
          <w:caps w:val="0"/>
          <w:noProof/>
          <w:sz w:val="22"/>
          <w:szCs w:val="22"/>
          <w:lang w:eastAsia="en-GB"/>
        </w:rPr>
      </w:pPr>
      <w:r>
        <w:rPr>
          <w:szCs w:val="20"/>
        </w:rPr>
        <w:fldChar w:fldCharType="begin"/>
      </w:r>
      <w:r>
        <w:rPr>
          <w:szCs w:val="20"/>
        </w:rPr>
        <w:instrText xml:space="preserve"> TOC \o "1-2" \h \z \t "Heading 3,3" </w:instrText>
      </w:r>
      <w:r>
        <w:rPr>
          <w:szCs w:val="20"/>
        </w:rPr>
        <w:fldChar w:fldCharType="separate"/>
      </w:r>
      <w:hyperlink w:anchor="_Toc420593827" w:history="1">
        <w:r w:rsidR="00304A20" w:rsidRPr="00A245C5">
          <w:rPr>
            <w:rStyle w:val="Hyperlink"/>
            <w:noProof/>
          </w:rPr>
          <w:t>PART I: SUMMARY</w:t>
        </w:r>
        <w:r w:rsidR="00304A20">
          <w:rPr>
            <w:noProof/>
            <w:webHidden/>
          </w:rPr>
          <w:tab/>
        </w:r>
        <w:r w:rsidR="00304A20">
          <w:rPr>
            <w:noProof/>
            <w:webHidden/>
          </w:rPr>
          <w:fldChar w:fldCharType="begin"/>
        </w:r>
        <w:r w:rsidR="00304A20">
          <w:rPr>
            <w:noProof/>
            <w:webHidden/>
          </w:rPr>
          <w:instrText xml:space="preserve"> PAGEREF _Toc420593827 \h </w:instrText>
        </w:r>
        <w:r w:rsidR="00304A20">
          <w:rPr>
            <w:noProof/>
            <w:webHidden/>
          </w:rPr>
        </w:r>
        <w:r w:rsidR="00304A20">
          <w:rPr>
            <w:noProof/>
            <w:webHidden/>
          </w:rPr>
          <w:fldChar w:fldCharType="separate"/>
        </w:r>
        <w:r w:rsidR="00304A20">
          <w:rPr>
            <w:noProof/>
            <w:webHidden/>
          </w:rPr>
          <w:t>12</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828" w:history="1">
        <w:r w:rsidR="00304A20" w:rsidRPr="00A245C5">
          <w:rPr>
            <w:rStyle w:val="Hyperlink"/>
            <w:noProof/>
          </w:rPr>
          <w:t>PART II: RISK FACTORS</w:t>
        </w:r>
        <w:r w:rsidR="00304A20">
          <w:rPr>
            <w:noProof/>
            <w:webHidden/>
          </w:rPr>
          <w:tab/>
        </w:r>
        <w:r w:rsidR="00304A20">
          <w:rPr>
            <w:noProof/>
            <w:webHidden/>
          </w:rPr>
          <w:fldChar w:fldCharType="begin"/>
        </w:r>
        <w:r w:rsidR="00304A20">
          <w:rPr>
            <w:noProof/>
            <w:webHidden/>
          </w:rPr>
          <w:instrText xml:space="preserve"> PAGEREF _Toc420593828 \h </w:instrText>
        </w:r>
        <w:r w:rsidR="00304A20">
          <w:rPr>
            <w:noProof/>
            <w:webHidden/>
          </w:rPr>
        </w:r>
        <w:r w:rsidR="00304A20">
          <w:rPr>
            <w:noProof/>
            <w:webHidden/>
          </w:rPr>
          <w:fldChar w:fldCharType="separate"/>
        </w:r>
        <w:r w:rsidR="00304A20">
          <w:rPr>
            <w:noProof/>
            <w:webHidden/>
          </w:rPr>
          <w:t>28</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829" w:history="1">
        <w:r w:rsidR="00304A20" w:rsidRPr="00A245C5">
          <w:rPr>
            <w:rStyle w:val="Hyperlink"/>
            <w:noProof/>
          </w:rPr>
          <w:t>PART III: EXPECTED TIMETABLE OF PRINCIPAL EVENTS</w:t>
        </w:r>
        <w:r w:rsidR="00304A20">
          <w:rPr>
            <w:noProof/>
            <w:webHidden/>
          </w:rPr>
          <w:tab/>
        </w:r>
        <w:r w:rsidR="00304A20">
          <w:rPr>
            <w:noProof/>
            <w:webHidden/>
          </w:rPr>
          <w:fldChar w:fldCharType="begin"/>
        </w:r>
        <w:r w:rsidR="00304A20">
          <w:rPr>
            <w:noProof/>
            <w:webHidden/>
          </w:rPr>
          <w:instrText xml:space="preserve"> PAGEREF _Toc420593829 \h </w:instrText>
        </w:r>
        <w:r w:rsidR="00304A20">
          <w:rPr>
            <w:noProof/>
            <w:webHidden/>
          </w:rPr>
        </w:r>
        <w:r w:rsidR="00304A20">
          <w:rPr>
            <w:noProof/>
            <w:webHidden/>
          </w:rPr>
          <w:fldChar w:fldCharType="separate"/>
        </w:r>
        <w:r w:rsidR="00304A20">
          <w:rPr>
            <w:noProof/>
            <w:webHidden/>
          </w:rPr>
          <w:t>49</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830" w:history="1">
        <w:r w:rsidR="00304A20" w:rsidRPr="00A245C5">
          <w:rPr>
            <w:rStyle w:val="Hyperlink"/>
            <w:noProof/>
          </w:rPr>
          <w:t xml:space="preserve">PART IV: </w:t>
        </w:r>
        <w:r w:rsidR="00304A20" w:rsidRPr="00A245C5">
          <w:rPr>
            <w:rStyle w:val="Hyperlink"/>
            <w:rFonts w:ascii="Times New Roman Bold" w:hAnsi="Times New Roman Bold"/>
            <w:noProof/>
          </w:rPr>
          <w:t>The</w:t>
        </w:r>
        <w:r w:rsidR="00304A20" w:rsidRPr="00A245C5">
          <w:rPr>
            <w:rStyle w:val="Hyperlink"/>
            <w:noProof/>
          </w:rPr>
          <w:t xml:space="preserve"> contributions</w:t>
        </w:r>
        <w:r w:rsidR="00304A20">
          <w:rPr>
            <w:noProof/>
            <w:webHidden/>
          </w:rPr>
          <w:tab/>
        </w:r>
        <w:r w:rsidR="00304A20">
          <w:rPr>
            <w:noProof/>
            <w:webHidden/>
          </w:rPr>
          <w:fldChar w:fldCharType="begin"/>
        </w:r>
        <w:r w:rsidR="00304A20">
          <w:rPr>
            <w:noProof/>
            <w:webHidden/>
          </w:rPr>
          <w:instrText xml:space="preserve"> PAGEREF _Toc420593830 \h </w:instrText>
        </w:r>
        <w:r w:rsidR="00304A20">
          <w:rPr>
            <w:noProof/>
            <w:webHidden/>
          </w:rPr>
        </w:r>
        <w:r w:rsidR="00304A20">
          <w:rPr>
            <w:noProof/>
            <w:webHidden/>
          </w:rPr>
          <w:fldChar w:fldCharType="separate"/>
        </w:r>
        <w:r w:rsidR="00304A20">
          <w:rPr>
            <w:noProof/>
            <w:webHidden/>
          </w:rPr>
          <w:t>50</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831" w:history="1">
        <w:r w:rsidR="00304A20" w:rsidRPr="00A245C5">
          <w:rPr>
            <w:rStyle w:val="Hyperlink"/>
            <w:noProof/>
          </w:rPr>
          <w:t>1.</w:t>
        </w:r>
        <w:r w:rsidR="00304A20" w:rsidRPr="003D1D9A">
          <w:rPr>
            <w:rFonts w:ascii="Calibri" w:eastAsia="SimSun" w:hAnsi="Calibri"/>
            <w:caps w:val="0"/>
            <w:noProof/>
            <w:sz w:val="22"/>
            <w:szCs w:val="22"/>
            <w:lang w:eastAsia="en-GB"/>
          </w:rPr>
          <w:tab/>
        </w:r>
        <w:r w:rsidR="00304A20" w:rsidRPr="00A245C5">
          <w:rPr>
            <w:rStyle w:val="Hyperlink"/>
            <w:noProof/>
          </w:rPr>
          <w:t>General description of the business combination</w:t>
        </w:r>
        <w:r w:rsidR="00304A20">
          <w:rPr>
            <w:noProof/>
            <w:webHidden/>
          </w:rPr>
          <w:tab/>
        </w:r>
        <w:r w:rsidR="00304A20">
          <w:rPr>
            <w:noProof/>
            <w:webHidden/>
          </w:rPr>
          <w:fldChar w:fldCharType="begin"/>
        </w:r>
        <w:r w:rsidR="00304A20">
          <w:rPr>
            <w:noProof/>
            <w:webHidden/>
          </w:rPr>
          <w:instrText xml:space="preserve"> PAGEREF _Toc420593831 \h </w:instrText>
        </w:r>
        <w:r w:rsidR="00304A20">
          <w:rPr>
            <w:noProof/>
            <w:webHidden/>
          </w:rPr>
        </w:r>
        <w:r w:rsidR="00304A20">
          <w:rPr>
            <w:noProof/>
            <w:webHidden/>
          </w:rPr>
          <w:fldChar w:fldCharType="separate"/>
        </w:r>
        <w:r w:rsidR="00304A20">
          <w:rPr>
            <w:noProof/>
            <w:webHidden/>
          </w:rPr>
          <w:t>50</w:t>
        </w:r>
        <w:r w:rsidR="00304A20">
          <w:rPr>
            <w:noProof/>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32" w:history="1">
        <w:r w:rsidR="00304A20" w:rsidRPr="00A245C5">
          <w:rPr>
            <w:rStyle w:val="Hyperlink"/>
          </w:rPr>
          <w:t>1.1</w:t>
        </w:r>
        <w:r w:rsidR="00304A20" w:rsidRPr="003D1D9A">
          <w:rPr>
            <w:rFonts w:ascii="Calibri" w:eastAsia="SimSun" w:hAnsi="Calibri"/>
            <w:smallCaps w:val="0"/>
            <w:sz w:val="22"/>
            <w:szCs w:val="22"/>
            <w:lang w:eastAsia="en-GB"/>
          </w:rPr>
          <w:tab/>
        </w:r>
        <w:r w:rsidR="00304A20" w:rsidRPr="00A245C5">
          <w:rPr>
            <w:rStyle w:val="Hyperlink"/>
          </w:rPr>
          <w:t>Context</w:t>
        </w:r>
        <w:r w:rsidR="00304A20">
          <w:rPr>
            <w:webHidden/>
          </w:rPr>
          <w:tab/>
        </w:r>
        <w:r w:rsidR="00304A20">
          <w:rPr>
            <w:webHidden/>
          </w:rPr>
          <w:fldChar w:fldCharType="begin"/>
        </w:r>
        <w:r w:rsidR="00304A20">
          <w:rPr>
            <w:webHidden/>
          </w:rPr>
          <w:instrText xml:space="preserve"> PAGEREF _Toc420593832 \h </w:instrText>
        </w:r>
        <w:r w:rsidR="00304A20">
          <w:rPr>
            <w:webHidden/>
          </w:rPr>
        </w:r>
        <w:r w:rsidR="00304A20">
          <w:rPr>
            <w:webHidden/>
          </w:rPr>
          <w:fldChar w:fldCharType="separate"/>
        </w:r>
        <w:r w:rsidR="00304A20">
          <w:rPr>
            <w:webHidden/>
          </w:rPr>
          <w:t>50</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33" w:history="1">
        <w:r w:rsidR="00304A20" w:rsidRPr="00A245C5">
          <w:rPr>
            <w:rStyle w:val="Hyperlink"/>
          </w:rPr>
          <w:t>1.2</w:t>
        </w:r>
        <w:r w:rsidR="00304A20" w:rsidRPr="003D1D9A">
          <w:rPr>
            <w:rFonts w:ascii="Calibri" w:eastAsia="SimSun" w:hAnsi="Calibri"/>
            <w:smallCaps w:val="0"/>
            <w:sz w:val="22"/>
            <w:szCs w:val="22"/>
            <w:lang w:eastAsia="en-GB"/>
          </w:rPr>
          <w:tab/>
        </w:r>
        <w:r w:rsidR="00304A20" w:rsidRPr="00A245C5">
          <w:rPr>
            <w:rStyle w:val="Hyperlink"/>
          </w:rPr>
          <w:t>Business rationale of the Transactions</w:t>
        </w:r>
        <w:r w:rsidR="00304A20">
          <w:rPr>
            <w:webHidden/>
          </w:rPr>
          <w:tab/>
        </w:r>
        <w:r w:rsidR="00304A20">
          <w:rPr>
            <w:webHidden/>
          </w:rPr>
          <w:fldChar w:fldCharType="begin"/>
        </w:r>
        <w:r w:rsidR="00304A20">
          <w:rPr>
            <w:webHidden/>
          </w:rPr>
          <w:instrText xml:space="preserve"> PAGEREF _Toc420593833 \h </w:instrText>
        </w:r>
        <w:r w:rsidR="00304A20">
          <w:rPr>
            <w:webHidden/>
          </w:rPr>
        </w:r>
        <w:r w:rsidR="00304A20">
          <w:rPr>
            <w:webHidden/>
          </w:rPr>
          <w:fldChar w:fldCharType="separate"/>
        </w:r>
        <w:r w:rsidR="00304A20">
          <w:rPr>
            <w:webHidden/>
          </w:rPr>
          <w:t>51</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34" w:history="1">
        <w:r w:rsidR="00304A20" w:rsidRPr="00A245C5">
          <w:rPr>
            <w:rStyle w:val="Hyperlink"/>
          </w:rPr>
          <w:t>1.3</w:t>
        </w:r>
        <w:r w:rsidR="00304A20" w:rsidRPr="003D1D9A">
          <w:rPr>
            <w:rFonts w:ascii="Calibri" w:eastAsia="SimSun" w:hAnsi="Calibri"/>
            <w:smallCaps w:val="0"/>
            <w:sz w:val="22"/>
            <w:szCs w:val="22"/>
            <w:lang w:eastAsia="en-GB"/>
          </w:rPr>
          <w:tab/>
        </w:r>
        <w:r w:rsidR="00304A20" w:rsidRPr="00A245C5">
          <w:rPr>
            <w:rStyle w:val="Hyperlink"/>
          </w:rPr>
          <w:t>Strategy and key strengths of the combined Combined Greenyard Foods Group</w:t>
        </w:r>
        <w:r w:rsidR="00304A20">
          <w:rPr>
            <w:webHidden/>
          </w:rPr>
          <w:tab/>
        </w:r>
        <w:r w:rsidR="00304A20">
          <w:rPr>
            <w:webHidden/>
          </w:rPr>
          <w:fldChar w:fldCharType="begin"/>
        </w:r>
        <w:r w:rsidR="00304A20">
          <w:rPr>
            <w:webHidden/>
          </w:rPr>
          <w:instrText xml:space="preserve"> PAGEREF _Toc420593834 \h </w:instrText>
        </w:r>
        <w:r w:rsidR="00304A20">
          <w:rPr>
            <w:webHidden/>
          </w:rPr>
        </w:r>
        <w:r w:rsidR="00304A20">
          <w:rPr>
            <w:webHidden/>
          </w:rPr>
          <w:fldChar w:fldCharType="separate"/>
        </w:r>
        <w:r w:rsidR="00304A20">
          <w:rPr>
            <w:webHidden/>
          </w:rPr>
          <w:t>52</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35" w:history="1">
        <w:r w:rsidR="00304A20" w:rsidRPr="00A245C5">
          <w:rPr>
            <w:rStyle w:val="Hyperlink"/>
          </w:rPr>
          <w:t>1.4</w:t>
        </w:r>
        <w:r w:rsidR="00304A20" w:rsidRPr="003D1D9A">
          <w:rPr>
            <w:rFonts w:ascii="Calibri" w:eastAsia="SimSun" w:hAnsi="Calibri"/>
            <w:smallCaps w:val="0"/>
            <w:sz w:val="22"/>
            <w:szCs w:val="22"/>
            <w:lang w:eastAsia="en-GB"/>
          </w:rPr>
          <w:tab/>
        </w:r>
        <w:r w:rsidR="00304A20" w:rsidRPr="00A245C5">
          <w:rPr>
            <w:rStyle w:val="Hyperlink"/>
          </w:rPr>
          <w:t>Structure of the Transactions</w:t>
        </w:r>
        <w:r w:rsidR="00304A20">
          <w:rPr>
            <w:webHidden/>
          </w:rPr>
          <w:tab/>
        </w:r>
        <w:r w:rsidR="00304A20">
          <w:rPr>
            <w:webHidden/>
          </w:rPr>
          <w:fldChar w:fldCharType="begin"/>
        </w:r>
        <w:r w:rsidR="00304A20">
          <w:rPr>
            <w:webHidden/>
          </w:rPr>
          <w:instrText xml:space="preserve"> PAGEREF _Toc420593835 \h </w:instrText>
        </w:r>
        <w:r w:rsidR="00304A20">
          <w:rPr>
            <w:webHidden/>
          </w:rPr>
        </w:r>
        <w:r w:rsidR="00304A20">
          <w:rPr>
            <w:webHidden/>
          </w:rPr>
          <w:fldChar w:fldCharType="separate"/>
        </w:r>
        <w:r w:rsidR="00304A20">
          <w:rPr>
            <w:webHidden/>
          </w:rPr>
          <w:t>54</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36" w:history="1">
        <w:r w:rsidR="00304A20" w:rsidRPr="00A245C5">
          <w:rPr>
            <w:rStyle w:val="Hyperlink"/>
          </w:rPr>
          <w:t>1.5</w:t>
        </w:r>
        <w:r w:rsidR="00304A20" w:rsidRPr="003D1D9A">
          <w:rPr>
            <w:rFonts w:ascii="Calibri" w:eastAsia="SimSun" w:hAnsi="Calibri"/>
            <w:smallCaps w:val="0"/>
            <w:sz w:val="22"/>
            <w:szCs w:val="22"/>
            <w:lang w:eastAsia="en-GB"/>
          </w:rPr>
          <w:tab/>
        </w:r>
        <w:r w:rsidR="00304A20" w:rsidRPr="00A245C5">
          <w:rPr>
            <w:rStyle w:val="Hyperlink"/>
          </w:rPr>
          <w:t>Secondary Sale</w:t>
        </w:r>
        <w:r w:rsidR="00304A20">
          <w:rPr>
            <w:webHidden/>
          </w:rPr>
          <w:tab/>
        </w:r>
        <w:r w:rsidR="00304A20">
          <w:rPr>
            <w:webHidden/>
          </w:rPr>
          <w:fldChar w:fldCharType="begin"/>
        </w:r>
        <w:r w:rsidR="00304A20">
          <w:rPr>
            <w:webHidden/>
          </w:rPr>
          <w:instrText xml:space="preserve"> PAGEREF _Toc420593836 \h </w:instrText>
        </w:r>
        <w:r w:rsidR="00304A20">
          <w:rPr>
            <w:webHidden/>
          </w:rPr>
        </w:r>
        <w:r w:rsidR="00304A20">
          <w:rPr>
            <w:webHidden/>
          </w:rPr>
          <w:fldChar w:fldCharType="separate"/>
        </w:r>
        <w:r w:rsidR="00304A20">
          <w:rPr>
            <w:webHidden/>
          </w:rPr>
          <w:t>56</w:t>
        </w:r>
        <w:r w:rsidR="00304A20">
          <w:rPr>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837" w:history="1">
        <w:r w:rsidR="00304A20" w:rsidRPr="00A245C5">
          <w:rPr>
            <w:rStyle w:val="Hyperlink"/>
            <w:noProof/>
          </w:rPr>
          <w:t>2.</w:t>
        </w:r>
        <w:r w:rsidR="00304A20" w:rsidRPr="003D1D9A">
          <w:rPr>
            <w:rFonts w:ascii="Calibri" w:eastAsia="SimSun" w:hAnsi="Calibri"/>
            <w:caps w:val="0"/>
            <w:noProof/>
            <w:sz w:val="22"/>
            <w:szCs w:val="22"/>
            <w:lang w:eastAsia="en-GB"/>
          </w:rPr>
          <w:tab/>
        </w:r>
        <w:r w:rsidR="00304A20" w:rsidRPr="00A245C5">
          <w:rPr>
            <w:rStyle w:val="Hyperlink"/>
            <w:noProof/>
          </w:rPr>
          <w:t>Overview of Greenyard Foods, Univeg and Peatinvest prior to the Contributions</w:t>
        </w:r>
        <w:r w:rsidR="00304A20">
          <w:rPr>
            <w:noProof/>
            <w:webHidden/>
          </w:rPr>
          <w:tab/>
        </w:r>
        <w:r w:rsidR="00304A20">
          <w:rPr>
            <w:noProof/>
            <w:webHidden/>
          </w:rPr>
          <w:fldChar w:fldCharType="begin"/>
        </w:r>
        <w:r w:rsidR="00304A20">
          <w:rPr>
            <w:noProof/>
            <w:webHidden/>
          </w:rPr>
          <w:instrText xml:space="preserve"> PAGEREF _Toc420593837 \h </w:instrText>
        </w:r>
        <w:r w:rsidR="00304A20">
          <w:rPr>
            <w:noProof/>
            <w:webHidden/>
          </w:rPr>
        </w:r>
        <w:r w:rsidR="00304A20">
          <w:rPr>
            <w:noProof/>
            <w:webHidden/>
          </w:rPr>
          <w:fldChar w:fldCharType="separate"/>
        </w:r>
        <w:r w:rsidR="00304A20">
          <w:rPr>
            <w:noProof/>
            <w:webHidden/>
          </w:rPr>
          <w:t>57</w:t>
        </w:r>
        <w:r w:rsidR="00304A20">
          <w:rPr>
            <w:noProof/>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38" w:history="1">
        <w:r w:rsidR="00304A20" w:rsidRPr="00A245C5">
          <w:rPr>
            <w:rStyle w:val="Hyperlink"/>
          </w:rPr>
          <w:t>2.1</w:t>
        </w:r>
        <w:r w:rsidR="00304A20" w:rsidRPr="003D1D9A">
          <w:rPr>
            <w:rFonts w:ascii="Calibri" w:eastAsia="SimSun" w:hAnsi="Calibri"/>
            <w:smallCaps w:val="0"/>
            <w:sz w:val="22"/>
            <w:szCs w:val="22"/>
            <w:lang w:eastAsia="en-GB"/>
          </w:rPr>
          <w:tab/>
        </w:r>
        <w:r w:rsidR="00304A20" w:rsidRPr="00A245C5">
          <w:rPr>
            <w:rStyle w:val="Hyperlink"/>
          </w:rPr>
          <w:t>Greenyard Foods</w:t>
        </w:r>
        <w:r w:rsidR="00304A20">
          <w:rPr>
            <w:webHidden/>
          </w:rPr>
          <w:tab/>
        </w:r>
        <w:r w:rsidR="00304A20">
          <w:rPr>
            <w:webHidden/>
          </w:rPr>
          <w:fldChar w:fldCharType="begin"/>
        </w:r>
        <w:r w:rsidR="00304A20">
          <w:rPr>
            <w:webHidden/>
          </w:rPr>
          <w:instrText xml:space="preserve"> PAGEREF _Toc420593838 \h </w:instrText>
        </w:r>
        <w:r w:rsidR="00304A20">
          <w:rPr>
            <w:webHidden/>
          </w:rPr>
        </w:r>
        <w:r w:rsidR="00304A20">
          <w:rPr>
            <w:webHidden/>
          </w:rPr>
          <w:fldChar w:fldCharType="separate"/>
        </w:r>
        <w:r w:rsidR="00304A20">
          <w:rPr>
            <w:webHidden/>
          </w:rPr>
          <w:t>57</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39" w:history="1">
        <w:r w:rsidR="00304A20" w:rsidRPr="00A245C5">
          <w:rPr>
            <w:rStyle w:val="Hyperlink"/>
          </w:rPr>
          <w:t>2.2</w:t>
        </w:r>
        <w:r w:rsidR="00304A20" w:rsidRPr="003D1D9A">
          <w:rPr>
            <w:rFonts w:ascii="Calibri" w:eastAsia="SimSun" w:hAnsi="Calibri"/>
            <w:smallCaps w:val="0"/>
            <w:sz w:val="22"/>
            <w:szCs w:val="22"/>
            <w:lang w:eastAsia="en-GB"/>
          </w:rPr>
          <w:tab/>
        </w:r>
        <w:r w:rsidR="00304A20" w:rsidRPr="00A245C5">
          <w:rPr>
            <w:rStyle w:val="Hyperlink"/>
          </w:rPr>
          <w:t>The Univeg Group</w:t>
        </w:r>
        <w:r w:rsidR="00304A20">
          <w:rPr>
            <w:webHidden/>
          </w:rPr>
          <w:tab/>
        </w:r>
        <w:r w:rsidR="00304A20">
          <w:rPr>
            <w:webHidden/>
          </w:rPr>
          <w:fldChar w:fldCharType="begin"/>
        </w:r>
        <w:r w:rsidR="00304A20">
          <w:rPr>
            <w:webHidden/>
          </w:rPr>
          <w:instrText xml:space="preserve"> PAGEREF _Toc420593839 \h </w:instrText>
        </w:r>
        <w:r w:rsidR="00304A20">
          <w:rPr>
            <w:webHidden/>
          </w:rPr>
        </w:r>
        <w:r w:rsidR="00304A20">
          <w:rPr>
            <w:webHidden/>
          </w:rPr>
          <w:fldChar w:fldCharType="separate"/>
        </w:r>
        <w:r w:rsidR="00304A20">
          <w:rPr>
            <w:webHidden/>
          </w:rPr>
          <w:t>71</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40" w:history="1">
        <w:r w:rsidR="00304A20" w:rsidRPr="00A245C5">
          <w:rPr>
            <w:rStyle w:val="Hyperlink"/>
          </w:rPr>
          <w:t>2.3</w:t>
        </w:r>
        <w:r w:rsidR="00304A20" w:rsidRPr="003D1D9A">
          <w:rPr>
            <w:rFonts w:ascii="Calibri" w:eastAsia="SimSun" w:hAnsi="Calibri"/>
            <w:smallCaps w:val="0"/>
            <w:sz w:val="22"/>
            <w:szCs w:val="22"/>
            <w:lang w:eastAsia="en-GB"/>
          </w:rPr>
          <w:tab/>
        </w:r>
        <w:r w:rsidR="00304A20" w:rsidRPr="00A245C5">
          <w:rPr>
            <w:rStyle w:val="Hyperlink"/>
          </w:rPr>
          <w:t>Peatinvest</w:t>
        </w:r>
        <w:r w:rsidR="00304A20">
          <w:rPr>
            <w:webHidden/>
          </w:rPr>
          <w:tab/>
        </w:r>
        <w:r w:rsidR="00304A20">
          <w:rPr>
            <w:webHidden/>
          </w:rPr>
          <w:fldChar w:fldCharType="begin"/>
        </w:r>
        <w:r w:rsidR="00304A20">
          <w:rPr>
            <w:webHidden/>
          </w:rPr>
          <w:instrText xml:space="preserve"> PAGEREF _Toc420593840 \h </w:instrText>
        </w:r>
        <w:r w:rsidR="00304A20">
          <w:rPr>
            <w:webHidden/>
          </w:rPr>
        </w:r>
        <w:r w:rsidR="00304A20">
          <w:rPr>
            <w:webHidden/>
          </w:rPr>
          <w:fldChar w:fldCharType="separate"/>
        </w:r>
        <w:r w:rsidR="00304A20">
          <w:rPr>
            <w:webHidden/>
          </w:rPr>
          <w:t>86</w:t>
        </w:r>
        <w:r w:rsidR="00304A20">
          <w:rPr>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841" w:history="1">
        <w:r w:rsidR="00304A20" w:rsidRPr="00A245C5">
          <w:rPr>
            <w:rStyle w:val="Hyperlink"/>
            <w:noProof/>
          </w:rPr>
          <w:t>3.</w:t>
        </w:r>
        <w:r w:rsidR="00304A20" w:rsidRPr="003D1D9A">
          <w:rPr>
            <w:rFonts w:ascii="Calibri" w:eastAsia="SimSun" w:hAnsi="Calibri"/>
            <w:caps w:val="0"/>
            <w:noProof/>
            <w:sz w:val="22"/>
            <w:szCs w:val="22"/>
            <w:lang w:eastAsia="en-GB"/>
          </w:rPr>
          <w:tab/>
        </w:r>
        <w:r w:rsidR="00304A20" w:rsidRPr="00A245C5">
          <w:rPr>
            <w:rStyle w:val="Hyperlink"/>
            <w:noProof/>
          </w:rPr>
          <w:t>Selected financial information prior to the contributions</w:t>
        </w:r>
        <w:r w:rsidR="00304A20">
          <w:rPr>
            <w:noProof/>
            <w:webHidden/>
          </w:rPr>
          <w:tab/>
        </w:r>
        <w:r w:rsidR="00304A20">
          <w:rPr>
            <w:noProof/>
            <w:webHidden/>
          </w:rPr>
          <w:fldChar w:fldCharType="begin"/>
        </w:r>
        <w:r w:rsidR="00304A20">
          <w:rPr>
            <w:noProof/>
            <w:webHidden/>
          </w:rPr>
          <w:instrText xml:space="preserve"> PAGEREF _Toc420593841 \h </w:instrText>
        </w:r>
        <w:r w:rsidR="00304A20">
          <w:rPr>
            <w:noProof/>
            <w:webHidden/>
          </w:rPr>
        </w:r>
        <w:r w:rsidR="00304A20">
          <w:rPr>
            <w:noProof/>
            <w:webHidden/>
          </w:rPr>
          <w:fldChar w:fldCharType="separate"/>
        </w:r>
        <w:r w:rsidR="00304A20">
          <w:rPr>
            <w:noProof/>
            <w:webHidden/>
          </w:rPr>
          <w:t>93</w:t>
        </w:r>
        <w:r w:rsidR="00304A20">
          <w:rPr>
            <w:noProof/>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42" w:history="1">
        <w:r w:rsidR="00304A20" w:rsidRPr="00A245C5">
          <w:rPr>
            <w:rStyle w:val="Hyperlink"/>
          </w:rPr>
          <w:t>3.1</w:t>
        </w:r>
        <w:r w:rsidR="00304A20" w:rsidRPr="003D1D9A">
          <w:rPr>
            <w:rFonts w:ascii="Calibri" w:eastAsia="SimSun" w:hAnsi="Calibri"/>
            <w:smallCaps w:val="0"/>
            <w:sz w:val="22"/>
            <w:szCs w:val="22"/>
            <w:lang w:eastAsia="en-GB"/>
          </w:rPr>
          <w:tab/>
        </w:r>
        <w:r w:rsidR="00304A20" w:rsidRPr="00A245C5">
          <w:rPr>
            <w:rStyle w:val="Hyperlink"/>
          </w:rPr>
          <w:t>Key figures of Greenyard Foods</w:t>
        </w:r>
        <w:r w:rsidR="00304A20">
          <w:rPr>
            <w:webHidden/>
          </w:rPr>
          <w:tab/>
        </w:r>
        <w:r w:rsidR="00304A20">
          <w:rPr>
            <w:webHidden/>
          </w:rPr>
          <w:fldChar w:fldCharType="begin"/>
        </w:r>
        <w:r w:rsidR="00304A20">
          <w:rPr>
            <w:webHidden/>
          </w:rPr>
          <w:instrText xml:space="preserve"> PAGEREF _Toc420593842 \h </w:instrText>
        </w:r>
        <w:r w:rsidR="00304A20">
          <w:rPr>
            <w:webHidden/>
          </w:rPr>
        </w:r>
        <w:r w:rsidR="00304A20">
          <w:rPr>
            <w:webHidden/>
          </w:rPr>
          <w:fldChar w:fldCharType="separate"/>
        </w:r>
        <w:r w:rsidR="00304A20">
          <w:rPr>
            <w:webHidden/>
          </w:rPr>
          <w:t>93</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43" w:history="1">
        <w:r w:rsidR="00304A20" w:rsidRPr="00A245C5">
          <w:rPr>
            <w:rStyle w:val="Hyperlink"/>
          </w:rPr>
          <w:t>3.2</w:t>
        </w:r>
        <w:r w:rsidR="00304A20" w:rsidRPr="003D1D9A">
          <w:rPr>
            <w:rFonts w:ascii="Calibri" w:eastAsia="SimSun" w:hAnsi="Calibri"/>
            <w:smallCaps w:val="0"/>
            <w:sz w:val="22"/>
            <w:szCs w:val="22"/>
            <w:lang w:eastAsia="en-GB"/>
          </w:rPr>
          <w:tab/>
        </w:r>
        <w:r w:rsidR="00304A20" w:rsidRPr="00A245C5">
          <w:rPr>
            <w:rStyle w:val="Hyperlink"/>
          </w:rPr>
          <w:t>Key figures of the Univeg Group</w:t>
        </w:r>
        <w:r w:rsidR="00304A20">
          <w:rPr>
            <w:webHidden/>
          </w:rPr>
          <w:tab/>
        </w:r>
        <w:r w:rsidR="00304A20">
          <w:rPr>
            <w:webHidden/>
          </w:rPr>
          <w:fldChar w:fldCharType="begin"/>
        </w:r>
        <w:r w:rsidR="00304A20">
          <w:rPr>
            <w:webHidden/>
          </w:rPr>
          <w:instrText xml:space="preserve"> PAGEREF _Toc420593843 \h </w:instrText>
        </w:r>
        <w:r w:rsidR="00304A20">
          <w:rPr>
            <w:webHidden/>
          </w:rPr>
        </w:r>
        <w:r w:rsidR="00304A20">
          <w:rPr>
            <w:webHidden/>
          </w:rPr>
          <w:fldChar w:fldCharType="separate"/>
        </w:r>
        <w:r w:rsidR="00304A20">
          <w:rPr>
            <w:webHidden/>
          </w:rPr>
          <w:t>96</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44" w:history="1">
        <w:r w:rsidR="00304A20" w:rsidRPr="00A245C5">
          <w:rPr>
            <w:rStyle w:val="Hyperlink"/>
          </w:rPr>
          <w:t>3.3</w:t>
        </w:r>
        <w:r w:rsidR="00304A20" w:rsidRPr="003D1D9A">
          <w:rPr>
            <w:rFonts w:ascii="Calibri" w:eastAsia="SimSun" w:hAnsi="Calibri"/>
            <w:smallCaps w:val="0"/>
            <w:sz w:val="22"/>
            <w:szCs w:val="22"/>
            <w:lang w:eastAsia="en-GB"/>
          </w:rPr>
          <w:tab/>
        </w:r>
        <w:r w:rsidR="00304A20" w:rsidRPr="00A245C5">
          <w:rPr>
            <w:rStyle w:val="Hyperlink"/>
          </w:rPr>
          <w:t>Key figures of Peatinvest</w:t>
        </w:r>
        <w:r w:rsidR="00304A20">
          <w:rPr>
            <w:webHidden/>
          </w:rPr>
          <w:tab/>
        </w:r>
        <w:r w:rsidR="00304A20">
          <w:rPr>
            <w:webHidden/>
          </w:rPr>
          <w:fldChar w:fldCharType="begin"/>
        </w:r>
        <w:r w:rsidR="00304A20">
          <w:rPr>
            <w:webHidden/>
          </w:rPr>
          <w:instrText xml:space="preserve"> PAGEREF _Toc420593844 \h </w:instrText>
        </w:r>
        <w:r w:rsidR="00304A20">
          <w:rPr>
            <w:webHidden/>
          </w:rPr>
        </w:r>
        <w:r w:rsidR="00304A20">
          <w:rPr>
            <w:webHidden/>
          </w:rPr>
          <w:fldChar w:fldCharType="separate"/>
        </w:r>
        <w:r w:rsidR="00304A20">
          <w:rPr>
            <w:webHidden/>
          </w:rPr>
          <w:t>97</w:t>
        </w:r>
        <w:r w:rsidR="00304A20">
          <w:rPr>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845" w:history="1">
        <w:r w:rsidR="00304A20" w:rsidRPr="00A245C5">
          <w:rPr>
            <w:rStyle w:val="Hyperlink"/>
            <w:noProof/>
          </w:rPr>
          <w:t>4.</w:t>
        </w:r>
        <w:r w:rsidR="00304A20" w:rsidRPr="003D1D9A">
          <w:rPr>
            <w:rFonts w:ascii="Calibri" w:eastAsia="SimSun" w:hAnsi="Calibri"/>
            <w:caps w:val="0"/>
            <w:noProof/>
            <w:sz w:val="22"/>
            <w:szCs w:val="22"/>
            <w:lang w:eastAsia="en-GB"/>
          </w:rPr>
          <w:tab/>
        </w:r>
        <w:r w:rsidR="00304A20" w:rsidRPr="00A245C5">
          <w:rPr>
            <w:rStyle w:val="Hyperlink"/>
            <w:noProof/>
          </w:rPr>
          <w:t>Decisions and terms of the contributions</w:t>
        </w:r>
        <w:r w:rsidR="00304A20">
          <w:rPr>
            <w:noProof/>
            <w:webHidden/>
          </w:rPr>
          <w:tab/>
        </w:r>
        <w:r w:rsidR="00304A20">
          <w:rPr>
            <w:noProof/>
            <w:webHidden/>
          </w:rPr>
          <w:fldChar w:fldCharType="begin"/>
        </w:r>
        <w:r w:rsidR="00304A20">
          <w:rPr>
            <w:noProof/>
            <w:webHidden/>
          </w:rPr>
          <w:instrText xml:space="preserve"> PAGEREF _Toc420593845 \h </w:instrText>
        </w:r>
        <w:r w:rsidR="00304A20">
          <w:rPr>
            <w:noProof/>
            <w:webHidden/>
          </w:rPr>
        </w:r>
        <w:r w:rsidR="00304A20">
          <w:rPr>
            <w:noProof/>
            <w:webHidden/>
          </w:rPr>
          <w:fldChar w:fldCharType="separate"/>
        </w:r>
        <w:r w:rsidR="00304A20">
          <w:rPr>
            <w:noProof/>
            <w:webHidden/>
          </w:rPr>
          <w:t>99</w:t>
        </w:r>
        <w:r w:rsidR="00304A20">
          <w:rPr>
            <w:noProof/>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46" w:history="1">
        <w:r w:rsidR="00304A20" w:rsidRPr="00A245C5">
          <w:rPr>
            <w:rStyle w:val="Hyperlink"/>
          </w:rPr>
          <w:t>4.1</w:t>
        </w:r>
        <w:r w:rsidR="00304A20" w:rsidRPr="003D1D9A">
          <w:rPr>
            <w:rFonts w:ascii="Calibri" w:eastAsia="SimSun" w:hAnsi="Calibri"/>
            <w:smallCaps w:val="0"/>
            <w:sz w:val="22"/>
            <w:szCs w:val="22"/>
            <w:lang w:eastAsia="en-GB"/>
          </w:rPr>
          <w:tab/>
        </w:r>
        <w:r w:rsidR="00304A20" w:rsidRPr="00A245C5">
          <w:rPr>
            <w:rStyle w:val="Hyperlink"/>
          </w:rPr>
          <w:t>Contribution of the shares of Univeg</w:t>
        </w:r>
        <w:r w:rsidR="00304A20">
          <w:rPr>
            <w:webHidden/>
          </w:rPr>
          <w:tab/>
        </w:r>
        <w:r w:rsidR="00304A20">
          <w:rPr>
            <w:webHidden/>
          </w:rPr>
          <w:fldChar w:fldCharType="begin"/>
        </w:r>
        <w:r w:rsidR="00304A20">
          <w:rPr>
            <w:webHidden/>
          </w:rPr>
          <w:instrText xml:space="preserve"> PAGEREF _Toc420593846 \h </w:instrText>
        </w:r>
        <w:r w:rsidR="00304A20">
          <w:rPr>
            <w:webHidden/>
          </w:rPr>
        </w:r>
        <w:r w:rsidR="00304A20">
          <w:rPr>
            <w:webHidden/>
          </w:rPr>
          <w:fldChar w:fldCharType="separate"/>
        </w:r>
        <w:r w:rsidR="00304A20">
          <w:rPr>
            <w:webHidden/>
          </w:rPr>
          <w:t>99</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47" w:history="1">
        <w:r w:rsidR="00304A20" w:rsidRPr="00A245C5">
          <w:rPr>
            <w:rStyle w:val="Hyperlink"/>
          </w:rPr>
          <w:t>4.2</w:t>
        </w:r>
        <w:r w:rsidR="00304A20" w:rsidRPr="003D1D9A">
          <w:rPr>
            <w:rFonts w:ascii="Calibri" w:eastAsia="SimSun" w:hAnsi="Calibri"/>
            <w:smallCaps w:val="0"/>
            <w:sz w:val="22"/>
            <w:szCs w:val="22"/>
            <w:lang w:eastAsia="en-GB"/>
          </w:rPr>
          <w:tab/>
        </w:r>
        <w:r w:rsidR="00304A20" w:rsidRPr="00A245C5">
          <w:rPr>
            <w:rStyle w:val="Hyperlink"/>
          </w:rPr>
          <w:t>Contribution of the shares of Peatinvest</w:t>
        </w:r>
        <w:r w:rsidR="00304A20">
          <w:rPr>
            <w:webHidden/>
          </w:rPr>
          <w:tab/>
        </w:r>
        <w:r w:rsidR="00304A20">
          <w:rPr>
            <w:webHidden/>
          </w:rPr>
          <w:fldChar w:fldCharType="begin"/>
        </w:r>
        <w:r w:rsidR="00304A20">
          <w:rPr>
            <w:webHidden/>
          </w:rPr>
          <w:instrText xml:space="preserve"> PAGEREF _Toc420593847 \h </w:instrText>
        </w:r>
        <w:r w:rsidR="00304A20">
          <w:rPr>
            <w:webHidden/>
          </w:rPr>
        </w:r>
        <w:r w:rsidR="00304A20">
          <w:rPr>
            <w:webHidden/>
          </w:rPr>
          <w:fldChar w:fldCharType="separate"/>
        </w:r>
        <w:r w:rsidR="00304A20">
          <w:rPr>
            <w:webHidden/>
          </w:rPr>
          <w:t>101</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48" w:history="1">
        <w:r w:rsidR="00304A20" w:rsidRPr="00A245C5">
          <w:rPr>
            <w:rStyle w:val="Hyperlink"/>
          </w:rPr>
          <w:t>4.3</w:t>
        </w:r>
        <w:r w:rsidR="00304A20" w:rsidRPr="003D1D9A">
          <w:rPr>
            <w:rFonts w:ascii="Calibri" w:eastAsia="SimSun" w:hAnsi="Calibri"/>
            <w:smallCaps w:val="0"/>
            <w:sz w:val="22"/>
            <w:szCs w:val="22"/>
            <w:lang w:eastAsia="en-GB"/>
          </w:rPr>
          <w:tab/>
        </w:r>
        <w:r w:rsidR="00304A20" w:rsidRPr="00A245C5">
          <w:rPr>
            <w:rStyle w:val="Hyperlink"/>
          </w:rPr>
          <w:t>Tax consequences of the Contributions</w:t>
        </w:r>
        <w:r w:rsidR="00304A20">
          <w:rPr>
            <w:webHidden/>
          </w:rPr>
          <w:tab/>
        </w:r>
        <w:r w:rsidR="00304A20">
          <w:rPr>
            <w:webHidden/>
          </w:rPr>
          <w:fldChar w:fldCharType="begin"/>
        </w:r>
        <w:r w:rsidR="00304A20">
          <w:rPr>
            <w:webHidden/>
          </w:rPr>
          <w:instrText xml:space="preserve"> PAGEREF _Toc420593848 \h </w:instrText>
        </w:r>
        <w:r w:rsidR="00304A20">
          <w:rPr>
            <w:webHidden/>
          </w:rPr>
        </w:r>
        <w:r w:rsidR="00304A20">
          <w:rPr>
            <w:webHidden/>
          </w:rPr>
          <w:fldChar w:fldCharType="separate"/>
        </w:r>
        <w:r w:rsidR="00304A20">
          <w:rPr>
            <w:webHidden/>
          </w:rPr>
          <w:t>102</w:t>
        </w:r>
        <w:r w:rsidR="00304A20">
          <w:rPr>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849" w:history="1">
        <w:r w:rsidR="00304A20" w:rsidRPr="00A245C5">
          <w:rPr>
            <w:rStyle w:val="Hyperlink"/>
            <w:noProof/>
          </w:rPr>
          <w:t>5.</w:t>
        </w:r>
        <w:r w:rsidR="00304A20" w:rsidRPr="003D1D9A">
          <w:rPr>
            <w:rFonts w:ascii="Calibri" w:eastAsia="SimSun" w:hAnsi="Calibri"/>
            <w:caps w:val="0"/>
            <w:noProof/>
            <w:sz w:val="22"/>
            <w:szCs w:val="22"/>
            <w:lang w:eastAsia="en-GB"/>
          </w:rPr>
          <w:tab/>
        </w:r>
        <w:r w:rsidR="00304A20" w:rsidRPr="00A245C5">
          <w:rPr>
            <w:rStyle w:val="Hyperlink"/>
            <w:noProof/>
          </w:rPr>
          <w:t>Listing and delivery of the New Shares resulting from the Contributions</w:t>
        </w:r>
        <w:r w:rsidR="00304A20">
          <w:rPr>
            <w:noProof/>
            <w:webHidden/>
          </w:rPr>
          <w:tab/>
        </w:r>
        <w:r w:rsidR="00304A20">
          <w:rPr>
            <w:noProof/>
            <w:webHidden/>
          </w:rPr>
          <w:fldChar w:fldCharType="begin"/>
        </w:r>
        <w:r w:rsidR="00304A20">
          <w:rPr>
            <w:noProof/>
            <w:webHidden/>
          </w:rPr>
          <w:instrText xml:space="preserve"> PAGEREF _Toc420593849 \h </w:instrText>
        </w:r>
        <w:r w:rsidR="00304A20">
          <w:rPr>
            <w:noProof/>
            <w:webHidden/>
          </w:rPr>
        </w:r>
        <w:r w:rsidR="00304A20">
          <w:rPr>
            <w:noProof/>
            <w:webHidden/>
          </w:rPr>
          <w:fldChar w:fldCharType="separate"/>
        </w:r>
        <w:r w:rsidR="00304A20">
          <w:rPr>
            <w:noProof/>
            <w:webHidden/>
          </w:rPr>
          <w:t>102</w:t>
        </w:r>
        <w:r w:rsidR="00304A20">
          <w:rPr>
            <w:noProof/>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50" w:history="1">
        <w:r w:rsidR="00304A20" w:rsidRPr="00A245C5">
          <w:rPr>
            <w:rStyle w:val="Hyperlink"/>
          </w:rPr>
          <w:t>5.1</w:t>
        </w:r>
        <w:r w:rsidR="00304A20" w:rsidRPr="003D1D9A">
          <w:rPr>
            <w:rFonts w:ascii="Calibri" w:eastAsia="SimSun" w:hAnsi="Calibri"/>
            <w:smallCaps w:val="0"/>
            <w:sz w:val="22"/>
            <w:szCs w:val="22"/>
            <w:lang w:eastAsia="en-GB"/>
          </w:rPr>
          <w:tab/>
        </w:r>
        <w:r w:rsidR="00304A20" w:rsidRPr="00A245C5">
          <w:rPr>
            <w:rStyle w:val="Hyperlink"/>
          </w:rPr>
          <w:t>Listing and general information</w:t>
        </w:r>
        <w:r w:rsidR="00304A20">
          <w:rPr>
            <w:webHidden/>
          </w:rPr>
          <w:tab/>
        </w:r>
        <w:r w:rsidR="00304A20">
          <w:rPr>
            <w:webHidden/>
          </w:rPr>
          <w:fldChar w:fldCharType="begin"/>
        </w:r>
        <w:r w:rsidR="00304A20">
          <w:rPr>
            <w:webHidden/>
          </w:rPr>
          <w:instrText xml:space="preserve"> PAGEREF _Toc420593850 \h </w:instrText>
        </w:r>
        <w:r w:rsidR="00304A20">
          <w:rPr>
            <w:webHidden/>
          </w:rPr>
        </w:r>
        <w:r w:rsidR="00304A20">
          <w:rPr>
            <w:webHidden/>
          </w:rPr>
          <w:fldChar w:fldCharType="separate"/>
        </w:r>
        <w:r w:rsidR="00304A20">
          <w:rPr>
            <w:webHidden/>
          </w:rPr>
          <w:t>102</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51" w:history="1">
        <w:r w:rsidR="00304A20" w:rsidRPr="00A245C5">
          <w:rPr>
            <w:rStyle w:val="Hyperlink"/>
          </w:rPr>
          <w:t>5.2</w:t>
        </w:r>
        <w:r w:rsidR="00304A20" w:rsidRPr="003D1D9A">
          <w:rPr>
            <w:rFonts w:ascii="Calibri" w:eastAsia="SimSun" w:hAnsi="Calibri"/>
            <w:smallCaps w:val="0"/>
            <w:sz w:val="22"/>
            <w:szCs w:val="22"/>
            <w:lang w:eastAsia="en-GB"/>
          </w:rPr>
          <w:tab/>
        </w:r>
        <w:r w:rsidR="00304A20" w:rsidRPr="00A245C5">
          <w:rPr>
            <w:rStyle w:val="Hyperlink"/>
          </w:rPr>
          <w:t>Expenses of Greenyard Foods</w:t>
        </w:r>
        <w:r w:rsidR="00304A20">
          <w:rPr>
            <w:webHidden/>
          </w:rPr>
          <w:tab/>
        </w:r>
        <w:r w:rsidR="00304A20">
          <w:rPr>
            <w:webHidden/>
          </w:rPr>
          <w:fldChar w:fldCharType="begin"/>
        </w:r>
        <w:r w:rsidR="00304A20">
          <w:rPr>
            <w:webHidden/>
          </w:rPr>
          <w:instrText xml:space="preserve"> PAGEREF _Toc420593851 \h </w:instrText>
        </w:r>
        <w:r w:rsidR="00304A20">
          <w:rPr>
            <w:webHidden/>
          </w:rPr>
        </w:r>
        <w:r w:rsidR="00304A20">
          <w:rPr>
            <w:webHidden/>
          </w:rPr>
          <w:fldChar w:fldCharType="separate"/>
        </w:r>
        <w:r w:rsidR="00304A20">
          <w:rPr>
            <w:webHidden/>
          </w:rPr>
          <w:t>102</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52" w:history="1">
        <w:r w:rsidR="00304A20" w:rsidRPr="00A245C5">
          <w:rPr>
            <w:rStyle w:val="Hyperlink"/>
          </w:rPr>
          <w:t>5.3</w:t>
        </w:r>
        <w:r w:rsidR="00304A20" w:rsidRPr="003D1D9A">
          <w:rPr>
            <w:rFonts w:ascii="Calibri" w:eastAsia="SimSun" w:hAnsi="Calibri"/>
            <w:smallCaps w:val="0"/>
            <w:sz w:val="22"/>
            <w:szCs w:val="22"/>
            <w:lang w:eastAsia="en-GB"/>
          </w:rPr>
          <w:tab/>
        </w:r>
        <w:r w:rsidR="00304A20" w:rsidRPr="00A245C5">
          <w:rPr>
            <w:rStyle w:val="Hyperlink"/>
          </w:rPr>
          <w:t>Form of the New Shares and delivery</w:t>
        </w:r>
        <w:r w:rsidR="00304A20">
          <w:rPr>
            <w:webHidden/>
          </w:rPr>
          <w:tab/>
        </w:r>
        <w:r w:rsidR="00304A20">
          <w:rPr>
            <w:webHidden/>
          </w:rPr>
          <w:fldChar w:fldCharType="begin"/>
        </w:r>
        <w:r w:rsidR="00304A20">
          <w:rPr>
            <w:webHidden/>
          </w:rPr>
          <w:instrText xml:space="preserve"> PAGEREF _Toc420593852 \h </w:instrText>
        </w:r>
        <w:r w:rsidR="00304A20">
          <w:rPr>
            <w:webHidden/>
          </w:rPr>
        </w:r>
        <w:r w:rsidR="00304A20">
          <w:rPr>
            <w:webHidden/>
          </w:rPr>
          <w:fldChar w:fldCharType="separate"/>
        </w:r>
        <w:r w:rsidR="00304A20">
          <w:rPr>
            <w:webHidden/>
          </w:rPr>
          <w:t>102</w:t>
        </w:r>
        <w:r w:rsidR="00304A20">
          <w:rPr>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853" w:history="1">
        <w:r w:rsidR="00304A20" w:rsidRPr="00A245C5">
          <w:rPr>
            <w:rStyle w:val="Hyperlink"/>
            <w:noProof/>
          </w:rPr>
          <w:t>PART V: INFORMATION ABOUT the Combined GReenyard Foods Group</w:t>
        </w:r>
        <w:r w:rsidR="00C14169">
          <w:rPr>
            <w:rStyle w:val="Hyperlink"/>
            <w:noProof/>
          </w:rPr>
          <w:t xml:space="preserve"> </w:t>
        </w:r>
        <w:r w:rsidR="00304A20" w:rsidRPr="00A245C5">
          <w:rPr>
            <w:rStyle w:val="Hyperlink"/>
            <w:noProof/>
          </w:rPr>
          <w:t>upon completion of the Contributions</w:t>
        </w:r>
        <w:r w:rsidR="00304A20">
          <w:rPr>
            <w:noProof/>
            <w:webHidden/>
          </w:rPr>
          <w:tab/>
        </w:r>
        <w:r w:rsidR="00304A20">
          <w:rPr>
            <w:noProof/>
            <w:webHidden/>
          </w:rPr>
          <w:fldChar w:fldCharType="begin"/>
        </w:r>
        <w:r w:rsidR="00304A20">
          <w:rPr>
            <w:noProof/>
            <w:webHidden/>
          </w:rPr>
          <w:instrText xml:space="preserve"> PAGEREF _Toc420593853 \h </w:instrText>
        </w:r>
        <w:r w:rsidR="00304A20">
          <w:rPr>
            <w:noProof/>
            <w:webHidden/>
          </w:rPr>
        </w:r>
        <w:r w:rsidR="00304A20">
          <w:rPr>
            <w:noProof/>
            <w:webHidden/>
          </w:rPr>
          <w:fldChar w:fldCharType="separate"/>
        </w:r>
        <w:r w:rsidR="00304A20">
          <w:rPr>
            <w:noProof/>
            <w:webHidden/>
          </w:rPr>
          <w:t>104</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854" w:history="1">
        <w:r w:rsidR="00304A20" w:rsidRPr="00A245C5">
          <w:rPr>
            <w:rStyle w:val="Hyperlink"/>
            <w:noProof/>
          </w:rPr>
          <w:t>1.</w:t>
        </w:r>
        <w:r w:rsidR="00304A20" w:rsidRPr="003D1D9A">
          <w:rPr>
            <w:rFonts w:ascii="Calibri" w:eastAsia="SimSun" w:hAnsi="Calibri"/>
            <w:caps w:val="0"/>
            <w:noProof/>
            <w:sz w:val="22"/>
            <w:szCs w:val="22"/>
            <w:lang w:eastAsia="en-GB"/>
          </w:rPr>
          <w:tab/>
        </w:r>
        <w:r w:rsidR="00304A20" w:rsidRPr="00A245C5">
          <w:rPr>
            <w:rStyle w:val="Hyperlink"/>
            <w:noProof/>
          </w:rPr>
          <w:t>Overview</w:t>
        </w:r>
        <w:r w:rsidR="00304A20">
          <w:rPr>
            <w:noProof/>
            <w:webHidden/>
          </w:rPr>
          <w:tab/>
        </w:r>
        <w:r w:rsidR="00304A20">
          <w:rPr>
            <w:noProof/>
            <w:webHidden/>
          </w:rPr>
          <w:fldChar w:fldCharType="begin"/>
        </w:r>
        <w:r w:rsidR="00304A20">
          <w:rPr>
            <w:noProof/>
            <w:webHidden/>
          </w:rPr>
          <w:instrText xml:space="preserve"> PAGEREF _Toc420593854 \h </w:instrText>
        </w:r>
        <w:r w:rsidR="00304A20">
          <w:rPr>
            <w:noProof/>
            <w:webHidden/>
          </w:rPr>
        </w:r>
        <w:r w:rsidR="00304A20">
          <w:rPr>
            <w:noProof/>
            <w:webHidden/>
          </w:rPr>
          <w:fldChar w:fldCharType="separate"/>
        </w:r>
        <w:r w:rsidR="00304A20">
          <w:rPr>
            <w:noProof/>
            <w:webHidden/>
          </w:rPr>
          <w:t>104</w:t>
        </w:r>
        <w:r w:rsidR="00304A20">
          <w:rPr>
            <w:noProof/>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55" w:history="1">
        <w:r w:rsidR="00304A20" w:rsidRPr="00A245C5">
          <w:rPr>
            <w:rStyle w:val="Hyperlink"/>
          </w:rPr>
          <w:t>1.1</w:t>
        </w:r>
        <w:r w:rsidR="00304A20" w:rsidRPr="003D1D9A">
          <w:rPr>
            <w:rFonts w:ascii="Calibri" w:eastAsia="SimSun" w:hAnsi="Calibri"/>
            <w:smallCaps w:val="0"/>
            <w:sz w:val="22"/>
            <w:szCs w:val="22"/>
            <w:lang w:eastAsia="en-GB"/>
          </w:rPr>
          <w:tab/>
        </w:r>
        <w:r w:rsidR="00304A20" w:rsidRPr="00A245C5">
          <w:rPr>
            <w:rStyle w:val="Hyperlink"/>
          </w:rPr>
          <w:t>General</w:t>
        </w:r>
        <w:r w:rsidR="00304A20">
          <w:rPr>
            <w:webHidden/>
          </w:rPr>
          <w:tab/>
        </w:r>
        <w:r w:rsidR="00304A20">
          <w:rPr>
            <w:webHidden/>
          </w:rPr>
          <w:fldChar w:fldCharType="begin"/>
        </w:r>
        <w:r w:rsidR="00304A20">
          <w:rPr>
            <w:webHidden/>
          </w:rPr>
          <w:instrText xml:space="preserve"> PAGEREF _Toc420593855 \h </w:instrText>
        </w:r>
        <w:r w:rsidR="00304A20">
          <w:rPr>
            <w:webHidden/>
          </w:rPr>
        </w:r>
        <w:r w:rsidR="00304A20">
          <w:rPr>
            <w:webHidden/>
          </w:rPr>
          <w:fldChar w:fldCharType="separate"/>
        </w:r>
        <w:r w:rsidR="00304A20">
          <w:rPr>
            <w:webHidden/>
          </w:rPr>
          <w:t>104</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56" w:history="1">
        <w:r w:rsidR="00304A20" w:rsidRPr="00A245C5">
          <w:rPr>
            <w:rStyle w:val="Hyperlink"/>
          </w:rPr>
          <w:t>1.2</w:t>
        </w:r>
        <w:r w:rsidR="00304A20" w:rsidRPr="003D1D9A">
          <w:rPr>
            <w:rFonts w:ascii="Calibri" w:eastAsia="SimSun" w:hAnsi="Calibri"/>
            <w:smallCaps w:val="0"/>
            <w:sz w:val="22"/>
            <w:szCs w:val="22"/>
            <w:lang w:eastAsia="en-GB"/>
          </w:rPr>
          <w:tab/>
        </w:r>
        <w:r w:rsidR="00304A20" w:rsidRPr="00A245C5">
          <w:rPr>
            <w:rStyle w:val="Hyperlink"/>
          </w:rPr>
          <w:t>Business Overview</w:t>
        </w:r>
        <w:r w:rsidR="00304A20">
          <w:rPr>
            <w:webHidden/>
          </w:rPr>
          <w:tab/>
        </w:r>
        <w:r w:rsidR="00304A20">
          <w:rPr>
            <w:webHidden/>
          </w:rPr>
          <w:fldChar w:fldCharType="begin"/>
        </w:r>
        <w:r w:rsidR="00304A20">
          <w:rPr>
            <w:webHidden/>
          </w:rPr>
          <w:instrText xml:space="preserve"> PAGEREF _Toc420593856 \h </w:instrText>
        </w:r>
        <w:r w:rsidR="00304A20">
          <w:rPr>
            <w:webHidden/>
          </w:rPr>
        </w:r>
        <w:r w:rsidR="00304A20">
          <w:rPr>
            <w:webHidden/>
          </w:rPr>
          <w:fldChar w:fldCharType="separate"/>
        </w:r>
        <w:r w:rsidR="00304A20">
          <w:rPr>
            <w:webHidden/>
          </w:rPr>
          <w:t>104</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57" w:history="1">
        <w:r w:rsidR="00304A20" w:rsidRPr="00A245C5">
          <w:rPr>
            <w:rStyle w:val="Hyperlink"/>
          </w:rPr>
          <w:t>1.3</w:t>
        </w:r>
        <w:r w:rsidR="00304A20" w:rsidRPr="003D1D9A">
          <w:rPr>
            <w:rFonts w:ascii="Calibri" w:eastAsia="SimSun" w:hAnsi="Calibri"/>
            <w:smallCaps w:val="0"/>
            <w:sz w:val="22"/>
            <w:szCs w:val="22"/>
            <w:lang w:eastAsia="en-GB"/>
          </w:rPr>
          <w:tab/>
        </w:r>
        <w:r w:rsidR="00304A20" w:rsidRPr="00A245C5">
          <w:rPr>
            <w:rStyle w:val="Hyperlink"/>
          </w:rPr>
          <w:t>Shareholding structure, major shareholders and shareholders’ agreement</w:t>
        </w:r>
        <w:r w:rsidR="00304A20">
          <w:rPr>
            <w:webHidden/>
          </w:rPr>
          <w:tab/>
        </w:r>
        <w:r w:rsidR="00304A20">
          <w:rPr>
            <w:webHidden/>
          </w:rPr>
          <w:fldChar w:fldCharType="begin"/>
        </w:r>
        <w:r w:rsidR="00304A20">
          <w:rPr>
            <w:webHidden/>
          </w:rPr>
          <w:instrText xml:space="preserve"> PAGEREF _Toc420593857 \h </w:instrText>
        </w:r>
        <w:r w:rsidR="00304A20">
          <w:rPr>
            <w:webHidden/>
          </w:rPr>
        </w:r>
        <w:r w:rsidR="00304A20">
          <w:rPr>
            <w:webHidden/>
          </w:rPr>
          <w:fldChar w:fldCharType="separate"/>
        </w:r>
        <w:r w:rsidR="00304A20">
          <w:rPr>
            <w:webHidden/>
          </w:rPr>
          <w:t>104</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58" w:history="1">
        <w:r w:rsidR="00304A20" w:rsidRPr="00A245C5">
          <w:rPr>
            <w:rStyle w:val="Hyperlink"/>
          </w:rPr>
          <w:t>1.4</w:t>
        </w:r>
        <w:r w:rsidR="00304A20" w:rsidRPr="003D1D9A">
          <w:rPr>
            <w:rFonts w:ascii="Calibri" w:eastAsia="SimSun" w:hAnsi="Calibri"/>
            <w:smallCaps w:val="0"/>
            <w:sz w:val="22"/>
            <w:szCs w:val="22"/>
            <w:lang w:eastAsia="en-GB"/>
          </w:rPr>
          <w:tab/>
        </w:r>
        <w:r w:rsidR="00304A20" w:rsidRPr="00A245C5">
          <w:rPr>
            <w:rStyle w:val="Hyperlink"/>
          </w:rPr>
          <w:t>Group structure and chart</w:t>
        </w:r>
        <w:r w:rsidR="00304A20">
          <w:rPr>
            <w:webHidden/>
          </w:rPr>
          <w:tab/>
        </w:r>
        <w:r w:rsidR="00304A20">
          <w:rPr>
            <w:webHidden/>
          </w:rPr>
          <w:fldChar w:fldCharType="begin"/>
        </w:r>
        <w:r w:rsidR="00304A20">
          <w:rPr>
            <w:webHidden/>
          </w:rPr>
          <w:instrText xml:space="preserve"> PAGEREF _Toc420593858 \h </w:instrText>
        </w:r>
        <w:r w:rsidR="00304A20">
          <w:rPr>
            <w:webHidden/>
          </w:rPr>
        </w:r>
        <w:r w:rsidR="00304A20">
          <w:rPr>
            <w:webHidden/>
          </w:rPr>
          <w:fldChar w:fldCharType="separate"/>
        </w:r>
        <w:r w:rsidR="00304A20">
          <w:rPr>
            <w:webHidden/>
          </w:rPr>
          <w:t>106</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59" w:history="1">
        <w:r w:rsidR="00304A20" w:rsidRPr="00A245C5">
          <w:rPr>
            <w:rStyle w:val="Hyperlink"/>
          </w:rPr>
          <w:t>1.5</w:t>
        </w:r>
        <w:r w:rsidR="00304A20" w:rsidRPr="003D1D9A">
          <w:rPr>
            <w:rFonts w:ascii="Calibri" w:eastAsia="SimSun" w:hAnsi="Calibri"/>
            <w:smallCaps w:val="0"/>
            <w:sz w:val="22"/>
            <w:szCs w:val="22"/>
            <w:lang w:eastAsia="en-GB"/>
          </w:rPr>
          <w:tab/>
        </w:r>
        <w:r w:rsidR="00304A20" w:rsidRPr="00A245C5">
          <w:rPr>
            <w:rStyle w:val="Hyperlink"/>
          </w:rPr>
          <w:t>Information on the subsidiaries</w:t>
        </w:r>
        <w:r w:rsidR="00304A20">
          <w:rPr>
            <w:webHidden/>
          </w:rPr>
          <w:tab/>
        </w:r>
        <w:r w:rsidR="00304A20">
          <w:rPr>
            <w:webHidden/>
          </w:rPr>
          <w:fldChar w:fldCharType="begin"/>
        </w:r>
        <w:r w:rsidR="00304A20">
          <w:rPr>
            <w:webHidden/>
          </w:rPr>
          <w:instrText xml:space="preserve"> PAGEREF _Toc420593859 \h </w:instrText>
        </w:r>
        <w:r w:rsidR="00304A20">
          <w:rPr>
            <w:webHidden/>
          </w:rPr>
        </w:r>
        <w:r w:rsidR="00304A20">
          <w:rPr>
            <w:webHidden/>
          </w:rPr>
          <w:fldChar w:fldCharType="separate"/>
        </w:r>
        <w:r w:rsidR="00304A20">
          <w:rPr>
            <w:webHidden/>
          </w:rPr>
          <w:t>106</w:t>
        </w:r>
        <w:r w:rsidR="00304A20">
          <w:rPr>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860" w:history="1">
        <w:r w:rsidR="00304A20" w:rsidRPr="00A245C5">
          <w:rPr>
            <w:rStyle w:val="Hyperlink"/>
            <w:noProof/>
          </w:rPr>
          <w:t>2.</w:t>
        </w:r>
        <w:r w:rsidR="00304A20" w:rsidRPr="003D1D9A">
          <w:rPr>
            <w:rFonts w:ascii="Calibri" w:eastAsia="SimSun" w:hAnsi="Calibri"/>
            <w:caps w:val="0"/>
            <w:noProof/>
            <w:sz w:val="22"/>
            <w:szCs w:val="22"/>
            <w:lang w:eastAsia="en-GB"/>
          </w:rPr>
          <w:tab/>
        </w:r>
        <w:r w:rsidR="00304A20" w:rsidRPr="00A245C5">
          <w:rPr>
            <w:rStyle w:val="Hyperlink"/>
            <w:noProof/>
          </w:rPr>
          <w:t>Management and corporate governance of Greenyard Foods</w:t>
        </w:r>
        <w:r w:rsidR="00304A20">
          <w:rPr>
            <w:noProof/>
            <w:webHidden/>
          </w:rPr>
          <w:tab/>
        </w:r>
        <w:r w:rsidR="00304A20">
          <w:rPr>
            <w:noProof/>
            <w:webHidden/>
          </w:rPr>
          <w:fldChar w:fldCharType="begin"/>
        </w:r>
        <w:r w:rsidR="00304A20">
          <w:rPr>
            <w:noProof/>
            <w:webHidden/>
          </w:rPr>
          <w:instrText xml:space="preserve"> PAGEREF _Toc420593860 \h </w:instrText>
        </w:r>
        <w:r w:rsidR="00304A20">
          <w:rPr>
            <w:noProof/>
            <w:webHidden/>
          </w:rPr>
        </w:r>
        <w:r w:rsidR="00304A20">
          <w:rPr>
            <w:noProof/>
            <w:webHidden/>
          </w:rPr>
          <w:fldChar w:fldCharType="separate"/>
        </w:r>
        <w:r w:rsidR="00304A20">
          <w:rPr>
            <w:noProof/>
            <w:webHidden/>
          </w:rPr>
          <w:t>106</w:t>
        </w:r>
        <w:r w:rsidR="00304A20">
          <w:rPr>
            <w:noProof/>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61" w:history="1">
        <w:r w:rsidR="00304A20" w:rsidRPr="00A245C5">
          <w:rPr>
            <w:rStyle w:val="Hyperlink"/>
          </w:rPr>
          <w:t>2.1</w:t>
        </w:r>
        <w:r w:rsidR="00304A20" w:rsidRPr="003D1D9A">
          <w:rPr>
            <w:rFonts w:ascii="Calibri" w:eastAsia="SimSun" w:hAnsi="Calibri"/>
            <w:smallCaps w:val="0"/>
            <w:sz w:val="22"/>
            <w:szCs w:val="22"/>
            <w:lang w:eastAsia="en-GB"/>
          </w:rPr>
          <w:tab/>
        </w:r>
        <w:r w:rsidR="00304A20" w:rsidRPr="00A245C5">
          <w:rPr>
            <w:rStyle w:val="Hyperlink"/>
          </w:rPr>
          <w:t>Overview of corporate governance</w:t>
        </w:r>
        <w:r w:rsidR="00304A20">
          <w:rPr>
            <w:webHidden/>
          </w:rPr>
          <w:tab/>
        </w:r>
        <w:r w:rsidR="00304A20">
          <w:rPr>
            <w:webHidden/>
          </w:rPr>
          <w:fldChar w:fldCharType="begin"/>
        </w:r>
        <w:r w:rsidR="00304A20">
          <w:rPr>
            <w:webHidden/>
          </w:rPr>
          <w:instrText xml:space="preserve"> PAGEREF _Toc420593861 \h </w:instrText>
        </w:r>
        <w:r w:rsidR="00304A20">
          <w:rPr>
            <w:webHidden/>
          </w:rPr>
        </w:r>
        <w:r w:rsidR="00304A20">
          <w:rPr>
            <w:webHidden/>
          </w:rPr>
          <w:fldChar w:fldCharType="separate"/>
        </w:r>
        <w:r w:rsidR="00304A20">
          <w:rPr>
            <w:webHidden/>
          </w:rPr>
          <w:t>106</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62" w:history="1">
        <w:r w:rsidR="00304A20" w:rsidRPr="00A245C5">
          <w:rPr>
            <w:rStyle w:val="Hyperlink"/>
          </w:rPr>
          <w:t>2.2</w:t>
        </w:r>
        <w:r w:rsidR="00304A20" w:rsidRPr="003D1D9A">
          <w:rPr>
            <w:rFonts w:ascii="Calibri" w:eastAsia="SimSun" w:hAnsi="Calibri"/>
            <w:smallCaps w:val="0"/>
            <w:sz w:val="22"/>
            <w:szCs w:val="22"/>
            <w:lang w:eastAsia="en-GB"/>
          </w:rPr>
          <w:tab/>
        </w:r>
        <w:r w:rsidR="00304A20" w:rsidRPr="00A245C5">
          <w:rPr>
            <w:rStyle w:val="Hyperlink"/>
          </w:rPr>
          <w:t>Board of Directors and Executive Comittee</w:t>
        </w:r>
        <w:r w:rsidR="00304A20">
          <w:rPr>
            <w:webHidden/>
          </w:rPr>
          <w:tab/>
        </w:r>
        <w:r w:rsidR="00304A20">
          <w:rPr>
            <w:webHidden/>
          </w:rPr>
          <w:fldChar w:fldCharType="begin"/>
        </w:r>
        <w:r w:rsidR="00304A20">
          <w:rPr>
            <w:webHidden/>
          </w:rPr>
          <w:instrText xml:space="preserve"> PAGEREF _Toc420593862 \h </w:instrText>
        </w:r>
        <w:r w:rsidR="00304A20">
          <w:rPr>
            <w:webHidden/>
          </w:rPr>
        </w:r>
        <w:r w:rsidR="00304A20">
          <w:rPr>
            <w:webHidden/>
          </w:rPr>
          <w:fldChar w:fldCharType="separate"/>
        </w:r>
        <w:r w:rsidR="00304A20">
          <w:rPr>
            <w:webHidden/>
          </w:rPr>
          <w:t>107</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63" w:history="1">
        <w:r w:rsidR="00304A20" w:rsidRPr="00A245C5">
          <w:rPr>
            <w:rStyle w:val="Hyperlink"/>
          </w:rPr>
          <w:t>2.3</w:t>
        </w:r>
        <w:r w:rsidR="00304A20" w:rsidRPr="003D1D9A">
          <w:rPr>
            <w:rFonts w:ascii="Calibri" w:eastAsia="SimSun" w:hAnsi="Calibri"/>
            <w:smallCaps w:val="0"/>
            <w:sz w:val="22"/>
            <w:szCs w:val="22"/>
            <w:lang w:eastAsia="en-GB"/>
          </w:rPr>
          <w:tab/>
        </w:r>
        <w:r w:rsidR="00304A20" w:rsidRPr="00A245C5">
          <w:rPr>
            <w:rStyle w:val="Hyperlink"/>
          </w:rPr>
          <w:t>Committees of the Board</w:t>
        </w:r>
        <w:r w:rsidR="00304A20">
          <w:rPr>
            <w:webHidden/>
          </w:rPr>
          <w:tab/>
        </w:r>
        <w:r w:rsidR="00304A20">
          <w:rPr>
            <w:webHidden/>
          </w:rPr>
          <w:fldChar w:fldCharType="begin"/>
        </w:r>
        <w:r w:rsidR="00304A20">
          <w:rPr>
            <w:webHidden/>
          </w:rPr>
          <w:instrText xml:space="preserve"> PAGEREF _Toc420593863 \h </w:instrText>
        </w:r>
        <w:r w:rsidR="00304A20">
          <w:rPr>
            <w:webHidden/>
          </w:rPr>
        </w:r>
        <w:r w:rsidR="00304A20">
          <w:rPr>
            <w:webHidden/>
          </w:rPr>
          <w:fldChar w:fldCharType="separate"/>
        </w:r>
        <w:r w:rsidR="00304A20">
          <w:rPr>
            <w:webHidden/>
          </w:rPr>
          <w:t>121</w:t>
        </w:r>
        <w:r w:rsidR="00304A20">
          <w:rPr>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864" w:history="1">
        <w:r w:rsidR="00304A20" w:rsidRPr="00A245C5">
          <w:rPr>
            <w:rStyle w:val="Hyperlink"/>
            <w:noProof/>
          </w:rPr>
          <w:t>3.</w:t>
        </w:r>
        <w:r w:rsidR="00304A20" w:rsidRPr="003D1D9A">
          <w:rPr>
            <w:rFonts w:ascii="Calibri" w:eastAsia="SimSun" w:hAnsi="Calibri"/>
            <w:caps w:val="0"/>
            <w:noProof/>
            <w:sz w:val="22"/>
            <w:szCs w:val="22"/>
            <w:lang w:eastAsia="en-GB"/>
          </w:rPr>
          <w:tab/>
        </w:r>
        <w:r w:rsidR="00304A20" w:rsidRPr="00A245C5">
          <w:rPr>
            <w:rStyle w:val="Hyperlink"/>
            <w:noProof/>
          </w:rPr>
          <w:t>Employees</w:t>
        </w:r>
        <w:r w:rsidR="00304A20">
          <w:rPr>
            <w:noProof/>
            <w:webHidden/>
          </w:rPr>
          <w:tab/>
        </w:r>
        <w:r w:rsidR="00304A20">
          <w:rPr>
            <w:noProof/>
            <w:webHidden/>
          </w:rPr>
          <w:fldChar w:fldCharType="begin"/>
        </w:r>
        <w:r w:rsidR="00304A20">
          <w:rPr>
            <w:noProof/>
            <w:webHidden/>
          </w:rPr>
          <w:instrText xml:space="preserve"> PAGEREF _Toc420593864 \h </w:instrText>
        </w:r>
        <w:r w:rsidR="00304A20">
          <w:rPr>
            <w:noProof/>
            <w:webHidden/>
          </w:rPr>
        </w:r>
        <w:r w:rsidR="00304A20">
          <w:rPr>
            <w:noProof/>
            <w:webHidden/>
          </w:rPr>
          <w:fldChar w:fldCharType="separate"/>
        </w:r>
        <w:r w:rsidR="00304A20">
          <w:rPr>
            <w:noProof/>
            <w:webHidden/>
          </w:rPr>
          <w:t>124</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865" w:history="1">
        <w:r w:rsidR="00304A20" w:rsidRPr="00A245C5">
          <w:rPr>
            <w:rStyle w:val="Hyperlink"/>
            <w:noProof/>
          </w:rPr>
          <w:t>4.</w:t>
        </w:r>
        <w:r w:rsidR="00304A20" w:rsidRPr="003D1D9A">
          <w:rPr>
            <w:rFonts w:ascii="Calibri" w:eastAsia="SimSun" w:hAnsi="Calibri"/>
            <w:caps w:val="0"/>
            <w:noProof/>
            <w:sz w:val="22"/>
            <w:szCs w:val="22"/>
            <w:lang w:eastAsia="en-GB"/>
          </w:rPr>
          <w:tab/>
        </w:r>
        <w:r w:rsidR="00304A20" w:rsidRPr="00A245C5">
          <w:rPr>
            <w:rStyle w:val="Hyperlink"/>
            <w:noProof/>
          </w:rPr>
          <w:t>Properties</w:t>
        </w:r>
        <w:r w:rsidR="00304A20">
          <w:rPr>
            <w:noProof/>
            <w:webHidden/>
          </w:rPr>
          <w:tab/>
        </w:r>
        <w:r w:rsidR="00304A20">
          <w:rPr>
            <w:noProof/>
            <w:webHidden/>
          </w:rPr>
          <w:fldChar w:fldCharType="begin"/>
        </w:r>
        <w:r w:rsidR="00304A20">
          <w:rPr>
            <w:noProof/>
            <w:webHidden/>
          </w:rPr>
          <w:instrText xml:space="preserve"> PAGEREF _Toc420593865 \h </w:instrText>
        </w:r>
        <w:r w:rsidR="00304A20">
          <w:rPr>
            <w:noProof/>
            <w:webHidden/>
          </w:rPr>
        </w:r>
        <w:r w:rsidR="00304A20">
          <w:rPr>
            <w:noProof/>
            <w:webHidden/>
          </w:rPr>
          <w:fldChar w:fldCharType="separate"/>
        </w:r>
        <w:r w:rsidR="00304A20">
          <w:rPr>
            <w:noProof/>
            <w:webHidden/>
          </w:rPr>
          <w:t>124</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866" w:history="1">
        <w:r w:rsidR="00304A20" w:rsidRPr="00A245C5">
          <w:rPr>
            <w:rStyle w:val="Hyperlink"/>
            <w:noProof/>
          </w:rPr>
          <w:t>5.</w:t>
        </w:r>
        <w:r w:rsidR="00304A20" w:rsidRPr="003D1D9A">
          <w:rPr>
            <w:rFonts w:ascii="Calibri" w:eastAsia="SimSun" w:hAnsi="Calibri"/>
            <w:caps w:val="0"/>
            <w:noProof/>
            <w:sz w:val="22"/>
            <w:szCs w:val="22"/>
            <w:lang w:eastAsia="en-GB"/>
          </w:rPr>
          <w:tab/>
        </w:r>
        <w:r w:rsidR="00304A20" w:rsidRPr="00A245C5">
          <w:rPr>
            <w:rStyle w:val="Hyperlink"/>
            <w:noProof/>
          </w:rPr>
          <w:t>Research, development, patents and licences</w:t>
        </w:r>
        <w:r w:rsidR="00304A20">
          <w:rPr>
            <w:noProof/>
            <w:webHidden/>
          </w:rPr>
          <w:tab/>
        </w:r>
        <w:r w:rsidR="00304A20">
          <w:rPr>
            <w:noProof/>
            <w:webHidden/>
          </w:rPr>
          <w:fldChar w:fldCharType="begin"/>
        </w:r>
        <w:r w:rsidR="00304A20">
          <w:rPr>
            <w:noProof/>
            <w:webHidden/>
          </w:rPr>
          <w:instrText xml:space="preserve"> PAGEREF _Toc420593866 \h </w:instrText>
        </w:r>
        <w:r w:rsidR="00304A20">
          <w:rPr>
            <w:noProof/>
            <w:webHidden/>
          </w:rPr>
        </w:r>
        <w:r w:rsidR="00304A20">
          <w:rPr>
            <w:noProof/>
            <w:webHidden/>
          </w:rPr>
          <w:fldChar w:fldCharType="separate"/>
        </w:r>
        <w:r w:rsidR="00304A20">
          <w:rPr>
            <w:noProof/>
            <w:webHidden/>
          </w:rPr>
          <w:t>124</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867" w:history="1">
        <w:r w:rsidR="00304A20" w:rsidRPr="00A245C5">
          <w:rPr>
            <w:rStyle w:val="Hyperlink"/>
            <w:noProof/>
          </w:rPr>
          <w:t>6.</w:t>
        </w:r>
        <w:r w:rsidR="00304A20" w:rsidRPr="003D1D9A">
          <w:rPr>
            <w:rFonts w:ascii="Calibri" w:eastAsia="SimSun" w:hAnsi="Calibri"/>
            <w:caps w:val="0"/>
            <w:noProof/>
            <w:sz w:val="22"/>
            <w:szCs w:val="22"/>
            <w:lang w:eastAsia="en-GB"/>
          </w:rPr>
          <w:tab/>
        </w:r>
        <w:r w:rsidR="00304A20" w:rsidRPr="00A245C5">
          <w:rPr>
            <w:rStyle w:val="Hyperlink"/>
            <w:noProof/>
          </w:rPr>
          <w:t>Financial information concerning Greenyard Foods’s assets and liabilities, financial position and profits and losses</w:t>
        </w:r>
        <w:r w:rsidR="00304A20">
          <w:rPr>
            <w:noProof/>
            <w:webHidden/>
          </w:rPr>
          <w:tab/>
        </w:r>
        <w:r w:rsidR="00304A20">
          <w:rPr>
            <w:noProof/>
            <w:webHidden/>
          </w:rPr>
          <w:fldChar w:fldCharType="begin"/>
        </w:r>
        <w:r w:rsidR="00304A20">
          <w:rPr>
            <w:noProof/>
            <w:webHidden/>
          </w:rPr>
          <w:instrText xml:space="preserve"> PAGEREF _Toc420593867 \h </w:instrText>
        </w:r>
        <w:r w:rsidR="00304A20">
          <w:rPr>
            <w:noProof/>
            <w:webHidden/>
          </w:rPr>
        </w:r>
        <w:r w:rsidR="00304A20">
          <w:rPr>
            <w:noProof/>
            <w:webHidden/>
          </w:rPr>
          <w:fldChar w:fldCharType="separate"/>
        </w:r>
        <w:r w:rsidR="00304A20">
          <w:rPr>
            <w:noProof/>
            <w:webHidden/>
          </w:rPr>
          <w:t>125</w:t>
        </w:r>
        <w:r w:rsidR="00304A20">
          <w:rPr>
            <w:noProof/>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68" w:history="1">
        <w:r w:rsidR="00304A20" w:rsidRPr="00A245C5">
          <w:rPr>
            <w:rStyle w:val="Hyperlink"/>
          </w:rPr>
          <w:t>6.1</w:t>
        </w:r>
        <w:r w:rsidR="00304A20" w:rsidRPr="003D1D9A">
          <w:rPr>
            <w:rFonts w:ascii="Calibri" w:eastAsia="SimSun" w:hAnsi="Calibri"/>
            <w:smallCaps w:val="0"/>
            <w:sz w:val="22"/>
            <w:szCs w:val="22"/>
            <w:lang w:eastAsia="en-GB"/>
          </w:rPr>
          <w:tab/>
        </w:r>
        <w:r w:rsidR="00304A20" w:rsidRPr="00A245C5">
          <w:rPr>
            <w:rStyle w:val="Hyperlink"/>
          </w:rPr>
          <w:t>Selected consolidated pro forma information</w:t>
        </w:r>
        <w:r w:rsidR="00304A20">
          <w:rPr>
            <w:webHidden/>
          </w:rPr>
          <w:tab/>
        </w:r>
        <w:r w:rsidR="00304A20">
          <w:rPr>
            <w:webHidden/>
          </w:rPr>
          <w:fldChar w:fldCharType="begin"/>
        </w:r>
        <w:r w:rsidR="00304A20">
          <w:rPr>
            <w:webHidden/>
          </w:rPr>
          <w:instrText xml:space="preserve"> PAGEREF _Toc420593868 \h </w:instrText>
        </w:r>
        <w:r w:rsidR="00304A20">
          <w:rPr>
            <w:webHidden/>
          </w:rPr>
        </w:r>
        <w:r w:rsidR="00304A20">
          <w:rPr>
            <w:webHidden/>
          </w:rPr>
          <w:fldChar w:fldCharType="separate"/>
        </w:r>
        <w:r w:rsidR="00304A20">
          <w:rPr>
            <w:webHidden/>
          </w:rPr>
          <w:t>125</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69" w:history="1">
        <w:r w:rsidR="00304A20" w:rsidRPr="00A245C5">
          <w:rPr>
            <w:rStyle w:val="Hyperlink"/>
          </w:rPr>
          <w:t>6.2</w:t>
        </w:r>
        <w:r w:rsidR="00304A20" w:rsidRPr="003D1D9A">
          <w:rPr>
            <w:rFonts w:ascii="Calibri" w:eastAsia="SimSun" w:hAnsi="Calibri"/>
            <w:smallCaps w:val="0"/>
            <w:sz w:val="22"/>
            <w:szCs w:val="22"/>
            <w:lang w:eastAsia="en-GB"/>
          </w:rPr>
          <w:tab/>
        </w:r>
        <w:r w:rsidR="00304A20" w:rsidRPr="00A245C5">
          <w:rPr>
            <w:rStyle w:val="Hyperlink"/>
          </w:rPr>
          <w:t>Dividend policy</w:t>
        </w:r>
        <w:r w:rsidR="00304A20">
          <w:rPr>
            <w:webHidden/>
          </w:rPr>
          <w:tab/>
        </w:r>
        <w:r w:rsidR="00304A20">
          <w:rPr>
            <w:webHidden/>
          </w:rPr>
          <w:fldChar w:fldCharType="begin"/>
        </w:r>
        <w:r w:rsidR="00304A20">
          <w:rPr>
            <w:webHidden/>
          </w:rPr>
          <w:instrText xml:space="preserve"> PAGEREF _Toc420593869 \h </w:instrText>
        </w:r>
        <w:r w:rsidR="00304A20">
          <w:rPr>
            <w:webHidden/>
          </w:rPr>
        </w:r>
        <w:r w:rsidR="00304A20">
          <w:rPr>
            <w:webHidden/>
          </w:rPr>
          <w:fldChar w:fldCharType="separate"/>
        </w:r>
        <w:r w:rsidR="00304A20">
          <w:rPr>
            <w:webHidden/>
          </w:rPr>
          <w:t>125</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70" w:history="1">
        <w:r w:rsidR="00304A20" w:rsidRPr="00A245C5">
          <w:rPr>
            <w:rStyle w:val="Hyperlink"/>
          </w:rPr>
          <w:t>6.3</w:t>
        </w:r>
        <w:r w:rsidR="00304A20" w:rsidRPr="003D1D9A">
          <w:rPr>
            <w:rFonts w:ascii="Calibri" w:eastAsia="SimSun" w:hAnsi="Calibri"/>
            <w:smallCaps w:val="0"/>
            <w:sz w:val="22"/>
            <w:szCs w:val="22"/>
            <w:lang w:eastAsia="en-GB"/>
          </w:rPr>
          <w:tab/>
        </w:r>
        <w:r w:rsidR="00304A20" w:rsidRPr="00A245C5">
          <w:rPr>
            <w:rStyle w:val="Hyperlink"/>
          </w:rPr>
          <w:t>Legal and arbitration proceedings</w:t>
        </w:r>
        <w:r w:rsidR="00304A20">
          <w:rPr>
            <w:webHidden/>
          </w:rPr>
          <w:tab/>
        </w:r>
        <w:r w:rsidR="00304A20">
          <w:rPr>
            <w:webHidden/>
          </w:rPr>
          <w:fldChar w:fldCharType="begin"/>
        </w:r>
        <w:r w:rsidR="00304A20">
          <w:rPr>
            <w:webHidden/>
          </w:rPr>
          <w:instrText xml:space="preserve"> PAGEREF _Toc420593870 \h </w:instrText>
        </w:r>
        <w:r w:rsidR="00304A20">
          <w:rPr>
            <w:webHidden/>
          </w:rPr>
        </w:r>
        <w:r w:rsidR="00304A20">
          <w:rPr>
            <w:webHidden/>
          </w:rPr>
          <w:fldChar w:fldCharType="separate"/>
        </w:r>
        <w:r w:rsidR="00304A20">
          <w:rPr>
            <w:webHidden/>
          </w:rPr>
          <w:t>125</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71" w:history="1">
        <w:r w:rsidR="00304A20" w:rsidRPr="00A245C5">
          <w:rPr>
            <w:rStyle w:val="Hyperlink"/>
          </w:rPr>
          <w:t>6.4</w:t>
        </w:r>
        <w:r w:rsidR="00304A20" w:rsidRPr="003D1D9A">
          <w:rPr>
            <w:rFonts w:ascii="Calibri" w:eastAsia="SimSun" w:hAnsi="Calibri"/>
            <w:smallCaps w:val="0"/>
            <w:sz w:val="22"/>
            <w:szCs w:val="22"/>
            <w:lang w:eastAsia="en-GB"/>
          </w:rPr>
          <w:tab/>
        </w:r>
        <w:r w:rsidR="00304A20" w:rsidRPr="00A245C5">
          <w:rPr>
            <w:rStyle w:val="Hyperlink"/>
          </w:rPr>
          <w:t>Significant changes in the financial or trading position</w:t>
        </w:r>
        <w:r w:rsidR="00304A20">
          <w:rPr>
            <w:webHidden/>
          </w:rPr>
          <w:tab/>
        </w:r>
        <w:r w:rsidR="00304A20">
          <w:rPr>
            <w:webHidden/>
          </w:rPr>
          <w:fldChar w:fldCharType="begin"/>
        </w:r>
        <w:r w:rsidR="00304A20">
          <w:rPr>
            <w:webHidden/>
          </w:rPr>
          <w:instrText xml:space="preserve"> PAGEREF _Toc420593871 \h </w:instrText>
        </w:r>
        <w:r w:rsidR="00304A20">
          <w:rPr>
            <w:webHidden/>
          </w:rPr>
        </w:r>
        <w:r w:rsidR="00304A20">
          <w:rPr>
            <w:webHidden/>
          </w:rPr>
          <w:fldChar w:fldCharType="separate"/>
        </w:r>
        <w:r w:rsidR="00304A20">
          <w:rPr>
            <w:webHidden/>
          </w:rPr>
          <w:t>126</w:t>
        </w:r>
        <w:r w:rsidR="00304A20">
          <w:rPr>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872" w:history="1">
        <w:r w:rsidR="00304A20" w:rsidRPr="00A245C5">
          <w:rPr>
            <w:rStyle w:val="Hyperlink"/>
            <w:noProof/>
          </w:rPr>
          <w:t>7.</w:t>
        </w:r>
        <w:r w:rsidR="00304A20" w:rsidRPr="003D1D9A">
          <w:rPr>
            <w:rFonts w:ascii="Calibri" w:eastAsia="SimSun" w:hAnsi="Calibri"/>
            <w:caps w:val="0"/>
            <w:noProof/>
            <w:sz w:val="22"/>
            <w:szCs w:val="22"/>
            <w:lang w:eastAsia="en-GB"/>
          </w:rPr>
          <w:tab/>
        </w:r>
        <w:r w:rsidR="00304A20" w:rsidRPr="00A245C5">
          <w:rPr>
            <w:rStyle w:val="Hyperlink"/>
            <w:noProof/>
          </w:rPr>
          <w:t>Information on trends</w:t>
        </w:r>
        <w:r w:rsidR="00304A20">
          <w:rPr>
            <w:noProof/>
            <w:webHidden/>
          </w:rPr>
          <w:tab/>
        </w:r>
        <w:r w:rsidR="00304A20">
          <w:rPr>
            <w:noProof/>
            <w:webHidden/>
          </w:rPr>
          <w:fldChar w:fldCharType="begin"/>
        </w:r>
        <w:r w:rsidR="00304A20">
          <w:rPr>
            <w:noProof/>
            <w:webHidden/>
          </w:rPr>
          <w:instrText xml:space="preserve"> PAGEREF _Toc420593872 \h </w:instrText>
        </w:r>
        <w:r w:rsidR="00304A20">
          <w:rPr>
            <w:noProof/>
            <w:webHidden/>
          </w:rPr>
        </w:r>
        <w:r w:rsidR="00304A20">
          <w:rPr>
            <w:noProof/>
            <w:webHidden/>
          </w:rPr>
          <w:fldChar w:fldCharType="separate"/>
        </w:r>
        <w:r w:rsidR="00304A20">
          <w:rPr>
            <w:noProof/>
            <w:webHidden/>
          </w:rPr>
          <w:t>126</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873" w:history="1">
        <w:r w:rsidR="00304A20" w:rsidRPr="00A245C5">
          <w:rPr>
            <w:rStyle w:val="Hyperlink"/>
            <w:noProof/>
          </w:rPr>
          <w:t>8.</w:t>
        </w:r>
        <w:r w:rsidR="00304A20" w:rsidRPr="003D1D9A">
          <w:rPr>
            <w:rFonts w:ascii="Calibri" w:eastAsia="SimSun" w:hAnsi="Calibri"/>
            <w:caps w:val="0"/>
            <w:noProof/>
            <w:sz w:val="22"/>
            <w:szCs w:val="22"/>
            <w:lang w:eastAsia="en-GB"/>
          </w:rPr>
          <w:tab/>
        </w:r>
        <w:r w:rsidR="00304A20" w:rsidRPr="00A245C5">
          <w:rPr>
            <w:rStyle w:val="Hyperlink"/>
            <w:noProof/>
          </w:rPr>
          <w:t>Material contracts</w:t>
        </w:r>
        <w:r w:rsidR="00304A20">
          <w:rPr>
            <w:noProof/>
            <w:webHidden/>
          </w:rPr>
          <w:tab/>
        </w:r>
        <w:r w:rsidR="00304A20">
          <w:rPr>
            <w:noProof/>
            <w:webHidden/>
          </w:rPr>
          <w:fldChar w:fldCharType="begin"/>
        </w:r>
        <w:r w:rsidR="00304A20">
          <w:rPr>
            <w:noProof/>
            <w:webHidden/>
          </w:rPr>
          <w:instrText xml:space="preserve"> PAGEREF _Toc420593873 \h </w:instrText>
        </w:r>
        <w:r w:rsidR="00304A20">
          <w:rPr>
            <w:noProof/>
            <w:webHidden/>
          </w:rPr>
        </w:r>
        <w:r w:rsidR="00304A20">
          <w:rPr>
            <w:noProof/>
            <w:webHidden/>
          </w:rPr>
          <w:fldChar w:fldCharType="separate"/>
        </w:r>
        <w:r w:rsidR="00304A20">
          <w:rPr>
            <w:noProof/>
            <w:webHidden/>
          </w:rPr>
          <w:t>126</w:t>
        </w:r>
        <w:r w:rsidR="00304A20">
          <w:rPr>
            <w:noProof/>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74" w:history="1">
        <w:r w:rsidR="00304A20" w:rsidRPr="00A245C5">
          <w:rPr>
            <w:rStyle w:val="Hyperlink"/>
          </w:rPr>
          <w:t>8.1</w:t>
        </w:r>
        <w:r w:rsidR="00304A20" w:rsidRPr="003D1D9A">
          <w:rPr>
            <w:rFonts w:ascii="Calibri" w:eastAsia="SimSun" w:hAnsi="Calibri"/>
            <w:smallCaps w:val="0"/>
            <w:sz w:val="22"/>
            <w:szCs w:val="22"/>
            <w:lang w:eastAsia="en-GB"/>
          </w:rPr>
          <w:tab/>
        </w:r>
        <w:r w:rsidR="00304A20" w:rsidRPr="00A245C5">
          <w:rPr>
            <w:rStyle w:val="Hyperlink"/>
          </w:rPr>
          <w:t>The Greenyard Foods Group</w:t>
        </w:r>
        <w:r w:rsidR="00304A20">
          <w:rPr>
            <w:webHidden/>
          </w:rPr>
          <w:tab/>
        </w:r>
        <w:r w:rsidR="00304A20">
          <w:rPr>
            <w:webHidden/>
          </w:rPr>
          <w:fldChar w:fldCharType="begin"/>
        </w:r>
        <w:r w:rsidR="00304A20">
          <w:rPr>
            <w:webHidden/>
          </w:rPr>
          <w:instrText xml:space="preserve"> PAGEREF _Toc420593874 \h </w:instrText>
        </w:r>
        <w:r w:rsidR="00304A20">
          <w:rPr>
            <w:webHidden/>
          </w:rPr>
        </w:r>
        <w:r w:rsidR="00304A20">
          <w:rPr>
            <w:webHidden/>
          </w:rPr>
          <w:fldChar w:fldCharType="separate"/>
        </w:r>
        <w:r w:rsidR="00304A20">
          <w:rPr>
            <w:webHidden/>
          </w:rPr>
          <w:t>126</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75" w:history="1">
        <w:r w:rsidR="00304A20" w:rsidRPr="00A245C5">
          <w:rPr>
            <w:rStyle w:val="Hyperlink"/>
          </w:rPr>
          <w:t>8.2</w:t>
        </w:r>
        <w:r w:rsidR="00304A20" w:rsidRPr="003D1D9A">
          <w:rPr>
            <w:rFonts w:ascii="Calibri" w:eastAsia="SimSun" w:hAnsi="Calibri"/>
            <w:smallCaps w:val="0"/>
            <w:sz w:val="22"/>
            <w:szCs w:val="22"/>
            <w:lang w:eastAsia="en-GB"/>
          </w:rPr>
          <w:tab/>
        </w:r>
        <w:r w:rsidR="00304A20" w:rsidRPr="00A245C5">
          <w:rPr>
            <w:rStyle w:val="Hyperlink"/>
          </w:rPr>
          <w:t>The Univeg Group</w:t>
        </w:r>
        <w:r w:rsidR="00304A20">
          <w:rPr>
            <w:webHidden/>
          </w:rPr>
          <w:tab/>
        </w:r>
        <w:r w:rsidR="00304A20">
          <w:rPr>
            <w:webHidden/>
          </w:rPr>
          <w:fldChar w:fldCharType="begin"/>
        </w:r>
        <w:r w:rsidR="00304A20">
          <w:rPr>
            <w:webHidden/>
          </w:rPr>
          <w:instrText xml:space="preserve"> PAGEREF _Toc420593875 \h </w:instrText>
        </w:r>
        <w:r w:rsidR="00304A20">
          <w:rPr>
            <w:webHidden/>
          </w:rPr>
        </w:r>
        <w:r w:rsidR="00304A20">
          <w:rPr>
            <w:webHidden/>
          </w:rPr>
          <w:fldChar w:fldCharType="separate"/>
        </w:r>
        <w:r w:rsidR="00304A20">
          <w:rPr>
            <w:webHidden/>
          </w:rPr>
          <w:t>126</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76" w:history="1">
        <w:r w:rsidR="00304A20" w:rsidRPr="00A245C5">
          <w:rPr>
            <w:rStyle w:val="Hyperlink"/>
          </w:rPr>
          <w:t>8.3</w:t>
        </w:r>
        <w:r w:rsidR="00304A20" w:rsidRPr="003D1D9A">
          <w:rPr>
            <w:rFonts w:ascii="Calibri" w:eastAsia="SimSun" w:hAnsi="Calibri"/>
            <w:smallCaps w:val="0"/>
            <w:sz w:val="22"/>
            <w:szCs w:val="22"/>
            <w:lang w:eastAsia="en-GB"/>
          </w:rPr>
          <w:tab/>
        </w:r>
        <w:r w:rsidR="00304A20" w:rsidRPr="00A245C5">
          <w:rPr>
            <w:rStyle w:val="Hyperlink"/>
          </w:rPr>
          <w:t>The Peatinvest Group</w:t>
        </w:r>
        <w:r w:rsidR="00304A20">
          <w:rPr>
            <w:webHidden/>
          </w:rPr>
          <w:tab/>
        </w:r>
        <w:r w:rsidR="00304A20">
          <w:rPr>
            <w:webHidden/>
          </w:rPr>
          <w:fldChar w:fldCharType="begin"/>
        </w:r>
        <w:r w:rsidR="00304A20">
          <w:rPr>
            <w:webHidden/>
          </w:rPr>
          <w:instrText xml:space="preserve"> PAGEREF _Toc420593876 \h </w:instrText>
        </w:r>
        <w:r w:rsidR="00304A20">
          <w:rPr>
            <w:webHidden/>
          </w:rPr>
        </w:r>
        <w:r w:rsidR="00304A20">
          <w:rPr>
            <w:webHidden/>
          </w:rPr>
          <w:fldChar w:fldCharType="separate"/>
        </w:r>
        <w:r w:rsidR="00304A20">
          <w:rPr>
            <w:webHidden/>
          </w:rPr>
          <w:t>133</w:t>
        </w:r>
        <w:r w:rsidR="00304A20">
          <w:rPr>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877" w:history="1">
        <w:r w:rsidR="00304A20" w:rsidRPr="00A245C5">
          <w:rPr>
            <w:rStyle w:val="Hyperlink"/>
            <w:noProof/>
          </w:rPr>
          <w:t>PART VI: OPERATING AND FINANCIAL REVIEW</w:t>
        </w:r>
        <w:r w:rsidR="00304A20">
          <w:rPr>
            <w:noProof/>
            <w:webHidden/>
          </w:rPr>
          <w:tab/>
        </w:r>
        <w:r w:rsidR="00304A20">
          <w:rPr>
            <w:noProof/>
            <w:webHidden/>
          </w:rPr>
          <w:fldChar w:fldCharType="begin"/>
        </w:r>
        <w:r w:rsidR="00304A20">
          <w:rPr>
            <w:noProof/>
            <w:webHidden/>
          </w:rPr>
          <w:instrText xml:space="preserve"> PAGEREF _Toc420593877 \h </w:instrText>
        </w:r>
        <w:r w:rsidR="00304A20">
          <w:rPr>
            <w:noProof/>
            <w:webHidden/>
          </w:rPr>
        </w:r>
        <w:r w:rsidR="00304A20">
          <w:rPr>
            <w:noProof/>
            <w:webHidden/>
          </w:rPr>
          <w:fldChar w:fldCharType="separate"/>
        </w:r>
        <w:r w:rsidR="00304A20">
          <w:rPr>
            <w:noProof/>
            <w:webHidden/>
          </w:rPr>
          <w:t>134</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878" w:history="1">
        <w:r w:rsidR="00304A20" w:rsidRPr="00A245C5">
          <w:rPr>
            <w:rStyle w:val="Hyperlink"/>
            <w:noProof/>
          </w:rPr>
          <w:t>1.</w:t>
        </w:r>
        <w:r w:rsidR="00304A20" w:rsidRPr="003D1D9A">
          <w:rPr>
            <w:rFonts w:ascii="Calibri" w:eastAsia="SimSun" w:hAnsi="Calibri"/>
            <w:caps w:val="0"/>
            <w:noProof/>
            <w:sz w:val="22"/>
            <w:szCs w:val="22"/>
            <w:lang w:eastAsia="en-GB"/>
          </w:rPr>
          <w:tab/>
        </w:r>
        <w:r w:rsidR="00304A20" w:rsidRPr="00A245C5">
          <w:rPr>
            <w:rStyle w:val="Hyperlink"/>
            <w:noProof/>
          </w:rPr>
          <w:t>The Greenyard Foods Group</w:t>
        </w:r>
        <w:r w:rsidR="00304A20">
          <w:rPr>
            <w:noProof/>
            <w:webHidden/>
          </w:rPr>
          <w:tab/>
        </w:r>
        <w:r w:rsidR="00304A20">
          <w:rPr>
            <w:noProof/>
            <w:webHidden/>
          </w:rPr>
          <w:fldChar w:fldCharType="begin"/>
        </w:r>
        <w:r w:rsidR="00304A20">
          <w:rPr>
            <w:noProof/>
            <w:webHidden/>
          </w:rPr>
          <w:instrText xml:space="preserve"> PAGEREF _Toc420593878 \h </w:instrText>
        </w:r>
        <w:r w:rsidR="00304A20">
          <w:rPr>
            <w:noProof/>
            <w:webHidden/>
          </w:rPr>
        </w:r>
        <w:r w:rsidR="00304A20">
          <w:rPr>
            <w:noProof/>
            <w:webHidden/>
          </w:rPr>
          <w:fldChar w:fldCharType="separate"/>
        </w:r>
        <w:r w:rsidR="00304A20">
          <w:rPr>
            <w:noProof/>
            <w:webHidden/>
          </w:rPr>
          <w:t>134</w:t>
        </w:r>
        <w:r w:rsidR="00304A20">
          <w:rPr>
            <w:noProof/>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79" w:history="1">
        <w:r w:rsidR="00304A20" w:rsidRPr="00A245C5">
          <w:rPr>
            <w:rStyle w:val="Hyperlink"/>
          </w:rPr>
          <w:t>1.1</w:t>
        </w:r>
        <w:r w:rsidR="00304A20" w:rsidRPr="003D1D9A">
          <w:rPr>
            <w:rFonts w:ascii="Calibri" w:eastAsia="SimSun" w:hAnsi="Calibri"/>
            <w:smallCaps w:val="0"/>
            <w:sz w:val="22"/>
            <w:szCs w:val="22"/>
            <w:lang w:eastAsia="en-GB"/>
          </w:rPr>
          <w:tab/>
        </w:r>
        <w:r w:rsidR="00304A20" w:rsidRPr="00A245C5">
          <w:rPr>
            <w:rStyle w:val="Hyperlink"/>
          </w:rPr>
          <w:t>Overview</w:t>
        </w:r>
        <w:r w:rsidR="00304A20">
          <w:rPr>
            <w:webHidden/>
          </w:rPr>
          <w:tab/>
        </w:r>
        <w:r w:rsidR="00304A20">
          <w:rPr>
            <w:webHidden/>
          </w:rPr>
          <w:fldChar w:fldCharType="begin"/>
        </w:r>
        <w:r w:rsidR="00304A20">
          <w:rPr>
            <w:webHidden/>
          </w:rPr>
          <w:instrText xml:space="preserve"> PAGEREF _Toc420593879 \h </w:instrText>
        </w:r>
        <w:r w:rsidR="00304A20">
          <w:rPr>
            <w:webHidden/>
          </w:rPr>
        </w:r>
        <w:r w:rsidR="00304A20">
          <w:rPr>
            <w:webHidden/>
          </w:rPr>
          <w:fldChar w:fldCharType="separate"/>
        </w:r>
        <w:r w:rsidR="00304A20">
          <w:rPr>
            <w:webHidden/>
          </w:rPr>
          <w:t>134</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80" w:history="1">
        <w:r w:rsidR="00304A20" w:rsidRPr="00A245C5">
          <w:rPr>
            <w:rStyle w:val="Hyperlink"/>
          </w:rPr>
          <w:t>1.2</w:t>
        </w:r>
        <w:r w:rsidR="00304A20" w:rsidRPr="003D1D9A">
          <w:rPr>
            <w:rFonts w:ascii="Calibri" w:eastAsia="SimSun" w:hAnsi="Calibri"/>
            <w:smallCaps w:val="0"/>
            <w:sz w:val="22"/>
            <w:szCs w:val="22"/>
            <w:lang w:eastAsia="en-GB"/>
          </w:rPr>
          <w:tab/>
        </w:r>
        <w:r w:rsidR="00304A20" w:rsidRPr="00A245C5">
          <w:rPr>
            <w:rStyle w:val="Hyperlink"/>
          </w:rPr>
          <w:t>Financial condition and recent events</w:t>
        </w:r>
        <w:r w:rsidR="00304A20">
          <w:rPr>
            <w:webHidden/>
          </w:rPr>
          <w:tab/>
        </w:r>
        <w:r w:rsidR="00304A20">
          <w:rPr>
            <w:webHidden/>
          </w:rPr>
          <w:fldChar w:fldCharType="begin"/>
        </w:r>
        <w:r w:rsidR="00304A20">
          <w:rPr>
            <w:webHidden/>
          </w:rPr>
          <w:instrText xml:space="preserve"> PAGEREF _Toc420593880 \h </w:instrText>
        </w:r>
        <w:r w:rsidR="00304A20">
          <w:rPr>
            <w:webHidden/>
          </w:rPr>
        </w:r>
        <w:r w:rsidR="00304A20">
          <w:rPr>
            <w:webHidden/>
          </w:rPr>
          <w:fldChar w:fldCharType="separate"/>
        </w:r>
        <w:r w:rsidR="00304A20">
          <w:rPr>
            <w:webHidden/>
          </w:rPr>
          <w:t>134</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81" w:history="1">
        <w:r w:rsidR="00304A20" w:rsidRPr="00A245C5">
          <w:rPr>
            <w:rStyle w:val="Hyperlink"/>
          </w:rPr>
          <w:t>1.3</w:t>
        </w:r>
        <w:r w:rsidR="00304A20" w:rsidRPr="003D1D9A">
          <w:rPr>
            <w:rFonts w:ascii="Calibri" w:eastAsia="SimSun" w:hAnsi="Calibri"/>
            <w:smallCaps w:val="0"/>
            <w:sz w:val="22"/>
            <w:szCs w:val="22"/>
            <w:lang w:eastAsia="en-GB"/>
          </w:rPr>
          <w:tab/>
        </w:r>
        <w:r w:rsidR="00304A20" w:rsidRPr="00A245C5">
          <w:rPr>
            <w:rStyle w:val="Hyperlink"/>
          </w:rPr>
          <w:t>Key factors affecting results of operations</w:t>
        </w:r>
        <w:r w:rsidR="00304A20">
          <w:rPr>
            <w:webHidden/>
          </w:rPr>
          <w:tab/>
        </w:r>
        <w:r w:rsidR="00304A20">
          <w:rPr>
            <w:webHidden/>
          </w:rPr>
          <w:fldChar w:fldCharType="begin"/>
        </w:r>
        <w:r w:rsidR="00304A20">
          <w:rPr>
            <w:webHidden/>
          </w:rPr>
          <w:instrText xml:space="preserve"> PAGEREF _Toc420593881 \h </w:instrText>
        </w:r>
        <w:r w:rsidR="00304A20">
          <w:rPr>
            <w:webHidden/>
          </w:rPr>
        </w:r>
        <w:r w:rsidR="00304A20">
          <w:rPr>
            <w:webHidden/>
          </w:rPr>
          <w:fldChar w:fldCharType="separate"/>
        </w:r>
        <w:r w:rsidR="00304A20">
          <w:rPr>
            <w:webHidden/>
          </w:rPr>
          <w:t>136</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82" w:history="1">
        <w:r w:rsidR="00304A20" w:rsidRPr="00A245C5">
          <w:rPr>
            <w:rStyle w:val="Hyperlink"/>
          </w:rPr>
          <w:t>1.4</w:t>
        </w:r>
        <w:r w:rsidR="00304A20" w:rsidRPr="003D1D9A">
          <w:rPr>
            <w:rFonts w:ascii="Calibri" w:eastAsia="SimSun" w:hAnsi="Calibri"/>
            <w:smallCaps w:val="0"/>
            <w:sz w:val="22"/>
            <w:szCs w:val="22"/>
            <w:lang w:eastAsia="en-GB"/>
          </w:rPr>
          <w:tab/>
        </w:r>
        <w:r w:rsidR="00304A20" w:rsidRPr="00A245C5">
          <w:rPr>
            <w:rStyle w:val="Hyperlink"/>
          </w:rPr>
          <w:t>Results of operations</w:t>
        </w:r>
        <w:r w:rsidR="00304A20">
          <w:rPr>
            <w:webHidden/>
          </w:rPr>
          <w:tab/>
        </w:r>
        <w:r w:rsidR="00304A20">
          <w:rPr>
            <w:webHidden/>
          </w:rPr>
          <w:fldChar w:fldCharType="begin"/>
        </w:r>
        <w:r w:rsidR="00304A20">
          <w:rPr>
            <w:webHidden/>
          </w:rPr>
          <w:instrText xml:space="preserve"> PAGEREF _Toc420593882 \h </w:instrText>
        </w:r>
        <w:r w:rsidR="00304A20">
          <w:rPr>
            <w:webHidden/>
          </w:rPr>
        </w:r>
        <w:r w:rsidR="00304A20">
          <w:rPr>
            <w:webHidden/>
          </w:rPr>
          <w:fldChar w:fldCharType="separate"/>
        </w:r>
        <w:r w:rsidR="00304A20">
          <w:rPr>
            <w:webHidden/>
          </w:rPr>
          <w:t>137</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83" w:history="1">
        <w:r w:rsidR="00304A20" w:rsidRPr="00A245C5">
          <w:rPr>
            <w:rStyle w:val="Hyperlink"/>
          </w:rPr>
          <w:t>1.5</w:t>
        </w:r>
        <w:r w:rsidR="00304A20" w:rsidRPr="003D1D9A">
          <w:rPr>
            <w:rFonts w:ascii="Calibri" w:eastAsia="SimSun" w:hAnsi="Calibri"/>
            <w:smallCaps w:val="0"/>
            <w:sz w:val="22"/>
            <w:szCs w:val="22"/>
            <w:lang w:eastAsia="en-GB"/>
          </w:rPr>
          <w:tab/>
        </w:r>
        <w:r w:rsidR="00304A20" w:rsidRPr="00A245C5">
          <w:rPr>
            <w:rStyle w:val="Hyperlink"/>
          </w:rPr>
          <w:t>Liquidity and capital resources</w:t>
        </w:r>
        <w:r w:rsidR="00304A20">
          <w:rPr>
            <w:webHidden/>
          </w:rPr>
          <w:tab/>
        </w:r>
        <w:r w:rsidR="00304A20">
          <w:rPr>
            <w:webHidden/>
          </w:rPr>
          <w:fldChar w:fldCharType="begin"/>
        </w:r>
        <w:r w:rsidR="00304A20">
          <w:rPr>
            <w:webHidden/>
          </w:rPr>
          <w:instrText xml:space="preserve"> PAGEREF _Toc420593883 \h </w:instrText>
        </w:r>
        <w:r w:rsidR="00304A20">
          <w:rPr>
            <w:webHidden/>
          </w:rPr>
        </w:r>
        <w:r w:rsidR="00304A20">
          <w:rPr>
            <w:webHidden/>
          </w:rPr>
          <w:fldChar w:fldCharType="separate"/>
        </w:r>
        <w:r w:rsidR="00304A20">
          <w:rPr>
            <w:webHidden/>
          </w:rPr>
          <w:t>141</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84" w:history="1">
        <w:r w:rsidR="00304A20" w:rsidRPr="00A245C5">
          <w:rPr>
            <w:rStyle w:val="Hyperlink"/>
          </w:rPr>
          <w:t>1.6</w:t>
        </w:r>
        <w:r w:rsidR="00304A20" w:rsidRPr="003D1D9A">
          <w:rPr>
            <w:rFonts w:ascii="Calibri" w:eastAsia="SimSun" w:hAnsi="Calibri"/>
            <w:smallCaps w:val="0"/>
            <w:sz w:val="22"/>
            <w:szCs w:val="22"/>
            <w:lang w:eastAsia="en-GB"/>
          </w:rPr>
          <w:tab/>
        </w:r>
        <w:r w:rsidR="00304A20" w:rsidRPr="00A245C5">
          <w:rPr>
            <w:rStyle w:val="Hyperlink"/>
          </w:rPr>
          <w:t>Capital expenditure</w:t>
        </w:r>
        <w:r w:rsidR="00304A20">
          <w:rPr>
            <w:webHidden/>
          </w:rPr>
          <w:tab/>
        </w:r>
        <w:r w:rsidR="00304A20">
          <w:rPr>
            <w:webHidden/>
          </w:rPr>
          <w:fldChar w:fldCharType="begin"/>
        </w:r>
        <w:r w:rsidR="00304A20">
          <w:rPr>
            <w:webHidden/>
          </w:rPr>
          <w:instrText xml:space="preserve"> PAGEREF _Toc420593884 \h </w:instrText>
        </w:r>
        <w:r w:rsidR="00304A20">
          <w:rPr>
            <w:webHidden/>
          </w:rPr>
        </w:r>
        <w:r w:rsidR="00304A20">
          <w:rPr>
            <w:webHidden/>
          </w:rPr>
          <w:fldChar w:fldCharType="separate"/>
        </w:r>
        <w:r w:rsidR="00304A20">
          <w:rPr>
            <w:webHidden/>
          </w:rPr>
          <w:t>143</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85" w:history="1">
        <w:r w:rsidR="00304A20" w:rsidRPr="00A245C5">
          <w:rPr>
            <w:rStyle w:val="Hyperlink"/>
          </w:rPr>
          <w:t>1.7</w:t>
        </w:r>
        <w:r w:rsidR="00304A20" w:rsidRPr="003D1D9A">
          <w:rPr>
            <w:rFonts w:ascii="Calibri" w:eastAsia="SimSun" w:hAnsi="Calibri"/>
            <w:smallCaps w:val="0"/>
            <w:sz w:val="22"/>
            <w:szCs w:val="22"/>
            <w:lang w:eastAsia="en-GB"/>
          </w:rPr>
          <w:tab/>
        </w:r>
        <w:r w:rsidR="00304A20" w:rsidRPr="00A245C5">
          <w:rPr>
            <w:rStyle w:val="Hyperlink"/>
          </w:rPr>
          <w:t>Contractual obligations and other commitments</w:t>
        </w:r>
        <w:r w:rsidR="00304A20">
          <w:rPr>
            <w:webHidden/>
          </w:rPr>
          <w:tab/>
        </w:r>
        <w:r w:rsidR="00304A20">
          <w:rPr>
            <w:webHidden/>
          </w:rPr>
          <w:fldChar w:fldCharType="begin"/>
        </w:r>
        <w:r w:rsidR="00304A20">
          <w:rPr>
            <w:webHidden/>
          </w:rPr>
          <w:instrText xml:space="preserve"> PAGEREF _Toc420593885 \h </w:instrText>
        </w:r>
        <w:r w:rsidR="00304A20">
          <w:rPr>
            <w:webHidden/>
          </w:rPr>
        </w:r>
        <w:r w:rsidR="00304A20">
          <w:rPr>
            <w:webHidden/>
          </w:rPr>
          <w:fldChar w:fldCharType="separate"/>
        </w:r>
        <w:r w:rsidR="00304A20">
          <w:rPr>
            <w:webHidden/>
          </w:rPr>
          <w:t>143</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86" w:history="1">
        <w:r w:rsidR="00304A20" w:rsidRPr="00A245C5">
          <w:rPr>
            <w:rStyle w:val="Hyperlink"/>
          </w:rPr>
          <w:t>1.8</w:t>
        </w:r>
        <w:r w:rsidR="00304A20" w:rsidRPr="003D1D9A">
          <w:rPr>
            <w:rFonts w:ascii="Calibri" w:eastAsia="SimSun" w:hAnsi="Calibri"/>
            <w:smallCaps w:val="0"/>
            <w:sz w:val="22"/>
            <w:szCs w:val="22"/>
            <w:lang w:eastAsia="en-GB"/>
          </w:rPr>
          <w:tab/>
        </w:r>
        <w:r w:rsidR="00304A20" w:rsidRPr="00A245C5">
          <w:rPr>
            <w:rStyle w:val="Hyperlink"/>
          </w:rPr>
          <w:t>Capital structure</w:t>
        </w:r>
        <w:r w:rsidR="00304A20">
          <w:rPr>
            <w:webHidden/>
          </w:rPr>
          <w:tab/>
        </w:r>
        <w:r w:rsidR="00304A20">
          <w:rPr>
            <w:webHidden/>
          </w:rPr>
          <w:fldChar w:fldCharType="begin"/>
        </w:r>
        <w:r w:rsidR="00304A20">
          <w:rPr>
            <w:webHidden/>
          </w:rPr>
          <w:instrText xml:space="preserve"> PAGEREF _Toc420593886 \h </w:instrText>
        </w:r>
        <w:r w:rsidR="00304A20">
          <w:rPr>
            <w:webHidden/>
          </w:rPr>
        </w:r>
        <w:r w:rsidR="00304A20">
          <w:rPr>
            <w:webHidden/>
          </w:rPr>
          <w:fldChar w:fldCharType="separate"/>
        </w:r>
        <w:r w:rsidR="00304A20">
          <w:rPr>
            <w:webHidden/>
          </w:rPr>
          <w:t>145</w:t>
        </w:r>
        <w:r w:rsidR="00304A20">
          <w:rPr>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887" w:history="1">
        <w:r w:rsidR="00304A20" w:rsidRPr="00A245C5">
          <w:rPr>
            <w:rStyle w:val="Hyperlink"/>
            <w:noProof/>
          </w:rPr>
          <w:t>2.</w:t>
        </w:r>
        <w:r w:rsidR="00304A20" w:rsidRPr="003D1D9A">
          <w:rPr>
            <w:rFonts w:ascii="Calibri" w:eastAsia="SimSun" w:hAnsi="Calibri"/>
            <w:caps w:val="0"/>
            <w:noProof/>
            <w:sz w:val="22"/>
            <w:szCs w:val="22"/>
            <w:lang w:eastAsia="en-GB"/>
          </w:rPr>
          <w:tab/>
        </w:r>
        <w:r w:rsidR="00304A20" w:rsidRPr="00A245C5">
          <w:rPr>
            <w:rStyle w:val="Hyperlink"/>
            <w:noProof/>
          </w:rPr>
          <w:t>The Univeg Group</w:t>
        </w:r>
        <w:r w:rsidR="00304A20">
          <w:rPr>
            <w:noProof/>
            <w:webHidden/>
          </w:rPr>
          <w:tab/>
        </w:r>
        <w:r w:rsidR="00304A20">
          <w:rPr>
            <w:noProof/>
            <w:webHidden/>
          </w:rPr>
          <w:fldChar w:fldCharType="begin"/>
        </w:r>
        <w:r w:rsidR="00304A20">
          <w:rPr>
            <w:noProof/>
            <w:webHidden/>
          </w:rPr>
          <w:instrText xml:space="preserve"> PAGEREF _Toc420593887 \h </w:instrText>
        </w:r>
        <w:r w:rsidR="00304A20">
          <w:rPr>
            <w:noProof/>
            <w:webHidden/>
          </w:rPr>
        </w:r>
        <w:r w:rsidR="00304A20">
          <w:rPr>
            <w:noProof/>
            <w:webHidden/>
          </w:rPr>
          <w:fldChar w:fldCharType="separate"/>
        </w:r>
        <w:r w:rsidR="00304A20">
          <w:rPr>
            <w:noProof/>
            <w:webHidden/>
          </w:rPr>
          <w:t>145</w:t>
        </w:r>
        <w:r w:rsidR="00304A20">
          <w:rPr>
            <w:noProof/>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88" w:history="1">
        <w:r w:rsidR="00304A20" w:rsidRPr="00A245C5">
          <w:rPr>
            <w:rStyle w:val="Hyperlink"/>
          </w:rPr>
          <w:t>2.1</w:t>
        </w:r>
        <w:r w:rsidR="00304A20" w:rsidRPr="003D1D9A">
          <w:rPr>
            <w:rFonts w:ascii="Calibri" w:eastAsia="SimSun" w:hAnsi="Calibri"/>
            <w:smallCaps w:val="0"/>
            <w:sz w:val="22"/>
            <w:szCs w:val="22"/>
            <w:lang w:eastAsia="en-GB"/>
          </w:rPr>
          <w:tab/>
        </w:r>
        <w:r w:rsidR="00304A20" w:rsidRPr="00A245C5">
          <w:rPr>
            <w:rStyle w:val="Hyperlink"/>
          </w:rPr>
          <w:t>Overview</w:t>
        </w:r>
        <w:r w:rsidR="00304A20">
          <w:rPr>
            <w:webHidden/>
          </w:rPr>
          <w:tab/>
        </w:r>
        <w:r w:rsidR="00304A20">
          <w:rPr>
            <w:webHidden/>
          </w:rPr>
          <w:fldChar w:fldCharType="begin"/>
        </w:r>
        <w:r w:rsidR="00304A20">
          <w:rPr>
            <w:webHidden/>
          </w:rPr>
          <w:instrText xml:space="preserve"> PAGEREF _Toc420593888 \h </w:instrText>
        </w:r>
        <w:r w:rsidR="00304A20">
          <w:rPr>
            <w:webHidden/>
          </w:rPr>
        </w:r>
        <w:r w:rsidR="00304A20">
          <w:rPr>
            <w:webHidden/>
          </w:rPr>
          <w:fldChar w:fldCharType="separate"/>
        </w:r>
        <w:r w:rsidR="00304A20">
          <w:rPr>
            <w:webHidden/>
          </w:rPr>
          <w:t>145</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89" w:history="1">
        <w:r w:rsidR="00304A20" w:rsidRPr="00A245C5">
          <w:rPr>
            <w:rStyle w:val="Hyperlink"/>
          </w:rPr>
          <w:t>2.2</w:t>
        </w:r>
        <w:r w:rsidR="00304A20" w:rsidRPr="003D1D9A">
          <w:rPr>
            <w:rFonts w:ascii="Calibri" w:eastAsia="SimSun" w:hAnsi="Calibri"/>
            <w:smallCaps w:val="0"/>
            <w:sz w:val="22"/>
            <w:szCs w:val="22"/>
            <w:lang w:eastAsia="en-GB"/>
          </w:rPr>
          <w:tab/>
        </w:r>
        <w:r w:rsidR="00304A20" w:rsidRPr="00A245C5">
          <w:rPr>
            <w:rStyle w:val="Hyperlink"/>
          </w:rPr>
          <w:t>Financial condition and recent events</w:t>
        </w:r>
        <w:r w:rsidR="00304A20">
          <w:rPr>
            <w:webHidden/>
          </w:rPr>
          <w:tab/>
        </w:r>
        <w:r w:rsidR="00304A20">
          <w:rPr>
            <w:webHidden/>
          </w:rPr>
          <w:fldChar w:fldCharType="begin"/>
        </w:r>
        <w:r w:rsidR="00304A20">
          <w:rPr>
            <w:webHidden/>
          </w:rPr>
          <w:instrText xml:space="preserve"> PAGEREF _Toc420593889 \h </w:instrText>
        </w:r>
        <w:r w:rsidR="00304A20">
          <w:rPr>
            <w:webHidden/>
          </w:rPr>
        </w:r>
        <w:r w:rsidR="00304A20">
          <w:rPr>
            <w:webHidden/>
          </w:rPr>
          <w:fldChar w:fldCharType="separate"/>
        </w:r>
        <w:r w:rsidR="00304A20">
          <w:rPr>
            <w:webHidden/>
          </w:rPr>
          <w:t>145</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90" w:history="1">
        <w:r w:rsidR="00304A20" w:rsidRPr="00A245C5">
          <w:rPr>
            <w:rStyle w:val="Hyperlink"/>
          </w:rPr>
          <w:t>2.3</w:t>
        </w:r>
        <w:r w:rsidR="00304A20" w:rsidRPr="003D1D9A">
          <w:rPr>
            <w:rFonts w:ascii="Calibri" w:eastAsia="SimSun" w:hAnsi="Calibri"/>
            <w:smallCaps w:val="0"/>
            <w:sz w:val="22"/>
            <w:szCs w:val="22"/>
            <w:lang w:eastAsia="en-GB"/>
          </w:rPr>
          <w:tab/>
        </w:r>
        <w:r w:rsidR="00304A20" w:rsidRPr="00A245C5">
          <w:rPr>
            <w:rStyle w:val="Hyperlink"/>
          </w:rPr>
          <w:t>Recent developments</w:t>
        </w:r>
        <w:r w:rsidR="00304A20">
          <w:rPr>
            <w:webHidden/>
          </w:rPr>
          <w:tab/>
        </w:r>
        <w:r w:rsidR="00304A20">
          <w:rPr>
            <w:webHidden/>
          </w:rPr>
          <w:fldChar w:fldCharType="begin"/>
        </w:r>
        <w:r w:rsidR="00304A20">
          <w:rPr>
            <w:webHidden/>
          </w:rPr>
          <w:instrText xml:space="preserve"> PAGEREF _Toc420593890 \h </w:instrText>
        </w:r>
        <w:r w:rsidR="00304A20">
          <w:rPr>
            <w:webHidden/>
          </w:rPr>
        </w:r>
        <w:r w:rsidR="00304A20">
          <w:rPr>
            <w:webHidden/>
          </w:rPr>
          <w:fldChar w:fldCharType="separate"/>
        </w:r>
        <w:r w:rsidR="00304A20">
          <w:rPr>
            <w:webHidden/>
          </w:rPr>
          <w:t>151</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91" w:history="1">
        <w:r w:rsidR="00304A20" w:rsidRPr="00A245C5">
          <w:rPr>
            <w:rStyle w:val="Hyperlink"/>
          </w:rPr>
          <w:t>2.4</w:t>
        </w:r>
        <w:r w:rsidR="00304A20" w:rsidRPr="003D1D9A">
          <w:rPr>
            <w:rFonts w:ascii="Calibri" w:eastAsia="SimSun" w:hAnsi="Calibri"/>
            <w:smallCaps w:val="0"/>
            <w:sz w:val="22"/>
            <w:szCs w:val="22"/>
            <w:lang w:eastAsia="en-GB"/>
          </w:rPr>
          <w:tab/>
        </w:r>
        <w:r w:rsidR="00304A20" w:rsidRPr="00A245C5">
          <w:rPr>
            <w:rStyle w:val="Hyperlink"/>
          </w:rPr>
          <w:t>Key factors affecting results of operations</w:t>
        </w:r>
        <w:r w:rsidR="00304A20">
          <w:rPr>
            <w:webHidden/>
          </w:rPr>
          <w:tab/>
        </w:r>
        <w:r w:rsidR="00304A20">
          <w:rPr>
            <w:webHidden/>
          </w:rPr>
          <w:fldChar w:fldCharType="begin"/>
        </w:r>
        <w:r w:rsidR="00304A20">
          <w:rPr>
            <w:webHidden/>
          </w:rPr>
          <w:instrText xml:space="preserve"> PAGEREF _Toc420593891 \h </w:instrText>
        </w:r>
        <w:r w:rsidR="00304A20">
          <w:rPr>
            <w:webHidden/>
          </w:rPr>
        </w:r>
        <w:r w:rsidR="00304A20">
          <w:rPr>
            <w:webHidden/>
          </w:rPr>
          <w:fldChar w:fldCharType="separate"/>
        </w:r>
        <w:r w:rsidR="00304A20">
          <w:rPr>
            <w:webHidden/>
          </w:rPr>
          <w:t>151</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92" w:history="1">
        <w:r w:rsidR="00304A20" w:rsidRPr="00A245C5">
          <w:rPr>
            <w:rStyle w:val="Hyperlink"/>
          </w:rPr>
          <w:t>2.5</w:t>
        </w:r>
        <w:r w:rsidR="00304A20" w:rsidRPr="003D1D9A">
          <w:rPr>
            <w:rFonts w:ascii="Calibri" w:eastAsia="SimSun" w:hAnsi="Calibri"/>
            <w:smallCaps w:val="0"/>
            <w:sz w:val="22"/>
            <w:szCs w:val="22"/>
            <w:lang w:eastAsia="en-GB"/>
          </w:rPr>
          <w:tab/>
        </w:r>
        <w:r w:rsidR="00304A20" w:rsidRPr="00A245C5">
          <w:rPr>
            <w:rStyle w:val="Hyperlink"/>
          </w:rPr>
          <w:t>Sourcing, supply and pricing framework for its Fruit and Vegetables segment</w:t>
        </w:r>
        <w:r w:rsidR="00304A20">
          <w:rPr>
            <w:webHidden/>
          </w:rPr>
          <w:tab/>
        </w:r>
        <w:r w:rsidR="00304A20">
          <w:rPr>
            <w:webHidden/>
          </w:rPr>
          <w:fldChar w:fldCharType="begin"/>
        </w:r>
        <w:r w:rsidR="00304A20">
          <w:rPr>
            <w:webHidden/>
          </w:rPr>
          <w:instrText xml:space="preserve"> PAGEREF _Toc420593892 \h </w:instrText>
        </w:r>
        <w:r w:rsidR="00304A20">
          <w:rPr>
            <w:webHidden/>
          </w:rPr>
        </w:r>
        <w:r w:rsidR="00304A20">
          <w:rPr>
            <w:webHidden/>
          </w:rPr>
          <w:fldChar w:fldCharType="separate"/>
        </w:r>
        <w:r w:rsidR="00304A20">
          <w:rPr>
            <w:webHidden/>
          </w:rPr>
          <w:t>153</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93" w:history="1">
        <w:r w:rsidR="00304A20" w:rsidRPr="00A245C5">
          <w:rPr>
            <w:rStyle w:val="Hyperlink"/>
          </w:rPr>
          <w:t>2.6</w:t>
        </w:r>
        <w:r w:rsidR="00304A20" w:rsidRPr="003D1D9A">
          <w:rPr>
            <w:rFonts w:ascii="Calibri" w:eastAsia="SimSun" w:hAnsi="Calibri"/>
            <w:smallCaps w:val="0"/>
            <w:sz w:val="22"/>
            <w:szCs w:val="22"/>
            <w:lang w:eastAsia="en-GB"/>
          </w:rPr>
          <w:tab/>
        </w:r>
        <w:r w:rsidR="00304A20" w:rsidRPr="00A245C5">
          <w:rPr>
            <w:rStyle w:val="Hyperlink"/>
          </w:rPr>
          <w:t>Results of operations</w:t>
        </w:r>
        <w:r w:rsidR="00304A20">
          <w:rPr>
            <w:webHidden/>
          </w:rPr>
          <w:tab/>
        </w:r>
        <w:r w:rsidR="00304A20">
          <w:rPr>
            <w:webHidden/>
          </w:rPr>
          <w:fldChar w:fldCharType="begin"/>
        </w:r>
        <w:r w:rsidR="00304A20">
          <w:rPr>
            <w:webHidden/>
          </w:rPr>
          <w:instrText xml:space="preserve"> PAGEREF _Toc420593893 \h </w:instrText>
        </w:r>
        <w:r w:rsidR="00304A20">
          <w:rPr>
            <w:webHidden/>
          </w:rPr>
        </w:r>
        <w:r w:rsidR="00304A20">
          <w:rPr>
            <w:webHidden/>
          </w:rPr>
          <w:fldChar w:fldCharType="separate"/>
        </w:r>
        <w:r w:rsidR="00304A20">
          <w:rPr>
            <w:webHidden/>
          </w:rPr>
          <w:t>154</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94" w:history="1">
        <w:r w:rsidR="00304A20" w:rsidRPr="00A245C5">
          <w:rPr>
            <w:rStyle w:val="Hyperlink"/>
          </w:rPr>
          <w:t>2.7</w:t>
        </w:r>
        <w:r w:rsidR="00304A20" w:rsidRPr="003D1D9A">
          <w:rPr>
            <w:rFonts w:ascii="Calibri" w:eastAsia="SimSun" w:hAnsi="Calibri"/>
            <w:smallCaps w:val="0"/>
            <w:sz w:val="22"/>
            <w:szCs w:val="22"/>
            <w:lang w:eastAsia="en-GB"/>
          </w:rPr>
          <w:tab/>
        </w:r>
        <w:r w:rsidR="00304A20" w:rsidRPr="00A245C5">
          <w:rPr>
            <w:rStyle w:val="Hyperlink"/>
          </w:rPr>
          <w:t>Liquidity and capital resources</w:t>
        </w:r>
        <w:r w:rsidR="00304A20">
          <w:rPr>
            <w:webHidden/>
          </w:rPr>
          <w:tab/>
        </w:r>
        <w:r w:rsidR="00304A20">
          <w:rPr>
            <w:webHidden/>
          </w:rPr>
          <w:fldChar w:fldCharType="begin"/>
        </w:r>
        <w:r w:rsidR="00304A20">
          <w:rPr>
            <w:webHidden/>
          </w:rPr>
          <w:instrText xml:space="preserve"> PAGEREF _Toc420593894 \h </w:instrText>
        </w:r>
        <w:r w:rsidR="00304A20">
          <w:rPr>
            <w:webHidden/>
          </w:rPr>
        </w:r>
        <w:r w:rsidR="00304A20">
          <w:rPr>
            <w:webHidden/>
          </w:rPr>
          <w:fldChar w:fldCharType="separate"/>
        </w:r>
        <w:r w:rsidR="00304A20">
          <w:rPr>
            <w:webHidden/>
          </w:rPr>
          <w:t>159</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95" w:history="1">
        <w:r w:rsidR="00304A20" w:rsidRPr="00A245C5">
          <w:rPr>
            <w:rStyle w:val="Hyperlink"/>
          </w:rPr>
          <w:t>2.8</w:t>
        </w:r>
        <w:r w:rsidR="00304A20" w:rsidRPr="003D1D9A">
          <w:rPr>
            <w:rFonts w:ascii="Calibri" w:eastAsia="SimSun" w:hAnsi="Calibri"/>
            <w:smallCaps w:val="0"/>
            <w:sz w:val="22"/>
            <w:szCs w:val="22"/>
            <w:lang w:eastAsia="en-GB"/>
          </w:rPr>
          <w:tab/>
        </w:r>
        <w:r w:rsidR="00304A20" w:rsidRPr="00A245C5">
          <w:rPr>
            <w:rStyle w:val="Hyperlink"/>
          </w:rPr>
          <w:t>Contractual obligations and other commitments</w:t>
        </w:r>
        <w:r w:rsidR="00304A20">
          <w:rPr>
            <w:webHidden/>
          </w:rPr>
          <w:tab/>
        </w:r>
        <w:r w:rsidR="00304A20">
          <w:rPr>
            <w:webHidden/>
          </w:rPr>
          <w:fldChar w:fldCharType="begin"/>
        </w:r>
        <w:r w:rsidR="00304A20">
          <w:rPr>
            <w:webHidden/>
          </w:rPr>
          <w:instrText xml:space="preserve"> PAGEREF _Toc420593895 \h </w:instrText>
        </w:r>
        <w:r w:rsidR="00304A20">
          <w:rPr>
            <w:webHidden/>
          </w:rPr>
        </w:r>
        <w:r w:rsidR="00304A20">
          <w:rPr>
            <w:webHidden/>
          </w:rPr>
          <w:fldChar w:fldCharType="separate"/>
        </w:r>
        <w:r w:rsidR="00304A20">
          <w:rPr>
            <w:webHidden/>
          </w:rPr>
          <w:t>160</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96" w:history="1">
        <w:r w:rsidR="00304A20" w:rsidRPr="00A245C5">
          <w:rPr>
            <w:rStyle w:val="Hyperlink"/>
          </w:rPr>
          <w:t>2.9</w:t>
        </w:r>
        <w:r w:rsidR="00304A20" w:rsidRPr="003D1D9A">
          <w:rPr>
            <w:rFonts w:ascii="Calibri" w:eastAsia="SimSun" w:hAnsi="Calibri"/>
            <w:smallCaps w:val="0"/>
            <w:sz w:val="22"/>
            <w:szCs w:val="22"/>
            <w:lang w:eastAsia="en-GB"/>
          </w:rPr>
          <w:tab/>
        </w:r>
        <w:r w:rsidR="00304A20" w:rsidRPr="00A245C5">
          <w:rPr>
            <w:rStyle w:val="Hyperlink"/>
          </w:rPr>
          <w:t>Current trading as of and for the period ended 31 March 2015</w:t>
        </w:r>
        <w:r w:rsidR="00304A20">
          <w:rPr>
            <w:webHidden/>
          </w:rPr>
          <w:tab/>
        </w:r>
        <w:r w:rsidR="00304A20">
          <w:rPr>
            <w:webHidden/>
          </w:rPr>
          <w:fldChar w:fldCharType="begin"/>
        </w:r>
        <w:r w:rsidR="00304A20">
          <w:rPr>
            <w:webHidden/>
          </w:rPr>
          <w:instrText xml:space="preserve"> PAGEREF _Toc420593896 \h </w:instrText>
        </w:r>
        <w:r w:rsidR="00304A20">
          <w:rPr>
            <w:webHidden/>
          </w:rPr>
        </w:r>
        <w:r w:rsidR="00304A20">
          <w:rPr>
            <w:webHidden/>
          </w:rPr>
          <w:fldChar w:fldCharType="separate"/>
        </w:r>
        <w:r w:rsidR="00304A20">
          <w:rPr>
            <w:webHidden/>
          </w:rPr>
          <w:t>161</w:t>
        </w:r>
        <w:r w:rsidR="00304A20">
          <w:rPr>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897" w:history="1">
        <w:r w:rsidR="00304A20" w:rsidRPr="00A245C5">
          <w:rPr>
            <w:rStyle w:val="Hyperlink"/>
            <w:noProof/>
          </w:rPr>
          <w:t>3.</w:t>
        </w:r>
        <w:r w:rsidR="00304A20" w:rsidRPr="003D1D9A">
          <w:rPr>
            <w:rFonts w:ascii="Calibri" w:eastAsia="SimSun" w:hAnsi="Calibri"/>
            <w:caps w:val="0"/>
            <w:noProof/>
            <w:sz w:val="22"/>
            <w:szCs w:val="22"/>
            <w:lang w:eastAsia="en-GB"/>
          </w:rPr>
          <w:tab/>
        </w:r>
        <w:r w:rsidR="00304A20" w:rsidRPr="00A245C5">
          <w:rPr>
            <w:rStyle w:val="Hyperlink"/>
            <w:noProof/>
          </w:rPr>
          <w:t>Peatinvest</w:t>
        </w:r>
        <w:r w:rsidR="00304A20">
          <w:rPr>
            <w:noProof/>
            <w:webHidden/>
          </w:rPr>
          <w:tab/>
        </w:r>
        <w:r w:rsidR="00304A20">
          <w:rPr>
            <w:noProof/>
            <w:webHidden/>
          </w:rPr>
          <w:fldChar w:fldCharType="begin"/>
        </w:r>
        <w:r w:rsidR="00304A20">
          <w:rPr>
            <w:noProof/>
            <w:webHidden/>
          </w:rPr>
          <w:instrText xml:space="preserve"> PAGEREF _Toc420593897 \h </w:instrText>
        </w:r>
        <w:r w:rsidR="00304A20">
          <w:rPr>
            <w:noProof/>
            <w:webHidden/>
          </w:rPr>
        </w:r>
        <w:r w:rsidR="00304A20">
          <w:rPr>
            <w:noProof/>
            <w:webHidden/>
          </w:rPr>
          <w:fldChar w:fldCharType="separate"/>
        </w:r>
        <w:r w:rsidR="00304A20">
          <w:rPr>
            <w:noProof/>
            <w:webHidden/>
          </w:rPr>
          <w:t>163</w:t>
        </w:r>
        <w:r w:rsidR="00304A20">
          <w:rPr>
            <w:noProof/>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98" w:history="1">
        <w:r w:rsidR="00304A20" w:rsidRPr="00A245C5">
          <w:rPr>
            <w:rStyle w:val="Hyperlink"/>
          </w:rPr>
          <w:t>3.1</w:t>
        </w:r>
        <w:r w:rsidR="00304A20" w:rsidRPr="003D1D9A">
          <w:rPr>
            <w:rFonts w:ascii="Calibri" w:eastAsia="SimSun" w:hAnsi="Calibri"/>
            <w:smallCaps w:val="0"/>
            <w:sz w:val="22"/>
            <w:szCs w:val="22"/>
            <w:lang w:eastAsia="en-GB"/>
          </w:rPr>
          <w:tab/>
        </w:r>
        <w:r w:rsidR="00304A20" w:rsidRPr="00A245C5">
          <w:rPr>
            <w:rStyle w:val="Hyperlink"/>
          </w:rPr>
          <w:t>Overview</w:t>
        </w:r>
        <w:r w:rsidR="00304A20">
          <w:rPr>
            <w:webHidden/>
          </w:rPr>
          <w:tab/>
        </w:r>
        <w:r w:rsidR="00304A20">
          <w:rPr>
            <w:webHidden/>
          </w:rPr>
          <w:fldChar w:fldCharType="begin"/>
        </w:r>
        <w:r w:rsidR="00304A20">
          <w:rPr>
            <w:webHidden/>
          </w:rPr>
          <w:instrText xml:space="preserve"> PAGEREF _Toc420593898 \h </w:instrText>
        </w:r>
        <w:r w:rsidR="00304A20">
          <w:rPr>
            <w:webHidden/>
          </w:rPr>
        </w:r>
        <w:r w:rsidR="00304A20">
          <w:rPr>
            <w:webHidden/>
          </w:rPr>
          <w:fldChar w:fldCharType="separate"/>
        </w:r>
        <w:r w:rsidR="00304A20">
          <w:rPr>
            <w:webHidden/>
          </w:rPr>
          <w:t>163</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899" w:history="1">
        <w:r w:rsidR="00304A20" w:rsidRPr="00A245C5">
          <w:rPr>
            <w:rStyle w:val="Hyperlink"/>
          </w:rPr>
          <w:t>3.2</w:t>
        </w:r>
        <w:r w:rsidR="00304A20" w:rsidRPr="003D1D9A">
          <w:rPr>
            <w:rFonts w:ascii="Calibri" w:eastAsia="SimSun" w:hAnsi="Calibri"/>
            <w:smallCaps w:val="0"/>
            <w:sz w:val="22"/>
            <w:szCs w:val="22"/>
            <w:lang w:eastAsia="en-GB"/>
          </w:rPr>
          <w:tab/>
        </w:r>
        <w:r w:rsidR="00304A20" w:rsidRPr="00A245C5">
          <w:rPr>
            <w:rStyle w:val="Hyperlink"/>
          </w:rPr>
          <w:t>Key factors affecting results of operations</w:t>
        </w:r>
        <w:r w:rsidR="00304A20">
          <w:rPr>
            <w:webHidden/>
          </w:rPr>
          <w:tab/>
        </w:r>
        <w:r w:rsidR="00304A20">
          <w:rPr>
            <w:webHidden/>
          </w:rPr>
          <w:fldChar w:fldCharType="begin"/>
        </w:r>
        <w:r w:rsidR="00304A20">
          <w:rPr>
            <w:webHidden/>
          </w:rPr>
          <w:instrText xml:space="preserve"> PAGEREF _Toc420593899 \h </w:instrText>
        </w:r>
        <w:r w:rsidR="00304A20">
          <w:rPr>
            <w:webHidden/>
          </w:rPr>
        </w:r>
        <w:r w:rsidR="00304A20">
          <w:rPr>
            <w:webHidden/>
          </w:rPr>
          <w:fldChar w:fldCharType="separate"/>
        </w:r>
        <w:r w:rsidR="00304A20">
          <w:rPr>
            <w:webHidden/>
          </w:rPr>
          <w:t>164</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00" w:history="1">
        <w:r w:rsidR="00304A20" w:rsidRPr="00A245C5">
          <w:rPr>
            <w:rStyle w:val="Hyperlink"/>
          </w:rPr>
          <w:t>3.3</w:t>
        </w:r>
        <w:r w:rsidR="00304A20" w:rsidRPr="003D1D9A">
          <w:rPr>
            <w:rFonts w:ascii="Calibri" w:eastAsia="SimSun" w:hAnsi="Calibri"/>
            <w:smallCaps w:val="0"/>
            <w:sz w:val="22"/>
            <w:szCs w:val="22"/>
            <w:lang w:eastAsia="en-GB"/>
          </w:rPr>
          <w:tab/>
        </w:r>
        <w:r w:rsidR="00304A20" w:rsidRPr="00A245C5">
          <w:rPr>
            <w:rStyle w:val="Hyperlink"/>
          </w:rPr>
          <w:t>Result of operations</w:t>
        </w:r>
        <w:r w:rsidR="00304A20">
          <w:rPr>
            <w:webHidden/>
          </w:rPr>
          <w:tab/>
        </w:r>
        <w:r w:rsidR="00304A20">
          <w:rPr>
            <w:webHidden/>
          </w:rPr>
          <w:fldChar w:fldCharType="begin"/>
        </w:r>
        <w:r w:rsidR="00304A20">
          <w:rPr>
            <w:webHidden/>
          </w:rPr>
          <w:instrText xml:space="preserve"> PAGEREF _Toc420593900 \h </w:instrText>
        </w:r>
        <w:r w:rsidR="00304A20">
          <w:rPr>
            <w:webHidden/>
          </w:rPr>
        </w:r>
        <w:r w:rsidR="00304A20">
          <w:rPr>
            <w:webHidden/>
          </w:rPr>
          <w:fldChar w:fldCharType="separate"/>
        </w:r>
        <w:r w:rsidR="00304A20">
          <w:rPr>
            <w:webHidden/>
          </w:rPr>
          <w:t>166</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01" w:history="1">
        <w:r w:rsidR="00304A20" w:rsidRPr="00A245C5">
          <w:rPr>
            <w:rStyle w:val="Hyperlink"/>
          </w:rPr>
          <w:t>3.4</w:t>
        </w:r>
        <w:r w:rsidR="00304A20" w:rsidRPr="003D1D9A">
          <w:rPr>
            <w:rFonts w:ascii="Calibri" w:eastAsia="SimSun" w:hAnsi="Calibri"/>
            <w:smallCaps w:val="0"/>
            <w:sz w:val="22"/>
            <w:szCs w:val="22"/>
            <w:lang w:eastAsia="en-GB"/>
          </w:rPr>
          <w:tab/>
        </w:r>
        <w:r w:rsidR="00304A20" w:rsidRPr="00A245C5">
          <w:rPr>
            <w:rStyle w:val="Hyperlink"/>
          </w:rPr>
          <w:t>Liquidity and capital resources</w:t>
        </w:r>
        <w:r w:rsidR="00304A20">
          <w:rPr>
            <w:webHidden/>
          </w:rPr>
          <w:tab/>
        </w:r>
        <w:r w:rsidR="00304A20">
          <w:rPr>
            <w:webHidden/>
          </w:rPr>
          <w:fldChar w:fldCharType="begin"/>
        </w:r>
        <w:r w:rsidR="00304A20">
          <w:rPr>
            <w:webHidden/>
          </w:rPr>
          <w:instrText xml:space="preserve"> PAGEREF _Toc420593901 \h </w:instrText>
        </w:r>
        <w:r w:rsidR="00304A20">
          <w:rPr>
            <w:webHidden/>
          </w:rPr>
        </w:r>
        <w:r w:rsidR="00304A20">
          <w:rPr>
            <w:webHidden/>
          </w:rPr>
          <w:fldChar w:fldCharType="separate"/>
        </w:r>
        <w:r w:rsidR="00304A20">
          <w:rPr>
            <w:webHidden/>
          </w:rPr>
          <w:t>168</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02" w:history="1">
        <w:r w:rsidR="00304A20" w:rsidRPr="00A245C5">
          <w:rPr>
            <w:rStyle w:val="Hyperlink"/>
          </w:rPr>
          <w:t>3.5</w:t>
        </w:r>
        <w:r w:rsidR="00304A20" w:rsidRPr="003D1D9A">
          <w:rPr>
            <w:rFonts w:ascii="Calibri" w:eastAsia="SimSun" w:hAnsi="Calibri"/>
            <w:smallCaps w:val="0"/>
            <w:sz w:val="22"/>
            <w:szCs w:val="22"/>
            <w:lang w:eastAsia="en-GB"/>
          </w:rPr>
          <w:tab/>
        </w:r>
        <w:r w:rsidR="00304A20" w:rsidRPr="00A245C5">
          <w:rPr>
            <w:rStyle w:val="Hyperlink"/>
          </w:rPr>
          <w:t>Contractual obligations and other commitments</w:t>
        </w:r>
        <w:r w:rsidR="00304A20">
          <w:rPr>
            <w:webHidden/>
          </w:rPr>
          <w:tab/>
        </w:r>
        <w:r w:rsidR="00304A20">
          <w:rPr>
            <w:webHidden/>
          </w:rPr>
          <w:fldChar w:fldCharType="begin"/>
        </w:r>
        <w:r w:rsidR="00304A20">
          <w:rPr>
            <w:webHidden/>
          </w:rPr>
          <w:instrText xml:space="preserve"> PAGEREF _Toc420593902 \h </w:instrText>
        </w:r>
        <w:r w:rsidR="00304A20">
          <w:rPr>
            <w:webHidden/>
          </w:rPr>
        </w:r>
        <w:r w:rsidR="00304A20">
          <w:rPr>
            <w:webHidden/>
          </w:rPr>
          <w:fldChar w:fldCharType="separate"/>
        </w:r>
        <w:r w:rsidR="00304A20">
          <w:rPr>
            <w:webHidden/>
          </w:rPr>
          <w:t>169</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03" w:history="1">
        <w:r w:rsidR="00304A20" w:rsidRPr="00A245C5">
          <w:rPr>
            <w:rStyle w:val="Hyperlink"/>
          </w:rPr>
          <w:t>3.6</w:t>
        </w:r>
        <w:r w:rsidR="00304A20" w:rsidRPr="003D1D9A">
          <w:rPr>
            <w:rFonts w:ascii="Calibri" w:eastAsia="SimSun" w:hAnsi="Calibri"/>
            <w:smallCaps w:val="0"/>
            <w:sz w:val="22"/>
            <w:szCs w:val="22"/>
            <w:lang w:eastAsia="en-GB"/>
          </w:rPr>
          <w:tab/>
        </w:r>
        <w:r w:rsidR="00304A20" w:rsidRPr="00A245C5">
          <w:rPr>
            <w:rStyle w:val="Hyperlink"/>
          </w:rPr>
          <w:t>Current trading as of and for the period ended 31 March 2015</w:t>
        </w:r>
        <w:r w:rsidR="00304A20">
          <w:rPr>
            <w:webHidden/>
          </w:rPr>
          <w:tab/>
        </w:r>
        <w:r w:rsidR="00304A20">
          <w:rPr>
            <w:webHidden/>
          </w:rPr>
          <w:fldChar w:fldCharType="begin"/>
        </w:r>
        <w:r w:rsidR="00304A20">
          <w:rPr>
            <w:webHidden/>
          </w:rPr>
          <w:instrText xml:space="preserve"> PAGEREF _Toc420593903 \h </w:instrText>
        </w:r>
        <w:r w:rsidR="00304A20">
          <w:rPr>
            <w:webHidden/>
          </w:rPr>
        </w:r>
        <w:r w:rsidR="00304A20">
          <w:rPr>
            <w:webHidden/>
          </w:rPr>
          <w:fldChar w:fldCharType="separate"/>
        </w:r>
        <w:r w:rsidR="00304A20">
          <w:rPr>
            <w:webHidden/>
          </w:rPr>
          <w:t>170</w:t>
        </w:r>
        <w:r w:rsidR="00304A20">
          <w:rPr>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04" w:history="1">
        <w:r w:rsidR="00304A20" w:rsidRPr="00A245C5">
          <w:rPr>
            <w:rStyle w:val="Hyperlink"/>
            <w:noProof/>
          </w:rPr>
          <w:t>4.</w:t>
        </w:r>
        <w:r w:rsidR="00304A20" w:rsidRPr="003D1D9A">
          <w:rPr>
            <w:rFonts w:ascii="Calibri" w:eastAsia="SimSun" w:hAnsi="Calibri"/>
            <w:caps w:val="0"/>
            <w:noProof/>
            <w:sz w:val="22"/>
            <w:szCs w:val="22"/>
            <w:lang w:eastAsia="en-GB"/>
          </w:rPr>
          <w:tab/>
        </w:r>
        <w:r w:rsidR="00304A20" w:rsidRPr="00A245C5">
          <w:rPr>
            <w:rStyle w:val="Hyperlink"/>
            <w:noProof/>
          </w:rPr>
          <w:t>Working capital and Capitalisation and indebtedness</w:t>
        </w:r>
        <w:r w:rsidR="00304A20">
          <w:rPr>
            <w:noProof/>
            <w:webHidden/>
          </w:rPr>
          <w:tab/>
        </w:r>
        <w:r w:rsidR="00304A20">
          <w:rPr>
            <w:noProof/>
            <w:webHidden/>
          </w:rPr>
          <w:fldChar w:fldCharType="begin"/>
        </w:r>
        <w:r w:rsidR="00304A20">
          <w:rPr>
            <w:noProof/>
            <w:webHidden/>
          </w:rPr>
          <w:instrText xml:space="preserve"> PAGEREF _Toc420593904 \h </w:instrText>
        </w:r>
        <w:r w:rsidR="00304A20">
          <w:rPr>
            <w:noProof/>
            <w:webHidden/>
          </w:rPr>
        </w:r>
        <w:r w:rsidR="00304A20">
          <w:rPr>
            <w:noProof/>
            <w:webHidden/>
          </w:rPr>
          <w:fldChar w:fldCharType="separate"/>
        </w:r>
        <w:r w:rsidR="00304A20">
          <w:rPr>
            <w:noProof/>
            <w:webHidden/>
          </w:rPr>
          <w:t>171</w:t>
        </w:r>
        <w:r w:rsidR="00304A20">
          <w:rPr>
            <w:noProof/>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05" w:history="1">
        <w:r w:rsidR="00304A20" w:rsidRPr="00A245C5">
          <w:rPr>
            <w:rStyle w:val="Hyperlink"/>
          </w:rPr>
          <w:t>4.1</w:t>
        </w:r>
        <w:r w:rsidR="00304A20" w:rsidRPr="003D1D9A">
          <w:rPr>
            <w:rFonts w:ascii="Calibri" w:eastAsia="SimSun" w:hAnsi="Calibri"/>
            <w:smallCaps w:val="0"/>
            <w:sz w:val="22"/>
            <w:szCs w:val="22"/>
            <w:lang w:eastAsia="en-GB"/>
          </w:rPr>
          <w:tab/>
        </w:r>
        <w:r w:rsidR="00304A20" w:rsidRPr="00A245C5">
          <w:rPr>
            <w:rStyle w:val="Hyperlink"/>
          </w:rPr>
          <w:t>Working capital statement</w:t>
        </w:r>
        <w:r w:rsidR="00304A20">
          <w:rPr>
            <w:webHidden/>
          </w:rPr>
          <w:tab/>
        </w:r>
        <w:r w:rsidR="00304A20">
          <w:rPr>
            <w:webHidden/>
          </w:rPr>
          <w:fldChar w:fldCharType="begin"/>
        </w:r>
        <w:r w:rsidR="00304A20">
          <w:rPr>
            <w:webHidden/>
          </w:rPr>
          <w:instrText xml:space="preserve"> PAGEREF _Toc420593905 \h </w:instrText>
        </w:r>
        <w:r w:rsidR="00304A20">
          <w:rPr>
            <w:webHidden/>
          </w:rPr>
        </w:r>
        <w:r w:rsidR="00304A20">
          <w:rPr>
            <w:webHidden/>
          </w:rPr>
          <w:fldChar w:fldCharType="separate"/>
        </w:r>
        <w:r w:rsidR="00304A20">
          <w:rPr>
            <w:webHidden/>
          </w:rPr>
          <w:t>171</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06" w:history="1">
        <w:r w:rsidR="00304A20" w:rsidRPr="00A245C5">
          <w:rPr>
            <w:rStyle w:val="Hyperlink"/>
          </w:rPr>
          <w:t>4.2</w:t>
        </w:r>
        <w:r w:rsidR="00304A20" w:rsidRPr="003D1D9A">
          <w:rPr>
            <w:rFonts w:ascii="Calibri" w:eastAsia="SimSun" w:hAnsi="Calibri"/>
            <w:smallCaps w:val="0"/>
            <w:sz w:val="22"/>
            <w:szCs w:val="22"/>
            <w:lang w:eastAsia="en-GB"/>
          </w:rPr>
          <w:tab/>
        </w:r>
        <w:r w:rsidR="00304A20" w:rsidRPr="00A245C5">
          <w:rPr>
            <w:rStyle w:val="Hyperlink"/>
          </w:rPr>
          <w:t>Capitalisation and indebtedness</w:t>
        </w:r>
        <w:r w:rsidR="00304A20">
          <w:rPr>
            <w:webHidden/>
          </w:rPr>
          <w:tab/>
        </w:r>
        <w:r w:rsidR="00304A20">
          <w:rPr>
            <w:webHidden/>
          </w:rPr>
          <w:fldChar w:fldCharType="begin"/>
        </w:r>
        <w:r w:rsidR="00304A20">
          <w:rPr>
            <w:webHidden/>
          </w:rPr>
          <w:instrText xml:space="preserve"> PAGEREF _Toc420593906 \h </w:instrText>
        </w:r>
        <w:r w:rsidR="00304A20">
          <w:rPr>
            <w:webHidden/>
          </w:rPr>
        </w:r>
        <w:r w:rsidR="00304A20">
          <w:rPr>
            <w:webHidden/>
          </w:rPr>
          <w:fldChar w:fldCharType="separate"/>
        </w:r>
        <w:r w:rsidR="00304A20">
          <w:rPr>
            <w:webHidden/>
          </w:rPr>
          <w:t>171</w:t>
        </w:r>
        <w:r w:rsidR="00304A20">
          <w:rPr>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07" w:history="1">
        <w:r w:rsidR="00304A20" w:rsidRPr="00A245C5">
          <w:rPr>
            <w:rStyle w:val="Hyperlink"/>
            <w:noProof/>
          </w:rPr>
          <w:t>5.</w:t>
        </w:r>
        <w:r w:rsidR="00304A20" w:rsidRPr="003D1D9A">
          <w:rPr>
            <w:rFonts w:ascii="Calibri" w:eastAsia="SimSun" w:hAnsi="Calibri"/>
            <w:caps w:val="0"/>
            <w:noProof/>
            <w:sz w:val="22"/>
            <w:szCs w:val="22"/>
            <w:lang w:eastAsia="en-GB"/>
          </w:rPr>
          <w:tab/>
        </w:r>
        <w:r w:rsidR="00304A20" w:rsidRPr="00A245C5">
          <w:rPr>
            <w:rStyle w:val="Hyperlink"/>
            <w:noProof/>
          </w:rPr>
          <w:t>Pro forma financial information</w:t>
        </w:r>
        <w:r w:rsidR="00304A20">
          <w:rPr>
            <w:noProof/>
            <w:webHidden/>
          </w:rPr>
          <w:tab/>
        </w:r>
        <w:r w:rsidR="00304A20">
          <w:rPr>
            <w:noProof/>
            <w:webHidden/>
          </w:rPr>
          <w:fldChar w:fldCharType="begin"/>
        </w:r>
        <w:r w:rsidR="00304A20">
          <w:rPr>
            <w:noProof/>
            <w:webHidden/>
          </w:rPr>
          <w:instrText xml:space="preserve"> PAGEREF _Toc420593907 \h </w:instrText>
        </w:r>
        <w:r w:rsidR="00304A20">
          <w:rPr>
            <w:noProof/>
            <w:webHidden/>
          </w:rPr>
        </w:r>
        <w:r w:rsidR="00304A20">
          <w:rPr>
            <w:noProof/>
            <w:webHidden/>
          </w:rPr>
          <w:fldChar w:fldCharType="separate"/>
        </w:r>
        <w:r w:rsidR="00304A20">
          <w:rPr>
            <w:noProof/>
            <w:webHidden/>
          </w:rPr>
          <w:t>171</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08" w:history="1">
        <w:r w:rsidR="00304A20" w:rsidRPr="00A245C5">
          <w:rPr>
            <w:rStyle w:val="Hyperlink"/>
            <w:noProof/>
          </w:rPr>
          <w:t>PART VII: DESCRIPTION OF THE Shares</w:t>
        </w:r>
        <w:r w:rsidR="00C14169">
          <w:rPr>
            <w:rStyle w:val="Hyperlink"/>
            <w:noProof/>
          </w:rPr>
          <w:t xml:space="preserve"> </w:t>
        </w:r>
        <w:r w:rsidR="00304A20" w:rsidRPr="00A245C5">
          <w:rPr>
            <w:rStyle w:val="Hyperlink"/>
            <w:noProof/>
          </w:rPr>
          <w:t>AND ARTICLES OF ASSOCIATION of Greenyard Foods</w:t>
        </w:r>
        <w:r w:rsidR="00304A20">
          <w:rPr>
            <w:noProof/>
            <w:webHidden/>
          </w:rPr>
          <w:tab/>
        </w:r>
        <w:r w:rsidR="00304A20">
          <w:rPr>
            <w:noProof/>
            <w:webHidden/>
          </w:rPr>
          <w:fldChar w:fldCharType="begin"/>
        </w:r>
        <w:r w:rsidR="00304A20">
          <w:rPr>
            <w:noProof/>
            <w:webHidden/>
          </w:rPr>
          <w:instrText xml:space="preserve"> PAGEREF _Toc420593908 \h </w:instrText>
        </w:r>
        <w:r w:rsidR="00304A20">
          <w:rPr>
            <w:noProof/>
            <w:webHidden/>
          </w:rPr>
        </w:r>
        <w:r w:rsidR="00304A20">
          <w:rPr>
            <w:noProof/>
            <w:webHidden/>
          </w:rPr>
          <w:fldChar w:fldCharType="separate"/>
        </w:r>
        <w:r w:rsidR="00304A20">
          <w:rPr>
            <w:noProof/>
            <w:webHidden/>
          </w:rPr>
          <w:t>172</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09" w:history="1">
        <w:r w:rsidR="00304A20" w:rsidRPr="00A245C5">
          <w:rPr>
            <w:rStyle w:val="Hyperlink"/>
            <w:noProof/>
          </w:rPr>
          <w:t>1.</w:t>
        </w:r>
        <w:r w:rsidR="00304A20" w:rsidRPr="003D1D9A">
          <w:rPr>
            <w:rFonts w:ascii="Calibri" w:eastAsia="SimSun" w:hAnsi="Calibri"/>
            <w:caps w:val="0"/>
            <w:noProof/>
            <w:sz w:val="22"/>
            <w:szCs w:val="22"/>
            <w:lang w:eastAsia="en-GB"/>
          </w:rPr>
          <w:tab/>
        </w:r>
        <w:r w:rsidR="00304A20" w:rsidRPr="00A245C5">
          <w:rPr>
            <w:rStyle w:val="Hyperlink"/>
            <w:noProof/>
          </w:rPr>
          <w:t>General</w:t>
        </w:r>
        <w:r w:rsidR="00304A20">
          <w:rPr>
            <w:noProof/>
            <w:webHidden/>
          </w:rPr>
          <w:tab/>
        </w:r>
        <w:r w:rsidR="00304A20">
          <w:rPr>
            <w:noProof/>
            <w:webHidden/>
          </w:rPr>
          <w:fldChar w:fldCharType="begin"/>
        </w:r>
        <w:r w:rsidR="00304A20">
          <w:rPr>
            <w:noProof/>
            <w:webHidden/>
          </w:rPr>
          <w:instrText xml:space="preserve"> PAGEREF _Toc420593909 \h </w:instrText>
        </w:r>
        <w:r w:rsidR="00304A20">
          <w:rPr>
            <w:noProof/>
            <w:webHidden/>
          </w:rPr>
        </w:r>
        <w:r w:rsidR="00304A20">
          <w:rPr>
            <w:noProof/>
            <w:webHidden/>
          </w:rPr>
          <w:fldChar w:fldCharType="separate"/>
        </w:r>
        <w:r w:rsidR="00304A20">
          <w:rPr>
            <w:noProof/>
            <w:webHidden/>
          </w:rPr>
          <w:t>172</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10" w:history="1">
        <w:r w:rsidR="00304A20" w:rsidRPr="00A245C5">
          <w:rPr>
            <w:rStyle w:val="Hyperlink"/>
            <w:noProof/>
          </w:rPr>
          <w:t>2.</w:t>
        </w:r>
        <w:r w:rsidR="00304A20" w:rsidRPr="003D1D9A">
          <w:rPr>
            <w:rFonts w:ascii="Calibri" w:eastAsia="SimSun" w:hAnsi="Calibri"/>
            <w:caps w:val="0"/>
            <w:noProof/>
            <w:sz w:val="22"/>
            <w:szCs w:val="22"/>
            <w:lang w:eastAsia="en-GB"/>
          </w:rPr>
          <w:tab/>
        </w:r>
        <w:r w:rsidR="00304A20" w:rsidRPr="00A245C5">
          <w:rPr>
            <w:rStyle w:val="Hyperlink"/>
            <w:noProof/>
          </w:rPr>
          <w:t>Corporate purpose</w:t>
        </w:r>
        <w:r w:rsidR="00304A20">
          <w:rPr>
            <w:noProof/>
            <w:webHidden/>
          </w:rPr>
          <w:tab/>
        </w:r>
        <w:r w:rsidR="00304A20">
          <w:rPr>
            <w:noProof/>
            <w:webHidden/>
          </w:rPr>
          <w:fldChar w:fldCharType="begin"/>
        </w:r>
        <w:r w:rsidR="00304A20">
          <w:rPr>
            <w:noProof/>
            <w:webHidden/>
          </w:rPr>
          <w:instrText xml:space="preserve"> PAGEREF _Toc420593910 \h </w:instrText>
        </w:r>
        <w:r w:rsidR="00304A20">
          <w:rPr>
            <w:noProof/>
            <w:webHidden/>
          </w:rPr>
        </w:r>
        <w:r w:rsidR="00304A20">
          <w:rPr>
            <w:noProof/>
            <w:webHidden/>
          </w:rPr>
          <w:fldChar w:fldCharType="separate"/>
        </w:r>
        <w:r w:rsidR="00304A20">
          <w:rPr>
            <w:noProof/>
            <w:webHidden/>
          </w:rPr>
          <w:t>172</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11" w:history="1">
        <w:r w:rsidR="00304A20" w:rsidRPr="00A245C5">
          <w:rPr>
            <w:rStyle w:val="Hyperlink"/>
            <w:noProof/>
          </w:rPr>
          <w:t>3.</w:t>
        </w:r>
        <w:r w:rsidR="00304A20" w:rsidRPr="003D1D9A">
          <w:rPr>
            <w:rFonts w:ascii="Calibri" w:eastAsia="SimSun" w:hAnsi="Calibri"/>
            <w:caps w:val="0"/>
            <w:noProof/>
            <w:sz w:val="22"/>
            <w:szCs w:val="22"/>
            <w:lang w:eastAsia="en-GB"/>
          </w:rPr>
          <w:tab/>
        </w:r>
        <w:r w:rsidR="00304A20" w:rsidRPr="00A245C5">
          <w:rPr>
            <w:rStyle w:val="Hyperlink"/>
            <w:noProof/>
          </w:rPr>
          <w:t>Description of the rights attached to the Shares</w:t>
        </w:r>
        <w:r w:rsidR="00304A20">
          <w:rPr>
            <w:noProof/>
            <w:webHidden/>
          </w:rPr>
          <w:tab/>
        </w:r>
        <w:r w:rsidR="00304A20">
          <w:rPr>
            <w:noProof/>
            <w:webHidden/>
          </w:rPr>
          <w:fldChar w:fldCharType="begin"/>
        </w:r>
        <w:r w:rsidR="00304A20">
          <w:rPr>
            <w:noProof/>
            <w:webHidden/>
          </w:rPr>
          <w:instrText xml:space="preserve"> PAGEREF _Toc420593911 \h </w:instrText>
        </w:r>
        <w:r w:rsidR="00304A20">
          <w:rPr>
            <w:noProof/>
            <w:webHidden/>
          </w:rPr>
        </w:r>
        <w:r w:rsidR="00304A20">
          <w:rPr>
            <w:noProof/>
            <w:webHidden/>
          </w:rPr>
          <w:fldChar w:fldCharType="separate"/>
        </w:r>
        <w:r w:rsidR="00304A20">
          <w:rPr>
            <w:noProof/>
            <w:webHidden/>
          </w:rPr>
          <w:t>172</w:t>
        </w:r>
        <w:r w:rsidR="00304A20">
          <w:rPr>
            <w:noProof/>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12" w:history="1">
        <w:r w:rsidR="00304A20" w:rsidRPr="00A245C5">
          <w:rPr>
            <w:rStyle w:val="Hyperlink"/>
          </w:rPr>
          <w:t>3.1</w:t>
        </w:r>
        <w:r w:rsidR="00304A20" w:rsidRPr="003D1D9A">
          <w:rPr>
            <w:rFonts w:ascii="Calibri" w:eastAsia="SimSun" w:hAnsi="Calibri"/>
            <w:smallCaps w:val="0"/>
            <w:sz w:val="22"/>
            <w:szCs w:val="22"/>
            <w:lang w:eastAsia="en-GB"/>
          </w:rPr>
          <w:tab/>
        </w:r>
        <w:r w:rsidR="00304A20" w:rsidRPr="00A245C5">
          <w:rPr>
            <w:rStyle w:val="Hyperlink"/>
          </w:rPr>
          <w:t>Preferential subscription rights</w:t>
        </w:r>
        <w:r w:rsidR="00304A20">
          <w:rPr>
            <w:webHidden/>
          </w:rPr>
          <w:tab/>
        </w:r>
        <w:r w:rsidR="00304A20">
          <w:rPr>
            <w:webHidden/>
          </w:rPr>
          <w:fldChar w:fldCharType="begin"/>
        </w:r>
        <w:r w:rsidR="00304A20">
          <w:rPr>
            <w:webHidden/>
          </w:rPr>
          <w:instrText xml:space="preserve"> PAGEREF _Toc420593912 \h </w:instrText>
        </w:r>
        <w:r w:rsidR="00304A20">
          <w:rPr>
            <w:webHidden/>
          </w:rPr>
        </w:r>
        <w:r w:rsidR="00304A20">
          <w:rPr>
            <w:webHidden/>
          </w:rPr>
          <w:fldChar w:fldCharType="separate"/>
        </w:r>
        <w:r w:rsidR="00304A20">
          <w:rPr>
            <w:webHidden/>
          </w:rPr>
          <w:t>172</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13" w:history="1">
        <w:r w:rsidR="00304A20" w:rsidRPr="00A245C5">
          <w:rPr>
            <w:rStyle w:val="Hyperlink"/>
          </w:rPr>
          <w:t>3.2</w:t>
        </w:r>
        <w:r w:rsidR="00304A20" w:rsidRPr="003D1D9A">
          <w:rPr>
            <w:rFonts w:ascii="Calibri" w:eastAsia="SimSun" w:hAnsi="Calibri"/>
            <w:smallCaps w:val="0"/>
            <w:sz w:val="22"/>
            <w:szCs w:val="22"/>
            <w:lang w:eastAsia="en-GB"/>
          </w:rPr>
          <w:tab/>
        </w:r>
        <w:r w:rsidR="00304A20" w:rsidRPr="00A245C5">
          <w:rPr>
            <w:rStyle w:val="Hyperlink"/>
          </w:rPr>
          <w:t>Right to attend and vote at the Company’s general shareholders’ meeting</w:t>
        </w:r>
        <w:r w:rsidR="00304A20">
          <w:rPr>
            <w:webHidden/>
          </w:rPr>
          <w:tab/>
        </w:r>
        <w:r w:rsidR="00304A20">
          <w:rPr>
            <w:webHidden/>
          </w:rPr>
          <w:fldChar w:fldCharType="begin"/>
        </w:r>
        <w:r w:rsidR="00304A20">
          <w:rPr>
            <w:webHidden/>
          </w:rPr>
          <w:instrText xml:space="preserve"> PAGEREF _Toc420593913 \h </w:instrText>
        </w:r>
        <w:r w:rsidR="00304A20">
          <w:rPr>
            <w:webHidden/>
          </w:rPr>
        </w:r>
        <w:r w:rsidR="00304A20">
          <w:rPr>
            <w:webHidden/>
          </w:rPr>
          <w:fldChar w:fldCharType="separate"/>
        </w:r>
        <w:r w:rsidR="00304A20">
          <w:rPr>
            <w:webHidden/>
          </w:rPr>
          <w:t>172</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14" w:history="1">
        <w:r w:rsidR="00304A20" w:rsidRPr="00A245C5">
          <w:rPr>
            <w:rStyle w:val="Hyperlink"/>
          </w:rPr>
          <w:t>3.3</w:t>
        </w:r>
        <w:r w:rsidR="00304A20" w:rsidRPr="003D1D9A">
          <w:rPr>
            <w:rFonts w:ascii="Calibri" w:eastAsia="SimSun" w:hAnsi="Calibri"/>
            <w:smallCaps w:val="0"/>
            <w:sz w:val="22"/>
            <w:szCs w:val="22"/>
            <w:lang w:eastAsia="en-GB"/>
          </w:rPr>
          <w:tab/>
        </w:r>
        <w:r w:rsidR="00304A20" w:rsidRPr="00A245C5">
          <w:rPr>
            <w:rStyle w:val="Hyperlink"/>
          </w:rPr>
          <w:t>Dividend rights</w:t>
        </w:r>
        <w:r w:rsidR="00304A20">
          <w:rPr>
            <w:webHidden/>
          </w:rPr>
          <w:tab/>
        </w:r>
        <w:r w:rsidR="00304A20">
          <w:rPr>
            <w:webHidden/>
          </w:rPr>
          <w:fldChar w:fldCharType="begin"/>
        </w:r>
        <w:r w:rsidR="00304A20">
          <w:rPr>
            <w:webHidden/>
          </w:rPr>
          <w:instrText xml:space="preserve"> PAGEREF _Toc420593914 \h </w:instrText>
        </w:r>
        <w:r w:rsidR="00304A20">
          <w:rPr>
            <w:webHidden/>
          </w:rPr>
        </w:r>
        <w:r w:rsidR="00304A20">
          <w:rPr>
            <w:webHidden/>
          </w:rPr>
          <w:fldChar w:fldCharType="separate"/>
        </w:r>
        <w:r w:rsidR="00304A20">
          <w:rPr>
            <w:webHidden/>
          </w:rPr>
          <w:t>172</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15" w:history="1">
        <w:r w:rsidR="00304A20" w:rsidRPr="00A245C5">
          <w:rPr>
            <w:rStyle w:val="Hyperlink"/>
          </w:rPr>
          <w:t>3.4</w:t>
        </w:r>
        <w:r w:rsidR="00304A20" w:rsidRPr="003D1D9A">
          <w:rPr>
            <w:rFonts w:ascii="Calibri" w:eastAsia="SimSun" w:hAnsi="Calibri"/>
            <w:smallCaps w:val="0"/>
            <w:sz w:val="22"/>
            <w:szCs w:val="22"/>
            <w:lang w:eastAsia="en-GB"/>
          </w:rPr>
          <w:tab/>
        </w:r>
        <w:r w:rsidR="00304A20" w:rsidRPr="00A245C5">
          <w:rPr>
            <w:rStyle w:val="Hyperlink"/>
          </w:rPr>
          <w:t>Rights regarding liquidation</w:t>
        </w:r>
        <w:r w:rsidR="00304A20">
          <w:rPr>
            <w:webHidden/>
          </w:rPr>
          <w:tab/>
        </w:r>
        <w:r w:rsidR="00304A20">
          <w:rPr>
            <w:webHidden/>
          </w:rPr>
          <w:fldChar w:fldCharType="begin"/>
        </w:r>
        <w:r w:rsidR="00304A20">
          <w:rPr>
            <w:webHidden/>
          </w:rPr>
          <w:instrText xml:space="preserve"> PAGEREF _Toc420593915 \h </w:instrText>
        </w:r>
        <w:r w:rsidR="00304A20">
          <w:rPr>
            <w:webHidden/>
          </w:rPr>
        </w:r>
        <w:r w:rsidR="00304A20">
          <w:rPr>
            <w:webHidden/>
          </w:rPr>
          <w:fldChar w:fldCharType="separate"/>
        </w:r>
        <w:r w:rsidR="00304A20">
          <w:rPr>
            <w:webHidden/>
          </w:rPr>
          <w:t>173</w:t>
        </w:r>
        <w:r w:rsidR="00304A20">
          <w:rPr>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16" w:history="1">
        <w:r w:rsidR="00304A20" w:rsidRPr="00A245C5">
          <w:rPr>
            <w:rStyle w:val="Hyperlink"/>
            <w:noProof/>
          </w:rPr>
          <w:t>4.</w:t>
        </w:r>
        <w:r w:rsidR="00304A20" w:rsidRPr="003D1D9A">
          <w:rPr>
            <w:rFonts w:ascii="Calibri" w:eastAsia="SimSun" w:hAnsi="Calibri"/>
            <w:caps w:val="0"/>
            <w:noProof/>
            <w:sz w:val="22"/>
            <w:szCs w:val="22"/>
            <w:lang w:eastAsia="en-GB"/>
          </w:rPr>
          <w:tab/>
        </w:r>
        <w:r w:rsidR="00304A20" w:rsidRPr="00A245C5">
          <w:rPr>
            <w:rStyle w:val="Hyperlink"/>
            <w:noProof/>
          </w:rPr>
          <w:t>Acquisition of own shares</w:t>
        </w:r>
        <w:r w:rsidR="00304A20">
          <w:rPr>
            <w:noProof/>
            <w:webHidden/>
          </w:rPr>
          <w:tab/>
        </w:r>
        <w:r w:rsidR="00304A20">
          <w:rPr>
            <w:noProof/>
            <w:webHidden/>
          </w:rPr>
          <w:fldChar w:fldCharType="begin"/>
        </w:r>
        <w:r w:rsidR="00304A20">
          <w:rPr>
            <w:noProof/>
            <w:webHidden/>
          </w:rPr>
          <w:instrText xml:space="preserve"> PAGEREF _Toc420593916 \h </w:instrText>
        </w:r>
        <w:r w:rsidR="00304A20">
          <w:rPr>
            <w:noProof/>
            <w:webHidden/>
          </w:rPr>
        </w:r>
        <w:r w:rsidR="00304A20">
          <w:rPr>
            <w:noProof/>
            <w:webHidden/>
          </w:rPr>
          <w:fldChar w:fldCharType="separate"/>
        </w:r>
        <w:r w:rsidR="00304A20">
          <w:rPr>
            <w:noProof/>
            <w:webHidden/>
          </w:rPr>
          <w:t>173</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17" w:history="1">
        <w:r w:rsidR="00304A20" w:rsidRPr="00A245C5">
          <w:rPr>
            <w:rStyle w:val="Hyperlink"/>
            <w:noProof/>
          </w:rPr>
          <w:t>5.</w:t>
        </w:r>
        <w:r w:rsidR="00304A20" w:rsidRPr="003D1D9A">
          <w:rPr>
            <w:rFonts w:ascii="Calibri" w:eastAsia="SimSun" w:hAnsi="Calibri"/>
            <w:caps w:val="0"/>
            <w:noProof/>
            <w:sz w:val="22"/>
            <w:szCs w:val="22"/>
            <w:lang w:eastAsia="en-GB"/>
          </w:rPr>
          <w:tab/>
        </w:r>
        <w:r w:rsidR="00304A20" w:rsidRPr="00A245C5">
          <w:rPr>
            <w:rStyle w:val="Hyperlink"/>
            <w:noProof/>
          </w:rPr>
          <w:t>Authorised Capital</w:t>
        </w:r>
        <w:r w:rsidR="00304A20">
          <w:rPr>
            <w:noProof/>
            <w:webHidden/>
          </w:rPr>
          <w:tab/>
        </w:r>
        <w:r w:rsidR="00304A20">
          <w:rPr>
            <w:noProof/>
            <w:webHidden/>
          </w:rPr>
          <w:fldChar w:fldCharType="begin"/>
        </w:r>
        <w:r w:rsidR="00304A20">
          <w:rPr>
            <w:noProof/>
            <w:webHidden/>
          </w:rPr>
          <w:instrText xml:space="preserve"> PAGEREF _Toc420593917 \h </w:instrText>
        </w:r>
        <w:r w:rsidR="00304A20">
          <w:rPr>
            <w:noProof/>
            <w:webHidden/>
          </w:rPr>
        </w:r>
        <w:r w:rsidR="00304A20">
          <w:rPr>
            <w:noProof/>
            <w:webHidden/>
          </w:rPr>
          <w:fldChar w:fldCharType="separate"/>
        </w:r>
        <w:r w:rsidR="00304A20">
          <w:rPr>
            <w:noProof/>
            <w:webHidden/>
          </w:rPr>
          <w:t>173</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18" w:history="1">
        <w:r w:rsidR="00304A20" w:rsidRPr="00A245C5">
          <w:rPr>
            <w:rStyle w:val="Hyperlink"/>
            <w:noProof/>
          </w:rPr>
          <w:t>6.</w:t>
        </w:r>
        <w:r w:rsidR="00304A20" w:rsidRPr="003D1D9A">
          <w:rPr>
            <w:rFonts w:ascii="Calibri" w:eastAsia="SimSun" w:hAnsi="Calibri"/>
            <w:caps w:val="0"/>
            <w:noProof/>
            <w:sz w:val="22"/>
            <w:szCs w:val="22"/>
            <w:lang w:eastAsia="en-GB"/>
          </w:rPr>
          <w:tab/>
        </w:r>
        <w:r w:rsidR="00304A20" w:rsidRPr="00A245C5">
          <w:rPr>
            <w:rStyle w:val="Hyperlink"/>
            <w:noProof/>
          </w:rPr>
          <w:t>Relevant Legislation</w:t>
        </w:r>
        <w:r w:rsidR="00304A20">
          <w:rPr>
            <w:noProof/>
            <w:webHidden/>
          </w:rPr>
          <w:tab/>
        </w:r>
        <w:r w:rsidR="00304A20">
          <w:rPr>
            <w:noProof/>
            <w:webHidden/>
          </w:rPr>
          <w:fldChar w:fldCharType="begin"/>
        </w:r>
        <w:r w:rsidR="00304A20">
          <w:rPr>
            <w:noProof/>
            <w:webHidden/>
          </w:rPr>
          <w:instrText xml:space="preserve"> PAGEREF _Toc420593918 \h </w:instrText>
        </w:r>
        <w:r w:rsidR="00304A20">
          <w:rPr>
            <w:noProof/>
            <w:webHidden/>
          </w:rPr>
        </w:r>
        <w:r w:rsidR="00304A20">
          <w:rPr>
            <w:noProof/>
            <w:webHidden/>
          </w:rPr>
          <w:fldChar w:fldCharType="separate"/>
        </w:r>
        <w:r w:rsidR="00304A20">
          <w:rPr>
            <w:noProof/>
            <w:webHidden/>
          </w:rPr>
          <w:t>174</w:t>
        </w:r>
        <w:r w:rsidR="00304A20">
          <w:rPr>
            <w:noProof/>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19" w:history="1">
        <w:r w:rsidR="00304A20" w:rsidRPr="00A245C5">
          <w:rPr>
            <w:rStyle w:val="Hyperlink"/>
          </w:rPr>
          <w:t>6.1</w:t>
        </w:r>
        <w:r w:rsidR="00304A20" w:rsidRPr="003D1D9A">
          <w:rPr>
            <w:rFonts w:ascii="Calibri" w:eastAsia="SimSun" w:hAnsi="Calibri"/>
            <w:smallCaps w:val="0"/>
            <w:sz w:val="22"/>
            <w:szCs w:val="22"/>
            <w:lang w:eastAsia="en-GB"/>
          </w:rPr>
          <w:tab/>
        </w:r>
        <w:r w:rsidR="00304A20" w:rsidRPr="00A245C5">
          <w:rPr>
            <w:rStyle w:val="Hyperlink"/>
          </w:rPr>
          <w:t>Notification of significant shareholdings</w:t>
        </w:r>
        <w:r w:rsidR="00304A20">
          <w:rPr>
            <w:webHidden/>
          </w:rPr>
          <w:tab/>
        </w:r>
        <w:r w:rsidR="00304A20">
          <w:rPr>
            <w:webHidden/>
          </w:rPr>
          <w:fldChar w:fldCharType="begin"/>
        </w:r>
        <w:r w:rsidR="00304A20">
          <w:rPr>
            <w:webHidden/>
          </w:rPr>
          <w:instrText xml:space="preserve"> PAGEREF _Toc420593919 \h </w:instrText>
        </w:r>
        <w:r w:rsidR="00304A20">
          <w:rPr>
            <w:webHidden/>
          </w:rPr>
        </w:r>
        <w:r w:rsidR="00304A20">
          <w:rPr>
            <w:webHidden/>
          </w:rPr>
          <w:fldChar w:fldCharType="separate"/>
        </w:r>
        <w:r w:rsidR="00304A20">
          <w:rPr>
            <w:webHidden/>
          </w:rPr>
          <w:t>174</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20" w:history="1">
        <w:r w:rsidR="00304A20" w:rsidRPr="00A245C5">
          <w:rPr>
            <w:rStyle w:val="Hyperlink"/>
          </w:rPr>
          <w:t>6.2</w:t>
        </w:r>
        <w:r w:rsidR="00304A20" w:rsidRPr="003D1D9A">
          <w:rPr>
            <w:rFonts w:ascii="Calibri" w:eastAsia="SimSun" w:hAnsi="Calibri"/>
            <w:smallCaps w:val="0"/>
            <w:sz w:val="22"/>
            <w:szCs w:val="22"/>
            <w:lang w:eastAsia="en-GB"/>
          </w:rPr>
          <w:tab/>
        </w:r>
        <w:r w:rsidR="00304A20" w:rsidRPr="00A245C5">
          <w:rPr>
            <w:rStyle w:val="Hyperlink"/>
          </w:rPr>
          <w:t>Public takeover bids</w:t>
        </w:r>
        <w:r w:rsidR="00304A20">
          <w:rPr>
            <w:webHidden/>
          </w:rPr>
          <w:tab/>
        </w:r>
        <w:r w:rsidR="00304A20">
          <w:rPr>
            <w:webHidden/>
          </w:rPr>
          <w:fldChar w:fldCharType="begin"/>
        </w:r>
        <w:r w:rsidR="00304A20">
          <w:rPr>
            <w:webHidden/>
          </w:rPr>
          <w:instrText xml:space="preserve"> PAGEREF _Toc420593920 \h </w:instrText>
        </w:r>
        <w:r w:rsidR="00304A20">
          <w:rPr>
            <w:webHidden/>
          </w:rPr>
        </w:r>
        <w:r w:rsidR="00304A20">
          <w:rPr>
            <w:webHidden/>
          </w:rPr>
          <w:fldChar w:fldCharType="separate"/>
        </w:r>
        <w:r w:rsidR="00304A20">
          <w:rPr>
            <w:webHidden/>
          </w:rPr>
          <w:t>175</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21" w:history="1">
        <w:r w:rsidR="00304A20" w:rsidRPr="00A245C5">
          <w:rPr>
            <w:rStyle w:val="Hyperlink"/>
          </w:rPr>
          <w:t>6.3</w:t>
        </w:r>
        <w:r w:rsidR="00304A20" w:rsidRPr="003D1D9A">
          <w:rPr>
            <w:rFonts w:ascii="Calibri" w:eastAsia="SimSun" w:hAnsi="Calibri"/>
            <w:smallCaps w:val="0"/>
            <w:sz w:val="22"/>
            <w:szCs w:val="22"/>
            <w:lang w:eastAsia="en-GB"/>
          </w:rPr>
          <w:tab/>
        </w:r>
        <w:r w:rsidR="00304A20" w:rsidRPr="00A245C5">
          <w:rPr>
            <w:rStyle w:val="Hyperlink"/>
          </w:rPr>
          <w:t>Squeeze-outs</w:t>
        </w:r>
        <w:r w:rsidR="00304A20">
          <w:rPr>
            <w:webHidden/>
          </w:rPr>
          <w:tab/>
        </w:r>
        <w:r w:rsidR="00304A20">
          <w:rPr>
            <w:webHidden/>
          </w:rPr>
          <w:fldChar w:fldCharType="begin"/>
        </w:r>
        <w:r w:rsidR="00304A20">
          <w:rPr>
            <w:webHidden/>
          </w:rPr>
          <w:instrText xml:space="preserve"> PAGEREF _Toc420593921 \h </w:instrText>
        </w:r>
        <w:r w:rsidR="00304A20">
          <w:rPr>
            <w:webHidden/>
          </w:rPr>
        </w:r>
        <w:r w:rsidR="00304A20">
          <w:rPr>
            <w:webHidden/>
          </w:rPr>
          <w:fldChar w:fldCharType="separate"/>
        </w:r>
        <w:r w:rsidR="00304A20">
          <w:rPr>
            <w:webHidden/>
          </w:rPr>
          <w:t>175</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22" w:history="1">
        <w:r w:rsidR="00304A20" w:rsidRPr="00A245C5">
          <w:rPr>
            <w:rStyle w:val="Hyperlink"/>
          </w:rPr>
          <w:t>6.4</w:t>
        </w:r>
        <w:r w:rsidR="00304A20" w:rsidRPr="003D1D9A">
          <w:rPr>
            <w:rFonts w:ascii="Calibri" w:eastAsia="SimSun" w:hAnsi="Calibri"/>
            <w:smallCaps w:val="0"/>
            <w:sz w:val="22"/>
            <w:szCs w:val="22"/>
            <w:lang w:eastAsia="en-GB"/>
          </w:rPr>
          <w:tab/>
        </w:r>
        <w:r w:rsidR="00304A20" w:rsidRPr="00A245C5">
          <w:rPr>
            <w:rStyle w:val="Hyperlink"/>
          </w:rPr>
          <w:t>Sell-out rights</w:t>
        </w:r>
        <w:r w:rsidR="00304A20">
          <w:rPr>
            <w:webHidden/>
          </w:rPr>
          <w:tab/>
        </w:r>
        <w:r w:rsidR="00304A20">
          <w:rPr>
            <w:webHidden/>
          </w:rPr>
          <w:fldChar w:fldCharType="begin"/>
        </w:r>
        <w:r w:rsidR="00304A20">
          <w:rPr>
            <w:webHidden/>
          </w:rPr>
          <w:instrText xml:space="preserve"> PAGEREF _Toc420593922 \h </w:instrText>
        </w:r>
        <w:r w:rsidR="00304A20">
          <w:rPr>
            <w:webHidden/>
          </w:rPr>
        </w:r>
        <w:r w:rsidR="00304A20">
          <w:rPr>
            <w:webHidden/>
          </w:rPr>
          <w:fldChar w:fldCharType="separate"/>
        </w:r>
        <w:r w:rsidR="00304A20">
          <w:rPr>
            <w:webHidden/>
          </w:rPr>
          <w:t>175</w:t>
        </w:r>
        <w:r w:rsidR="00304A20">
          <w:rPr>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23" w:history="1">
        <w:r w:rsidR="00304A20" w:rsidRPr="00A245C5">
          <w:rPr>
            <w:rStyle w:val="Hyperlink"/>
            <w:noProof/>
          </w:rPr>
          <w:t>PART VIII: Related party transactions</w:t>
        </w:r>
        <w:r w:rsidR="00304A20">
          <w:rPr>
            <w:noProof/>
            <w:webHidden/>
          </w:rPr>
          <w:tab/>
        </w:r>
        <w:r w:rsidR="00304A20">
          <w:rPr>
            <w:noProof/>
            <w:webHidden/>
          </w:rPr>
          <w:fldChar w:fldCharType="begin"/>
        </w:r>
        <w:r w:rsidR="00304A20">
          <w:rPr>
            <w:noProof/>
            <w:webHidden/>
          </w:rPr>
          <w:instrText xml:space="preserve"> PAGEREF _Toc420593923 \h </w:instrText>
        </w:r>
        <w:r w:rsidR="00304A20">
          <w:rPr>
            <w:noProof/>
            <w:webHidden/>
          </w:rPr>
        </w:r>
        <w:r w:rsidR="00304A20">
          <w:rPr>
            <w:noProof/>
            <w:webHidden/>
          </w:rPr>
          <w:fldChar w:fldCharType="separate"/>
        </w:r>
        <w:r w:rsidR="00304A20">
          <w:rPr>
            <w:noProof/>
            <w:webHidden/>
          </w:rPr>
          <w:t>177</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24" w:history="1">
        <w:r w:rsidR="00304A20" w:rsidRPr="00A245C5">
          <w:rPr>
            <w:rStyle w:val="Hyperlink"/>
            <w:noProof/>
          </w:rPr>
          <w:t>1.</w:t>
        </w:r>
        <w:r w:rsidR="00304A20" w:rsidRPr="003D1D9A">
          <w:rPr>
            <w:rFonts w:ascii="Calibri" w:eastAsia="SimSun" w:hAnsi="Calibri"/>
            <w:caps w:val="0"/>
            <w:noProof/>
            <w:sz w:val="22"/>
            <w:szCs w:val="22"/>
            <w:lang w:eastAsia="en-GB"/>
          </w:rPr>
          <w:tab/>
        </w:r>
        <w:r w:rsidR="00304A20" w:rsidRPr="00A245C5">
          <w:rPr>
            <w:rStyle w:val="Hyperlink"/>
            <w:noProof/>
          </w:rPr>
          <w:t>Overview of the links between the Greenyard Foods Group and affiliated entities</w:t>
        </w:r>
        <w:r w:rsidR="00304A20">
          <w:rPr>
            <w:noProof/>
            <w:webHidden/>
          </w:rPr>
          <w:tab/>
        </w:r>
        <w:r w:rsidR="00304A20">
          <w:rPr>
            <w:noProof/>
            <w:webHidden/>
          </w:rPr>
          <w:fldChar w:fldCharType="begin"/>
        </w:r>
        <w:r w:rsidR="00304A20">
          <w:rPr>
            <w:noProof/>
            <w:webHidden/>
          </w:rPr>
          <w:instrText xml:space="preserve"> PAGEREF _Toc420593924 \h </w:instrText>
        </w:r>
        <w:r w:rsidR="00304A20">
          <w:rPr>
            <w:noProof/>
            <w:webHidden/>
          </w:rPr>
        </w:r>
        <w:r w:rsidR="00304A20">
          <w:rPr>
            <w:noProof/>
            <w:webHidden/>
          </w:rPr>
          <w:fldChar w:fldCharType="separate"/>
        </w:r>
        <w:r w:rsidR="00304A20">
          <w:rPr>
            <w:noProof/>
            <w:webHidden/>
          </w:rPr>
          <w:t>177</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25" w:history="1">
        <w:r w:rsidR="00304A20" w:rsidRPr="00A245C5">
          <w:rPr>
            <w:rStyle w:val="Hyperlink"/>
            <w:noProof/>
          </w:rPr>
          <w:t>2.</w:t>
        </w:r>
        <w:r w:rsidR="00304A20" w:rsidRPr="003D1D9A">
          <w:rPr>
            <w:rFonts w:ascii="Calibri" w:eastAsia="SimSun" w:hAnsi="Calibri"/>
            <w:caps w:val="0"/>
            <w:noProof/>
            <w:sz w:val="22"/>
            <w:szCs w:val="22"/>
            <w:lang w:eastAsia="en-GB"/>
          </w:rPr>
          <w:tab/>
        </w:r>
        <w:r w:rsidR="00304A20" w:rsidRPr="00A245C5">
          <w:rPr>
            <w:rStyle w:val="Hyperlink"/>
            <w:noProof/>
          </w:rPr>
          <w:t>Relationships between Greenyard Foods and entities affiliated with Greenyard Foods</w:t>
        </w:r>
        <w:r w:rsidR="00304A20">
          <w:rPr>
            <w:noProof/>
            <w:webHidden/>
          </w:rPr>
          <w:tab/>
        </w:r>
        <w:r w:rsidR="00304A20">
          <w:rPr>
            <w:noProof/>
            <w:webHidden/>
          </w:rPr>
          <w:fldChar w:fldCharType="begin"/>
        </w:r>
        <w:r w:rsidR="00304A20">
          <w:rPr>
            <w:noProof/>
            <w:webHidden/>
          </w:rPr>
          <w:instrText xml:space="preserve"> PAGEREF _Toc420593925 \h </w:instrText>
        </w:r>
        <w:r w:rsidR="00304A20">
          <w:rPr>
            <w:noProof/>
            <w:webHidden/>
          </w:rPr>
        </w:r>
        <w:r w:rsidR="00304A20">
          <w:rPr>
            <w:noProof/>
            <w:webHidden/>
          </w:rPr>
          <w:fldChar w:fldCharType="separate"/>
        </w:r>
        <w:r w:rsidR="00304A20">
          <w:rPr>
            <w:noProof/>
            <w:webHidden/>
          </w:rPr>
          <w:t>177</w:t>
        </w:r>
        <w:r w:rsidR="00304A20">
          <w:rPr>
            <w:noProof/>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26" w:history="1">
        <w:r w:rsidR="00304A20" w:rsidRPr="00A245C5">
          <w:rPr>
            <w:rStyle w:val="Hyperlink"/>
          </w:rPr>
          <w:t>2.1</w:t>
        </w:r>
        <w:r w:rsidR="00304A20" w:rsidRPr="003D1D9A">
          <w:rPr>
            <w:rFonts w:ascii="Calibri" w:eastAsia="SimSun" w:hAnsi="Calibri"/>
            <w:smallCaps w:val="0"/>
            <w:sz w:val="22"/>
            <w:szCs w:val="22"/>
            <w:lang w:eastAsia="en-GB"/>
          </w:rPr>
          <w:tab/>
        </w:r>
        <w:r w:rsidR="00304A20" w:rsidRPr="00A245C5">
          <w:rPr>
            <w:rStyle w:val="Hyperlink"/>
          </w:rPr>
          <w:t>Related-party transactions relating to Greenyard Foods and its existing subsidiaries</w:t>
        </w:r>
        <w:r w:rsidR="00304A20">
          <w:rPr>
            <w:webHidden/>
          </w:rPr>
          <w:tab/>
        </w:r>
        <w:r w:rsidR="00304A20">
          <w:rPr>
            <w:webHidden/>
          </w:rPr>
          <w:fldChar w:fldCharType="begin"/>
        </w:r>
        <w:r w:rsidR="00304A20">
          <w:rPr>
            <w:webHidden/>
          </w:rPr>
          <w:instrText xml:space="preserve"> PAGEREF _Toc420593926 \h </w:instrText>
        </w:r>
        <w:r w:rsidR="00304A20">
          <w:rPr>
            <w:webHidden/>
          </w:rPr>
        </w:r>
        <w:r w:rsidR="00304A20">
          <w:rPr>
            <w:webHidden/>
          </w:rPr>
          <w:fldChar w:fldCharType="separate"/>
        </w:r>
        <w:r w:rsidR="00304A20">
          <w:rPr>
            <w:webHidden/>
          </w:rPr>
          <w:t>177</w:t>
        </w:r>
        <w:r w:rsidR="00304A20">
          <w:rPr>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27" w:history="1">
        <w:r w:rsidR="00304A20" w:rsidRPr="00A245C5">
          <w:rPr>
            <w:rStyle w:val="Hyperlink"/>
            <w:noProof/>
          </w:rPr>
          <w:t>3.</w:t>
        </w:r>
        <w:r w:rsidR="00304A20" w:rsidRPr="003D1D9A">
          <w:rPr>
            <w:rFonts w:ascii="Calibri" w:eastAsia="SimSun" w:hAnsi="Calibri"/>
            <w:caps w:val="0"/>
            <w:noProof/>
            <w:sz w:val="22"/>
            <w:szCs w:val="22"/>
            <w:lang w:eastAsia="en-GB"/>
          </w:rPr>
          <w:tab/>
        </w:r>
        <w:r w:rsidR="00304A20" w:rsidRPr="00A245C5">
          <w:rPr>
            <w:rStyle w:val="Hyperlink"/>
            <w:noProof/>
          </w:rPr>
          <w:t>Related-party transactions relating to entities of the Univeg Group</w:t>
        </w:r>
        <w:r w:rsidR="00304A20">
          <w:rPr>
            <w:noProof/>
            <w:webHidden/>
          </w:rPr>
          <w:tab/>
        </w:r>
        <w:r w:rsidR="00304A20">
          <w:rPr>
            <w:noProof/>
            <w:webHidden/>
          </w:rPr>
          <w:fldChar w:fldCharType="begin"/>
        </w:r>
        <w:r w:rsidR="00304A20">
          <w:rPr>
            <w:noProof/>
            <w:webHidden/>
          </w:rPr>
          <w:instrText xml:space="preserve"> PAGEREF _Toc420593927 \h </w:instrText>
        </w:r>
        <w:r w:rsidR="00304A20">
          <w:rPr>
            <w:noProof/>
            <w:webHidden/>
          </w:rPr>
        </w:r>
        <w:r w:rsidR="00304A20">
          <w:rPr>
            <w:noProof/>
            <w:webHidden/>
          </w:rPr>
          <w:fldChar w:fldCharType="separate"/>
        </w:r>
        <w:r w:rsidR="00304A20">
          <w:rPr>
            <w:noProof/>
            <w:webHidden/>
          </w:rPr>
          <w:t>177</w:t>
        </w:r>
        <w:r w:rsidR="00304A20">
          <w:rPr>
            <w:noProof/>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28" w:history="1">
        <w:r w:rsidR="00304A20" w:rsidRPr="00A245C5">
          <w:rPr>
            <w:rStyle w:val="Hyperlink"/>
          </w:rPr>
          <w:t>3.1</w:t>
        </w:r>
        <w:r w:rsidR="00304A20" w:rsidRPr="003D1D9A">
          <w:rPr>
            <w:rFonts w:ascii="Calibri" w:eastAsia="SimSun" w:hAnsi="Calibri"/>
            <w:smallCaps w:val="0"/>
            <w:sz w:val="22"/>
            <w:szCs w:val="22"/>
            <w:lang w:eastAsia="en-GB"/>
          </w:rPr>
          <w:tab/>
        </w:r>
        <w:r w:rsidR="00304A20" w:rsidRPr="00A245C5">
          <w:rPr>
            <w:rStyle w:val="Hyperlink"/>
          </w:rPr>
          <w:t>The Fruit Farm Group</w:t>
        </w:r>
        <w:r w:rsidR="00304A20">
          <w:rPr>
            <w:webHidden/>
          </w:rPr>
          <w:tab/>
        </w:r>
        <w:r w:rsidR="00304A20">
          <w:rPr>
            <w:webHidden/>
          </w:rPr>
          <w:fldChar w:fldCharType="begin"/>
        </w:r>
        <w:r w:rsidR="00304A20">
          <w:rPr>
            <w:webHidden/>
          </w:rPr>
          <w:instrText xml:space="preserve"> PAGEREF _Toc420593928 \h </w:instrText>
        </w:r>
        <w:r w:rsidR="00304A20">
          <w:rPr>
            <w:webHidden/>
          </w:rPr>
        </w:r>
        <w:r w:rsidR="00304A20">
          <w:rPr>
            <w:webHidden/>
          </w:rPr>
          <w:fldChar w:fldCharType="separate"/>
        </w:r>
        <w:r w:rsidR="00304A20">
          <w:rPr>
            <w:webHidden/>
          </w:rPr>
          <w:t>177</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29" w:history="1">
        <w:r w:rsidR="00304A20" w:rsidRPr="00A245C5">
          <w:rPr>
            <w:rStyle w:val="Hyperlink"/>
          </w:rPr>
          <w:t>3.2</w:t>
        </w:r>
        <w:r w:rsidR="00304A20" w:rsidRPr="003D1D9A">
          <w:rPr>
            <w:rFonts w:ascii="Calibri" w:eastAsia="SimSun" w:hAnsi="Calibri"/>
            <w:smallCaps w:val="0"/>
            <w:sz w:val="22"/>
            <w:szCs w:val="22"/>
            <w:lang w:eastAsia="en-GB"/>
          </w:rPr>
          <w:tab/>
        </w:r>
        <w:r w:rsidR="00304A20" w:rsidRPr="00A245C5">
          <w:rPr>
            <w:rStyle w:val="Hyperlink"/>
          </w:rPr>
          <w:t>Argentinean Operations</w:t>
        </w:r>
        <w:r w:rsidR="00304A20">
          <w:rPr>
            <w:webHidden/>
          </w:rPr>
          <w:tab/>
        </w:r>
        <w:r w:rsidR="00304A20">
          <w:rPr>
            <w:webHidden/>
          </w:rPr>
          <w:fldChar w:fldCharType="begin"/>
        </w:r>
        <w:r w:rsidR="00304A20">
          <w:rPr>
            <w:webHidden/>
          </w:rPr>
          <w:instrText xml:space="preserve"> PAGEREF _Toc420593929 \h </w:instrText>
        </w:r>
        <w:r w:rsidR="00304A20">
          <w:rPr>
            <w:webHidden/>
          </w:rPr>
        </w:r>
        <w:r w:rsidR="00304A20">
          <w:rPr>
            <w:webHidden/>
          </w:rPr>
          <w:fldChar w:fldCharType="separate"/>
        </w:r>
        <w:r w:rsidR="00304A20">
          <w:rPr>
            <w:webHidden/>
          </w:rPr>
          <w:t>177</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30" w:history="1">
        <w:r w:rsidR="00304A20" w:rsidRPr="00A245C5">
          <w:rPr>
            <w:rStyle w:val="Hyperlink"/>
          </w:rPr>
          <w:t>3.3</w:t>
        </w:r>
        <w:r w:rsidR="00304A20" w:rsidRPr="003D1D9A">
          <w:rPr>
            <w:rFonts w:ascii="Calibri" w:eastAsia="SimSun" w:hAnsi="Calibri"/>
            <w:smallCaps w:val="0"/>
            <w:sz w:val="22"/>
            <w:szCs w:val="22"/>
            <w:lang w:eastAsia="en-GB"/>
          </w:rPr>
          <w:tab/>
        </w:r>
        <w:r w:rsidR="00304A20" w:rsidRPr="00A245C5">
          <w:rPr>
            <w:rStyle w:val="Hyperlink"/>
          </w:rPr>
          <w:t>Subordinated shareholder loan agreement</w:t>
        </w:r>
        <w:r w:rsidR="00304A20">
          <w:rPr>
            <w:webHidden/>
          </w:rPr>
          <w:tab/>
        </w:r>
        <w:r w:rsidR="00304A20">
          <w:rPr>
            <w:webHidden/>
          </w:rPr>
          <w:fldChar w:fldCharType="begin"/>
        </w:r>
        <w:r w:rsidR="00304A20">
          <w:rPr>
            <w:webHidden/>
          </w:rPr>
          <w:instrText xml:space="preserve"> PAGEREF _Toc420593930 \h </w:instrText>
        </w:r>
        <w:r w:rsidR="00304A20">
          <w:rPr>
            <w:webHidden/>
          </w:rPr>
        </w:r>
        <w:r w:rsidR="00304A20">
          <w:rPr>
            <w:webHidden/>
          </w:rPr>
          <w:fldChar w:fldCharType="separate"/>
        </w:r>
        <w:r w:rsidR="00304A20">
          <w:rPr>
            <w:webHidden/>
          </w:rPr>
          <w:t>178</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31" w:history="1">
        <w:r w:rsidR="00304A20" w:rsidRPr="00A245C5">
          <w:rPr>
            <w:rStyle w:val="Hyperlink"/>
          </w:rPr>
          <w:t>3.4</w:t>
        </w:r>
        <w:r w:rsidR="00304A20" w:rsidRPr="003D1D9A">
          <w:rPr>
            <w:rFonts w:ascii="Calibri" w:eastAsia="SimSun" w:hAnsi="Calibri"/>
            <w:smallCaps w:val="0"/>
            <w:sz w:val="22"/>
            <w:szCs w:val="22"/>
            <w:lang w:eastAsia="en-GB"/>
          </w:rPr>
          <w:tab/>
        </w:r>
        <w:r w:rsidR="00304A20" w:rsidRPr="00A245C5">
          <w:rPr>
            <w:rStyle w:val="Hyperlink"/>
          </w:rPr>
          <w:t>Lease in Poland</w:t>
        </w:r>
        <w:r w:rsidR="00304A20">
          <w:rPr>
            <w:webHidden/>
          </w:rPr>
          <w:tab/>
        </w:r>
        <w:r w:rsidR="00304A20">
          <w:rPr>
            <w:webHidden/>
          </w:rPr>
          <w:fldChar w:fldCharType="begin"/>
        </w:r>
        <w:r w:rsidR="00304A20">
          <w:rPr>
            <w:webHidden/>
          </w:rPr>
          <w:instrText xml:space="preserve"> PAGEREF _Toc420593931 \h </w:instrText>
        </w:r>
        <w:r w:rsidR="00304A20">
          <w:rPr>
            <w:webHidden/>
          </w:rPr>
        </w:r>
        <w:r w:rsidR="00304A20">
          <w:rPr>
            <w:webHidden/>
          </w:rPr>
          <w:fldChar w:fldCharType="separate"/>
        </w:r>
        <w:r w:rsidR="00304A20">
          <w:rPr>
            <w:webHidden/>
          </w:rPr>
          <w:t>178</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32" w:history="1">
        <w:r w:rsidR="00304A20" w:rsidRPr="00A245C5">
          <w:rPr>
            <w:rStyle w:val="Hyperlink"/>
          </w:rPr>
          <w:t>3.5</w:t>
        </w:r>
        <w:r w:rsidR="00304A20" w:rsidRPr="003D1D9A">
          <w:rPr>
            <w:rFonts w:ascii="Calibri" w:eastAsia="SimSun" w:hAnsi="Calibri"/>
            <w:smallCaps w:val="0"/>
            <w:sz w:val="22"/>
            <w:szCs w:val="22"/>
            <w:lang w:eastAsia="en-GB"/>
          </w:rPr>
          <w:tab/>
        </w:r>
        <w:r w:rsidR="00304A20" w:rsidRPr="00A245C5">
          <w:rPr>
            <w:rStyle w:val="Hyperlink"/>
          </w:rPr>
          <w:t>Contemplated divestments</w:t>
        </w:r>
        <w:r w:rsidR="00304A20">
          <w:rPr>
            <w:webHidden/>
          </w:rPr>
          <w:tab/>
        </w:r>
        <w:r w:rsidR="00304A20">
          <w:rPr>
            <w:webHidden/>
          </w:rPr>
          <w:fldChar w:fldCharType="begin"/>
        </w:r>
        <w:r w:rsidR="00304A20">
          <w:rPr>
            <w:webHidden/>
          </w:rPr>
          <w:instrText xml:space="preserve"> PAGEREF _Toc420593932 \h </w:instrText>
        </w:r>
        <w:r w:rsidR="00304A20">
          <w:rPr>
            <w:webHidden/>
          </w:rPr>
        </w:r>
        <w:r w:rsidR="00304A20">
          <w:rPr>
            <w:webHidden/>
          </w:rPr>
          <w:fldChar w:fldCharType="separate"/>
        </w:r>
        <w:r w:rsidR="00304A20">
          <w:rPr>
            <w:webHidden/>
          </w:rPr>
          <w:t>179</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33" w:history="1">
        <w:r w:rsidR="00304A20" w:rsidRPr="00A245C5">
          <w:rPr>
            <w:rStyle w:val="Hyperlink"/>
          </w:rPr>
          <w:t>3.6</w:t>
        </w:r>
        <w:r w:rsidR="00304A20" w:rsidRPr="003D1D9A">
          <w:rPr>
            <w:rFonts w:ascii="Calibri" w:eastAsia="SimSun" w:hAnsi="Calibri"/>
            <w:smallCaps w:val="0"/>
            <w:sz w:val="22"/>
            <w:szCs w:val="22"/>
            <w:lang w:eastAsia="en-GB"/>
          </w:rPr>
          <w:tab/>
        </w:r>
        <w:r w:rsidR="00304A20" w:rsidRPr="00A245C5">
          <w:rPr>
            <w:rStyle w:val="Hyperlink"/>
          </w:rPr>
          <w:t>Lincsflora</w:t>
        </w:r>
        <w:r w:rsidR="00304A20">
          <w:rPr>
            <w:webHidden/>
          </w:rPr>
          <w:tab/>
        </w:r>
        <w:r w:rsidR="00304A20">
          <w:rPr>
            <w:webHidden/>
          </w:rPr>
          <w:fldChar w:fldCharType="begin"/>
        </w:r>
        <w:r w:rsidR="00304A20">
          <w:rPr>
            <w:webHidden/>
          </w:rPr>
          <w:instrText xml:space="preserve"> PAGEREF _Toc420593933 \h </w:instrText>
        </w:r>
        <w:r w:rsidR="00304A20">
          <w:rPr>
            <w:webHidden/>
          </w:rPr>
        </w:r>
        <w:r w:rsidR="00304A20">
          <w:rPr>
            <w:webHidden/>
          </w:rPr>
          <w:fldChar w:fldCharType="separate"/>
        </w:r>
        <w:r w:rsidR="00304A20">
          <w:rPr>
            <w:webHidden/>
          </w:rPr>
          <w:t>179</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34" w:history="1">
        <w:r w:rsidR="00304A20" w:rsidRPr="00A245C5">
          <w:rPr>
            <w:rStyle w:val="Hyperlink"/>
          </w:rPr>
          <w:t>3.7</w:t>
        </w:r>
        <w:r w:rsidR="00304A20" w:rsidRPr="003D1D9A">
          <w:rPr>
            <w:rFonts w:ascii="Calibri" w:eastAsia="SimSun" w:hAnsi="Calibri"/>
            <w:smallCaps w:val="0"/>
            <w:sz w:val="22"/>
            <w:szCs w:val="22"/>
            <w:lang w:eastAsia="en-GB"/>
          </w:rPr>
          <w:tab/>
        </w:r>
        <w:r w:rsidR="00304A20" w:rsidRPr="00A245C5">
          <w:rPr>
            <w:rStyle w:val="Hyperlink"/>
          </w:rPr>
          <w:t>Services agreement</w:t>
        </w:r>
        <w:r w:rsidR="00304A20">
          <w:rPr>
            <w:webHidden/>
          </w:rPr>
          <w:tab/>
        </w:r>
        <w:r w:rsidR="00304A20">
          <w:rPr>
            <w:webHidden/>
          </w:rPr>
          <w:fldChar w:fldCharType="begin"/>
        </w:r>
        <w:r w:rsidR="00304A20">
          <w:rPr>
            <w:webHidden/>
          </w:rPr>
          <w:instrText xml:space="preserve"> PAGEREF _Toc420593934 \h </w:instrText>
        </w:r>
        <w:r w:rsidR="00304A20">
          <w:rPr>
            <w:webHidden/>
          </w:rPr>
        </w:r>
        <w:r w:rsidR="00304A20">
          <w:rPr>
            <w:webHidden/>
          </w:rPr>
          <w:fldChar w:fldCharType="separate"/>
        </w:r>
        <w:r w:rsidR="00304A20">
          <w:rPr>
            <w:webHidden/>
          </w:rPr>
          <w:t>179</w:t>
        </w:r>
        <w:r w:rsidR="00304A20">
          <w:rPr>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35" w:history="1">
        <w:r w:rsidR="00304A20" w:rsidRPr="00A245C5">
          <w:rPr>
            <w:rStyle w:val="Hyperlink"/>
            <w:noProof/>
          </w:rPr>
          <w:t>4.</w:t>
        </w:r>
        <w:r w:rsidR="00304A20" w:rsidRPr="003D1D9A">
          <w:rPr>
            <w:rFonts w:ascii="Calibri" w:eastAsia="SimSun" w:hAnsi="Calibri"/>
            <w:caps w:val="0"/>
            <w:noProof/>
            <w:sz w:val="22"/>
            <w:szCs w:val="22"/>
            <w:lang w:eastAsia="en-GB"/>
          </w:rPr>
          <w:tab/>
        </w:r>
        <w:r w:rsidR="00304A20" w:rsidRPr="00A245C5">
          <w:rPr>
            <w:rStyle w:val="Hyperlink"/>
            <w:noProof/>
          </w:rPr>
          <w:t>Related-party transactions relating to entities of the Peatinvest group</w:t>
        </w:r>
        <w:r w:rsidR="00304A20">
          <w:rPr>
            <w:noProof/>
            <w:webHidden/>
          </w:rPr>
          <w:tab/>
        </w:r>
        <w:r w:rsidR="00304A20">
          <w:rPr>
            <w:noProof/>
            <w:webHidden/>
          </w:rPr>
          <w:fldChar w:fldCharType="begin"/>
        </w:r>
        <w:r w:rsidR="00304A20">
          <w:rPr>
            <w:noProof/>
            <w:webHidden/>
          </w:rPr>
          <w:instrText xml:space="preserve"> PAGEREF _Toc420593935 \h </w:instrText>
        </w:r>
        <w:r w:rsidR="00304A20">
          <w:rPr>
            <w:noProof/>
            <w:webHidden/>
          </w:rPr>
        </w:r>
        <w:r w:rsidR="00304A20">
          <w:rPr>
            <w:noProof/>
            <w:webHidden/>
          </w:rPr>
          <w:fldChar w:fldCharType="separate"/>
        </w:r>
        <w:r w:rsidR="00304A20">
          <w:rPr>
            <w:noProof/>
            <w:webHidden/>
          </w:rPr>
          <w:t>179</w:t>
        </w:r>
        <w:r w:rsidR="00304A20">
          <w:rPr>
            <w:noProof/>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36" w:history="1">
        <w:r w:rsidR="00304A20" w:rsidRPr="00A245C5">
          <w:rPr>
            <w:rStyle w:val="Hyperlink"/>
          </w:rPr>
          <w:t>4.1</w:t>
        </w:r>
        <w:r w:rsidR="00304A20" w:rsidRPr="003D1D9A">
          <w:rPr>
            <w:rFonts w:ascii="Calibri" w:eastAsia="SimSun" w:hAnsi="Calibri"/>
            <w:smallCaps w:val="0"/>
            <w:sz w:val="22"/>
            <w:szCs w:val="22"/>
            <w:lang w:eastAsia="en-GB"/>
          </w:rPr>
          <w:tab/>
        </w:r>
        <w:r w:rsidR="00304A20" w:rsidRPr="00A245C5">
          <w:rPr>
            <w:rStyle w:val="Hyperlink"/>
          </w:rPr>
          <w:t>Loan Agreement between Deprez Holding NV (as borrower) and Peatinvest (as lender) dated 29 December 2014.</w:t>
        </w:r>
        <w:r w:rsidR="00304A20">
          <w:rPr>
            <w:webHidden/>
          </w:rPr>
          <w:tab/>
        </w:r>
        <w:r w:rsidR="00304A20">
          <w:rPr>
            <w:webHidden/>
          </w:rPr>
          <w:fldChar w:fldCharType="begin"/>
        </w:r>
        <w:r w:rsidR="00304A20">
          <w:rPr>
            <w:webHidden/>
          </w:rPr>
          <w:instrText xml:space="preserve"> PAGEREF _Toc420593936 \h </w:instrText>
        </w:r>
        <w:r w:rsidR="00304A20">
          <w:rPr>
            <w:webHidden/>
          </w:rPr>
        </w:r>
        <w:r w:rsidR="00304A20">
          <w:rPr>
            <w:webHidden/>
          </w:rPr>
          <w:fldChar w:fldCharType="separate"/>
        </w:r>
        <w:r w:rsidR="00304A20">
          <w:rPr>
            <w:webHidden/>
          </w:rPr>
          <w:t>179</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37" w:history="1">
        <w:r w:rsidR="00304A20" w:rsidRPr="00A245C5">
          <w:rPr>
            <w:rStyle w:val="Hyperlink"/>
          </w:rPr>
          <w:t>4.2</w:t>
        </w:r>
        <w:r w:rsidR="00304A20" w:rsidRPr="003D1D9A">
          <w:rPr>
            <w:rFonts w:ascii="Calibri" w:eastAsia="SimSun" w:hAnsi="Calibri"/>
            <w:smallCaps w:val="0"/>
            <w:sz w:val="22"/>
            <w:szCs w:val="22"/>
            <w:lang w:eastAsia="en-GB"/>
          </w:rPr>
          <w:tab/>
        </w:r>
        <w:r w:rsidR="00304A20" w:rsidRPr="00A245C5">
          <w:rPr>
            <w:rStyle w:val="Hyperlink"/>
          </w:rPr>
          <w:t>Services agreement</w:t>
        </w:r>
        <w:r w:rsidR="00304A20">
          <w:rPr>
            <w:webHidden/>
          </w:rPr>
          <w:tab/>
        </w:r>
        <w:r w:rsidR="00304A20">
          <w:rPr>
            <w:webHidden/>
          </w:rPr>
          <w:fldChar w:fldCharType="begin"/>
        </w:r>
        <w:r w:rsidR="00304A20">
          <w:rPr>
            <w:webHidden/>
          </w:rPr>
          <w:instrText xml:space="preserve"> PAGEREF _Toc420593937 \h </w:instrText>
        </w:r>
        <w:r w:rsidR="00304A20">
          <w:rPr>
            <w:webHidden/>
          </w:rPr>
        </w:r>
        <w:r w:rsidR="00304A20">
          <w:rPr>
            <w:webHidden/>
          </w:rPr>
          <w:fldChar w:fldCharType="separate"/>
        </w:r>
        <w:r w:rsidR="00304A20">
          <w:rPr>
            <w:webHidden/>
          </w:rPr>
          <w:t>179</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38" w:history="1">
        <w:r w:rsidR="00304A20" w:rsidRPr="00A245C5">
          <w:rPr>
            <w:rStyle w:val="Hyperlink"/>
          </w:rPr>
          <w:t>4.3</w:t>
        </w:r>
        <w:r w:rsidR="00304A20" w:rsidRPr="003D1D9A">
          <w:rPr>
            <w:rFonts w:ascii="Calibri" w:eastAsia="SimSun" w:hAnsi="Calibri"/>
            <w:smallCaps w:val="0"/>
            <w:sz w:val="22"/>
            <w:szCs w:val="22"/>
            <w:lang w:eastAsia="en-GB"/>
          </w:rPr>
          <w:tab/>
        </w:r>
        <w:r w:rsidR="00304A20" w:rsidRPr="00A245C5">
          <w:rPr>
            <w:rStyle w:val="Hyperlink"/>
          </w:rPr>
          <w:t>Loan Agreement between Deprez Holding NV (as borrower) and Peatinvest (as lender) dated 22 May 2012.</w:t>
        </w:r>
        <w:r w:rsidR="00304A20">
          <w:rPr>
            <w:webHidden/>
          </w:rPr>
          <w:tab/>
        </w:r>
        <w:r w:rsidR="00304A20">
          <w:rPr>
            <w:webHidden/>
          </w:rPr>
          <w:fldChar w:fldCharType="begin"/>
        </w:r>
        <w:r w:rsidR="00304A20">
          <w:rPr>
            <w:webHidden/>
          </w:rPr>
          <w:instrText xml:space="preserve"> PAGEREF _Toc420593938 \h </w:instrText>
        </w:r>
        <w:r w:rsidR="00304A20">
          <w:rPr>
            <w:webHidden/>
          </w:rPr>
        </w:r>
        <w:r w:rsidR="00304A20">
          <w:rPr>
            <w:webHidden/>
          </w:rPr>
          <w:fldChar w:fldCharType="separate"/>
        </w:r>
        <w:r w:rsidR="00304A20">
          <w:rPr>
            <w:webHidden/>
          </w:rPr>
          <w:t>180</w:t>
        </w:r>
        <w:r w:rsidR="00304A20">
          <w:rPr>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39" w:history="1">
        <w:r w:rsidR="00304A20" w:rsidRPr="00A245C5">
          <w:rPr>
            <w:rStyle w:val="Hyperlink"/>
            <w:noProof/>
          </w:rPr>
          <w:t>PART IX: TAXATION</w:t>
        </w:r>
        <w:r w:rsidR="00304A20">
          <w:rPr>
            <w:noProof/>
            <w:webHidden/>
          </w:rPr>
          <w:tab/>
        </w:r>
        <w:r w:rsidR="00304A20">
          <w:rPr>
            <w:noProof/>
            <w:webHidden/>
          </w:rPr>
          <w:fldChar w:fldCharType="begin"/>
        </w:r>
        <w:r w:rsidR="00304A20">
          <w:rPr>
            <w:noProof/>
            <w:webHidden/>
          </w:rPr>
          <w:instrText xml:space="preserve"> PAGEREF _Toc420593939 \h </w:instrText>
        </w:r>
        <w:r w:rsidR="00304A20">
          <w:rPr>
            <w:noProof/>
            <w:webHidden/>
          </w:rPr>
        </w:r>
        <w:r w:rsidR="00304A20">
          <w:rPr>
            <w:noProof/>
            <w:webHidden/>
          </w:rPr>
          <w:fldChar w:fldCharType="separate"/>
        </w:r>
        <w:r w:rsidR="00304A20">
          <w:rPr>
            <w:noProof/>
            <w:webHidden/>
          </w:rPr>
          <w:t>181</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40" w:history="1">
        <w:r w:rsidR="00304A20" w:rsidRPr="00A245C5">
          <w:rPr>
            <w:rStyle w:val="Hyperlink"/>
            <w:noProof/>
          </w:rPr>
          <w:t>1.</w:t>
        </w:r>
        <w:r w:rsidR="00304A20" w:rsidRPr="003D1D9A">
          <w:rPr>
            <w:rFonts w:ascii="Calibri" w:eastAsia="SimSun" w:hAnsi="Calibri"/>
            <w:caps w:val="0"/>
            <w:noProof/>
            <w:sz w:val="22"/>
            <w:szCs w:val="22"/>
            <w:lang w:eastAsia="en-GB"/>
          </w:rPr>
          <w:tab/>
        </w:r>
        <w:r w:rsidR="00304A20" w:rsidRPr="00A245C5">
          <w:rPr>
            <w:rStyle w:val="Hyperlink"/>
            <w:noProof/>
          </w:rPr>
          <w:t>Dividends</w:t>
        </w:r>
        <w:r w:rsidR="00304A20">
          <w:rPr>
            <w:noProof/>
            <w:webHidden/>
          </w:rPr>
          <w:tab/>
        </w:r>
        <w:r w:rsidR="00304A20">
          <w:rPr>
            <w:noProof/>
            <w:webHidden/>
          </w:rPr>
          <w:fldChar w:fldCharType="begin"/>
        </w:r>
        <w:r w:rsidR="00304A20">
          <w:rPr>
            <w:noProof/>
            <w:webHidden/>
          </w:rPr>
          <w:instrText xml:space="preserve"> PAGEREF _Toc420593940 \h </w:instrText>
        </w:r>
        <w:r w:rsidR="00304A20">
          <w:rPr>
            <w:noProof/>
            <w:webHidden/>
          </w:rPr>
        </w:r>
        <w:r w:rsidR="00304A20">
          <w:rPr>
            <w:noProof/>
            <w:webHidden/>
          </w:rPr>
          <w:fldChar w:fldCharType="separate"/>
        </w:r>
        <w:r w:rsidR="00304A20">
          <w:rPr>
            <w:noProof/>
            <w:webHidden/>
          </w:rPr>
          <w:t>181</w:t>
        </w:r>
        <w:r w:rsidR="00304A20">
          <w:rPr>
            <w:noProof/>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41" w:history="1">
        <w:r w:rsidR="00304A20" w:rsidRPr="00A245C5">
          <w:rPr>
            <w:rStyle w:val="Hyperlink"/>
          </w:rPr>
          <w:t>1.1</w:t>
        </w:r>
        <w:r w:rsidR="00304A20" w:rsidRPr="003D1D9A">
          <w:rPr>
            <w:rFonts w:ascii="Calibri" w:eastAsia="SimSun" w:hAnsi="Calibri"/>
            <w:smallCaps w:val="0"/>
            <w:sz w:val="22"/>
            <w:szCs w:val="22"/>
            <w:lang w:eastAsia="en-GB"/>
          </w:rPr>
          <w:tab/>
        </w:r>
        <w:r w:rsidR="00304A20" w:rsidRPr="00A245C5">
          <w:rPr>
            <w:rStyle w:val="Hyperlink"/>
          </w:rPr>
          <w:t>Resident individuals</w:t>
        </w:r>
        <w:r w:rsidR="00304A20">
          <w:rPr>
            <w:webHidden/>
          </w:rPr>
          <w:tab/>
        </w:r>
        <w:r w:rsidR="00304A20">
          <w:rPr>
            <w:webHidden/>
          </w:rPr>
          <w:fldChar w:fldCharType="begin"/>
        </w:r>
        <w:r w:rsidR="00304A20">
          <w:rPr>
            <w:webHidden/>
          </w:rPr>
          <w:instrText xml:space="preserve"> PAGEREF _Toc420593941 \h </w:instrText>
        </w:r>
        <w:r w:rsidR="00304A20">
          <w:rPr>
            <w:webHidden/>
          </w:rPr>
        </w:r>
        <w:r w:rsidR="00304A20">
          <w:rPr>
            <w:webHidden/>
          </w:rPr>
          <w:fldChar w:fldCharType="separate"/>
        </w:r>
        <w:r w:rsidR="00304A20">
          <w:rPr>
            <w:webHidden/>
          </w:rPr>
          <w:t>181</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42" w:history="1">
        <w:r w:rsidR="00304A20" w:rsidRPr="00A245C5">
          <w:rPr>
            <w:rStyle w:val="Hyperlink"/>
          </w:rPr>
          <w:t>1.2</w:t>
        </w:r>
        <w:r w:rsidR="00304A20" w:rsidRPr="003D1D9A">
          <w:rPr>
            <w:rFonts w:ascii="Calibri" w:eastAsia="SimSun" w:hAnsi="Calibri"/>
            <w:smallCaps w:val="0"/>
            <w:sz w:val="22"/>
            <w:szCs w:val="22"/>
            <w:lang w:eastAsia="en-GB"/>
          </w:rPr>
          <w:tab/>
        </w:r>
        <w:r w:rsidR="00304A20" w:rsidRPr="00A245C5">
          <w:rPr>
            <w:rStyle w:val="Hyperlink"/>
          </w:rPr>
          <w:t>Resident companies</w:t>
        </w:r>
        <w:r w:rsidR="00304A20">
          <w:rPr>
            <w:webHidden/>
          </w:rPr>
          <w:tab/>
        </w:r>
        <w:r w:rsidR="00304A20">
          <w:rPr>
            <w:webHidden/>
          </w:rPr>
          <w:fldChar w:fldCharType="begin"/>
        </w:r>
        <w:r w:rsidR="00304A20">
          <w:rPr>
            <w:webHidden/>
          </w:rPr>
          <w:instrText xml:space="preserve"> PAGEREF _Toc420593942 \h </w:instrText>
        </w:r>
        <w:r w:rsidR="00304A20">
          <w:rPr>
            <w:webHidden/>
          </w:rPr>
        </w:r>
        <w:r w:rsidR="00304A20">
          <w:rPr>
            <w:webHidden/>
          </w:rPr>
          <w:fldChar w:fldCharType="separate"/>
        </w:r>
        <w:r w:rsidR="00304A20">
          <w:rPr>
            <w:webHidden/>
          </w:rPr>
          <w:t>182</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43" w:history="1">
        <w:r w:rsidR="00304A20" w:rsidRPr="00A245C5">
          <w:rPr>
            <w:rStyle w:val="Hyperlink"/>
          </w:rPr>
          <w:t>1.3</w:t>
        </w:r>
        <w:r w:rsidR="00304A20" w:rsidRPr="003D1D9A">
          <w:rPr>
            <w:rFonts w:ascii="Calibri" w:eastAsia="SimSun" w:hAnsi="Calibri"/>
            <w:smallCaps w:val="0"/>
            <w:sz w:val="22"/>
            <w:szCs w:val="22"/>
            <w:lang w:eastAsia="en-GB"/>
          </w:rPr>
          <w:tab/>
        </w:r>
        <w:r w:rsidR="00304A20" w:rsidRPr="00A245C5">
          <w:rPr>
            <w:rStyle w:val="Hyperlink"/>
          </w:rPr>
          <w:t>Organisations for Financing Pensions</w:t>
        </w:r>
        <w:r w:rsidR="00304A20">
          <w:rPr>
            <w:webHidden/>
          </w:rPr>
          <w:tab/>
        </w:r>
        <w:r w:rsidR="00304A20">
          <w:rPr>
            <w:webHidden/>
          </w:rPr>
          <w:fldChar w:fldCharType="begin"/>
        </w:r>
        <w:r w:rsidR="00304A20">
          <w:rPr>
            <w:webHidden/>
          </w:rPr>
          <w:instrText xml:space="preserve"> PAGEREF _Toc420593943 \h </w:instrText>
        </w:r>
        <w:r w:rsidR="00304A20">
          <w:rPr>
            <w:webHidden/>
          </w:rPr>
        </w:r>
        <w:r w:rsidR="00304A20">
          <w:rPr>
            <w:webHidden/>
          </w:rPr>
          <w:fldChar w:fldCharType="separate"/>
        </w:r>
        <w:r w:rsidR="00304A20">
          <w:rPr>
            <w:webHidden/>
          </w:rPr>
          <w:t>183</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44" w:history="1">
        <w:r w:rsidR="00304A20" w:rsidRPr="00A245C5">
          <w:rPr>
            <w:rStyle w:val="Hyperlink"/>
          </w:rPr>
          <w:t>1.4</w:t>
        </w:r>
        <w:r w:rsidR="00304A20" w:rsidRPr="003D1D9A">
          <w:rPr>
            <w:rFonts w:ascii="Calibri" w:eastAsia="SimSun" w:hAnsi="Calibri"/>
            <w:smallCaps w:val="0"/>
            <w:sz w:val="22"/>
            <w:szCs w:val="22"/>
            <w:lang w:eastAsia="en-GB"/>
          </w:rPr>
          <w:tab/>
        </w:r>
        <w:r w:rsidR="00304A20" w:rsidRPr="00A245C5">
          <w:rPr>
            <w:rStyle w:val="Hyperlink"/>
          </w:rPr>
          <w:t>Resident legal entities</w:t>
        </w:r>
        <w:r w:rsidR="00304A20">
          <w:rPr>
            <w:webHidden/>
          </w:rPr>
          <w:tab/>
        </w:r>
        <w:r w:rsidR="00304A20">
          <w:rPr>
            <w:webHidden/>
          </w:rPr>
          <w:fldChar w:fldCharType="begin"/>
        </w:r>
        <w:r w:rsidR="00304A20">
          <w:rPr>
            <w:webHidden/>
          </w:rPr>
          <w:instrText xml:space="preserve"> PAGEREF _Toc420593944 \h </w:instrText>
        </w:r>
        <w:r w:rsidR="00304A20">
          <w:rPr>
            <w:webHidden/>
          </w:rPr>
        </w:r>
        <w:r w:rsidR="00304A20">
          <w:rPr>
            <w:webHidden/>
          </w:rPr>
          <w:fldChar w:fldCharType="separate"/>
        </w:r>
        <w:r w:rsidR="00304A20">
          <w:rPr>
            <w:webHidden/>
          </w:rPr>
          <w:t>183</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45" w:history="1">
        <w:r w:rsidR="00304A20" w:rsidRPr="00A245C5">
          <w:rPr>
            <w:rStyle w:val="Hyperlink"/>
          </w:rPr>
          <w:t>1.5</w:t>
        </w:r>
        <w:r w:rsidR="00304A20" w:rsidRPr="003D1D9A">
          <w:rPr>
            <w:rFonts w:ascii="Calibri" w:eastAsia="SimSun" w:hAnsi="Calibri"/>
            <w:smallCaps w:val="0"/>
            <w:sz w:val="22"/>
            <w:szCs w:val="22"/>
            <w:lang w:eastAsia="en-GB"/>
          </w:rPr>
          <w:tab/>
        </w:r>
        <w:r w:rsidR="00304A20" w:rsidRPr="00A245C5">
          <w:rPr>
            <w:rStyle w:val="Hyperlink"/>
          </w:rPr>
          <w:t>Non-residents</w:t>
        </w:r>
        <w:r w:rsidR="00304A20">
          <w:rPr>
            <w:webHidden/>
          </w:rPr>
          <w:tab/>
        </w:r>
        <w:r w:rsidR="00304A20">
          <w:rPr>
            <w:webHidden/>
          </w:rPr>
          <w:fldChar w:fldCharType="begin"/>
        </w:r>
        <w:r w:rsidR="00304A20">
          <w:rPr>
            <w:webHidden/>
          </w:rPr>
          <w:instrText xml:space="preserve"> PAGEREF _Toc420593945 \h </w:instrText>
        </w:r>
        <w:r w:rsidR="00304A20">
          <w:rPr>
            <w:webHidden/>
          </w:rPr>
        </w:r>
        <w:r w:rsidR="00304A20">
          <w:rPr>
            <w:webHidden/>
          </w:rPr>
          <w:fldChar w:fldCharType="separate"/>
        </w:r>
        <w:r w:rsidR="00304A20">
          <w:rPr>
            <w:webHidden/>
          </w:rPr>
          <w:t>183</w:t>
        </w:r>
        <w:r w:rsidR="00304A20">
          <w:rPr>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46" w:history="1">
        <w:r w:rsidR="00304A20" w:rsidRPr="00A245C5">
          <w:rPr>
            <w:rStyle w:val="Hyperlink"/>
            <w:noProof/>
          </w:rPr>
          <w:t>2.</w:t>
        </w:r>
        <w:r w:rsidR="00304A20" w:rsidRPr="003D1D9A">
          <w:rPr>
            <w:rFonts w:ascii="Calibri" w:eastAsia="SimSun" w:hAnsi="Calibri"/>
            <w:caps w:val="0"/>
            <w:noProof/>
            <w:sz w:val="22"/>
            <w:szCs w:val="22"/>
            <w:lang w:eastAsia="en-GB"/>
          </w:rPr>
          <w:tab/>
        </w:r>
        <w:r w:rsidR="00304A20" w:rsidRPr="00A245C5">
          <w:rPr>
            <w:rStyle w:val="Hyperlink"/>
            <w:noProof/>
          </w:rPr>
          <w:t>Capital gains and losses</w:t>
        </w:r>
        <w:r w:rsidR="00304A20">
          <w:rPr>
            <w:noProof/>
            <w:webHidden/>
          </w:rPr>
          <w:tab/>
        </w:r>
        <w:r w:rsidR="00304A20">
          <w:rPr>
            <w:noProof/>
            <w:webHidden/>
          </w:rPr>
          <w:fldChar w:fldCharType="begin"/>
        </w:r>
        <w:r w:rsidR="00304A20">
          <w:rPr>
            <w:noProof/>
            <w:webHidden/>
          </w:rPr>
          <w:instrText xml:space="preserve"> PAGEREF _Toc420593946 \h </w:instrText>
        </w:r>
        <w:r w:rsidR="00304A20">
          <w:rPr>
            <w:noProof/>
            <w:webHidden/>
          </w:rPr>
        </w:r>
        <w:r w:rsidR="00304A20">
          <w:rPr>
            <w:noProof/>
            <w:webHidden/>
          </w:rPr>
          <w:fldChar w:fldCharType="separate"/>
        </w:r>
        <w:r w:rsidR="00304A20">
          <w:rPr>
            <w:noProof/>
            <w:webHidden/>
          </w:rPr>
          <w:t>184</w:t>
        </w:r>
        <w:r w:rsidR="00304A20">
          <w:rPr>
            <w:noProof/>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47" w:history="1">
        <w:r w:rsidR="00304A20" w:rsidRPr="00A245C5">
          <w:rPr>
            <w:rStyle w:val="Hyperlink"/>
          </w:rPr>
          <w:t>2.1</w:t>
        </w:r>
        <w:r w:rsidR="00304A20" w:rsidRPr="003D1D9A">
          <w:rPr>
            <w:rFonts w:ascii="Calibri" w:eastAsia="SimSun" w:hAnsi="Calibri"/>
            <w:smallCaps w:val="0"/>
            <w:sz w:val="22"/>
            <w:szCs w:val="22"/>
            <w:lang w:eastAsia="en-GB"/>
          </w:rPr>
          <w:tab/>
        </w:r>
        <w:r w:rsidR="00304A20" w:rsidRPr="00A245C5">
          <w:rPr>
            <w:rStyle w:val="Hyperlink"/>
          </w:rPr>
          <w:t>Resident individuals</w:t>
        </w:r>
        <w:r w:rsidR="00304A20">
          <w:rPr>
            <w:webHidden/>
          </w:rPr>
          <w:tab/>
        </w:r>
        <w:r w:rsidR="00304A20">
          <w:rPr>
            <w:webHidden/>
          </w:rPr>
          <w:fldChar w:fldCharType="begin"/>
        </w:r>
        <w:r w:rsidR="00304A20">
          <w:rPr>
            <w:webHidden/>
          </w:rPr>
          <w:instrText xml:space="preserve"> PAGEREF _Toc420593947 \h </w:instrText>
        </w:r>
        <w:r w:rsidR="00304A20">
          <w:rPr>
            <w:webHidden/>
          </w:rPr>
        </w:r>
        <w:r w:rsidR="00304A20">
          <w:rPr>
            <w:webHidden/>
          </w:rPr>
          <w:fldChar w:fldCharType="separate"/>
        </w:r>
        <w:r w:rsidR="00304A20">
          <w:rPr>
            <w:webHidden/>
          </w:rPr>
          <w:t>184</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48" w:history="1">
        <w:r w:rsidR="00304A20" w:rsidRPr="00A245C5">
          <w:rPr>
            <w:rStyle w:val="Hyperlink"/>
          </w:rPr>
          <w:t>2.2</w:t>
        </w:r>
        <w:r w:rsidR="00304A20" w:rsidRPr="003D1D9A">
          <w:rPr>
            <w:rFonts w:ascii="Calibri" w:eastAsia="SimSun" w:hAnsi="Calibri"/>
            <w:smallCaps w:val="0"/>
            <w:sz w:val="22"/>
            <w:szCs w:val="22"/>
            <w:lang w:eastAsia="en-GB"/>
          </w:rPr>
          <w:tab/>
        </w:r>
        <w:r w:rsidR="00304A20" w:rsidRPr="00A245C5">
          <w:rPr>
            <w:rStyle w:val="Hyperlink"/>
          </w:rPr>
          <w:t>Resident companies</w:t>
        </w:r>
        <w:r w:rsidR="00304A20">
          <w:rPr>
            <w:webHidden/>
          </w:rPr>
          <w:tab/>
        </w:r>
        <w:r w:rsidR="00304A20">
          <w:rPr>
            <w:webHidden/>
          </w:rPr>
          <w:fldChar w:fldCharType="begin"/>
        </w:r>
        <w:r w:rsidR="00304A20">
          <w:rPr>
            <w:webHidden/>
          </w:rPr>
          <w:instrText xml:space="preserve"> PAGEREF _Toc420593948 \h </w:instrText>
        </w:r>
        <w:r w:rsidR="00304A20">
          <w:rPr>
            <w:webHidden/>
          </w:rPr>
        </w:r>
        <w:r w:rsidR="00304A20">
          <w:rPr>
            <w:webHidden/>
          </w:rPr>
          <w:fldChar w:fldCharType="separate"/>
        </w:r>
        <w:r w:rsidR="00304A20">
          <w:rPr>
            <w:webHidden/>
          </w:rPr>
          <w:t>184</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49" w:history="1">
        <w:r w:rsidR="00304A20" w:rsidRPr="00A245C5">
          <w:rPr>
            <w:rStyle w:val="Hyperlink"/>
          </w:rPr>
          <w:t>2.3</w:t>
        </w:r>
        <w:r w:rsidR="00304A20" w:rsidRPr="003D1D9A">
          <w:rPr>
            <w:rFonts w:ascii="Calibri" w:eastAsia="SimSun" w:hAnsi="Calibri"/>
            <w:smallCaps w:val="0"/>
            <w:sz w:val="22"/>
            <w:szCs w:val="22"/>
            <w:lang w:eastAsia="en-GB"/>
          </w:rPr>
          <w:tab/>
        </w:r>
        <w:r w:rsidR="00304A20" w:rsidRPr="00A245C5">
          <w:rPr>
            <w:rStyle w:val="Hyperlink"/>
          </w:rPr>
          <w:t>Organisation for Financing Pensions</w:t>
        </w:r>
        <w:r w:rsidR="00304A20">
          <w:rPr>
            <w:webHidden/>
          </w:rPr>
          <w:tab/>
        </w:r>
        <w:r w:rsidR="00304A20">
          <w:rPr>
            <w:webHidden/>
          </w:rPr>
          <w:fldChar w:fldCharType="begin"/>
        </w:r>
        <w:r w:rsidR="00304A20">
          <w:rPr>
            <w:webHidden/>
          </w:rPr>
          <w:instrText xml:space="preserve"> PAGEREF _Toc420593949 \h </w:instrText>
        </w:r>
        <w:r w:rsidR="00304A20">
          <w:rPr>
            <w:webHidden/>
          </w:rPr>
        </w:r>
        <w:r w:rsidR="00304A20">
          <w:rPr>
            <w:webHidden/>
          </w:rPr>
          <w:fldChar w:fldCharType="separate"/>
        </w:r>
        <w:r w:rsidR="00304A20">
          <w:rPr>
            <w:webHidden/>
          </w:rPr>
          <w:t>185</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50" w:history="1">
        <w:r w:rsidR="00304A20" w:rsidRPr="00A245C5">
          <w:rPr>
            <w:rStyle w:val="Hyperlink"/>
          </w:rPr>
          <w:t>2.4</w:t>
        </w:r>
        <w:r w:rsidR="00304A20" w:rsidRPr="003D1D9A">
          <w:rPr>
            <w:rFonts w:ascii="Calibri" w:eastAsia="SimSun" w:hAnsi="Calibri"/>
            <w:smallCaps w:val="0"/>
            <w:sz w:val="22"/>
            <w:szCs w:val="22"/>
            <w:lang w:eastAsia="en-GB"/>
          </w:rPr>
          <w:tab/>
        </w:r>
        <w:r w:rsidR="00304A20" w:rsidRPr="00A245C5">
          <w:rPr>
            <w:rStyle w:val="Hyperlink"/>
          </w:rPr>
          <w:t>Other resident legal entities</w:t>
        </w:r>
        <w:r w:rsidR="00304A20">
          <w:rPr>
            <w:webHidden/>
          </w:rPr>
          <w:tab/>
        </w:r>
        <w:r w:rsidR="00304A20">
          <w:rPr>
            <w:webHidden/>
          </w:rPr>
          <w:fldChar w:fldCharType="begin"/>
        </w:r>
        <w:r w:rsidR="00304A20">
          <w:rPr>
            <w:webHidden/>
          </w:rPr>
          <w:instrText xml:space="preserve"> PAGEREF _Toc420593950 \h </w:instrText>
        </w:r>
        <w:r w:rsidR="00304A20">
          <w:rPr>
            <w:webHidden/>
          </w:rPr>
        </w:r>
        <w:r w:rsidR="00304A20">
          <w:rPr>
            <w:webHidden/>
          </w:rPr>
          <w:fldChar w:fldCharType="separate"/>
        </w:r>
        <w:r w:rsidR="00304A20">
          <w:rPr>
            <w:webHidden/>
          </w:rPr>
          <w:t>185</w:t>
        </w:r>
        <w:r w:rsidR="00304A20">
          <w:rPr>
            <w:webHidden/>
          </w:rPr>
          <w:fldChar w:fldCharType="end"/>
        </w:r>
      </w:hyperlink>
    </w:p>
    <w:p w:rsidR="00304A20" w:rsidRPr="003D1D9A" w:rsidRDefault="00972D9E">
      <w:pPr>
        <w:pStyle w:val="TOC2"/>
        <w:rPr>
          <w:rFonts w:ascii="Calibri" w:eastAsia="SimSun" w:hAnsi="Calibri"/>
          <w:smallCaps w:val="0"/>
          <w:sz w:val="22"/>
          <w:szCs w:val="22"/>
          <w:lang w:eastAsia="en-GB"/>
        </w:rPr>
      </w:pPr>
      <w:hyperlink w:anchor="_Toc420593951" w:history="1">
        <w:r w:rsidR="00304A20" w:rsidRPr="00A245C5">
          <w:rPr>
            <w:rStyle w:val="Hyperlink"/>
          </w:rPr>
          <w:t>2.5</w:t>
        </w:r>
        <w:r w:rsidR="00304A20" w:rsidRPr="003D1D9A">
          <w:rPr>
            <w:rFonts w:ascii="Calibri" w:eastAsia="SimSun" w:hAnsi="Calibri"/>
            <w:smallCaps w:val="0"/>
            <w:sz w:val="22"/>
            <w:szCs w:val="22"/>
            <w:lang w:eastAsia="en-GB"/>
          </w:rPr>
          <w:tab/>
        </w:r>
        <w:r w:rsidR="00304A20" w:rsidRPr="00A245C5">
          <w:rPr>
            <w:rStyle w:val="Hyperlink"/>
          </w:rPr>
          <w:t>Non-residents</w:t>
        </w:r>
        <w:r w:rsidR="00304A20">
          <w:rPr>
            <w:webHidden/>
          </w:rPr>
          <w:tab/>
        </w:r>
        <w:r w:rsidR="00304A20">
          <w:rPr>
            <w:webHidden/>
          </w:rPr>
          <w:fldChar w:fldCharType="begin"/>
        </w:r>
        <w:r w:rsidR="00304A20">
          <w:rPr>
            <w:webHidden/>
          </w:rPr>
          <w:instrText xml:space="preserve"> PAGEREF _Toc420593951 \h </w:instrText>
        </w:r>
        <w:r w:rsidR="00304A20">
          <w:rPr>
            <w:webHidden/>
          </w:rPr>
        </w:r>
        <w:r w:rsidR="00304A20">
          <w:rPr>
            <w:webHidden/>
          </w:rPr>
          <w:fldChar w:fldCharType="separate"/>
        </w:r>
        <w:r w:rsidR="00304A20">
          <w:rPr>
            <w:webHidden/>
          </w:rPr>
          <w:t>185</w:t>
        </w:r>
        <w:r w:rsidR="00304A20">
          <w:rPr>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52" w:history="1">
        <w:r w:rsidR="00304A20" w:rsidRPr="00A245C5">
          <w:rPr>
            <w:rStyle w:val="Hyperlink"/>
            <w:noProof/>
          </w:rPr>
          <w:t>3.</w:t>
        </w:r>
        <w:r w:rsidR="00304A20" w:rsidRPr="003D1D9A">
          <w:rPr>
            <w:rFonts w:ascii="Calibri" w:eastAsia="SimSun" w:hAnsi="Calibri"/>
            <w:caps w:val="0"/>
            <w:noProof/>
            <w:sz w:val="22"/>
            <w:szCs w:val="22"/>
            <w:lang w:eastAsia="en-GB"/>
          </w:rPr>
          <w:tab/>
        </w:r>
        <w:r w:rsidR="00304A20" w:rsidRPr="00A245C5">
          <w:rPr>
            <w:rStyle w:val="Hyperlink"/>
            <w:noProof/>
          </w:rPr>
          <w:t>Tax on stock exchange transactions</w:t>
        </w:r>
        <w:r w:rsidR="00304A20">
          <w:rPr>
            <w:noProof/>
            <w:webHidden/>
          </w:rPr>
          <w:tab/>
        </w:r>
        <w:r w:rsidR="00304A20">
          <w:rPr>
            <w:noProof/>
            <w:webHidden/>
          </w:rPr>
          <w:fldChar w:fldCharType="begin"/>
        </w:r>
        <w:r w:rsidR="00304A20">
          <w:rPr>
            <w:noProof/>
            <w:webHidden/>
          </w:rPr>
          <w:instrText xml:space="preserve"> PAGEREF _Toc420593952 \h </w:instrText>
        </w:r>
        <w:r w:rsidR="00304A20">
          <w:rPr>
            <w:noProof/>
            <w:webHidden/>
          </w:rPr>
        </w:r>
        <w:r w:rsidR="00304A20">
          <w:rPr>
            <w:noProof/>
            <w:webHidden/>
          </w:rPr>
          <w:fldChar w:fldCharType="separate"/>
        </w:r>
        <w:r w:rsidR="00304A20">
          <w:rPr>
            <w:noProof/>
            <w:webHidden/>
          </w:rPr>
          <w:t>186</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53" w:history="1">
        <w:r w:rsidR="00304A20" w:rsidRPr="00A245C5">
          <w:rPr>
            <w:rStyle w:val="Hyperlink"/>
            <w:noProof/>
          </w:rPr>
          <w:t>PART X: INDEPENDENT AUDITORS</w:t>
        </w:r>
        <w:r w:rsidR="00304A20">
          <w:rPr>
            <w:noProof/>
            <w:webHidden/>
          </w:rPr>
          <w:tab/>
        </w:r>
        <w:r w:rsidR="00304A20">
          <w:rPr>
            <w:noProof/>
            <w:webHidden/>
          </w:rPr>
          <w:fldChar w:fldCharType="begin"/>
        </w:r>
        <w:r w:rsidR="00304A20">
          <w:rPr>
            <w:noProof/>
            <w:webHidden/>
          </w:rPr>
          <w:instrText xml:space="preserve"> PAGEREF _Toc420593953 \h </w:instrText>
        </w:r>
        <w:r w:rsidR="00304A20">
          <w:rPr>
            <w:noProof/>
            <w:webHidden/>
          </w:rPr>
        </w:r>
        <w:r w:rsidR="00304A20">
          <w:rPr>
            <w:noProof/>
            <w:webHidden/>
          </w:rPr>
          <w:fldChar w:fldCharType="separate"/>
        </w:r>
        <w:r w:rsidR="00304A20">
          <w:rPr>
            <w:noProof/>
            <w:webHidden/>
          </w:rPr>
          <w:t>187</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54" w:history="1">
        <w:r w:rsidR="00304A20" w:rsidRPr="00A245C5">
          <w:rPr>
            <w:rStyle w:val="Hyperlink"/>
            <w:noProof/>
          </w:rPr>
          <w:t>1.</w:t>
        </w:r>
        <w:r w:rsidR="00304A20" w:rsidRPr="003D1D9A">
          <w:rPr>
            <w:rFonts w:ascii="Calibri" w:eastAsia="SimSun" w:hAnsi="Calibri"/>
            <w:caps w:val="0"/>
            <w:noProof/>
            <w:sz w:val="22"/>
            <w:szCs w:val="22"/>
            <w:lang w:eastAsia="en-GB"/>
          </w:rPr>
          <w:tab/>
        </w:r>
        <w:r w:rsidR="00304A20" w:rsidRPr="00A245C5">
          <w:rPr>
            <w:rStyle w:val="Hyperlink"/>
            <w:noProof/>
          </w:rPr>
          <w:t>Audit of financial information</w:t>
        </w:r>
        <w:r w:rsidR="00304A20">
          <w:rPr>
            <w:noProof/>
            <w:webHidden/>
          </w:rPr>
          <w:tab/>
        </w:r>
        <w:r w:rsidR="00304A20">
          <w:rPr>
            <w:noProof/>
            <w:webHidden/>
          </w:rPr>
          <w:fldChar w:fldCharType="begin"/>
        </w:r>
        <w:r w:rsidR="00304A20">
          <w:rPr>
            <w:noProof/>
            <w:webHidden/>
          </w:rPr>
          <w:instrText xml:space="preserve"> PAGEREF _Toc420593954 \h </w:instrText>
        </w:r>
        <w:r w:rsidR="00304A20">
          <w:rPr>
            <w:noProof/>
            <w:webHidden/>
          </w:rPr>
        </w:r>
        <w:r w:rsidR="00304A20">
          <w:rPr>
            <w:noProof/>
            <w:webHidden/>
          </w:rPr>
          <w:fldChar w:fldCharType="separate"/>
        </w:r>
        <w:r w:rsidR="00304A20">
          <w:rPr>
            <w:noProof/>
            <w:webHidden/>
          </w:rPr>
          <w:t>187</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55" w:history="1">
        <w:r w:rsidR="00304A20" w:rsidRPr="00A245C5">
          <w:rPr>
            <w:rStyle w:val="Hyperlink"/>
            <w:noProof/>
          </w:rPr>
          <w:t>2.</w:t>
        </w:r>
        <w:r w:rsidR="00304A20" w:rsidRPr="003D1D9A">
          <w:rPr>
            <w:rFonts w:ascii="Calibri" w:eastAsia="SimSun" w:hAnsi="Calibri"/>
            <w:caps w:val="0"/>
            <w:noProof/>
            <w:sz w:val="22"/>
            <w:szCs w:val="22"/>
            <w:lang w:eastAsia="en-GB"/>
          </w:rPr>
          <w:tab/>
        </w:r>
        <w:r w:rsidR="00304A20" w:rsidRPr="00A245C5">
          <w:rPr>
            <w:rStyle w:val="Hyperlink"/>
            <w:noProof/>
          </w:rPr>
          <w:t>Statutory auditors of the Company</w:t>
        </w:r>
        <w:r w:rsidR="00304A20">
          <w:rPr>
            <w:noProof/>
            <w:webHidden/>
          </w:rPr>
          <w:tab/>
        </w:r>
        <w:r w:rsidR="00304A20">
          <w:rPr>
            <w:noProof/>
            <w:webHidden/>
          </w:rPr>
          <w:fldChar w:fldCharType="begin"/>
        </w:r>
        <w:r w:rsidR="00304A20">
          <w:rPr>
            <w:noProof/>
            <w:webHidden/>
          </w:rPr>
          <w:instrText xml:space="preserve"> PAGEREF _Toc420593955 \h </w:instrText>
        </w:r>
        <w:r w:rsidR="00304A20">
          <w:rPr>
            <w:noProof/>
            <w:webHidden/>
          </w:rPr>
        </w:r>
        <w:r w:rsidR="00304A20">
          <w:rPr>
            <w:noProof/>
            <w:webHidden/>
          </w:rPr>
          <w:fldChar w:fldCharType="separate"/>
        </w:r>
        <w:r w:rsidR="00304A20">
          <w:rPr>
            <w:noProof/>
            <w:webHidden/>
          </w:rPr>
          <w:t>187</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56" w:history="1">
        <w:r w:rsidR="00304A20" w:rsidRPr="00A245C5">
          <w:rPr>
            <w:rStyle w:val="Hyperlink"/>
            <w:noProof/>
          </w:rPr>
          <w:t>PART XI: Legal Matters</w:t>
        </w:r>
        <w:r w:rsidR="00304A20">
          <w:rPr>
            <w:noProof/>
            <w:webHidden/>
          </w:rPr>
          <w:tab/>
        </w:r>
        <w:r w:rsidR="00304A20">
          <w:rPr>
            <w:noProof/>
            <w:webHidden/>
          </w:rPr>
          <w:fldChar w:fldCharType="begin"/>
        </w:r>
        <w:r w:rsidR="00304A20">
          <w:rPr>
            <w:noProof/>
            <w:webHidden/>
          </w:rPr>
          <w:instrText xml:space="preserve"> PAGEREF _Toc420593956 \h </w:instrText>
        </w:r>
        <w:r w:rsidR="00304A20">
          <w:rPr>
            <w:noProof/>
            <w:webHidden/>
          </w:rPr>
        </w:r>
        <w:r w:rsidR="00304A20">
          <w:rPr>
            <w:noProof/>
            <w:webHidden/>
          </w:rPr>
          <w:fldChar w:fldCharType="separate"/>
        </w:r>
        <w:r w:rsidR="00304A20">
          <w:rPr>
            <w:noProof/>
            <w:webHidden/>
          </w:rPr>
          <w:t>188</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57" w:history="1">
        <w:r w:rsidR="00304A20" w:rsidRPr="00A245C5">
          <w:rPr>
            <w:rStyle w:val="Hyperlink"/>
            <w:noProof/>
          </w:rPr>
          <w:t>PART XiI: Glossary of selected terms</w:t>
        </w:r>
        <w:r w:rsidR="00304A20">
          <w:rPr>
            <w:noProof/>
            <w:webHidden/>
          </w:rPr>
          <w:tab/>
        </w:r>
        <w:r w:rsidR="00304A20">
          <w:rPr>
            <w:noProof/>
            <w:webHidden/>
          </w:rPr>
          <w:fldChar w:fldCharType="begin"/>
        </w:r>
        <w:r w:rsidR="00304A20">
          <w:rPr>
            <w:noProof/>
            <w:webHidden/>
          </w:rPr>
          <w:instrText xml:space="preserve"> PAGEREF _Toc420593957 \h </w:instrText>
        </w:r>
        <w:r w:rsidR="00304A20">
          <w:rPr>
            <w:noProof/>
            <w:webHidden/>
          </w:rPr>
        </w:r>
        <w:r w:rsidR="00304A20">
          <w:rPr>
            <w:noProof/>
            <w:webHidden/>
          </w:rPr>
          <w:fldChar w:fldCharType="separate"/>
        </w:r>
        <w:r w:rsidR="00304A20">
          <w:rPr>
            <w:noProof/>
            <w:webHidden/>
          </w:rPr>
          <w:t>189</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58" w:history="1">
        <w:r w:rsidR="00304A20" w:rsidRPr="00A245C5">
          <w:rPr>
            <w:rStyle w:val="Hyperlink"/>
            <w:noProof/>
          </w:rPr>
          <w:t>PART XiII: DOCUMENTS INCORPORATED BY REFERENCE</w:t>
        </w:r>
        <w:r w:rsidR="00304A20">
          <w:rPr>
            <w:noProof/>
            <w:webHidden/>
          </w:rPr>
          <w:tab/>
        </w:r>
        <w:r w:rsidR="00304A20">
          <w:rPr>
            <w:noProof/>
            <w:webHidden/>
          </w:rPr>
          <w:fldChar w:fldCharType="begin"/>
        </w:r>
        <w:r w:rsidR="00304A20">
          <w:rPr>
            <w:noProof/>
            <w:webHidden/>
          </w:rPr>
          <w:instrText xml:space="preserve"> PAGEREF _Toc420593958 \h </w:instrText>
        </w:r>
        <w:r w:rsidR="00304A20">
          <w:rPr>
            <w:noProof/>
            <w:webHidden/>
          </w:rPr>
        </w:r>
        <w:r w:rsidR="00304A20">
          <w:rPr>
            <w:noProof/>
            <w:webHidden/>
          </w:rPr>
          <w:fldChar w:fldCharType="separate"/>
        </w:r>
        <w:r w:rsidR="00304A20">
          <w:rPr>
            <w:noProof/>
            <w:webHidden/>
          </w:rPr>
          <w:t>195</w:t>
        </w:r>
        <w:r w:rsidR="00304A20">
          <w:rPr>
            <w:noProof/>
            <w:webHidden/>
          </w:rPr>
          <w:fldChar w:fldCharType="end"/>
        </w:r>
      </w:hyperlink>
    </w:p>
    <w:p w:rsidR="00304A20" w:rsidRPr="003D1D9A" w:rsidRDefault="00972D9E">
      <w:pPr>
        <w:pStyle w:val="TOC3"/>
        <w:rPr>
          <w:rFonts w:ascii="Calibri" w:eastAsia="SimSun" w:hAnsi="Calibri"/>
          <w:noProof/>
          <w:sz w:val="22"/>
          <w:szCs w:val="22"/>
          <w:lang w:eastAsia="en-GB"/>
        </w:rPr>
      </w:pPr>
      <w:hyperlink w:anchor="_Toc420593959" w:history="1">
        <w:r w:rsidR="00304A20" w:rsidRPr="00A245C5">
          <w:rPr>
            <w:rStyle w:val="Hyperlink"/>
            <w:noProof/>
          </w:rPr>
          <w:t>ANNEX 1: HISTORICAL FINANCIAL INFORMATION</w:t>
        </w:r>
        <w:r w:rsidR="00304A20">
          <w:rPr>
            <w:noProof/>
            <w:webHidden/>
          </w:rPr>
          <w:tab/>
        </w:r>
        <w:r w:rsidR="00304A20">
          <w:rPr>
            <w:noProof/>
            <w:webHidden/>
          </w:rPr>
          <w:fldChar w:fldCharType="begin"/>
        </w:r>
        <w:r w:rsidR="00304A20">
          <w:rPr>
            <w:noProof/>
            <w:webHidden/>
          </w:rPr>
          <w:instrText xml:space="preserve"> PAGEREF _Toc420593959 \h </w:instrText>
        </w:r>
        <w:r w:rsidR="00304A20">
          <w:rPr>
            <w:noProof/>
            <w:webHidden/>
          </w:rPr>
        </w:r>
        <w:r w:rsidR="00304A20">
          <w:rPr>
            <w:noProof/>
            <w:webHidden/>
          </w:rPr>
          <w:fldChar w:fldCharType="separate"/>
        </w:r>
        <w:r w:rsidR="00304A20">
          <w:rPr>
            <w:noProof/>
            <w:webHidden/>
          </w:rPr>
          <w:t>195</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60" w:history="1">
        <w:r w:rsidR="00304A20" w:rsidRPr="00A245C5">
          <w:rPr>
            <w:rStyle w:val="Hyperlink"/>
            <w:noProof/>
          </w:rPr>
          <w:t>1.</w:t>
        </w:r>
        <w:r w:rsidR="00304A20" w:rsidRPr="003D1D9A">
          <w:rPr>
            <w:rFonts w:ascii="Calibri" w:eastAsia="SimSun" w:hAnsi="Calibri"/>
            <w:caps w:val="0"/>
            <w:noProof/>
            <w:sz w:val="22"/>
            <w:szCs w:val="22"/>
            <w:lang w:eastAsia="en-GB"/>
          </w:rPr>
          <w:tab/>
        </w:r>
        <w:r w:rsidR="00304A20" w:rsidRPr="00A245C5">
          <w:rPr>
            <w:rStyle w:val="Hyperlink"/>
            <w:noProof/>
          </w:rPr>
          <w:t>Audited financial information of Greenyard Foods for last three years (the last two years presented and prepared in a form consistent with IFRS)</w:t>
        </w:r>
        <w:r w:rsidR="00304A20">
          <w:rPr>
            <w:noProof/>
            <w:webHidden/>
          </w:rPr>
          <w:tab/>
        </w:r>
        <w:r w:rsidR="00304A20">
          <w:rPr>
            <w:noProof/>
            <w:webHidden/>
          </w:rPr>
          <w:fldChar w:fldCharType="begin"/>
        </w:r>
        <w:r w:rsidR="00304A20">
          <w:rPr>
            <w:noProof/>
            <w:webHidden/>
          </w:rPr>
          <w:instrText xml:space="preserve"> PAGEREF _Toc420593960 \h </w:instrText>
        </w:r>
        <w:r w:rsidR="00304A20">
          <w:rPr>
            <w:noProof/>
            <w:webHidden/>
          </w:rPr>
        </w:r>
        <w:r w:rsidR="00304A20">
          <w:rPr>
            <w:noProof/>
            <w:webHidden/>
          </w:rPr>
          <w:fldChar w:fldCharType="separate"/>
        </w:r>
        <w:r w:rsidR="00304A20">
          <w:rPr>
            <w:noProof/>
            <w:webHidden/>
          </w:rPr>
          <w:t>195</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61" w:history="1">
        <w:r w:rsidR="00304A20" w:rsidRPr="00A245C5">
          <w:rPr>
            <w:rStyle w:val="Hyperlink"/>
            <w:noProof/>
          </w:rPr>
          <w:t>2.</w:t>
        </w:r>
        <w:r w:rsidR="00304A20" w:rsidRPr="003D1D9A">
          <w:rPr>
            <w:rFonts w:ascii="Calibri" w:eastAsia="SimSun" w:hAnsi="Calibri"/>
            <w:caps w:val="0"/>
            <w:noProof/>
            <w:sz w:val="22"/>
            <w:szCs w:val="22"/>
            <w:lang w:eastAsia="en-GB"/>
          </w:rPr>
          <w:tab/>
        </w:r>
        <w:r w:rsidR="00304A20" w:rsidRPr="00A245C5">
          <w:rPr>
            <w:rStyle w:val="Hyperlink"/>
            <w:noProof/>
          </w:rPr>
          <w:t>Audited financial information of Univeg for last three years (the last two years presented and prepared in a form consistent with IFRS)</w:t>
        </w:r>
        <w:r w:rsidR="00304A20">
          <w:rPr>
            <w:noProof/>
            <w:webHidden/>
          </w:rPr>
          <w:tab/>
        </w:r>
        <w:r w:rsidR="00304A20">
          <w:rPr>
            <w:noProof/>
            <w:webHidden/>
          </w:rPr>
          <w:fldChar w:fldCharType="begin"/>
        </w:r>
        <w:r w:rsidR="00304A20">
          <w:rPr>
            <w:noProof/>
            <w:webHidden/>
          </w:rPr>
          <w:instrText xml:space="preserve"> PAGEREF _Toc420593961 \h </w:instrText>
        </w:r>
        <w:r w:rsidR="00304A20">
          <w:rPr>
            <w:noProof/>
            <w:webHidden/>
          </w:rPr>
        </w:r>
        <w:r w:rsidR="00304A20">
          <w:rPr>
            <w:noProof/>
            <w:webHidden/>
          </w:rPr>
          <w:fldChar w:fldCharType="separate"/>
        </w:r>
        <w:r w:rsidR="00304A20">
          <w:rPr>
            <w:noProof/>
            <w:webHidden/>
          </w:rPr>
          <w:t>195</w:t>
        </w:r>
        <w:r w:rsidR="00304A20">
          <w:rPr>
            <w:noProof/>
            <w:webHidden/>
          </w:rPr>
          <w:fldChar w:fldCharType="end"/>
        </w:r>
      </w:hyperlink>
    </w:p>
    <w:p w:rsidR="00304A20" w:rsidRPr="003D1D9A" w:rsidRDefault="00972D9E">
      <w:pPr>
        <w:pStyle w:val="TOC1"/>
        <w:rPr>
          <w:rFonts w:ascii="Calibri" w:eastAsia="SimSun" w:hAnsi="Calibri"/>
          <w:caps w:val="0"/>
          <w:noProof/>
          <w:sz w:val="22"/>
          <w:szCs w:val="22"/>
          <w:lang w:eastAsia="en-GB"/>
        </w:rPr>
      </w:pPr>
      <w:hyperlink w:anchor="_Toc420593962" w:history="1">
        <w:r w:rsidR="00304A20" w:rsidRPr="00A245C5">
          <w:rPr>
            <w:rStyle w:val="Hyperlink"/>
            <w:noProof/>
          </w:rPr>
          <w:t>3.</w:t>
        </w:r>
        <w:r w:rsidR="00304A20" w:rsidRPr="003D1D9A">
          <w:rPr>
            <w:rFonts w:ascii="Calibri" w:eastAsia="SimSun" w:hAnsi="Calibri"/>
            <w:caps w:val="0"/>
            <w:noProof/>
            <w:sz w:val="22"/>
            <w:szCs w:val="22"/>
            <w:lang w:eastAsia="en-GB"/>
          </w:rPr>
          <w:tab/>
        </w:r>
        <w:r w:rsidR="00304A20" w:rsidRPr="00A245C5">
          <w:rPr>
            <w:rStyle w:val="Hyperlink"/>
            <w:noProof/>
          </w:rPr>
          <w:t>Audited financial information of Peatinvest for last three years (the last two years presented and prepared in a form consistent with IFRS)</w:t>
        </w:r>
        <w:r w:rsidR="00304A20">
          <w:rPr>
            <w:noProof/>
            <w:webHidden/>
          </w:rPr>
          <w:tab/>
        </w:r>
        <w:r w:rsidR="00304A20">
          <w:rPr>
            <w:noProof/>
            <w:webHidden/>
          </w:rPr>
          <w:fldChar w:fldCharType="begin"/>
        </w:r>
        <w:r w:rsidR="00304A20">
          <w:rPr>
            <w:noProof/>
            <w:webHidden/>
          </w:rPr>
          <w:instrText xml:space="preserve"> PAGEREF _Toc420593962 \h </w:instrText>
        </w:r>
        <w:r w:rsidR="00304A20">
          <w:rPr>
            <w:noProof/>
            <w:webHidden/>
          </w:rPr>
        </w:r>
        <w:r w:rsidR="00304A20">
          <w:rPr>
            <w:noProof/>
            <w:webHidden/>
          </w:rPr>
          <w:fldChar w:fldCharType="separate"/>
        </w:r>
        <w:r w:rsidR="00304A20">
          <w:rPr>
            <w:noProof/>
            <w:webHidden/>
          </w:rPr>
          <w:t>195</w:t>
        </w:r>
        <w:r w:rsidR="00304A20">
          <w:rPr>
            <w:noProof/>
            <w:webHidden/>
          </w:rPr>
          <w:fldChar w:fldCharType="end"/>
        </w:r>
      </w:hyperlink>
    </w:p>
    <w:p w:rsidR="00304A20" w:rsidRPr="003D1D9A" w:rsidRDefault="00972D9E">
      <w:pPr>
        <w:pStyle w:val="TOC3"/>
        <w:rPr>
          <w:rFonts w:ascii="Calibri" w:eastAsia="SimSun" w:hAnsi="Calibri"/>
          <w:noProof/>
          <w:sz w:val="22"/>
          <w:szCs w:val="22"/>
          <w:lang w:eastAsia="en-GB"/>
        </w:rPr>
      </w:pPr>
      <w:hyperlink w:anchor="_Toc420593963" w:history="1">
        <w:r w:rsidR="00304A20" w:rsidRPr="00A245C5">
          <w:rPr>
            <w:rStyle w:val="Hyperlink"/>
            <w:noProof/>
          </w:rPr>
          <w:t>ANNEX II: PRO FORMA FINANCIAL INFORMATION</w:t>
        </w:r>
        <w:r w:rsidR="00304A20">
          <w:rPr>
            <w:noProof/>
            <w:webHidden/>
          </w:rPr>
          <w:tab/>
        </w:r>
        <w:r w:rsidR="00304A20">
          <w:rPr>
            <w:noProof/>
            <w:webHidden/>
          </w:rPr>
          <w:fldChar w:fldCharType="begin"/>
        </w:r>
        <w:r w:rsidR="00304A20">
          <w:rPr>
            <w:noProof/>
            <w:webHidden/>
          </w:rPr>
          <w:instrText xml:space="preserve"> PAGEREF _Toc420593963 \h </w:instrText>
        </w:r>
        <w:r w:rsidR="00304A20">
          <w:rPr>
            <w:noProof/>
            <w:webHidden/>
          </w:rPr>
        </w:r>
        <w:r w:rsidR="00304A20">
          <w:rPr>
            <w:noProof/>
            <w:webHidden/>
          </w:rPr>
          <w:fldChar w:fldCharType="separate"/>
        </w:r>
        <w:r w:rsidR="00304A20">
          <w:rPr>
            <w:noProof/>
            <w:webHidden/>
          </w:rPr>
          <w:t>196</w:t>
        </w:r>
        <w:r w:rsidR="00304A20">
          <w:rPr>
            <w:noProof/>
            <w:webHidden/>
          </w:rPr>
          <w:fldChar w:fldCharType="end"/>
        </w:r>
      </w:hyperlink>
    </w:p>
    <w:p w:rsidR="003F0BC5" w:rsidRDefault="00C14169" w:rsidP="003F0BC5">
      <w:pPr>
        <w:spacing w:after="600"/>
        <w:rPr>
          <w:szCs w:val="20"/>
        </w:rPr>
        <w:sectPr w:rsidR="003F0BC5" w:rsidSect="00BB0F52">
          <w:pgSz w:w="11909" w:h="16834" w:code="9"/>
          <w:pgMar w:top="1440" w:right="1440" w:bottom="1440" w:left="1440" w:header="709" w:footer="709" w:gutter="0"/>
          <w:cols w:space="720"/>
          <w:titlePg/>
          <w:docGrid w:linePitch="360"/>
        </w:sectPr>
      </w:pPr>
      <w:r>
        <w:rPr>
          <w:noProof/>
        </w:rPr>
        <w:t xml:space="preserve">  </w:t>
      </w:r>
      <w:r w:rsidR="00474373">
        <w:rPr>
          <w:szCs w:val="20"/>
        </w:rPr>
        <w:fldChar w:fldCharType="end"/>
      </w:r>
    </w:p>
    <w:p w:rsidR="003F0BC5" w:rsidRPr="00992199" w:rsidRDefault="003F0BC5" w:rsidP="00353B80">
      <w:pPr>
        <w:pStyle w:val="Heading1"/>
        <w:keepNext/>
      </w:pPr>
      <w:bookmarkStart w:id="1" w:name="_Toc420593827"/>
      <w:r w:rsidRPr="00992199">
        <w:lastRenderedPageBreak/>
        <w:t>PART I: SUMMARY</w:t>
      </w:r>
      <w:bookmarkEnd w:id="1"/>
    </w:p>
    <w:p w:rsidR="003F0BC5" w:rsidRPr="00992199" w:rsidRDefault="003F0BC5" w:rsidP="003F0BC5">
      <w:pPr>
        <w:rPr>
          <w:i/>
          <w:szCs w:val="20"/>
        </w:rPr>
      </w:pPr>
      <w:r w:rsidRPr="00992199">
        <w:rPr>
          <w:i/>
          <w:szCs w:val="20"/>
        </w:rPr>
        <w:t xml:space="preserve">Summaries are made up of disclosure requirements known as </w:t>
      </w:r>
      <w:r w:rsidR="00BF553B">
        <w:rPr>
          <w:i/>
          <w:szCs w:val="20"/>
        </w:rPr>
        <w:t>“</w:t>
      </w:r>
      <w:r w:rsidRPr="00992199">
        <w:rPr>
          <w:i/>
          <w:szCs w:val="20"/>
        </w:rPr>
        <w:t>Elements</w:t>
      </w:r>
      <w:r w:rsidR="00BF553B">
        <w:rPr>
          <w:i/>
          <w:szCs w:val="20"/>
        </w:rPr>
        <w:t>”</w:t>
      </w:r>
      <w:r w:rsidRPr="00992199">
        <w:rPr>
          <w:i/>
          <w:szCs w:val="20"/>
        </w:rPr>
        <w:t>. These elements are numbered in Sections A — E (A.1 – E.7).</w:t>
      </w:r>
    </w:p>
    <w:p w:rsidR="003F0BC5" w:rsidRPr="00992199" w:rsidRDefault="003F0BC5" w:rsidP="003F0BC5">
      <w:pPr>
        <w:rPr>
          <w:i/>
          <w:szCs w:val="20"/>
        </w:rPr>
      </w:pPr>
      <w:r w:rsidRPr="00992199">
        <w:rPr>
          <w:i/>
          <w:szCs w:val="20"/>
        </w:rPr>
        <w:t>This summary contains all the Elements required to be included in a summary for this type of securities and issuer. Because some Elements are not required to be addressed, there may be gaps in the numbering sequence of the Elements.</w:t>
      </w:r>
    </w:p>
    <w:p w:rsidR="003F0BC5" w:rsidRPr="00992199" w:rsidRDefault="003F0BC5" w:rsidP="003F0BC5">
      <w:pPr>
        <w:rPr>
          <w:i/>
          <w:szCs w:val="20"/>
        </w:rPr>
      </w:pPr>
      <w:r w:rsidRPr="00992199">
        <w:rPr>
          <w:i/>
          <w:szCs w:val="20"/>
        </w:rPr>
        <w:t xml:space="preserve">Even though an Element may be required to be inserted in the summary because of the type of securities and issuer, it is possible that no relevant information can be given regarding the Element. In this case a short description of the Element is included in the summary with the mention of </w:t>
      </w:r>
      <w:r w:rsidR="00BF553B">
        <w:rPr>
          <w:i/>
          <w:szCs w:val="20"/>
        </w:rPr>
        <w:t>“</w:t>
      </w:r>
      <w:r w:rsidRPr="00992199">
        <w:rPr>
          <w:i/>
          <w:szCs w:val="20"/>
        </w:rPr>
        <w:t>not applicable</w:t>
      </w:r>
      <w:r w:rsidR="00BF553B">
        <w:rPr>
          <w:i/>
          <w:szCs w:val="20"/>
        </w:rPr>
        <w:t>”</w:t>
      </w:r>
      <w:r w:rsidRPr="00992199">
        <w:rPr>
          <w:i/>
          <w:szCs w:val="20"/>
        </w:rPr>
        <w:t>.</w:t>
      </w:r>
    </w:p>
    <w:p w:rsidR="003F0BC5" w:rsidRPr="00992199" w:rsidRDefault="003F0BC5" w:rsidP="003F0BC5">
      <w:pPr>
        <w:jc w:val="center"/>
        <w:rPr>
          <w:b/>
          <w:szCs w:val="20"/>
        </w:rPr>
      </w:pPr>
      <w:r w:rsidRPr="00992199">
        <w:rPr>
          <w:b/>
          <w:szCs w:val="20"/>
        </w:rPr>
        <w:t>Section A – Introduction and warnings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8286"/>
      </w:tblGrid>
      <w:tr w:rsidR="003F0BC5" w:rsidRPr="00992199" w:rsidTr="00304A20">
        <w:tc>
          <w:tcPr>
            <w:tcW w:w="959" w:type="dxa"/>
            <w:shd w:val="clear" w:color="auto" w:fill="E6E6E6"/>
          </w:tcPr>
          <w:p w:rsidR="003F0BC5" w:rsidRPr="00992199" w:rsidRDefault="003F0BC5" w:rsidP="00BB0F52">
            <w:pPr>
              <w:rPr>
                <w:b/>
                <w:szCs w:val="20"/>
              </w:rPr>
            </w:pPr>
            <w:r w:rsidRPr="00992199">
              <w:rPr>
                <w:b/>
                <w:szCs w:val="20"/>
              </w:rPr>
              <w:t>Element</w:t>
            </w:r>
          </w:p>
        </w:tc>
        <w:tc>
          <w:tcPr>
            <w:tcW w:w="8286" w:type="dxa"/>
            <w:shd w:val="clear" w:color="auto" w:fill="E6E6E6"/>
          </w:tcPr>
          <w:p w:rsidR="003F0BC5" w:rsidRPr="00992199" w:rsidRDefault="003F0BC5" w:rsidP="00BB0F52">
            <w:pPr>
              <w:rPr>
                <w:b/>
                <w:szCs w:val="20"/>
              </w:rPr>
            </w:pPr>
            <w:r w:rsidRPr="00992199">
              <w:rPr>
                <w:b/>
                <w:szCs w:val="20"/>
              </w:rPr>
              <w:t>Disclosure requirement</w:t>
            </w:r>
          </w:p>
        </w:tc>
      </w:tr>
      <w:tr w:rsidR="003F0BC5" w:rsidRPr="00992199" w:rsidTr="00304A20">
        <w:tc>
          <w:tcPr>
            <w:tcW w:w="959" w:type="dxa"/>
            <w:tcBorders>
              <w:bottom w:val="nil"/>
            </w:tcBorders>
            <w:shd w:val="clear" w:color="auto" w:fill="auto"/>
          </w:tcPr>
          <w:p w:rsidR="003F0BC5" w:rsidRPr="00992199" w:rsidRDefault="003F0BC5" w:rsidP="00BB0F52">
            <w:pPr>
              <w:jc w:val="center"/>
              <w:rPr>
                <w:b/>
                <w:szCs w:val="20"/>
              </w:rPr>
            </w:pPr>
            <w:r w:rsidRPr="00992199">
              <w:rPr>
                <w:b/>
                <w:szCs w:val="20"/>
              </w:rPr>
              <w:t>A.1</w:t>
            </w:r>
          </w:p>
        </w:tc>
        <w:tc>
          <w:tcPr>
            <w:tcW w:w="8286" w:type="dxa"/>
            <w:tcBorders>
              <w:bottom w:val="nil"/>
            </w:tcBorders>
            <w:shd w:val="clear" w:color="auto" w:fill="auto"/>
          </w:tcPr>
          <w:p w:rsidR="003F0BC5" w:rsidRPr="00992199" w:rsidRDefault="003F0BC5" w:rsidP="00BB0F52">
            <w:pPr>
              <w:rPr>
                <w:b/>
                <w:szCs w:val="20"/>
              </w:rPr>
            </w:pPr>
            <w:r w:rsidRPr="00992199">
              <w:rPr>
                <w:b/>
                <w:szCs w:val="20"/>
              </w:rPr>
              <w:t>Introduction and warnings</w:t>
            </w:r>
          </w:p>
        </w:tc>
      </w:tr>
      <w:tr w:rsidR="003F0BC5" w:rsidRPr="00992199" w:rsidTr="00304A20">
        <w:tc>
          <w:tcPr>
            <w:tcW w:w="959" w:type="dxa"/>
            <w:tcBorders>
              <w:top w:val="nil"/>
              <w:bottom w:val="nil"/>
            </w:tcBorders>
            <w:shd w:val="clear" w:color="auto" w:fill="auto"/>
          </w:tcPr>
          <w:p w:rsidR="003F0BC5" w:rsidRPr="00992199" w:rsidRDefault="003F0BC5" w:rsidP="00BB0F52">
            <w:pPr>
              <w:jc w:val="center"/>
              <w:rPr>
                <w:szCs w:val="20"/>
              </w:rPr>
            </w:pPr>
          </w:p>
        </w:tc>
        <w:tc>
          <w:tcPr>
            <w:tcW w:w="8286" w:type="dxa"/>
            <w:tcBorders>
              <w:top w:val="nil"/>
              <w:bottom w:val="nil"/>
            </w:tcBorders>
            <w:shd w:val="clear" w:color="auto" w:fill="auto"/>
          </w:tcPr>
          <w:p w:rsidR="003F0BC5" w:rsidRPr="00992199" w:rsidRDefault="003F0BC5" w:rsidP="00BB0F52">
            <w:pPr>
              <w:rPr>
                <w:szCs w:val="20"/>
              </w:rPr>
            </w:pPr>
            <w:r w:rsidRPr="00992199">
              <w:rPr>
                <w:szCs w:val="20"/>
              </w:rPr>
              <w:t>This summary should be read as an introduction to the Prospectus.</w:t>
            </w:r>
          </w:p>
        </w:tc>
      </w:tr>
      <w:tr w:rsidR="003F0BC5" w:rsidRPr="00992199" w:rsidTr="00304A20">
        <w:tc>
          <w:tcPr>
            <w:tcW w:w="959" w:type="dxa"/>
            <w:tcBorders>
              <w:top w:val="nil"/>
              <w:bottom w:val="nil"/>
            </w:tcBorders>
            <w:shd w:val="clear" w:color="auto" w:fill="auto"/>
          </w:tcPr>
          <w:p w:rsidR="003F0BC5" w:rsidRPr="00992199" w:rsidRDefault="003F0BC5" w:rsidP="00BB0F52">
            <w:pPr>
              <w:jc w:val="center"/>
              <w:rPr>
                <w:szCs w:val="20"/>
              </w:rPr>
            </w:pPr>
          </w:p>
        </w:tc>
        <w:tc>
          <w:tcPr>
            <w:tcW w:w="8286" w:type="dxa"/>
            <w:tcBorders>
              <w:top w:val="nil"/>
              <w:bottom w:val="nil"/>
            </w:tcBorders>
            <w:shd w:val="clear" w:color="auto" w:fill="auto"/>
          </w:tcPr>
          <w:p w:rsidR="003F0BC5" w:rsidRPr="00992199" w:rsidRDefault="003F0BC5" w:rsidP="00BB0F52">
            <w:pPr>
              <w:rPr>
                <w:szCs w:val="20"/>
              </w:rPr>
            </w:pPr>
            <w:r w:rsidRPr="00992199">
              <w:rPr>
                <w:szCs w:val="20"/>
              </w:rPr>
              <w:t>Any decision to invest in the Shares should be based on consideration of the Prospectus as a whole by the investor.</w:t>
            </w:r>
          </w:p>
        </w:tc>
      </w:tr>
      <w:tr w:rsidR="003F0BC5" w:rsidRPr="00992199" w:rsidTr="00304A20">
        <w:tc>
          <w:tcPr>
            <w:tcW w:w="959" w:type="dxa"/>
            <w:tcBorders>
              <w:top w:val="nil"/>
              <w:bottom w:val="nil"/>
            </w:tcBorders>
            <w:shd w:val="clear" w:color="auto" w:fill="auto"/>
          </w:tcPr>
          <w:p w:rsidR="003F0BC5" w:rsidRPr="00992199" w:rsidRDefault="003F0BC5" w:rsidP="00BB0F52">
            <w:pPr>
              <w:jc w:val="center"/>
              <w:rPr>
                <w:szCs w:val="20"/>
              </w:rPr>
            </w:pPr>
          </w:p>
        </w:tc>
        <w:tc>
          <w:tcPr>
            <w:tcW w:w="8286" w:type="dxa"/>
            <w:tcBorders>
              <w:top w:val="nil"/>
              <w:bottom w:val="nil"/>
            </w:tcBorders>
            <w:shd w:val="clear" w:color="auto" w:fill="auto"/>
          </w:tcPr>
          <w:p w:rsidR="003F0BC5" w:rsidRPr="00992199" w:rsidRDefault="003F0BC5" w:rsidP="00BB0F52">
            <w:pPr>
              <w:rPr>
                <w:szCs w:val="20"/>
              </w:rPr>
            </w:pPr>
            <w:r w:rsidRPr="00992199">
              <w:rPr>
                <w:szCs w:val="20"/>
              </w:rPr>
              <w:t>Where a claim relating to the information contained in the Prospectus is brought before a court, the plaintiff investor might, under the national legislation of the Member States, have to bear the costs of translating the Prospectus before the legal proceedings are initiated.</w:t>
            </w:r>
          </w:p>
        </w:tc>
      </w:tr>
      <w:tr w:rsidR="003F0BC5" w:rsidRPr="00992199" w:rsidTr="00304A20">
        <w:tc>
          <w:tcPr>
            <w:tcW w:w="959" w:type="dxa"/>
            <w:tcBorders>
              <w:top w:val="nil"/>
            </w:tcBorders>
            <w:shd w:val="clear" w:color="auto" w:fill="auto"/>
          </w:tcPr>
          <w:p w:rsidR="003F0BC5" w:rsidRPr="00992199" w:rsidRDefault="003F0BC5" w:rsidP="00BB0F52">
            <w:pPr>
              <w:jc w:val="center"/>
              <w:rPr>
                <w:szCs w:val="20"/>
              </w:rPr>
            </w:pPr>
          </w:p>
        </w:tc>
        <w:tc>
          <w:tcPr>
            <w:tcW w:w="8286" w:type="dxa"/>
            <w:tcBorders>
              <w:top w:val="nil"/>
            </w:tcBorders>
            <w:shd w:val="clear" w:color="auto" w:fill="auto"/>
          </w:tcPr>
          <w:p w:rsidR="003F0BC5" w:rsidRPr="00992199" w:rsidRDefault="003F0BC5" w:rsidP="00BB0F52">
            <w:pPr>
              <w:rPr>
                <w:szCs w:val="20"/>
              </w:rPr>
            </w:pPr>
            <w:r w:rsidRPr="00992199">
              <w:rPr>
                <w:szCs w:val="20"/>
              </w:rPr>
              <w:t>Civil liability attaches only to those persons who have tabled the summary including any translation thereof, but only if the summary is misleading, inaccurate or inconsistent when read together with the other parts of the Prospectus or it does not provide, when read together with the other parts of the Prospectus, key information in order to aid investors when considering whether to invest in such securities.</w:t>
            </w:r>
          </w:p>
        </w:tc>
      </w:tr>
      <w:tr w:rsidR="003F0BC5" w:rsidRPr="00992199" w:rsidTr="00304A20">
        <w:tc>
          <w:tcPr>
            <w:tcW w:w="959" w:type="dxa"/>
            <w:tcBorders>
              <w:bottom w:val="nil"/>
            </w:tcBorders>
            <w:shd w:val="clear" w:color="auto" w:fill="auto"/>
          </w:tcPr>
          <w:p w:rsidR="003F0BC5" w:rsidRPr="00992199" w:rsidRDefault="003F0BC5" w:rsidP="00BB0F52">
            <w:pPr>
              <w:jc w:val="center"/>
              <w:rPr>
                <w:b/>
                <w:szCs w:val="20"/>
              </w:rPr>
            </w:pPr>
            <w:r w:rsidRPr="00992199">
              <w:rPr>
                <w:b/>
                <w:szCs w:val="20"/>
              </w:rPr>
              <w:t>A.2</w:t>
            </w:r>
          </w:p>
        </w:tc>
        <w:tc>
          <w:tcPr>
            <w:tcW w:w="8286" w:type="dxa"/>
            <w:tcBorders>
              <w:bottom w:val="nil"/>
            </w:tcBorders>
            <w:shd w:val="clear" w:color="auto" w:fill="auto"/>
          </w:tcPr>
          <w:p w:rsidR="003F0BC5" w:rsidRPr="00992199" w:rsidRDefault="003F0BC5" w:rsidP="00BB0F52">
            <w:pPr>
              <w:rPr>
                <w:b/>
                <w:szCs w:val="20"/>
              </w:rPr>
            </w:pPr>
            <w:r w:rsidRPr="00992199">
              <w:rPr>
                <w:b/>
                <w:szCs w:val="20"/>
              </w:rPr>
              <w:t>Consent to subsequent resale or final placement</w:t>
            </w:r>
          </w:p>
        </w:tc>
      </w:tr>
      <w:tr w:rsidR="003F0BC5" w:rsidRPr="00992199" w:rsidTr="00304A20">
        <w:tc>
          <w:tcPr>
            <w:tcW w:w="959" w:type="dxa"/>
            <w:tcBorders>
              <w:top w:val="nil"/>
            </w:tcBorders>
            <w:shd w:val="clear" w:color="auto" w:fill="auto"/>
          </w:tcPr>
          <w:p w:rsidR="003F0BC5" w:rsidRPr="00992199" w:rsidRDefault="003F0BC5" w:rsidP="00BB0F52">
            <w:pPr>
              <w:jc w:val="center"/>
              <w:rPr>
                <w:szCs w:val="20"/>
              </w:rPr>
            </w:pPr>
          </w:p>
        </w:tc>
        <w:tc>
          <w:tcPr>
            <w:tcW w:w="8286" w:type="dxa"/>
            <w:tcBorders>
              <w:top w:val="nil"/>
            </w:tcBorders>
            <w:shd w:val="clear" w:color="auto" w:fill="auto"/>
          </w:tcPr>
          <w:p w:rsidR="003F0BC5" w:rsidRPr="00992199" w:rsidRDefault="003F0BC5" w:rsidP="00BB0F52">
            <w:pPr>
              <w:rPr>
                <w:szCs w:val="20"/>
              </w:rPr>
            </w:pPr>
            <w:r w:rsidRPr="00992199">
              <w:rPr>
                <w:szCs w:val="20"/>
              </w:rPr>
              <w:t>Not applicable. This Prospectus does not constitute an offer to buy, subscribe or sell the Shares and consequently no consent is granted by the Company to the use of the Prospectus for subsequent resale or final placement of the Shares.</w:t>
            </w:r>
          </w:p>
        </w:tc>
      </w:tr>
    </w:tbl>
    <w:p w:rsidR="003F0BC5" w:rsidRDefault="003F0BC5" w:rsidP="003F0BC5">
      <w:pPr>
        <w:jc w:val="center"/>
        <w:rPr>
          <w:b/>
          <w:szCs w:val="20"/>
        </w:rPr>
      </w:pPr>
    </w:p>
    <w:p w:rsidR="003F0BC5" w:rsidRPr="00992199" w:rsidRDefault="003F0BC5" w:rsidP="003F0BC5">
      <w:pPr>
        <w:jc w:val="center"/>
        <w:rPr>
          <w:b/>
          <w:szCs w:val="20"/>
        </w:rPr>
      </w:pPr>
      <w:r w:rsidRPr="00992199">
        <w:rPr>
          <w:b/>
          <w:szCs w:val="20"/>
        </w:rPr>
        <w:t>Section B – Company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8286"/>
      </w:tblGrid>
      <w:tr w:rsidR="003F0BC5" w:rsidRPr="00992199" w:rsidTr="00304A20">
        <w:trPr>
          <w:tblHeader/>
        </w:trPr>
        <w:tc>
          <w:tcPr>
            <w:tcW w:w="959" w:type="dxa"/>
            <w:shd w:val="clear" w:color="auto" w:fill="E6E6E6"/>
          </w:tcPr>
          <w:p w:rsidR="003F0BC5" w:rsidRPr="00992199" w:rsidRDefault="003F0BC5" w:rsidP="00BB0F52">
            <w:pPr>
              <w:rPr>
                <w:b/>
                <w:szCs w:val="20"/>
              </w:rPr>
            </w:pPr>
            <w:r w:rsidRPr="00992199">
              <w:rPr>
                <w:b/>
                <w:szCs w:val="20"/>
              </w:rPr>
              <w:t>Element</w:t>
            </w:r>
          </w:p>
        </w:tc>
        <w:tc>
          <w:tcPr>
            <w:tcW w:w="8286" w:type="dxa"/>
            <w:shd w:val="clear" w:color="auto" w:fill="E6E6E6"/>
          </w:tcPr>
          <w:p w:rsidR="003F0BC5" w:rsidRPr="00992199" w:rsidRDefault="003F0BC5" w:rsidP="00BB0F52">
            <w:pPr>
              <w:rPr>
                <w:b/>
                <w:szCs w:val="20"/>
              </w:rPr>
            </w:pPr>
            <w:r w:rsidRPr="00992199">
              <w:rPr>
                <w:b/>
                <w:szCs w:val="20"/>
              </w:rPr>
              <w:t>Disclosure requirement</w:t>
            </w:r>
          </w:p>
        </w:tc>
      </w:tr>
      <w:tr w:rsidR="003F0BC5" w:rsidRPr="00992199" w:rsidTr="00304A20">
        <w:tc>
          <w:tcPr>
            <w:tcW w:w="959" w:type="dxa"/>
            <w:tcBorders>
              <w:bottom w:val="nil"/>
            </w:tcBorders>
            <w:shd w:val="clear" w:color="auto" w:fill="auto"/>
          </w:tcPr>
          <w:p w:rsidR="003F0BC5" w:rsidRPr="00992199" w:rsidRDefault="003F0BC5" w:rsidP="00BB0F52">
            <w:pPr>
              <w:jc w:val="center"/>
              <w:rPr>
                <w:b/>
                <w:szCs w:val="20"/>
              </w:rPr>
            </w:pPr>
            <w:r w:rsidRPr="00992199">
              <w:rPr>
                <w:b/>
                <w:szCs w:val="20"/>
              </w:rPr>
              <w:t>B.1</w:t>
            </w:r>
          </w:p>
        </w:tc>
        <w:tc>
          <w:tcPr>
            <w:tcW w:w="8286" w:type="dxa"/>
            <w:tcBorders>
              <w:bottom w:val="nil"/>
            </w:tcBorders>
            <w:shd w:val="clear" w:color="auto" w:fill="auto"/>
          </w:tcPr>
          <w:p w:rsidR="003F0BC5" w:rsidRPr="00992199" w:rsidRDefault="003F0BC5" w:rsidP="00BB0F52">
            <w:pPr>
              <w:rPr>
                <w:b/>
                <w:szCs w:val="20"/>
              </w:rPr>
            </w:pPr>
            <w:r w:rsidRPr="00992199">
              <w:rPr>
                <w:b/>
                <w:szCs w:val="20"/>
              </w:rPr>
              <w:t>The legal and commercial name of the Company</w:t>
            </w:r>
          </w:p>
        </w:tc>
      </w:tr>
      <w:tr w:rsidR="003F0BC5" w:rsidRPr="00992199" w:rsidTr="00304A20">
        <w:tc>
          <w:tcPr>
            <w:tcW w:w="959" w:type="dxa"/>
            <w:tcBorders>
              <w:top w:val="nil"/>
              <w:bottom w:val="single" w:sz="4" w:space="0" w:color="auto"/>
            </w:tcBorders>
            <w:shd w:val="clear" w:color="auto" w:fill="auto"/>
          </w:tcPr>
          <w:p w:rsidR="003F0BC5" w:rsidRPr="00992199" w:rsidRDefault="003F0BC5" w:rsidP="00BB0F52">
            <w:pPr>
              <w:jc w:val="center"/>
              <w:rPr>
                <w:szCs w:val="20"/>
              </w:rPr>
            </w:pPr>
          </w:p>
        </w:tc>
        <w:tc>
          <w:tcPr>
            <w:tcW w:w="8286" w:type="dxa"/>
            <w:tcBorders>
              <w:top w:val="nil"/>
              <w:bottom w:val="single" w:sz="4" w:space="0" w:color="auto"/>
            </w:tcBorders>
            <w:shd w:val="clear" w:color="auto" w:fill="auto"/>
          </w:tcPr>
          <w:p w:rsidR="003F0BC5" w:rsidRPr="00992199" w:rsidRDefault="002A1AB1" w:rsidP="00BB0F52">
            <w:pPr>
              <w:rPr>
                <w:szCs w:val="20"/>
              </w:rPr>
            </w:pPr>
            <w:r>
              <w:rPr>
                <w:szCs w:val="20"/>
              </w:rPr>
              <w:t>Greenyard Foods</w:t>
            </w:r>
            <w:r w:rsidR="003F0BC5" w:rsidRPr="00992199">
              <w:rPr>
                <w:szCs w:val="20"/>
              </w:rPr>
              <w:t xml:space="preserve"> NV.</w:t>
            </w:r>
          </w:p>
        </w:tc>
      </w:tr>
      <w:tr w:rsidR="003F0BC5" w:rsidRPr="00992199" w:rsidTr="00304A20">
        <w:tc>
          <w:tcPr>
            <w:tcW w:w="959" w:type="dxa"/>
            <w:tcBorders>
              <w:bottom w:val="nil"/>
            </w:tcBorders>
            <w:shd w:val="clear" w:color="auto" w:fill="auto"/>
          </w:tcPr>
          <w:p w:rsidR="003F0BC5" w:rsidRPr="00992199" w:rsidRDefault="003F0BC5" w:rsidP="00BB0F52">
            <w:pPr>
              <w:jc w:val="center"/>
              <w:rPr>
                <w:b/>
                <w:szCs w:val="20"/>
              </w:rPr>
            </w:pPr>
            <w:r w:rsidRPr="00992199">
              <w:rPr>
                <w:b/>
                <w:szCs w:val="20"/>
              </w:rPr>
              <w:t>B.2</w:t>
            </w:r>
          </w:p>
        </w:tc>
        <w:tc>
          <w:tcPr>
            <w:tcW w:w="8286" w:type="dxa"/>
            <w:tcBorders>
              <w:bottom w:val="nil"/>
            </w:tcBorders>
            <w:shd w:val="clear" w:color="auto" w:fill="auto"/>
          </w:tcPr>
          <w:p w:rsidR="003F0BC5" w:rsidRPr="00992199" w:rsidRDefault="003F0BC5" w:rsidP="00BB0F52">
            <w:pPr>
              <w:rPr>
                <w:b/>
                <w:szCs w:val="20"/>
              </w:rPr>
            </w:pPr>
            <w:r w:rsidRPr="00992199">
              <w:rPr>
                <w:b/>
                <w:szCs w:val="20"/>
              </w:rPr>
              <w:t>Domicile and legal form of the Company</w:t>
            </w:r>
          </w:p>
        </w:tc>
      </w:tr>
      <w:tr w:rsidR="003F0BC5" w:rsidRPr="00992199" w:rsidTr="00304A20">
        <w:tc>
          <w:tcPr>
            <w:tcW w:w="959" w:type="dxa"/>
            <w:tcBorders>
              <w:top w:val="nil"/>
              <w:bottom w:val="single" w:sz="4" w:space="0" w:color="auto"/>
            </w:tcBorders>
            <w:shd w:val="clear" w:color="auto" w:fill="auto"/>
          </w:tcPr>
          <w:p w:rsidR="003F0BC5" w:rsidRPr="00992199" w:rsidRDefault="003F0BC5" w:rsidP="00BB0F52">
            <w:pPr>
              <w:jc w:val="center"/>
              <w:rPr>
                <w:szCs w:val="20"/>
              </w:rPr>
            </w:pPr>
          </w:p>
        </w:tc>
        <w:tc>
          <w:tcPr>
            <w:tcW w:w="8286" w:type="dxa"/>
            <w:tcBorders>
              <w:top w:val="nil"/>
              <w:bottom w:val="single" w:sz="4" w:space="0" w:color="auto"/>
            </w:tcBorders>
            <w:shd w:val="clear" w:color="auto" w:fill="auto"/>
          </w:tcPr>
          <w:p w:rsidR="003F0BC5" w:rsidRPr="00992199" w:rsidRDefault="003F0BC5" w:rsidP="00334917">
            <w:pPr>
              <w:rPr>
                <w:szCs w:val="20"/>
              </w:rPr>
            </w:pPr>
            <w:r w:rsidRPr="00992199">
              <w:rPr>
                <w:szCs w:val="20"/>
              </w:rPr>
              <w:t xml:space="preserve">The Company is a limited liability company incorporated in the form of a </w:t>
            </w:r>
            <w:r w:rsidRPr="00992199">
              <w:rPr>
                <w:i/>
                <w:szCs w:val="20"/>
              </w:rPr>
              <w:t>naamloze vennootschap</w:t>
            </w:r>
            <w:r w:rsidRPr="00992199">
              <w:rPr>
                <w:szCs w:val="20"/>
              </w:rPr>
              <w:t xml:space="preserve"> </w:t>
            </w:r>
            <w:r w:rsidRPr="00992199">
              <w:rPr>
                <w:i/>
                <w:szCs w:val="20"/>
              </w:rPr>
              <w:t>/ société anonyme</w:t>
            </w:r>
            <w:r w:rsidRPr="00992199">
              <w:rPr>
                <w:szCs w:val="20"/>
              </w:rPr>
              <w:t xml:space="preserve"> under the laws of </w:t>
            </w:r>
            <w:smartTag w:uri="urn:schemas-microsoft-com:office:smarttags" w:element="country-region">
              <w:smartTag w:uri="urn:schemas-microsoft-com:office:smarttags" w:element="place">
                <w:r w:rsidRPr="00992199">
                  <w:rPr>
                    <w:szCs w:val="20"/>
                  </w:rPr>
                  <w:t>Belgium</w:t>
                </w:r>
              </w:smartTag>
            </w:smartTag>
            <w:r w:rsidRPr="00992199">
              <w:rPr>
                <w:szCs w:val="20"/>
              </w:rPr>
              <w:t xml:space="preserve">. </w:t>
            </w:r>
            <w:r w:rsidR="002A1AB1">
              <w:rPr>
                <w:szCs w:val="20"/>
              </w:rPr>
              <w:t>Greenyard Foods</w:t>
            </w:r>
            <w:r w:rsidRPr="00992199">
              <w:rPr>
                <w:szCs w:val="20"/>
              </w:rPr>
              <w:t xml:space="preserve"> NV is registered with the legal entities register under number 0402.777.157 RPR (</w:t>
            </w:r>
            <w:smartTag w:uri="urn:schemas-microsoft-com:office:smarttags" w:element="City">
              <w:r w:rsidRPr="00992199">
                <w:rPr>
                  <w:szCs w:val="20"/>
                </w:rPr>
                <w:t>Ghent</w:t>
              </w:r>
            </w:smartTag>
            <w:r w:rsidRPr="00992199">
              <w:rPr>
                <w:szCs w:val="20"/>
              </w:rPr>
              <w:t xml:space="preserve">, division </w:t>
            </w:r>
            <w:smartTag w:uri="urn:schemas-microsoft-com:office:smarttags" w:element="City">
              <w:smartTag w:uri="urn:schemas-microsoft-com:office:smarttags" w:element="place">
                <w:r w:rsidRPr="00992199">
                  <w:rPr>
                    <w:szCs w:val="20"/>
                  </w:rPr>
                  <w:t>Ghent</w:t>
                </w:r>
              </w:smartTag>
            </w:smartTag>
            <w:r w:rsidRPr="00992199">
              <w:rPr>
                <w:szCs w:val="20"/>
              </w:rPr>
              <w:t xml:space="preserve">). The Company’s registered office is located at Skaldenstraat 7C, 9042 </w:t>
            </w:r>
            <w:smartTag w:uri="urn:schemas-microsoft-com:office:smarttags" w:element="place">
              <w:smartTag w:uri="urn:schemas-microsoft-com:office:smarttags" w:element="City">
                <w:r w:rsidRPr="00992199">
                  <w:rPr>
                    <w:szCs w:val="20"/>
                  </w:rPr>
                  <w:t>Ghent</w:t>
                </w:r>
              </w:smartTag>
              <w:r w:rsidR="00334917">
                <w:rPr>
                  <w:szCs w:val="20"/>
                </w:rPr>
                <w:t xml:space="preserve">, </w:t>
              </w:r>
              <w:smartTag w:uri="urn:schemas-microsoft-com:office:smarttags" w:element="country-region">
                <w:r w:rsidR="00334917">
                  <w:rPr>
                    <w:szCs w:val="20"/>
                  </w:rPr>
                  <w:t>Belgium</w:t>
                </w:r>
              </w:smartTag>
            </w:smartTag>
            <w:r w:rsidRPr="00992199">
              <w:rPr>
                <w:szCs w:val="20"/>
              </w:rPr>
              <w:t>.</w:t>
            </w:r>
          </w:p>
        </w:tc>
      </w:tr>
      <w:tr w:rsidR="003F0BC5" w:rsidRPr="00992199" w:rsidTr="00304A20">
        <w:tc>
          <w:tcPr>
            <w:tcW w:w="959" w:type="dxa"/>
            <w:tcBorders>
              <w:top w:val="single" w:sz="4" w:space="0" w:color="auto"/>
              <w:bottom w:val="nil"/>
            </w:tcBorders>
            <w:shd w:val="clear" w:color="auto" w:fill="auto"/>
          </w:tcPr>
          <w:p w:rsidR="003F0BC5" w:rsidRPr="00992199" w:rsidRDefault="003F0BC5" w:rsidP="00BB0F52">
            <w:pPr>
              <w:keepNext/>
              <w:keepLines/>
              <w:jc w:val="center"/>
              <w:rPr>
                <w:b/>
                <w:szCs w:val="20"/>
              </w:rPr>
            </w:pPr>
            <w:r w:rsidRPr="00992199">
              <w:rPr>
                <w:b/>
                <w:szCs w:val="20"/>
              </w:rPr>
              <w:lastRenderedPageBreak/>
              <w:t>B.3</w:t>
            </w:r>
          </w:p>
        </w:tc>
        <w:tc>
          <w:tcPr>
            <w:tcW w:w="8286" w:type="dxa"/>
            <w:tcBorders>
              <w:top w:val="single" w:sz="4" w:space="0" w:color="auto"/>
              <w:bottom w:val="nil"/>
            </w:tcBorders>
            <w:shd w:val="clear" w:color="auto" w:fill="auto"/>
          </w:tcPr>
          <w:p w:rsidR="003F0BC5" w:rsidRPr="00992199" w:rsidRDefault="003F0BC5" w:rsidP="00584210">
            <w:pPr>
              <w:keepNext/>
              <w:keepLines/>
              <w:rPr>
                <w:b/>
                <w:szCs w:val="20"/>
              </w:rPr>
            </w:pPr>
            <w:r w:rsidRPr="00992199">
              <w:rPr>
                <w:b/>
                <w:szCs w:val="20"/>
              </w:rPr>
              <w:t xml:space="preserve">Current operations and principal activities of the </w:t>
            </w:r>
            <w:r w:rsidR="00584210">
              <w:rPr>
                <w:b/>
                <w:szCs w:val="20"/>
              </w:rPr>
              <w:t>group</w:t>
            </w:r>
            <w:r w:rsidRPr="00992199">
              <w:rPr>
                <w:b/>
                <w:szCs w:val="20"/>
              </w:rPr>
              <w:t xml:space="preserve"> and the principal markets in which it competes</w:t>
            </w:r>
          </w:p>
        </w:tc>
      </w:tr>
      <w:tr w:rsidR="003F0BC5" w:rsidRPr="00992199" w:rsidTr="00304A20">
        <w:tc>
          <w:tcPr>
            <w:tcW w:w="959" w:type="dxa"/>
            <w:tcBorders>
              <w:top w:val="nil"/>
              <w:bottom w:val="single" w:sz="4" w:space="0" w:color="auto"/>
            </w:tcBorders>
            <w:shd w:val="clear" w:color="auto" w:fill="auto"/>
          </w:tcPr>
          <w:p w:rsidR="003F0BC5" w:rsidRPr="00992199" w:rsidRDefault="003F0BC5" w:rsidP="00BB0F52">
            <w:pPr>
              <w:keepNext/>
              <w:keepLines/>
              <w:jc w:val="center"/>
              <w:rPr>
                <w:i/>
                <w:szCs w:val="20"/>
              </w:rPr>
            </w:pPr>
          </w:p>
        </w:tc>
        <w:tc>
          <w:tcPr>
            <w:tcW w:w="8286" w:type="dxa"/>
            <w:tcBorders>
              <w:top w:val="nil"/>
              <w:bottom w:val="single" w:sz="4" w:space="0" w:color="auto"/>
            </w:tcBorders>
            <w:shd w:val="clear" w:color="auto" w:fill="auto"/>
          </w:tcPr>
          <w:p w:rsidR="00584210" w:rsidRPr="00584210" w:rsidRDefault="00584210" w:rsidP="0006129B">
            <w:pPr>
              <w:rPr>
                <w:i/>
                <w:szCs w:val="20"/>
              </w:rPr>
            </w:pPr>
            <w:r w:rsidRPr="00584210">
              <w:rPr>
                <w:i/>
                <w:szCs w:val="20"/>
              </w:rPr>
              <w:t>The Greenyard Foods Group</w:t>
            </w:r>
          </w:p>
          <w:p w:rsidR="00584210" w:rsidRPr="00584210" w:rsidRDefault="00584210" w:rsidP="00584210">
            <w:pPr>
              <w:rPr>
                <w:szCs w:val="20"/>
              </w:rPr>
            </w:pPr>
            <w:r w:rsidRPr="00584210">
              <w:rPr>
                <w:szCs w:val="20"/>
              </w:rPr>
              <w:t xml:space="preserve">The </w:t>
            </w:r>
            <w:r w:rsidR="00B0544B" w:rsidRPr="00992199">
              <w:rPr>
                <w:szCs w:val="20"/>
              </w:rPr>
              <w:t>Company and its subsidiaries before completion of the C</w:t>
            </w:r>
            <w:r w:rsidR="00B0544B">
              <w:rPr>
                <w:szCs w:val="20"/>
              </w:rPr>
              <w:t>ontributions</w:t>
            </w:r>
            <w:r w:rsidR="00B0544B" w:rsidRPr="00584210">
              <w:rPr>
                <w:szCs w:val="20"/>
              </w:rPr>
              <w:t xml:space="preserve"> </w:t>
            </w:r>
            <w:r w:rsidR="00B0544B">
              <w:rPr>
                <w:szCs w:val="20"/>
              </w:rPr>
              <w:t>(</w:t>
            </w:r>
            <w:r w:rsidR="00304A20">
              <w:rPr>
                <w:szCs w:val="20"/>
              </w:rPr>
              <w:t xml:space="preserve">together </w:t>
            </w:r>
            <w:r w:rsidR="00B0544B">
              <w:rPr>
                <w:szCs w:val="20"/>
              </w:rPr>
              <w:t xml:space="preserve">the </w:t>
            </w:r>
            <w:r w:rsidRPr="00B0544B">
              <w:rPr>
                <w:b/>
                <w:i/>
                <w:szCs w:val="20"/>
              </w:rPr>
              <w:t>Greenyard Foods Group</w:t>
            </w:r>
            <w:r w:rsidR="00B0544B">
              <w:rPr>
                <w:szCs w:val="20"/>
              </w:rPr>
              <w:t>)</w:t>
            </w:r>
            <w:r w:rsidRPr="00584210">
              <w:rPr>
                <w:szCs w:val="20"/>
              </w:rPr>
              <w:t xml:space="preserve"> </w:t>
            </w:r>
            <w:r w:rsidR="00304A20">
              <w:rPr>
                <w:szCs w:val="20"/>
              </w:rPr>
              <w:t>are</w:t>
            </w:r>
            <w:r w:rsidR="00304A20" w:rsidRPr="00584210">
              <w:rPr>
                <w:szCs w:val="20"/>
              </w:rPr>
              <w:t xml:space="preserve"> </w:t>
            </w:r>
            <w:r w:rsidRPr="00584210">
              <w:rPr>
                <w:szCs w:val="20"/>
              </w:rPr>
              <w:t xml:space="preserve">a leading processor of harvest-fresh fruit and vegetables with a long shelf life, being “prepared fruit and vegetables”. These are produced and commercialised on the one hand by (i) the </w:t>
            </w:r>
            <w:r w:rsidR="00304A20" w:rsidRPr="00584210">
              <w:rPr>
                <w:szCs w:val="20"/>
              </w:rPr>
              <w:t xml:space="preserve">frozen division </w:t>
            </w:r>
            <w:r w:rsidRPr="00584210">
              <w:rPr>
                <w:szCs w:val="20"/>
              </w:rPr>
              <w:t xml:space="preserve">of </w:t>
            </w:r>
            <w:r w:rsidRPr="00584210">
              <w:rPr>
                <w:szCs w:val="20"/>
                <w:lang w:bidi="as-IN"/>
              </w:rPr>
              <w:t>the Greenyard Foods Group</w:t>
            </w:r>
            <w:r w:rsidR="00E0533C">
              <w:rPr>
                <w:szCs w:val="20"/>
                <w:lang w:bidi="as-IN"/>
              </w:rPr>
              <w:t>,</w:t>
            </w:r>
            <w:r w:rsidRPr="00584210">
              <w:rPr>
                <w:szCs w:val="20"/>
              </w:rPr>
              <w:t xml:space="preserve"> also known as “Pinguin”, specialised in the production of frozen vegetables and ready-to-use vegetable preparations (the </w:t>
            </w:r>
            <w:r w:rsidRPr="00584210">
              <w:rPr>
                <w:b/>
                <w:i/>
                <w:szCs w:val="20"/>
              </w:rPr>
              <w:t>Frozen Division</w:t>
            </w:r>
            <w:r w:rsidRPr="00584210">
              <w:rPr>
                <w:szCs w:val="20"/>
              </w:rPr>
              <w:t xml:space="preserve">), and on the other hand by (ii) the </w:t>
            </w:r>
            <w:r w:rsidR="00304A20" w:rsidRPr="00584210">
              <w:rPr>
                <w:szCs w:val="20"/>
              </w:rPr>
              <w:t xml:space="preserve">canning division </w:t>
            </w:r>
            <w:r w:rsidRPr="00584210">
              <w:rPr>
                <w:szCs w:val="20"/>
              </w:rPr>
              <w:t xml:space="preserve">of </w:t>
            </w:r>
            <w:r w:rsidRPr="00584210">
              <w:rPr>
                <w:szCs w:val="20"/>
                <w:lang w:bidi="as-IN"/>
              </w:rPr>
              <w:t>the Greenyard Foods Group</w:t>
            </w:r>
            <w:r w:rsidR="00E0533C">
              <w:rPr>
                <w:szCs w:val="20"/>
                <w:lang w:bidi="as-IN"/>
              </w:rPr>
              <w:t>,</w:t>
            </w:r>
            <w:r w:rsidRPr="00584210">
              <w:rPr>
                <w:szCs w:val="20"/>
              </w:rPr>
              <w:t xml:space="preserve"> also known as “Noliko”, specialised</w:t>
            </w:r>
            <w:r w:rsidR="00A431F0">
              <w:rPr>
                <w:szCs w:val="20"/>
              </w:rPr>
              <w:t xml:space="preserve"> in the production of vegetable-based</w:t>
            </w:r>
            <w:r w:rsidRPr="00584210">
              <w:rPr>
                <w:szCs w:val="20"/>
              </w:rPr>
              <w:t>, ready-</w:t>
            </w:r>
            <w:r w:rsidR="00A431F0">
              <w:rPr>
                <w:szCs w:val="20"/>
              </w:rPr>
              <w:t xml:space="preserve">to-eat </w:t>
            </w:r>
            <w:r w:rsidRPr="00584210">
              <w:rPr>
                <w:szCs w:val="20"/>
              </w:rPr>
              <w:t xml:space="preserve">meals such as soups, sauces, dips and pasta dishes in jars and tins (the </w:t>
            </w:r>
            <w:r w:rsidRPr="00584210">
              <w:rPr>
                <w:b/>
                <w:i/>
                <w:szCs w:val="20"/>
              </w:rPr>
              <w:t>Canning Division</w:t>
            </w:r>
            <w:r w:rsidRPr="00584210">
              <w:rPr>
                <w:szCs w:val="20"/>
              </w:rPr>
              <w:t xml:space="preserve">). </w:t>
            </w:r>
          </w:p>
          <w:p w:rsidR="00584210" w:rsidRPr="00584210" w:rsidRDefault="00584210" w:rsidP="00584210">
            <w:pPr>
              <w:rPr>
                <w:szCs w:val="20"/>
              </w:rPr>
            </w:pPr>
            <w:r w:rsidRPr="00584210">
              <w:rPr>
                <w:szCs w:val="20"/>
              </w:rPr>
              <w:t xml:space="preserve">Both divisions offer an extensive range of (i) traditional vegetables </w:t>
            </w:r>
            <w:r w:rsidRPr="00584210">
              <w:rPr>
                <w:szCs w:val="20"/>
                <w:lang w:bidi="as-IN"/>
              </w:rPr>
              <w:t>such</w:t>
            </w:r>
            <w:r w:rsidRPr="00584210">
              <w:rPr>
                <w:szCs w:val="20"/>
              </w:rPr>
              <w:t xml:space="preserve"> as peas, carrots, </w:t>
            </w:r>
            <w:r w:rsidR="00A431F0">
              <w:rPr>
                <w:szCs w:val="20"/>
              </w:rPr>
              <w:t>beans and all types of cabbages</w:t>
            </w:r>
            <w:r w:rsidR="00816A67">
              <w:rPr>
                <w:noProof/>
              </w:rPr>
              <mc:AlternateContent>
                <mc:Choice Requires="wpg">
                  <w:drawing>
                    <wp:anchor distT="0" distB="0" distL="114300" distR="114300" simplePos="0" relativeHeight="251660800" behindDoc="1" locked="0" layoutInCell="1" allowOverlap="1">
                      <wp:simplePos x="0" y="0"/>
                      <wp:positionH relativeFrom="page">
                        <wp:posOffset>0</wp:posOffset>
                      </wp:positionH>
                      <wp:positionV relativeFrom="page">
                        <wp:posOffset>0</wp:posOffset>
                      </wp:positionV>
                      <wp:extent cx="36195" cy="36195"/>
                      <wp:effectExtent l="0" t="19050" r="1905"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5" cy="36195"/>
                                <a:chOff x="0" y="0"/>
                                <a:chExt cx="57" cy="57"/>
                              </a:xfrm>
                            </wpg:grpSpPr>
                            <wps:wsp>
                              <wps:cNvPr id="46" name="Freeform 3"/>
                              <wps:cNvSpPr>
                                <a:spLocks/>
                              </wps:cNvSpPr>
                              <wps:spPr bwMode="auto">
                                <a:xfrm>
                                  <a:off x="0" y="0"/>
                                  <a:ext cx="57" cy="57"/>
                                </a:xfrm>
                                <a:custGeom>
                                  <a:avLst/>
                                  <a:gdLst>
                                    <a:gd name="T0" fmla="*/ 0 w 57"/>
                                    <a:gd name="T1" fmla="*/ 28 h 57"/>
                                    <a:gd name="T2" fmla="*/ 57 w 57"/>
                                    <a:gd name="T3" fmla="*/ 28 h 57"/>
                                  </a:gdLst>
                                  <a:ahLst/>
                                  <a:cxnLst>
                                    <a:cxn ang="0">
                                      <a:pos x="T0" y="T1"/>
                                    </a:cxn>
                                    <a:cxn ang="0">
                                      <a:pos x="T2" y="T3"/>
                                    </a:cxn>
                                  </a:cxnLst>
                                  <a:rect l="0" t="0" r="r" b="b"/>
                                  <a:pathLst>
                                    <a:path w="57" h="57">
                                      <a:moveTo>
                                        <a:pt x="0" y="28"/>
                                      </a:moveTo>
                                      <a:lnTo>
                                        <a:pt x="57" y="28"/>
                                      </a:lnTo>
                                    </a:path>
                                  </a:pathLst>
                                </a:custGeom>
                                <a:noFill/>
                                <a:ln w="37274">
                                  <a:solidFill>
                                    <a:srgbClr val="FAFDF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771444" id="Group 45" o:spid="_x0000_s1026" style="position:absolute;margin-left:0;margin-top:0;width:2.85pt;height:2.85pt;z-index:-251655680;mso-position-horizontal-relative:page;mso-position-vertical-relative:page"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">
                      <v:shape id="Freeform 3" o:spid="_x0000_s1027" style="position:absolute;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" path="m,28r57,e" filled="f" strokecolor="#fafdfa" strokeweight="1.0354mm">
                        <v:path arrowok="t" o:connecttype="custom" o:connectlocs="0,28;57,28" o:connectangles="0,0"/>
                      </v:shape>
                      <w10:wrap anchorx="page" anchory="page"/>
                    </v:group>
                  </w:pict>
                </mc:Fallback>
              </mc:AlternateContent>
            </w:r>
            <w:r w:rsidRPr="00584210">
              <w:rPr>
                <w:szCs w:val="20"/>
              </w:rPr>
              <w:t>, (ii) fruits (for the Canning Division, apple compote is an important product</w:t>
            </w:r>
            <w:r w:rsidR="00A431F0">
              <w:rPr>
                <w:szCs w:val="20"/>
              </w:rPr>
              <w:t>)</w:t>
            </w:r>
            <w:r w:rsidRPr="00584210">
              <w:rPr>
                <w:szCs w:val="20"/>
              </w:rPr>
              <w:t>, (iii) convenience products such as ready-to-eat vegetable dishes, soups, sauces and past</w:t>
            </w:r>
            <w:r w:rsidR="00304A20">
              <w:rPr>
                <w:szCs w:val="20"/>
              </w:rPr>
              <w:t>a</w:t>
            </w:r>
            <w:r w:rsidRPr="00584210">
              <w:rPr>
                <w:szCs w:val="20"/>
              </w:rPr>
              <w:t>s and (iv) o</w:t>
            </w:r>
            <w:r w:rsidRPr="00584210">
              <w:t xml:space="preserve">rganic vegetables. </w:t>
            </w:r>
            <w:r w:rsidRPr="00584210">
              <w:rPr>
                <w:szCs w:val="20"/>
              </w:rPr>
              <w:t xml:space="preserve">The Canning Division also processes and sells small firm </w:t>
            </w:r>
            <w:r w:rsidR="00A431F0">
              <w:rPr>
                <w:szCs w:val="20"/>
              </w:rPr>
              <w:t>high-quality</w:t>
            </w:r>
            <w:r w:rsidR="00304A20">
              <w:rPr>
                <w:szCs w:val="20"/>
              </w:rPr>
              <w:t xml:space="preserve"> </w:t>
            </w:r>
            <w:r w:rsidRPr="00584210">
              <w:rPr>
                <w:szCs w:val="20"/>
              </w:rPr>
              <w:t>potatoes</w:t>
            </w:r>
            <w:r w:rsidR="00A431F0">
              <w:rPr>
                <w:szCs w:val="20"/>
              </w:rPr>
              <w:t xml:space="preserve"> in glass and cans</w:t>
            </w:r>
            <w:r w:rsidRPr="00584210">
              <w:rPr>
                <w:szCs w:val="20"/>
              </w:rPr>
              <w:t xml:space="preserve">. </w:t>
            </w:r>
          </w:p>
          <w:p w:rsidR="00584210" w:rsidRPr="00584210" w:rsidRDefault="00584210" w:rsidP="00584210">
            <w:pPr>
              <w:rPr>
                <w:szCs w:val="20"/>
              </w:rPr>
            </w:pPr>
            <w:r w:rsidRPr="00584210">
              <w:rPr>
                <w:szCs w:val="20"/>
              </w:rPr>
              <w:t xml:space="preserve">The production technique is different in each division, </w:t>
            </w:r>
            <w:r w:rsidRPr="00584210">
              <w:rPr>
                <w:i/>
                <w:szCs w:val="20"/>
              </w:rPr>
              <w:t>i.e</w:t>
            </w:r>
            <w:r w:rsidRPr="00584210">
              <w:rPr>
                <w:szCs w:val="20"/>
              </w:rPr>
              <w:t>., cold treatment process in the Frozen Division and heat treatment in the Canning Division. However, what is important in both divisions is that vegetables are processed within</w:t>
            </w:r>
            <w:r w:rsidR="00A431F0">
              <w:rPr>
                <w:szCs w:val="20"/>
              </w:rPr>
              <w:t xml:space="preserve"> a few hours of being harvested</w:t>
            </w:r>
            <w:r w:rsidRPr="00584210">
              <w:rPr>
                <w:szCs w:val="20"/>
              </w:rPr>
              <w:t xml:space="preserve">: this preserves their original colour, flavour, and vitamin content. </w:t>
            </w:r>
          </w:p>
          <w:p w:rsidR="00584210" w:rsidRPr="00584210" w:rsidRDefault="00584210" w:rsidP="00584210">
            <w:pPr>
              <w:rPr>
                <w:szCs w:val="20"/>
              </w:rPr>
            </w:pPr>
            <w:r w:rsidRPr="00584210">
              <w:rPr>
                <w:szCs w:val="20"/>
              </w:rPr>
              <w:t xml:space="preserve">The Greenyard Foods Group sells its wide range of vegetable solutions ranging from fresh basic vegetables in all possible forms to culinary, ready-to-use vegetable preparations in more than 100 countries. Over the years, Greenyard Foods has developed a diversified client base, both in terms of customer type and geographical scope. The client base of the Company is composed of three segments: (i) food retail, (ii) food service and (iii) food industry. The most important markets are the </w:t>
            </w:r>
            <w:smartTag w:uri="urn:schemas-microsoft-com:office:smarttags" w:element="country-region">
              <w:r w:rsidRPr="00584210">
                <w:rPr>
                  <w:szCs w:val="20"/>
                </w:rPr>
                <w:t>United Kingdom</w:t>
              </w:r>
            </w:smartTag>
            <w:r w:rsidRPr="00584210">
              <w:rPr>
                <w:szCs w:val="20"/>
              </w:rPr>
              <w:t xml:space="preserve"> (23.2%) and </w:t>
            </w:r>
            <w:smartTag w:uri="urn:schemas-microsoft-com:office:smarttags" w:element="country-region">
              <w:smartTag w:uri="urn:schemas-microsoft-com:office:smarttags" w:element="place">
                <w:r w:rsidRPr="00584210">
                  <w:rPr>
                    <w:szCs w:val="20"/>
                  </w:rPr>
                  <w:t>France</w:t>
                </w:r>
              </w:smartTag>
            </w:smartTag>
            <w:r w:rsidRPr="00584210">
              <w:rPr>
                <w:szCs w:val="20"/>
              </w:rPr>
              <w:t xml:space="preserve"> (21.8%)</w:t>
            </w:r>
            <w:r w:rsidR="00304A20">
              <w:rPr>
                <w:szCs w:val="20"/>
              </w:rPr>
              <w:t xml:space="preserve"> in the financial year ended 31 March 2015</w:t>
            </w:r>
            <w:r w:rsidRPr="00584210">
              <w:rPr>
                <w:szCs w:val="20"/>
              </w:rPr>
              <w:t xml:space="preserve">. In addition, </w:t>
            </w:r>
            <w:r w:rsidR="00304A20">
              <w:rPr>
                <w:szCs w:val="20"/>
              </w:rPr>
              <w:t xml:space="preserve">in the financial year ended 31 March 2015, </w:t>
            </w:r>
            <w:r w:rsidRPr="00584210">
              <w:rPr>
                <w:szCs w:val="20"/>
              </w:rPr>
              <w:t xml:space="preserve">12.6% of sales were generated in </w:t>
            </w:r>
            <w:smartTag w:uri="urn:schemas-microsoft-com:office:smarttags" w:element="country-region">
              <w:r w:rsidRPr="00584210">
                <w:rPr>
                  <w:szCs w:val="20"/>
                </w:rPr>
                <w:t>Germany</w:t>
              </w:r>
            </w:smartTag>
            <w:r w:rsidRPr="00584210">
              <w:rPr>
                <w:szCs w:val="20"/>
              </w:rPr>
              <w:t xml:space="preserve">, 10.8% in </w:t>
            </w:r>
            <w:smartTag w:uri="urn:schemas-microsoft-com:office:smarttags" w:element="country-region">
              <w:r w:rsidRPr="00584210">
                <w:rPr>
                  <w:szCs w:val="20"/>
                </w:rPr>
                <w:t>Belgium</w:t>
              </w:r>
            </w:smartTag>
            <w:r w:rsidRPr="00584210">
              <w:rPr>
                <w:szCs w:val="20"/>
              </w:rPr>
              <w:t xml:space="preserve"> and 3.7% in </w:t>
            </w:r>
            <w:smartTag w:uri="urn:schemas-microsoft-com:office:smarttags" w:element="country-region">
              <w:smartTag w:uri="urn:schemas-microsoft-com:office:smarttags" w:element="place">
                <w:r w:rsidRPr="00584210">
                  <w:rPr>
                    <w:szCs w:val="20"/>
                  </w:rPr>
                  <w:t>Italy</w:t>
                </w:r>
              </w:smartTag>
            </w:smartTag>
            <w:r w:rsidRPr="00584210">
              <w:rPr>
                <w:szCs w:val="20"/>
              </w:rPr>
              <w:t>.</w:t>
            </w:r>
          </w:p>
          <w:p w:rsidR="00584210" w:rsidRPr="00584210" w:rsidRDefault="00584210" w:rsidP="00584210">
            <w:pPr>
              <w:rPr>
                <w:szCs w:val="20"/>
              </w:rPr>
            </w:pPr>
            <w:r w:rsidRPr="00584210">
              <w:rPr>
                <w:szCs w:val="20"/>
              </w:rPr>
              <w:t xml:space="preserve">The </w:t>
            </w:r>
            <w:r w:rsidRPr="00584210">
              <w:rPr>
                <w:spacing w:val="-1"/>
                <w:szCs w:val="20"/>
              </w:rPr>
              <w:t>top</w:t>
            </w:r>
            <w:r w:rsidRPr="00584210">
              <w:rPr>
                <w:szCs w:val="20"/>
              </w:rPr>
              <w:t xml:space="preserve"> priority of </w:t>
            </w:r>
            <w:r w:rsidRPr="00584210">
              <w:rPr>
                <w:szCs w:val="20"/>
                <w:lang w:bidi="as-IN"/>
              </w:rPr>
              <w:t xml:space="preserve">the Greenyard Foods Group </w:t>
            </w:r>
            <w:r w:rsidRPr="00584210">
              <w:rPr>
                <w:szCs w:val="20"/>
              </w:rPr>
              <w:t>is continuous and rigorous quality control. Customers appreciate the continued focus on high-quality raw materials and finished products. Moreover, the preparation of vegetables at high quality standards also guarantees a stable quality over all product lines.</w:t>
            </w:r>
          </w:p>
          <w:p w:rsidR="00584210" w:rsidRPr="00584210" w:rsidRDefault="00584210" w:rsidP="00584210">
            <w:pPr>
              <w:rPr>
                <w:szCs w:val="20"/>
              </w:rPr>
            </w:pPr>
            <w:r w:rsidRPr="00584210">
              <w:rPr>
                <w:szCs w:val="20"/>
              </w:rPr>
              <w:t>The Greenyard Foods Group focus</w:t>
            </w:r>
            <w:r w:rsidR="00304A20">
              <w:rPr>
                <w:szCs w:val="20"/>
              </w:rPr>
              <w:t>es</w:t>
            </w:r>
            <w:r w:rsidRPr="00584210">
              <w:rPr>
                <w:szCs w:val="20"/>
              </w:rPr>
              <w:t xml:space="preserve"> on innovation, quality, cost and service. In the total chain from farmer to consumer, the Greenyard Foods Group strives towards sustainability and long-lasting relations, with respect for people and environment.</w:t>
            </w:r>
          </w:p>
          <w:p w:rsidR="00584210" w:rsidRPr="00584210" w:rsidRDefault="00584210" w:rsidP="00584210">
            <w:pPr>
              <w:rPr>
                <w:i/>
              </w:rPr>
            </w:pPr>
            <w:r w:rsidRPr="00584210">
              <w:rPr>
                <w:i/>
              </w:rPr>
              <w:t>The Univeg Group</w:t>
            </w:r>
          </w:p>
          <w:p w:rsidR="00584210" w:rsidRPr="00584210" w:rsidRDefault="00B0544B" w:rsidP="00584210">
            <w:pPr>
              <w:rPr>
                <w:szCs w:val="20"/>
              </w:rPr>
            </w:pPr>
            <w:r>
              <w:rPr>
                <w:szCs w:val="20"/>
              </w:rPr>
              <w:t>FieldLink NV (</w:t>
            </w:r>
            <w:r w:rsidRPr="00B0544B">
              <w:rPr>
                <w:b/>
                <w:i/>
                <w:szCs w:val="20"/>
              </w:rPr>
              <w:t>Univeg</w:t>
            </w:r>
            <w:r>
              <w:rPr>
                <w:szCs w:val="20"/>
              </w:rPr>
              <w:t xml:space="preserve">) </w:t>
            </w:r>
            <w:r w:rsidRPr="00B0544B">
              <w:rPr>
                <w:szCs w:val="20"/>
              </w:rPr>
              <w:t>and</w:t>
            </w:r>
            <w:r>
              <w:rPr>
                <w:szCs w:val="20"/>
              </w:rPr>
              <w:t xml:space="preserve"> its subsidiaries (</w:t>
            </w:r>
            <w:r w:rsidR="00304A20">
              <w:rPr>
                <w:szCs w:val="20"/>
              </w:rPr>
              <w:t xml:space="preserve">together </w:t>
            </w:r>
            <w:r>
              <w:rPr>
                <w:szCs w:val="20"/>
              </w:rPr>
              <w:t>t</w:t>
            </w:r>
            <w:r w:rsidR="00584210" w:rsidRPr="00584210">
              <w:rPr>
                <w:szCs w:val="20"/>
              </w:rPr>
              <w:t xml:space="preserve">he </w:t>
            </w:r>
            <w:r w:rsidR="00584210" w:rsidRPr="00B0544B">
              <w:rPr>
                <w:b/>
                <w:i/>
                <w:szCs w:val="20"/>
              </w:rPr>
              <w:t>Univeg Group</w:t>
            </w:r>
            <w:r>
              <w:rPr>
                <w:szCs w:val="20"/>
              </w:rPr>
              <w:t>)</w:t>
            </w:r>
            <w:r w:rsidR="00584210" w:rsidRPr="00584210">
              <w:rPr>
                <w:szCs w:val="20"/>
              </w:rPr>
              <w:t xml:space="preserve"> </w:t>
            </w:r>
            <w:r>
              <w:rPr>
                <w:szCs w:val="20"/>
              </w:rPr>
              <w:t>are</w:t>
            </w:r>
            <w:r w:rsidR="00584210" w:rsidRPr="00584210">
              <w:rPr>
                <w:szCs w:val="20"/>
              </w:rPr>
              <w:t xml:space="preserve"> a vertically integrated world leader in the sourcing and supply of high-quality fresh and fresh-cut fruit and vegetables, supplying 19 out of 20 of the largest food retailers in Europe and many large food retailers in the United States.</w:t>
            </w:r>
          </w:p>
          <w:p w:rsidR="00584210" w:rsidRPr="00584210" w:rsidRDefault="00584210" w:rsidP="00584210">
            <w:pPr>
              <w:rPr>
                <w:szCs w:val="20"/>
              </w:rPr>
            </w:pPr>
            <w:r w:rsidRPr="00584210">
              <w:rPr>
                <w:szCs w:val="20"/>
              </w:rPr>
              <w:t>The Univeg Group offers to its customers a wide range of fruit and vegetables of different categories: (i)</w:t>
            </w:r>
            <w:r w:rsidRPr="00584210">
              <w:t xml:space="preserve"> tropical produce (bananas, pineapples, papayas, small exotics) and sub-tropical produce (mangoes and avocadoes), (ii) fresh vegetables across all major product lines, including tomatoes, peppers, cucumbers, mushrooms, carrots and cabbages, (iii) deciduous fruit (apples, pears, kiwis and grapes), (iv) citrus fruits including oranges, grapefruits, lemons, limes and easy-peelers, </w:t>
            </w:r>
            <w:r w:rsidRPr="00584210">
              <w:rPr>
                <w:i/>
              </w:rPr>
              <w:t>i.e.</w:t>
            </w:r>
            <w:r w:rsidRPr="00584210">
              <w:t>, tangerines, clementines, mandarins and tangelos, (v) stone fruits, including cherries, peaches, apricots, nectarines and plums, (vi) fair-trade and organic produc</w:t>
            </w:r>
            <w:r w:rsidR="00304A20">
              <w:t>ts</w:t>
            </w:r>
            <w:r w:rsidRPr="00584210">
              <w:t xml:space="preserve">, (vii) dried fruit and (vii) pre-cut vegetables and herbs. </w:t>
            </w:r>
          </w:p>
          <w:p w:rsidR="00584210" w:rsidRPr="00584210" w:rsidRDefault="00584210" w:rsidP="00584210">
            <w:pPr>
              <w:rPr>
                <w:szCs w:val="20"/>
              </w:rPr>
            </w:pPr>
            <w:r w:rsidRPr="00584210">
              <w:rPr>
                <w:szCs w:val="20"/>
              </w:rPr>
              <w:t xml:space="preserve">Furthermore, the Univeg Group supplies a range of flowers and plants, including cut flowers, potted plants and plant arrangements, to supermarkets, home improvement stores and garden centres in </w:t>
            </w:r>
            <w:smartTag w:uri="urn:schemas-microsoft-com:office:smarttags" w:element="country-region">
              <w:r w:rsidRPr="00584210">
                <w:rPr>
                  <w:szCs w:val="20"/>
                </w:rPr>
                <w:t>Germany</w:t>
              </w:r>
            </w:smartTag>
            <w:r w:rsidRPr="00584210">
              <w:rPr>
                <w:szCs w:val="20"/>
              </w:rPr>
              <w:t xml:space="preserve"> and the </w:t>
            </w:r>
            <w:smartTag w:uri="urn:schemas-microsoft-com:office:smarttags" w:element="country-region">
              <w:smartTag w:uri="urn:schemas-microsoft-com:office:smarttags" w:element="place">
                <w:r w:rsidRPr="00584210">
                  <w:rPr>
                    <w:szCs w:val="20"/>
                  </w:rPr>
                  <w:t>United Kingdom</w:t>
                </w:r>
              </w:smartTag>
            </w:smartTag>
            <w:r w:rsidRPr="00584210">
              <w:rPr>
                <w:szCs w:val="20"/>
              </w:rPr>
              <w:t>.</w:t>
            </w:r>
          </w:p>
          <w:p w:rsidR="00584210" w:rsidRPr="00584210" w:rsidRDefault="00584210" w:rsidP="00584210">
            <w:pPr>
              <w:rPr>
                <w:szCs w:val="20"/>
              </w:rPr>
            </w:pPr>
            <w:r w:rsidRPr="00584210">
              <w:rPr>
                <w:szCs w:val="20"/>
              </w:rPr>
              <w:lastRenderedPageBreak/>
              <w:t xml:space="preserve">The sales operations are supported by strong sourcing capabilities in Europe’s most important horticultural countries, such as </w:t>
            </w:r>
            <w:smartTag w:uri="urn:schemas-microsoft-com:office:smarttags" w:element="country-region">
              <w:r w:rsidRPr="00584210">
                <w:rPr>
                  <w:szCs w:val="20"/>
                </w:rPr>
                <w:t>Spain</w:t>
              </w:r>
            </w:smartTag>
            <w:r w:rsidRPr="00584210">
              <w:rPr>
                <w:szCs w:val="20"/>
              </w:rPr>
              <w:t xml:space="preserve">, </w:t>
            </w:r>
            <w:smartTag w:uri="urn:schemas-microsoft-com:office:smarttags" w:element="country-region">
              <w:smartTag w:uri="urn:schemas-microsoft-com:office:smarttags" w:element="place">
                <w:r w:rsidRPr="00584210">
                  <w:rPr>
                    <w:szCs w:val="20"/>
                  </w:rPr>
                  <w:t>Italy</w:t>
                </w:r>
              </w:smartTag>
            </w:smartTag>
            <w:r w:rsidRPr="00584210">
              <w:rPr>
                <w:szCs w:val="20"/>
              </w:rPr>
              <w:t xml:space="preserve"> and The Netherlands. Furthermore, in order to procure a year-round supply of fresh produce, the Univeg Group has developed strong sourcing capabilities in other key exporting regions around the world such as </w:t>
            </w:r>
            <w:smartTag w:uri="urn:schemas-microsoft-com:office:smarttags" w:element="country-region">
              <w:r w:rsidRPr="00584210">
                <w:rPr>
                  <w:szCs w:val="20"/>
                </w:rPr>
                <w:t>South Africa</w:t>
              </w:r>
            </w:smartTag>
            <w:r w:rsidRPr="00584210">
              <w:rPr>
                <w:szCs w:val="20"/>
              </w:rPr>
              <w:t xml:space="preserve"> and </w:t>
            </w:r>
            <w:smartTag w:uri="urn:schemas-microsoft-com:office:smarttags" w:element="place">
              <w:r w:rsidRPr="00584210">
                <w:rPr>
                  <w:szCs w:val="20"/>
                </w:rPr>
                <w:t>Latin America</w:t>
              </w:r>
            </w:smartTag>
            <w:r w:rsidRPr="00584210">
              <w:rPr>
                <w:szCs w:val="20"/>
              </w:rPr>
              <w:t>. This geographic diversity helps the Univeg Group to supply its customers with high-quality fresh produc</w:t>
            </w:r>
            <w:r w:rsidR="00304A20">
              <w:rPr>
                <w:szCs w:val="20"/>
              </w:rPr>
              <w:t>ts</w:t>
            </w:r>
            <w:r w:rsidRPr="00584210">
              <w:rPr>
                <w:szCs w:val="20"/>
              </w:rPr>
              <w:t xml:space="preserve"> throughout the year. The source markets and sales markets are connected by strategically located European logistics and distribution capabilities, helping to operate a vertically integrated business model over the entire value chain from production to delivery.</w:t>
            </w:r>
          </w:p>
          <w:p w:rsidR="00584210" w:rsidRPr="00584210" w:rsidRDefault="00584210" w:rsidP="00584210">
            <w:pPr>
              <w:rPr>
                <w:szCs w:val="20"/>
              </w:rPr>
            </w:pPr>
            <w:r w:rsidRPr="00584210">
              <w:rPr>
                <w:szCs w:val="20"/>
              </w:rPr>
              <w:t xml:space="preserve">The Univeg Group’s primary strategy is to focus on the continued profitable development of its core fruit and vegetables business in its key markets in Europe and the </w:t>
            </w:r>
            <w:smartTag w:uri="urn:schemas-microsoft-com:office:smarttags" w:element="country-region">
              <w:smartTag w:uri="urn:schemas-microsoft-com:office:smarttags" w:element="place">
                <w:r w:rsidRPr="00584210">
                  <w:rPr>
                    <w:szCs w:val="20"/>
                  </w:rPr>
                  <w:t>United States</w:t>
                </w:r>
              </w:smartTag>
            </w:smartTag>
            <w:r w:rsidRPr="00584210">
              <w:rPr>
                <w:szCs w:val="20"/>
              </w:rPr>
              <w:t xml:space="preserve">. The Univeg Group believes that the ability to combine its strong global sourcing presence with strategically complementary services offering through the large network of service and distribution centres in </w:t>
            </w:r>
            <w:smartTag w:uri="urn:schemas-microsoft-com:office:smarttags" w:element="place">
              <w:r w:rsidRPr="00584210">
                <w:rPr>
                  <w:szCs w:val="20"/>
                </w:rPr>
                <w:t>Europe</w:t>
              </w:r>
            </w:smartTag>
            <w:r w:rsidRPr="00584210">
              <w:rPr>
                <w:szCs w:val="20"/>
              </w:rPr>
              <w:t xml:space="preserve"> is what differentiates the Univeg Group from its main global competitors. The Univeg Group also believes being well placed relative to the largest global competitors because of the intimate relationships developed with customers through the ability to combine the dispersed geographical footprint with a decentralised and concentrated focus on customer relationships. This provides the agility to respond to the increasing complexity of the supply chain, particularly the rising demands of customers in relation to produce varieties, availability and volumes.</w:t>
            </w:r>
          </w:p>
          <w:p w:rsidR="00584210" w:rsidRPr="00584210" w:rsidRDefault="00584210" w:rsidP="00584210">
            <w:pPr>
              <w:rPr>
                <w:i/>
              </w:rPr>
            </w:pPr>
            <w:r w:rsidRPr="00584210">
              <w:rPr>
                <w:i/>
              </w:rPr>
              <w:t>The Peatinvest Group</w:t>
            </w:r>
          </w:p>
          <w:p w:rsidR="00584210" w:rsidRPr="00584210" w:rsidRDefault="00B0544B" w:rsidP="00584210">
            <w:pPr>
              <w:rPr>
                <w:szCs w:val="20"/>
              </w:rPr>
            </w:pPr>
            <w:smartTag w:uri="urn:schemas-microsoft-com:office:smarttags" w:element="place">
              <w:smartTag w:uri="urn:schemas-microsoft-com:office:smarttags" w:element="City">
                <w:r>
                  <w:rPr>
                    <w:szCs w:val="20"/>
                  </w:rPr>
                  <w:t>Peatinvest</w:t>
                </w:r>
              </w:smartTag>
              <w:r>
                <w:rPr>
                  <w:szCs w:val="20"/>
                </w:rPr>
                <w:t xml:space="preserve"> </w:t>
              </w:r>
              <w:smartTag w:uri="urn:schemas-microsoft-com:office:smarttags" w:element="State">
                <w:r>
                  <w:rPr>
                    <w:szCs w:val="20"/>
                  </w:rPr>
                  <w:t>NV</w:t>
                </w:r>
              </w:smartTag>
            </w:smartTag>
            <w:r>
              <w:rPr>
                <w:szCs w:val="20"/>
              </w:rPr>
              <w:t xml:space="preserve"> (</w:t>
            </w:r>
            <w:r w:rsidRPr="00B0544B">
              <w:rPr>
                <w:b/>
                <w:i/>
                <w:szCs w:val="20"/>
              </w:rPr>
              <w:t>Peatinvest</w:t>
            </w:r>
            <w:r>
              <w:rPr>
                <w:szCs w:val="20"/>
              </w:rPr>
              <w:t xml:space="preserve">) </w:t>
            </w:r>
            <w:r w:rsidRPr="00B0544B">
              <w:rPr>
                <w:szCs w:val="20"/>
              </w:rPr>
              <w:t>and</w:t>
            </w:r>
            <w:r>
              <w:rPr>
                <w:szCs w:val="20"/>
              </w:rPr>
              <w:t xml:space="preserve"> its subsidiaries (</w:t>
            </w:r>
            <w:r w:rsidR="00304A20">
              <w:rPr>
                <w:szCs w:val="20"/>
              </w:rPr>
              <w:t xml:space="preserve">together </w:t>
            </w:r>
            <w:r>
              <w:rPr>
                <w:szCs w:val="20"/>
              </w:rPr>
              <w:t>t</w:t>
            </w:r>
            <w:r w:rsidR="00584210" w:rsidRPr="00584210">
              <w:rPr>
                <w:szCs w:val="20"/>
              </w:rPr>
              <w:t xml:space="preserve">he </w:t>
            </w:r>
            <w:r w:rsidR="00584210" w:rsidRPr="00B0544B">
              <w:rPr>
                <w:b/>
                <w:i/>
                <w:szCs w:val="20"/>
              </w:rPr>
              <w:t>Peatinvest Group</w:t>
            </w:r>
            <w:r>
              <w:rPr>
                <w:szCs w:val="20"/>
              </w:rPr>
              <w:t>)</w:t>
            </w:r>
            <w:r w:rsidR="00584210" w:rsidRPr="00584210">
              <w:rPr>
                <w:szCs w:val="20"/>
              </w:rPr>
              <w:t xml:space="preserve"> </w:t>
            </w:r>
            <w:r>
              <w:rPr>
                <w:szCs w:val="20"/>
              </w:rPr>
              <w:t>are</w:t>
            </w:r>
            <w:r w:rsidR="00584210" w:rsidRPr="00584210">
              <w:rPr>
                <w:szCs w:val="20"/>
              </w:rPr>
              <w:t xml:space="preserve"> involved in the horticultural sector for 30 years. Its key products consist of a variety of growing media for gardening and growing, both for ornamental plants and for fruit and vegetable crops. Peatinvest supplements its key products with related products such as various mulching products (</w:t>
            </w:r>
            <w:r w:rsidR="00A431F0" w:rsidRPr="00A431F0">
              <w:rPr>
                <w:i/>
                <w:szCs w:val="20"/>
              </w:rPr>
              <w:t>e.g.,</w:t>
            </w:r>
            <w:r w:rsidR="00584210" w:rsidRPr="00584210">
              <w:rPr>
                <w:szCs w:val="20"/>
              </w:rPr>
              <w:t xml:space="preserve"> wood chips, coconut shells, decorative bark, straw), decorative gardening products (slate stone mulch, expanded clay aggregate), wood pellets and charcoal.</w:t>
            </w:r>
          </w:p>
          <w:p w:rsidR="00584210" w:rsidRPr="00584210" w:rsidRDefault="00584210" w:rsidP="00584210">
            <w:pPr>
              <w:rPr>
                <w:szCs w:val="20"/>
              </w:rPr>
            </w:pPr>
            <w:r w:rsidRPr="00584210">
              <w:rPr>
                <w:szCs w:val="20"/>
              </w:rPr>
              <w:t xml:space="preserve">The Peatinvest Group’s supply chain is vertically integrated in order to ensure a timely supply of the raw materials and to monitor their quality. A majority of the raw materials (80%) is produced either in-house or </w:t>
            </w:r>
            <w:r w:rsidR="00304A20">
              <w:rPr>
                <w:szCs w:val="20"/>
              </w:rPr>
              <w:t>in</w:t>
            </w:r>
            <w:r w:rsidR="00304A20" w:rsidRPr="00584210">
              <w:rPr>
                <w:szCs w:val="20"/>
              </w:rPr>
              <w:t xml:space="preserve"> </w:t>
            </w:r>
            <w:r w:rsidRPr="00584210">
              <w:rPr>
                <w:szCs w:val="20"/>
              </w:rPr>
              <w:t xml:space="preserve">close cooperation with key partners. Most of the peat used in the production process is extracted from Peatinvest’s </w:t>
            </w:r>
            <w:r w:rsidR="00304A20" w:rsidRPr="00584210">
              <w:rPr>
                <w:szCs w:val="20"/>
              </w:rPr>
              <w:t xml:space="preserve">11 </w:t>
            </w:r>
            <w:r w:rsidR="00A431F0">
              <w:rPr>
                <w:szCs w:val="20"/>
              </w:rPr>
              <w:t xml:space="preserve">long-term licensed </w:t>
            </w:r>
            <w:r w:rsidRPr="00584210">
              <w:rPr>
                <w:szCs w:val="20"/>
              </w:rPr>
              <w:t xml:space="preserve">peat fields (total surface of 1,454 ha) in </w:t>
            </w:r>
            <w:smartTag w:uri="urn:schemas-microsoft-com:office:smarttags" w:element="country-region">
              <w:r w:rsidRPr="00584210">
                <w:rPr>
                  <w:szCs w:val="20"/>
                </w:rPr>
                <w:t>Latvia</w:t>
              </w:r>
            </w:smartTag>
            <w:r w:rsidRPr="00584210">
              <w:rPr>
                <w:szCs w:val="20"/>
              </w:rPr>
              <w:t xml:space="preserve"> (around 85%) and </w:t>
            </w:r>
            <w:smartTag w:uri="urn:schemas-microsoft-com:office:smarttags" w:element="country-region">
              <w:smartTag w:uri="urn:schemas-microsoft-com:office:smarttags" w:element="place">
                <w:r w:rsidRPr="00584210">
                  <w:rPr>
                    <w:szCs w:val="20"/>
                  </w:rPr>
                  <w:t>Poland</w:t>
                </w:r>
              </w:smartTag>
            </w:smartTag>
            <w:r w:rsidRPr="00584210">
              <w:rPr>
                <w:szCs w:val="20"/>
              </w:rPr>
              <w:t xml:space="preserve"> (around 15%).</w:t>
            </w:r>
          </w:p>
          <w:p w:rsidR="00584210" w:rsidRPr="00584210" w:rsidRDefault="00584210" w:rsidP="00584210">
            <w:pPr>
              <w:rPr>
                <w:szCs w:val="20"/>
              </w:rPr>
            </w:pPr>
            <w:r w:rsidRPr="00584210">
              <w:rPr>
                <w:szCs w:val="20"/>
              </w:rPr>
              <w:t xml:space="preserve">The key home markets are </w:t>
            </w:r>
            <w:smartTag w:uri="urn:schemas-microsoft-com:office:smarttags" w:element="country-region">
              <w:r w:rsidRPr="00584210">
                <w:rPr>
                  <w:szCs w:val="20"/>
                </w:rPr>
                <w:t>France</w:t>
              </w:r>
            </w:smartTag>
            <w:r w:rsidRPr="00584210">
              <w:rPr>
                <w:szCs w:val="20"/>
              </w:rPr>
              <w:t xml:space="preserve"> (52%), Benelux (24%) and </w:t>
            </w:r>
            <w:smartTag w:uri="urn:schemas-microsoft-com:office:smarttags" w:element="country-region">
              <w:smartTag w:uri="urn:schemas-microsoft-com:office:smarttags" w:element="place">
                <w:r w:rsidRPr="00584210">
                  <w:rPr>
                    <w:szCs w:val="20"/>
                  </w:rPr>
                  <w:t>Poland</w:t>
                </w:r>
              </w:smartTag>
            </w:smartTag>
            <w:r w:rsidRPr="00584210">
              <w:rPr>
                <w:szCs w:val="20"/>
              </w:rPr>
              <w:t xml:space="preserve"> (18%), where the Peatinvest Group serves both professional and non-professional users. The Peatinvest Group also exports to professional users on export markets (6%). The Peatinvest Group sells its products to various professional users (B2B). These professionals use the growing media for growing ornamental plants (</w:t>
            </w:r>
            <w:r w:rsidR="00A431F0" w:rsidRPr="00A431F0">
              <w:rPr>
                <w:i/>
                <w:szCs w:val="20"/>
              </w:rPr>
              <w:t>e.g.,</w:t>
            </w:r>
            <w:r w:rsidRPr="00584210">
              <w:rPr>
                <w:szCs w:val="20"/>
              </w:rPr>
              <w:t xml:space="preserve"> floriculture and tree nurseries), fruit and vegetable production, young plant reproduction and urban landscaping (</w:t>
            </w:r>
            <w:r w:rsidR="00A431F0" w:rsidRPr="00A431F0">
              <w:rPr>
                <w:i/>
                <w:szCs w:val="20"/>
              </w:rPr>
              <w:t>e.g.,</w:t>
            </w:r>
            <w:r w:rsidR="00A431F0">
              <w:rPr>
                <w:szCs w:val="20"/>
              </w:rPr>
              <w:t xml:space="preserve"> </w:t>
            </w:r>
            <w:r w:rsidRPr="00584210">
              <w:rPr>
                <w:szCs w:val="20"/>
              </w:rPr>
              <w:t xml:space="preserve">green roofs, urban flowering). Most of the top clients are located in </w:t>
            </w:r>
            <w:smartTag w:uri="urn:schemas-microsoft-com:office:smarttags" w:element="country-region">
              <w:smartTag w:uri="urn:schemas-microsoft-com:office:smarttags" w:element="place">
                <w:r w:rsidRPr="00584210">
                  <w:rPr>
                    <w:szCs w:val="20"/>
                  </w:rPr>
                  <w:t>France</w:t>
                </w:r>
              </w:smartTag>
            </w:smartTag>
            <w:r w:rsidRPr="00584210">
              <w:rPr>
                <w:szCs w:val="20"/>
              </w:rPr>
              <w:t xml:space="preserve">. The Peatinvest Group also offers products aimed at amateur gardeners and hobbyists. These products are offered through garden centres and other retailers (B2C-market) in the home markets in </w:t>
            </w:r>
            <w:smartTag w:uri="urn:schemas-microsoft-com:office:smarttags" w:element="City">
              <w:r w:rsidRPr="00584210">
                <w:rPr>
                  <w:szCs w:val="20"/>
                </w:rPr>
                <w:t>Benelux</w:t>
              </w:r>
            </w:smartTag>
            <w:r w:rsidRPr="00584210">
              <w:rPr>
                <w:szCs w:val="20"/>
              </w:rPr>
              <w:t xml:space="preserve">, </w:t>
            </w:r>
            <w:smartTag w:uri="urn:schemas-microsoft-com:office:smarttags" w:element="country-region">
              <w:r w:rsidRPr="00584210">
                <w:rPr>
                  <w:szCs w:val="20"/>
                </w:rPr>
                <w:t>France</w:t>
              </w:r>
            </w:smartTag>
            <w:r w:rsidRPr="00584210">
              <w:rPr>
                <w:szCs w:val="20"/>
              </w:rPr>
              <w:t xml:space="preserve"> and </w:t>
            </w:r>
            <w:smartTag w:uri="urn:schemas-microsoft-com:office:smarttags" w:element="country-region">
              <w:r w:rsidRPr="00584210">
                <w:rPr>
                  <w:szCs w:val="20"/>
                </w:rPr>
                <w:t>Poland</w:t>
              </w:r>
            </w:smartTag>
            <w:r w:rsidRPr="00584210">
              <w:rPr>
                <w:szCs w:val="20"/>
              </w:rPr>
              <w:t xml:space="preserve"> and some export (</w:t>
            </w:r>
            <w:r w:rsidR="00A431F0" w:rsidRPr="00A431F0">
              <w:rPr>
                <w:i/>
                <w:szCs w:val="20"/>
              </w:rPr>
              <w:t>e.g.,</w:t>
            </w:r>
            <w:r w:rsidR="00A431F0">
              <w:rPr>
                <w:szCs w:val="20"/>
              </w:rPr>
              <w:t xml:space="preserve"> </w:t>
            </w:r>
            <w:smartTag w:uri="urn:schemas-microsoft-com:office:smarttags" w:element="country-region">
              <w:smartTag w:uri="urn:schemas-microsoft-com:office:smarttags" w:element="place">
                <w:r w:rsidRPr="00584210">
                  <w:rPr>
                    <w:szCs w:val="20"/>
                  </w:rPr>
                  <w:t>Spain</w:t>
                </w:r>
              </w:smartTag>
            </w:smartTag>
            <w:r w:rsidRPr="00584210">
              <w:rPr>
                <w:szCs w:val="20"/>
              </w:rPr>
              <w:t>).</w:t>
            </w:r>
          </w:p>
          <w:p w:rsidR="00584210" w:rsidRPr="00584210" w:rsidRDefault="00584210" w:rsidP="00584210">
            <w:r w:rsidRPr="00584210">
              <w:t>The mission of the Peatinvest Group is to become a leading European, vertically integrated growing media producer. Building on its experience and know-how, it will continue to seek to sell an extensive range of highly qualitative and innovative solutions, both in terms of products and services, customised to its clients both in the B2B and B2C markets. It seeks to build long-term relations with its suppliers and customers since this optimises its customised, high-quality product approach. The Peatinvest Group seeks to produce and source its products with respect for people and the environment.</w:t>
            </w:r>
          </w:p>
          <w:p w:rsidR="00584210" w:rsidRPr="00584210" w:rsidRDefault="00584210" w:rsidP="00584210">
            <w:pPr>
              <w:rPr>
                <w:i/>
              </w:rPr>
            </w:pPr>
            <w:r w:rsidRPr="00584210">
              <w:rPr>
                <w:i/>
              </w:rPr>
              <w:t>The Combined Greenyard Foods Group</w:t>
            </w:r>
          </w:p>
          <w:p w:rsidR="00584210" w:rsidRPr="00584210" w:rsidRDefault="00584210" w:rsidP="00584210">
            <w:pPr>
              <w:keepNext/>
              <w:keepLines/>
              <w:tabs>
                <w:tab w:val="left" w:pos="510"/>
              </w:tabs>
              <w:outlineLvl w:val="0"/>
            </w:pPr>
            <w:r w:rsidRPr="00584210">
              <w:t xml:space="preserve">On 13 April 2015, the Board of Directors of Greenyard Foods announced that a </w:t>
            </w:r>
            <w:r w:rsidR="00B0544B" w:rsidRPr="00584210">
              <w:t xml:space="preserve">letter of intent </w:t>
            </w:r>
            <w:r w:rsidRPr="00584210">
              <w:t>had been signed with respect to a business combination between the Greenyard Foods Group, the Univeg Group and the Peatinvest Group to create a global leader in fruit and vegetables. The business combination has the potential to create a unique global player in these markets capable of offering the full range offrozen</w:t>
            </w:r>
            <w:r w:rsidR="00304A20">
              <w:t>,</w:t>
            </w:r>
            <w:r w:rsidRPr="00584210">
              <w:t xml:space="preserve"> canned </w:t>
            </w:r>
            <w:r w:rsidR="00304A20">
              <w:t xml:space="preserve">and </w:t>
            </w:r>
            <w:r w:rsidR="00304A20" w:rsidRPr="00584210">
              <w:t xml:space="preserve">fresh </w:t>
            </w:r>
            <w:r w:rsidRPr="00584210">
              <w:t xml:space="preserve">products. The combination of the Greenyard Foods Group, the Univeg Group and the Peatinvest Group </w:t>
            </w:r>
            <w:r w:rsidR="00B0544B">
              <w:t xml:space="preserve">(the </w:t>
            </w:r>
            <w:r w:rsidR="00B0544B">
              <w:rPr>
                <w:b/>
                <w:i/>
              </w:rPr>
              <w:t xml:space="preserve">Combined Greenyard Foods </w:t>
            </w:r>
            <w:r w:rsidR="00B0544B" w:rsidRPr="00B0544B">
              <w:rPr>
                <w:b/>
                <w:i/>
              </w:rPr>
              <w:t>Group</w:t>
            </w:r>
            <w:r w:rsidR="00B0544B" w:rsidRPr="00B0544B">
              <w:t>)</w:t>
            </w:r>
            <w:r w:rsidR="00B0544B">
              <w:rPr>
                <w:b/>
              </w:rPr>
              <w:t xml:space="preserve"> </w:t>
            </w:r>
            <w:r w:rsidRPr="00B0544B">
              <w:t>would</w:t>
            </w:r>
            <w:r w:rsidRPr="00584210">
              <w:t xml:space="preserve"> create a global market leader with combined sales in excess of EUR </w:t>
            </w:r>
            <w:r w:rsidR="00304A20">
              <w:t>3,900,000,000</w:t>
            </w:r>
            <w:r w:rsidRPr="00584210">
              <w:t>.</w:t>
            </w:r>
          </w:p>
          <w:p w:rsidR="00584210" w:rsidRPr="00584210" w:rsidRDefault="00304A20" w:rsidP="00584210">
            <w:pPr>
              <w:widowControl w:val="0"/>
              <w:autoSpaceDE w:val="0"/>
              <w:autoSpaceDN w:val="0"/>
              <w:adjustRightInd w:val="0"/>
              <w:spacing w:after="200"/>
              <w:rPr>
                <w:i/>
              </w:rPr>
            </w:pPr>
            <w:r>
              <w:lastRenderedPageBreak/>
              <w:t xml:space="preserve">Mr. </w:t>
            </w:r>
            <w:r w:rsidR="00584210" w:rsidRPr="00584210">
              <w:t>Hein Deprez, Chairman of Greenyard Foods, Univeg and Peatinvest stated: “</w:t>
            </w:r>
            <w:r w:rsidR="00584210" w:rsidRPr="00584210">
              <w:rPr>
                <w:i/>
              </w:rPr>
              <w:t xml:space="preserve">Creating a combined group offering fresh, frozen and canned fruit and vegetables will be beneficial to growers, consumers, retailers, employees and shareholders. We believe societal trends call for a broader view on fruit and vegetable consumption.” </w:t>
            </w:r>
          </w:p>
          <w:p w:rsidR="00584210" w:rsidRPr="00584210" w:rsidRDefault="00584210" w:rsidP="00584210">
            <w:pPr>
              <w:widowControl w:val="0"/>
              <w:autoSpaceDE w:val="0"/>
              <w:autoSpaceDN w:val="0"/>
              <w:adjustRightInd w:val="0"/>
              <w:spacing w:after="200"/>
            </w:pPr>
            <w:r w:rsidRPr="00584210">
              <w:t xml:space="preserve">The three groups complement each other for a full range offering towards the retailer and consumer. The business rationale for the business combination focuses on </w:t>
            </w:r>
            <w:r w:rsidR="00A431F0">
              <w:t>three</w:t>
            </w:r>
            <w:r w:rsidRPr="00584210">
              <w:t xml:space="preserve"> axes:</w:t>
            </w:r>
          </w:p>
          <w:p w:rsidR="00304A20" w:rsidRPr="003601EC" w:rsidRDefault="00304A20" w:rsidP="00304A20">
            <w:pPr>
              <w:pStyle w:val="BulletsL1"/>
            </w:pPr>
            <w:r w:rsidRPr="003601EC">
              <w:t>Have a meaningful impact on the market</w:t>
            </w:r>
          </w:p>
          <w:p w:rsidR="00304A20" w:rsidRDefault="00304A20" w:rsidP="00304A20">
            <w:pPr>
              <w:widowControl w:val="0"/>
              <w:autoSpaceDE w:val="0"/>
              <w:autoSpaceDN w:val="0"/>
              <w:adjustRightInd w:val="0"/>
              <w:ind w:left="720"/>
            </w:pPr>
            <w:r>
              <w:t xml:space="preserve">The </w:t>
            </w:r>
            <w:r w:rsidRPr="003601EC">
              <w:t>Combined Greenyard Foods Group</w:t>
            </w:r>
            <w:r>
              <w:t xml:space="preserve"> will be better positioned to catalyse and affect market changes and consumption patterns.</w:t>
            </w:r>
          </w:p>
          <w:p w:rsidR="00304A20" w:rsidRPr="003601EC" w:rsidRDefault="00304A20" w:rsidP="00304A20">
            <w:pPr>
              <w:pStyle w:val="BulletsL1"/>
            </w:pPr>
            <w:r w:rsidRPr="003601EC">
              <w:t>Grow market share</w:t>
            </w:r>
          </w:p>
          <w:p w:rsidR="00304A20" w:rsidRDefault="00304A20" w:rsidP="00304A20">
            <w:pPr>
              <w:widowControl w:val="0"/>
              <w:autoSpaceDE w:val="0"/>
              <w:autoSpaceDN w:val="0"/>
              <w:adjustRightInd w:val="0"/>
              <w:ind w:left="720"/>
            </w:pPr>
            <w:r>
              <w:t xml:space="preserve">The </w:t>
            </w:r>
            <w:r w:rsidRPr="003601EC">
              <w:t>Combined Greenyard Foods Group</w:t>
            </w:r>
            <w:r>
              <w:t xml:space="preserve"> will be better positioned to grow market share via consumer based innovations and category management, in close cooperation with its retail customers.</w:t>
            </w:r>
          </w:p>
          <w:p w:rsidR="00304A20" w:rsidRPr="003601EC" w:rsidRDefault="00304A20" w:rsidP="00304A20">
            <w:pPr>
              <w:pStyle w:val="BulletsL1"/>
            </w:pPr>
            <w:r>
              <w:t>Create cross-fertilis</w:t>
            </w:r>
            <w:r w:rsidRPr="003601EC">
              <w:t>ation and synergies</w:t>
            </w:r>
          </w:p>
          <w:p w:rsidR="00304A20" w:rsidRDefault="00304A20" w:rsidP="00304A20">
            <w:pPr>
              <w:widowControl w:val="0"/>
              <w:autoSpaceDE w:val="0"/>
              <w:autoSpaceDN w:val="0"/>
              <w:adjustRightInd w:val="0"/>
              <w:ind w:left="720"/>
            </w:pPr>
            <w:r>
              <w:t xml:space="preserve">A number of commercial and operational synergies will enable the </w:t>
            </w:r>
            <w:r w:rsidRPr="003601EC">
              <w:t xml:space="preserve">Combined Greenyard Foods Group </w:t>
            </w:r>
            <w:r>
              <w:t xml:space="preserve">to grow revenues faster than the individual groups. </w:t>
            </w:r>
          </w:p>
          <w:p w:rsidR="003F0BC5" w:rsidRPr="00584210" w:rsidRDefault="003F0BC5" w:rsidP="00A91110">
            <w:pPr>
              <w:widowControl w:val="0"/>
              <w:numPr>
                <w:ilvl w:val="0"/>
                <w:numId w:val="17"/>
              </w:numPr>
              <w:autoSpaceDE w:val="0"/>
              <w:autoSpaceDN w:val="0"/>
              <w:adjustRightInd w:val="0"/>
              <w:spacing w:before="0" w:after="200" w:line="260" w:lineRule="exact"/>
              <w:contextualSpacing/>
            </w:pPr>
          </w:p>
        </w:tc>
      </w:tr>
      <w:tr w:rsidR="003F0BC5" w:rsidRPr="00992199" w:rsidTr="00304A20">
        <w:tc>
          <w:tcPr>
            <w:tcW w:w="959" w:type="dxa"/>
            <w:tcBorders>
              <w:bottom w:val="nil"/>
            </w:tcBorders>
            <w:shd w:val="clear" w:color="auto" w:fill="auto"/>
          </w:tcPr>
          <w:p w:rsidR="003F0BC5" w:rsidRPr="00992199" w:rsidRDefault="003F0BC5" w:rsidP="00BB0F52">
            <w:pPr>
              <w:jc w:val="center"/>
              <w:rPr>
                <w:b/>
                <w:szCs w:val="20"/>
              </w:rPr>
            </w:pPr>
            <w:r w:rsidRPr="00992199">
              <w:rPr>
                <w:b/>
                <w:szCs w:val="20"/>
              </w:rPr>
              <w:lastRenderedPageBreak/>
              <w:t>B.4a</w:t>
            </w:r>
          </w:p>
        </w:tc>
        <w:tc>
          <w:tcPr>
            <w:tcW w:w="8286" w:type="dxa"/>
            <w:tcBorders>
              <w:bottom w:val="nil"/>
            </w:tcBorders>
            <w:shd w:val="clear" w:color="auto" w:fill="auto"/>
          </w:tcPr>
          <w:p w:rsidR="003F0BC5" w:rsidRPr="00992199" w:rsidRDefault="003F0BC5" w:rsidP="00BB0F52">
            <w:pPr>
              <w:rPr>
                <w:b/>
                <w:szCs w:val="20"/>
              </w:rPr>
            </w:pPr>
            <w:r w:rsidRPr="00992199">
              <w:rPr>
                <w:b/>
                <w:szCs w:val="20"/>
              </w:rPr>
              <w:t>Significant recent trends affecting the Company and the industries in which it operates</w:t>
            </w:r>
          </w:p>
        </w:tc>
      </w:tr>
      <w:tr w:rsidR="003F0BC5" w:rsidRPr="00992199" w:rsidTr="00304A20">
        <w:tc>
          <w:tcPr>
            <w:tcW w:w="959" w:type="dxa"/>
            <w:tcBorders>
              <w:top w:val="nil"/>
              <w:bottom w:val="single" w:sz="4" w:space="0" w:color="auto"/>
            </w:tcBorders>
            <w:shd w:val="clear" w:color="auto" w:fill="auto"/>
          </w:tcPr>
          <w:p w:rsidR="003F0BC5" w:rsidRPr="00992199" w:rsidRDefault="003F0BC5" w:rsidP="00BB0F52">
            <w:pPr>
              <w:jc w:val="center"/>
              <w:rPr>
                <w:i/>
                <w:szCs w:val="20"/>
              </w:rPr>
            </w:pPr>
          </w:p>
        </w:tc>
        <w:tc>
          <w:tcPr>
            <w:tcW w:w="8286" w:type="dxa"/>
            <w:tcBorders>
              <w:top w:val="nil"/>
              <w:bottom w:val="single" w:sz="4" w:space="0" w:color="auto"/>
            </w:tcBorders>
            <w:shd w:val="clear" w:color="auto" w:fill="auto"/>
          </w:tcPr>
          <w:p w:rsidR="003F0BC5" w:rsidRPr="00992199" w:rsidRDefault="00A431F0" w:rsidP="00BB0F52">
            <w:pPr>
              <w:rPr>
                <w:i/>
                <w:szCs w:val="20"/>
              </w:rPr>
            </w:pPr>
            <w:r>
              <w:rPr>
                <w:i/>
                <w:szCs w:val="20"/>
              </w:rPr>
              <w:t>[•]</w:t>
            </w:r>
          </w:p>
        </w:tc>
      </w:tr>
      <w:tr w:rsidR="003F0BC5" w:rsidRPr="00992199" w:rsidTr="00304A20">
        <w:tc>
          <w:tcPr>
            <w:tcW w:w="959" w:type="dxa"/>
            <w:tcBorders>
              <w:bottom w:val="nil"/>
              <w:right w:val="single" w:sz="4" w:space="0" w:color="auto"/>
            </w:tcBorders>
            <w:shd w:val="clear" w:color="auto" w:fill="auto"/>
          </w:tcPr>
          <w:p w:rsidR="003F0BC5" w:rsidRPr="00992199" w:rsidRDefault="003F0BC5" w:rsidP="00BB0F52">
            <w:pPr>
              <w:jc w:val="center"/>
              <w:rPr>
                <w:b/>
                <w:szCs w:val="20"/>
              </w:rPr>
            </w:pPr>
            <w:r w:rsidRPr="00992199">
              <w:rPr>
                <w:b/>
                <w:szCs w:val="20"/>
              </w:rPr>
              <w:t>B.5</w:t>
            </w:r>
          </w:p>
        </w:tc>
        <w:tc>
          <w:tcPr>
            <w:tcW w:w="8286" w:type="dxa"/>
            <w:tcBorders>
              <w:left w:val="single" w:sz="4" w:space="0" w:color="auto"/>
              <w:bottom w:val="nil"/>
            </w:tcBorders>
            <w:shd w:val="clear" w:color="auto" w:fill="auto"/>
          </w:tcPr>
          <w:p w:rsidR="003F0BC5" w:rsidRPr="00992199" w:rsidRDefault="003F0BC5" w:rsidP="00BB0F52">
            <w:pPr>
              <w:rPr>
                <w:b/>
                <w:szCs w:val="20"/>
              </w:rPr>
            </w:pPr>
            <w:r w:rsidRPr="00992199">
              <w:rPr>
                <w:b/>
                <w:szCs w:val="20"/>
              </w:rPr>
              <w:t>Description of the Group and the Company’s position within the Group</w:t>
            </w:r>
          </w:p>
        </w:tc>
      </w:tr>
      <w:tr w:rsidR="003F0BC5" w:rsidRPr="00992199" w:rsidTr="00304A20">
        <w:tc>
          <w:tcPr>
            <w:tcW w:w="959" w:type="dxa"/>
            <w:tcBorders>
              <w:top w:val="nil"/>
              <w:bottom w:val="single" w:sz="4" w:space="0" w:color="auto"/>
            </w:tcBorders>
            <w:shd w:val="clear" w:color="auto" w:fill="auto"/>
          </w:tcPr>
          <w:p w:rsidR="003F0BC5" w:rsidRPr="00992199" w:rsidRDefault="003F0BC5" w:rsidP="00BB0F52">
            <w:pPr>
              <w:jc w:val="center"/>
              <w:rPr>
                <w:i/>
                <w:szCs w:val="20"/>
              </w:rPr>
            </w:pPr>
          </w:p>
        </w:tc>
        <w:tc>
          <w:tcPr>
            <w:tcW w:w="8286" w:type="dxa"/>
            <w:tcBorders>
              <w:top w:val="nil"/>
              <w:bottom w:val="single" w:sz="4" w:space="0" w:color="auto"/>
            </w:tcBorders>
            <w:shd w:val="clear" w:color="auto" w:fill="auto"/>
          </w:tcPr>
          <w:p w:rsidR="003F0BC5" w:rsidRPr="00584210" w:rsidRDefault="003F0BC5" w:rsidP="00BB0F52">
            <w:pPr>
              <w:rPr>
                <w:szCs w:val="20"/>
              </w:rPr>
            </w:pPr>
            <w:r w:rsidRPr="00584210">
              <w:rPr>
                <w:szCs w:val="20"/>
              </w:rPr>
              <w:t xml:space="preserve">Once the Transactions will be completed, </w:t>
            </w:r>
            <w:r w:rsidR="002A1AB1" w:rsidRPr="00584210">
              <w:rPr>
                <w:szCs w:val="20"/>
              </w:rPr>
              <w:t>Greenyard Foods</w:t>
            </w:r>
            <w:r w:rsidRPr="00584210">
              <w:rPr>
                <w:szCs w:val="20"/>
              </w:rPr>
              <w:t xml:space="preserve"> will be the parent company of the group of companies comprising the existing </w:t>
            </w:r>
            <w:r w:rsidR="002A1AB1" w:rsidRPr="00584210">
              <w:rPr>
                <w:szCs w:val="20"/>
              </w:rPr>
              <w:t>Greenyard Foods</w:t>
            </w:r>
            <w:r w:rsidRPr="00584210">
              <w:rPr>
                <w:szCs w:val="20"/>
              </w:rPr>
              <w:t xml:space="preserve"> subsidiaries, as well as </w:t>
            </w:r>
            <w:r w:rsidR="0082672E" w:rsidRPr="00584210">
              <w:rPr>
                <w:szCs w:val="20"/>
              </w:rPr>
              <w:t>Univeg</w:t>
            </w:r>
            <w:r w:rsidRPr="00584210">
              <w:rPr>
                <w:szCs w:val="20"/>
              </w:rPr>
              <w:t>, Peatinvest and their respective subsidiaries.</w:t>
            </w:r>
          </w:p>
        </w:tc>
      </w:tr>
      <w:tr w:rsidR="003F0BC5" w:rsidRPr="00992199" w:rsidTr="00304A20">
        <w:tc>
          <w:tcPr>
            <w:tcW w:w="959" w:type="dxa"/>
            <w:tcBorders>
              <w:bottom w:val="nil"/>
            </w:tcBorders>
            <w:shd w:val="clear" w:color="auto" w:fill="auto"/>
          </w:tcPr>
          <w:p w:rsidR="003F0BC5" w:rsidRPr="00992199" w:rsidRDefault="003F0BC5" w:rsidP="00BB0F52">
            <w:pPr>
              <w:jc w:val="center"/>
              <w:rPr>
                <w:b/>
                <w:szCs w:val="20"/>
              </w:rPr>
            </w:pPr>
            <w:r w:rsidRPr="00992199">
              <w:rPr>
                <w:b/>
                <w:szCs w:val="20"/>
              </w:rPr>
              <w:t>B.6</w:t>
            </w:r>
          </w:p>
        </w:tc>
        <w:tc>
          <w:tcPr>
            <w:tcW w:w="8286" w:type="dxa"/>
            <w:tcBorders>
              <w:bottom w:val="nil"/>
            </w:tcBorders>
            <w:shd w:val="clear" w:color="auto" w:fill="auto"/>
          </w:tcPr>
          <w:p w:rsidR="003F0BC5" w:rsidRPr="00992199" w:rsidRDefault="003F0BC5" w:rsidP="00BB0F52">
            <w:pPr>
              <w:rPr>
                <w:b/>
                <w:szCs w:val="20"/>
              </w:rPr>
            </w:pPr>
            <w:r w:rsidRPr="00992199">
              <w:rPr>
                <w:b/>
                <w:szCs w:val="20"/>
              </w:rPr>
              <w:t>Relationship with major shareholders</w:t>
            </w:r>
          </w:p>
        </w:tc>
      </w:tr>
      <w:tr w:rsidR="003F0BC5" w:rsidRPr="00992199" w:rsidTr="00304A20">
        <w:tc>
          <w:tcPr>
            <w:tcW w:w="959" w:type="dxa"/>
            <w:tcBorders>
              <w:top w:val="nil"/>
              <w:bottom w:val="single" w:sz="4" w:space="0" w:color="auto"/>
            </w:tcBorders>
            <w:shd w:val="clear" w:color="auto" w:fill="auto"/>
          </w:tcPr>
          <w:p w:rsidR="003F0BC5" w:rsidRPr="00992199" w:rsidRDefault="003F0BC5" w:rsidP="00BB0F52">
            <w:pPr>
              <w:jc w:val="center"/>
              <w:rPr>
                <w:i/>
                <w:szCs w:val="20"/>
              </w:rPr>
            </w:pPr>
          </w:p>
        </w:tc>
        <w:tc>
          <w:tcPr>
            <w:tcW w:w="8286" w:type="dxa"/>
            <w:tcBorders>
              <w:top w:val="nil"/>
              <w:bottom w:val="single" w:sz="4" w:space="0" w:color="auto"/>
            </w:tcBorders>
            <w:shd w:val="clear" w:color="auto" w:fill="auto"/>
          </w:tcPr>
          <w:p w:rsidR="00A431F0" w:rsidRPr="00992199" w:rsidRDefault="00A431F0" w:rsidP="00A431F0">
            <w:pPr>
              <w:rPr>
                <w:szCs w:val="20"/>
              </w:rPr>
            </w:pPr>
            <w:r w:rsidRPr="00992199">
              <w:rPr>
                <w:szCs w:val="20"/>
              </w:rPr>
              <w:t xml:space="preserve">Deprez Holding NV, Food Invest International, 2D NV and </w:t>
            </w:r>
            <w:r w:rsidR="00B0544B" w:rsidRPr="00992199">
              <w:rPr>
                <w:szCs w:val="20"/>
              </w:rPr>
              <w:t xml:space="preserve">Union Fermière Morbihannaise SCA </w:t>
            </w:r>
            <w:r w:rsidR="00B0544B">
              <w:rPr>
                <w:szCs w:val="20"/>
              </w:rPr>
              <w:t>(</w:t>
            </w:r>
            <w:r w:rsidR="00B0544B" w:rsidRPr="00B0544B">
              <w:rPr>
                <w:b/>
                <w:i/>
                <w:szCs w:val="20"/>
              </w:rPr>
              <w:t>UFM</w:t>
            </w:r>
            <w:r w:rsidR="00B0544B">
              <w:rPr>
                <w:szCs w:val="20"/>
              </w:rPr>
              <w:t xml:space="preserve">) </w:t>
            </w:r>
            <w:r w:rsidRPr="00992199">
              <w:rPr>
                <w:szCs w:val="20"/>
              </w:rPr>
              <w:t>are acting in concert</w:t>
            </w:r>
            <w:r>
              <w:rPr>
                <w:szCs w:val="20"/>
              </w:rPr>
              <w:t xml:space="preserve"> as shareholders of the Company</w:t>
            </w:r>
            <w:r w:rsidRPr="00992199">
              <w:rPr>
                <w:szCs w:val="20"/>
              </w:rPr>
              <w:t>.</w:t>
            </w:r>
            <w:r w:rsidR="00C14169">
              <w:rPr>
                <w:szCs w:val="20"/>
              </w:rPr>
              <w:t xml:space="preserve"> </w:t>
            </w:r>
            <w:r>
              <w:rPr>
                <w:szCs w:val="20"/>
              </w:rPr>
              <w:t>Jointly, they hold 51.94% of the Shares.</w:t>
            </w:r>
          </w:p>
          <w:p w:rsidR="003F0BC5" w:rsidRPr="00992199" w:rsidRDefault="00A431F0" w:rsidP="00A431F0">
            <w:pPr>
              <w:rPr>
                <w:i/>
                <w:szCs w:val="20"/>
              </w:rPr>
            </w:pPr>
            <w:r>
              <w:rPr>
                <w:szCs w:val="20"/>
              </w:rPr>
              <w:t xml:space="preserve">Certain related-party relations exist with such major shareholders, of which the principal ones are that the Univeg Group sources certain of its produce from </w:t>
            </w:r>
            <w:r w:rsidR="00B0544B" w:rsidRPr="00992199">
              <w:rPr>
                <w:szCs w:val="20"/>
              </w:rPr>
              <w:t>The Fruit Farm Group B</w:t>
            </w:r>
            <w:r w:rsidR="00B0544B">
              <w:rPr>
                <w:szCs w:val="20"/>
              </w:rPr>
              <w:t>.</w:t>
            </w:r>
            <w:r w:rsidR="00B0544B" w:rsidRPr="00992199">
              <w:rPr>
                <w:szCs w:val="20"/>
              </w:rPr>
              <w:t>V</w:t>
            </w:r>
            <w:r w:rsidR="00B0544B">
              <w:rPr>
                <w:szCs w:val="20"/>
              </w:rPr>
              <w:t>. (</w:t>
            </w:r>
            <w:r w:rsidRPr="00B0544B">
              <w:rPr>
                <w:b/>
                <w:i/>
                <w:szCs w:val="20"/>
              </w:rPr>
              <w:t>The Fruit Farm Group</w:t>
            </w:r>
            <w:r w:rsidR="00B0544B">
              <w:rPr>
                <w:szCs w:val="20"/>
              </w:rPr>
              <w:t>)</w:t>
            </w:r>
            <w:r>
              <w:rPr>
                <w:szCs w:val="20"/>
              </w:rPr>
              <w:t xml:space="preserve"> and from certain businesses in </w:t>
            </w:r>
            <w:smartTag w:uri="urn:schemas-microsoft-com:office:smarttags" w:element="country-region">
              <w:smartTag w:uri="urn:schemas-microsoft-com:office:smarttags" w:element="place">
                <w:r>
                  <w:rPr>
                    <w:szCs w:val="20"/>
                  </w:rPr>
                  <w:t>Argentina</w:t>
                </w:r>
              </w:smartTag>
            </w:smartTag>
            <w:r>
              <w:rPr>
                <w:szCs w:val="20"/>
              </w:rPr>
              <w:t xml:space="preserve"> that are owned by entities controlled by Mr. Hein Deprez, Good Company civil partnership, Sujajo Investment SA and Green Valley SA.</w:t>
            </w:r>
          </w:p>
        </w:tc>
      </w:tr>
      <w:tr w:rsidR="003F0BC5" w:rsidRPr="00992199" w:rsidTr="00304A20">
        <w:tc>
          <w:tcPr>
            <w:tcW w:w="959" w:type="dxa"/>
            <w:tcBorders>
              <w:bottom w:val="nil"/>
            </w:tcBorders>
            <w:shd w:val="clear" w:color="auto" w:fill="auto"/>
          </w:tcPr>
          <w:p w:rsidR="003F0BC5" w:rsidRPr="00992199" w:rsidRDefault="003F0BC5" w:rsidP="00BB0F52">
            <w:pPr>
              <w:jc w:val="center"/>
              <w:rPr>
                <w:b/>
                <w:szCs w:val="20"/>
              </w:rPr>
            </w:pPr>
            <w:r w:rsidRPr="00992199">
              <w:rPr>
                <w:b/>
                <w:szCs w:val="20"/>
              </w:rPr>
              <w:t>B.7</w:t>
            </w:r>
          </w:p>
        </w:tc>
        <w:tc>
          <w:tcPr>
            <w:tcW w:w="8286" w:type="dxa"/>
            <w:tcBorders>
              <w:bottom w:val="nil"/>
            </w:tcBorders>
            <w:shd w:val="clear" w:color="auto" w:fill="auto"/>
          </w:tcPr>
          <w:p w:rsidR="003F0BC5" w:rsidRPr="00992199" w:rsidRDefault="003F0BC5" w:rsidP="00BB0F52">
            <w:pPr>
              <w:rPr>
                <w:b/>
                <w:szCs w:val="20"/>
              </w:rPr>
            </w:pPr>
            <w:r w:rsidRPr="00992199">
              <w:rPr>
                <w:b/>
                <w:szCs w:val="20"/>
              </w:rPr>
              <w:t>Selected historical key financial information</w:t>
            </w:r>
          </w:p>
        </w:tc>
      </w:tr>
      <w:tr w:rsidR="003F0BC5" w:rsidRPr="00992199" w:rsidTr="00304A20">
        <w:tc>
          <w:tcPr>
            <w:tcW w:w="959" w:type="dxa"/>
            <w:tcBorders>
              <w:top w:val="nil"/>
              <w:bottom w:val="single" w:sz="4" w:space="0" w:color="auto"/>
            </w:tcBorders>
            <w:shd w:val="clear" w:color="auto" w:fill="auto"/>
          </w:tcPr>
          <w:p w:rsidR="003F0BC5" w:rsidRPr="00992199" w:rsidRDefault="003F0BC5" w:rsidP="00BB0F52">
            <w:pPr>
              <w:jc w:val="center"/>
              <w:rPr>
                <w:i/>
                <w:szCs w:val="20"/>
              </w:rPr>
            </w:pPr>
          </w:p>
        </w:tc>
        <w:tc>
          <w:tcPr>
            <w:tcW w:w="8286" w:type="dxa"/>
            <w:tcBorders>
              <w:top w:val="nil"/>
              <w:bottom w:val="single" w:sz="4" w:space="0" w:color="auto"/>
            </w:tcBorders>
            <w:shd w:val="clear" w:color="auto" w:fill="auto"/>
          </w:tcPr>
          <w:p w:rsidR="00A431F0" w:rsidRPr="00A431F0" w:rsidRDefault="00A431F0" w:rsidP="00A431F0">
            <w:pPr>
              <w:keepNext/>
              <w:numPr>
                <w:ilvl w:val="1"/>
                <w:numId w:val="0"/>
              </w:numPr>
              <w:tabs>
                <w:tab w:val="num" w:pos="720"/>
              </w:tabs>
              <w:ind w:left="720" w:hanging="720"/>
              <w:outlineLvl w:val="1"/>
              <w:rPr>
                <w:rFonts w:eastAsia="SimSun"/>
                <w:b/>
                <w:szCs w:val="20"/>
              </w:rPr>
            </w:pPr>
            <w:r w:rsidRPr="00A431F0">
              <w:rPr>
                <w:rFonts w:eastAsia="SimSun"/>
                <w:b/>
                <w:szCs w:val="20"/>
              </w:rPr>
              <w:t>Key figures of Greenyard Foods</w:t>
            </w:r>
          </w:p>
          <w:p w:rsidR="00A431F0" w:rsidRPr="00EA40E9" w:rsidRDefault="00A431F0" w:rsidP="00EA40E9">
            <w:pPr>
              <w:rPr>
                <w:rFonts w:eastAsia="SimSun"/>
                <w:i/>
                <w:szCs w:val="20"/>
              </w:rPr>
            </w:pPr>
            <w:r w:rsidRPr="00EA40E9">
              <w:rPr>
                <w:rFonts w:eastAsia="SimSun"/>
                <w:i/>
                <w:szCs w:val="20"/>
              </w:rPr>
              <w:t xml:space="preserve">Income </w:t>
            </w:r>
            <w:r w:rsidRPr="00EA40E9">
              <w:rPr>
                <w:i/>
                <w:snapToGrid w:val="0"/>
                <w:szCs w:val="20"/>
              </w:rPr>
              <w:t>statement</w:t>
            </w:r>
            <w:r w:rsidRPr="00EA40E9">
              <w:rPr>
                <w:rFonts w:eastAsia="SimSun"/>
                <w:i/>
                <w:szCs w:val="20"/>
              </w:rPr>
              <w:t xml:space="preserve"> as of and for the financial years ended 31 March 2015, 31 March 2014 and 31 March 2013</w:t>
            </w:r>
          </w:p>
          <w:tbl>
            <w:tblPr>
              <w:tblW w:w="7701" w:type="dxa"/>
              <w:tblLayout w:type="fixed"/>
              <w:tblLook w:val="0000" w:firstRow="0" w:lastRow="0" w:firstColumn="0" w:lastColumn="0" w:noHBand="0" w:noVBand="0"/>
            </w:tblPr>
            <w:tblGrid>
              <w:gridCol w:w="4396"/>
              <w:gridCol w:w="1101"/>
              <w:gridCol w:w="1101"/>
              <w:gridCol w:w="1103"/>
            </w:tblGrid>
            <w:tr w:rsidR="00A431F0" w:rsidRPr="00A431F0" w:rsidTr="00304A20">
              <w:tc>
                <w:tcPr>
                  <w:tcW w:w="2853" w:type="pct"/>
                  <w:vAlign w:val="center"/>
                </w:tcPr>
                <w:p w:rsidR="00A431F0" w:rsidRPr="00A431F0" w:rsidRDefault="00A431F0" w:rsidP="00A431F0">
                  <w:pPr>
                    <w:keepNext/>
                    <w:spacing w:before="0" w:after="0"/>
                    <w:ind w:left="240" w:hanging="240"/>
                    <w:jc w:val="left"/>
                    <w:rPr>
                      <w:bCs/>
                      <w:i/>
                      <w:sz w:val="18"/>
                      <w:szCs w:val="18"/>
                    </w:rPr>
                  </w:pPr>
                  <w:r w:rsidRPr="00A431F0">
                    <w:rPr>
                      <w:bCs/>
                      <w:i/>
                      <w:sz w:val="18"/>
                      <w:szCs w:val="18"/>
                    </w:rPr>
                    <w:t>(EUR in millions)</w:t>
                  </w:r>
                </w:p>
              </w:tc>
              <w:tc>
                <w:tcPr>
                  <w:tcW w:w="715" w:type="pct"/>
                  <w:vAlign w:val="bottom"/>
                </w:tcPr>
                <w:p w:rsidR="00A431F0" w:rsidRPr="00A431F0" w:rsidRDefault="00A431F0" w:rsidP="00304A20">
                  <w:pPr>
                    <w:pBdr>
                      <w:bottom w:val="single" w:sz="4" w:space="1" w:color="auto"/>
                    </w:pBdr>
                    <w:spacing w:before="0" w:after="0"/>
                    <w:ind w:left="66" w:hanging="142"/>
                    <w:jc w:val="center"/>
                    <w:rPr>
                      <w:sz w:val="18"/>
                      <w:szCs w:val="18"/>
                    </w:rPr>
                  </w:pPr>
                  <w:r w:rsidRPr="00A431F0">
                    <w:rPr>
                      <w:b/>
                      <w:bCs/>
                      <w:sz w:val="18"/>
                      <w:szCs w:val="18"/>
                    </w:rPr>
                    <w:t xml:space="preserve">Year ended </w:t>
                  </w:r>
                  <w:r w:rsidRPr="00A431F0">
                    <w:rPr>
                      <w:b/>
                      <w:bCs/>
                      <w:sz w:val="18"/>
                      <w:szCs w:val="18"/>
                    </w:rPr>
                    <w:br/>
                    <w:t>31 March 2015</w:t>
                  </w:r>
                </w:p>
              </w:tc>
              <w:tc>
                <w:tcPr>
                  <w:tcW w:w="715" w:type="pct"/>
                  <w:vAlign w:val="bottom"/>
                </w:tcPr>
                <w:p w:rsidR="00A431F0" w:rsidRPr="00A431F0" w:rsidRDefault="00A431F0" w:rsidP="00304A20">
                  <w:pPr>
                    <w:pBdr>
                      <w:bottom w:val="single" w:sz="4" w:space="1" w:color="auto"/>
                    </w:pBdr>
                    <w:spacing w:before="0" w:after="0"/>
                    <w:jc w:val="center"/>
                    <w:rPr>
                      <w:b/>
                      <w:bCs/>
                      <w:sz w:val="18"/>
                      <w:szCs w:val="18"/>
                    </w:rPr>
                  </w:pPr>
                  <w:r w:rsidRPr="00A431F0">
                    <w:rPr>
                      <w:b/>
                      <w:bCs/>
                      <w:sz w:val="18"/>
                      <w:szCs w:val="18"/>
                    </w:rPr>
                    <w:t>Year ended 31 March 2014</w:t>
                  </w:r>
                </w:p>
              </w:tc>
              <w:tc>
                <w:tcPr>
                  <w:tcW w:w="716" w:type="pct"/>
                  <w:vAlign w:val="bottom"/>
                </w:tcPr>
                <w:p w:rsidR="00A431F0" w:rsidRPr="00A431F0" w:rsidRDefault="00A431F0" w:rsidP="00A431F0">
                  <w:pPr>
                    <w:pBdr>
                      <w:bottom w:val="single" w:sz="4" w:space="1" w:color="auto"/>
                    </w:pBdr>
                    <w:spacing w:before="0" w:after="0"/>
                    <w:jc w:val="center"/>
                    <w:rPr>
                      <w:sz w:val="18"/>
                      <w:szCs w:val="18"/>
                    </w:rPr>
                  </w:pPr>
                  <w:r w:rsidRPr="00A431F0">
                    <w:rPr>
                      <w:b/>
                      <w:bCs/>
                      <w:sz w:val="18"/>
                      <w:szCs w:val="18"/>
                    </w:rPr>
                    <w:t>Year ended 31 March</w:t>
                  </w:r>
                  <w:r w:rsidRPr="00A431F0">
                    <w:rPr>
                      <w:b/>
                      <w:bCs/>
                      <w:sz w:val="18"/>
                      <w:szCs w:val="18"/>
                    </w:rPr>
                    <w:br/>
                    <w:t>2013</w:t>
                  </w:r>
                </w:p>
              </w:tc>
            </w:tr>
            <w:tr w:rsidR="00A431F0" w:rsidRPr="00A431F0" w:rsidTr="00304A20">
              <w:trPr>
                <w:trHeight w:val="332"/>
              </w:trPr>
              <w:tc>
                <w:tcPr>
                  <w:tcW w:w="2853" w:type="pct"/>
                </w:tcPr>
                <w:p w:rsidR="00A431F0" w:rsidRPr="00A431F0" w:rsidRDefault="00A431F0" w:rsidP="00A431F0">
                  <w:pPr>
                    <w:keepNext/>
                    <w:spacing w:before="0" w:after="0"/>
                    <w:rPr>
                      <w:b/>
                      <w:bCs/>
                      <w:sz w:val="18"/>
                      <w:szCs w:val="18"/>
                    </w:rPr>
                  </w:pPr>
                  <w:r w:rsidRPr="00A431F0">
                    <w:rPr>
                      <w:b/>
                      <w:bCs/>
                      <w:sz w:val="18"/>
                      <w:szCs w:val="18"/>
                    </w:rPr>
                    <w:t>Summary Consolidated Statement of Income Data</w:t>
                  </w:r>
                </w:p>
              </w:tc>
              <w:tc>
                <w:tcPr>
                  <w:tcW w:w="715" w:type="pct"/>
                </w:tcPr>
                <w:p w:rsidR="00A431F0" w:rsidRPr="00A431F0" w:rsidRDefault="00A431F0" w:rsidP="00A431F0">
                  <w:pPr>
                    <w:spacing w:before="0" w:after="0" w:line="40" w:lineRule="exact"/>
                    <w:jc w:val="right"/>
                    <w:rPr>
                      <w:sz w:val="18"/>
                      <w:szCs w:val="18"/>
                    </w:rPr>
                  </w:pPr>
                  <w:r w:rsidRPr="00A431F0">
                    <w:rPr>
                      <w:sz w:val="18"/>
                      <w:szCs w:val="18"/>
                    </w:rPr>
                    <w:t> </w:t>
                  </w:r>
                </w:p>
              </w:tc>
              <w:tc>
                <w:tcPr>
                  <w:tcW w:w="715" w:type="pct"/>
                </w:tcPr>
                <w:p w:rsidR="00A431F0" w:rsidRPr="00A431F0" w:rsidRDefault="00A431F0" w:rsidP="00A431F0">
                  <w:pPr>
                    <w:spacing w:before="0" w:after="0" w:line="40" w:lineRule="exact"/>
                    <w:jc w:val="right"/>
                    <w:rPr>
                      <w:sz w:val="18"/>
                      <w:szCs w:val="18"/>
                    </w:rPr>
                  </w:pPr>
                </w:p>
              </w:tc>
              <w:tc>
                <w:tcPr>
                  <w:tcW w:w="716" w:type="pct"/>
                </w:tcPr>
                <w:p w:rsidR="00A431F0" w:rsidRPr="00A431F0" w:rsidRDefault="00A431F0" w:rsidP="00A431F0">
                  <w:pPr>
                    <w:spacing w:before="0" w:after="0" w:line="40" w:lineRule="exact"/>
                    <w:jc w:val="right"/>
                    <w:rPr>
                      <w:sz w:val="18"/>
                      <w:szCs w:val="18"/>
                    </w:rPr>
                  </w:pPr>
                  <w:r w:rsidRPr="00A431F0">
                    <w:rPr>
                      <w:sz w:val="18"/>
                      <w:szCs w:val="18"/>
                    </w:rPr>
                    <w:t> </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Sales</w:t>
                  </w:r>
                  <w:r w:rsidRPr="00A431F0">
                    <w:rPr>
                      <w:sz w:val="18"/>
                      <w:szCs w:val="18"/>
                    </w:rPr>
                    <w:tab/>
                  </w:r>
                </w:p>
              </w:tc>
              <w:tc>
                <w:tcPr>
                  <w:tcW w:w="715" w:type="pct"/>
                  <w:noWrap/>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635.4</w:t>
                  </w:r>
                </w:p>
              </w:tc>
              <w:tc>
                <w:tcPr>
                  <w:tcW w:w="715" w:type="pct"/>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623.1</w:t>
                  </w:r>
                </w:p>
              </w:tc>
              <w:tc>
                <w:tcPr>
                  <w:tcW w:w="71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612.1</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Increase/(decrease) in inventories: finished goods and work in progress</w:t>
                  </w:r>
                  <w:r w:rsidRPr="00A431F0">
                    <w:rPr>
                      <w:sz w:val="18"/>
                      <w:szCs w:val="18"/>
                    </w:rPr>
                    <w:tab/>
                  </w:r>
                </w:p>
              </w:tc>
              <w:tc>
                <w:tcPr>
                  <w:tcW w:w="715"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7.2</w:t>
                  </w:r>
                </w:p>
              </w:tc>
              <w:tc>
                <w:tcPr>
                  <w:tcW w:w="715"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22.9</w:t>
                  </w:r>
                </w:p>
              </w:tc>
              <w:tc>
                <w:tcPr>
                  <w:tcW w:w="71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3.7</w:t>
                  </w:r>
                </w:p>
              </w:tc>
            </w:tr>
            <w:tr w:rsidR="00A431F0" w:rsidRPr="00A431F0" w:rsidTr="00304A20">
              <w:trPr>
                <w:trHeight w:val="267"/>
              </w:trPr>
              <w:tc>
                <w:tcPr>
                  <w:tcW w:w="2853"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lastRenderedPageBreak/>
                    <w:t>Other operating income</w:t>
                  </w:r>
                  <w:r w:rsidRPr="00A431F0">
                    <w:rPr>
                      <w:sz w:val="18"/>
                      <w:szCs w:val="18"/>
                    </w:rPr>
                    <w:tab/>
                  </w:r>
                </w:p>
                <w:p w:rsidR="00A431F0" w:rsidRPr="00A431F0" w:rsidRDefault="00A431F0" w:rsidP="00A431F0">
                  <w:pPr>
                    <w:spacing w:before="0" w:after="0" w:line="40" w:lineRule="exact"/>
                    <w:rPr>
                      <w:noProof/>
                      <w:sz w:val="18"/>
                      <w:szCs w:val="18"/>
                      <w:lang w:val="en-US"/>
                    </w:rPr>
                  </w:pPr>
                  <w:r w:rsidRPr="00A431F0">
                    <w:rPr>
                      <w:sz w:val="18"/>
                      <w:szCs w:val="18"/>
                    </w:rPr>
                    <w:t> </w:t>
                  </w:r>
                </w:p>
              </w:tc>
              <w:tc>
                <w:tcPr>
                  <w:tcW w:w="715"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13.1</w:t>
                  </w:r>
                </w:p>
              </w:tc>
              <w:tc>
                <w:tcPr>
                  <w:tcW w:w="715"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13.0</w:t>
                  </w:r>
                </w:p>
              </w:tc>
              <w:tc>
                <w:tcPr>
                  <w:tcW w:w="71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12.0</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Raw materials, consumables and goods for resale</w:t>
                  </w:r>
                  <w:r w:rsidRPr="00A431F0">
                    <w:rPr>
                      <w:bCs/>
                      <w:sz w:val="18"/>
                      <w:szCs w:val="18"/>
                    </w:rPr>
                    <w:tab/>
                  </w:r>
                </w:p>
              </w:tc>
              <w:tc>
                <w:tcPr>
                  <w:tcW w:w="715"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(360.1)</w:t>
                  </w:r>
                </w:p>
              </w:tc>
              <w:tc>
                <w:tcPr>
                  <w:tcW w:w="715" w:type="pct"/>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(370.2)</w:t>
                  </w:r>
                </w:p>
              </w:tc>
              <w:tc>
                <w:tcPr>
                  <w:tcW w:w="71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(344.4)</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Services and other goods</w:t>
                  </w:r>
                  <w:r w:rsidRPr="00A431F0">
                    <w:rPr>
                      <w:sz w:val="18"/>
                      <w:szCs w:val="18"/>
                    </w:rPr>
                    <w:tab/>
                  </w:r>
                </w:p>
              </w:tc>
              <w:tc>
                <w:tcPr>
                  <w:tcW w:w="715"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(135.9)</w:t>
                  </w:r>
                </w:p>
              </w:tc>
              <w:tc>
                <w:tcPr>
                  <w:tcW w:w="715"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(143.7)</w:t>
                  </w:r>
                </w:p>
              </w:tc>
              <w:tc>
                <w:tcPr>
                  <w:tcW w:w="71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(148.3)</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Personnel costs</w:t>
                  </w:r>
                  <w:r w:rsidRPr="00A431F0">
                    <w:rPr>
                      <w:sz w:val="18"/>
                      <w:szCs w:val="18"/>
                    </w:rPr>
                    <w:tab/>
                  </w:r>
                </w:p>
              </w:tc>
              <w:tc>
                <w:tcPr>
                  <w:tcW w:w="715"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(90.7)</w:t>
                  </w:r>
                </w:p>
              </w:tc>
              <w:tc>
                <w:tcPr>
                  <w:tcW w:w="715"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(87.8)</w:t>
                  </w:r>
                </w:p>
              </w:tc>
              <w:tc>
                <w:tcPr>
                  <w:tcW w:w="71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(85.3)</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Depreciation and amortisation</w:t>
                  </w:r>
                  <w:r w:rsidRPr="00A431F0">
                    <w:rPr>
                      <w:sz w:val="18"/>
                      <w:szCs w:val="18"/>
                    </w:rPr>
                    <w:tab/>
                  </w:r>
                </w:p>
              </w:tc>
              <w:tc>
                <w:tcPr>
                  <w:tcW w:w="715"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(30.4)</w:t>
                  </w:r>
                </w:p>
              </w:tc>
              <w:tc>
                <w:tcPr>
                  <w:tcW w:w="715"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(25.9)</w:t>
                  </w:r>
                </w:p>
              </w:tc>
              <w:tc>
                <w:tcPr>
                  <w:tcW w:w="71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(20.3)</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Impairment losses on assets</w:t>
                  </w:r>
                  <w:r w:rsidRPr="00A431F0">
                    <w:rPr>
                      <w:sz w:val="18"/>
                      <w:szCs w:val="18"/>
                    </w:rPr>
                    <w:tab/>
                  </w:r>
                </w:p>
              </w:tc>
              <w:tc>
                <w:tcPr>
                  <w:tcW w:w="715"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(0.5)</w:t>
                  </w:r>
                </w:p>
              </w:tc>
              <w:tc>
                <w:tcPr>
                  <w:tcW w:w="715" w:type="pct"/>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(4.4)</w:t>
                  </w:r>
                </w:p>
              </w:tc>
              <w:tc>
                <w:tcPr>
                  <w:tcW w:w="71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Impairments, write-offs</w:t>
                  </w:r>
                  <w:r w:rsidRPr="00A431F0">
                    <w:rPr>
                      <w:sz w:val="18"/>
                      <w:szCs w:val="18"/>
                    </w:rPr>
                    <w:tab/>
                  </w:r>
                </w:p>
              </w:tc>
              <w:tc>
                <w:tcPr>
                  <w:tcW w:w="715"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(2.2)</w:t>
                  </w:r>
                </w:p>
              </w:tc>
              <w:tc>
                <w:tcPr>
                  <w:tcW w:w="715"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0.2</w:t>
                  </w:r>
                </w:p>
              </w:tc>
              <w:tc>
                <w:tcPr>
                  <w:tcW w:w="71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(0.7)</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Provisions</w:t>
                  </w:r>
                  <w:r w:rsidRPr="00A431F0">
                    <w:rPr>
                      <w:sz w:val="18"/>
                      <w:szCs w:val="18"/>
                    </w:rPr>
                    <w:tab/>
                  </w:r>
                </w:p>
              </w:tc>
              <w:tc>
                <w:tcPr>
                  <w:tcW w:w="715"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(0.1)</w:t>
                  </w:r>
                </w:p>
              </w:tc>
              <w:tc>
                <w:tcPr>
                  <w:tcW w:w="715" w:type="pct"/>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(0.2)</w:t>
                  </w:r>
                </w:p>
              </w:tc>
              <w:tc>
                <w:tcPr>
                  <w:tcW w:w="71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(1.1)</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Other operating charges</w:t>
                  </w:r>
                  <w:r w:rsidRPr="00A431F0">
                    <w:rPr>
                      <w:sz w:val="18"/>
                      <w:szCs w:val="18"/>
                    </w:rPr>
                    <w:tab/>
                  </w:r>
                </w:p>
              </w:tc>
              <w:tc>
                <w:tcPr>
                  <w:tcW w:w="715"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(5.8)</w:t>
                  </w:r>
                </w:p>
              </w:tc>
              <w:tc>
                <w:tcPr>
                  <w:tcW w:w="715" w:type="pct"/>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(1.5)</w:t>
                  </w:r>
                </w:p>
              </w:tc>
              <w:tc>
                <w:tcPr>
                  <w:tcW w:w="716"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(5.2)</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Operating result before non-recurrings (REBIT)</w:t>
                  </w:r>
                  <w:r w:rsidRPr="00A431F0">
                    <w:rPr>
                      <w:sz w:val="18"/>
                      <w:szCs w:val="18"/>
                    </w:rPr>
                    <w:tab/>
                  </w:r>
                </w:p>
              </w:tc>
              <w:tc>
                <w:tcPr>
                  <w:tcW w:w="715"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29.9</w:t>
                  </w:r>
                </w:p>
              </w:tc>
              <w:tc>
                <w:tcPr>
                  <w:tcW w:w="715" w:type="pct"/>
                </w:tcPr>
                <w:p w:rsidR="00A431F0" w:rsidRPr="00A431F0" w:rsidRDefault="00A431F0" w:rsidP="00A431F0">
                  <w:pPr>
                    <w:tabs>
                      <w:tab w:val="right" w:pos="720"/>
                      <w:tab w:val="decimal" w:pos="760"/>
                    </w:tabs>
                    <w:spacing w:before="0" w:after="0"/>
                    <w:jc w:val="right"/>
                    <w:rPr>
                      <w:b/>
                      <w:bCs/>
                      <w:sz w:val="18"/>
                      <w:szCs w:val="18"/>
                    </w:rPr>
                  </w:pPr>
                  <w:r w:rsidRPr="00A431F0">
                    <w:rPr>
                      <w:b/>
                      <w:bCs/>
                      <w:sz w:val="18"/>
                      <w:szCs w:val="18"/>
                    </w:rPr>
                    <w:t>25.6</w:t>
                  </w:r>
                </w:p>
              </w:tc>
              <w:tc>
                <w:tcPr>
                  <w:tcW w:w="716"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22.5</w:t>
                  </w:r>
                </w:p>
              </w:tc>
            </w:tr>
            <w:tr w:rsidR="00A431F0" w:rsidRPr="00A431F0" w:rsidTr="00304A20">
              <w:trPr>
                <w:trHeight w:val="267"/>
              </w:trPr>
              <w:tc>
                <w:tcPr>
                  <w:tcW w:w="2853"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Non-recurring income</w:t>
                  </w:r>
                  <w:r w:rsidRPr="00A431F0">
                    <w:rPr>
                      <w:sz w:val="18"/>
                      <w:szCs w:val="18"/>
                    </w:rPr>
                    <w:tab/>
                  </w:r>
                </w:p>
              </w:tc>
              <w:tc>
                <w:tcPr>
                  <w:tcW w:w="715"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0.4</w:t>
                  </w:r>
                </w:p>
              </w:tc>
              <w:tc>
                <w:tcPr>
                  <w:tcW w:w="715"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w:t>
                  </w:r>
                </w:p>
              </w:tc>
              <w:tc>
                <w:tcPr>
                  <w:tcW w:w="71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w:t>
                  </w:r>
                </w:p>
              </w:tc>
            </w:tr>
            <w:tr w:rsidR="00A431F0" w:rsidRPr="00A431F0" w:rsidTr="00304A20">
              <w:trPr>
                <w:trHeight w:val="267"/>
              </w:trPr>
              <w:tc>
                <w:tcPr>
                  <w:tcW w:w="2853"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Non-recurring expense</w:t>
                  </w:r>
                  <w:r w:rsidRPr="00A431F0">
                    <w:rPr>
                      <w:sz w:val="18"/>
                      <w:szCs w:val="18"/>
                    </w:rPr>
                    <w:tab/>
                  </w:r>
                </w:p>
                <w:p w:rsidR="00A431F0" w:rsidRPr="00A431F0" w:rsidRDefault="00A431F0" w:rsidP="00A431F0">
                  <w:pPr>
                    <w:spacing w:before="0" w:after="0" w:line="40" w:lineRule="exact"/>
                    <w:rPr>
                      <w:noProof/>
                      <w:sz w:val="18"/>
                      <w:szCs w:val="18"/>
                      <w:lang w:val="en-US"/>
                    </w:rPr>
                  </w:pPr>
                  <w:r w:rsidRPr="00A431F0">
                    <w:rPr>
                      <w:sz w:val="18"/>
                      <w:szCs w:val="18"/>
                    </w:rPr>
                    <w:t> </w:t>
                  </w:r>
                </w:p>
              </w:tc>
              <w:tc>
                <w:tcPr>
                  <w:tcW w:w="715"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(2.8)</w:t>
                  </w:r>
                </w:p>
              </w:tc>
              <w:tc>
                <w:tcPr>
                  <w:tcW w:w="715" w:type="pct"/>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(4.9)</w:t>
                  </w:r>
                </w:p>
              </w:tc>
              <w:tc>
                <w:tcPr>
                  <w:tcW w:w="716"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(2.4)</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Operating result (EBIT)</w:t>
                  </w:r>
                  <w:r w:rsidRPr="00A431F0">
                    <w:rPr>
                      <w:sz w:val="18"/>
                      <w:szCs w:val="18"/>
                    </w:rPr>
                    <w:tab/>
                  </w:r>
                </w:p>
              </w:tc>
              <w:tc>
                <w:tcPr>
                  <w:tcW w:w="715"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27.5</w:t>
                  </w:r>
                </w:p>
              </w:tc>
              <w:tc>
                <w:tcPr>
                  <w:tcW w:w="715" w:type="pct"/>
                </w:tcPr>
                <w:p w:rsidR="00A431F0" w:rsidRPr="00A431F0" w:rsidRDefault="00A431F0" w:rsidP="00A431F0">
                  <w:pPr>
                    <w:tabs>
                      <w:tab w:val="right" w:pos="720"/>
                      <w:tab w:val="decimal" w:pos="760"/>
                    </w:tabs>
                    <w:spacing w:before="0" w:after="0"/>
                    <w:jc w:val="right"/>
                    <w:rPr>
                      <w:b/>
                      <w:bCs/>
                      <w:sz w:val="18"/>
                      <w:szCs w:val="18"/>
                    </w:rPr>
                  </w:pPr>
                  <w:r w:rsidRPr="00A431F0">
                    <w:rPr>
                      <w:b/>
                      <w:bCs/>
                      <w:sz w:val="18"/>
                      <w:szCs w:val="18"/>
                    </w:rPr>
                    <w:t>20.7</w:t>
                  </w:r>
                </w:p>
              </w:tc>
              <w:tc>
                <w:tcPr>
                  <w:tcW w:w="716"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20.1</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Financial income</w:t>
                  </w:r>
                  <w:r w:rsidRPr="00A431F0">
                    <w:rPr>
                      <w:sz w:val="18"/>
                      <w:szCs w:val="18"/>
                    </w:rPr>
                    <w:tab/>
                  </w:r>
                </w:p>
              </w:tc>
              <w:tc>
                <w:tcPr>
                  <w:tcW w:w="715"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11.3</w:t>
                  </w:r>
                </w:p>
              </w:tc>
              <w:tc>
                <w:tcPr>
                  <w:tcW w:w="715"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2.6</w:t>
                  </w:r>
                </w:p>
              </w:tc>
              <w:tc>
                <w:tcPr>
                  <w:tcW w:w="71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2.2</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Financial expense</w:t>
                  </w:r>
                  <w:r w:rsidRPr="00A431F0">
                    <w:rPr>
                      <w:sz w:val="18"/>
                      <w:szCs w:val="18"/>
                    </w:rPr>
                    <w:tab/>
                  </w:r>
                </w:p>
                <w:p w:rsidR="00A431F0" w:rsidRPr="00A431F0" w:rsidRDefault="00A431F0" w:rsidP="00A431F0">
                  <w:pPr>
                    <w:spacing w:before="0" w:after="0" w:line="40" w:lineRule="exact"/>
                    <w:rPr>
                      <w:noProof/>
                      <w:sz w:val="18"/>
                      <w:szCs w:val="18"/>
                      <w:lang w:val="en-US"/>
                    </w:rPr>
                  </w:pPr>
                  <w:r w:rsidRPr="00A431F0">
                    <w:rPr>
                      <w:sz w:val="18"/>
                      <w:szCs w:val="18"/>
                    </w:rPr>
                    <w:t> </w:t>
                  </w:r>
                </w:p>
              </w:tc>
              <w:tc>
                <w:tcPr>
                  <w:tcW w:w="715"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(18.1)</w:t>
                  </w:r>
                </w:p>
              </w:tc>
              <w:tc>
                <w:tcPr>
                  <w:tcW w:w="715"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(19.3)</w:t>
                  </w:r>
                </w:p>
              </w:tc>
              <w:tc>
                <w:tcPr>
                  <w:tcW w:w="71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(21.6)</w:t>
                  </w:r>
                </w:p>
              </w:tc>
            </w:tr>
            <w:tr w:rsidR="00A431F0" w:rsidRPr="00A431F0" w:rsidTr="00304A20">
              <w:tc>
                <w:tcPr>
                  <w:tcW w:w="2853" w:type="pct"/>
                </w:tcPr>
                <w:p w:rsidR="00A431F0" w:rsidRPr="00A431F0" w:rsidRDefault="00A431F0" w:rsidP="00A431F0">
                  <w:pPr>
                    <w:spacing w:before="0" w:after="0" w:line="40" w:lineRule="exact"/>
                    <w:rPr>
                      <w:sz w:val="18"/>
                      <w:szCs w:val="18"/>
                    </w:rPr>
                  </w:pPr>
                </w:p>
              </w:tc>
              <w:tc>
                <w:tcPr>
                  <w:tcW w:w="715" w:type="pct"/>
                </w:tcPr>
                <w:p w:rsidR="00A431F0" w:rsidRPr="00A431F0" w:rsidRDefault="00A431F0" w:rsidP="00A431F0">
                  <w:pPr>
                    <w:pBdr>
                      <w:top w:val="single" w:sz="8" w:space="1" w:color="auto"/>
                    </w:pBdr>
                    <w:spacing w:before="0" w:after="0" w:line="20" w:lineRule="exact"/>
                    <w:jc w:val="right"/>
                    <w:rPr>
                      <w:sz w:val="18"/>
                      <w:szCs w:val="18"/>
                    </w:rPr>
                  </w:pPr>
                </w:p>
              </w:tc>
              <w:tc>
                <w:tcPr>
                  <w:tcW w:w="715" w:type="pct"/>
                </w:tcPr>
                <w:p w:rsidR="00A431F0" w:rsidRPr="00A431F0" w:rsidRDefault="00A431F0" w:rsidP="00A431F0">
                  <w:pPr>
                    <w:pBdr>
                      <w:top w:val="single" w:sz="8" w:space="1" w:color="auto"/>
                    </w:pBdr>
                    <w:spacing w:before="0" w:after="0" w:line="20" w:lineRule="exact"/>
                    <w:jc w:val="right"/>
                    <w:rPr>
                      <w:sz w:val="18"/>
                      <w:szCs w:val="18"/>
                    </w:rPr>
                  </w:pPr>
                </w:p>
              </w:tc>
              <w:tc>
                <w:tcPr>
                  <w:tcW w:w="716" w:type="pct"/>
                </w:tcPr>
                <w:p w:rsidR="00A431F0" w:rsidRPr="00A431F0" w:rsidRDefault="00A431F0" w:rsidP="00A431F0">
                  <w:pPr>
                    <w:pBdr>
                      <w:top w:val="single" w:sz="8" w:space="1" w:color="auto"/>
                    </w:pBdr>
                    <w:spacing w:before="0" w:after="0" w:line="20" w:lineRule="exact"/>
                    <w:jc w:val="right"/>
                    <w:rPr>
                      <w:sz w:val="18"/>
                      <w:szCs w:val="18"/>
                    </w:rPr>
                  </w:pPr>
                </w:p>
              </w:tc>
            </w:tr>
            <w:tr w:rsidR="00A431F0" w:rsidRPr="00A431F0" w:rsidTr="00304A20">
              <w:trPr>
                <w:trHeight w:val="292"/>
              </w:trPr>
              <w:tc>
                <w:tcPr>
                  <w:tcW w:w="2853"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 xml:space="preserve">Operating profit/(loss) after net finance costs </w:t>
                  </w:r>
                  <w:r w:rsidRPr="00A431F0">
                    <w:rPr>
                      <w:sz w:val="18"/>
                      <w:szCs w:val="18"/>
                    </w:rPr>
                    <w:tab/>
                  </w:r>
                </w:p>
                <w:p w:rsidR="00A431F0" w:rsidRPr="00A431F0" w:rsidRDefault="00A431F0" w:rsidP="00A431F0">
                  <w:pPr>
                    <w:spacing w:before="0" w:after="0" w:line="40" w:lineRule="exact"/>
                    <w:rPr>
                      <w:b/>
                      <w:noProof/>
                      <w:sz w:val="18"/>
                      <w:szCs w:val="18"/>
                      <w:lang w:val="en-US"/>
                    </w:rPr>
                  </w:pPr>
                  <w:r w:rsidRPr="00A431F0">
                    <w:rPr>
                      <w:sz w:val="18"/>
                      <w:szCs w:val="18"/>
                    </w:rPr>
                    <w:t> </w:t>
                  </w:r>
                </w:p>
              </w:tc>
              <w:tc>
                <w:tcPr>
                  <w:tcW w:w="715"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20.7</w:t>
                  </w:r>
                </w:p>
              </w:tc>
              <w:tc>
                <w:tcPr>
                  <w:tcW w:w="715" w:type="pct"/>
                </w:tcPr>
                <w:p w:rsidR="00A431F0" w:rsidRPr="00A431F0" w:rsidRDefault="00A431F0" w:rsidP="00A431F0">
                  <w:pPr>
                    <w:tabs>
                      <w:tab w:val="right" w:pos="720"/>
                      <w:tab w:val="decimal" w:pos="760"/>
                    </w:tabs>
                    <w:spacing w:before="0" w:after="0"/>
                    <w:jc w:val="right"/>
                    <w:rPr>
                      <w:b/>
                      <w:bCs/>
                      <w:sz w:val="18"/>
                      <w:szCs w:val="18"/>
                    </w:rPr>
                  </w:pPr>
                  <w:r w:rsidRPr="00A431F0">
                    <w:rPr>
                      <w:b/>
                      <w:bCs/>
                      <w:sz w:val="18"/>
                      <w:szCs w:val="18"/>
                    </w:rPr>
                    <w:t>4.0</w:t>
                  </w:r>
                </w:p>
              </w:tc>
              <w:tc>
                <w:tcPr>
                  <w:tcW w:w="716"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0.7</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Taxes</w:t>
                  </w:r>
                  <w:r w:rsidRPr="00A431F0">
                    <w:rPr>
                      <w:sz w:val="18"/>
                      <w:szCs w:val="18"/>
                    </w:rPr>
                    <w:tab/>
                  </w:r>
                </w:p>
              </w:tc>
              <w:tc>
                <w:tcPr>
                  <w:tcW w:w="715" w:type="pct"/>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(9.9)</w:t>
                  </w:r>
                </w:p>
              </w:tc>
              <w:tc>
                <w:tcPr>
                  <w:tcW w:w="715" w:type="pct"/>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(7.5)</w:t>
                  </w:r>
                </w:p>
              </w:tc>
              <w:tc>
                <w:tcPr>
                  <w:tcW w:w="716" w:type="pct"/>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(0.1)</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 xml:space="preserve">Profit/(loss) for the period from continuing operations </w:t>
                  </w:r>
                  <w:r w:rsidRPr="00A431F0">
                    <w:rPr>
                      <w:sz w:val="18"/>
                      <w:szCs w:val="18"/>
                    </w:rPr>
                    <w:tab/>
                  </w:r>
                </w:p>
                <w:p w:rsidR="00A431F0" w:rsidRPr="00A431F0" w:rsidRDefault="00A431F0" w:rsidP="00A431F0">
                  <w:pPr>
                    <w:spacing w:before="0" w:after="0" w:line="40" w:lineRule="exact"/>
                    <w:rPr>
                      <w:b/>
                      <w:noProof/>
                      <w:sz w:val="18"/>
                      <w:szCs w:val="18"/>
                      <w:lang w:val="en-US"/>
                    </w:rPr>
                  </w:pPr>
                  <w:r w:rsidRPr="00A431F0">
                    <w:rPr>
                      <w:sz w:val="18"/>
                      <w:szCs w:val="18"/>
                    </w:rPr>
                    <w:t> </w:t>
                  </w:r>
                </w:p>
              </w:tc>
              <w:tc>
                <w:tcPr>
                  <w:tcW w:w="715" w:type="pct"/>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10.8</w:t>
                  </w:r>
                </w:p>
              </w:tc>
              <w:tc>
                <w:tcPr>
                  <w:tcW w:w="715" w:type="pct"/>
                </w:tcPr>
                <w:p w:rsidR="00A431F0" w:rsidRPr="00A431F0" w:rsidRDefault="00A431F0" w:rsidP="00A431F0">
                  <w:pPr>
                    <w:tabs>
                      <w:tab w:val="right" w:pos="720"/>
                      <w:tab w:val="decimal" w:pos="760"/>
                    </w:tabs>
                    <w:spacing w:before="0" w:after="0"/>
                    <w:jc w:val="right"/>
                    <w:rPr>
                      <w:b/>
                      <w:bCs/>
                      <w:sz w:val="18"/>
                      <w:szCs w:val="18"/>
                    </w:rPr>
                  </w:pPr>
                  <w:r w:rsidRPr="00A431F0">
                    <w:rPr>
                      <w:b/>
                      <w:bCs/>
                      <w:sz w:val="18"/>
                      <w:szCs w:val="18"/>
                    </w:rPr>
                    <w:t>(3.5)</w:t>
                  </w:r>
                </w:p>
              </w:tc>
              <w:tc>
                <w:tcPr>
                  <w:tcW w:w="716" w:type="pct"/>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0.6</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 xml:space="preserve">Profit/(loss) from discontinued operations </w:t>
                  </w:r>
                  <w:r w:rsidRPr="00A431F0">
                    <w:rPr>
                      <w:sz w:val="18"/>
                      <w:szCs w:val="18"/>
                    </w:rPr>
                    <w:tab/>
                  </w:r>
                </w:p>
              </w:tc>
              <w:tc>
                <w:tcPr>
                  <w:tcW w:w="715" w:type="pct"/>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w:t>
                  </w:r>
                </w:p>
              </w:tc>
              <w:tc>
                <w:tcPr>
                  <w:tcW w:w="715" w:type="pct"/>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65.3</w:t>
                  </w:r>
                </w:p>
              </w:tc>
              <w:tc>
                <w:tcPr>
                  <w:tcW w:w="716" w:type="pct"/>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11.0</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Profit/(loss) for the period</w:t>
                  </w:r>
                  <w:r w:rsidRPr="00A431F0">
                    <w:rPr>
                      <w:sz w:val="18"/>
                      <w:szCs w:val="18"/>
                    </w:rPr>
                    <w:tab/>
                  </w:r>
                </w:p>
                <w:p w:rsidR="00A431F0" w:rsidRPr="00A431F0" w:rsidRDefault="00A431F0" w:rsidP="00A431F0">
                  <w:pPr>
                    <w:keepNext/>
                    <w:tabs>
                      <w:tab w:val="right" w:leader="dot" w:pos="5160"/>
                    </w:tabs>
                    <w:spacing w:before="0" w:after="0"/>
                    <w:rPr>
                      <w:sz w:val="18"/>
                      <w:szCs w:val="18"/>
                    </w:rPr>
                  </w:pPr>
                  <w:r w:rsidRPr="00A431F0">
                    <w:rPr>
                      <w:sz w:val="18"/>
                      <w:szCs w:val="18"/>
                    </w:rPr>
                    <w:t>Attributable to:</w:t>
                  </w:r>
                </w:p>
              </w:tc>
              <w:tc>
                <w:tcPr>
                  <w:tcW w:w="715" w:type="pct"/>
                  <w:noWrap/>
                </w:tcPr>
                <w:p w:rsidR="00A431F0" w:rsidRPr="00A431F0" w:rsidRDefault="00A431F0" w:rsidP="00A431F0">
                  <w:pPr>
                    <w:pBdr>
                      <w:bottom w:val="single" w:sz="4" w:space="1" w:color="auto"/>
                    </w:pBdr>
                    <w:tabs>
                      <w:tab w:val="right" w:pos="720"/>
                      <w:tab w:val="decimal" w:pos="760"/>
                    </w:tabs>
                    <w:spacing w:before="0" w:after="0"/>
                    <w:jc w:val="right"/>
                    <w:rPr>
                      <w:b/>
                      <w:sz w:val="18"/>
                      <w:szCs w:val="18"/>
                    </w:rPr>
                  </w:pPr>
                  <w:r w:rsidRPr="00A431F0">
                    <w:rPr>
                      <w:b/>
                      <w:sz w:val="18"/>
                      <w:szCs w:val="18"/>
                    </w:rPr>
                    <w:t>10.8</w:t>
                  </w:r>
                </w:p>
              </w:tc>
              <w:tc>
                <w:tcPr>
                  <w:tcW w:w="715" w:type="pct"/>
                </w:tcPr>
                <w:p w:rsidR="00A431F0" w:rsidRPr="00A431F0" w:rsidRDefault="00A431F0" w:rsidP="00A431F0">
                  <w:pPr>
                    <w:pBdr>
                      <w:bottom w:val="single" w:sz="4" w:space="1" w:color="auto"/>
                    </w:pBdr>
                    <w:tabs>
                      <w:tab w:val="right" w:pos="720"/>
                      <w:tab w:val="decimal" w:pos="760"/>
                    </w:tabs>
                    <w:spacing w:before="0" w:after="0"/>
                    <w:jc w:val="right"/>
                    <w:rPr>
                      <w:b/>
                      <w:bCs/>
                      <w:sz w:val="18"/>
                      <w:szCs w:val="18"/>
                    </w:rPr>
                  </w:pPr>
                  <w:r w:rsidRPr="00A431F0">
                    <w:rPr>
                      <w:b/>
                      <w:bCs/>
                      <w:sz w:val="18"/>
                      <w:szCs w:val="18"/>
                    </w:rPr>
                    <w:t>61.8</w:t>
                  </w:r>
                </w:p>
              </w:tc>
              <w:tc>
                <w:tcPr>
                  <w:tcW w:w="716" w:type="pct"/>
                  <w:noWrap/>
                </w:tcPr>
                <w:p w:rsidR="00A431F0" w:rsidRPr="00A431F0" w:rsidRDefault="00A431F0" w:rsidP="00A431F0">
                  <w:pPr>
                    <w:pBdr>
                      <w:bottom w:val="single" w:sz="4" w:space="1" w:color="auto"/>
                    </w:pBdr>
                    <w:tabs>
                      <w:tab w:val="right" w:pos="720"/>
                      <w:tab w:val="decimal" w:pos="760"/>
                    </w:tabs>
                    <w:spacing w:before="0" w:after="0"/>
                    <w:jc w:val="right"/>
                    <w:rPr>
                      <w:b/>
                      <w:sz w:val="18"/>
                      <w:szCs w:val="18"/>
                    </w:rPr>
                  </w:pPr>
                  <w:r w:rsidRPr="00A431F0">
                    <w:rPr>
                      <w:b/>
                      <w:sz w:val="18"/>
                      <w:szCs w:val="18"/>
                    </w:rPr>
                    <w:t>11.6</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sz w:val="18"/>
                      <w:szCs w:val="18"/>
                    </w:rPr>
                  </w:pPr>
                  <w:r w:rsidRPr="00A431F0">
                    <w:rPr>
                      <w:b/>
                      <w:sz w:val="18"/>
                      <w:szCs w:val="18"/>
                    </w:rPr>
                    <w:t xml:space="preserve">- </w:t>
                  </w:r>
                  <w:r w:rsidRPr="00A431F0">
                    <w:rPr>
                      <w:sz w:val="18"/>
                      <w:szCs w:val="18"/>
                    </w:rPr>
                    <w:t>The shareholders of Greenyard (the ‘Group’)</w:t>
                  </w:r>
                </w:p>
              </w:tc>
              <w:tc>
                <w:tcPr>
                  <w:tcW w:w="715"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10.6</w:t>
                  </w:r>
                </w:p>
              </w:tc>
              <w:tc>
                <w:tcPr>
                  <w:tcW w:w="715" w:type="pct"/>
                </w:tcPr>
                <w:p w:rsidR="00A431F0" w:rsidRPr="00A431F0" w:rsidRDefault="00A431F0" w:rsidP="00A431F0">
                  <w:pPr>
                    <w:tabs>
                      <w:tab w:val="right" w:pos="720"/>
                      <w:tab w:val="decimal" w:pos="760"/>
                    </w:tabs>
                    <w:spacing w:before="0" w:after="0"/>
                    <w:jc w:val="right"/>
                    <w:rPr>
                      <w:b/>
                      <w:bCs/>
                      <w:sz w:val="18"/>
                      <w:szCs w:val="18"/>
                    </w:rPr>
                  </w:pPr>
                  <w:r w:rsidRPr="00A431F0">
                    <w:rPr>
                      <w:b/>
                      <w:bCs/>
                      <w:sz w:val="18"/>
                      <w:szCs w:val="18"/>
                    </w:rPr>
                    <w:t>62.3</w:t>
                  </w:r>
                </w:p>
              </w:tc>
              <w:tc>
                <w:tcPr>
                  <w:tcW w:w="716"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11.1</w:t>
                  </w:r>
                </w:p>
              </w:tc>
            </w:tr>
            <w:tr w:rsidR="00A431F0" w:rsidRPr="00A431F0" w:rsidTr="00304A20">
              <w:tc>
                <w:tcPr>
                  <w:tcW w:w="2853" w:type="pct"/>
                </w:tcPr>
                <w:p w:rsidR="00A431F0" w:rsidRPr="00A431F0" w:rsidRDefault="00A431F0" w:rsidP="00A431F0">
                  <w:pPr>
                    <w:keepNext/>
                    <w:tabs>
                      <w:tab w:val="right" w:leader="dot" w:pos="5160"/>
                    </w:tabs>
                    <w:spacing w:before="0" w:after="0"/>
                    <w:rPr>
                      <w:sz w:val="18"/>
                      <w:szCs w:val="18"/>
                    </w:rPr>
                  </w:pPr>
                  <w:r w:rsidRPr="00A431F0">
                    <w:rPr>
                      <w:b/>
                      <w:sz w:val="18"/>
                      <w:szCs w:val="18"/>
                    </w:rPr>
                    <w:t xml:space="preserve">- </w:t>
                  </w:r>
                  <w:r w:rsidRPr="00A431F0">
                    <w:rPr>
                      <w:sz w:val="18"/>
                      <w:szCs w:val="18"/>
                    </w:rPr>
                    <w:t>Non-controlling interests</w:t>
                  </w:r>
                </w:p>
                <w:p w:rsidR="00A431F0" w:rsidRPr="00A431F0" w:rsidRDefault="00A431F0" w:rsidP="00A431F0">
                  <w:pPr>
                    <w:keepNext/>
                    <w:tabs>
                      <w:tab w:val="right" w:leader="dot" w:pos="5160"/>
                    </w:tabs>
                    <w:spacing w:before="0" w:after="0"/>
                    <w:rPr>
                      <w:b/>
                      <w:sz w:val="18"/>
                      <w:szCs w:val="18"/>
                    </w:rPr>
                  </w:pPr>
                </w:p>
                <w:p w:rsidR="00A431F0" w:rsidRPr="00A431F0" w:rsidRDefault="00A431F0" w:rsidP="00A431F0">
                  <w:pPr>
                    <w:keepNext/>
                    <w:tabs>
                      <w:tab w:val="right" w:leader="dot" w:pos="5160"/>
                    </w:tabs>
                    <w:spacing w:before="0" w:after="0"/>
                    <w:rPr>
                      <w:b/>
                      <w:sz w:val="18"/>
                      <w:szCs w:val="18"/>
                    </w:rPr>
                  </w:pPr>
                  <w:r w:rsidRPr="00A431F0">
                    <w:rPr>
                      <w:b/>
                      <w:bCs/>
                      <w:sz w:val="18"/>
                      <w:szCs w:val="18"/>
                    </w:rPr>
                    <w:t>Other Financial Data</w:t>
                  </w:r>
                  <w:r w:rsidRPr="00A431F0" w:rsidDel="00160714">
                    <w:rPr>
                      <w:b/>
                      <w:sz w:val="18"/>
                      <w:szCs w:val="18"/>
                    </w:rPr>
                    <w:t xml:space="preserve"> </w:t>
                  </w:r>
                </w:p>
              </w:tc>
              <w:tc>
                <w:tcPr>
                  <w:tcW w:w="715"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0.2</w:t>
                  </w:r>
                </w:p>
              </w:tc>
              <w:tc>
                <w:tcPr>
                  <w:tcW w:w="715" w:type="pct"/>
                </w:tcPr>
                <w:p w:rsidR="00A431F0" w:rsidRPr="00A431F0" w:rsidRDefault="00A431F0" w:rsidP="00A431F0">
                  <w:pPr>
                    <w:tabs>
                      <w:tab w:val="right" w:pos="720"/>
                      <w:tab w:val="decimal" w:pos="760"/>
                    </w:tabs>
                    <w:spacing w:before="0" w:after="0"/>
                    <w:jc w:val="right"/>
                    <w:rPr>
                      <w:b/>
                      <w:bCs/>
                      <w:sz w:val="18"/>
                      <w:szCs w:val="18"/>
                    </w:rPr>
                  </w:pPr>
                  <w:r w:rsidRPr="00A431F0">
                    <w:rPr>
                      <w:b/>
                      <w:bCs/>
                      <w:sz w:val="18"/>
                      <w:szCs w:val="18"/>
                    </w:rPr>
                    <w:t>(0.6)</w:t>
                  </w:r>
                </w:p>
              </w:tc>
              <w:tc>
                <w:tcPr>
                  <w:tcW w:w="716"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0.5</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REBITDA</w:t>
                  </w:r>
                  <w:r w:rsidRPr="00A431F0">
                    <w:rPr>
                      <w:b/>
                      <w:sz w:val="18"/>
                      <w:szCs w:val="18"/>
                    </w:rPr>
                    <w:tab/>
                  </w:r>
                </w:p>
              </w:tc>
              <w:tc>
                <w:tcPr>
                  <w:tcW w:w="715"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62.6</w:t>
                  </w:r>
                </w:p>
              </w:tc>
              <w:tc>
                <w:tcPr>
                  <w:tcW w:w="715" w:type="pct"/>
                </w:tcPr>
                <w:p w:rsidR="00A431F0" w:rsidRPr="00A431F0" w:rsidRDefault="00A431F0" w:rsidP="00A431F0">
                  <w:pPr>
                    <w:tabs>
                      <w:tab w:val="right" w:pos="720"/>
                      <w:tab w:val="decimal" w:pos="760"/>
                    </w:tabs>
                    <w:spacing w:before="0" w:after="0"/>
                    <w:jc w:val="right"/>
                    <w:rPr>
                      <w:b/>
                      <w:bCs/>
                      <w:sz w:val="18"/>
                      <w:szCs w:val="18"/>
                    </w:rPr>
                  </w:pPr>
                  <w:r w:rsidRPr="00A431F0">
                    <w:rPr>
                      <w:b/>
                      <w:bCs/>
                      <w:sz w:val="18"/>
                      <w:szCs w:val="18"/>
                    </w:rPr>
                    <w:t>51.4</w:t>
                  </w:r>
                </w:p>
              </w:tc>
              <w:tc>
                <w:tcPr>
                  <w:tcW w:w="716"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43.5</w:t>
                  </w:r>
                </w:p>
              </w:tc>
            </w:tr>
          </w:tbl>
          <w:p w:rsidR="00A431F0" w:rsidRPr="00EA40E9" w:rsidRDefault="00A431F0" w:rsidP="00A431F0">
            <w:pPr>
              <w:keepNext/>
              <w:keepLines/>
              <w:numPr>
                <w:ilvl w:val="2"/>
                <w:numId w:val="0"/>
              </w:numPr>
              <w:tabs>
                <w:tab w:val="num" w:pos="720"/>
              </w:tabs>
              <w:ind w:left="720" w:hanging="720"/>
              <w:outlineLvl w:val="2"/>
              <w:rPr>
                <w:rFonts w:eastAsia="SimSun"/>
                <w:bCs/>
                <w:i/>
                <w:szCs w:val="20"/>
              </w:rPr>
            </w:pPr>
            <w:r w:rsidRPr="00EA40E9">
              <w:rPr>
                <w:rFonts w:eastAsia="SimSun"/>
                <w:i/>
                <w:szCs w:val="20"/>
              </w:rPr>
              <w:t>Key figures per Share</w:t>
            </w:r>
          </w:p>
          <w:tbl>
            <w:tblPr>
              <w:tblW w:w="8202" w:type="dxa"/>
              <w:tblLayout w:type="fixed"/>
              <w:tblLook w:val="0000" w:firstRow="0" w:lastRow="0" w:firstColumn="0" w:lastColumn="0" w:noHBand="0" w:noVBand="0"/>
            </w:tblPr>
            <w:tblGrid>
              <w:gridCol w:w="3988"/>
              <w:gridCol w:w="1053"/>
              <w:gridCol w:w="1055"/>
              <w:gridCol w:w="1055"/>
              <w:gridCol w:w="1051"/>
            </w:tblGrid>
            <w:tr w:rsidR="00A431F0" w:rsidRPr="00A431F0" w:rsidTr="00304A20">
              <w:trPr>
                <w:trHeight w:val="941"/>
              </w:trPr>
              <w:tc>
                <w:tcPr>
                  <w:tcW w:w="2431" w:type="pct"/>
                  <w:vAlign w:val="center"/>
                </w:tcPr>
                <w:p w:rsidR="00A431F0" w:rsidRPr="00A431F0" w:rsidRDefault="00A431F0" w:rsidP="00A431F0">
                  <w:pPr>
                    <w:keepNext/>
                    <w:spacing w:before="0" w:after="0"/>
                    <w:ind w:left="240" w:hanging="240"/>
                    <w:jc w:val="left"/>
                    <w:rPr>
                      <w:bCs/>
                      <w:i/>
                      <w:sz w:val="18"/>
                      <w:szCs w:val="18"/>
                    </w:rPr>
                  </w:pPr>
                  <w:r w:rsidRPr="00A431F0">
                    <w:rPr>
                      <w:bCs/>
                      <w:i/>
                      <w:sz w:val="18"/>
                      <w:szCs w:val="18"/>
                    </w:rPr>
                    <w:t xml:space="preserve">(EUR per </w:t>
                  </w:r>
                  <w:r w:rsidR="00304A20" w:rsidRPr="00A431F0">
                    <w:rPr>
                      <w:bCs/>
                      <w:i/>
                      <w:sz w:val="18"/>
                      <w:szCs w:val="18"/>
                    </w:rPr>
                    <w:t>Share</w:t>
                  </w:r>
                  <w:r w:rsidRPr="00A431F0">
                    <w:rPr>
                      <w:bCs/>
                      <w:i/>
                      <w:sz w:val="18"/>
                      <w:szCs w:val="18"/>
                    </w:rPr>
                    <w:t>)</w:t>
                  </w:r>
                </w:p>
              </w:tc>
              <w:tc>
                <w:tcPr>
                  <w:tcW w:w="642" w:type="pct"/>
                  <w:vAlign w:val="bottom"/>
                </w:tcPr>
                <w:p w:rsidR="00A431F0" w:rsidRPr="00A431F0" w:rsidRDefault="00A431F0" w:rsidP="00304A20">
                  <w:pPr>
                    <w:pBdr>
                      <w:bottom w:val="single" w:sz="4" w:space="1" w:color="auto"/>
                    </w:pBdr>
                    <w:spacing w:before="0" w:after="0"/>
                    <w:ind w:left="48" w:hanging="48"/>
                    <w:jc w:val="center"/>
                    <w:rPr>
                      <w:sz w:val="18"/>
                      <w:szCs w:val="18"/>
                    </w:rPr>
                  </w:pPr>
                  <w:r w:rsidRPr="00A431F0">
                    <w:rPr>
                      <w:b/>
                      <w:bCs/>
                      <w:sz w:val="18"/>
                      <w:szCs w:val="18"/>
                    </w:rPr>
                    <w:t xml:space="preserve">Year ended </w:t>
                  </w:r>
                  <w:r w:rsidRPr="00A431F0">
                    <w:rPr>
                      <w:b/>
                      <w:bCs/>
                      <w:sz w:val="18"/>
                      <w:szCs w:val="18"/>
                    </w:rPr>
                    <w:br/>
                    <w:t>31 March 2015</w:t>
                  </w:r>
                  <w:r w:rsidRPr="00A431F0">
                    <w:rPr>
                      <w:b/>
                      <w:bCs/>
                      <w:sz w:val="18"/>
                      <w:szCs w:val="18"/>
                    </w:rPr>
                    <w:br/>
                    <w:t>Basic</w:t>
                  </w:r>
                </w:p>
              </w:tc>
              <w:tc>
                <w:tcPr>
                  <w:tcW w:w="643" w:type="pct"/>
                </w:tcPr>
                <w:p w:rsidR="00A431F0" w:rsidRPr="00A431F0" w:rsidRDefault="00A431F0" w:rsidP="00A431F0">
                  <w:pPr>
                    <w:pBdr>
                      <w:bottom w:val="single" w:sz="4" w:space="1" w:color="auto"/>
                    </w:pBdr>
                    <w:spacing w:before="0" w:after="0"/>
                    <w:jc w:val="center"/>
                    <w:rPr>
                      <w:b/>
                      <w:bCs/>
                      <w:sz w:val="18"/>
                      <w:szCs w:val="18"/>
                    </w:rPr>
                  </w:pPr>
                  <w:r w:rsidRPr="00A431F0">
                    <w:rPr>
                      <w:b/>
                      <w:bCs/>
                      <w:sz w:val="18"/>
                      <w:szCs w:val="18"/>
                    </w:rPr>
                    <w:t xml:space="preserve">Year ended </w:t>
                  </w:r>
                  <w:r w:rsidR="00304A20" w:rsidRPr="00A431F0">
                    <w:rPr>
                      <w:b/>
                      <w:bCs/>
                      <w:sz w:val="18"/>
                      <w:szCs w:val="18"/>
                    </w:rPr>
                    <w:br/>
                  </w:r>
                  <w:r w:rsidRPr="00A431F0">
                    <w:rPr>
                      <w:b/>
                      <w:bCs/>
                      <w:sz w:val="18"/>
                      <w:szCs w:val="18"/>
                    </w:rPr>
                    <w:t>31 March 2015</w:t>
                  </w:r>
                  <w:r w:rsidRPr="00A431F0">
                    <w:rPr>
                      <w:b/>
                      <w:bCs/>
                      <w:sz w:val="18"/>
                      <w:szCs w:val="18"/>
                    </w:rPr>
                    <w:br/>
                    <w:t>Diluted</w:t>
                  </w:r>
                </w:p>
              </w:tc>
              <w:tc>
                <w:tcPr>
                  <w:tcW w:w="643" w:type="pct"/>
                  <w:vAlign w:val="bottom"/>
                </w:tcPr>
                <w:p w:rsidR="00A431F0" w:rsidRPr="00A431F0" w:rsidRDefault="00A431F0" w:rsidP="00A431F0">
                  <w:pPr>
                    <w:pBdr>
                      <w:bottom w:val="single" w:sz="4" w:space="1" w:color="auto"/>
                    </w:pBdr>
                    <w:spacing w:before="0" w:after="0"/>
                    <w:jc w:val="center"/>
                    <w:rPr>
                      <w:sz w:val="18"/>
                      <w:szCs w:val="18"/>
                    </w:rPr>
                  </w:pPr>
                  <w:r w:rsidRPr="00A431F0">
                    <w:rPr>
                      <w:b/>
                      <w:bCs/>
                      <w:sz w:val="18"/>
                      <w:szCs w:val="18"/>
                    </w:rPr>
                    <w:t xml:space="preserve">Year ended </w:t>
                  </w:r>
                  <w:r w:rsidR="00304A20" w:rsidRPr="00A431F0">
                    <w:rPr>
                      <w:b/>
                      <w:bCs/>
                      <w:sz w:val="18"/>
                      <w:szCs w:val="18"/>
                    </w:rPr>
                    <w:br/>
                  </w:r>
                  <w:r w:rsidRPr="00A431F0">
                    <w:rPr>
                      <w:b/>
                      <w:bCs/>
                      <w:sz w:val="18"/>
                      <w:szCs w:val="18"/>
                    </w:rPr>
                    <w:t>31 March</w:t>
                  </w:r>
                  <w:r w:rsidRPr="00A431F0">
                    <w:rPr>
                      <w:b/>
                      <w:bCs/>
                      <w:sz w:val="18"/>
                      <w:szCs w:val="18"/>
                    </w:rPr>
                    <w:br/>
                    <w:t>2014</w:t>
                  </w:r>
                  <w:r w:rsidRPr="00A431F0">
                    <w:rPr>
                      <w:b/>
                      <w:bCs/>
                      <w:sz w:val="18"/>
                      <w:szCs w:val="18"/>
                    </w:rPr>
                    <w:br/>
                    <w:t>Basic</w:t>
                  </w:r>
                </w:p>
              </w:tc>
              <w:tc>
                <w:tcPr>
                  <w:tcW w:w="643" w:type="pct"/>
                </w:tcPr>
                <w:p w:rsidR="00A431F0" w:rsidRPr="00A431F0" w:rsidRDefault="00A431F0" w:rsidP="00A431F0">
                  <w:pPr>
                    <w:pBdr>
                      <w:bottom w:val="single" w:sz="4" w:space="1" w:color="auto"/>
                    </w:pBdr>
                    <w:spacing w:before="0" w:after="0"/>
                    <w:jc w:val="center"/>
                    <w:rPr>
                      <w:b/>
                      <w:bCs/>
                      <w:sz w:val="18"/>
                      <w:szCs w:val="18"/>
                    </w:rPr>
                  </w:pPr>
                  <w:r w:rsidRPr="00A431F0">
                    <w:rPr>
                      <w:b/>
                      <w:bCs/>
                      <w:sz w:val="18"/>
                      <w:szCs w:val="18"/>
                    </w:rPr>
                    <w:t xml:space="preserve">Year ended </w:t>
                  </w:r>
                  <w:r w:rsidR="00304A20" w:rsidRPr="00A431F0">
                    <w:rPr>
                      <w:b/>
                      <w:bCs/>
                      <w:sz w:val="18"/>
                      <w:szCs w:val="18"/>
                    </w:rPr>
                    <w:br/>
                  </w:r>
                  <w:r w:rsidRPr="00A431F0">
                    <w:rPr>
                      <w:b/>
                      <w:bCs/>
                      <w:sz w:val="18"/>
                      <w:szCs w:val="18"/>
                    </w:rPr>
                    <w:t xml:space="preserve">31 March 2014 </w:t>
                  </w:r>
                  <w:r w:rsidRPr="00A431F0">
                    <w:rPr>
                      <w:b/>
                      <w:bCs/>
                      <w:sz w:val="18"/>
                      <w:szCs w:val="18"/>
                    </w:rPr>
                    <w:br/>
                    <w:t>Diluted</w:t>
                  </w:r>
                  <w:r w:rsidRPr="00A431F0">
                    <w:rPr>
                      <w:b/>
                      <w:bCs/>
                      <w:sz w:val="18"/>
                      <w:szCs w:val="18"/>
                      <w:vertAlign w:val="superscript"/>
                    </w:rPr>
                    <w:t>3</w:t>
                  </w:r>
                </w:p>
              </w:tc>
            </w:tr>
            <w:tr w:rsidR="00A431F0" w:rsidRPr="00A431F0" w:rsidTr="00304A20">
              <w:tc>
                <w:tcPr>
                  <w:tcW w:w="2431"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 xml:space="preserve">Earnings per </w:t>
                  </w:r>
                  <w:r w:rsidR="00304A20" w:rsidRPr="00A431F0">
                    <w:rPr>
                      <w:sz w:val="18"/>
                      <w:szCs w:val="18"/>
                    </w:rPr>
                    <w:t>Share</w:t>
                  </w:r>
                  <w:r w:rsidRPr="00A431F0">
                    <w:rPr>
                      <w:sz w:val="18"/>
                      <w:szCs w:val="18"/>
                    </w:rPr>
                    <w:tab/>
                  </w:r>
                </w:p>
              </w:tc>
              <w:tc>
                <w:tcPr>
                  <w:tcW w:w="642" w:type="pct"/>
                  <w:noWrap/>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0.64</w:t>
                  </w:r>
                </w:p>
              </w:tc>
              <w:tc>
                <w:tcPr>
                  <w:tcW w:w="643" w:type="pct"/>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0.56</w:t>
                  </w:r>
                </w:p>
              </w:tc>
              <w:tc>
                <w:tcPr>
                  <w:tcW w:w="643"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3.78</w:t>
                  </w:r>
                </w:p>
              </w:tc>
              <w:tc>
                <w:tcPr>
                  <w:tcW w:w="643"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3.28</w:t>
                  </w:r>
                </w:p>
              </w:tc>
            </w:tr>
            <w:tr w:rsidR="00A431F0" w:rsidRPr="00A431F0" w:rsidTr="00304A20">
              <w:trPr>
                <w:trHeight w:val="267"/>
              </w:trPr>
              <w:tc>
                <w:tcPr>
                  <w:tcW w:w="2431" w:type="pct"/>
                </w:tcPr>
                <w:p w:rsidR="00A431F0" w:rsidRPr="00A431F0" w:rsidRDefault="00C14169" w:rsidP="00A431F0">
                  <w:pPr>
                    <w:keepNext/>
                    <w:tabs>
                      <w:tab w:val="right" w:leader="dot" w:pos="5160"/>
                    </w:tabs>
                    <w:spacing w:before="0" w:after="0"/>
                    <w:ind w:left="240" w:hanging="240"/>
                    <w:rPr>
                      <w:sz w:val="18"/>
                      <w:szCs w:val="18"/>
                    </w:rPr>
                  </w:pPr>
                  <w:r>
                    <w:rPr>
                      <w:sz w:val="18"/>
                      <w:szCs w:val="18"/>
                    </w:rPr>
                    <w:t xml:space="preserve">   </w:t>
                  </w:r>
                  <w:r w:rsidR="00A431F0" w:rsidRPr="00A431F0">
                    <w:rPr>
                      <w:sz w:val="18"/>
                      <w:szCs w:val="18"/>
                    </w:rPr>
                    <w:t xml:space="preserve">- Earnings per </w:t>
                  </w:r>
                  <w:r w:rsidR="00304A20" w:rsidRPr="00A431F0">
                    <w:rPr>
                      <w:sz w:val="18"/>
                      <w:szCs w:val="18"/>
                    </w:rPr>
                    <w:t xml:space="preserve">Share </w:t>
                  </w:r>
                  <w:r w:rsidR="00A431F0" w:rsidRPr="00A431F0">
                    <w:rPr>
                      <w:sz w:val="18"/>
                      <w:szCs w:val="18"/>
                    </w:rPr>
                    <w:t>from continuing operations</w:t>
                  </w:r>
                  <w:r w:rsidR="00A431F0" w:rsidRPr="00A431F0">
                    <w:rPr>
                      <w:sz w:val="18"/>
                      <w:szCs w:val="18"/>
                    </w:rPr>
                    <w:tab/>
                  </w:r>
                </w:p>
                <w:p w:rsidR="00A431F0" w:rsidRPr="00A431F0" w:rsidRDefault="00A431F0" w:rsidP="00A431F0">
                  <w:pPr>
                    <w:spacing w:before="0" w:after="0" w:line="40" w:lineRule="exact"/>
                    <w:rPr>
                      <w:noProof/>
                      <w:sz w:val="18"/>
                      <w:szCs w:val="18"/>
                      <w:lang w:val="en-US"/>
                    </w:rPr>
                  </w:pPr>
                  <w:r w:rsidRPr="00A431F0">
                    <w:rPr>
                      <w:sz w:val="18"/>
                      <w:szCs w:val="18"/>
                    </w:rPr>
                    <w:t> </w:t>
                  </w:r>
                </w:p>
              </w:tc>
              <w:tc>
                <w:tcPr>
                  <w:tcW w:w="642"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0.64</w:t>
                  </w:r>
                </w:p>
              </w:tc>
              <w:tc>
                <w:tcPr>
                  <w:tcW w:w="643"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0.56</w:t>
                  </w:r>
                </w:p>
              </w:tc>
              <w:tc>
                <w:tcPr>
                  <w:tcW w:w="643"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(0.18)</w:t>
                  </w:r>
                </w:p>
              </w:tc>
              <w:tc>
                <w:tcPr>
                  <w:tcW w:w="643"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(0.18)</w:t>
                  </w:r>
                </w:p>
              </w:tc>
            </w:tr>
            <w:tr w:rsidR="00A431F0" w:rsidRPr="00A431F0" w:rsidTr="00304A20">
              <w:tc>
                <w:tcPr>
                  <w:tcW w:w="2431" w:type="pct"/>
                </w:tcPr>
                <w:p w:rsidR="00A431F0" w:rsidRPr="00A431F0" w:rsidRDefault="00C14169" w:rsidP="00A431F0">
                  <w:pPr>
                    <w:keepNext/>
                    <w:tabs>
                      <w:tab w:val="right" w:leader="dot" w:pos="5160"/>
                    </w:tabs>
                    <w:spacing w:before="0" w:after="0"/>
                    <w:ind w:left="240" w:hanging="240"/>
                    <w:rPr>
                      <w:sz w:val="18"/>
                      <w:szCs w:val="18"/>
                    </w:rPr>
                  </w:pPr>
                  <w:r>
                    <w:rPr>
                      <w:sz w:val="18"/>
                      <w:szCs w:val="18"/>
                    </w:rPr>
                    <w:t xml:space="preserve">   </w:t>
                  </w:r>
                  <w:r w:rsidR="00A431F0" w:rsidRPr="00A431F0">
                    <w:rPr>
                      <w:sz w:val="18"/>
                      <w:szCs w:val="18"/>
                    </w:rPr>
                    <w:t xml:space="preserve">- Earnings per </w:t>
                  </w:r>
                  <w:r w:rsidR="00304A20" w:rsidRPr="00A431F0">
                    <w:rPr>
                      <w:sz w:val="18"/>
                      <w:szCs w:val="18"/>
                    </w:rPr>
                    <w:t xml:space="preserve">Share </w:t>
                  </w:r>
                  <w:r w:rsidR="00A431F0" w:rsidRPr="00A431F0">
                    <w:rPr>
                      <w:sz w:val="18"/>
                      <w:szCs w:val="18"/>
                    </w:rPr>
                    <w:t>from discontinued operations</w:t>
                  </w:r>
                  <w:r w:rsidR="00A431F0" w:rsidRPr="00A431F0">
                    <w:rPr>
                      <w:bCs/>
                      <w:sz w:val="18"/>
                      <w:szCs w:val="18"/>
                    </w:rPr>
                    <w:tab/>
                  </w:r>
                </w:p>
              </w:tc>
              <w:tc>
                <w:tcPr>
                  <w:tcW w:w="642"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0.00</w:t>
                  </w:r>
                </w:p>
              </w:tc>
              <w:tc>
                <w:tcPr>
                  <w:tcW w:w="643" w:type="pct"/>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0.00</w:t>
                  </w:r>
                </w:p>
              </w:tc>
              <w:tc>
                <w:tcPr>
                  <w:tcW w:w="643"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3.98</w:t>
                  </w:r>
                </w:p>
              </w:tc>
              <w:tc>
                <w:tcPr>
                  <w:tcW w:w="643"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3.46</w:t>
                  </w:r>
                </w:p>
              </w:tc>
            </w:tr>
            <w:tr w:rsidR="00A431F0" w:rsidRPr="00A431F0" w:rsidTr="00304A20">
              <w:trPr>
                <w:trHeight w:val="941"/>
              </w:trPr>
              <w:tc>
                <w:tcPr>
                  <w:tcW w:w="2431" w:type="pct"/>
                  <w:vAlign w:val="center"/>
                </w:tcPr>
                <w:p w:rsidR="00A431F0" w:rsidRPr="00A431F0" w:rsidRDefault="00A431F0" w:rsidP="00A431F0">
                  <w:pPr>
                    <w:keepNext/>
                    <w:spacing w:before="0" w:after="0"/>
                    <w:ind w:left="240" w:hanging="240"/>
                    <w:jc w:val="left"/>
                    <w:rPr>
                      <w:bCs/>
                      <w:i/>
                      <w:sz w:val="18"/>
                      <w:szCs w:val="18"/>
                    </w:rPr>
                  </w:pPr>
                </w:p>
                <w:p w:rsidR="00A431F0" w:rsidRPr="00A431F0" w:rsidRDefault="00A431F0" w:rsidP="00A431F0">
                  <w:pPr>
                    <w:keepNext/>
                    <w:spacing w:before="0" w:after="0"/>
                    <w:ind w:left="240" w:hanging="240"/>
                    <w:jc w:val="left"/>
                    <w:rPr>
                      <w:bCs/>
                      <w:i/>
                      <w:sz w:val="18"/>
                      <w:szCs w:val="18"/>
                    </w:rPr>
                  </w:pPr>
                </w:p>
                <w:p w:rsidR="00A431F0" w:rsidRPr="00A431F0" w:rsidRDefault="00A431F0" w:rsidP="00A431F0">
                  <w:pPr>
                    <w:keepNext/>
                    <w:spacing w:before="0" w:after="0"/>
                    <w:ind w:left="240" w:hanging="240"/>
                    <w:jc w:val="left"/>
                    <w:rPr>
                      <w:bCs/>
                      <w:i/>
                      <w:sz w:val="18"/>
                      <w:szCs w:val="18"/>
                    </w:rPr>
                  </w:pPr>
                  <w:r w:rsidRPr="00A431F0">
                    <w:rPr>
                      <w:bCs/>
                      <w:i/>
                      <w:sz w:val="18"/>
                      <w:szCs w:val="18"/>
                    </w:rPr>
                    <w:t xml:space="preserve">(EUR per </w:t>
                  </w:r>
                  <w:r w:rsidR="00304A20" w:rsidRPr="00A431F0">
                    <w:rPr>
                      <w:bCs/>
                      <w:i/>
                      <w:sz w:val="18"/>
                      <w:szCs w:val="18"/>
                    </w:rPr>
                    <w:t>Share</w:t>
                  </w:r>
                  <w:r w:rsidRPr="00A431F0">
                    <w:rPr>
                      <w:bCs/>
                      <w:i/>
                      <w:sz w:val="18"/>
                      <w:szCs w:val="18"/>
                    </w:rPr>
                    <w:t>)</w:t>
                  </w:r>
                </w:p>
              </w:tc>
              <w:tc>
                <w:tcPr>
                  <w:tcW w:w="642" w:type="pct"/>
                  <w:vAlign w:val="bottom"/>
                </w:tcPr>
                <w:p w:rsidR="00A431F0" w:rsidRPr="00A431F0" w:rsidRDefault="00A431F0" w:rsidP="00304A20">
                  <w:pPr>
                    <w:pBdr>
                      <w:bottom w:val="single" w:sz="4" w:space="1" w:color="auto"/>
                    </w:pBdr>
                    <w:spacing w:before="0" w:after="0"/>
                    <w:ind w:left="48" w:hanging="48"/>
                    <w:jc w:val="center"/>
                    <w:rPr>
                      <w:sz w:val="18"/>
                      <w:szCs w:val="18"/>
                    </w:rPr>
                  </w:pPr>
                  <w:r w:rsidRPr="00A431F0">
                    <w:rPr>
                      <w:b/>
                      <w:bCs/>
                      <w:sz w:val="18"/>
                      <w:szCs w:val="18"/>
                    </w:rPr>
                    <w:t xml:space="preserve">Year ended </w:t>
                  </w:r>
                  <w:r w:rsidRPr="00A431F0">
                    <w:rPr>
                      <w:b/>
                      <w:bCs/>
                      <w:sz w:val="18"/>
                      <w:szCs w:val="18"/>
                    </w:rPr>
                    <w:br/>
                    <w:t>31 March 2014</w:t>
                  </w:r>
                  <w:r w:rsidRPr="00A431F0">
                    <w:rPr>
                      <w:b/>
                      <w:bCs/>
                      <w:sz w:val="18"/>
                      <w:szCs w:val="18"/>
                    </w:rPr>
                    <w:br/>
                    <w:t>Basic</w:t>
                  </w:r>
                </w:p>
              </w:tc>
              <w:tc>
                <w:tcPr>
                  <w:tcW w:w="643" w:type="pct"/>
                </w:tcPr>
                <w:p w:rsidR="00A431F0" w:rsidRPr="00A431F0" w:rsidRDefault="00A431F0" w:rsidP="00A431F0">
                  <w:pPr>
                    <w:pBdr>
                      <w:bottom w:val="single" w:sz="4" w:space="1" w:color="auto"/>
                    </w:pBdr>
                    <w:spacing w:before="0" w:after="0"/>
                    <w:jc w:val="center"/>
                    <w:rPr>
                      <w:b/>
                      <w:bCs/>
                      <w:sz w:val="18"/>
                      <w:szCs w:val="18"/>
                    </w:rPr>
                  </w:pPr>
                  <w:r w:rsidRPr="00A431F0">
                    <w:rPr>
                      <w:b/>
                      <w:bCs/>
                      <w:sz w:val="18"/>
                      <w:szCs w:val="18"/>
                    </w:rPr>
                    <w:t>Year ended 31 March 2014</w:t>
                  </w:r>
                  <w:r w:rsidRPr="00A431F0">
                    <w:rPr>
                      <w:b/>
                      <w:bCs/>
                      <w:sz w:val="18"/>
                      <w:szCs w:val="18"/>
                    </w:rPr>
                    <w:br/>
                    <w:t>Diluted</w:t>
                  </w:r>
                  <w:r w:rsidRPr="00A431F0">
                    <w:rPr>
                      <w:b/>
                      <w:bCs/>
                      <w:sz w:val="18"/>
                      <w:szCs w:val="18"/>
                      <w:vertAlign w:val="superscript"/>
                    </w:rPr>
                    <w:t>4</w:t>
                  </w:r>
                </w:p>
              </w:tc>
              <w:tc>
                <w:tcPr>
                  <w:tcW w:w="643" w:type="pct"/>
                  <w:vAlign w:val="bottom"/>
                </w:tcPr>
                <w:p w:rsidR="00A431F0" w:rsidRPr="00A431F0" w:rsidRDefault="00A431F0" w:rsidP="00A431F0">
                  <w:pPr>
                    <w:pBdr>
                      <w:bottom w:val="single" w:sz="4" w:space="1" w:color="auto"/>
                    </w:pBdr>
                    <w:spacing w:before="0" w:after="0"/>
                    <w:jc w:val="center"/>
                    <w:rPr>
                      <w:sz w:val="18"/>
                      <w:szCs w:val="18"/>
                    </w:rPr>
                  </w:pPr>
                  <w:r w:rsidRPr="00A431F0">
                    <w:rPr>
                      <w:b/>
                      <w:bCs/>
                      <w:sz w:val="18"/>
                      <w:szCs w:val="18"/>
                    </w:rPr>
                    <w:t>Year ended 31 March</w:t>
                  </w:r>
                  <w:r w:rsidRPr="00A431F0">
                    <w:rPr>
                      <w:b/>
                      <w:bCs/>
                      <w:sz w:val="18"/>
                      <w:szCs w:val="18"/>
                    </w:rPr>
                    <w:br/>
                    <w:t>2013</w:t>
                  </w:r>
                  <w:r w:rsidRPr="00A431F0">
                    <w:rPr>
                      <w:b/>
                      <w:bCs/>
                      <w:sz w:val="18"/>
                      <w:szCs w:val="18"/>
                    </w:rPr>
                    <w:br/>
                    <w:t>Basic</w:t>
                  </w:r>
                </w:p>
              </w:tc>
              <w:tc>
                <w:tcPr>
                  <w:tcW w:w="643" w:type="pct"/>
                </w:tcPr>
                <w:p w:rsidR="00A431F0" w:rsidRPr="00A431F0" w:rsidRDefault="00A431F0" w:rsidP="00A431F0">
                  <w:pPr>
                    <w:pBdr>
                      <w:bottom w:val="single" w:sz="4" w:space="1" w:color="auto"/>
                    </w:pBdr>
                    <w:spacing w:before="0" w:after="0"/>
                    <w:jc w:val="center"/>
                    <w:rPr>
                      <w:b/>
                      <w:bCs/>
                      <w:sz w:val="18"/>
                      <w:szCs w:val="18"/>
                    </w:rPr>
                  </w:pPr>
                  <w:r w:rsidRPr="00A431F0">
                    <w:rPr>
                      <w:b/>
                      <w:bCs/>
                      <w:sz w:val="18"/>
                      <w:szCs w:val="18"/>
                    </w:rPr>
                    <w:t>Year ended 31 March 2013</w:t>
                  </w:r>
                  <w:r w:rsidRPr="00A431F0">
                    <w:rPr>
                      <w:b/>
                      <w:bCs/>
                      <w:sz w:val="18"/>
                      <w:szCs w:val="18"/>
                    </w:rPr>
                    <w:br/>
                    <w:t>Diluted</w:t>
                  </w:r>
                  <w:r w:rsidRPr="00A431F0">
                    <w:rPr>
                      <w:b/>
                      <w:bCs/>
                      <w:sz w:val="18"/>
                      <w:szCs w:val="18"/>
                      <w:vertAlign w:val="superscript"/>
                    </w:rPr>
                    <w:t>3</w:t>
                  </w:r>
                </w:p>
              </w:tc>
            </w:tr>
            <w:tr w:rsidR="00A431F0" w:rsidRPr="00A431F0" w:rsidTr="00304A20">
              <w:tc>
                <w:tcPr>
                  <w:tcW w:w="2431"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 xml:space="preserve">Earnings per </w:t>
                  </w:r>
                  <w:r w:rsidR="00304A20" w:rsidRPr="00A431F0">
                    <w:rPr>
                      <w:sz w:val="18"/>
                      <w:szCs w:val="18"/>
                    </w:rPr>
                    <w:t>Share</w:t>
                  </w:r>
                  <w:r w:rsidRPr="00A431F0">
                    <w:rPr>
                      <w:sz w:val="18"/>
                      <w:szCs w:val="18"/>
                    </w:rPr>
                    <w:tab/>
                  </w:r>
                </w:p>
              </w:tc>
              <w:tc>
                <w:tcPr>
                  <w:tcW w:w="642"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3.78</w:t>
                  </w:r>
                </w:p>
              </w:tc>
              <w:tc>
                <w:tcPr>
                  <w:tcW w:w="643"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3.28</w:t>
                  </w:r>
                </w:p>
              </w:tc>
              <w:tc>
                <w:tcPr>
                  <w:tcW w:w="643"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0.68</w:t>
                  </w:r>
                </w:p>
              </w:tc>
              <w:tc>
                <w:tcPr>
                  <w:tcW w:w="643"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0.59</w:t>
                  </w:r>
                </w:p>
              </w:tc>
            </w:tr>
            <w:tr w:rsidR="00A431F0" w:rsidRPr="00A431F0" w:rsidTr="00304A20">
              <w:trPr>
                <w:trHeight w:val="267"/>
              </w:trPr>
              <w:tc>
                <w:tcPr>
                  <w:tcW w:w="2431" w:type="pct"/>
                </w:tcPr>
                <w:p w:rsidR="00A431F0" w:rsidRPr="00A431F0" w:rsidRDefault="00C14169" w:rsidP="00A431F0">
                  <w:pPr>
                    <w:keepNext/>
                    <w:tabs>
                      <w:tab w:val="right" w:leader="dot" w:pos="5160"/>
                    </w:tabs>
                    <w:spacing w:before="0" w:after="0"/>
                    <w:ind w:left="240" w:hanging="240"/>
                    <w:rPr>
                      <w:sz w:val="18"/>
                      <w:szCs w:val="18"/>
                    </w:rPr>
                  </w:pPr>
                  <w:r>
                    <w:rPr>
                      <w:sz w:val="18"/>
                      <w:szCs w:val="18"/>
                    </w:rPr>
                    <w:t xml:space="preserve">   </w:t>
                  </w:r>
                  <w:r w:rsidR="00A431F0" w:rsidRPr="00A431F0">
                    <w:rPr>
                      <w:sz w:val="18"/>
                      <w:szCs w:val="18"/>
                    </w:rPr>
                    <w:t xml:space="preserve">- Earnings per </w:t>
                  </w:r>
                  <w:r w:rsidR="00304A20" w:rsidRPr="00A431F0">
                    <w:rPr>
                      <w:sz w:val="18"/>
                      <w:szCs w:val="18"/>
                    </w:rPr>
                    <w:t xml:space="preserve">Share </w:t>
                  </w:r>
                  <w:r w:rsidR="00A431F0" w:rsidRPr="00A431F0">
                    <w:rPr>
                      <w:sz w:val="18"/>
                      <w:szCs w:val="18"/>
                    </w:rPr>
                    <w:t>from continuing operations</w:t>
                  </w:r>
                  <w:r w:rsidR="00A431F0" w:rsidRPr="00A431F0">
                    <w:rPr>
                      <w:sz w:val="18"/>
                      <w:szCs w:val="18"/>
                    </w:rPr>
                    <w:tab/>
                  </w:r>
                </w:p>
                <w:p w:rsidR="00A431F0" w:rsidRPr="00A431F0" w:rsidRDefault="00A431F0" w:rsidP="00A431F0">
                  <w:pPr>
                    <w:spacing w:before="0" w:after="0" w:line="40" w:lineRule="exact"/>
                    <w:rPr>
                      <w:noProof/>
                      <w:sz w:val="18"/>
                      <w:szCs w:val="18"/>
                      <w:lang w:val="en-US"/>
                    </w:rPr>
                  </w:pPr>
                  <w:r w:rsidRPr="00A431F0">
                    <w:rPr>
                      <w:sz w:val="18"/>
                      <w:szCs w:val="18"/>
                    </w:rPr>
                    <w:t> </w:t>
                  </w:r>
                </w:p>
              </w:tc>
              <w:tc>
                <w:tcPr>
                  <w:tcW w:w="642"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(0.18)</w:t>
                  </w:r>
                </w:p>
              </w:tc>
              <w:tc>
                <w:tcPr>
                  <w:tcW w:w="643"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(0.18)</w:t>
                  </w:r>
                </w:p>
              </w:tc>
              <w:tc>
                <w:tcPr>
                  <w:tcW w:w="643"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0.01</w:t>
                  </w:r>
                </w:p>
              </w:tc>
              <w:tc>
                <w:tcPr>
                  <w:tcW w:w="643"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0.01</w:t>
                  </w:r>
                </w:p>
              </w:tc>
            </w:tr>
            <w:tr w:rsidR="00A431F0" w:rsidRPr="00A431F0" w:rsidTr="00304A20">
              <w:tc>
                <w:tcPr>
                  <w:tcW w:w="2431" w:type="pct"/>
                </w:tcPr>
                <w:p w:rsidR="00A431F0" w:rsidRPr="00A431F0" w:rsidRDefault="00C14169" w:rsidP="00A431F0">
                  <w:pPr>
                    <w:keepNext/>
                    <w:tabs>
                      <w:tab w:val="right" w:leader="dot" w:pos="5160"/>
                    </w:tabs>
                    <w:spacing w:before="0" w:after="0"/>
                    <w:ind w:left="240" w:hanging="240"/>
                    <w:rPr>
                      <w:sz w:val="18"/>
                      <w:szCs w:val="18"/>
                    </w:rPr>
                  </w:pPr>
                  <w:r>
                    <w:rPr>
                      <w:sz w:val="18"/>
                      <w:szCs w:val="18"/>
                    </w:rPr>
                    <w:t xml:space="preserve">   </w:t>
                  </w:r>
                  <w:r w:rsidR="00A431F0" w:rsidRPr="00A431F0">
                    <w:rPr>
                      <w:sz w:val="18"/>
                      <w:szCs w:val="18"/>
                    </w:rPr>
                    <w:t xml:space="preserve">- Earnings per </w:t>
                  </w:r>
                  <w:r w:rsidR="00304A20" w:rsidRPr="00A431F0">
                    <w:rPr>
                      <w:sz w:val="18"/>
                      <w:szCs w:val="18"/>
                    </w:rPr>
                    <w:t xml:space="preserve">Share </w:t>
                  </w:r>
                  <w:r w:rsidR="00A431F0" w:rsidRPr="00A431F0">
                    <w:rPr>
                      <w:sz w:val="18"/>
                      <w:szCs w:val="18"/>
                    </w:rPr>
                    <w:t>from discontinued operations</w:t>
                  </w:r>
                  <w:r w:rsidR="00A431F0" w:rsidRPr="00A431F0">
                    <w:rPr>
                      <w:bCs/>
                      <w:sz w:val="18"/>
                      <w:szCs w:val="18"/>
                    </w:rPr>
                    <w:tab/>
                  </w:r>
                </w:p>
              </w:tc>
              <w:tc>
                <w:tcPr>
                  <w:tcW w:w="642"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3.98</w:t>
                  </w:r>
                </w:p>
              </w:tc>
              <w:tc>
                <w:tcPr>
                  <w:tcW w:w="643"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3.46</w:t>
                  </w:r>
                </w:p>
              </w:tc>
              <w:tc>
                <w:tcPr>
                  <w:tcW w:w="643"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0.67</w:t>
                  </w:r>
                </w:p>
              </w:tc>
              <w:tc>
                <w:tcPr>
                  <w:tcW w:w="643"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0.58</w:t>
                  </w:r>
                </w:p>
              </w:tc>
            </w:tr>
          </w:tbl>
          <w:p w:rsidR="00A431F0" w:rsidRPr="00A431F0" w:rsidRDefault="00A431F0" w:rsidP="00A431F0">
            <w:pPr>
              <w:rPr>
                <w:snapToGrid w:val="0"/>
                <w:kern w:val="32"/>
                <w:szCs w:val="20"/>
              </w:rPr>
            </w:pPr>
            <w:r w:rsidRPr="00A431F0">
              <w:rPr>
                <w:snapToGrid w:val="0"/>
                <w:kern w:val="32"/>
                <w:szCs w:val="20"/>
              </w:rPr>
              <w:t>The</w:t>
            </w:r>
            <w:r w:rsidRPr="00A431F0">
              <w:rPr>
                <w:b/>
                <w:snapToGrid w:val="0"/>
                <w:kern w:val="32"/>
                <w:szCs w:val="20"/>
              </w:rPr>
              <w:t xml:space="preserve"> </w:t>
            </w:r>
            <w:r w:rsidRPr="00A431F0">
              <w:rPr>
                <w:snapToGrid w:val="0"/>
                <w:kern w:val="32"/>
                <w:szCs w:val="20"/>
              </w:rPr>
              <w:t xml:space="preserve">earnings per </w:t>
            </w:r>
            <w:r w:rsidR="00304A20" w:rsidRPr="00A431F0">
              <w:rPr>
                <w:snapToGrid w:val="0"/>
                <w:kern w:val="32"/>
                <w:szCs w:val="20"/>
              </w:rPr>
              <w:t xml:space="preserve">Share </w:t>
            </w:r>
            <w:r w:rsidRPr="00A431F0">
              <w:rPr>
                <w:snapToGrid w:val="0"/>
                <w:kern w:val="32"/>
                <w:szCs w:val="20"/>
              </w:rPr>
              <w:t xml:space="preserve">from discontinued operations included entirely the earnings per </w:t>
            </w:r>
            <w:r w:rsidR="00304A20" w:rsidRPr="00A431F0">
              <w:rPr>
                <w:snapToGrid w:val="0"/>
                <w:kern w:val="32"/>
                <w:szCs w:val="20"/>
              </w:rPr>
              <w:t xml:space="preserve">Share </w:t>
            </w:r>
            <w:r w:rsidRPr="00A431F0">
              <w:rPr>
                <w:snapToGrid w:val="0"/>
                <w:kern w:val="32"/>
                <w:szCs w:val="20"/>
              </w:rPr>
              <w:t>realised on the sale of the potato division.</w:t>
            </w:r>
          </w:p>
          <w:p w:rsidR="00A431F0" w:rsidRPr="00EA40E9" w:rsidRDefault="00A431F0" w:rsidP="00A431F0">
            <w:pPr>
              <w:keepNext/>
              <w:numPr>
                <w:ilvl w:val="2"/>
                <w:numId w:val="0"/>
              </w:numPr>
              <w:tabs>
                <w:tab w:val="num" w:pos="720"/>
              </w:tabs>
              <w:ind w:left="720" w:hanging="720"/>
              <w:outlineLvl w:val="2"/>
              <w:rPr>
                <w:rFonts w:eastAsia="SimSun"/>
                <w:i/>
                <w:szCs w:val="20"/>
              </w:rPr>
            </w:pPr>
            <w:r w:rsidRPr="00EA40E9">
              <w:rPr>
                <w:rFonts w:eastAsia="SimSun"/>
                <w:i/>
                <w:szCs w:val="20"/>
              </w:rPr>
              <w:t>Statement of financial position as per 31 March 2015, 31 March 2014 and 31 March 2013</w:t>
            </w:r>
          </w:p>
          <w:tbl>
            <w:tblPr>
              <w:tblW w:w="8113" w:type="dxa"/>
              <w:tblLayout w:type="fixed"/>
              <w:tblLook w:val="0000" w:firstRow="0" w:lastRow="0" w:firstColumn="0" w:lastColumn="0" w:noHBand="0" w:noVBand="0"/>
            </w:tblPr>
            <w:tblGrid>
              <w:gridCol w:w="4572"/>
              <w:gridCol w:w="1180"/>
              <w:gridCol w:w="1180"/>
              <w:gridCol w:w="1181"/>
            </w:tblGrid>
            <w:tr w:rsidR="00A431F0" w:rsidRPr="00A431F0" w:rsidTr="00304A20">
              <w:tc>
                <w:tcPr>
                  <w:tcW w:w="2818" w:type="pct"/>
                  <w:vAlign w:val="center"/>
                </w:tcPr>
                <w:p w:rsidR="00A431F0" w:rsidRPr="00A431F0" w:rsidRDefault="00A431F0" w:rsidP="00A431F0">
                  <w:pPr>
                    <w:keepNext/>
                    <w:spacing w:before="0" w:after="0"/>
                    <w:ind w:left="240" w:hanging="240"/>
                    <w:jc w:val="left"/>
                    <w:rPr>
                      <w:bCs/>
                      <w:i/>
                      <w:sz w:val="18"/>
                      <w:szCs w:val="18"/>
                    </w:rPr>
                  </w:pPr>
                  <w:r w:rsidRPr="00A431F0">
                    <w:rPr>
                      <w:bCs/>
                      <w:i/>
                      <w:sz w:val="18"/>
                      <w:szCs w:val="18"/>
                    </w:rPr>
                    <w:t>(EUR in millions)</w:t>
                  </w:r>
                </w:p>
              </w:tc>
              <w:tc>
                <w:tcPr>
                  <w:tcW w:w="727" w:type="pct"/>
                  <w:vAlign w:val="bottom"/>
                </w:tcPr>
                <w:p w:rsidR="00A431F0" w:rsidRPr="00A431F0" w:rsidRDefault="00A431F0" w:rsidP="00A431F0">
                  <w:pPr>
                    <w:pBdr>
                      <w:bottom w:val="single" w:sz="4" w:space="1" w:color="auto"/>
                    </w:pBdr>
                    <w:spacing w:before="0" w:after="0"/>
                    <w:ind w:left="141"/>
                    <w:jc w:val="center"/>
                    <w:rPr>
                      <w:sz w:val="18"/>
                      <w:szCs w:val="18"/>
                    </w:rPr>
                  </w:pPr>
                  <w:r w:rsidRPr="00A431F0">
                    <w:rPr>
                      <w:b/>
                      <w:bCs/>
                      <w:sz w:val="18"/>
                      <w:szCs w:val="18"/>
                    </w:rPr>
                    <w:t xml:space="preserve">31 March </w:t>
                  </w:r>
                  <w:r w:rsidRPr="00A431F0">
                    <w:rPr>
                      <w:b/>
                      <w:bCs/>
                      <w:sz w:val="18"/>
                      <w:szCs w:val="18"/>
                    </w:rPr>
                    <w:br/>
                    <w:t>2015</w:t>
                  </w:r>
                </w:p>
              </w:tc>
              <w:tc>
                <w:tcPr>
                  <w:tcW w:w="727" w:type="pct"/>
                </w:tcPr>
                <w:p w:rsidR="00A431F0" w:rsidRPr="00A431F0" w:rsidRDefault="00A431F0" w:rsidP="00A431F0">
                  <w:pPr>
                    <w:pBdr>
                      <w:bottom w:val="single" w:sz="4" w:space="1" w:color="auto"/>
                    </w:pBdr>
                    <w:spacing w:before="0" w:after="0"/>
                    <w:jc w:val="center"/>
                    <w:rPr>
                      <w:b/>
                      <w:bCs/>
                      <w:sz w:val="18"/>
                      <w:szCs w:val="18"/>
                    </w:rPr>
                  </w:pPr>
                </w:p>
                <w:p w:rsidR="00A431F0" w:rsidRPr="00A431F0" w:rsidRDefault="00A431F0" w:rsidP="00A431F0">
                  <w:pPr>
                    <w:pBdr>
                      <w:bottom w:val="single" w:sz="4" w:space="1" w:color="auto"/>
                    </w:pBdr>
                    <w:spacing w:before="0" w:after="0"/>
                    <w:jc w:val="center"/>
                    <w:rPr>
                      <w:b/>
                      <w:bCs/>
                      <w:sz w:val="18"/>
                      <w:szCs w:val="18"/>
                    </w:rPr>
                  </w:pPr>
                  <w:r w:rsidRPr="00A431F0">
                    <w:rPr>
                      <w:b/>
                      <w:bCs/>
                      <w:sz w:val="18"/>
                      <w:szCs w:val="18"/>
                    </w:rPr>
                    <w:t>31 March 2014</w:t>
                  </w:r>
                </w:p>
              </w:tc>
              <w:tc>
                <w:tcPr>
                  <w:tcW w:w="728" w:type="pct"/>
                  <w:vAlign w:val="bottom"/>
                </w:tcPr>
                <w:p w:rsidR="00A431F0" w:rsidRPr="00A431F0" w:rsidRDefault="00A431F0" w:rsidP="00A431F0">
                  <w:pPr>
                    <w:pBdr>
                      <w:bottom w:val="single" w:sz="4" w:space="1" w:color="auto"/>
                    </w:pBdr>
                    <w:spacing w:before="0" w:after="0"/>
                    <w:jc w:val="center"/>
                    <w:rPr>
                      <w:sz w:val="18"/>
                      <w:szCs w:val="18"/>
                    </w:rPr>
                  </w:pPr>
                  <w:r w:rsidRPr="00A431F0">
                    <w:rPr>
                      <w:b/>
                      <w:bCs/>
                      <w:sz w:val="18"/>
                      <w:szCs w:val="18"/>
                    </w:rPr>
                    <w:t>31 March 2013</w:t>
                  </w:r>
                </w:p>
              </w:tc>
            </w:tr>
            <w:tr w:rsidR="00A431F0" w:rsidRPr="00A431F0" w:rsidTr="00304A20">
              <w:trPr>
                <w:trHeight w:val="332"/>
              </w:trPr>
              <w:tc>
                <w:tcPr>
                  <w:tcW w:w="2818" w:type="pct"/>
                </w:tcPr>
                <w:p w:rsidR="00A431F0" w:rsidRPr="00A431F0" w:rsidRDefault="00A431F0" w:rsidP="00A431F0">
                  <w:pPr>
                    <w:keepNext/>
                    <w:spacing w:before="0" w:after="0"/>
                    <w:rPr>
                      <w:b/>
                      <w:bCs/>
                      <w:sz w:val="18"/>
                      <w:szCs w:val="18"/>
                    </w:rPr>
                  </w:pPr>
                  <w:r w:rsidRPr="00A431F0">
                    <w:rPr>
                      <w:b/>
                      <w:bCs/>
                      <w:sz w:val="18"/>
                      <w:szCs w:val="18"/>
                    </w:rPr>
                    <w:t>ASSETS</w:t>
                  </w:r>
                </w:p>
              </w:tc>
              <w:tc>
                <w:tcPr>
                  <w:tcW w:w="727" w:type="pct"/>
                </w:tcPr>
                <w:p w:rsidR="00A431F0" w:rsidRPr="00A431F0" w:rsidRDefault="00A431F0" w:rsidP="00A431F0">
                  <w:pPr>
                    <w:spacing w:before="0" w:after="0" w:line="40" w:lineRule="exact"/>
                    <w:jc w:val="right"/>
                    <w:rPr>
                      <w:sz w:val="18"/>
                      <w:szCs w:val="18"/>
                    </w:rPr>
                  </w:pPr>
                  <w:r w:rsidRPr="00A431F0">
                    <w:rPr>
                      <w:sz w:val="18"/>
                      <w:szCs w:val="18"/>
                    </w:rPr>
                    <w:t> </w:t>
                  </w:r>
                </w:p>
              </w:tc>
              <w:tc>
                <w:tcPr>
                  <w:tcW w:w="727" w:type="pct"/>
                </w:tcPr>
                <w:p w:rsidR="00A431F0" w:rsidRPr="00A431F0" w:rsidRDefault="00A431F0" w:rsidP="00A431F0">
                  <w:pPr>
                    <w:spacing w:before="0" w:after="0" w:line="40" w:lineRule="exact"/>
                    <w:jc w:val="right"/>
                    <w:rPr>
                      <w:sz w:val="18"/>
                      <w:szCs w:val="18"/>
                    </w:rPr>
                  </w:pPr>
                </w:p>
              </w:tc>
              <w:tc>
                <w:tcPr>
                  <w:tcW w:w="728" w:type="pct"/>
                </w:tcPr>
                <w:p w:rsidR="00A431F0" w:rsidRPr="00A431F0" w:rsidRDefault="00A431F0" w:rsidP="00A431F0">
                  <w:pPr>
                    <w:spacing w:before="0" w:after="0" w:line="40" w:lineRule="exact"/>
                    <w:jc w:val="right"/>
                    <w:rPr>
                      <w:sz w:val="18"/>
                      <w:szCs w:val="18"/>
                    </w:rPr>
                  </w:pPr>
                  <w:r w:rsidRPr="00A431F0">
                    <w:rPr>
                      <w:sz w:val="18"/>
                      <w:szCs w:val="18"/>
                    </w:rPr>
                    <w:t> </w:t>
                  </w:r>
                </w:p>
              </w:tc>
            </w:tr>
            <w:tr w:rsidR="00A431F0" w:rsidRPr="00A431F0" w:rsidTr="00304A20">
              <w:tc>
                <w:tcPr>
                  <w:tcW w:w="2818"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Intangible fixed assets</w:t>
                  </w:r>
                  <w:r w:rsidRPr="00A431F0">
                    <w:rPr>
                      <w:sz w:val="18"/>
                      <w:szCs w:val="18"/>
                    </w:rPr>
                    <w:tab/>
                  </w:r>
                </w:p>
              </w:tc>
              <w:tc>
                <w:tcPr>
                  <w:tcW w:w="727" w:type="pct"/>
                  <w:noWrap/>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21.4</w:t>
                  </w:r>
                </w:p>
              </w:tc>
              <w:tc>
                <w:tcPr>
                  <w:tcW w:w="727" w:type="pct"/>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23.2</w:t>
                  </w:r>
                </w:p>
              </w:tc>
              <w:tc>
                <w:tcPr>
                  <w:tcW w:w="728"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24.3</w:t>
                  </w:r>
                </w:p>
              </w:tc>
            </w:tr>
            <w:tr w:rsidR="00A431F0" w:rsidRPr="00A431F0" w:rsidTr="00304A20">
              <w:trPr>
                <w:trHeight w:val="267"/>
              </w:trPr>
              <w:tc>
                <w:tcPr>
                  <w:tcW w:w="2818" w:type="pct"/>
                </w:tcPr>
                <w:p w:rsidR="00A431F0" w:rsidRPr="00A431F0" w:rsidRDefault="00A431F0" w:rsidP="00A431F0">
                  <w:pPr>
                    <w:keepNext/>
                    <w:tabs>
                      <w:tab w:val="right" w:leader="dot" w:pos="5160"/>
                    </w:tabs>
                    <w:spacing w:before="0" w:after="0"/>
                    <w:ind w:left="240" w:hanging="240"/>
                  </w:pPr>
                  <w:r w:rsidRPr="00A431F0">
                    <w:rPr>
                      <w:sz w:val="18"/>
                      <w:szCs w:val="18"/>
                    </w:rPr>
                    <w:t>Goodwill</w:t>
                  </w:r>
                  <w:r w:rsidRPr="00A431F0">
                    <w:rPr>
                      <w:sz w:val="18"/>
                      <w:szCs w:val="18"/>
                    </w:rPr>
                    <w:tab/>
                  </w:r>
                </w:p>
              </w:tc>
              <w:tc>
                <w:tcPr>
                  <w:tcW w:w="72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10.3</w:t>
                  </w:r>
                </w:p>
              </w:tc>
              <w:tc>
                <w:tcPr>
                  <w:tcW w:w="727"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10.3</w:t>
                  </w:r>
                </w:p>
              </w:tc>
              <w:tc>
                <w:tcPr>
                  <w:tcW w:w="728"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10.2</w:t>
                  </w:r>
                </w:p>
              </w:tc>
            </w:tr>
            <w:tr w:rsidR="00A431F0" w:rsidRPr="00A431F0" w:rsidTr="00304A20">
              <w:tc>
                <w:tcPr>
                  <w:tcW w:w="2818"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Biological assets</w:t>
                  </w:r>
                  <w:r w:rsidRPr="00A431F0">
                    <w:rPr>
                      <w:bCs/>
                      <w:sz w:val="18"/>
                      <w:szCs w:val="18"/>
                    </w:rPr>
                    <w:tab/>
                  </w:r>
                </w:p>
              </w:tc>
              <w:tc>
                <w:tcPr>
                  <w:tcW w:w="72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w:t>
                  </w:r>
                </w:p>
              </w:tc>
              <w:tc>
                <w:tcPr>
                  <w:tcW w:w="727" w:type="pct"/>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w:t>
                  </w:r>
                </w:p>
              </w:tc>
              <w:tc>
                <w:tcPr>
                  <w:tcW w:w="728"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w:t>
                  </w:r>
                </w:p>
              </w:tc>
            </w:tr>
            <w:tr w:rsidR="00A431F0" w:rsidRPr="00A431F0" w:rsidTr="00304A20">
              <w:tc>
                <w:tcPr>
                  <w:tcW w:w="2818"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Tangible fixed assets</w:t>
                  </w:r>
                  <w:r w:rsidRPr="00A431F0">
                    <w:rPr>
                      <w:sz w:val="18"/>
                      <w:szCs w:val="18"/>
                    </w:rPr>
                    <w:tab/>
                  </w:r>
                </w:p>
              </w:tc>
              <w:tc>
                <w:tcPr>
                  <w:tcW w:w="72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255.7</w:t>
                  </w:r>
                </w:p>
              </w:tc>
              <w:tc>
                <w:tcPr>
                  <w:tcW w:w="727"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238.5</w:t>
                  </w:r>
                </w:p>
              </w:tc>
              <w:tc>
                <w:tcPr>
                  <w:tcW w:w="728"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131.4</w:t>
                  </w:r>
                </w:p>
              </w:tc>
            </w:tr>
            <w:tr w:rsidR="00A431F0" w:rsidRPr="00A431F0" w:rsidTr="00304A20">
              <w:tc>
                <w:tcPr>
                  <w:tcW w:w="2818"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Investments in associates</w:t>
                  </w:r>
                  <w:r w:rsidRPr="00A431F0">
                    <w:rPr>
                      <w:sz w:val="18"/>
                      <w:szCs w:val="18"/>
                    </w:rPr>
                    <w:tab/>
                  </w:r>
                </w:p>
              </w:tc>
              <w:tc>
                <w:tcPr>
                  <w:tcW w:w="72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w:t>
                  </w:r>
                </w:p>
              </w:tc>
              <w:tc>
                <w:tcPr>
                  <w:tcW w:w="727"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w:t>
                  </w:r>
                </w:p>
              </w:tc>
              <w:tc>
                <w:tcPr>
                  <w:tcW w:w="728"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w:t>
                  </w:r>
                </w:p>
              </w:tc>
            </w:tr>
            <w:tr w:rsidR="00A431F0" w:rsidRPr="00A431F0" w:rsidTr="00304A20">
              <w:tc>
                <w:tcPr>
                  <w:tcW w:w="2818"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Financial fixed assets</w:t>
                  </w:r>
                  <w:r w:rsidRPr="00A431F0">
                    <w:rPr>
                      <w:sz w:val="18"/>
                      <w:szCs w:val="18"/>
                    </w:rPr>
                    <w:tab/>
                  </w:r>
                </w:p>
              </w:tc>
              <w:tc>
                <w:tcPr>
                  <w:tcW w:w="72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w:t>
                  </w:r>
                </w:p>
              </w:tc>
              <w:tc>
                <w:tcPr>
                  <w:tcW w:w="727"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w:t>
                  </w:r>
                </w:p>
              </w:tc>
              <w:tc>
                <w:tcPr>
                  <w:tcW w:w="728"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3.4</w:t>
                  </w:r>
                </w:p>
              </w:tc>
            </w:tr>
            <w:tr w:rsidR="00A431F0" w:rsidRPr="00A431F0" w:rsidTr="00304A20">
              <w:tc>
                <w:tcPr>
                  <w:tcW w:w="2818"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lastRenderedPageBreak/>
                    <w:t>Deferred tax assets</w:t>
                  </w:r>
                  <w:r w:rsidRPr="00A431F0">
                    <w:rPr>
                      <w:sz w:val="18"/>
                      <w:szCs w:val="18"/>
                    </w:rPr>
                    <w:tab/>
                  </w:r>
                </w:p>
              </w:tc>
              <w:tc>
                <w:tcPr>
                  <w:tcW w:w="72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6.7</w:t>
                  </w:r>
                </w:p>
              </w:tc>
              <w:tc>
                <w:tcPr>
                  <w:tcW w:w="727" w:type="pct"/>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8.9</w:t>
                  </w:r>
                </w:p>
              </w:tc>
              <w:tc>
                <w:tcPr>
                  <w:tcW w:w="728"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10.7</w:t>
                  </w:r>
                </w:p>
              </w:tc>
            </w:tr>
            <w:tr w:rsidR="00A431F0" w:rsidRPr="00A431F0" w:rsidTr="00304A20">
              <w:tc>
                <w:tcPr>
                  <w:tcW w:w="2818"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Long-term receivables (&gt;1 year)</w:t>
                  </w:r>
                  <w:r w:rsidRPr="00A431F0">
                    <w:rPr>
                      <w:sz w:val="18"/>
                      <w:szCs w:val="18"/>
                    </w:rPr>
                    <w:tab/>
                  </w:r>
                </w:p>
              </w:tc>
              <w:tc>
                <w:tcPr>
                  <w:tcW w:w="727"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w:t>
                  </w:r>
                </w:p>
              </w:tc>
              <w:tc>
                <w:tcPr>
                  <w:tcW w:w="727" w:type="pct"/>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w:t>
                  </w:r>
                </w:p>
              </w:tc>
              <w:tc>
                <w:tcPr>
                  <w:tcW w:w="728"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0.7</w:t>
                  </w:r>
                </w:p>
              </w:tc>
            </w:tr>
            <w:tr w:rsidR="00A431F0" w:rsidRPr="00A431F0" w:rsidTr="00304A20">
              <w:tc>
                <w:tcPr>
                  <w:tcW w:w="2818"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Non-current assets</w:t>
                  </w:r>
                  <w:r w:rsidRPr="00A431F0">
                    <w:rPr>
                      <w:sz w:val="18"/>
                      <w:szCs w:val="18"/>
                    </w:rPr>
                    <w:tab/>
                  </w:r>
                </w:p>
              </w:tc>
              <w:tc>
                <w:tcPr>
                  <w:tcW w:w="727"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294.2</w:t>
                  </w:r>
                </w:p>
              </w:tc>
              <w:tc>
                <w:tcPr>
                  <w:tcW w:w="727" w:type="pct"/>
                </w:tcPr>
                <w:p w:rsidR="00A431F0" w:rsidRPr="00A431F0" w:rsidRDefault="00A431F0" w:rsidP="00A431F0">
                  <w:pPr>
                    <w:tabs>
                      <w:tab w:val="right" w:pos="720"/>
                      <w:tab w:val="decimal" w:pos="760"/>
                    </w:tabs>
                    <w:spacing w:before="0" w:after="0"/>
                    <w:jc w:val="right"/>
                    <w:rPr>
                      <w:b/>
                      <w:bCs/>
                      <w:sz w:val="18"/>
                      <w:szCs w:val="18"/>
                    </w:rPr>
                  </w:pPr>
                  <w:r w:rsidRPr="00A431F0">
                    <w:rPr>
                      <w:b/>
                      <w:bCs/>
                      <w:sz w:val="18"/>
                      <w:szCs w:val="18"/>
                    </w:rPr>
                    <w:t>280.9</w:t>
                  </w:r>
                </w:p>
              </w:tc>
              <w:tc>
                <w:tcPr>
                  <w:tcW w:w="728"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180.8</w:t>
                  </w:r>
                </w:p>
              </w:tc>
            </w:tr>
            <w:tr w:rsidR="00A431F0" w:rsidRPr="00A431F0" w:rsidTr="00304A20">
              <w:trPr>
                <w:trHeight w:val="267"/>
              </w:trPr>
              <w:tc>
                <w:tcPr>
                  <w:tcW w:w="2818"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Biological assets</w:t>
                  </w:r>
                  <w:r w:rsidRPr="00A431F0">
                    <w:rPr>
                      <w:sz w:val="18"/>
                      <w:szCs w:val="18"/>
                    </w:rPr>
                    <w:tab/>
                  </w:r>
                </w:p>
              </w:tc>
              <w:tc>
                <w:tcPr>
                  <w:tcW w:w="72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w:t>
                  </w:r>
                </w:p>
              </w:tc>
              <w:tc>
                <w:tcPr>
                  <w:tcW w:w="727"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w:t>
                  </w:r>
                </w:p>
              </w:tc>
              <w:tc>
                <w:tcPr>
                  <w:tcW w:w="728"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w:t>
                  </w:r>
                </w:p>
              </w:tc>
            </w:tr>
            <w:tr w:rsidR="00A431F0" w:rsidRPr="00A431F0" w:rsidTr="00304A20">
              <w:trPr>
                <w:trHeight w:val="267"/>
              </w:trPr>
              <w:tc>
                <w:tcPr>
                  <w:tcW w:w="2818"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Inventories</w:t>
                  </w:r>
                  <w:r w:rsidRPr="00A431F0">
                    <w:rPr>
                      <w:sz w:val="18"/>
                      <w:szCs w:val="18"/>
                    </w:rPr>
                    <w:tab/>
                  </w:r>
                </w:p>
              </w:tc>
              <w:tc>
                <w:tcPr>
                  <w:tcW w:w="72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234.0</w:t>
                  </w:r>
                </w:p>
              </w:tc>
              <w:tc>
                <w:tcPr>
                  <w:tcW w:w="727"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224.9</w:t>
                  </w:r>
                </w:p>
              </w:tc>
              <w:tc>
                <w:tcPr>
                  <w:tcW w:w="728"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200.5</w:t>
                  </w:r>
                </w:p>
              </w:tc>
            </w:tr>
            <w:tr w:rsidR="00A431F0" w:rsidRPr="00A431F0" w:rsidTr="00304A20">
              <w:trPr>
                <w:trHeight w:val="267"/>
              </w:trPr>
              <w:tc>
                <w:tcPr>
                  <w:tcW w:w="2818"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Amounts receivable</w:t>
                  </w:r>
                  <w:r w:rsidRPr="00A431F0">
                    <w:rPr>
                      <w:sz w:val="18"/>
                      <w:szCs w:val="18"/>
                    </w:rPr>
                    <w:tab/>
                  </w:r>
                </w:p>
              </w:tc>
              <w:tc>
                <w:tcPr>
                  <w:tcW w:w="72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80.9</w:t>
                  </w:r>
                </w:p>
              </w:tc>
              <w:tc>
                <w:tcPr>
                  <w:tcW w:w="727"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84.0</w:t>
                  </w:r>
                </w:p>
              </w:tc>
              <w:tc>
                <w:tcPr>
                  <w:tcW w:w="728"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85.1</w:t>
                  </w:r>
                </w:p>
              </w:tc>
            </w:tr>
            <w:tr w:rsidR="00A431F0" w:rsidRPr="00A431F0" w:rsidTr="00304A20">
              <w:trPr>
                <w:trHeight w:val="267"/>
              </w:trPr>
              <w:tc>
                <w:tcPr>
                  <w:tcW w:w="2818"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Other financial assets</w:t>
                  </w:r>
                  <w:r w:rsidRPr="00A431F0">
                    <w:rPr>
                      <w:sz w:val="18"/>
                      <w:szCs w:val="18"/>
                    </w:rPr>
                    <w:tab/>
                  </w:r>
                </w:p>
              </w:tc>
              <w:tc>
                <w:tcPr>
                  <w:tcW w:w="72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0.4</w:t>
                  </w:r>
                </w:p>
              </w:tc>
              <w:tc>
                <w:tcPr>
                  <w:tcW w:w="727"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w:t>
                  </w:r>
                </w:p>
              </w:tc>
              <w:tc>
                <w:tcPr>
                  <w:tcW w:w="728"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0.6</w:t>
                  </w:r>
                </w:p>
              </w:tc>
            </w:tr>
            <w:tr w:rsidR="00A431F0" w:rsidRPr="00A431F0" w:rsidTr="00304A20">
              <w:trPr>
                <w:trHeight w:val="267"/>
              </w:trPr>
              <w:tc>
                <w:tcPr>
                  <w:tcW w:w="2818"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Cash and cash equivalents</w:t>
                  </w:r>
                  <w:r w:rsidRPr="00A431F0">
                    <w:rPr>
                      <w:sz w:val="18"/>
                      <w:szCs w:val="18"/>
                    </w:rPr>
                    <w:tab/>
                  </w:r>
                </w:p>
              </w:tc>
              <w:tc>
                <w:tcPr>
                  <w:tcW w:w="72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20.5</w:t>
                  </w:r>
                </w:p>
              </w:tc>
              <w:tc>
                <w:tcPr>
                  <w:tcW w:w="727"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15.0</w:t>
                  </w:r>
                </w:p>
              </w:tc>
              <w:tc>
                <w:tcPr>
                  <w:tcW w:w="728"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21.8</w:t>
                  </w:r>
                </w:p>
              </w:tc>
            </w:tr>
            <w:tr w:rsidR="00A431F0" w:rsidRPr="00A431F0" w:rsidTr="00304A20">
              <w:trPr>
                <w:trHeight w:val="267"/>
              </w:trPr>
              <w:tc>
                <w:tcPr>
                  <w:tcW w:w="2818"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Assets classified as held for sale</w:t>
                  </w:r>
                  <w:r w:rsidRPr="00A431F0">
                    <w:rPr>
                      <w:sz w:val="18"/>
                      <w:szCs w:val="18"/>
                    </w:rPr>
                    <w:tab/>
                  </w:r>
                </w:p>
                <w:p w:rsidR="00A431F0" w:rsidRPr="00A431F0" w:rsidRDefault="00A431F0" w:rsidP="00A431F0">
                  <w:pPr>
                    <w:spacing w:before="0" w:after="0" w:line="40" w:lineRule="exact"/>
                    <w:rPr>
                      <w:noProof/>
                      <w:sz w:val="18"/>
                      <w:szCs w:val="18"/>
                      <w:lang w:val="en-US"/>
                    </w:rPr>
                  </w:pPr>
                  <w:r w:rsidRPr="00A431F0">
                    <w:rPr>
                      <w:sz w:val="18"/>
                      <w:szCs w:val="18"/>
                    </w:rPr>
                    <w:t> </w:t>
                  </w:r>
                </w:p>
              </w:tc>
              <w:tc>
                <w:tcPr>
                  <w:tcW w:w="727"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w:t>
                  </w:r>
                </w:p>
              </w:tc>
              <w:tc>
                <w:tcPr>
                  <w:tcW w:w="727" w:type="pct"/>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w:t>
                  </w:r>
                </w:p>
              </w:tc>
              <w:tc>
                <w:tcPr>
                  <w:tcW w:w="728"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295.2</w:t>
                  </w:r>
                </w:p>
              </w:tc>
            </w:tr>
            <w:tr w:rsidR="00A431F0" w:rsidRPr="00A431F0" w:rsidTr="00304A20">
              <w:tc>
                <w:tcPr>
                  <w:tcW w:w="2818"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Current assets</w:t>
                  </w:r>
                  <w:r w:rsidRPr="00A431F0">
                    <w:rPr>
                      <w:sz w:val="18"/>
                      <w:szCs w:val="18"/>
                    </w:rPr>
                    <w:tab/>
                  </w:r>
                </w:p>
              </w:tc>
              <w:tc>
                <w:tcPr>
                  <w:tcW w:w="727"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335.7</w:t>
                  </w:r>
                </w:p>
              </w:tc>
              <w:tc>
                <w:tcPr>
                  <w:tcW w:w="727" w:type="pct"/>
                </w:tcPr>
                <w:p w:rsidR="00A431F0" w:rsidRPr="00A431F0" w:rsidRDefault="00A431F0" w:rsidP="00A431F0">
                  <w:pPr>
                    <w:tabs>
                      <w:tab w:val="right" w:pos="720"/>
                      <w:tab w:val="decimal" w:pos="760"/>
                    </w:tabs>
                    <w:spacing w:before="0" w:after="0"/>
                    <w:jc w:val="right"/>
                    <w:rPr>
                      <w:b/>
                      <w:bCs/>
                      <w:sz w:val="18"/>
                      <w:szCs w:val="18"/>
                    </w:rPr>
                  </w:pPr>
                  <w:r w:rsidRPr="00A431F0">
                    <w:rPr>
                      <w:b/>
                      <w:bCs/>
                      <w:sz w:val="18"/>
                      <w:szCs w:val="18"/>
                    </w:rPr>
                    <w:t>323.9</w:t>
                  </w:r>
                </w:p>
              </w:tc>
              <w:tc>
                <w:tcPr>
                  <w:tcW w:w="728"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603.2</w:t>
                  </w:r>
                </w:p>
              </w:tc>
            </w:tr>
            <w:tr w:rsidR="00A431F0" w:rsidRPr="00A431F0" w:rsidTr="00304A20">
              <w:tc>
                <w:tcPr>
                  <w:tcW w:w="2818" w:type="pct"/>
                </w:tcPr>
                <w:p w:rsidR="00A431F0" w:rsidRPr="00A431F0" w:rsidRDefault="00A431F0" w:rsidP="00A431F0">
                  <w:pPr>
                    <w:spacing w:before="0" w:after="0" w:line="40" w:lineRule="exact"/>
                    <w:rPr>
                      <w:sz w:val="18"/>
                      <w:szCs w:val="18"/>
                    </w:rPr>
                  </w:pPr>
                </w:p>
              </w:tc>
              <w:tc>
                <w:tcPr>
                  <w:tcW w:w="727" w:type="pct"/>
                </w:tcPr>
                <w:p w:rsidR="00A431F0" w:rsidRPr="00A431F0" w:rsidRDefault="00A431F0" w:rsidP="00A431F0">
                  <w:pPr>
                    <w:pBdr>
                      <w:top w:val="single" w:sz="8" w:space="1" w:color="auto"/>
                    </w:pBdr>
                    <w:spacing w:before="0" w:after="0" w:line="20" w:lineRule="exact"/>
                    <w:jc w:val="right"/>
                    <w:rPr>
                      <w:sz w:val="18"/>
                      <w:szCs w:val="18"/>
                    </w:rPr>
                  </w:pPr>
                </w:p>
              </w:tc>
              <w:tc>
                <w:tcPr>
                  <w:tcW w:w="727" w:type="pct"/>
                </w:tcPr>
                <w:p w:rsidR="00A431F0" w:rsidRPr="00A431F0" w:rsidRDefault="00A431F0" w:rsidP="00A431F0">
                  <w:pPr>
                    <w:pBdr>
                      <w:top w:val="single" w:sz="8" w:space="1" w:color="auto"/>
                    </w:pBdr>
                    <w:spacing w:before="0" w:after="0" w:line="20" w:lineRule="exact"/>
                    <w:jc w:val="right"/>
                    <w:rPr>
                      <w:sz w:val="18"/>
                      <w:szCs w:val="18"/>
                    </w:rPr>
                  </w:pPr>
                </w:p>
              </w:tc>
              <w:tc>
                <w:tcPr>
                  <w:tcW w:w="728" w:type="pct"/>
                </w:tcPr>
                <w:p w:rsidR="00A431F0" w:rsidRPr="00A431F0" w:rsidRDefault="00A431F0" w:rsidP="00A431F0">
                  <w:pPr>
                    <w:pBdr>
                      <w:top w:val="single" w:sz="8" w:space="1" w:color="auto"/>
                    </w:pBdr>
                    <w:spacing w:before="0" w:after="0" w:line="20" w:lineRule="exact"/>
                    <w:jc w:val="right"/>
                    <w:rPr>
                      <w:sz w:val="18"/>
                      <w:szCs w:val="18"/>
                    </w:rPr>
                  </w:pPr>
                </w:p>
              </w:tc>
            </w:tr>
            <w:tr w:rsidR="00A431F0" w:rsidRPr="00A431F0" w:rsidTr="00304A20">
              <w:trPr>
                <w:trHeight w:val="292"/>
              </w:trPr>
              <w:tc>
                <w:tcPr>
                  <w:tcW w:w="2818"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Total assets</w:t>
                  </w:r>
                  <w:r w:rsidRPr="00A431F0">
                    <w:rPr>
                      <w:sz w:val="18"/>
                      <w:szCs w:val="18"/>
                    </w:rPr>
                    <w:tab/>
                  </w:r>
                </w:p>
              </w:tc>
              <w:tc>
                <w:tcPr>
                  <w:tcW w:w="727"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629.9</w:t>
                  </w:r>
                </w:p>
              </w:tc>
              <w:tc>
                <w:tcPr>
                  <w:tcW w:w="727" w:type="pct"/>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604.8</w:t>
                  </w:r>
                </w:p>
              </w:tc>
              <w:tc>
                <w:tcPr>
                  <w:tcW w:w="728"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784.0</w:t>
                  </w:r>
                </w:p>
              </w:tc>
            </w:tr>
          </w:tbl>
          <w:p w:rsidR="00A431F0" w:rsidRPr="00A431F0" w:rsidRDefault="00A431F0" w:rsidP="00A431F0">
            <w:pPr>
              <w:rPr>
                <w:kern w:val="32"/>
                <w:szCs w:val="20"/>
              </w:rPr>
            </w:pPr>
          </w:p>
          <w:tbl>
            <w:tblPr>
              <w:tblW w:w="5103" w:type="pct"/>
              <w:tblLayout w:type="fixed"/>
              <w:tblLook w:val="0000" w:firstRow="0" w:lastRow="0" w:firstColumn="0" w:lastColumn="0" w:noHBand="0" w:noVBand="0"/>
            </w:tblPr>
            <w:tblGrid>
              <w:gridCol w:w="4624"/>
              <w:gridCol w:w="1410"/>
              <w:gridCol w:w="1087"/>
              <w:gridCol w:w="1115"/>
            </w:tblGrid>
            <w:tr w:rsidR="00A431F0" w:rsidRPr="00A431F0" w:rsidTr="00304A20">
              <w:tc>
                <w:tcPr>
                  <w:tcW w:w="2807" w:type="pct"/>
                  <w:vAlign w:val="center"/>
                </w:tcPr>
                <w:p w:rsidR="00A431F0" w:rsidRPr="00A431F0" w:rsidRDefault="00A431F0" w:rsidP="00A431F0">
                  <w:pPr>
                    <w:keepNext/>
                    <w:spacing w:before="0" w:after="0"/>
                    <w:ind w:left="240" w:hanging="240"/>
                    <w:jc w:val="left"/>
                    <w:rPr>
                      <w:bCs/>
                      <w:i/>
                      <w:sz w:val="18"/>
                      <w:szCs w:val="18"/>
                    </w:rPr>
                  </w:pPr>
                  <w:r w:rsidRPr="00A431F0">
                    <w:rPr>
                      <w:bCs/>
                      <w:i/>
                      <w:sz w:val="18"/>
                      <w:szCs w:val="18"/>
                    </w:rPr>
                    <w:t>(EUR in millions)</w:t>
                  </w:r>
                </w:p>
              </w:tc>
              <w:tc>
                <w:tcPr>
                  <w:tcW w:w="856" w:type="pct"/>
                  <w:vAlign w:val="bottom"/>
                </w:tcPr>
                <w:p w:rsidR="00A431F0" w:rsidRPr="00A431F0" w:rsidRDefault="00A431F0" w:rsidP="00A431F0">
                  <w:pPr>
                    <w:pBdr>
                      <w:bottom w:val="single" w:sz="4" w:space="1" w:color="auto"/>
                    </w:pBdr>
                    <w:spacing w:before="0" w:after="0"/>
                    <w:ind w:left="141"/>
                    <w:jc w:val="center"/>
                    <w:rPr>
                      <w:sz w:val="18"/>
                      <w:szCs w:val="18"/>
                    </w:rPr>
                  </w:pPr>
                  <w:r w:rsidRPr="00A431F0">
                    <w:rPr>
                      <w:b/>
                      <w:bCs/>
                      <w:sz w:val="18"/>
                      <w:szCs w:val="18"/>
                    </w:rPr>
                    <w:br/>
                    <w:t xml:space="preserve">31 March </w:t>
                  </w:r>
                  <w:r w:rsidRPr="00A431F0">
                    <w:rPr>
                      <w:b/>
                      <w:bCs/>
                      <w:sz w:val="18"/>
                      <w:szCs w:val="18"/>
                    </w:rPr>
                    <w:br/>
                    <w:t>2015</w:t>
                  </w:r>
                </w:p>
              </w:tc>
              <w:tc>
                <w:tcPr>
                  <w:tcW w:w="660" w:type="pct"/>
                </w:tcPr>
                <w:p w:rsidR="00A431F0" w:rsidRPr="00A431F0" w:rsidRDefault="00A431F0" w:rsidP="00A431F0">
                  <w:pPr>
                    <w:pBdr>
                      <w:bottom w:val="single" w:sz="4" w:space="1" w:color="auto"/>
                    </w:pBdr>
                    <w:spacing w:before="0" w:after="0"/>
                    <w:jc w:val="center"/>
                    <w:rPr>
                      <w:b/>
                      <w:bCs/>
                      <w:sz w:val="18"/>
                      <w:szCs w:val="18"/>
                    </w:rPr>
                  </w:pPr>
                </w:p>
                <w:p w:rsidR="00A431F0" w:rsidRPr="00A431F0" w:rsidRDefault="00A431F0" w:rsidP="00A431F0">
                  <w:pPr>
                    <w:pBdr>
                      <w:bottom w:val="single" w:sz="4" w:space="1" w:color="auto"/>
                    </w:pBdr>
                    <w:spacing w:before="0" w:after="0"/>
                    <w:jc w:val="center"/>
                    <w:rPr>
                      <w:b/>
                      <w:bCs/>
                      <w:sz w:val="18"/>
                      <w:szCs w:val="18"/>
                    </w:rPr>
                  </w:pPr>
                  <w:r w:rsidRPr="00A431F0">
                    <w:rPr>
                      <w:b/>
                      <w:bCs/>
                      <w:sz w:val="18"/>
                      <w:szCs w:val="18"/>
                    </w:rPr>
                    <w:t>31 March 2014</w:t>
                  </w:r>
                </w:p>
              </w:tc>
              <w:tc>
                <w:tcPr>
                  <w:tcW w:w="677" w:type="pct"/>
                  <w:vAlign w:val="bottom"/>
                </w:tcPr>
                <w:p w:rsidR="00A431F0" w:rsidRPr="00A431F0" w:rsidRDefault="00A431F0" w:rsidP="00A431F0">
                  <w:pPr>
                    <w:pBdr>
                      <w:bottom w:val="single" w:sz="4" w:space="1" w:color="auto"/>
                    </w:pBdr>
                    <w:spacing w:before="0" w:after="0"/>
                    <w:jc w:val="center"/>
                    <w:rPr>
                      <w:sz w:val="18"/>
                      <w:szCs w:val="18"/>
                    </w:rPr>
                  </w:pPr>
                  <w:r w:rsidRPr="00A431F0">
                    <w:rPr>
                      <w:b/>
                      <w:bCs/>
                      <w:sz w:val="18"/>
                      <w:szCs w:val="18"/>
                    </w:rPr>
                    <w:t>31 March 2013</w:t>
                  </w:r>
                </w:p>
              </w:tc>
            </w:tr>
            <w:tr w:rsidR="00A431F0" w:rsidRPr="00A431F0" w:rsidTr="00304A20">
              <w:trPr>
                <w:trHeight w:val="332"/>
              </w:trPr>
              <w:tc>
                <w:tcPr>
                  <w:tcW w:w="2807" w:type="pct"/>
                </w:tcPr>
                <w:p w:rsidR="00A431F0" w:rsidRPr="00A431F0" w:rsidRDefault="00A431F0" w:rsidP="00A431F0">
                  <w:pPr>
                    <w:keepNext/>
                    <w:spacing w:before="0" w:after="0"/>
                    <w:rPr>
                      <w:b/>
                      <w:bCs/>
                      <w:sz w:val="18"/>
                      <w:szCs w:val="18"/>
                    </w:rPr>
                  </w:pPr>
                  <w:r w:rsidRPr="00A431F0">
                    <w:rPr>
                      <w:b/>
                      <w:bCs/>
                      <w:sz w:val="18"/>
                      <w:szCs w:val="18"/>
                    </w:rPr>
                    <w:t>EQUITY AND LIABILITIES</w:t>
                  </w:r>
                </w:p>
              </w:tc>
              <w:tc>
                <w:tcPr>
                  <w:tcW w:w="856" w:type="pct"/>
                </w:tcPr>
                <w:p w:rsidR="00A431F0" w:rsidRPr="00A431F0" w:rsidRDefault="00A431F0" w:rsidP="00A431F0">
                  <w:pPr>
                    <w:spacing w:before="0" w:after="0" w:line="40" w:lineRule="exact"/>
                    <w:jc w:val="right"/>
                    <w:rPr>
                      <w:sz w:val="18"/>
                      <w:szCs w:val="18"/>
                    </w:rPr>
                  </w:pPr>
                  <w:r w:rsidRPr="00A431F0">
                    <w:rPr>
                      <w:sz w:val="18"/>
                      <w:szCs w:val="18"/>
                    </w:rPr>
                    <w:t> </w:t>
                  </w:r>
                </w:p>
              </w:tc>
              <w:tc>
                <w:tcPr>
                  <w:tcW w:w="660" w:type="pct"/>
                </w:tcPr>
                <w:p w:rsidR="00A431F0" w:rsidRPr="00A431F0" w:rsidRDefault="00A431F0" w:rsidP="00A431F0">
                  <w:pPr>
                    <w:spacing w:before="0" w:after="0" w:line="40" w:lineRule="exact"/>
                    <w:jc w:val="right"/>
                    <w:rPr>
                      <w:sz w:val="18"/>
                      <w:szCs w:val="18"/>
                    </w:rPr>
                  </w:pPr>
                </w:p>
              </w:tc>
              <w:tc>
                <w:tcPr>
                  <w:tcW w:w="677" w:type="pct"/>
                </w:tcPr>
                <w:p w:rsidR="00A431F0" w:rsidRPr="00A431F0" w:rsidRDefault="00A431F0" w:rsidP="00A431F0">
                  <w:pPr>
                    <w:spacing w:before="0" w:after="0" w:line="40" w:lineRule="exact"/>
                    <w:jc w:val="right"/>
                    <w:rPr>
                      <w:sz w:val="18"/>
                      <w:szCs w:val="18"/>
                    </w:rPr>
                  </w:pPr>
                  <w:r w:rsidRPr="00A431F0">
                    <w:rPr>
                      <w:sz w:val="18"/>
                      <w:szCs w:val="18"/>
                    </w:rPr>
                    <w:t> </w:t>
                  </w:r>
                </w:p>
              </w:tc>
            </w:tr>
            <w:tr w:rsidR="00A431F0" w:rsidRPr="00A431F0" w:rsidTr="00304A20">
              <w:tc>
                <w:tcPr>
                  <w:tcW w:w="2807"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Share capital</w:t>
                  </w:r>
                  <w:r w:rsidRPr="00A431F0">
                    <w:rPr>
                      <w:sz w:val="18"/>
                      <w:szCs w:val="18"/>
                    </w:rPr>
                    <w:tab/>
                  </w:r>
                </w:p>
              </w:tc>
              <w:tc>
                <w:tcPr>
                  <w:tcW w:w="856" w:type="pct"/>
                  <w:noWrap/>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97.8</w:t>
                  </w:r>
                </w:p>
              </w:tc>
              <w:tc>
                <w:tcPr>
                  <w:tcW w:w="660" w:type="pct"/>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97.8</w:t>
                  </w:r>
                </w:p>
              </w:tc>
              <w:tc>
                <w:tcPr>
                  <w:tcW w:w="67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154.3</w:t>
                  </w:r>
                </w:p>
              </w:tc>
            </w:tr>
            <w:tr w:rsidR="00A431F0" w:rsidRPr="00A431F0" w:rsidTr="00304A20">
              <w:trPr>
                <w:trHeight w:val="267"/>
              </w:trPr>
              <w:tc>
                <w:tcPr>
                  <w:tcW w:w="2807"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Share premium and other capital instruments</w:t>
                  </w:r>
                  <w:r w:rsidRPr="00A431F0">
                    <w:rPr>
                      <w:sz w:val="18"/>
                      <w:szCs w:val="18"/>
                    </w:rPr>
                    <w:tab/>
                  </w:r>
                </w:p>
                <w:p w:rsidR="00A431F0" w:rsidRPr="00A431F0" w:rsidRDefault="00A431F0" w:rsidP="00A431F0">
                  <w:pPr>
                    <w:spacing w:before="0" w:after="0" w:line="40" w:lineRule="exact"/>
                    <w:rPr>
                      <w:noProof/>
                      <w:sz w:val="18"/>
                      <w:szCs w:val="18"/>
                      <w:lang w:val="en-US"/>
                    </w:rPr>
                  </w:pPr>
                  <w:r w:rsidRPr="00A431F0">
                    <w:rPr>
                      <w:sz w:val="18"/>
                      <w:szCs w:val="18"/>
                    </w:rPr>
                    <w:t> </w:t>
                  </w:r>
                </w:p>
              </w:tc>
              <w:tc>
                <w:tcPr>
                  <w:tcW w:w="85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14.3</w:t>
                  </w:r>
                </w:p>
              </w:tc>
              <w:tc>
                <w:tcPr>
                  <w:tcW w:w="660"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14.3</w:t>
                  </w:r>
                </w:p>
              </w:tc>
              <w:tc>
                <w:tcPr>
                  <w:tcW w:w="67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14.3</w:t>
                  </w:r>
                </w:p>
              </w:tc>
            </w:tr>
            <w:tr w:rsidR="00A431F0" w:rsidRPr="00A431F0" w:rsidTr="00304A20">
              <w:tc>
                <w:tcPr>
                  <w:tcW w:w="2807"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Consolidated reserves</w:t>
                  </w:r>
                  <w:r w:rsidRPr="00A431F0">
                    <w:rPr>
                      <w:bCs/>
                      <w:sz w:val="18"/>
                      <w:szCs w:val="18"/>
                    </w:rPr>
                    <w:tab/>
                  </w:r>
                </w:p>
              </w:tc>
              <w:tc>
                <w:tcPr>
                  <w:tcW w:w="85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103.5</w:t>
                  </w:r>
                </w:p>
              </w:tc>
              <w:tc>
                <w:tcPr>
                  <w:tcW w:w="660" w:type="pct"/>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93.1</w:t>
                  </w:r>
                </w:p>
              </w:tc>
              <w:tc>
                <w:tcPr>
                  <w:tcW w:w="67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14.4</w:t>
                  </w:r>
                </w:p>
              </w:tc>
            </w:tr>
            <w:tr w:rsidR="00A431F0" w:rsidRPr="00A431F0" w:rsidTr="00304A20">
              <w:tc>
                <w:tcPr>
                  <w:tcW w:w="2807"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Cumulative translation adjustments</w:t>
                  </w:r>
                  <w:r w:rsidRPr="00A431F0">
                    <w:rPr>
                      <w:sz w:val="18"/>
                      <w:szCs w:val="18"/>
                    </w:rPr>
                    <w:tab/>
                  </w:r>
                </w:p>
              </w:tc>
              <w:tc>
                <w:tcPr>
                  <w:tcW w:w="85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(1.9)</w:t>
                  </w:r>
                </w:p>
              </w:tc>
              <w:tc>
                <w:tcPr>
                  <w:tcW w:w="660"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(3.0)</w:t>
                  </w:r>
                </w:p>
              </w:tc>
              <w:tc>
                <w:tcPr>
                  <w:tcW w:w="67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(3.2)</w:t>
                  </w:r>
                </w:p>
              </w:tc>
            </w:tr>
            <w:tr w:rsidR="00A431F0" w:rsidRPr="00A431F0" w:rsidTr="00304A20">
              <w:tc>
                <w:tcPr>
                  <w:tcW w:w="2807"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Non-controlling interests</w:t>
                  </w:r>
                  <w:r w:rsidRPr="00A431F0">
                    <w:rPr>
                      <w:sz w:val="18"/>
                      <w:szCs w:val="18"/>
                    </w:rPr>
                    <w:tab/>
                  </w:r>
                </w:p>
              </w:tc>
              <w:tc>
                <w:tcPr>
                  <w:tcW w:w="856"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8.1</w:t>
                  </w:r>
                </w:p>
              </w:tc>
              <w:tc>
                <w:tcPr>
                  <w:tcW w:w="660" w:type="pct"/>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9.7</w:t>
                  </w:r>
                </w:p>
              </w:tc>
              <w:tc>
                <w:tcPr>
                  <w:tcW w:w="677"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2.3</w:t>
                  </w:r>
                </w:p>
              </w:tc>
            </w:tr>
            <w:tr w:rsidR="00A431F0" w:rsidRPr="00A431F0" w:rsidTr="00304A20">
              <w:tc>
                <w:tcPr>
                  <w:tcW w:w="2807"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Equity</w:t>
                  </w:r>
                  <w:r w:rsidRPr="00A431F0">
                    <w:rPr>
                      <w:sz w:val="18"/>
                      <w:szCs w:val="18"/>
                    </w:rPr>
                    <w:tab/>
                  </w:r>
                </w:p>
              </w:tc>
              <w:tc>
                <w:tcPr>
                  <w:tcW w:w="856"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221.8</w:t>
                  </w:r>
                </w:p>
              </w:tc>
              <w:tc>
                <w:tcPr>
                  <w:tcW w:w="660" w:type="pct"/>
                </w:tcPr>
                <w:p w:rsidR="00A431F0" w:rsidRPr="00A431F0" w:rsidRDefault="00A431F0" w:rsidP="00A431F0">
                  <w:pPr>
                    <w:tabs>
                      <w:tab w:val="right" w:pos="720"/>
                      <w:tab w:val="decimal" w:pos="760"/>
                    </w:tabs>
                    <w:spacing w:before="0" w:after="0"/>
                    <w:jc w:val="right"/>
                    <w:rPr>
                      <w:b/>
                      <w:bCs/>
                      <w:sz w:val="18"/>
                      <w:szCs w:val="18"/>
                    </w:rPr>
                  </w:pPr>
                  <w:r w:rsidRPr="00A431F0">
                    <w:rPr>
                      <w:b/>
                      <w:bCs/>
                      <w:sz w:val="18"/>
                      <w:szCs w:val="18"/>
                    </w:rPr>
                    <w:t>211.9</w:t>
                  </w:r>
                </w:p>
              </w:tc>
              <w:tc>
                <w:tcPr>
                  <w:tcW w:w="677"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182.2</w:t>
                  </w:r>
                </w:p>
              </w:tc>
            </w:tr>
            <w:tr w:rsidR="00A431F0" w:rsidRPr="00A431F0" w:rsidTr="00304A20">
              <w:tc>
                <w:tcPr>
                  <w:tcW w:w="2807"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Provisions for pensions and similar rights</w:t>
                  </w:r>
                  <w:r w:rsidRPr="00A431F0">
                    <w:rPr>
                      <w:bCs/>
                      <w:sz w:val="18"/>
                      <w:szCs w:val="18"/>
                    </w:rPr>
                    <w:tab/>
                  </w:r>
                </w:p>
              </w:tc>
              <w:tc>
                <w:tcPr>
                  <w:tcW w:w="85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1.6</w:t>
                  </w:r>
                </w:p>
              </w:tc>
              <w:tc>
                <w:tcPr>
                  <w:tcW w:w="660" w:type="pct"/>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1.7</w:t>
                  </w:r>
                </w:p>
              </w:tc>
              <w:tc>
                <w:tcPr>
                  <w:tcW w:w="67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1.5</w:t>
                  </w:r>
                </w:p>
              </w:tc>
            </w:tr>
            <w:tr w:rsidR="00A431F0" w:rsidRPr="00A431F0" w:rsidTr="00304A20">
              <w:tc>
                <w:tcPr>
                  <w:tcW w:w="2807"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Other provisions</w:t>
                  </w:r>
                  <w:r w:rsidRPr="00A431F0">
                    <w:rPr>
                      <w:bCs/>
                      <w:sz w:val="18"/>
                      <w:szCs w:val="18"/>
                    </w:rPr>
                    <w:tab/>
                  </w:r>
                </w:p>
              </w:tc>
              <w:tc>
                <w:tcPr>
                  <w:tcW w:w="85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0.8</w:t>
                  </w:r>
                </w:p>
              </w:tc>
              <w:tc>
                <w:tcPr>
                  <w:tcW w:w="660" w:type="pct"/>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1.1</w:t>
                  </w:r>
                </w:p>
              </w:tc>
              <w:tc>
                <w:tcPr>
                  <w:tcW w:w="67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2.2</w:t>
                  </w:r>
                </w:p>
              </w:tc>
            </w:tr>
            <w:tr w:rsidR="00A431F0" w:rsidRPr="00A431F0" w:rsidTr="00304A20">
              <w:trPr>
                <w:trHeight w:val="267"/>
              </w:trPr>
              <w:tc>
                <w:tcPr>
                  <w:tcW w:w="2807"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Financial debts at credit instutions</w:t>
                  </w:r>
                  <w:r w:rsidRPr="00A431F0">
                    <w:rPr>
                      <w:bCs/>
                      <w:sz w:val="18"/>
                      <w:szCs w:val="18"/>
                    </w:rPr>
                    <w:tab/>
                  </w:r>
                </w:p>
              </w:tc>
              <w:tc>
                <w:tcPr>
                  <w:tcW w:w="85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6.7</w:t>
                  </w:r>
                </w:p>
              </w:tc>
              <w:tc>
                <w:tcPr>
                  <w:tcW w:w="660" w:type="pct"/>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7.4</w:t>
                  </w:r>
                </w:p>
              </w:tc>
              <w:tc>
                <w:tcPr>
                  <w:tcW w:w="67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2.2</w:t>
                  </w:r>
                </w:p>
              </w:tc>
            </w:tr>
            <w:tr w:rsidR="00A431F0" w:rsidRPr="00A431F0" w:rsidTr="00304A20">
              <w:trPr>
                <w:trHeight w:val="267"/>
              </w:trPr>
              <w:tc>
                <w:tcPr>
                  <w:tcW w:w="2807"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Interest-bearing liabilities</w:t>
                  </w:r>
                  <w:r w:rsidRPr="00A431F0">
                    <w:rPr>
                      <w:bCs/>
                      <w:sz w:val="18"/>
                      <w:szCs w:val="18"/>
                    </w:rPr>
                    <w:tab/>
                  </w:r>
                </w:p>
              </w:tc>
              <w:tc>
                <w:tcPr>
                  <w:tcW w:w="85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174.7</w:t>
                  </w:r>
                </w:p>
              </w:tc>
              <w:tc>
                <w:tcPr>
                  <w:tcW w:w="660" w:type="pct"/>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185.3</w:t>
                  </w:r>
                </w:p>
              </w:tc>
              <w:tc>
                <w:tcPr>
                  <w:tcW w:w="67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39.1</w:t>
                  </w:r>
                </w:p>
              </w:tc>
            </w:tr>
            <w:tr w:rsidR="00A431F0" w:rsidRPr="00A431F0" w:rsidTr="00304A20">
              <w:trPr>
                <w:trHeight w:val="267"/>
              </w:trPr>
              <w:tc>
                <w:tcPr>
                  <w:tcW w:w="2807"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Other amounts payable</w:t>
                  </w:r>
                  <w:r w:rsidRPr="00A431F0">
                    <w:rPr>
                      <w:bCs/>
                      <w:sz w:val="18"/>
                      <w:szCs w:val="18"/>
                    </w:rPr>
                    <w:tab/>
                  </w:r>
                </w:p>
              </w:tc>
              <w:tc>
                <w:tcPr>
                  <w:tcW w:w="85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0.8</w:t>
                  </w:r>
                </w:p>
              </w:tc>
              <w:tc>
                <w:tcPr>
                  <w:tcW w:w="660" w:type="pct"/>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0.4</w:t>
                  </w:r>
                </w:p>
              </w:tc>
              <w:tc>
                <w:tcPr>
                  <w:tcW w:w="67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3.1</w:t>
                  </w:r>
                </w:p>
              </w:tc>
            </w:tr>
            <w:tr w:rsidR="00A431F0" w:rsidRPr="00A431F0" w:rsidTr="00304A20">
              <w:trPr>
                <w:trHeight w:val="267"/>
              </w:trPr>
              <w:tc>
                <w:tcPr>
                  <w:tcW w:w="2807"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Deferred tax liabilities</w:t>
                  </w:r>
                  <w:r w:rsidRPr="00A431F0">
                    <w:rPr>
                      <w:sz w:val="18"/>
                      <w:szCs w:val="18"/>
                    </w:rPr>
                    <w:tab/>
                  </w:r>
                </w:p>
              </w:tc>
              <w:tc>
                <w:tcPr>
                  <w:tcW w:w="856"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23.0</w:t>
                  </w:r>
                </w:p>
              </w:tc>
              <w:tc>
                <w:tcPr>
                  <w:tcW w:w="660" w:type="pct"/>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25.7</w:t>
                  </w:r>
                </w:p>
              </w:tc>
              <w:tc>
                <w:tcPr>
                  <w:tcW w:w="677"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24.3</w:t>
                  </w:r>
                </w:p>
              </w:tc>
            </w:tr>
            <w:tr w:rsidR="00A431F0" w:rsidRPr="00A431F0" w:rsidTr="00304A20">
              <w:trPr>
                <w:trHeight w:val="267"/>
              </w:trPr>
              <w:tc>
                <w:tcPr>
                  <w:tcW w:w="2807"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Non-current liabilities</w:t>
                  </w:r>
                  <w:r w:rsidRPr="00A431F0">
                    <w:rPr>
                      <w:sz w:val="18"/>
                      <w:szCs w:val="18"/>
                    </w:rPr>
                    <w:tab/>
                  </w:r>
                </w:p>
              </w:tc>
              <w:tc>
                <w:tcPr>
                  <w:tcW w:w="856"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207.6</w:t>
                  </w:r>
                </w:p>
              </w:tc>
              <w:tc>
                <w:tcPr>
                  <w:tcW w:w="660" w:type="pct"/>
                </w:tcPr>
                <w:p w:rsidR="00A431F0" w:rsidRPr="00A431F0" w:rsidRDefault="00A431F0" w:rsidP="00A431F0">
                  <w:pPr>
                    <w:tabs>
                      <w:tab w:val="right" w:pos="720"/>
                      <w:tab w:val="decimal" w:pos="760"/>
                    </w:tabs>
                    <w:spacing w:before="0" w:after="0"/>
                    <w:jc w:val="right"/>
                    <w:rPr>
                      <w:b/>
                      <w:bCs/>
                      <w:sz w:val="18"/>
                      <w:szCs w:val="18"/>
                    </w:rPr>
                  </w:pPr>
                  <w:r w:rsidRPr="00A431F0">
                    <w:rPr>
                      <w:b/>
                      <w:bCs/>
                      <w:sz w:val="18"/>
                      <w:szCs w:val="18"/>
                    </w:rPr>
                    <w:t>221.6</w:t>
                  </w:r>
                </w:p>
              </w:tc>
              <w:tc>
                <w:tcPr>
                  <w:tcW w:w="677"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72.4</w:t>
                  </w:r>
                </w:p>
              </w:tc>
            </w:tr>
            <w:tr w:rsidR="00A431F0" w:rsidRPr="00A431F0" w:rsidTr="00304A20">
              <w:trPr>
                <w:trHeight w:val="267"/>
              </w:trPr>
              <w:tc>
                <w:tcPr>
                  <w:tcW w:w="2807"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Financial debts at credit institutions</w:t>
                  </w:r>
                  <w:r w:rsidRPr="00A431F0">
                    <w:rPr>
                      <w:sz w:val="18"/>
                      <w:szCs w:val="18"/>
                    </w:rPr>
                    <w:tab/>
                  </w:r>
                </w:p>
              </w:tc>
              <w:tc>
                <w:tcPr>
                  <w:tcW w:w="85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63.4</w:t>
                  </w:r>
                </w:p>
              </w:tc>
              <w:tc>
                <w:tcPr>
                  <w:tcW w:w="660"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49.6</w:t>
                  </w:r>
                </w:p>
              </w:tc>
              <w:tc>
                <w:tcPr>
                  <w:tcW w:w="67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197.6</w:t>
                  </w:r>
                </w:p>
              </w:tc>
            </w:tr>
            <w:tr w:rsidR="00A431F0" w:rsidRPr="00A431F0" w:rsidTr="00304A20">
              <w:trPr>
                <w:trHeight w:val="267"/>
              </w:trPr>
              <w:tc>
                <w:tcPr>
                  <w:tcW w:w="2807"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Interest-bearing liabilities</w:t>
                  </w:r>
                  <w:r w:rsidRPr="00A431F0">
                    <w:rPr>
                      <w:sz w:val="18"/>
                      <w:szCs w:val="18"/>
                    </w:rPr>
                    <w:tab/>
                  </w:r>
                </w:p>
              </w:tc>
              <w:tc>
                <w:tcPr>
                  <w:tcW w:w="85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12.0</w:t>
                  </w:r>
                </w:p>
              </w:tc>
              <w:tc>
                <w:tcPr>
                  <w:tcW w:w="660"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w:t>
                  </w:r>
                </w:p>
              </w:tc>
              <w:tc>
                <w:tcPr>
                  <w:tcW w:w="67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w:t>
                  </w:r>
                </w:p>
              </w:tc>
            </w:tr>
            <w:tr w:rsidR="00A431F0" w:rsidRPr="00A431F0" w:rsidTr="00304A20">
              <w:trPr>
                <w:trHeight w:val="267"/>
              </w:trPr>
              <w:tc>
                <w:tcPr>
                  <w:tcW w:w="2807"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Trade payables</w:t>
                  </w:r>
                  <w:r w:rsidRPr="00A431F0">
                    <w:rPr>
                      <w:sz w:val="18"/>
                      <w:szCs w:val="18"/>
                    </w:rPr>
                    <w:tab/>
                  </w:r>
                </w:p>
              </w:tc>
              <w:tc>
                <w:tcPr>
                  <w:tcW w:w="85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93.1</w:t>
                  </w:r>
                </w:p>
              </w:tc>
              <w:tc>
                <w:tcPr>
                  <w:tcW w:w="660"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93.4</w:t>
                  </w:r>
                </w:p>
              </w:tc>
              <w:tc>
                <w:tcPr>
                  <w:tcW w:w="67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138.2</w:t>
                  </w:r>
                </w:p>
              </w:tc>
            </w:tr>
            <w:tr w:rsidR="00A431F0" w:rsidRPr="00A431F0" w:rsidTr="00304A20">
              <w:trPr>
                <w:trHeight w:val="267"/>
              </w:trPr>
              <w:tc>
                <w:tcPr>
                  <w:tcW w:w="2807"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Advances received on contracts</w:t>
                  </w:r>
                  <w:r w:rsidRPr="00A431F0">
                    <w:rPr>
                      <w:sz w:val="18"/>
                      <w:szCs w:val="18"/>
                    </w:rPr>
                    <w:tab/>
                  </w:r>
                </w:p>
              </w:tc>
              <w:tc>
                <w:tcPr>
                  <w:tcW w:w="85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w:t>
                  </w:r>
                </w:p>
              </w:tc>
              <w:tc>
                <w:tcPr>
                  <w:tcW w:w="660"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w:t>
                  </w:r>
                </w:p>
              </w:tc>
              <w:tc>
                <w:tcPr>
                  <w:tcW w:w="67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w:t>
                  </w:r>
                </w:p>
              </w:tc>
            </w:tr>
            <w:tr w:rsidR="00A431F0" w:rsidRPr="00A431F0" w:rsidTr="00304A20">
              <w:trPr>
                <w:trHeight w:val="267"/>
              </w:trPr>
              <w:tc>
                <w:tcPr>
                  <w:tcW w:w="2807"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Tax payable</w:t>
                  </w:r>
                  <w:r w:rsidRPr="00A431F0">
                    <w:rPr>
                      <w:sz w:val="18"/>
                      <w:szCs w:val="18"/>
                    </w:rPr>
                    <w:tab/>
                  </w:r>
                </w:p>
              </w:tc>
              <w:tc>
                <w:tcPr>
                  <w:tcW w:w="85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9.8</w:t>
                  </w:r>
                </w:p>
              </w:tc>
              <w:tc>
                <w:tcPr>
                  <w:tcW w:w="660"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6.4</w:t>
                  </w:r>
                </w:p>
              </w:tc>
              <w:tc>
                <w:tcPr>
                  <w:tcW w:w="67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5.1</w:t>
                  </w:r>
                </w:p>
              </w:tc>
            </w:tr>
            <w:tr w:rsidR="00A431F0" w:rsidRPr="00A431F0" w:rsidTr="00304A20">
              <w:trPr>
                <w:trHeight w:val="267"/>
              </w:trPr>
              <w:tc>
                <w:tcPr>
                  <w:tcW w:w="2807"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Remuneration and social security</w:t>
                  </w:r>
                  <w:r w:rsidRPr="00A431F0">
                    <w:rPr>
                      <w:sz w:val="18"/>
                      <w:szCs w:val="18"/>
                    </w:rPr>
                    <w:tab/>
                  </w:r>
                </w:p>
                <w:p w:rsidR="00A431F0" w:rsidRPr="00A431F0" w:rsidRDefault="00A431F0" w:rsidP="00A431F0">
                  <w:pPr>
                    <w:spacing w:before="0" w:after="0" w:line="40" w:lineRule="exact"/>
                    <w:rPr>
                      <w:noProof/>
                      <w:sz w:val="18"/>
                      <w:szCs w:val="18"/>
                      <w:lang w:val="en-US"/>
                    </w:rPr>
                  </w:pPr>
                  <w:r w:rsidRPr="00A431F0">
                    <w:rPr>
                      <w:sz w:val="18"/>
                      <w:szCs w:val="18"/>
                    </w:rPr>
                    <w:t> </w:t>
                  </w:r>
                </w:p>
              </w:tc>
              <w:tc>
                <w:tcPr>
                  <w:tcW w:w="85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15.6</w:t>
                  </w:r>
                </w:p>
              </w:tc>
              <w:tc>
                <w:tcPr>
                  <w:tcW w:w="660"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15.1</w:t>
                  </w:r>
                </w:p>
              </w:tc>
              <w:tc>
                <w:tcPr>
                  <w:tcW w:w="67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14.8</w:t>
                  </w:r>
                </w:p>
              </w:tc>
            </w:tr>
            <w:tr w:rsidR="00A431F0" w:rsidRPr="00A431F0" w:rsidTr="00304A20">
              <w:trPr>
                <w:trHeight w:val="267"/>
              </w:trPr>
              <w:tc>
                <w:tcPr>
                  <w:tcW w:w="2807"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Other amounts payable</w:t>
                  </w:r>
                  <w:r w:rsidRPr="00A431F0">
                    <w:rPr>
                      <w:sz w:val="18"/>
                      <w:szCs w:val="18"/>
                    </w:rPr>
                    <w:tab/>
                  </w:r>
                </w:p>
                <w:p w:rsidR="00A431F0" w:rsidRPr="00A431F0" w:rsidRDefault="00A431F0" w:rsidP="00A431F0">
                  <w:pPr>
                    <w:spacing w:before="0" w:after="0" w:line="40" w:lineRule="exact"/>
                    <w:rPr>
                      <w:noProof/>
                      <w:sz w:val="18"/>
                      <w:szCs w:val="18"/>
                      <w:lang w:val="en-US"/>
                    </w:rPr>
                  </w:pPr>
                  <w:r w:rsidRPr="00A431F0">
                    <w:rPr>
                      <w:sz w:val="18"/>
                      <w:szCs w:val="18"/>
                    </w:rPr>
                    <w:t> </w:t>
                  </w:r>
                </w:p>
              </w:tc>
              <w:tc>
                <w:tcPr>
                  <w:tcW w:w="85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6.6</w:t>
                  </w:r>
                </w:p>
              </w:tc>
              <w:tc>
                <w:tcPr>
                  <w:tcW w:w="660"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6.8</w:t>
                  </w:r>
                </w:p>
              </w:tc>
              <w:tc>
                <w:tcPr>
                  <w:tcW w:w="67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73.7</w:t>
                  </w:r>
                </w:p>
              </w:tc>
            </w:tr>
            <w:tr w:rsidR="00A431F0" w:rsidRPr="00A431F0" w:rsidTr="00304A20">
              <w:trPr>
                <w:trHeight w:val="267"/>
              </w:trPr>
              <w:tc>
                <w:tcPr>
                  <w:tcW w:w="2807"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Liabilities related to assets held for sale</w:t>
                  </w:r>
                  <w:r w:rsidRPr="00A431F0">
                    <w:rPr>
                      <w:sz w:val="18"/>
                      <w:szCs w:val="18"/>
                    </w:rPr>
                    <w:tab/>
                  </w:r>
                </w:p>
              </w:tc>
              <w:tc>
                <w:tcPr>
                  <w:tcW w:w="856"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w:t>
                  </w:r>
                </w:p>
              </w:tc>
              <w:tc>
                <w:tcPr>
                  <w:tcW w:w="660" w:type="pct"/>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w:t>
                  </w:r>
                </w:p>
              </w:tc>
              <w:tc>
                <w:tcPr>
                  <w:tcW w:w="677"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99.6</w:t>
                  </w:r>
                </w:p>
              </w:tc>
            </w:tr>
            <w:tr w:rsidR="00A431F0" w:rsidRPr="00A431F0" w:rsidTr="00304A20">
              <w:tc>
                <w:tcPr>
                  <w:tcW w:w="2807"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Current liabilities</w:t>
                  </w:r>
                  <w:r w:rsidRPr="00A431F0">
                    <w:rPr>
                      <w:sz w:val="18"/>
                      <w:szCs w:val="18"/>
                    </w:rPr>
                    <w:tab/>
                  </w:r>
                </w:p>
              </w:tc>
              <w:tc>
                <w:tcPr>
                  <w:tcW w:w="856"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200.5</w:t>
                  </w:r>
                </w:p>
              </w:tc>
              <w:tc>
                <w:tcPr>
                  <w:tcW w:w="660" w:type="pct"/>
                </w:tcPr>
                <w:p w:rsidR="00A431F0" w:rsidRPr="00A431F0" w:rsidRDefault="00A431F0" w:rsidP="00A431F0">
                  <w:pPr>
                    <w:tabs>
                      <w:tab w:val="right" w:pos="720"/>
                      <w:tab w:val="decimal" w:pos="760"/>
                    </w:tabs>
                    <w:spacing w:before="0" w:after="0"/>
                    <w:jc w:val="right"/>
                    <w:rPr>
                      <w:b/>
                      <w:bCs/>
                      <w:sz w:val="18"/>
                      <w:szCs w:val="18"/>
                    </w:rPr>
                  </w:pPr>
                  <w:r w:rsidRPr="00A431F0">
                    <w:rPr>
                      <w:b/>
                      <w:bCs/>
                      <w:sz w:val="18"/>
                      <w:szCs w:val="18"/>
                    </w:rPr>
                    <w:t>171.2</w:t>
                  </w:r>
                </w:p>
              </w:tc>
              <w:tc>
                <w:tcPr>
                  <w:tcW w:w="677"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529.4</w:t>
                  </w:r>
                </w:p>
              </w:tc>
            </w:tr>
            <w:tr w:rsidR="00A431F0" w:rsidRPr="00A431F0" w:rsidTr="00304A20">
              <w:tc>
                <w:tcPr>
                  <w:tcW w:w="2807" w:type="pct"/>
                </w:tcPr>
                <w:p w:rsidR="00A431F0" w:rsidRPr="00A431F0" w:rsidRDefault="00A431F0" w:rsidP="00A431F0">
                  <w:pPr>
                    <w:spacing w:before="0" w:after="0" w:line="40" w:lineRule="exact"/>
                    <w:rPr>
                      <w:sz w:val="18"/>
                      <w:szCs w:val="18"/>
                    </w:rPr>
                  </w:pPr>
                </w:p>
              </w:tc>
              <w:tc>
                <w:tcPr>
                  <w:tcW w:w="856" w:type="pct"/>
                </w:tcPr>
                <w:p w:rsidR="00A431F0" w:rsidRPr="00A431F0" w:rsidRDefault="00A431F0" w:rsidP="00A431F0">
                  <w:pPr>
                    <w:pBdr>
                      <w:top w:val="single" w:sz="8" w:space="1" w:color="auto"/>
                    </w:pBdr>
                    <w:spacing w:before="0" w:after="0" w:line="20" w:lineRule="exact"/>
                    <w:jc w:val="right"/>
                    <w:rPr>
                      <w:sz w:val="18"/>
                      <w:szCs w:val="18"/>
                    </w:rPr>
                  </w:pPr>
                </w:p>
              </w:tc>
              <w:tc>
                <w:tcPr>
                  <w:tcW w:w="660" w:type="pct"/>
                </w:tcPr>
                <w:p w:rsidR="00A431F0" w:rsidRPr="00A431F0" w:rsidRDefault="00A431F0" w:rsidP="00A431F0">
                  <w:pPr>
                    <w:pBdr>
                      <w:top w:val="single" w:sz="8" w:space="1" w:color="auto"/>
                    </w:pBdr>
                    <w:spacing w:before="0" w:after="0" w:line="20" w:lineRule="exact"/>
                    <w:jc w:val="right"/>
                    <w:rPr>
                      <w:sz w:val="18"/>
                      <w:szCs w:val="18"/>
                    </w:rPr>
                  </w:pPr>
                </w:p>
              </w:tc>
              <w:tc>
                <w:tcPr>
                  <w:tcW w:w="677" w:type="pct"/>
                </w:tcPr>
                <w:p w:rsidR="00A431F0" w:rsidRPr="00A431F0" w:rsidRDefault="00A431F0" w:rsidP="00A431F0">
                  <w:pPr>
                    <w:pBdr>
                      <w:top w:val="single" w:sz="8" w:space="1" w:color="auto"/>
                    </w:pBdr>
                    <w:spacing w:before="0" w:after="0" w:line="20" w:lineRule="exact"/>
                    <w:jc w:val="right"/>
                    <w:rPr>
                      <w:sz w:val="18"/>
                      <w:szCs w:val="18"/>
                    </w:rPr>
                  </w:pPr>
                </w:p>
              </w:tc>
            </w:tr>
            <w:tr w:rsidR="00A431F0" w:rsidRPr="00A431F0" w:rsidTr="00304A20">
              <w:trPr>
                <w:trHeight w:val="292"/>
              </w:trPr>
              <w:tc>
                <w:tcPr>
                  <w:tcW w:w="2807"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Total equity and liabilities</w:t>
                  </w:r>
                  <w:r w:rsidRPr="00A431F0">
                    <w:rPr>
                      <w:sz w:val="18"/>
                      <w:szCs w:val="18"/>
                    </w:rPr>
                    <w:tab/>
                  </w:r>
                </w:p>
                <w:p w:rsidR="00A431F0" w:rsidRPr="00A431F0" w:rsidRDefault="00A431F0" w:rsidP="00A431F0">
                  <w:pPr>
                    <w:spacing w:before="0" w:after="0" w:line="40" w:lineRule="exact"/>
                    <w:rPr>
                      <w:b/>
                      <w:noProof/>
                      <w:sz w:val="18"/>
                      <w:szCs w:val="18"/>
                      <w:lang w:val="en-US"/>
                    </w:rPr>
                  </w:pPr>
                  <w:r w:rsidRPr="00A431F0">
                    <w:rPr>
                      <w:sz w:val="18"/>
                      <w:szCs w:val="18"/>
                    </w:rPr>
                    <w:t> </w:t>
                  </w:r>
                </w:p>
              </w:tc>
              <w:tc>
                <w:tcPr>
                  <w:tcW w:w="856"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629.9</w:t>
                  </w:r>
                </w:p>
              </w:tc>
              <w:tc>
                <w:tcPr>
                  <w:tcW w:w="660" w:type="pct"/>
                </w:tcPr>
                <w:p w:rsidR="00A431F0" w:rsidRPr="00A431F0" w:rsidRDefault="00A431F0" w:rsidP="00A431F0">
                  <w:pPr>
                    <w:tabs>
                      <w:tab w:val="right" w:pos="720"/>
                      <w:tab w:val="decimal" w:pos="760"/>
                    </w:tabs>
                    <w:spacing w:before="0" w:after="0"/>
                    <w:jc w:val="right"/>
                    <w:rPr>
                      <w:b/>
                      <w:bCs/>
                      <w:sz w:val="18"/>
                      <w:szCs w:val="18"/>
                    </w:rPr>
                  </w:pPr>
                  <w:r w:rsidRPr="00A431F0">
                    <w:rPr>
                      <w:b/>
                      <w:bCs/>
                      <w:sz w:val="18"/>
                      <w:szCs w:val="18"/>
                    </w:rPr>
                    <w:t>604.8</w:t>
                  </w:r>
                </w:p>
              </w:tc>
              <w:tc>
                <w:tcPr>
                  <w:tcW w:w="677"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784.0</w:t>
                  </w:r>
                </w:p>
              </w:tc>
            </w:tr>
          </w:tbl>
          <w:p w:rsidR="00A431F0" w:rsidRPr="00EA40E9" w:rsidRDefault="00A431F0" w:rsidP="00EA40E9">
            <w:pPr>
              <w:rPr>
                <w:rFonts w:eastAsia="SimSun"/>
                <w:i/>
                <w:szCs w:val="20"/>
              </w:rPr>
            </w:pPr>
            <w:r w:rsidRPr="00EA40E9">
              <w:rPr>
                <w:rFonts w:eastAsia="SimSun"/>
                <w:i/>
                <w:szCs w:val="20"/>
              </w:rPr>
              <w:t xml:space="preserve">Cash flow </w:t>
            </w:r>
            <w:r w:rsidRPr="00EA40E9">
              <w:rPr>
                <w:i/>
                <w:snapToGrid w:val="0"/>
                <w:kern w:val="32"/>
                <w:szCs w:val="20"/>
              </w:rPr>
              <w:t>statement</w:t>
            </w:r>
            <w:r w:rsidRPr="00EA40E9">
              <w:rPr>
                <w:rFonts w:eastAsia="SimSun"/>
                <w:i/>
                <w:szCs w:val="20"/>
              </w:rPr>
              <w:t xml:space="preserve"> as of and for the financial years ended 31 March 2015, 31 March 2014 and 31 March 2013</w:t>
            </w:r>
          </w:p>
          <w:tbl>
            <w:tblPr>
              <w:tblW w:w="8236" w:type="dxa"/>
              <w:tblLayout w:type="fixed"/>
              <w:tblLook w:val="0000" w:firstRow="0" w:lastRow="0" w:firstColumn="0" w:lastColumn="0" w:noHBand="0" w:noVBand="0"/>
            </w:tblPr>
            <w:tblGrid>
              <w:gridCol w:w="4700"/>
              <w:gridCol w:w="1178"/>
              <w:gridCol w:w="1179"/>
              <w:gridCol w:w="1179"/>
            </w:tblGrid>
            <w:tr w:rsidR="00A431F0" w:rsidRPr="00A431F0" w:rsidTr="00304A20">
              <w:tc>
                <w:tcPr>
                  <w:tcW w:w="2853" w:type="pct"/>
                  <w:vAlign w:val="center"/>
                </w:tcPr>
                <w:p w:rsidR="00A431F0" w:rsidRPr="00A431F0" w:rsidRDefault="00A431F0" w:rsidP="00A431F0">
                  <w:pPr>
                    <w:keepNext/>
                    <w:spacing w:before="0" w:after="0"/>
                    <w:ind w:left="240" w:hanging="240"/>
                    <w:jc w:val="left"/>
                    <w:rPr>
                      <w:bCs/>
                      <w:i/>
                      <w:sz w:val="18"/>
                      <w:szCs w:val="18"/>
                    </w:rPr>
                  </w:pPr>
                  <w:r w:rsidRPr="00A431F0">
                    <w:rPr>
                      <w:bCs/>
                      <w:i/>
                      <w:sz w:val="18"/>
                      <w:szCs w:val="18"/>
                    </w:rPr>
                    <w:t>(EUR in millions)</w:t>
                  </w:r>
                </w:p>
              </w:tc>
              <w:tc>
                <w:tcPr>
                  <w:tcW w:w="715" w:type="pct"/>
                  <w:vAlign w:val="bottom"/>
                </w:tcPr>
                <w:p w:rsidR="00A431F0" w:rsidRPr="00A431F0" w:rsidRDefault="00A431F0" w:rsidP="00304A20">
                  <w:pPr>
                    <w:pBdr>
                      <w:bottom w:val="single" w:sz="4" w:space="1" w:color="auto"/>
                    </w:pBdr>
                    <w:spacing w:before="0" w:after="0"/>
                    <w:ind w:left="45"/>
                    <w:jc w:val="center"/>
                    <w:rPr>
                      <w:sz w:val="18"/>
                      <w:szCs w:val="18"/>
                    </w:rPr>
                  </w:pPr>
                  <w:r w:rsidRPr="00A431F0">
                    <w:rPr>
                      <w:b/>
                      <w:bCs/>
                      <w:sz w:val="18"/>
                      <w:szCs w:val="18"/>
                    </w:rPr>
                    <w:t xml:space="preserve">Year ended </w:t>
                  </w:r>
                  <w:r w:rsidRPr="00A431F0">
                    <w:rPr>
                      <w:b/>
                      <w:bCs/>
                      <w:sz w:val="18"/>
                      <w:szCs w:val="18"/>
                    </w:rPr>
                    <w:br/>
                    <w:t>31 March 2015</w:t>
                  </w:r>
                </w:p>
              </w:tc>
              <w:tc>
                <w:tcPr>
                  <w:tcW w:w="716" w:type="pct"/>
                  <w:vAlign w:val="bottom"/>
                </w:tcPr>
                <w:p w:rsidR="00A431F0" w:rsidRPr="00A431F0" w:rsidRDefault="00A431F0" w:rsidP="00304A20">
                  <w:pPr>
                    <w:pBdr>
                      <w:bottom w:val="single" w:sz="4" w:space="1" w:color="auto"/>
                    </w:pBdr>
                    <w:spacing w:before="0" w:after="0"/>
                    <w:jc w:val="center"/>
                    <w:rPr>
                      <w:b/>
                      <w:bCs/>
                      <w:sz w:val="18"/>
                      <w:szCs w:val="18"/>
                    </w:rPr>
                  </w:pPr>
                  <w:r w:rsidRPr="00A431F0">
                    <w:rPr>
                      <w:b/>
                      <w:bCs/>
                      <w:sz w:val="18"/>
                      <w:szCs w:val="18"/>
                    </w:rPr>
                    <w:t>Year ended 31 March 2014</w:t>
                  </w:r>
                </w:p>
              </w:tc>
              <w:tc>
                <w:tcPr>
                  <w:tcW w:w="716" w:type="pct"/>
                  <w:vAlign w:val="bottom"/>
                </w:tcPr>
                <w:p w:rsidR="00A431F0" w:rsidRPr="00A431F0" w:rsidRDefault="00A431F0" w:rsidP="00A431F0">
                  <w:pPr>
                    <w:pBdr>
                      <w:bottom w:val="single" w:sz="4" w:space="1" w:color="auto"/>
                    </w:pBdr>
                    <w:spacing w:before="0" w:after="0"/>
                    <w:jc w:val="center"/>
                    <w:rPr>
                      <w:sz w:val="18"/>
                      <w:szCs w:val="18"/>
                    </w:rPr>
                  </w:pPr>
                  <w:r w:rsidRPr="00A431F0">
                    <w:rPr>
                      <w:b/>
                      <w:bCs/>
                      <w:sz w:val="18"/>
                      <w:szCs w:val="18"/>
                    </w:rPr>
                    <w:t>Year ended 31 March</w:t>
                  </w:r>
                  <w:r w:rsidRPr="00A431F0">
                    <w:rPr>
                      <w:b/>
                      <w:bCs/>
                      <w:sz w:val="18"/>
                      <w:szCs w:val="18"/>
                    </w:rPr>
                    <w:br/>
                    <w:t>2013</w:t>
                  </w:r>
                </w:p>
              </w:tc>
            </w:tr>
            <w:tr w:rsidR="00A431F0" w:rsidRPr="00A431F0" w:rsidTr="00304A20">
              <w:trPr>
                <w:trHeight w:val="332"/>
              </w:trPr>
              <w:tc>
                <w:tcPr>
                  <w:tcW w:w="2853" w:type="pct"/>
                </w:tcPr>
                <w:p w:rsidR="00A431F0" w:rsidRPr="00A431F0" w:rsidRDefault="00A431F0" w:rsidP="00A431F0">
                  <w:pPr>
                    <w:keepNext/>
                    <w:spacing w:before="0" w:after="0"/>
                    <w:rPr>
                      <w:b/>
                      <w:bCs/>
                      <w:sz w:val="18"/>
                      <w:szCs w:val="18"/>
                    </w:rPr>
                  </w:pPr>
                  <w:r w:rsidRPr="00A431F0">
                    <w:rPr>
                      <w:b/>
                      <w:bCs/>
                      <w:sz w:val="18"/>
                      <w:szCs w:val="18"/>
                    </w:rPr>
                    <w:t>Summary Consolidated Statement of Cashflow</w:t>
                  </w:r>
                </w:p>
              </w:tc>
              <w:tc>
                <w:tcPr>
                  <w:tcW w:w="715" w:type="pct"/>
                </w:tcPr>
                <w:p w:rsidR="00A431F0" w:rsidRPr="00A431F0" w:rsidRDefault="00A431F0" w:rsidP="00A431F0">
                  <w:pPr>
                    <w:spacing w:before="0" w:after="0" w:line="40" w:lineRule="exact"/>
                    <w:jc w:val="right"/>
                    <w:rPr>
                      <w:sz w:val="18"/>
                      <w:szCs w:val="18"/>
                    </w:rPr>
                  </w:pPr>
                  <w:r w:rsidRPr="00A431F0">
                    <w:rPr>
                      <w:sz w:val="18"/>
                      <w:szCs w:val="18"/>
                    </w:rPr>
                    <w:t> </w:t>
                  </w:r>
                </w:p>
              </w:tc>
              <w:tc>
                <w:tcPr>
                  <w:tcW w:w="716" w:type="pct"/>
                </w:tcPr>
                <w:p w:rsidR="00A431F0" w:rsidRPr="00A431F0" w:rsidRDefault="00A431F0" w:rsidP="00A431F0">
                  <w:pPr>
                    <w:spacing w:before="0" w:after="0" w:line="40" w:lineRule="exact"/>
                    <w:jc w:val="right"/>
                    <w:rPr>
                      <w:sz w:val="18"/>
                      <w:szCs w:val="18"/>
                    </w:rPr>
                  </w:pPr>
                </w:p>
              </w:tc>
              <w:tc>
                <w:tcPr>
                  <w:tcW w:w="716" w:type="pct"/>
                </w:tcPr>
                <w:p w:rsidR="00A431F0" w:rsidRPr="00A431F0" w:rsidRDefault="00A431F0" w:rsidP="00A431F0">
                  <w:pPr>
                    <w:spacing w:before="0" w:after="0" w:line="40" w:lineRule="exact"/>
                    <w:jc w:val="right"/>
                    <w:rPr>
                      <w:sz w:val="18"/>
                      <w:szCs w:val="18"/>
                    </w:rPr>
                  </w:pPr>
                  <w:r w:rsidRPr="00A431F0">
                    <w:rPr>
                      <w:sz w:val="18"/>
                      <w:szCs w:val="18"/>
                    </w:rPr>
                    <w:t> </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Cash flow from operating activities</w:t>
                  </w:r>
                  <w:r w:rsidRPr="00A431F0">
                    <w:rPr>
                      <w:sz w:val="18"/>
                      <w:szCs w:val="18"/>
                    </w:rPr>
                    <w:tab/>
                  </w:r>
                </w:p>
              </w:tc>
              <w:tc>
                <w:tcPr>
                  <w:tcW w:w="715" w:type="pct"/>
                  <w:noWrap/>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54.8</w:t>
                  </w:r>
                </w:p>
              </w:tc>
              <w:tc>
                <w:tcPr>
                  <w:tcW w:w="716" w:type="pct"/>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44.1</w:t>
                  </w:r>
                </w:p>
              </w:tc>
              <w:tc>
                <w:tcPr>
                  <w:tcW w:w="71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39.7</w:t>
                  </w:r>
                </w:p>
              </w:tc>
            </w:tr>
            <w:tr w:rsidR="00A431F0" w:rsidRPr="00A431F0" w:rsidTr="00304A20">
              <w:trPr>
                <w:trHeight w:val="267"/>
              </w:trPr>
              <w:tc>
                <w:tcPr>
                  <w:tcW w:w="2853"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Increase in working capital (-)/ decrease in working capital (+)</w:t>
                  </w:r>
                  <w:r w:rsidRPr="00A431F0">
                    <w:rPr>
                      <w:sz w:val="18"/>
                      <w:szCs w:val="18"/>
                    </w:rPr>
                    <w:tab/>
                  </w:r>
                </w:p>
                <w:p w:rsidR="00A431F0" w:rsidRPr="00A431F0" w:rsidRDefault="00A431F0" w:rsidP="00A431F0">
                  <w:pPr>
                    <w:spacing w:before="0" w:after="0" w:line="40" w:lineRule="exact"/>
                    <w:rPr>
                      <w:noProof/>
                      <w:sz w:val="18"/>
                      <w:szCs w:val="18"/>
                      <w:lang w:val="en-US"/>
                    </w:rPr>
                  </w:pPr>
                  <w:r w:rsidRPr="00A431F0">
                    <w:rPr>
                      <w:sz w:val="18"/>
                      <w:szCs w:val="18"/>
                    </w:rPr>
                    <w:t> </w:t>
                  </w:r>
                </w:p>
              </w:tc>
              <w:tc>
                <w:tcPr>
                  <w:tcW w:w="715"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2.6</w:t>
                  </w:r>
                </w:p>
              </w:tc>
              <w:tc>
                <w:tcPr>
                  <w:tcW w:w="716" w:type="pct"/>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(57.7)</w:t>
                  </w:r>
                </w:p>
              </w:tc>
              <w:tc>
                <w:tcPr>
                  <w:tcW w:w="716"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1.8</w:t>
                  </w:r>
                </w:p>
              </w:tc>
            </w:tr>
            <w:tr w:rsidR="00A431F0" w:rsidRPr="00A431F0" w:rsidTr="00304A20">
              <w:tc>
                <w:tcPr>
                  <w:tcW w:w="2853" w:type="pct"/>
                </w:tcPr>
                <w:p w:rsidR="00A431F0" w:rsidRPr="00A431F0" w:rsidRDefault="00A431F0" w:rsidP="00A431F0">
                  <w:pPr>
                    <w:keepNext/>
                    <w:tabs>
                      <w:tab w:val="right" w:leader="dot" w:pos="5160"/>
                    </w:tabs>
                    <w:spacing w:before="0" w:after="0"/>
                    <w:rPr>
                      <w:b/>
                      <w:sz w:val="18"/>
                      <w:szCs w:val="18"/>
                    </w:rPr>
                  </w:pPr>
                  <w:r w:rsidRPr="00A431F0">
                    <w:rPr>
                      <w:b/>
                      <w:sz w:val="18"/>
                      <w:szCs w:val="18"/>
                    </w:rPr>
                    <w:t>Net cash flow from operating activities</w:t>
                  </w:r>
                  <w:r w:rsidRPr="00A431F0">
                    <w:rPr>
                      <w:b/>
                      <w:bCs/>
                      <w:sz w:val="18"/>
                      <w:szCs w:val="18"/>
                    </w:rPr>
                    <w:tab/>
                  </w:r>
                </w:p>
              </w:tc>
              <w:tc>
                <w:tcPr>
                  <w:tcW w:w="715"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57.4</w:t>
                  </w:r>
                </w:p>
              </w:tc>
              <w:tc>
                <w:tcPr>
                  <w:tcW w:w="716" w:type="pct"/>
                </w:tcPr>
                <w:p w:rsidR="00A431F0" w:rsidRPr="00A431F0" w:rsidRDefault="00A431F0" w:rsidP="00A431F0">
                  <w:pPr>
                    <w:tabs>
                      <w:tab w:val="right" w:pos="720"/>
                      <w:tab w:val="decimal" w:pos="760"/>
                    </w:tabs>
                    <w:spacing w:before="0" w:after="0"/>
                    <w:jc w:val="right"/>
                    <w:rPr>
                      <w:b/>
                      <w:bCs/>
                      <w:sz w:val="18"/>
                      <w:szCs w:val="18"/>
                    </w:rPr>
                  </w:pPr>
                  <w:r w:rsidRPr="00A431F0">
                    <w:rPr>
                      <w:b/>
                      <w:bCs/>
                      <w:sz w:val="18"/>
                      <w:szCs w:val="18"/>
                    </w:rPr>
                    <w:t>(13.6)</w:t>
                  </w:r>
                </w:p>
              </w:tc>
              <w:tc>
                <w:tcPr>
                  <w:tcW w:w="716"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41.5</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Cash flow from investing activities</w:t>
                  </w:r>
                  <w:r w:rsidRPr="00A431F0">
                    <w:rPr>
                      <w:sz w:val="18"/>
                      <w:szCs w:val="18"/>
                    </w:rPr>
                    <w:tab/>
                  </w:r>
                </w:p>
              </w:tc>
              <w:tc>
                <w:tcPr>
                  <w:tcW w:w="715"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(48.4)</w:t>
                  </w:r>
                </w:p>
              </w:tc>
              <w:tc>
                <w:tcPr>
                  <w:tcW w:w="716"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62.1</w:t>
                  </w:r>
                </w:p>
              </w:tc>
              <w:tc>
                <w:tcPr>
                  <w:tcW w:w="71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(20.9)</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Cash flow from financing activities</w:t>
                  </w:r>
                  <w:r w:rsidRPr="00A431F0">
                    <w:rPr>
                      <w:sz w:val="18"/>
                      <w:szCs w:val="18"/>
                    </w:rPr>
                    <w:tab/>
                  </w:r>
                </w:p>
              </w:tc>
              <w:tc>
                <w:tcPr>
                  <w:tcW w:w="715"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(0.9)</w:t>
                  </w:r>
                </w:p>
              </w:tc>
              <w:tc>
                <w:tcPr>
                  <w:tcW w:w="716"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(54.7)</w:t>
                  </w:r>
                </w:p>
              </w:tc>
              <w:tc>
                <w:tcPr>
                  <w:tcW w:w="716"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(14.3)</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Effect of exchange rate fluctuation</w:t>
                  </w:r>
                  <w:r w:rsidRPr="00A431F0">
                    <w:rPr>
                      <w:sz w:val="18"/>
                      <w:szCs w:val="18"/>
                    </w:rPr>
                    <w:tab/>
                  </w:r>
                </w:p>
              </w:tc>
              <w:tc>
                <w:tcPr>
                  <w:tcW w:w="715"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(2.6)</w:t>
                  </w:r>
                </w:p>
              </w:tc>
              <w:tc>
                <w:tcPr>
                  <w:tcW w:w="716" w:type="pct"/>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(0.6)</w:t>
                  </w:r>
                </w:p>
              </w:tc>
              <w:tc>
                <w:tcPr>
                  <w:tcW w:w="716"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(0.1)</w:t>
                  </w:r>
                </w:p>
              </w:tc>
            </w:tr>
            <w:tr w:rsidR="00A431F0" w:rsidRPr="00A431F0" w:rsidTr="00304A20">
              <w:tc>
                <w:tcPr>
                  <w:tcW w:w="2853" w:type="pct"/>
                </w:tcPr>
                <w:p w:rsidR="00A431F0" w:rsidRPr="00A431F0" w:rsidRDefault="00A431F0" w:rsidP="00A431F0">
                  <w:pPr>
                    <w:keepNext/>
                    <w:tabs>
                      <w:tab w:val="right" w:leader="dot" w:pos="5160"/>
                    </w:tabs>
                    <w:spacing w:before="0" w:after="0"/>
                    <w:rPr>
                      <w:b/>
                      <w:sz w:val="18"/>
                      <w:szCs w:val="18"/>
                    </w:rPr>
                  </w:pPr>
                  <w:r w:rsidRPr="00A431F0">
                    <w:rPr>
                      <w:b/>
                      <w:sz w:val="18"/>
                      <w:szCs w:val="18"/>
                    </w:rPr>
                    <w:lastRenderedPageBreak/>
                    <w:t>Free cash flow</w:t>
                  </w:r>
                  <w:r w:rsidRPr="00A431F0">
                    <w:rPr>
                      <w:b/>
                      <w:sz w:val="18"/>
                      <w:szCs w:val="18"/>
                    </w:rPr>
                    <w:tab/>
                  </w:r>
                </w:p>
              </w:tc>
              <w:tc>
                <w:tcPr>
                  <w:tcW w:w="715" w:type="pct"/>
                  <w:noWrap/>
                </w:tcPr>
                <w:p w:rsidR="00A431F0" w:rsidRPr="00A431F0" w:rsidRDefault="00A431F0" w:rsidP="00A431F0">
                  <w:pPr>
                    <w:pBdr>
                      <w:bottom w:val="single" w:sz="4" w:space="1" w:color="auto"/>
                    </w:pBdr>
                    <w:tabs>
                      <w:tab w:val="right" w:pos="720"/>
                      <w:tab w:val="decimal" w:pos="760"/>
                    </w:tabs>
                    <w:spacing w:before="0" w:after="0"/>
                    <w:jc w:val="right"/>
                    <w:rPr>
                      <w:b/>
                      <w:sz w:val="18"/>
                      <w:szCs w:val="18"/>
                    </w:rPr>
                  </w:pPr>
                  <w:r w:rsidRPr="00A431F0">
                    <w:rPr>
                      <w:b/>
                      <w:sz w:val="18"/>
                      <w:szCs w:val="18"/>
                    </w:rPr>
                    <w:t>5.5</w:t>
                  </w:r>
                </w:p>
              </w:tc>
              <w:tc>
                <w:tcPr>
                  <w:tcW w:w="716" w:type="pct"/>
                </w:tcPr>
                <w:p w:rsidR="00A431F0" w:rsidRPr="00A431F0" w:rsidRDefault="00A431F0" w:rsidP="00A431F0">
                  <w:pPr>
                    <w:pBdr>
                      <w:bottom w:val="single" w:sz="4" w:space="1" w:color="auto"/>
                    </w:pBdr>
                    <w:tabs>
                      <w:tab w:val="right" w:pos="720"/>
                      <w:tab w:val="decimal" w:pos="760"/>
                    </w:tabs>
                    <w:spacing w:before="0" w:after="0"/>
                    <w:jc w:val="right"/>
                    <w:rPr>
                      <w:b/>
                      <w:sz w:val="18"/>
                      <w:szCs w:val="18"/>
                    </w:rPr>
                  </w:pPr>
                  <w:r w:rsidRPr="00A431F0">
                    <w:rPr>
                      <w:b/>
                      <w:sz w:val="18"/>
                      <w:szCs w:val="18"/>
                    </w:rPr>
                    <w:t>(6.8)</w:t>
                  </w:r>
                </w:p>
              </w:tc>
              <w:tc>
                <w:tcPr>
                  <w:tcW w:w="716" w:type="pct"/>
                  <w:noWrap/>
                </w:tcPr>
                <w:p w:rsidR="00A431F0" w:rsidRPr="00A431F0" w:rsidRDefault="00A431F0" w:rsidP="00A431F0">
                  <w:pPr>
                    <w:pBdr>
                      <w:bottom w:val="single" w:sz="4" w:space="1" w:color="auto"/>
                    </w:pBdr>
                    <w:tabs>
                      <w:tab w:val="right" w:pos="720"/>
                      <w:tab w:val="decimal" w:pos="760"/>
                    </w:tabs>
                    <w:spacing w:before="0" w:after="0"/>
                    <w:jc w:val="right"/>
                    <w:rPr>
                      <w:b/>
                      <w:sz w:val="18"/>
                      <w:szCs w:val="18"/>
                    </w:rPr>
                  </w:pPr>
                  <w:r w:rsidRPr="00A431F0">
                    <w:rPr>
                      <w:b/>
                      <w:sz w:val="18"/>
                      <w:szCs w:val="18"/>
                    </w:rPr>
                    <w:t>6.2</w:t>
                  </w:r>
                </w:p>
              </w:tc>
            </w:tr>
            <w:tr w:rsidR="00A431F0" w:rsidRPr="00A431F0" w:rsidTr="00304A20">
              <w:tc>
                <w:tcPr>
                  <w:tcW w:w="2853"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Cash and cash equivalents, opening balance</w:t>
                  </w:r>
                  <w:r w:rsidRPr="00A431F0">
                    <w:rPr>
                      <w:sz w:val="18"/>
                      <w:szCs w:val="18"/>
                    </w:rPr>
                    <w:tab/>
                  </w:r>
                </w:p>
              </w:tc>
              <w:tc>
                <w:tcPr>
                  <w:tcW w:w="715"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15.0</w:t>
                  </w:r>
                </w:p>
              </w:tc>
              <w:tc>
                <w:tcPr>
                  <w:tcW w:w="716" w:type="pct"/>
                </w:tcPr>
                <w:p w:rsidR="00A431F0" w:rsidRPr="00A431F0" w:rsidRDefault="00A431F0" w:rsidP="00A431F0">
                  <w:pPr>
                    <w:tabs>
                      <w:tab w:val="right" w:pos="720"/>
                      <w:tab w:val="decimal" w:pos="760"/>
                    </w:tabs>
                    <w:spacing w:before="0" w:after="0"/>
                    <w:jc w:val="right"/>
                    <w:rPr>
                      <w:b/>
                      <w:bCs/>
                      <w:sz w:val="18"/>
                      <w:szCs w:val="18"/>
                    </w:rPr>
                  </w:pPr>
                  <w:r w:rsidRPr="00A431F0">
                    <w:rPr>
                      <w:b/>
                      <w:bCs/>
                      <w:sz w:val="18"/>
                      <w:szCs w:val="18"/>
                    </w:rPr>
                    <w:t>21.8</w:t>
                  </w:r>
                </w:p>
              </w:tc>
              <w:tc>
                <w:tcPr>
                  <w:tcW w:w="716"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15.6</w:t>
                  </w:r>
                </w:p>
              </w:tc>
            </w:tr>
            <w:tr w:rsidR="00A431F0" w:rsidRPr="00A431F0" w:rsidTr="00304A20">
              <w:trPr>
                <w:trHeight w:val="267"/>
              </w:trPr>
              <w:tc>
                <w:tcPr>
                  <w:tcW w:w="2853" w:type="pct"/>
                </w:tcPr>
                <w:p w:rsidR="00A431F0" w:rsidRPr="00A431F0" w:rsidRDefault="00A431F0" w:rsidP="00A431F0">
                  <w:pPr>
                    <w:keepNext/>
                    <w:tabs>
                      <w:tab w:val="right" w:leader="dot" w:pos="5160"/>
                    </w:tabs>
                    <w:spacing w:before="0" w:after="0"/>
                    <w:ind w:left="240" w:hanging="240"/>
                    <w:rPr>
                      <w:sz w:val="18"/>
                      <w:szCs w:val="18"/>
                    </w:rPr>
                  </w:pPr>
                  <w:r w:rsidRPr="00A431F0">
                    <w:rPr>
                      <w:b/>
                      <w:sz w:val="18"/>
                      <w:szCs w:val="18"/>
                    </w:rPr>
                    <w:t>Cash and cash equivalents, closing balance</w:t>
                  </w:r>
                  <w:r w:rsidRPr="00A431F0">
                    <w:rPr>
                      <w:sz w:val="18"/>
                      <w:szCs w:val="18"/>
                    </w:rPr>
                    <w:tab/>
                  </w:r>
                </w:p>
              </w:tc>
              <w:tc>
                <w:tcPr>
                  <w:tcW w:w="715"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20.5</w:t>
                  </w:r>
                </w:p>
              </w:tc>
              <w:tc>
                <w:tcPr>
                  <w:tcW w:w="716" w:type="pct"/>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15.0</w:t>
                  </w:r>
                </w:p>
              </w:tc>
              <w:tc>
                <w:tcPr>
                  <w:tcW w:w="716"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21.8</w:t>
                  </w:r>
                </w:p>
              </w:tc>
            </w:tr>
          </w:tbl>
          <w:p w:rsidR="00A431F0" w:rsidRPr="00A431F0" w:rsidRDefault="00A431F0" w:rsidP="00A431F0">
            <w:pPr>
              <w:keepNext/>
              <w:numPr>
                <w:ilvl w:val="1"/>
                <w:numId w:val="0"/>
              </w:numPr>
              <w:tabs>
                <w:tab w:val="num" w:pos="720"/>
              </w:tabs>
              <w:ind w:left="720" w:hanging="720"/>
              <w:outlineLvl w:val="1"/>
              <w:rPr>
                <w:rFonts w:eastAsia="SimSun"/>
                <w:b/>
                <w:szCs w:val="20"/>
              </w:rPr>
            </w:pPr>
            <w:r w:rsidRPr="00A431F0">
              <w:rPr>
                <w:rFonts w:eastAsia="SimSun"/>
                <w:b/>
                <w:szCs w:val="20"/>
              </w:rPr>
              <w:t>Key figures of the Univeg Group</w:t>
            </w:r>
          </w:p>
          <w:tbl>
            <w:tblPr>
              <w:tblW w:w="5000" w:type="pct"/>
              <w:tblLayout w:type="fixed"/>
              <w:tblLook w:val="0000" w:firstRow="0" w:lastRow="0" w:firstColumn="0" w:lastColumn="0" w:noHBand="0" w:noVBand="0"/>
            </w:tblPr>
            <w:tblGrid>
              <w:gridCol w:w="5317"/>
              <w:gridCol w:w="1370"/>
              <w:gridCol w:w="6"/>
              <w:gridCol w:w="1364"/>
              <w:gridCol w:w="13"/>
            </w:tblGrid>
            <w:tr w:rsidR="00A431F0" w:rsidRPr="00A431F0" w:rsidTr="00304A20">
              <w:tc>
                <w:tcPr>
                  <w:tcW w:w="3294" w:type="pct"/>
                  <w:vAlign w:val="center"/>
                </w:tcPr>
                <w:p w:rsidR="00A431F0" w:rsidRPr="00A431F0" w:rsidRDefault="00A431F0" w:rsidP="00A431F0">
                  <w:pPr>
                    <w:keepNext/>
                    <w:spacing w:before="0" w:after="0"/>
                    <w:ind w:left="240" w:hanging="240"/>
                    <w:jc w:val="left"/>
                    <w:rPr>
                      <w:bCs/>
                      <w:i/>
                      <w:sz w:val="18"/>
                      <w:szCs w:val="18"/>
                    </w:rPr>
                  </w:pPr>
                  <w:r w:rsidRPr="00A431F0">
                    <w:rPr>
                      <w:bCs/>
                      <w:i/>
                      <w:sz w:val="18"/>
                      <w:szCs w:val="18"/>
                    </w:rPr>
                    <w:t>(EUR in millions)</w:t>
                  </w:r>
                </w:p>
              </w:tc>
              <w:tc>
                <w:tcPr>
                  <w:tcW w:w="853" w:type="pct"/>
                  <w:gridSpan w:val="2"/>
                  <w:vAlign w:val="bottom"/>
                </w:tcPr>
                <w:p w:rsidR="00A431F0" w:rsidRPr="00A431F0" w:rsidRDefault="00A431F0" w:rsidP="00304A20">
                  <w:pPr>
                    <w:pBdr>
                      <w:bottom w:val="single" w:sz="4" w:space="1" w:color="auto"/>
                    </w:pBdr>
                    <w:spacing w:before="0" w:after="0"/>
                    <w:ind w:hanging="227"/>
                    <w:jc w:val="center"/>
                    <w:rPr>
                      <w:sz w:val="18"/>
                      <w:szCs w:val="18"/>
                    </w:rPr>
                  </w:pPr>
                  <w:r w:rsidRPr="00A431F0">
                    <w:rPr>
                      <w:b/>
                      <w:bCs/>
                      <w:sz w:val="18"/>
                      <w:szCs w:val="18"/>
                    </w:rPr>
                    <w:t xml:space="preserve">Year ended </w:t>
                  </w:r>
                  <w:r w:rsidRPr="00A431F0">
                    <w:rPr>
                      <w:b/>
                      <w:bCs/>
                      <w:sz w:val="18"/>
                      <w:szCs w:val="18"/>
                    </w:rPr>
                    <w:br/>
                    <w:t>31 December 2014</w:t>
                  </w:r>
                </w:p>
              </w:tc>
              <w:tc>
                <w:tcPr>
                  <w:tcW w:w="853" w:type="pct"/>
                  <w:gridSpan w:val="2"/>
                  <w:vAlign w:val="bottom"/>
                </w:tcPr>
                <w:p w:rsidR="00A431F0" w:rsidRPr="00A431F0" w:rsidRDefault="00A431F0" w:rsidP="00A431F0">
                  <w:pPr>
                    <w:pBdr>
                      <w:bottom w:val="single" w:sz="4" w:space="1" w:color="auto"/>
                    </w:pBdr>
                    <w:spacing w:before="0" w:after="0"/>
                    <w:jc w:val="center"/>
                    <w:rPr>
                      <w:sz w:val="18"/>
                      <w:szCs w:val="18"/>
                    </w:rPr>
                  </w:pPr>
                  <w:r w:rsidRPr="00A431F0">
                    <w:rPr>
                      <w:b/>
                      <w:bCs/>
                      <w:sz w:val="18"/>
                      <w:szCs w:val="18"/>
                    </w:rPr>
                    <w:t xml:space="preserve">Year ended 31 December </w:t>
                  </w:r>
                  <w:r w:rsidRPr="00A431F0">
                    <w:rPr>
                      <w:b/>
                      <w:bCs/>
                      <w:sz w:val="18"/>
                      <w:szCs w:val="18"/>
                    </w:rPr>
                    <w:br/>
                    <w:t>2013</w:t>
                  </w:r>
                </w:p>
              </w:tc>
            </w:tr>
            <w:tr w:rsidR="00A431F0" w:rsidRPr="00A431F0" w:rsidTr="00304A20">
              <w:trPr>
                <w:trHeight w:val="332"/>
              </w:trPr>
              <w:tc>
                <w:tcPr>
                  <w:tcW w:w="3294" w:type="pct"/>
                </w:tcPr>
                <w:p w:rsidR="00A431F0" w:rsidRPr="00A431F0" w:rsidRDefault="00A431F0" w:rsidP="00A431F0">
                  <w:pPr>
                    <w:keepNext/>
                    <w:spacing w:before="0" w:after="0"/>
                    <w:rPr>
                      <w:b/>
                      <w:bCs/>
                      <w:sz w:val="18"/>
                      <w:szCs w:val="18"/>
                    </w:rPr>
                  </w:pPr>
                  <w:r w:rsidRPr="00A431F0">
                    <w:rPr>
                      <w:b/>
                      <w:bCs/>
                      <w:sz w:val="18"/>
                      <w:szCs w:val="18"/>
                    </w:rPr>
                    <w:t>Summary Consolidated Statement of Income Data</w:t>
                  </w:r>
                </w:p>
              </w:tc>
              <w:tc>
                <w:tcPr>
                  <w:tcW w:w="853" w:type="pct"/>
                  <w:gridSpan w:val="2"/>
                </w:tcPr>
                <w:p w:rsidR="00A431F0" w:rsidRPr="00A431F0" w:rsidRDefault="00A431F0" w:rsidP="00A431F0">
                  <w:pPr>
                    <w:spacing w:before="0" w:after="0" w:line="40" w:lineRule="exact"/>
                    <w:jc w:val="right"/>
                    <w:rPr>
                      <w:sz w:val="18"/>
                      <w:szCs w:val="18"/>
                    </w:rPr>
                  </w:pPr>
                  <w:r w:rsidRPr="00A431F0">
                    <w:rPr>
                      <w:sz w:val="18"/>
                      <w:szCs w:val="18"/>
                    </w:rPr>
                    <w:t> </w:t>
                  </w:r>
                </w:p>
              </w:tc>
              <w:tc>
                <w:tcPr>
                  <w:tcW w:w="853" w:type="pct"/>
                  <w:gridSpan w:val="2"/>
                </w:tcPr>
                <w:p w:rsidR="00A431F0" w:rsidRPr="00A431F0" w:rsidRDefault="00A431F0" w:rsidP="00A431F0">
                  <w:pPr>
                    <w:spacing w:before="0" w:after="0" w:line="40" w:lineRule="exact"/>
                    <w:jc w:val="right"/>
                    <w:rPr>
                      <w:sz w:val="18"/>
                      <w:szCs w:val="18"/>
                    </w:rPr>
                  </w:pPr>
                  <w:r w:rsidRPr="00A431F0">
                    <w:rPr>
                      <w:sz w:val="18"/>
                      <w:szCs w:val="18"/>
                    </w:rPr>
                    <w:t> </w:t>
                  </w:r>
                </w:p>
              </w:tc>
            </w:tr>
            <w:tr w:rsidR="00A431F0" w:rsidRPr="00A431F0" w:rsidTr="00304A20">
              <w:tc>
                <w:tcPr>
                  <w:tcW w:w="3294"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Revenue from sales</w:t>
                  </w:r>
                  <w:r w:rsidRPr="00A431F0">
                    <w:rPr>
                      <w:sz w:val="18"/>
                      <w:szCs w:val="18"/>
                    </w:rPr>
                    <w:tab/>
                  </w:r>
                </w:p>
              </w:tc>
              <w:tc>
                <w:tcPr>
                  <w:tcW w:w="853" w:type="pct"/>
                  <w:gridSpan w:val="2"/>
                  <w:noWrap/>
                </w:tcPr>
                <w:p w:rsidR="00A431F0" w:rsidRPr="00A431F0" w:rsidRDefault="00A431F0" w:rsidP="00A431F0">
                  <w:pPr>
                    <w:tabs>
                      <w:tab w:val="right" w:pos="720"/>
                      <w:tab w:val="decimal" w:pos="760"/>
                    </w:tabs>
                    <w:spacing w:before="0" w:after="0"/>
                    <w:jc w:val="right"/>
                    <w:rPr>
                      <w:b/>
                      <w:bCs/>
                      <w:sz w:val="18"/>
                      <w:szCs w:val="18"/>
                    </w:rPr>
                  </w:pPr>
                  <w:r w:rsidRPr="00A431F0">
                    <w:rPr>
                      <w:b/>
                      <w:bCs/>
                      <w:sz w:val="18"/>
                      <w:szCs w:val="18"/>
                    </w:rPr>
                    <w:t>3,264.7</w:t>
                  </w:r>
                </w:p>
              </w:tc>
              <w:tc>
                <w:tcPr>
                  <w:tcW w:w="853" w:type="pct"/>
                  <w:gridSpan w:val="2"/>
                  <w:noWrap/>
                </w:tcPr>
                <w:p w:rsidR="00A431F0" w:rsidRPr="00A431F0" w:rsidRDefault="00A431F0" w:rsidP="00A431F0">
                  <w:pPr>
                    <w:tabs>
                      <w:tab w:val="right" w:pos="720"/>
                      <w:tab w:val="decimal" w:pos="760"/>
                    </w:tabs>
                    <w:spacing w:before="0" w:after="0"/>
                    <w:jc w:val="right"/>
                    <w:rPr>
                      <w:sz w:val="18"/>
                      <w:szCs w:val="18"/>
                    </w:rPr>
                  </w:pPr>
                  <w:r w:rsidRPr="00A431F0">
                    <w:rPr>
                      <w:b/>
                      <w:bCs/>
                      <w:sz w:val="18"/>
                      <w:szCs w:val="18"/>
                    </w:rPr>
                    <w:t>3,134.6</w:t>
                  </w:r>
                </w:p>
              </w:tc>
            </w:tr>
            <w:tr w:rsidR="00A431F0" w:rsidRPr="00A431F0" w:rsidTr="00304A20">
              <w:trPr>
                <w:trHeight w:val="267"/>
              </w:trPr>
              <w:tc>
                <w:tcPr>
                  <w:tcW w:w="3294"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Cost of sales</w:t>
                  </w:r>
                  <w:r w:rsidRPr="00A431F0">
                    <w:rPr>
                      <w:sz w:val="18"/>
                      <w:szCs w:val="18"/>
                    </w:rPr>
                    <w:tab/>
                  </w:r>
                </w:p>
                <w:p w:rsidR="00A431F0" w:rsidRPr="00A431F0" w:rsidRDefault="00A431F0" w:rsidP="00A431F0">
                  <w:pPr>
                    <w:spacing w:before="0" w:after="0" w:line="40" w:lineRule="exact"/>
                    <w:rPr>
                      <w:noProof/>
                      <w:sz w:val="18"/>
                      <w:szCs w:val="18"/>
                      <w:lang w:val="en-US"/>
                    </w:rPr>
                  </w:pPr>
                  <w:r w:rsidRPr="00A431F0">
                    <w:rPr>
                      <w:sz w:val="18"/>
                      <w:szCs w:val="18"/>
                    </w:rPr>
                    <w:t> </w:t>
                  </w:r>
                </w:p>
              </w:tc>
              <w:tc>
                <w:tcPr>
                  <w:tcW w:w="853" w:type="pct"/>
                  <w:gridSpan w:val="2"/>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(3,052.8)</w:t>
                  </w:r>
                </w:p>
              </w:tc>
              <w:tc>
                <w:tcPr>
                  <w:tcW w:w="853" w:type="pct"/>
                  <w:gridSpan w:val="2"/>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(2,925.1)</w:t>
                  </w:r>
                </w:p>
              </w:tc>
            </w:tr>
            <w:tr w:rsidR="00A431F0" w:rsidRPr="00A431F0" w:rsidTr="00304A20">
              <w:tc>
                <w:tcPr>
                  <w:tcW w:w="3294"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Gross</w:t>
                  </w:r>
                  <w:r w:rsidRPr="00A431F0">
                    <w:rPr>
                      <w:b/>
                      <w:bCs/>
                      <w:sz w:val="18"/>
                      <w:szCs w:val="18"/>
                    </w:rPr>
                    <w:t xml:space="preserve"> profit</w:t>
                  </w:r>
                  <w:r w:rsidRPr="00A431F0">
                    <w:rPr>
                      <w:bCs/>
                      <w:sz w:val="18"/>
                      <w:szCs w:val="18"/>
                    </w:rPr>
                    <w:tab/>
                  </w:r>
                </w:p>
              </w:tc>
              <w:tc>
                <w:tcPr>
                  <w:tcW w:w="853" w:type="pct"/>
                  <w:gridSpan w:val="2"/>
                  <w:noWrap/>
                </w:tcPr>
                <w:p w:rsidR="00A431F0" w:rsidRPr="00A431F0" w:rsidRDefault="00A431F0" w:rsidP="00A431F0">
                  <w:pPr>
                    <w:tabs>
                      <w:tab w:val="right" w:pos="720"/>
                      <w:tab w:val="decimal" w:pos="760"/>
                    </w:tabs>
                    <w:spacing w:before="0" w:after="0"/>
                    <w:jc w:val="right"/>
                    <w:rPr>
                      <w:sz w:val="18"/>
                      <w:szCs w:val="18"/>
                    </w:rPr>
                  </w:pPr>
                  <w:r w:rsidRPr="00A431F0">
                    <w:rPr>
                      <w:b/>
                      <w:bCs/>
                      <w:sz w:val="18"/>
                      <w:szCs w:val="18"/>
                    </w:rPr>
                    <w:t>211.9</w:t>
                  </w:r>
                </w:p>
              </w:tc>
              <w:tc>
                <w:tcPr>
                  <w:tcW w:w="853" w:type="pct"/>
                  <w:gridSpan w:val="2"/>
                  <w:noWrap/>
                </w:tcPr>
                <w:p w:rsidR="00A431F0" w:rsidRPr="00A431F0" w:rsidRDefault="00A431F0" w:rsidP="00A431F0">
                  <w:pPr>
                    <w:tabs>
                      <w:tab w:val="right" w:pos="720"/>
                      <w:tab w:val="decimal" w:pos="760"/>
                    </w:tabs>
                    <w:spacing w:before="0" w:after="0"/>
                    <w:jc w:val="right"/>
                    <w:rPr>
                      <w:sz w:val="18"/>
                      <w:szCs w:val="18"/>
                    </w:rPr>
                  </w:pPr>
                  <w:r w:rsidRPr="00A431F0">
                    <w:rPr>
                      <w:b/>
                      <w:bCs/>
                      <w:sz w:val="18"/>
                      <w:szCs w:val="18"/>
                    </w:rPr>
                    <w:t>209.5</w:t>
                  </w:r>
                </w:p>
              </w:tc>
            </w:tr>
            <w:tr w:rsidR="00A431F0" w:rsidRPr="00A431F0" w:rsidTr="00304A20">
              <w:tc>
                <w:tcPr>
                  <w:tcW w:w="3294"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Selling, marketing and distribution expenses</w:t>
                  </w:r>
                  <w:r w:rsidRPr="00A431F0">
                    <w:rPr>
                      <w:sz w:val="18"/>
                      <w:szCs w:val="18"/>
                    </w:rPr>
                    <w:tab/>
                  </w:r>
                </w:p>
              </w:tc>
              <w:tc>
                <w:tcPr>
                  <w:tcW w:w="853" w:type="pct"/>
                  <w:gridSpan w:val="2"/>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(64.6)</w:t>
                  </w:r>
                </w:p>
              </w:tc>
              <w:tc>
                <w:tcPr>
                  <w:tcW w:w="853" w:type="pct"/>
                  <w:gridSpan w:val="2"/>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(60.3)</w:t>
                  </w:r>
                </w:p>
              </w:tc>
            </w:tr>
            <w:tr w:rsidR="00A431F0" w:rsidRPr="00A431F0" w:rsidTr="00304A20">
              <w:tc>
                <w:tcPr>
                  <w:tcW w:w="3294"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General &amp; administrative expenses</w:t>
                  </w:r>
                  <w:r w:rsidRPr="00A431F0">
                    <w:rPr>
                      <w:sz w:val="18"/>
                      <w:szCs w:val="18"/>
                    </w:rPr>
                    <w:tab/>
                  </w:r>
                </w:p>
              </w:tc>
              <w:tc>
                <w:tcPr>
                  <w:tcW w:w="853" w:type="pct"/>
                  <w:gridSpan w:val="2"/>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(112.7)</w:t>
                  </w:r>
                </w:p>
              </w:tc>
              <w:tc>
                <w:tcPr>
                  <w:tcW w:w="853" w:type="pct"/>
                  <w:gridSpan w:val="2"/>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(109.5)</w:t>
                  </w:r>
                </w:p>
              </w:tc>
            </w:tr>
            <w:tr w:rsidR="00A431F0" w:rsidRPr="00A431F0" w:rsidTr="00304A20">
              <w:tc>
                <w:tcPr>
                  <w:tcW w:w="3294"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Other operating income/(expense), net</w:t>
                  </w:r>
                  <w:r w:rsidRPr="00A431F0">
                    <w:rPr>
                      <w:sz w:val="18"/>
                      <w:szCs w:val="18"/>
                    </w:rPr>
                    <w:tab/>
                  </w:r>
                </w:p>
              </w:tc>
              <w:tc>
                <w:tcPr>
                  <w:tcW w:w="853" w:type="pct"/>
                  <w:gridSpan w:val="2"/>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3.7</w:t>
                  </w:r>
                </w:p>
              </w:tc>
              <w:tc>
                <w:tcPr>
                  <w:tcW w:w="853" w:type="pct"/>
                  <w:gridSpan w:val="2"/>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1.9</w:t>
                  </w:r>
                </w:p>
              </w:tc>
            </w:tr>
            <w:tr w:rsidR="00A431F0" w:rsidRPr="00A431F0" w:rsidTr="00304A20">
              <w:tc>
                <w:tcPr>
                  <w:tcW w:w="3294"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Operating profit/(loss) before non-recurring items</w:t>
                  </w:r>
                  <w:r w:rsidRPr="00A431F0">
                    <w:rPr>
                      <w:sz w:val="18"/>
                      <w:szCs w:val="18"/>
                    </w:rPr>
                    <w:tab/>
                  </w:r>
                </w:p>
              </w:tc>
              <w:tc>
                <w:tcPr>
                  <w:tcW w:w="853" w:type="pct"/>
                  <w:gridSpan w:val="2"/>
                  <w:noWrap/>
                </w:tcPr>
                <w:p w:rsidR="00A431F0" w:rsidRPr="00A431F0" w:rsidRDefault="00A431F0" w:rsidP="00A431F0">
                  <w:pPr>
                    <w:tabs>
                      <w:tab w:val="right" w:pos="720"/>
                      <w:tab w:val="decimal" w:pos="760"/>
                    </w:tabs>
                    <w:spacing w:before="0" w:after="0"/>
                    <w:jc w:val="right"/>
                    <w:rPr>
                      <w:sz w:val="18"/>
                      <w:szCs w:val="18"/>
                    </w:rPr>
                  </w:pPr>
                  <w:r w:rsidRPr="00A431F0">
                    <w:rPr>
                      <w:b/>
                      <w:bCs/>
                      <w:sz w:val="18"/>
                      <w:szCs w:val="18"/>
                    </w:rPr>
                    <w:t>38.3</w:t>
                  </w:r>
                </w:p>
              </w:tc>
              <w:tc>
                <w:tcPr>
                  <w:tcW w:w="853" w:type="pct"/>
                  <w:gridSpan w:val="2"/>
                  <w:noWrap/>
                </w:tcPr>
                <w:p w:rsidR="00A431F0" w:rsidRPr="00A431F0" w:rsidRDefault="00A431F0" w:rsidP="00A431F0">
                  <w:pPr>
                    <w:tabs>
                      <w:tab w:val="right" w:pos="720"/>
                      <w:tab w:val="decimal" w:pos="760"/>
                    </w:tabs>
                    <w:spacing w:before="0" w:after="0"/>
                    <w:jc w:val="right"/>
                    <w:rPr>
                      <w:sz w:val="18"/>
                      <w:szCs w:val="18"/>
                    </w:rPr>
                  </w:pPr>
                  <w:r w:rsidRPr="00A431F0">
                    <w:rPr>
                      <w:b/>
                      <w:bCs/>
                      <w:sz w:val="18"/>
                      <w:szCs w:val="18"/>
                    </w:rPr>
                    <w:t>41.6</w:t>
                  </w:r>
                </w:p>
              </w:tc>
            </w:tr>
            <w:tr w:rsidR="00A431F0" w:rsidRPr="00A431F0" w:rsidTr="00304A20">
              <w:tc>
                <w:tcPr>
                  <w:tcW w:w="3294"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Non-recurring items</w:t>
                  </w:r>
                  <w:r w:rsidRPr="00A431F0">
                    <w:rPr>
                      <w:sz w:val="18"/>
                      <w:szCs w:val="18"/>
                    </w:rPr>
                    <w:tab/>
                  </w:r>
                </w:p>
              </w:tc>
              <w:tc>
                <w:tcPr>
                  <w:tcW w:w="853" w:type="pct"/>
                  <w:gridSpan w:val="2"/>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15.0</w:t>
                  </w:r>
                </w:p>
              </w:tc>
              <w:tc>
                <w:tcPr>
                  <w:tcW w:w="853" w:type="pct"/>
                  <w:gridSpan w:val="2"/>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13.9</w:t>
                  </w:r>
                </w:p>
              </w:tc>
            </w:tr>
            <w:tr w:rsidR="00A431F0" w:rsidRPr="00A431F0" w:rsidTr="00304A20">
              <w:tc>
                <w:tcPr>
                  <w:tcW w:w="3294"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Operating profit/(loss) after non-recurring items</w:t>
                  </w:r>
                  <w:r w:rsidRPr="00A431F0">
                    <w:rPr>
                      <w:sz w:val="18"/>
                      <w:szCs w:val="18"/>
                    </w:rPr>
                    <w:tab/>
                  </w:r>
                </w:p>
              </w:tc>
              <w:tc>
                <w:tcPr>
                  <w:tcW w:w="853" w:type="pct"/>
                  <w:gridSpan w:val="2"/>
                  <w:noWrap/>
                </w:tcPr>
                <w:p w:rsidR="00A431F0" w:rsidRPr="00A431F0" w:rsidRDefault="00A431F0" w:rsidP="00A431F0">
                  <w:pPr>
                    <w:tabs>
                      <w:tab w:val="right" w:pos="720"/>
                      <w:tab w:val="decimal" w:pos="760"/>
                    </w:tabs>
                    <w:spacing w:before="0" w:after="0"/>
                    <w:jc w:val="right"/>
                    <w:rPr>
                      <w:sz w:val="18"/>
                      <w:szCs w:val="18"/>
                    </w:rPr>
                  </w:pPr>
                  <w:r w:rsidRPr="00A431F0">
                    <w:rPr>
                      <w:b/>
                      <w:bCs/>
                      <w:sz w:val="18"/>
                      <w:szCs w:val="18"/>
                    </w:rPr>
                    <w:t>53.3</w:t>
                  </w:r>
                </w:p>
              </w:tc>
              <w:tc>
                <w:tcPr>
                  <w:tcW w:w="853" w:type="pct"/>
                  <w:gridSpan w:val="2"/>
                  <w:noWrap/>
                </w:tcPr>
                <w:p w:rsidR="00A431F0" w:rsidRPr="00A431F0" w:rsidRDefault="00A431F0" w:rsidP="00A431F0">
                  <w:pPr>
                    <w:tabs>
                      <w:tab w:val="right" w:pos="720"/>
                      <w:tab w:val="decimal" w:pos="760"/>
                    </w:tabs>
                    <w:spacing w:before="0" w:after="0"/>
                    <w:jc w:val="right"/>
                    <w:rPr>
                      <w:sz w:val="18"/>
                      <w:szCs w:val="18"/>
                    </w:rPr>
                  </w:pPr>
                  <w:r w:rsidRPr="00A431F0">
                    <w:rPr>
                      <w:b/>
                      <w:bCs/>
                      <w:sz w:val="18"/>
                      <w:szCs w:val="18"/>
                    </w:rPr>
                    <w:t>55.5</w:t>
                  </w:r>
                </w:p>
              </w:tc>
            </w:tr>
            <w:tr w:rsidR="00A431F0" w:rsidRPr="00A431F0" w:rsidTr="00304A20">
              <w:tc>
                <w:tcPr>
                  <w:tcW w:w="3294"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Financial income/(expense)</w:t>
                  </w:r>
                  <w:r w:rsidRPr="00A431F0">
                    <w:rPr>
                      <w:sz w:val="18"/>
                      <w:szCs w:val="18"/>
                    </w:rPr>
                    <w:tab/>
                  </w:r>
                </w:p>
              </w:tc>
              <w:tc>
                <w:tcPr>
                  <w:tcW w:w="853" w:type="pct"/>
                  <w:gridSpan w:val="2"/>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(40.4)</w:t>
                  </w:r>
                </w:p>
              </w:tc>
              <w:tc>
                <w:tcPr>
                  <w:tcW w:w="853" w:type="pct"/>
                  <w:gridSpan w:val="2"/>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(34.1)</w:t>
                  </w:r>
                </w:p>
              </w:tc>
            </w:tr>
            <w:tr w:rsidR="00A431F0" w:rsidRPr="00A431F0" w:rsidTr="00304A20">
              <w:tc>
                <w:tcPr>
                  <w:tcW w:w="3294"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Share of profit of equity accounted investments</w:t>
                  </w:r>
                  <w:r w:rsidRPr="00A431F0">
                    <w:rPr>
                      <w:sz w:val="18"/>
                      <w:szCs w:val="18"/>
                    </w:rPr>
                    <w:tab/>
                  </w:r>
                </w:p>
              </w:tc>
              <w:tc>
                <w:tcPr>
                  <w:tcW w:w="853" w:type="pct"/>
                  <w:gridSpan w:val="2"/>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1.6</w:t>
                  </w:r>
                </w:p>
              </w:tc>
              <w:tc>
                <w:tcPr>
                  <w:tcW w:w="853" w:type="pct"/>
                  <w:gridSpan w:val="2"/>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0.4</w:t>
                  </w:r>
                </w:p>
              </w:tc>
            </w:tr>
            <w:tr w:rsidR="00A431F0" w:rsidRPr="00A431F0" w:rsidTr="00304A20">
              <w:tc>
                <w:tcPr>
                  <w:tcW w:w="3294"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Profit/(loss) before income tax</w:t>
                  </w:r>
                  <w:r w:rsidRPr="00A431F0">
                    <w:rPr>
                      <w:sz w:val="18"/>
                      <w:szCs w:val="18"/>
                    </w:rPr>
                    <w:tab/>
                  </w:r>
                </w:p>
              </w:tc>
              <w:tc>
                <w:tcPr>
                  <w:tcW w:w="853" w:type="pct"/>
                  <w:gridSpan w:val="2"/>
                  <w:noWrap/>
                </w:tcPr>
                <w:p w:rsidR="00A431F0" w:rsidRPr="00A431F0" w:rsidRDefault="00A431F0" w:rsidP="00A431F0">
                  <w:pPr>
                    <w:tabs>
                      <w:tab w:val="right" w:pos="720"/>
                      <w:tab w:val="decimal" w:pos="760"/>
                    </w:tabs>
                    <w:spacing w:before="0" w:after="0"/>
                    <w:jc w:val="right"/>
                    <w:rPr>
                      <w:sz w:val="18"/>
                      <w:szCs w:val="18"/>
                    </w:rPr>
                  </w:pPr>
                  <w:r w:rsidRPr="00A431F0">
                    <w:rPr>
                      <w:b/>
                      <w:bCs/>
                      <w:sz w:val="18"/>
                      <w:szCs w:val="18"/>
                    </w:rPr>
                    <w:t>14.5</w:t>
                  </w:r>
                </w:p>
              </w:tc>
              <w:tc>
                <w:tcPr>
                  <w:tcW w:w="853" w:type="pct"/>
                  <w:gridSpan w:val="2"/>
                  <w:noWrap/>
                </w:tcPr>
                <w:p w:rsidR="00A431F0" w:rsidRPr="00A431F0" w:rsidRDefault="00A431F0" w:rsidP="00A431F0">
                  <w:pPr>
                    <w:tabs>
                      <w:tab w:val="right" w:pos="720"/>
                      <w:tab w:val="decimal" w:pos="760"/>
                    </w:tabs>
                    <w:spacing w:before="0" w:after="0"/>
                    <w:jc w:val="right"/>
                    <w:rPr>
                      <w:sz w:val="18"/>
                      <w:szCs w:val="18"/>
                    </w:rPr>
                  </w:pPr>
                  <w:r w:rsidRPr="00A431F0">
                    <w:rPr>
                      <w:b/>
                      <w:bCs/>
                      <w:sz w:val="18"/>
                      <w:szCs w:val="18"/>
                    </w:rPr>
                    <w:t>21,9</w:t>
                  </w:r>
                </w:p>
              </w:tc>
            </w:tr>
            <w:tr w:rsidR="00A431F0" w:rsidRPr="00A431F0" w:rsidTr="00304A20">
              <w:trPr>
                <w:trHeight w:val="267"/>
              </w:trPr>
              <w:tc>
                <w:tcPr>
                  <w:tcW w:w="3294"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Income tax income/(expense)</w:t>
                  </w:r>
                  <w:r w:rsidRPr="00A431F0">
                    <w:rPr>
                      <w:sz w:val="18"/>
                      <w:szCs w:val="18"/>
                    </w:rPr>
                    <w:tab/>
                  </w:r>
                </w:p>
                <w:p w:rsidR="00A431F0" w:rsidRPr="00A431F0" w:rsidRDefault="00A431F0" w:rsidP="00A431F0">
                  <w:pPr>
                    <w:spacing w:before="0" w:after="0" w:line="40" w:lineRule="exact"/>
                    <w:rPr>
                      <w:noProof/>
                      <w:sz w:val="18"/>
                      <w:szCs w:val="18"/>
                      <w:lang w:val="en-US"/>
                    </w:rPr>
                  </w:pPr>
                  <w:r w:rsidRPr="00A431F0">
                    <w:rPr>
                      <w:sz w:val="18"/>
                      <w:szCs w:val="18"/>
                    </w:rPr>
                    <w:t> </w:t>
                  </w:r>
                </w:p>
              </w:tc>
              <w:tc>
                <w:tcPr>
                  <w:tcW w:w="853" w:type="pct"/>
                  <w:gridSpan w:val="2"/>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2.1</w:t>
                  </w:r>
                </w:p>
              </w:tc>
              <w:tc>
                <w:tcPr>
                  <w:tcW w:w="853" w:type="pct"/>
                  <w:gridSpan w:val="2"/>
                  <w:noWrap/>
                </w:tcPr>
                <w:p w:rsidR="00A431F0" w:rsidRPr="00A431F0" w:rsidRDefault="00C14169" w:rsidP="00A431F0">
                  <w:pPr>
                    <w:pBdr>
                      <w:bottom w:val="single" w:sz="4" w:space="1" w:color="auto"/>
                    </w:pBdr>
                    <w:tabs>
                      <w:tab w:val="right" w:pos="720"/>
                      <w:tab w:val="decimal" w:pos="760"/>
                    </w:tabs>
                    <w:spacing w:before="0" w:after="0"/>
                    <w:jc w:val="right"/>
                    <w:rPr>
                      <w:sz w:val="18"/>
                      <w:szCs w:val="18"/>
                    </w:rPr>
                  </w:pPr>
                  <w:r>
                    <w:rPr>
                      <w:sz w:val="18"/>
                      <w:szCs w:val="18"/>
                    </w:rPr>
                    <w:t xml:space="preserve"> </w:t>
                  </w:r>
                  <w:r w:rsidR="00A431F0" w:rsidRPr="00A431F0">
                    <w:rPr>
                      <w:sz w:val="18"/>
                      <w:szCs w:val="18"/>
                    </w:rPr>
                    <w:t>(5.6)</w:t>
                  </w:r>
                </w:p>
              </w:tc>
            </w:tr>
            <w:tr w:rsidR="00A431F0" w:rsidRPr="00A431F0" w:rsidTr="00304A20">
              <w:tc>
                <w:tcPr>
                  <w:tcW w:w="3294"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Profit/(loss) for the period from continuing operations</w:t>
                  </w:r>
                  <w:r w:rsidRPr="00A431F0">
                    <w:rPr>
                      <w:sz w:val="18"/>
                      <w:szCs w:val="18"/>
                    </w:rPr>
                    <w:tab/>
                  </w:r>
                </w:p>
              </w:tc>
              <w:tc>
                <w:tcPr>
                  <w:tcW w:w="853" w:type="pct"/>
                  <w:gridSpan w:val="2"/>
                  <w:noWrap/>
                </w:tcPr>
                <w:p w:rsidR="00A431F0" w:rsidRPr="00A431F0" w:rsidRDefault="00A431F0" w:rsidP="00A431F0">
                  <w:pPr>
                    <w:tabs>
                      <w:tab w:val="right" w:pos="720"/>
                      <w:tab w:val="decimal" w:pos="760"/>
                    </w:tabs>
                    <w:spacing w:before="0" w:after="0"/>
                    <w:jc w:val="right"/>
                    <w:rPr>
                      <w:sz w:val="18"/>
                      <w:szCs w:val="18"/>
                    </w:rPr>
                  </w:pPr>
                  <w:r w:rsidRPr="00A431F0">
                    <w:rPr>
                      <w:b/>
                      <w:bCs/>
                      <w:sz w:val="18"/>
                      <w:szCs w:val="18"/>
                    </w:rPr>
                    <w:t>16.6</w:t>
                  </w:r>
                </w:p>
              </w:tc>
              <w:tc>
                <w:tcPr>
                  <w:tcW w:w="853" w:type="pct"/>
                  <w:gridSpan w:val="2"/>
                  <w:noWrap/>
                </w:tcPr>
                <w:p w:rsidR="00A431F0" w:rsidRPr="00A431F0" w:rsidRDefault="00A431F0" w:rsidP="00A431F0">
                  <w:pPr>
                    <w:tabs>
                      <w:tab w:val="right" w:pos="720"/>
                      <w:tab w:val="decimal" w:pos="760"/>
                    </w:tabs>
                    <w:spacing w:before="0" w:after="0"/>
                    <w:jc w:val="right"/>
                    <w:rPr>
                      <w:sz w:val="18"/>
                      <w:szCs w:val="18"/>
                    </w:rPr>
                  </w:pPr>
                  <w:r w:rsidRPr="00A431F0">
                    <w:rPr>
                      <w:b/>
                      <w:bCs/>
                      <w:sz w:val="18"/>
                      <w:szCs w:val="18"/>
                    </w:rPr>
                    <w:t>16,3</w:t>
                  </w:r>
                </w:p>
              </w:tc>
            </w:tr>
            <w:tr w:rsidR="00A431F0" w:rsidRPr="00A431F0" w:rsidTr="00304A20">
              <w:tc>
                <w:tcPr>
                  <w:tcW w:w="3294" w:type="pct"/>
                  <w:vMerge w:val="restar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 xml:space="preserve">Discontinued operations </w:t>
                  </w:r>
                  <w:r w:rsidRPr="00A431F0">
                    <w:rPr>
                      <w:sz w:val="16"/>
                      <w:szCs w:val="16"/>
                    </w:rPr>
                    <w:t>(attributable to owners of the parent)</w:t>
                  </w:r>
                  <w:r w:rsidRPr="00A431F0">
                    <w:rPr>
                      <w:sz w:val="18"/>
                      <w:szCs w:val="18"/>
                    </w:rPr>
                    <w:tab/>
                  </w:r>
                </w:p>
                <w:p w:rsidR="00A431F0" w:rsidRPr="00A431F0" w:rsidRDefault="00A431F0" w:rsidP="00A431F0">
                  <w:pPr>
                    <w:spacing w:before="0" w:after="0" w:line="40" w:lineRule="exact"/>
                    <w:rPr>
                      <w:noProof/>
                      <w:sz w:val="18"/>
                      <w:szCs w:val="18"/>
                      <w:lang w:val="en-US"/>
                    </w:rPr>
                  </w:pPr>
                  <w:r w:rsidRPr="00A431F0">
                    <w:rPr>
                      <w:sz w:val="18"/>
                      <w:szCs w:val="18"/>
                    </w:rPr>
                    <w:t> </w:t>
                  </w:r>
                </w:p>
              </w:tc>
              <w:tc>
                <w:tcPr>
                  <w:tcW w:w="853" w:type="pct"/>
                  <w:gridSpan w:val="2"/>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w:t>
                  </w:r>
                </w:p>
              </w:tc>
              <w:tc>
                <w:tcPr>
                  <w:tcW w:w="853" w:type="pct"/>
                  <w:gridSpan w:val="2"/>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(0.3)</w:t>
                  </w:r>
                </w:p>
              </w:tc>
            </w:tr>
            <w:tr w:rsidR="00A431F0" w:rsidRPr="00A431F0" w:rsidTr="00304A20">
              <w:tc>
                <w:tcPr>
                  <w:tcW w:w="3294" w:type="pct"/>
                  <w:vMerge/>
                </w:tcPr>
                <w:p w:rsidR="00A431F0" w:rsidRPr="00A431F0" w:rsidRDefault="00A431F0" w:rsidP="00A431F0">
                  <w:pPr>
                    <w:spacing w:before="0" w:after="0" w:line="40" w:lineRule="exact"/>
                    <w:rPr>
                      <w:sz w:val="18"/>
                      <w:szCs w:val="18"/>
                    </w:rPr>
                  </w:pPr>
                </w:p>
              </w:tc>
              <w:tc>
                <w:tcPr>
                  <w:tcW w:w="853" w:type="pct"/>
                  <w:gridSpan w:val="2"/>
                </w:tcPr>
                <w:p w:rsidR="00A431F0" w:rsidRPr="00A431F0" w:rsidRDefault="00A431F0" w:rsidP="00A431F0">
                  <w:pPr>
                    <w:pBdr>
                      <w:top w:val="single" w:sz="8" w:space="1" w:color="auto"/>
                    </w:pBdr>
                    <w:spacing w:before="0" w:after="0" w:line="20" w:lineRule="exact"/>
                    <w:jc w:val="right"/>
                    <w:rPr>
                      <w:sz w:val="18"/>
                      <w:szCs w:val="18"/>
                    </w:rPr>
                  </w:pPr>
                </w:p>
              </w:tc>
              <w:tc>
                <w:tcPr>
                  <w:tcW w:w="853" w:type="pct"/>
                  <w:gridSpan w:val="2"/>
                </w:tcPr>
                <w:p w:rsidR="00A431F0" w:rsidRPr="00A431F0" w:rsidRDefault="00A431F0" w:rsidP="00A431F0">
                  <w:pPr>
                    <w:pBdr>
                      <w:top w:val="single" w:sz="8" w:space="1" w:color="auto"/>
                    </w:pBdr>
                    <w:spacing w:before="0" w:after="0" w:line="20" w:lineRule="exact"/>
                    <w:jc w:val="right"/>
                    <w:rPr>
                      <w:sz w:val="18"/>
                      <w:szCs w:val="18"/>
                    </w:rPr>
                  </w:pPr>
                </w:p>
              </w:tc>
            </w:tr>
            <w:tr w:rsidR="00A431F0" w:rsidRPr="00A431F0" w:rsidTr="00304A20">
              <w:trPr>
                <w:trHeight w:val="292"/>
              </w:trPr>
              <w:tc>
                <w:tcPr>
                  <w:tcW w:w="3294"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 xml:space="preserve">Profit/(loss) for the period </w:t>
                  </w:r>
                  <w:r w:rsidRPr="00A431F0">
                    <w:rPr>
                      <w:sz w:val="18"/>
                      <w:szCs w:val="18"/>
                    </w:rPr>
                    <w:tab/>
                  </w:r>
                </w:p>
                <w:p w:rsidR="00A431F0" w:rsidRPr="00A431F0" w:rsidRDefault="00A431F0" w:rsidP="00A431F0">
                  <w:pPr>
                    <w:spacing w:before="0" w:after="0" w:line="40" w:lineRule="exact"/>
                    <w:rPr>
                      <w:b/>
                      <w:noProof/>
                      <w:sz w:val="18"/>
                      <w:szCs w:val="18"/>
                      <w:lang w:val="en-US"/>
                    </w:rPr>
                  </w:pPr>
                  <w:r w:rsidRPr="00A431F0">
                    <w:rPr>
                      <w:sz w:val="18"/>
                      <w:szCs w:val="18"/>
                    </w:rPr>
                    <w:t> </w:t>
                  </w:r>
                </w:p>
              </w:tc>
              <w:tc>
                <w:tcPr>
                  <w:tcW w:w="853" w:type="pct"/>
                  <w:gridSpan w:val="2"/>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b/>
                      <w:bCs/>
                      <w:sz w:val="18"/>
                      <w:szCs w:val="18"/>
                    </w:rPr>
                    <w:t>16.6</w:t>
                  </w:r>
                </w:p>
              </w:tc>
              <w:tc>
                <w:tcPr>
                  <w:tcW w:w="853" w:type="pct"/>
                  <w:gridSpan w:val="2"/>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b/>
                      <w:bCs/>
                      <w:sz w:val="18"/>
                      <w:szCs w:val="18"/>
                    </w:rPr>
                    <w:t>16.0</w:t>
                  </w:r>
                </w:p>
              </w:tc>
            </w:tr>
            <w:tr w:rsidR="00A431F0" w:rsidRPr="00A431F0" w:rsidTr="00304A20">
              <w:trPr>
                <w:trHeight w:val="292"/>
              </w:trPr>
              <w:tc>
                <w:tcPr>
                  <w:tcW w:w="3294"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Attributable to:</w:t>
                  </w:r>
                </w:p>
              </w:tc>
              <w:tc>
                <w:tcPr>
                  <w:tcW w:w="853" w:type="pct"/>
                  <w:gridSpan w:val="2"/>
                  <w:noWrap/>
                </w:tcPr>
                <w:p w:rsidR="00A431F0" w:rsidRPr="00A431F0" w:rsidRDefault="00A431F0" w:rsidP="00A431F0">
                  <w:pPr>
                    <w:tabs>
                      <w:tab w:val="right" w:pos="720"/>
                      <w:tab w:val="decimal" w:pos="760"/>
                    </w:tabs>
                    <w:spacing w:before="0" w:after="0"/>
                    <w:jc w:val="right"/>
                    <w:rPr>
                      <w:b/>
                      <w:bCs/>
                      <w:sz w:val="18"/>
                      <w:szCs w:val="18"/>
                    </w:rPr>
                  </w:pPr>
                </w:p>
              </w:tc>
              <w:tc>
                <w:tcPr>
                  <w:tcW w:w="853" w:type="pct"/>
                  <w:gridSpan w:val="2"/>
                  <w:noWrap/>
                </w:tcPr>
                <w:p w:rsidR="00A431F0" w:rsidRPr="00A431F0" w:rsidRDefault="00A431F0" w:rsidP="00A431F0">
                  <w:pPr>
                    <w:tabs>
                      <w:tab w:val="right" w:pos="720"/>
                      <w:tab w:val="decimal" w:pos="760"/>
                    </w:tabs>
                    <w:spacing w:before="0" w:after="0"/>
                    <w:jc w:val="right"/>
                    <w:rPr>
                      <w:b/>
                      <w:bCs/>
                      <w:sz w:val="18"/>
                      <w:szCs w:val="18"/>
                    </w:rPr>
                  </w:pPr>
                </w:p>
              </w:tc>
            </w:tr>
            <w:tr w:rsidR="00A431F0" w:rsidRPr="00A431F0" w:rsidTr="00304A20">
              <w:trPr>
                <w:trHeight w:val="292"/>
              </w:trPr>
              <w:tc>
                <w:tcPr>
                  <w:tcW w:w="3294" w:type="pct"/>
                </w:tcPr>
                <w:p w:rsidR="00A431F0" w:rsidRPr="00A431F0" w:rsidRDefault="00A431F0" w:rsidP="00A431F0">
                  <w:pPr>
                    <w:keepNext/>
                    <w:tabs>
                      <w:tab w:val="right" w:leader="dot" w:pos="5160"/>
                    </w:tabs>
                    <w:spacing w:before="0" w:after="0"/>
                    <w:ind w:left="240" w:hanging="240"/>
                    <w:rPr>
                      <w:b/>
                      <w:sz w:val="18"/>
                      <w:szCs w:val="18"/>
                    </w:rPr>
                  </w:pPr>
                  <w:r w:rsidRPr="00A431F0">
                    <w:rPr>
                      <w:sz w:val="18"/>
                      <w:szCs w:val="18"/>
                    </w:rPr>
                    <w:t>- The shareholders of the Univeg Group</w:t>
                  </w:r>
                </w:p>
              </w:tc>
              <w:tc>
                <w:tcPr>
                  <w:tcW w:w="853" w:type="pct"/>
                  <w:gridSpan w:val="2"/>
                  <w:noWrap/>
                </w:tcPr>
                <w:p w:rsidR="00A431F0" w:rsidRPr="00A431F0" w:rsidRDefault="00A431F0" w:rsidP="00A431F0">
                  <w:pPr>
                    <w:tabs>
                      <w:tab w:val="right" w:pos="720"/>
                      <w:tab w:val="decimal" w:pos="760"/>
                    </w:tabs>
                    <w:spacing w:before="0" w:after="0"/>
                    <w:jc w:val="right"/>
                    <w:rPr>
                      <w:b/>
                      <w:bCs/>
                      <w:sz w:val="18"/>
                      <w:szCs w:val="18"/>
                    </w:rPr>
                  </w:pPr>
                  <w:r w:rsidRPr="00A431F0">
                    <w:rPr>
                      <w:sz w:val="18"/>
                      <w:szCs w:val="18"/>
                    </w:rPr>
                    <w:t>17.9</w:t>
                  </w:r>
                </w:p>
              </w:tc>
              <w:tc>
                <w:tcPr>
                  <w:tcW w:w="853" w:type="pct"/>
                  <w:gridSpan w:val="2"/>
                  <w:noWrap/>
                </w:tcPr>
                <w:p w:rsidR="00A431F0" w:rsidRPr="00A431F0" w:rsidRDefault="00A431F0" w:rsidP="00A431F0">
                  <w:pPr>
                    <w:tabs>
                      <w:tab w:val="right" w:pos="720"/>
                      <w:tab w:val="decimal" w:pos="760"/>
                    </w:tabs>
                    <w:spacing w:before="0" w:after="0"/>
                    <w:jc w:val="right"/>
                    <w:rPr>
                      <w:b/>
                      <w:bCs/>
                      <w:sz w:val="18"/>
                      <w:szCs w:val="18"/>
                    </w:rPr>
                  </w:pPr>
                  <w:r w:rsidRPr="00A431F0">
                    <w:rPr>
                      <w:sz w:val="18"/>
                      <w:szCs w:val="18"/>
                    </w:rPr>
                    <w:t>16.2</w:t>
                  </w:r>
                </w:p>
              </w:tc>
            </w:tr>
            <w:tr w:rsidR="00A431F0" w:rsidRPr="00A431F0" w:rsidTr="00304A20">
              <w:trPr>
                <w:trHeight w:val="292"/>
              </w:trPr>
              <w:tc>
                <w:tcPr>
                  <w:tcW w:w="3294"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 Non-controlling interest</w:t>
                  </w:r>
                </w:p>
              </w:tc>
              <w:tc>
                <w:tcPr>
                  <w:tcW w:w="853" w:type="pct"/>
                  <w:gridSpan w:val="2"/>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(1,3)</w:t>
                  </w:r>
                </w:p>
              </w:tc>
              <w:tc>
                <w:tcPr>
                  <w:tcW w:w="853" w:type="pct"/>
                  <w:gridSpan w:val="2"/>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(0,2)</w:t>
                  </w:r>
                </w:p>
              </w:tc>
            </w:tr>
            <w:tr w:rsidR="00A431F0" w:rsidRPr="00A431F0" w:rsidTr="00304A20">
              <w:tc>
                <w:tcPr>
                  <w:tcW w:w="3294" w:type="pct"/>
                </w:tcPr>
                <w:p w:rsidR="00A431F0" w:rsidRPr="00A431F0" w:rsidRDefault="00A431F0" w:rsidP="00A431F0">
                  <w:pPr>
                    <w:spacing w:before="0" w:after="0"/>
                    <w:rPr>
                      <w:sz w:val="18"/>
                      <w:szCs w:val="18"/>
                    </w:rPr>
                  </w:pPr>
                </w:p>
                <w:p w:rsidR="00A431F0" w:rsidRPr="00A431F0" w:rsidRDefault="00A431F0" w:rsidP="00A431F0">
                  <w:pPr>
                    <w:spacing w:before="0" w:after="0"/>
                    <w:rPr>
                      <w:sz w:val="18"/>
                      <w:szCs w:val="18"/>
                    </w:rPr>
                  </w:pPr>
                  <w:r w:rsidRPr="00A431F0">
                    <w:rPr>
                      <w:b/>
                      <w:bCs/>
                      <w:sz w:val="18"/>
                      <w:szCs w:val="18"/>
                    </w:rPr>
                    <w:t>Other Financial Data</w:t>
                  </w:r>
                </w:p>
              </w:tc>
              <w:tc>
                <w:tcPr>
                  <w:tcW w:w="853" w:type="pct"/>
                  <w:gridSpan w:val="2"/>
                </w:tcPr>
                <w:p w:rsidR="00A431F0" w:rsidRPr="00A431F0" w:rsidRDefault="00A431F0" w:rsidP="00A431F0">
                  <w:pPr>
                    <w:spacing w:before="0" w:after="0" w:line="40" w:lineRule="exact"/>
                    <w:jc w:val="right"/>
                    <w:rPr>
                      <w:noProof/>
                      <w:sz w:val="18"/>
                      <w:szCs w:val="18"/>
                      <w:lang w:val="en-US"/>
                    </w:rPr>
                  </w:pPr>
                </w:p>
              </w:tc>
              <w:tc>
                <w:tcPr>
                  <w:tcW w:w="853" w:type="pct"/>
                  <w:gridSpan w:val="2"/>
                </w:tcPr>
                <w:p w:rsidR="00A431F0" w:rsidRPr="00A431F0" w:rsidRDefault="00A431F0" w:rsidP="00A431F0">
                  <w:pPr>
                    <w:spacing w:before="0" w:after="0" w:line="40" w:lineRule="exact"/>
                    <w:jc w:val="right"/>
                    <w:rPr>
                      <w:noProof/>
                      <w:sz w:val="18"/>
                      <w:szCs w:val="18"/>
                      <w:lang w:val="en-US"/>
                    </w:rPr>
                  </w:pPr>
                </w:p>
              </w:tc>
            </w:tr>
            <w:tr w:rsidR="00A431F0" w:rsidRPr="00A431F0" w:rsidTr="00304A20">
              <w:tc>
                <w:tcPr>
                  <w:tcW w:w="3294"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EBITDA</w:t>
                  </w:r>
                  <w:r w:rsidRPr="00A431F0">
                    <w:rPr>
                      <w:sz w:val="18"/>
                      <w:szCs w:val="18"/>
                    </w:rPr>
                    <w:tab/>
                  </w:r>
                </w:p>
              </w:tc>
              <w:tc>
                <w:tcPr>
                  <w:tcW w:w="853" w:type="pct"/>
                  <w:gridSpan w:val="2"/>
                  <w:noWrap/>
                </w:tcPr>
                <w:p w:rsidR="00A431F0" w:rsidRPr="00A431F0" w:rsidRDefault="00A431F0" w:rsidP="00A431F0">
                  <w:pPr>
                    <w:tabs>
                      <w:tab w:val="right" w:pos="720"/>
                      <w:tab w:val="decimal" w:pos="760"/>
                    </w:tabs>
                    <w:spacing w:before="0" w:after="0"/>
                    <w:jc w:val="right"/>
                    <w:rPr>
                      <w:sz w:val="18"/>
                      <w:szCs w:val="18"/>
                    </w:rPr>
                  </w:pPr>
                  <w:r w:rsidRPr="00A431F0">
                    <w:rPr>
                      <w:b/>
                      <w:bCs/>
                      <w:sz w:val="18"/>
                      <w:szCs w:val="18"/>
                    </w:rPr>
                    <w:t>86.5</w:t>
                  </w:r>
                </w:p>
              </w:tc>
              <w:tc>
                <w:tcPr>
                  <w:tcW w:w="853" w:type="pct"/>
                  <w:gridSpan w:val="2"/>
                  <w:noWrap/>
                </w:tcPr>
                <w:p w:rsidR="00A431F0" w:rsidRPr="00A431F0" w:rsidRDefault="00A431F0" w:rsidP="00A431F0">
                  <w:pPr>
                    <w:tabs>
                      <w:tab w:val="right" w:pos="720"/>
                      <w:tab w:val="decimal" w:pos="760"/>
                    </w:tabs>
                    <w:spacing w:before="0" w:after="0"/>
                    <w:jc w:val="right"/>
                    <w:rPr>
                      <w:sz w:val="18"/>
                      <w:szCs w:val="18"/>
                    </w:rPr>
                  </w:pPr>
                  <w:r w:rsidRPr="00A431F0">
                    <w:rPr>
                      <w:b/>
                      <w:bCs/>
                      <w:sz w:val="18"/>
                      <w:szCs w:val="18"/>
                    </w:rPr>
                    <w:t>84.1</w:t>
                  </w:r>
                </w:p>
              </w:tc>
            </w:tr>
            <w:tr w:rsidR="00A431F0" w:rsidRPr="00A431F0" w:rsidTr="00304A20">
              <w:tc>
                <w:tcPr>
                  <w:tcW w:w="3294" w:type="pct"/>
                </w:tcPr>
                <w:p w:rsidR="00A431F0" w:rsidRPr="00A431F0" w:rsidDel="00196AA3" w:rsidRDefault="00A431F0" w:rsidP="00A431F0">
                  <w:pPr>
                    <w:keepNext/>
                    <w:tabs>
                      <w:tab w:val="right" w:leader="dot" w:pos="5160"/>
                    </w:tabs>
                    <w:spacing w:before="0" w:after="0"/>
                    <w:ind w:left="240" w:hanging="240"/>
                    <w:rPr>
                      <w:b/>
                      <w:sz w:val="18"/>
                      <w:szCs w:val="18"/>
                    </w:rPr>
                  </w:pPr>
                  <w:r w:rsidRPr="00A431F0">
                    <w:rPr>
                      <w:b/>
                      <w:sz w:val="18"/>
                      <w:szCs w:val="18"/>
                    </w:rPr>
                    <w:t>EBIT</w:t>
                  </w:r>
                  <w:r w:rsidRPr="00A431F0">
                    <w:rPr>
                      <w:sz w:val="18"/>
                      <w:szCs w:val="18"/>
                    </w:rPr>
                    <w:tab/>
                  </w:r>
                </w:p>
              </w:tc>
              <w:tc>
                <w:tcPr>
                  <w:tcW w:w="853" w:type="pct"/>
                  <w:gridSpan w:val="2"/>
                  <w:noWrap/>
                </w:tcPr>
                <w:p w:rsidR="00A431F0" w:rsidRPr="00A431F0" w:rsidRDefault="00A431F0" w:rsidP="00A431F0">
                  <w:pPr>
                    <w:tabs>
                      <w:tab w:val="right" w:pos="720"/>
                      <w:tab w:val="decimal" w:pos="760"/>
                      <w:tab w:val="left" w:pos="1353"/>
                    </w:tabs>
                    <w:spacing w:before="0" w:after="0"/>
                    <w:ind w:left="361" w:hanging="361"/>
                    <w:jc w:val="right"/>
                    <w:rPr>
                      <w:b/>
                      <w:bCs/>
                      <w:sz w:val="18"/>
                      <w:szCs w:val="18"/>
                    </w:rPr>
                  </w:pPr>
                  <w:r w:rsidRPr="00A431F0">
                    <w:rPr>
                      <w:b/>
                      <w:bCs/>
                      <w:sz w:val="18"/>
                      <w:szCs w:val="18"/>
                    </w:rPr>
                    <w:t>56.2</w:t>
                  </w:r>
                </w:p>
              </w:tc>
              <w:tc>
                <w:tcPr>
                  <w:tcW w:w="853" w:type="pct"/>
                  <w:gridSpan w:val="2"/>
                  <w:noWrap/>
                </w:tcPr>
                <w:p w:rsidR="00A431F0" w:rsidRPr="00A431F0" w:rsidRDefault="00A431F0" w:rsidP="00A431F0">
                  <w:pPr>
                    <w:tabs>
                      <w:tab w:val="right" w:pos="720"/>
                      <w:tab w:val="decimal" w:pos="760"/>
                    </w:tabs>
                    <w:spacing w:before="0" w:after="0"/>
                    <w:jc w:val="right"/>
                    <w:rPr>
                      <w:b/>
                      <w:bCs/>
                      <w:sz w:val="18"/>
                      <w:szCs w:val="18"/>
                    </w:rPr>
                  </w:pPr>
                  <w:r w:rsidRPr="00A431F0">
                    <w:rPr>
                      <w:b/>
                      <w:bCs/>
                      <w:sz w:val="18"/>
                      <w:szCs w:val="18"/>
                    </w:rPr>
                    <w:t>56.2</w:t>
                  </w:r>
                </w:p>
              </w:tc>
            </w:tr>
            <w:tr w:rsidR="00A431F0" w:rsidRPr="00A431F0" w:rsidTr="00304A20">
              <w:tc>
                <w:tcPr>
                  <w:tcW w:w="3294" w:type="pct"/>
                </w:tcPr>
                <w:p w:rsidR="00A431F0" w:rsidRPr="00A431F0" w:rsidRDefault="00A431F0" w:rsidP="00A431F0">
                  <w:pPr>
                    <w:keepNext/>
                    <w:tabs>
                      <w:tab w:val="right" w:leader="dot" w:pos="5160"/>
                    </w:tabs>
                    <w:spacing w:before="0" w:after="0"/>
                    <w:ind w:left="240" w:hanging="240"/>
                    <w:rPr>
                      <w:sz w:val="18"/>
                      <w:szCs w:val="18"/>
                    </w:rPr>
                  </w:pPr>
                  <w:r w:rsidRPr="00A431F0">
                    <w:rPr>
                      <w:b/>
                      <w:sz w:val="18"/>
                      <w:szCs w:val="18"/>
                    </w:rPr>
                    <w:t>REBITDA</w:t>
                  </w:r>
                  <w:r w:rsidRPr="00A431F0">
                    <w:rPr>
                      <w:b/>
                      <w:sz w:val="18"/>
                      <w:szCs w:val="18"/>
                      <w:vertAlign w:val="superscript"/>
                    </w:rPr>
                    <w:t> </w:t>
                  </w:r>
                  <w:r w:rsidRPr="00A431F0">
                    <w:rPr>
                      <w:rFonts w:ascii="Times New Roman Bold" w:hAnsi="Times New Roman Bold"/>
                      <w:sz w:val="18"/>
                      <w:szCs w:val="18"/>
                    </w:rPr>
                    <w:tab/>
                  </w:r>
                </w:p>
              </w:tc>
              <w:tc>
                <w:tcPr>
                  <w:tcW w:w="853" w:type="pct"/>
                  <w:gridSpan w:val="2"/>
                  <w:noWrap/>
                </w:tcPr>
                <w:p w:rsidR="00A431F0" w:rsidRPr="00A431F0" w:rsidRDefault="00A431F0" w:rsidP="00A431F0">
                  <w:pPr>
                    <w:tabs>
                      <w:tab w:val="right" w:pos="720"/>
                      <w:tab w:val="decimal" w:pos="760"/>
                      <w:tab w:val="left" w:pos="1353"/>
                    </w:tabs>
                    <w:spacing w:before="0" w:after="0"/>
                    <w:ind w:left="361" w:hanging="361"/>
                    <w:jc w:val="right"/>
                    <w:rPr>
                      <w:sz w:val="18"/>
                      <w:szCs w:val="18"/>
                    </w:rPr>
                  </w:pPr>
                  <w:r w:rsidRPr="00A431F0">
                    <w:rPr>
                      <w:b/>
                      <w:bCs/>
                      <w:sz w:val="18"/>
                      <w:szCs w:val="18"/>
                    </w:rPr>
                    <w:t>77.4</w:t>
                  </w:r>
                </w:p>
              </w:tc>
              <w:tc>
                <w:tcPr>
                  <w:tcW w:w="853" w:type="pct"/>
                  <w:gridSpan w:val="2"/>
                  <w:noWrap/>
                </w:tcPr>
                <w:p w:rsidR="00A431F0" w:rsidRPr="00A431F0" w:rsidRDefault="00A431F0" w:rsidP="00A431F0">
                  <w:pPr>
                    <w:tabs>
                      <w:tab w:val="right" w:pos="720"/>
                      <w:tab w:val="decimal" w:pos="760"/>
                    </w:tabs>
                    <w:spacing w:before="0" w:after="0"/>
                    <w:jc w:val="right"/>
                    <w:rPr>
                      <w:sz w:val="18"/>
                      <w:szCs w:val="18"/>
                    </w:rPr>
                  </w:pPr>
                  <w:r w:rsidRPr="00A431F0">
                    <w:rPr>
                      <w:b/>
                      <w:bCs/>
                      <w:sz w:val="18"/>
                      <w:szCs w:val="18"/>
                    </w:rPr>
                    <w:t>71.6</w:t>
                  </w:r>
                </w:p>
              </w:tc>
            </w:tr>
            <w:tr w:rsidR="00A431F0" w:rsidRPr="00A431F0" w:rsidTr="00304A20">
              <w:tc>
                <w:tcPr>
                  <w:tcW w:w="3294" w:type="pct"/>
                </w:tcPr>
                <w:p w:rsidR="00A431F0" w:rsidRPr="00A431F0" w:rsidRDefault="00A431F0" w:rsidP="00A431F0">
                  <w:pPr>
                    <w:keepNext/>
                    <w:tabs>
                      <w:tab w:val="right" w:leader="dot" w:pos="5160"/>
                    </w:tabs>
                    <w:spacing w:before="0" w:after="0"/>
                    <w:ind w:left="240" w:hanging="240"/>
                    <w:rPr>
                      <w:sz w:val="18"/>
                      <w:szCs w:val="18"/>
                    </w:rPr>
                  </w:pPr>
                  <w:r w:rsidRPr="00A431F0">
                    <w:rPr>
                      <w:b/>
                      <w:sz w:val="18"/>
                      <w:szCs w:val="18"/>
                    </w:rPr>
                    <w:t>REBIT</w:t>
                  </w:r>
                  <w:r w:rsidRPr="00A431F0">
                    <w:rPr>
                      <w:sz w:val="18"/>
                      <w:szCs w:val="18"/>
                    </w:rPr>
                    <w:tab/>
                  </w:r>
                </w:p>
              </w:tc>
              <w:tc>
                <w:tcPr>
                  <w:tcW w:w="853" w:type="pct"/>
                  <w:gridSpan w:val="2"/>
                  <w:noWrap/>
                </w:tcPr>
                <w:p w:rsidR="00A431F0" w:rsidRPr="00A431F0" w:rsidRDefault="00A431F0" w:rsidP="00A431F0">
                  <w:pPr>
                    <w:tabs>
                      <w:tab w:val="right" w:pos="720"/>
                      <w:tab w:val="decimal" w:pos="760"/>
                    </w:tabs>
                    <w:spacing w:before="0" w:after="0"/>
                    <w:jc w:val="right"/>
                    <w:rPr>
                      <w:b/>
                      <w:bCs/>
                      <w:sz w:val="18"/>
                      <w:szCs w:val="18"/>
                    </w:rPr>
                  </w:pPr>
                  <w:r w:rsidRPr="00A431F0">
                    <w:rPr>
                      <w:b/>
                      <w:bCs/>
                      <w:sz w:val="18"/>
                      <w:szCs w:val="18"/>
                    </w:rPr>
                    <w:t>41.2</w:t>
                  </w:r>
                </w:p>
              </w:tc>
              <w:tc>
                <w:tcPr>
                  <w:tcW w:w="853" w:type="pct"/>
                  <w:gridSpan w:val="2"/>
                  <w:noWrap/>
                </w:tcPr>
                <w:p w:rsidR="00A431F0" w:rsidRPr="00A431F0" w:rsidRDefault="00A431F0" w:rsidP="00A431F0">
                  <w:pPr>
                    <w:tabs>
                      <w:tab w:val="right" w:pos="720"/>
                      <w:tab w:val="decimal" w:pos="760"/>
                    </w:tabs>
                    <w:spacing w:before="0" w:after="0"/>
                    <w:jc w:val="right"/>
                    <w:rPr>
                      <w:b/>
                      <w:bCs/>
                      <w:sz w:val="18"/>
                      <w:szCs w:val="18"/>
                    </w:rPr>
                  </w:pPr>
                  <w:r w:rsidRPr="00A431F0">
                    <w:rPr>
                      <w:b/>
                      <w:bCs/>
                      <w:sz w:val="18"/>
                      <w:szCs w:val="18"/>
                    </w:rPr>
                    <w:t>42.3</w:t>
                  </w:r>
                </w:p>
              </w:tc>
            </w:tr>
            <w:tr w:rsidR="00A431F0" w:rsidRPr="00A431F0" w:rsidTr="00304A20">
              <w:tc>
                <w:tcPr>
                  <w:tcW w:w="3294"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Capital expenditures</w:t>
                  </w:r>
                  <w:r w:rsidRPr="00A431F0">
                    <w:rPr>
                      <w:sz w:val="18"/>
                      <w:szCs w:val="18"/>
                    </w:rPr>
                    <w:tab/>
                  </w:r>
                </w:p>
              </w:tc>
              <w:tc>
                <w:tcPr>
                  <w:tcW w:w="853" w:type="pct"/>
                  <w:gridSpan w:val="2"/>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22.1</w:t>
                  </w:r>
                </w:p>
              </w:tc>
              <w:tc>
                <w:tcPr>
                  <w:tcW w:w="853" w:type="pct"/>
                  <w:gridSpan w:val="2"/>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20.6</w:t>
                  </w:r>
                </w:p>
              </w:tc>
            </w:tr>
            <w:tr w:rsidR="00A431F0" w:rsidRPr="00A431F0" w:rsidTr="00304A20">
              <w:tc>
                <w:tcPr>
                  <w:tcW w:w="3294" w:type="pct"/>
                </w:tcPr>
                <w:p w:rsidR="00A431F0" w:rsidRPr="00A431F0" w:rsidRDefault="00A431F0" w:rsidP="00A431F0">
                  <w:pPr>
                    <w:keepNext/>
                    <w:tabs>
                      <w:tab w:val="right" w:leader="dot" w:pos="5160"/>
                    </w:tabs>
                    <w:spacing w:before="0" w:after="0"/>
                    <w:ind w:left="240" w:hanging="240"/>
                    <w:rPr>
                      <w:b/>
                      <w:sz w:val="18"/>
                      <w:szCs w:val="18"/>
                    </w:rPr>
                  </w:pPr>
                </w:p>
              </w:tc>
              <w:tc>
                <w:tcPr>
                  <w:tcW w:w="853" w:type="pct"/>
                  <w:gridSpan w:val="2"/>
                  <w:noWrap/>
                </w:tcPr>
                <w:p w:rsidR="00A431F0" w:rsidRPr="00A431F0" w:rsidRDefault="00A431F0" w:rsidP="00A431F0">
                  <w:pPr>
                    <w:tabs>
                      <w:tab w:val="right" w:pos="720"/>
                      <w:tab w:val="decimal" w:pos="760"/>
                    </w:tabs>
                    <w:spacing w:before="0" w:after="0"/>
                    <w:jc w:val="right"/>
                    <w:rPr>
                      <w:b/>
                      <w:sz w:val="18"/>
                      <w:szCs w:val="18"/>
                    </w:rPr>
                  </w:pPr>
                </w:p>
              </w:tc>
              <w:tc>
                <w:tcPr>
                  <w:tcW w:w="853" w:type="pct"/>
                  <w:gridSpan w:val="2"/>
                  <w:noWrap/>
                </w:tcPr>
                <w:p w:rsidR="00A431F0" w:rsidRPr="00A431F0" w:rsidRDefault="00A431F0" w:rsidP="00A431F0">
                  <w:pPr>
                    <w:tabs>
                      <w:tab w:val="right" w:pos="720"/>
                      <w:tab w:val="decimal" w:pos="760"/>
                    </w:tabs>
                    <w:spacing w:before="0" w:after="0"/>
                    <w:jc w:val="right"/>
                    <w:rPr>
                      <w:b/>
                      <w:sz w:val="18"/>
                      <w:szCs w:val="18"/>
                    </w:rPr>
                  </w:pPr>
                </w:p>
              </w:tc>
            </w:tr>
            <w:tr w:rsidR="00A431F0" w:rsidRPr="00A431F0" w:rsidTr="00304A20">
              <w:tc>
                <w:tcPr>
                  <w:tcW w:w="3294" w:type="pct"/>
                </w:tcPr>
                <w:p w:rsidR="00A431F0" w:rsidRPr="00A431F0" w:rsidRDefault="00A431F0" w:rsidP="00A431F0">
                  <w:pPr>
                    <w:keepNext/>
                    <w:tabs>
                      <w:tab w:val="right" w:leader="dot" w:pos="5160"/>
                    </w:tabs>
                    <w:spacing w:before="0" w:after="0"/>
                    <w:ind w:left="240" w:hanging="240"/>
                    <w:rPr>
                      <w:b/>
                      <w:sz w:val="18"/>
                      <w:szCs w:val="18"/>
                    </w:rPr>
                  </w:pPr>
                </w:p>
              </w:tc>
              <w:tc>
                <w:tcPr>
                  <w:tcW w:w="853" w:type="pct"/>
                  <w:gridSpan w:val="2"/>
                  <w:noWrap/>
                </w:tcPr>
                <w:p w:rsidR="00A431F0" w:rsidRPr="00A431F0" w:rsidRDefault="00A431F0" w:rsidP="00A431F0">
                  <w:pPr>
                    <w:tabs>
                      <w:tab w:val="right" w:pos="720"/>
                      <w:tab w:val="decimal" w:pos="760"/>
                    </w:tabs>
                    <w:spacing w:before="0" w:after="0"/>
                    <w:jc w:val="right"/>
                    <w:rPr>
                      <w:b/>
                      <w:sz w:val="18"/>
                      <w:szCs w:val="18"/>
                    </w:rPr>
                  </w:pPr>
                </w:p>
              </w:tc>
              <w:tc>
                <w:tcPr>
                  <w:tcW w:w="853" w:type="pct"/>
                  <w:gridSpan w:val="2"/>
                  <w:noWrap/>
                </w:tcPr>
                <w:p w:rsidR="00A431F0" w:rsidRPr="00A431F0" w:rsidRDefault="00A431F0" w:rsidP="00A431F0">
                  <w:pPr>
                    <w:tabs>
                      <w:tab w:val="right" w:pos="720"/>
                      <w:tab w:val="decimal" w:pos="760"/>
                    </w:tabs>
                    <w:spacing w:before="0" w:after="0"/>
                    <w:jc w:val="right"/>
                    <w:rPr>
                      <w:b/>
                      <w:sz w:val="18"/>
                      <w:szCs w:val="18"/>
                    </w:rPr>
                  </w:pPr>
                </w:p>
              </w:tc>
            </w:tr>
            <w:tr w:rsidR="00A431F0" w:rsidRPr="00A431F0" w:rsidTr="00304A20">
              <w:tblPrEx>
                <w:jc w:val="center"/>
                <w:tblCellMar>
                  <w:left w:w="0" w:type="dxa"/>
                  <w:right w:w="0" w:type="dxa"/>
                </w:tblCellMar>
              </w:tblPrEx>
              <w:trPr>
                <w:gridAfter w:val="1"/>
                <w:wAfter w:w="8" w:type="pct"/>
                <w:trHeight w:val="70"/>
                <w:tblHeader/>
                <w:jc w:val="center"/>
              </w:trPr>
              <w:tc>
                <w:tcPr>
                  <w:tcW w:w="3294" w:type="pct"/>
                  <w:vMerge w:val="restart"/>
                  <w:vAlign w:val="center"/>
                </w:tcPr>
                <w:p w:rsidR="00A431F0" w:rsidRPr="00A431F0" w:rsidRDefault="00A431F0" w:rsidP="00A431F0">
                  <w:pPr>
                    <w:spacing w:before="0" w:after="0"/>
                    <w:jc w:val="left"/>
                    <w:rPr>
                      <w:sz w:val="18"/>
                      <w:szCs w:val="18"/>
                    </w:rPr>
                  </w:pPr>
                  <w:r w:rsidRPr="00A431F0">
                    <w:rPr>
                      <w:bCs/>
                      <w:i/>
                      <w:sz w:val="18"/>
                      <w:szCs w:val="18"/>
                    </w:rPr>
                    <w:t>(EUR in millions)</w:t>
                  </w:r>
                  <w:r w:rsidRPr="00A431F0">
                    <w:rPr>
                      <w:sz w:val="18"/>
                      <w:szCs w:val="18"/>
                    </w:rPr>
                    <w:t> </w:t>
                  </w:r>
                </w:p>
              </w:tc>
              <w:tc>
                <w:tcPr>
                  <w:tcW w:w="849" w:type="pct"/>
                  <w:tcMar>
                    <w:top w:w="0" w:type="dxa"/>
                    <w:left w:w="144" w:type="dxa"/>
                    <w:bottom w:w="0" w:type="dxa"/>
                    <w:right w:w="0" w:type="dxa"/>
                  </w:tcMar>
                </w:tcPr>
                <w:p w:rsidR="00A431F0" w:rsidRPr="00A431F0" w:rsidRDefault="00A431F0" w:rsidP="00A431F0">
                  <w:pPr>
                    <w:pBdr>
                      <w:bottom w:val="single" w:sz="4" w:space="1" w:color="auto"/>
                    </w:pBdr>
                    <w:spacing w:before="0" w:after="0"/>
                    <w:jc w:val="center"/>
                    <w:rPr>
                      <w:b/>
                      <w:bCs/>
                      <w:sz w:val="18"/>
                      <w:szCs w:val="18"/>
                    </w:rPr>
                  </w:pPr>
                  <w:r w:rsidRPr="00A431F0">
                    <w:rPr>
                      <w:b/>
                      <w:bCs/>
                      <w:sz w:val="18"/>
                      <w:szCs w:val="18"/>
                    </w:rPr>
                    <w:t xml:space="preserve">Year ended 31 December </w:t>
                  </w:r>
                  <w:r w:rsidRPr="00A431F0">
                    <w:rPr>
                      <w:b/>
                      <w:bCs/>
                      <w:sz w:val="18"/>
                      <w:szCs w:val="18"/>
                    </w:rPr>
                    <w:br/>
                    <w:t>2014</w:t>
                  </w:r>
                </w:p>
                <w:p w:rsidR="00A431F0" w:rsidRPr="00A431F0" w:rsidRDefault="00A431F0" w:rsidP="00A431F0">
                  <w:pPr>
                    <w:pBdr>
                      <w:bottom w:val="single" w:sz="4" w:space="1" w:color="auto"/>
                    </w:pBdr>
                    <w:spacing w:before="0" w:after="0" w:line="20" w:lineRule="exact"/>
                    <w:jc w:val="center"/>
                    <w:rPr>
                      <w:b/>
                      <w:bCs/>
                      <w:sz w:val="18"/>
                      <w:szCs w:val="18"/>
                    </w:rPr>
                  </w:pPr>
                </w:p>
              </w:tc>
              <w:tc>
                <w:tcPr>
                  <w:tcW w:w="849" w:type="pct"/>
                  <w:gridSpan w:val="2"/>
                  <w:tcMar>
                    <w:top w:w="0" w:type="dxa"/>
                    <w:left w:w="144" w:type="dxa"/>
                    <w:bottom w:w="0" w:type="dxa"/>
                    <w:right w:w="0" w:type="dxa"/>
                  </w:tcMar>
                </w:tcPr>
                <w:p w:rsidR="00A431F0" w:rsidRPr="00A431F0" w:rsidRDefault="00A431F0" w:rsidP="00A431F0">
                  <w:pPr>
                    <w:pBdr>
                      <w:bottom w:val="single" w:sz="4" w:space="1" w:color="auto"/>
                    </w:pBdr>
                    <w:spacing w:before="0" w:after="0"/>
                    <w:jc w:val="center"/>
                    <w:rPr>
                      <w:b/>
                      <w:bCs/>
                      <w:sz w:val="18"/>
                      <w:szCs w:val="18"/>
                    </w:rPr>
                  </w:pPr>
                  <w:r w:rsidRPr="00A431F0">
                    <w:rPr>
                      <w:b/>
                      <w:bCs/>
                      <w:sz w:val="18"/>
                      <w:szCs w:val="18"/>
                    </w:rPr>
                    <w:t xml:space="preserve">Year ended 31 December </w:t>
                  </w:r>
                  <w:r w:rsidRPr="00A431F0">
                    <w:rPr>
                      <w:b/>
                      <w:bCs/>
                      <w:sz w:val="18"/>
                      <w:szCs w:val="18"/>
                    </w:rPr>
                    <w:br/>
                    <w:t>2013</w:t>
                  </w:r>
                </w:p>
                <w:p w:rsidR="00A431F0" w:rsidRPr="00A431F0" w:rsidRDefault="00A431F0" w:rsidP="00A431F0">
                  <w:pPr>
                    <w:pBdr>
                      <w:bottom w:val="single" w:sz="4" w:space="1" w:color="auto"/>
                    </w:pBdr>
                    <w:spacing w:before="0" w:after="0" w:line="20" w:lineRule="exact"/>
                    <w:jc w:val="center"/>
                    <w:rPr>
                      <w:b/>
                      <w:bCs/>
                      <w:sz w:val="18"/>
                      <w:szCs w:val="18"/>
                    </w:rPr>
                  </w:pPr>
                </w:p>
              </w:tc>
            </w:tr>
            <w:tr w:rsidR="00A431F0" w:rsidRPr="00A431F0" w:rsidTr="00304A20">
              <w:tblPrEx>
                <w:jc w:val="center"/>
                <w:tblCellMar>
                  <w:left w:w="0" w:type="dxa"/>
                  <w:right w:w="0" w:type="dxa"/>
                </w:tblCellMar>
              </w:tblPrEx>
              <w:trPr>
                <w:gridAfter w:val="1"/>
                <w:wAfter w:w="8" w:type="pct"/>
                <w:trHeight w:val="45"/>
                <w:tblHeader/>
                <w:jc w:val="center"/>
              </w:trPr>
              <w:tc>
                <w:tcPr>
                  <w:tcW w:w="3294" w:type="pct"/>
                  <w:vMerge/>
                  <w:tcMar>
                    <w:top w:w="0" w:type="dxa"/>
                    <w:left w:w="144" w:type="dxa"/>
                    <w:bottom w:w="0" w:type="dxa"/>
                    <w:right w:w="0" w:type="dxa"/>
                  </w:tcMar>
                  <w:vAlign w:val="bottom"/>
                </w:tcPr>
                <w:p w:rsidR="00A431F0" w:rsidRPr="00A431F0" w:rsidRDefault="00A431F0" w:rsidP="00A431F0">
                  <w:pPr>
                    <w:keepNext/>
                    <w:spacing w:before="0" w:after="0" w:line="40" w:lineRule="exact"/>
                    <w:rPr>
                      <w:sz w:val="18"/>
                      <w:szCs w:val="18"/>
                    </w:rPr>
                  </w:pPr>
                </w:p>
              </w:tc>
              <w:tc>
                <w:tcPr>
                  <w:tcW w:w="1698" w:type="pct"/>
                  <w:gridSpan w:val="3"/>
                  <w:tcMar>
                    <w:top w:w="0" w:type="dxa"/>
                    <w:left w:w="144" w:type="dxa"/>
                    <w:bottom w:w="0" w:type="dxa"/>
                    <w:right w:w="0" w:type="dxa"/>
                  </w:tcMar>
                  <w:vAlign w:val="bottom"/>
                </w:tcPr>
                <w:p w:rsidR="00A431F0" w:rsidRPr="00A431F0" w:rsidRDefault="00A431F0" w:rsidP="00A431F0">
                  <w:pPr>
                    <w:spacing w:before="0" w:after="0"/>
                    <w:jc w:val="right"/>
                    <w:rPr>
                      <w:b/>
                      <w:bCs/>
                      <w:sz w:val="18"/>
                      <w:szCs w:val="18"/>
                    </w:rPr>
                  </w:pPr>
                </w:p>
              </w:tc>
            </w:tr>
            <w:tr w:rsidR="00A431F0" w:rsidRPr="00A431F0" w:rsidTr="00304A20">
              <w:tblPrEx>
                <w:jc w:val="center"/>
                <w:tblCellMar>
                  <w:left w:w="0" w:type="dxa"/>
                  <w:right w:w="0" w:type="dxa"/>
                </w:tblCellMar>
              </w:tblPrEx>
              <w:trPr>
                <w:gridAfter w:val="1"/>
                <w:wAfter w:w="8" w:type="pct"/>
                <w:jc w:val="center"/>
              </w:trPr>
              <w:tc>
                <w:tcPr>
                  <w:tcW w:w="3294" w:type="pct"/>
                </w:tcPr>
                <w:p w:rsidR="00A431F0" w:rsidRPr="00A431F0" w:rsidRDefault="00A431F0" w:rsidP="00A431F0">
                  <w:pPr>
                    <w:keepNext/>
                    <w:spacing w:before="0" w:after="0"/>
                    <w:ind w:left="240" w:hanging="240"/>
                    <w:rPr>
                      <w:b/>
                      <w:bCs/>
                      <w:sz w:val="18"/>
                      <w:szCs w:val="18"/>
                    </w:rPr>
                  </w:pPr>
                  <w:r w:rsidRPr="00A431F0">
                    <w:rPr>
                      <w:b/>
                      <w:bCs/>
                      <w:sz w:val="18"/>
                      <w:szCs w:val="18"/>
                    </w:rPr>
                    <w:t>Selected Balance Sheet Data</w:t>
                  </w:r>
                </w:p>
              </w:tc>
              <w:tc>
                <w:tcPr>
                  <w:tcW w:w="849" w:type="pct"/>
                  <w:tcMar>
                    <w:top w:w="0" w:type="dxa"/>
                    <w:left w:w="144" w:type="dxa"/>
                    <w:bottom w:w="0" w:type="dxa"/>
                    <w:right w:w="0" w:type="dxa"/>
                  </w:tcMar>
                  <w:vAlign w:val="bottom"/>
                </w:tcPr>
                <w:p w:rsidR="00A431F0" w:rsidRPr="00A431F0" w:rsidRDefault="00A431F0" w:rsidP="00A431F0">
                  <w:pPr>
                    <w:spacing w:before="0" w:after="0"/>
                    <w:jc w:val="right"/>
                    <w:rPr>
                      <w:b/>
                      <w:bCs/>
                      <w:sz w:val="18"/>
                      <w:szCs w:val="18"/>
                    </w:rPr>
                  </w:pPr>
                </w:p>
              </w:tc>
              <w:tc>
                <w:tcPr>
                  <w:tcW w:w="849" w:type="pct"/>
                  <w:gridSpan w:val="2"/>
                  <w:tcMar>
                    <w:top w:w="0" w:type="dxa"/>
                    <w:left w:w="144" w:type="dxa"/>
                    <w:bottom w:w="0" w:type="dxa"/>
                    <w:right w:w="0" w:type="dxa"/>
                  </w:tcMar>
                  <w:vAlign w:val="bottom"/>
                </w:tcPr>
                <w:p w:rsidR="00A431F0" w:rsidRPr="00A431F0" w:rsidRDefault="00A431F0" w:rsidP="00A431F0">
                  <w:pPr>
                    <w:spacing w:before="0" w:after="0"/>
                    <w:jc w:val="right"/>
                    <w:rPr>
                      <w:b/>
                      <w:bCs/>
                      <w:sz w:val="18"/>
                      <w:szCs w:val="18"/>
                    </w:rPr>
                  </w:pPr>
                </w:p>
              </w:tc>
            </w:tr>
            <w:tr w:rsidR="00A431F0" w:rsidRPr="00A431F0" w:rsidTr="00304A20">
              <w:tblPrEx>
                <w:jc w:val="center"/>
                <w:tblCellMar>
                  <w:left w:w="0" w:type="dxa"/>
                  <w:right w:w="0" w:type="dxa"/>
                </w:tblCellMar>
              </w:tblPrEx>
              <w:trPr>
                <w:gridAfter w:val="1"/>
                <w:wAfter w:w="8" w:type="pct"/>
                <w:jc w:val="center"/>
              </w:trPr>
              <w:tc>
                <w:tcPr>
                  <w:tcW w:w="3294"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Cash and cash equivalents</w:t>
                  </w:r>
                  <w:r w:rsidRPr="00A431F0">
                    <w:rPr>
                      <w:sz w:val="18"/>
                      <w:szCs w:val="18"/>
                    </w:rPr>
                    <w:tab/>
                  </w:r>
                </w:p>
              </w:tc>
              <w:tc>
                <w:tcPr>
                  <w:tcW w:w="849" w:type="pct"/>
                  <w:tcMar>
                    <w:top w:w="0" w:type="dxa"/>
                    <w:left w:w="144" w:type="dxa"/>
                    <w:bottom w:w="0" w:type="dxa"/>
                    <w:right w:w="0" w:type="dxa"/>
                  </w:tcMar>
                  <w:vAlign w:val="bottom"/>
                </w:tcPr>
                <w:p w:rsidR="00A431F0" w:rsidRPr="00A431F0" w:rsidRDefault="00A431F0" w:rsidP="00A431F0">
                  <w:pPr>
                    <w:spacing w:before="0" w:after="0"/>
                    <w:jc w:val="right"/>
                    <w:rPr>
                      <w:bCs/>
                      <w:sz w:val="18"/>
                      <w:szCs w:val="18"/>
                    </w:rPr>
                  </w:pPr>
                  <w:r w:rsidRPr="00A431F0">
                    <w:rPr>
                      <w:bCs/>
                      <w:sz w:val="18"/>
                      <w:szCs w:val="18"/>
                    </w:rPr>
                    <w:t>117.9</w:t>
                  </w:r>
                </w:p>
              </w:tc>
              <w:tc>
                <w:tcPr>
                  <w:tcW w:w="849" w:type="pct"/>
                  <w:gridSpan w:val="2"/>
                  <w:noWrap/>
                  <w:tcMar>
                    <w:top w:w="0" w:type="dxa"/>
                    <w:left w:w="144" w:type="dxa"/>
                    <w:bottom w:w="0" w:type="dxa"/>
                    <w:right w:w="0" w:type="dxa"/>
                  </w:tcMar>
                  <w:vAlign w:val="bottom"/>
                </w:tcPr>
                <w:p w:rsidR="00A431F0" w:rsidRPr="00A431F0" w:rsidRDefault="00A431F0" w:rsidP="00A431F0">
                  <w:pPr>
                    <w:spacing w:before="0" w:after="0"/>
                    <w:jc w:val="right"/>
                    <w:rPr>
                      <w:bCs/>
                      <w:sz w:val="18"/>
                      <w:szCs w:val="18"/>
                    </w:rPr>
                  </w:pPr>
                  <w:r w:rsidRPr="00A431F0">
                    <w:rPr>
                      <w:bCs/>
                      <w:sz w:val="18"/>
                      <w:szCs w:val="18"/>
                    </w:rPr>
                    <w:t>82.8</w:t>
                  </w:r>
                </w:p>
              </w:tc>
            </w:tr>
            <w:tr w:rsidR="00A431F0" w:rsidRPr="00A431F0" w:rsidTr="00304A20">
              <w:tblPrEx>
                <w:jc w:val="center"/>
                <w:tblCellMar>
                  <w:left w:w="0" w:type="dxa"/>
                  <w:right w:w="0" w:type="dxa"/>
                </w:tblCellMar>
              </w:tblPrEx>
              <w:trPr>
                <w:gridAfter w:val="1"/>
                <w:wAfter w:w="8" w:type="pct"/>
                <w:jc w:val="center"/>
              </w:trPr>
              <w:tc>
                <w:tcPr>
                  <w:tcW w:w="3294" w:type="pct"/>
                </w:tcPr>
                <w:p w:rsidR="00A431F0" w:rsidRPr="00A431F0" w:rsidRDefault="00A431F0" w:rsidP="00A431F0">
                  <w:pPr>
                    <w:tabs>
                      <w:tab w:val="right" w:leader="dot" w:pos="5160"/>
                    </w:tabs>
                    <w:spacing w:before="0" w:after="0"/>
                    <w:ind w:left="240" w:hanging="240"/>
                    <w:rPr>
                      <w:sz w:val="18"/>
                      <w:szCs w:val="18"/>
                    </w:rPr>
                  </w:pPr>
                  <w:r w:rsidRPr="00A431F0">
                    <w:rPr>
                      <w:sz w:val="18"/>
                      <w:szCs w:val="18"/>
                    </w:rPr>
                    <w:t>Total current assets</w:t>
                  </w:r>
                  <w:r w:rsidRPr="00A431F0">
                    <w:rPr>
                      <w:sz w:val="18"/>
                      <w:szCs w:val="18"/>
                    </w:rPr>
                    <w:tab/>
                  </w:r>
                </w:p>
              </w:tc>
              <w:tc>
                <w:tcPr>
                  <w:tcW w:w="849" w:type="pct"/>
                  <w:noWrap/>
                  <w:tcMar>
                    <w:top w:w="0" w:type="dxa"/>
                    <w:left w:w="144" w:type="dxa"/>
                    <w:bottom w:w="0" w:type="dxa"/>
                    <w:right w:w="0" w:type="dxa"/>
                  </w:tcMar>
                  <w:vAlign w:val="bottom"/>
                </w:tcPr>
                <w:p w:rsidR="00A431F0" w:rsidRPr="00A431F0" w:rsidRDefault="00A431F0" w:rsidP="00A431F0">
                  <w:pPr>
                    <w:spacing w:before="0" w:after="0"/>
                    <w:jc w:val="right"/>
                    <w:rPr>
                      <w:bCs/>
                      <w:sz w:val="18"/>
                      <w:szCs w:val="18"/>
                    </w:rPr>
                  </w:pPr>
                  <w:r w:rsidRPr="00A431F0">
                    <w:rPr>
                      <w:bCs/>
                      <w:sz w:val="18"/>
                      <w:szCs w:val="18"/>
                    </w:rPr>
                    <w:t>427.7</w:t>
                  </w:r>
                </w:p>
              </w:tc>
              <w:tc>
                <w:tcPr>
                  <w:tcW w:w="849" w:type="pct"/>
                  <w:gridSpan w:val="2"/>
                  <w:noWrap/>
                  <w:tcMar>
                    <w:top w:w="0" w:type="dxa"/>
                    <w:left w:w="144" w:type="dxa"/>
                    <w:bottom w:w="0" w:type="dxa"/>
                    <w:right w:w="0" w:type="dxa"/>
                  </w:tcMar>
                  <w:vAlign w:val="bottom"/>
                </w:tcPr>
                <w:p w:rsidR="00A431F0" w:rsidRPr="00A431F0" w:rsidRDefault="00A431F0" w:rsidP="00A431F0">
                  <w:pPr>
                    <w:spacing w:before="0" w:after="0"/>
                    <w:jc w:val="right"/>
                    <w:rPr>
                      <w:bCs/>
                      <w:sz w:val="18"/>
                      <w:szCs w:val="18"/>
                    </w:rPr>
                  </w:pPr>
                  <w:r w:rsidRPr="00A431F0">
                    <w:rPr>
                      <w:bCs/>
                      <w:sz w:val="18"/>
                      <w:szCs w:val="18"/>
                    </w:rPr>
                    <w:t>373.8</w:t>
                  </w:r>
                </w:p>
              </w:tc>
            </w:tr>
            <w:tr w:rsidR="00A431F0" w:rsidRPr="00A431F0" w:rsidTr="00304A20">
              <w:tblPrEx>
                <w:jc w:val="center"/>
                <w:tblCellMar>
                  <w:left w:w="0" w:type="dxa"/>
                  <w:right w:w="0" w:type="dxa"/>
                </w:tblCellMar>
              </w:tblPrEx>
              <w:trPr>
                <w:gridAfter w:val="1"/>
                <w:wAfter w:w="8" w:type="pct"/>
                <w:jc w:val="center"/>
              </w:trPr>
              <w:tc>
                <w:tcPr>
                  <w:tcW w:w="3294"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Total assets</w:t>
                  </w:r>
                  <w:r w:rsidRPr="00A431F0">
                    <w:rPr>
                      <w:b/>
                      <w:sz w:val="18"/>
                      <w:szCs w:val="18"/>
                    </w:rPr>
                    <w:tab/>
                  </w:r>
                </w:p>
              </w:tc>
              <w:tc>
                <w:tcPr>
                  <w:tcW w:w="849" w:type="pct"/>
                  <w:noWrap/>
                  <w:tcMar>
                    <w:top w:w="0" w:type="dxa"/>
                    <w:left w:w="144" w:type="dxa"/>
                    <w:bottom w:w="0" w:type="dxa"/>
                    <w:right w:w="0" w:type="dxa"/>
                  </w:tcMar>
                  <w:vAlign w:val="bottom"/>
                </w:tcPr>
                <w:p w:rsidR="00A431F0" w:rsidRPr="00A431F0" w:rsidRDefault="00A431F0" w:rsidP="00A431F0">
                  <w:pPr>
                    <w:spacing w:before="0" w:after="0"/>
                    <w:jc w:val="right"/>
                    <w:rPr>
                      <w:b/>
                      <w:bCs/>
                      <w:sz w:val="18"/>
                      <w:szCs w:val="18"/>
                    </w:rPr>
                  </w:pPr>
                  <w:r w:rsidRPr="00A431F0">
                    <w:rPr>
                      <w:b/>
                      <w:bCs/>
                      <w:sz w:val="18"/>
                      <w:szCs w:val="18"/>
                    </w:rPr>
                    <w:t>963.1</w:t>
                  </w:r>
                </w:p>
              </w:tc>
              <w:tc>
                <w:tcPr>
                  <w:tcW w:w="849" w:type="pct"/>
                  <w:gridSpan w:val="2"/>
                  <w:noWrap/>
                  <w:tcMar>
                    <w:top w:w="0" w:type="dxa"/>
                    <w:left w:w="144" w:type="dxa"/>
                    <w:bottom w:w="0" w:type="dxa"/>
                    <w:right w:w="0" w:type="dxa"/>
                  </w:tcMar>
                  <w:vAlign w:val="bottom"/>
                </w:tcPr>
                <w:p w:rsidR="00A431F0" w:rsidRPr="00A431F0" w:rsidRDefault="00A431F0" w:rsidP="00A431F0">
                  <w:pPr>
                    <w:spacing w:before="0" w:after="0"/>
                    <w:jc w:val="right"/>
                    <w:rPr>
                      <w:b/>
                      <w:bCs/>
                      <w:sz w:val="18"/>
                      <w:szCs w:val="18"/>
                    </w:rPr>
                  </w:pPr>
                  <w:r w:rsidRPr="00A431F0">
                    <w:rPr>
                      <w:b/>
                      <w:bCs/>
                      <w:sz w:val="18"/>
                      <w:szCs w:val="18"/>
                    </w:rPr>
                    <w:t>920.9</w:t>
                  </w:r>
                </w:p>
              </w:tc>
            </w:tr>
            <w:tr w:rsidR="00A431F0" w:rsidRPr="00A431F0" w:rsidTr="00304A20">
              <w:tblPrEx>
                <w:jc w:val="center"/>
                <w:tblCellMar>
                  <w:left w:w="0" w:type="dxa"/>
                  <w:right w:w="0" w:type="dxa"/>
                </w:tblCellMar>
              </w:tblPrEx>
              <w:trPr>
                <w:gridAfter w:val="1"/>
                <w:wAfter w:w="8" w:type="pct"/>
                <w:jc w:val="center"/>
              </w:trPr>
              <w:tc>
                <w:tcPr>
                  <w:tcW w:w="3294"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Total equity</w:t>
                  </w:r>
                  <w:r w:rsidRPr="00A431F0">
                    <w:rPr>
                      <w:sz w:val="18"/>
                      <w:szCs w:val="18"/>
                    </w:rPr>
                    <w:tab/>
                  </w:r>
                </w:p>
              </w:tc>
              <w:tc>
                <w:tcPr>
                  <w:tcW w:w="849" w:type="pct"/>
                  <w:noWrap/>
                  <w:tcMar>
                    <w:top w:w="0" w:type="dxa"/>
                    <w:left w:w="144" w:type="dxa"/>
                    <w:bottom w:w="0" w:type="dxa"/>
                    <w:right w:w="0" w:type="dxa"/>
                  </w:tcMar>
                  <w:vAlign w:val="bottom"/>
                </w:tcPr>
                <w:p w:rsidR="00A431F0" w:rsidRPr="00A431F0" w:rsidRDefault="00A431F0" w:rsidP="00A431F0">
                  <w:pPr>
                    <w:spacing w:before="0" w:after="0"/>
                    <w:jc w:val="right"/>
                    <w:rPr>
                      <w:bCs/>
                      <w:sz w:val="18"/>
                      <w:szCs w:val="18"/>
                    </w:rPr>
                  </w:pPr>
                  <w:r w:rsidRPr="00A431F0">
                    <w:rPr>
                      <w:bCs/>
                      <w:sz w:val="18"/>
                      <w:szCs w:val="18"/>
                    </w:rPr>
                    <w:t>46.8</w:t>
                  </w:r>
                </w:p>
              </w:tc>
              <w:tc>
                <w:tcPr>
                  <w:tcW w:w="849" w:type="pct"/>
                  <w:gridSpan w:val="2"/>
                  <w:noWrap/>
                  <w:tcMar>
                    <w:top w:w="0" w:type="dxa"/>
                    <w:left w:w="144" w:type="dxa"/>
                    <w:bottom w:w="0" w:type="dxa"/>
                    <w:right w:w="0" w:type="dxa"/>
                  </w:tcMar>
                  <w:vAlign w:val="bottom"/>
                </w:tcPr>
                <w:p w:rsidR="00A431F0" w:rsidRPr="00A431F0" w:rsidRDefault="00A431F0" w:rsidP="00A431F0">
                  <w:pPr>
                    <w:spacing w:before="0" w:after="0"/>
                    <w:jc w:val="right"/>
                    <w:rPr>
                      <w:bCs/>
                      <w:sz w:val="18"/>
                      <w:szCs w:val="18"/>
                    </w:rPr>
                  </w:pPr>
                  <w:r w:rsidRPr="00A431F0">
                    <w:rPr>
                      <w:bCs/>
                      <w:sz w:val="18"/>
                      <w:szCs w:val="18"/>
                    </w:rPr>
                    <w:t>29.7</w:t>
                  </w:r>
                </w:p>
              </w:tc>
            </w:tr>
            <w:tr w:rsidR="00A431F0" w:rsidRPr="00A431F0" w:rsidTr="00304A20">
              <w:tblPrEx>
                <w:jc w:val="center"/>
                <w:tblCellMar>
                  <w:left w:w="0" w:type="dxa"/>
                  <w:right w:w="0" w:type="dxa"/>
                </w:tblCellMar>
              </w:tblPrEx>
              <w:trPr>
                <w:gridAfter w:val="1"/>
                <w:wAfter w:w="8" w:type="pct"/>
                <w:jc w:val="center"/>
              </w:trPr>
              <w:tc>
                <w:tcPr>
                  <w:tcW w:w="3294"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Total current liabilities</w:t>
                  </w:r>
                  <w:r w:rsidRPr="00A431F0">
                    <w:rPr>
                      <w:sz w:val="18"/>
                      <w:szCs w:val="18"/>
                    </w:rPr>
                    <w:tab/>
                  </w:r>
                </w:p>
              </w:tc>
              <w:tc>
                <w:tcPr>
                  <w:tcW w:w="849" w:type="pct"/>
                  <w:noWrap/>
                  <w:tcMar>
                    <w:top w:w="0" w:type="dxa"/>
                    <w:left w:w="144" w:type="dxa"/>
                    <w:bottom w:w="0" w:type="dxa"/>
                    <w:right w:w="0" w:type="dxa"/>
                  </w:tcMar>
                  <w:vAlign w:val="bottom"/>
                </w:tcPr>
                <w:p w:rsidR="00A431F0" w:rsidRPr="00A431F0" w:rsidRDefault="00A431F0" w:rsidP="00A431F0">
                  <w:pPr>
                    <w:spacing w:before="0" w:after="0"/>
                    <w:jc w:val="right"/>
                    <w:rPr>
                      <w:bCs/>
                      <w:sz w:val="18"/>
                      <w:szCs w:val="18"/>
                    </w:rPr>
                  </w:pPr>
                  <w:r w:rsidRPr="00A431F0">
                    <w:rPr>
                      <w:bCs/>
                      <w:sz w:val="18"/>
                      <w:szCs w:val="18"/>
                    </w:rPr>
                    <w:t>581.6</w:t>
                  </w:r>
                </w:p>
              </w:tc>
              <w:tc>
                <w:tcPr>
                  <w:tcW w:w="849" w:type="pct"/>
                  <w:gridSpan w:val="2"/>
                  <w:noWrap/>
                  <w:tcMar>
                    <w:top w:w="0" w:type="dxa"/>
                    <w:left w:w="144" w:type="dxa"/>
                    <w:bottom w:w="0" w:type="dxa"/>
                    <w:right w:w="0" w:type="dxa"/>
                  </w:tcMar>
                  <w:vAlign w:val="bottom"/>
                </w:tcPr>
                <w:p w:rsidR="00A431F0" w:rsidRPr="00A431F0" w:rsidRDefault="00A431F0" w:rsidP="00A431F0">
                  <w:pPr>
                    <w:spacing w:before="0" w:after="0"/>
                    <w:jc w:val="right"/>
                    <w:rPr>
                      <w:bCs/>
                      <w:sz w:val="18"/>
                      <w:szCs w:val="18"/>
                    </w:rPr>
                  </w:pPr>
                  <w:r w:rsidRPr="00A431F0">
                    <w:rPr>
                      <w:bCs/>
                      <w:sz w:val="18"/>
                      <w:szCs w:val="18"/>
                    </w:rPr>
                    <w:t>532.8</w:t>
                  </w:r>
                </w:p>
              </w:tc>
            </w:tr>
            <w:tr w:rsidR="00A431F0" w:rsidRPr="00A431F0" w:rsidTr="00304A20">
              <w:tblPrEx>
                <w:jc w:val="center"/>
                <w:tblCellMar>
                  <w:left w:w="0" w:type="dxa"/>
                  <w:right w:w="0" w:type="dxa"/>
                </w:tblCellMar>
              </w:tblPrEx>
              <w:trPr>
                <w:gridAfter w:val="1"/>
                <w:wAfter w:w="8" w:type="pct"/>
                <w:jc w:val="center"/>
              </w:trPr>
              <w:tc>
                <w:tcPr>
                  <w:tcW w:w="3294" w:type="pct"/>
                </w:tcPr>
                <w:p w:rsidR="00A431F0" w:rsidRPr="00A431F0" w:rsidRDefault="00A431F0" w:rsidP="00A431F0">
                  <w:pPr>
                    <w:tabs>
                      <w:tab w:val="right" w:leader="dot" w:pos="5160"/>
                    </w:tabs>
                    <w:spacing w:before="0" w:after="0"/>
                    <w:ind w:left="240" w:hanging="240"/>
                    <w:rPr>
                      <w:b/>
                      <w:sz w:val="18"/>
                      <w:szCs w:val="18"/>
                    </w:rPr>
                  </w:pPr>
                  <w:r w:rsidRPr="00A431F0">
                    <w:rPr>
                      <w:b/>
                      <w:sz w:val="18"/>
                      <w:szCs w:val="18"/>
                    </w:rPr>
                    <w:t>Total equity and liabilities</w:t>
                  </w:r>
                  <w:r w:rsidRPr="00A431F0">
                    <w:rPr>
                      <w:b/>
                      <w:sz w:val="18"/>
                      <w:szCs w:val="18"/>
                    </w:rPr>
                    <w:tab/>
                  </w:r>
                </w:p>
              </w:tc>
              <w:tc>
                <w:tcPr>
                  <w:tcW w:w="849" w:type="pct"/>
                  <w:noWrap/>
                  <w:tcMar>
                    <w:top w:w="0" w:type="dxa"/>
                    <w:left w:w="144" w:type="dxa"/>
                    <w:bottom w:w="0" w:type="dxa"/>
                    <w:right w:w="0" w:type="dxa"/>
                  </w:tcMar>
                  <w:vAlign w:val="bottom"/>
                </w:tcPr>
                <w:p w:rsidR="00A431F0" w:rsidRPr="00A431F0" w:rsidRDefault="00A431F0" w:rsidP="00A431F0">
                  <w:pPr>
                    <w:spacing w:before="0" w:after="0"/>
                    <w:jc w:val="right"/>
                    <w:rPr>
                      <w:b/>
                      <w:bCs/>
                      <w:sz w:val="18"/>
                      <w:szCs w:val="18"/>
                    </w:rPr>
                  </w:pPr>
                  <w:r w:rsidRPr="00A431F0">
                    <w:rPr>
                      <w:b/>
                      <w:bCs/>
                      <w:sz w:val="18"/>
                      <w:szCs w:val="18"/>
                    </w:rPr>
                    <w:t>963.1</w:t>
                  </w:r>
                </w:p>
              </w:tc>
              <w:tc>
                <w:tcPr>
                  <w:tcW w:w="849" w:type="pct"/>
                  <w:gridSpan w:val="2"/>
                  <w:noWrap/>
                  <w:tcMar>
                    <w:top w:w="0" w:type="dxa"/>
                    <w:left w:w="144" w:type="dxa"/>
                    <w:bottom w:w="0" w:type="dxa"/>
                    <w:right w:w="0" w:type="dxa"/>
                  </w:tcMar>
                  <w:vAlign w:val="bottom"/>
                </w:tcPr>
                <w:p w:rsidR="00A431F0" w:rsidRPr="00A431F0" w:rsidRDefault="00A431F0" w:rsidP="00A431F0">
                  <w:pPr>
                    <w:spacing w:before="0" w:after="0"/>
                    <w:jc w:val="right"/>
                    <w:rPr>
                      <w:b/>
                      <w:bCs/>
                      <w:sz w:val="18"/>
                      <w:szCs w:val="18"/>
                    </w:rPr>
                  </w:pPr>
                  <w:r w:rsidRPr="00A431F0">
                    <w:rPr>
                      <w:b/>
                      <w:bCs/>
                      <w:sz w:val="18"/>
                      <w:szCs w:val="18"/>
                    </w:rPr>
                    <w:t>920.9</w:t>
                  </w:r>
                </w:p>
              </w:tc>
            </w:tr>
          </w:tbl>
          <w:p w:rsidR="00A431F0" w:rsidRPr="00A431F0" w:rsidRDefault="00A431F0" w:rsidP="00A431F0">
            <w:pPr>
              <w:rPr>
                <w:szCs w:val="20"/>
              </w:rPr>
            </w:pPr>
            <w:r w:rsidRPr="00A431F0">
              <w:rPr>
                <w:szCs w:val="20"/>
              </w:rPr>
              <w:t>The following is a reconciliation of EBITDA and REBITDA for each of the periods presented above:</w:t>
            </w:r>
          </w:p>
          <w:tbl>
            <w:tblPr>
              <w:tblW w:w="8072" w:type="dxa"/>
              <w:jc w:val="center"/>
              <w:tblLayout w:type="fixed"/>
              <w:tblCellMar>
                <w:left w:w="0" w:type="dxa"/>
                <w:right w:w="0" w:type="dxa"/>
              </w:tblCellMar>
              <w:tblLook w:val="0000" w:firstRow="0" w:lastRow="0" w:firstColumn="0" w:lastColumn="0" w:noHBand="0" w:noVBand="0"/>
            </w:tblPr>
            <w:tblGrid>
              <w:gridCol w:w="5400"/>
              <w:gridCol w:w="1337"/>
              <w:gridCol w:w="1335"/>
            </w:tblGrid>
            <w:tr w:rsidR="00A431F0" w:rsidRPr="00A431F0" w:rsidTr="00304A20">
              <w:trPr>
                <w:tblHeader/>
                <w:jc w:val="center"/>
              </w:trPr>
              <w:tc>
                <w:tcPr>
                  <w:tcW w:w="3345" w:type="pct"/>
                  <w:vAlign w:val="center"/>
                </w:tcPr>
                <w:p w:rsidR="00A431F0" w:rsidRPr="00A431F0" w:rsidRDefault="00A431F0" w:rsidP="00A431F0">
                  <w:pPr>
                    <w:spacing w:before="0" w:after="0"/>
                    <w:jc w:val="left"/>
                    <w:rPr>
                      <w:sz w:val="18"/>
                      <w:szCs w:val="18"/>
                    </w:rPr>
                  </w:pPr>
                  <w:r w:rsidRPr="00A431F0">
                    <w:rPr>
                      <w:bCs/>
                      <w:i/>
                      <w:sz w:val="18"/>
                      <w:szCs w:val="18"/>
                    </w:rPr>
                    <w:t>(EUR in millions)</w:t>
                  </w:r>
                  <w:r w:rsidRPr="00A431F0">
                    <w:rPr>
                      <w:sz w:val="18"/>
                      <w:szCs w:val="18"/>
                    </w:rPr>
                    <w:t> </w:t>
                  </w:r>
                </w:p>
              </w:tc>
              <w:tc>
                <w:tcPr>
                  <w:tcW w:w="828" w:type="pct"/>
                  <w:tcMar>
                    <w:top w:w="0" w:type="dxa"/>
                    <w:left w:w="144" w:type="dxa"/>
                    <w:bottom w:w="0" w:type="dxa"/>
                    <w:right w:w="0" w:type="dxa"/>
                  </w:tcMar>
                </w:tcPr>
                <w:p w:rsidR="00A431F0" w:rsidRPr="00A431F0" w:rsidRDefault="00A431F0" w:rsidP="00A431F0">
                  <w:pPr>
                    <w:pBdr>
                      <w:bottom w:val="single" w:sz="4" w:space="1" w:color="auto"/>
                    </w:pBdr>
                    <w:tabs>
                      <w:tab w:val="right" w:leader="dot" w:pos="7240"/>
                    </w:tabs>
                    <w:ind w:left="95" w:firstLine="5"/>
                    <w:jc w:val="center"/>
                    <w:rPr>
                      <w:b/>
                      <w:sz w:val="18"/>
                      <w:szCs w:val="18"/>
                    </w:rPr>
                  </w:pPr>
                  <w:r w:rsidRPr="00A431F0">
                    <w:rPr>
                      <w:b/>
                      <w:sz w:val="18"/>
                      <w:szCs w:val="18"/>
                    </w:rPr>
                    <w:t xml:space="preserve">Year ended 31 December </w:t>
                  </w:r>
                  <w:r w:rsidRPr="00A431F0">
                    <w:rPr>
                      <w:b/>
                      <w:sz w:val="18"/>
                      <w:szCs w:val="18"/>
                    </w:rPr>
                    <w:br/>
                    <w:t>2014</w:t>
                  </w:r>
                </w:p>
              </w:tc>
              <w:tc>
                <w:tcPr>
                  <w:tcW w:w="828" w:type="pct"/>
                  <w:tcMar>
                    <w:top w:w="0" w:type="dxa"/>
                    <w:left w:w="144" w:type="dxa"/>
                    <w:bottom w:w="0" w:type="dxa"/>
                    <w:right w:w="0" w:type="dxa"/>
                  </w:tcMar>
                </w:tcPr>
                <w:p w:rsidR="00A431F0" w:rsidRPr="00A431F0" w:rsidRDefault="00A431F0" w:rsidP="00A431F0">
                  <w:pPr>
                    <w:pBdr>
                      <w:bottom w:val="single" w:sz="4" w:space="1" w:color="auto"/>
                    </w:pBdr>
                    <w:tabs>
                      <w:tab w:val="right" w:leader="dot" w:pos="7240"/>
                    </w:tabs>
                    <w:ind w:left="-1"/>
                    <w:jc w:val="center"/>
                    <w:rPr>
                      <w:b/>
                      <w:sz w:val="18"/>
                      <w:szCs w:val="18"/>
                    </w:rPr>
                  </w:pPr>
                  <w:r w:rsidRPr="00A431F0">
                    <w:rPr>
                      <w:b/>
                      <w:sz w:val="18"/>
                      <w:szCs w:val="18"/>
                    </w:rPr>
                    <w:t xml:space="preserve">Year ended 31 December </w:t>
                  </w:r>
                  <w:r w:rsidRPr="00A431F0">
                    <w:rPr>
                      <w:b/>
                      <w:sz w:val="18"/>
                      <w:szCs w:val="18"/>
                    </w:rPr>
                    <w:br/>
                    <w:t>2013</w:t>
                  </w:r>
                </w:p>
              </w:tc>
            </w:tr>
            <w:tr w:rsidR="00A431F0" w:rsidRPr="00A431F0" w:rsidTr="00304A20">
              <w:tblPrEx>
                <w:jc w:val="right"/>
              </w:tblPrEx>
              <w:trPr>
                <w:jc w:val="right"/>
              </w:trPr>
              <w:tc>
                <w:tcPr>
                  <w:tcW w:w="3345"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 xml:space="preserve">Operating result </w:t>
                  </w:r>
                  <w:r w:rsidRPr="00A431F0">
                    <w:rPr>
                      <w:sz w:val="18"/>
                      <w:szCs w:val="18"/>
                    </w:rPr>
                    <w:tab/>
                  </w:r>
                </w:p>
              </w:tc>
              <w:tc>
                <w:tcPr>
                  <w:tcW w:w="828" w:type="pct"/>
                  <w:noWrap/>
                  <w:tcMar>
                    <w:top w:w="0" w:type="dxa"/>
                    <w:left w:w="144" w:type="dxa"/>
                    <w:bottom w:w="0" w:type="dxa"/>
                    <w:right w:w="0" w:type="dxa"/>
                  </w:tcMar>
                  <w:vAlign w:val="bottom"/>
                </w:tcPr>
                <w:p w:rsidR="00A431F0" w:rsidRPr="00A431F0" w:rsidRDefault="00A431F0" w:rsidP="00A431F0">
                  <w:pPr>
                    <w:spacing w:before="0" w:after="0"/>
                    <w:ind w:right="140"/>
                    <w:jc w:val="right"/>
                    <w:rPr>
                      <w:sz w:val="18"/>
                      <w:szCs w:val="18"/>
                    </w:rPr>
                  </w:pPr>
                  <w:r w:rsidRPr="00A431F0">
                    <w:rPr>
                      <w:b/>
                      <w:bCs/>
                      <w:sz w:val="18"/>
                      <w:szCs w:val="18"/>
                    </w:rPr>
                    <w:t>53.3</w:t>
                  </w:r>
                </w:p>
              </w:tc>
              <w:tc>
                <w:tcPr>
                  <w:tcW w:w="828" w:type="pct"/>
                  <w:noWrap/>
                  <w:tcMar>
                    <w:top w:w="0" w:type="dxa"/>
                    <w:left w:w="144" w:type="dxa"/>
                    <w:bottom w:w="0" w:type="dxa"/>
                    <w:right w:w="0" w:type="dxa"/>
                  </w:tcMar>
                  <w:vAlign w:val="bottom"/>
                </w:tcPr>
                <w:p w:rsidR="00A431F0" w:rsidRPr="00A431F0" w:rsidRDefault="00A431F0" w:rsidP="00A431F0">
                  <w:pPr>
                    <w:spacing w:before="0" w:after="0"/>
                    <w:ind w:right="142"/>
                    <w:jc w:val="right"/>
                    <w:rPr>
                      <w:sz w:val="18"/>
                      <w:szCs w:val="18"/>
                    </w:rPr>
                  </w:pPr>
                  <w:r w:rsidRPr="00A431F0">
                    <w:rPr>
                      <w:b/>
                      <w:bCs/>
                      <w:sz w:val="18"/>
                      <w:szCs w:val="18"/>
                    </w:rPr>
                    <w:t>55.5</w:t>
                  </w:r>
                </w:p>
              </w:tc>
            </w:tr>
            <w:tr w:rsidR="00A431F0" w:rsidRPr="00A431F0" w:rsidTr="00304A20">
              <w:tblPrEx>
                <w:jc w:val="right"/>
              </w:tblPrEx>
              <w:trPr>
                <w:jc w:val="right"/>
              </w:trPr>
              <w:tc>
                <w:tcPr>
                  <w:tcW w:w="3345"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Depreciation and amortisation, share of profit of equity accounted investments and non-controlling interest</w:t>
                  </w:r>
                  <w:r w:rsidRPr="00A431F0">
                    <w:rPr>
                      <w:sz w:val="18"/>
                      <w:szCs w:val="18"/>
                    </w:rPr>
                    <w:tab/>
                  </w:r>
                </w:p>
              </w:tc>
              <w:tc>
                <w:tcPr>
                  <w:tcW w:w="828" w:type="pct"/>
                  <w:noWrap/>
                  <w:tcMar>
                    <w:top w:w="0" w:type="dxa"/>
                    <w:left w:w="144" w:type="dxa"/>
                    <w:bottom w:w="0" w:type="dxa"/>
                    <w:right w:w="0" w:type="dxa"/>
                  </w:tcMar>
                  <w:vAlign w:val="bottom"/>
                </w:tcPr>
                <w:p w:rsidR="00A431F0" w:rsidRPr="00A431F0" w:rsidRDefault="00A431F0" w:rsidP="00A431F0">
                  <w:pPr>
                    <w:pBdr>
                      <w:bottom w:val="single" w:sz="4" w:space="1" w:color="auto"/>
                    </w:pBdr>
                    <w:spacing w:before="0" w:after="0"/>
                    <w:ind w:right="140"/>
                    <w:jc w:val="right"/>
                    <w:rPr>
                      <w:sz w:val="18"/>
                      <w:szCs w:val="18"/>
                    </w:rPr>
                  </w:pPr>
                  <w:r w:rsidRPr="00A431F0">
                    <w:rPr>
                      <w:sz w:val="18"/>
                      <w:szCs w:val="18"/>
                    </w:rPr>
                    <w:t>33.1</w:t>
                  </w:r>
                </w:p>
              </w:tc>
              <w:tc>
                <w:tcPr>
                  <w:tcW w:w="828" w:type="pct"/>
                  <w:noWrap/>
                  <w:tcMar>
                    <w:top w:w="0" w:type="dxa"/>
                    <w:left w:w="144" w:type="dxa"/>
                    <w:bottom w:w="0" w:type="dxa"/>
                    <w:right w:w="0" w:type="dxa"/>
                  </w:tcMar>
                  <w:vAlign w:val="bottom"/>
                </w:tcPr>
                <w:p w:rsidR="00A431F0" w:rsidRPr="00A431F0" w:rsidRDefault="00A431F0" w:rsidP="00A431F0">
                  <w:pPr>
                    <w:pBdr>
                      <w:bottom w:val="single" w:sz="4" w:space="1" w:color="auto"/>
                    </w:pBdr>
                    <w:spacing w:before="0" w:after="0"/>
                    <w:ind w:right="142"/>
                    <w:jc w:val="right"/>
                    <w:rPr>
                      <w:sz w:val="18"/>
                      <w:szCs w:val="18"/>
                    </w:rPr>
                  </w:pPr>
                  <w:r w:rsidRPr="00A431F0">
                    <w:rPr>
                      <w:sz w:val="18"/>
                      <w:szCs w:val="18"/>
                    </w:rPr>
                    <w:t>28.6</w:t>
                  </w:r>
                </w:p>
              </w:tc>
            </w:tr>
            <w:tr w:rsidR="00A431F0" w:rsidRPr="00A431F0" w:rsidTr="00304A20">
              <w:tblPrEx>
                <w:jc w:val="right"/>
              </w:tblPrEx>
              <w:trPr>
                <w:jc w:val="right"/>
              </w:trPr>
              <w:tc>
                <w:tcPr>
                  <w:tcW w:w="3345"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EBITDA</w:t>
                  </w:r>
                  <w:r w:rsidRPr="00A431F0">
                    <w:rPr>
                      <w:sz w:val="18"/>
                      <w:szCs w:val="18"/>
                    </w:rPr>
                    <w:tab/>
                  </w:r>
                </w:p>
              </w:tc>
              <w:tc>
                <w:tcPr>
                  <w:tcW w:w="828" w:type="pct"/>
                  <w:noWrap/>
                  <w:tcMar>
                    <w:top w:w="0" w:type="dxa"/>
                    <w:left w:w="144" w:type="dxa"/>
                    <w:bottom w:w="0" w:type="dxa"/>
                    <w:right w:w="0" w:type="dxa"/>
                  </w:tcMar>
                  <w:vAlign w:val="bottom"/>
                </w:tcPr>
                <w:p w:rsidR="00A431F0" w:rsidRPr="00A431F0" w:rsidRDefault="00A431F0" w:rsidP="00A431F0">
                  <w:pPr>
                    <w:spacing w:before="0" w:after="0"/>
                    <w:ind w:right="140"/>
                    <w:jc w:val="right"/>
                    <w:rPr>
                      <w:sz w:val="18"/>
                      <w:szCs w:val="18"/>
                    </w:rPr>
                  </w:pPr>
                  <w:r w:rsidRPr="00A431F0">
                    <w:rPr>
                      <w:b/>
                      <w:bCs/>
                      <w:sz w:val="18"/>
                      <w:szCs w:val="18"/>
                    </w:rPr>
                    <w:t>86.4</w:t>
                  </w:r>
                </w:p>
              </w:tc>
              <w:tc>
                <w:tcPr>
                  <w:tcW w:w="828" w:type="pct"/>
                  <w:noWrap/>
                  <w:tcMar>
                    <w:top w:w="0" w:type="dxa"/>
                    <w:left w:w="144" w:type="dxa"/>
                    <w:bottom w:w="0" w:type="dxa"/>
                    <w:right w:w="0" w:type="dxa"/>
                  </w:tcMar>
                  <w:vAlign w:val="bottom"/>
                </w:tcPr>
                <w:p w:rsidR="00A431F0" w:rsidRPr="00A431F0" w:rsidRDefault="00A431F0" w:rsidP="00A431F0">
                  <w:pPr>
                    <w:spacing w:before="0" w:after="0"/>
                    <w:ind w:right="142"/>
                    <w:jc w:val="right"/>
                    <w:rPr>
                      <w:sz w:val="18"/>
                      <w:szCs w:val="18"/>
                    </w:rPr>
                  </w:pPr>
                  <w:r w:rsidRPr="00A431F0">
                    <w:rPr>
                      <w:b/>
                      <w:bCs/>
                      <w:sz w:val="18"/>
                      <w:szCs w:val="18"/>
                    </w:rPr>
                    <w:t>84.1</w:t>
                  </w:r>
                </w:p>
              </w:tc>
            </w:tr>
            <w:tr w:rsidR="00A431F0" w:rsidRPr="00A431F0" w:rsidTr="00304A20">
              <w:tblPrEx>
                <w:jc w:val="right"/>
              </w:tblPrEx>
              <w:trPr>
                <w:jc w:val="right"/>
              </w:trPr>
              <w:tc>
                <w:tcPr>
                  <w:tcW w:w="3345"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lastRenderedPageBreak/>
                    <w:t>EBITDA from discontinued operations</w:t>
                  </w:r>
                  <w:r w:rsidRPr="00A431F0">
                    <w:rPr>
                      <w:sz w:val="18"/>
                      <w:szCs w:val="18"/>
                    </w:rPr>
                    <w:tab/>
                  </w:r>
                </w:p>
              </w:tc>
              <w:tc>
                <w:tcPr>
                  <w:tcW w:w="828" w:type="pct"/>
                  <w:noWrap/>
                  <w:tcMar>
                    <w:top w:w="0" w:type="dxa"/>
                    <w:left w:w="144" w:type="dxa"/>
                    <w:bottom w:w="0" w:type="dxa"/>
                    <w:right w:w="0" w:type="dxa"/>
                  </w:tcMar>
                  <w:vAlign w:val="bottom"/>
                </w:tcPr>
                <w:p w:rsidR="00A431F0" w:rsidRPr="00A431F0" w:rsidRDefault="00A431F0" w:rsidP="00A431F0">
                  <w:pPr>
                    <w:spacing w:before="0" w:after="0"/>
                    <w:ind w:right="140"/>
                    <w:jc w:val="right"/>
                    <w:rPr>
                      <w:sz w:val="18"/>
                      <w:szCs w:val="18"/>
                    </w:rPr>
                  </w:pPr>
                  <w:r w:rsidRPr="00A431F0">
                    <w:rPr>
                      <w:sz w:val="18"/>
                      <w:szCs w:val="18"/>
                    </w:rPr>
                    <w:t>6.0</w:t>
                  </w:r>
                </w:p>
              </w:tc>
              <w:tc>
                <w:tcPr>
                  <w:tcW w:w="828" w:type="pct"/>
                  <w:noWrap/>
                  <w:tcMar>
                    <w:top w:w="0" w:type="dxa"/>
                    <w:left w:w="144" w:type="dxa"/>
                    <w:bottom w:w="0" w:type="dxa"/>
                    <w:right w:w="0" w:type="dxa"/>
                  </w:tcMar>
                  <w:vAlign w:val="bottom"/>
                </w:tcPr>
                <w:p w:rsidR="00A431F0" w:rsidRPr="00A431F0" w:rsidRDefault="00A431F0" w:rsidP="00A431F0">
                  <w:pPr>
                    <w:spacing w:before="0" w:after="0"/>
                    <w:ind w:right="142"/>
                    <w:jc w:val="right"/>
                    <w:rPr>
                      <w:sz w:val="18"/>
                      <w:szCs w:val="18"/>
                    </w:rPr>
                  </w:pPr>
                  <w:r w:rsidRPr="00A431F0">
                    <w:rPr>
                      <w:sz w:val="18"/>
                      <w:szCs w:val="18"/>
                    </w:rPr>
                    <w:t>0.6</w:t>
                  </w:r>
                </w:p>
              </w:tc>
            </w:tr>
            <w:tr w:rsidR="00A431F0" w:rsidRPr="00A431F0" w:rsidTr="00304A20">
              <w:tblPrEx>
                <w:jc w:val="right"/>
              </w:tblPrEx>
              <w:trPr>
                <w:jc w:val="right"/>
              </w:trPr>
              <w:tc>
                <w:tcPr>
                  <w:tcW w:w="3345"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Add-back non-recurring items</w:t>
                  </w:r>
                  <w:r w:rsidRPr="00A431F0">
                    <w:rPr>
                      <w:sz w:val="18"/>
                      <w:szCs w:val="18"/>
                    </w:rPr>
                    <w:tab/>
                  </w:r>
                </w:p>
              </w:tc>
              <w:tc>
                <w:tcPr>
                  <w:tcW w:w="828" w:type="pct"/>
                  <w:tcMar>
                    <w:top w:w="0" w:type="dxa"/>
                    <w:left w:w="144" w:type="dxa"/>
                    <w:bottom w:w="0" w:type="dxa"/>
                    <w:right w:w="0" w:type="dxa"/>
                  </w:tcMar>
                  <w:vAlign w:val="bottom"/>
                </w:tcPr>
                <w:p w:rsidR="00A431F0" w:rsidRPr="00A431F0" w:rsidRDefault="00A431F0" w:rsidP="00A431F0">
                  <w:pPr>
                    <w:pBdr>
                      <w:bottom w:val="single" w:sz="4" w:space="1" w:color="auto"/>
                    </w:pBdr>
                    <w:spacing w:before="0" w:after="0"/>
                    <w:ind w:right="140"/>
                    <w:jc w:val="right"/>
                    <w:rPr>
                      <w:sz w:val="18"/>
                      <w:szCs w:val="18"/>
                    </w:rPr>
                  </w:pPr>
                  <w:r w:rsidRPr="00A431F0">
                    <w:rPr>
                      <w:sz w:val="18"/>
                      <w:szCs w:val="18"/>
                    </w:rPr>
                    <w:t>(15.0)</w:t>
                  </w:r>
                </w:p>
              </w:tc>
              <w:tc>
                <w:tcPr>
                  <w:tcW w:w="828" w:type="pct"/>
                  <w:tcMar>
                    <w:top w:w="0" w:type="dxa"/>
                    <w:left w:w="144" w:type="dxa"/>
                    <w:bottom w:w="0" w:type="dxa"/>
                    <w:right w:w="0" w:type="dxa"/>
                  </w:tcMar>
                  <w:vAlign w:val="bottom"/>
                </w:tcPr>
                <w:p w:rsidR="00A431F0" w:rsidRPr="00A431F0" w:rsidRDefault="00A431F0" w:rsidP="00A431F0">
                  <w:pPr>
                    <w:pBdr>
                      <w:bottom w:val="single" w:sz="4" w:space="1" w:color="auto"/>
                    </w:pBdr>
                    <w:spacing w:before="0" w:after="0"/>
                    <w:ind w:right="142"/>
                    <w:jc w:val="right"/>
                    <w:rPr>
                      <w:sz w:val="18"/>
                      <w:szCs w:val="18"/>
                    </w:rPr>
                  </w:pPr>
                  <w:r w:rsidRPr="00A431F0">
                    <w:rPr>
                      <w:sz w:val="18"/>
                      <w:szCs w:val="18"/>
                    </w:rPr>
                    <w:t>(13,1)</w:t>
                  </w:r>
                </w:p>
              </w:tc>
            </w:tr>
            <w:tr w:rsidR="00A431F0" w:rsidRPr="00A431F0" w:rsidTr="00304A20">
              <w:tblPrEx>
                <w:jc w:val="right"/>
              </w:tblPrEx>
              <w:trPr>
                <w:jc w:val="right"/>
              </w:trPr>
              <w:tc>
                <w:tcPr>
                  <w:tcW w:w="3345"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REBITDA</w:t>
                  </w:r>
                  <w:r w:rsidRPr="00A431F0">
                    <w:rPr>
                      <w:sz w:val="18"/>
                      <w:szCs w:val="18"/>
                    </w:rPr>
                    <w:tab/>
                  </w:r>
                </w:p>
              </w:tc>
              <w:tc>
                <w:tcPr>
                  <w:tcW w:w="828" w:type="pct"/>
                  <w:noWrap/>
                  <w:tcMar>
                    <w:top w:w="0" w:type="dxa"/>
                    <w:left w:w="144" w:type="dxa"/>
                    <w:bottom w:w="0" w:type="dxa"/>
                    <w:right w:w="0" w:type="dxa"/>
                  </w:tcMar>
                  <w:vAlign w:val="bottom"/>
                </w:tcPr>
                <w:p w:rsidR="00A431F0" w:rsidRPr="00A431F0" w:rsidRDefault="00A431F0" w:rsidP="00A431F0">
                  <w:pPr>
                    <w:spacing w:before="0" w:after="0"/>
                    <w:ind w:right="140"/>
                    <w:jc w:val="right"/>
                    <w:rPr>
                      <w:sz w:val="18"/>
                      <w:szCs w:val="18"/>
                    </w:rPr>
                  </w:pPr>
                  <w:r w:rsidRPr="00A431F0">
                    <w:rPr>
                      <w:b/>
                      <w:bCs/>
                      <w:sz w:val="18"/>
                      <w:szCs w:val="18"/>
                    </w:rPr>
                    <w:t>77.4</w:t>
                  </w:r>
                </w:p>
              </w:tc>
              <w:tc>
                <w:tcPr>
                  <w:tcW w:w="828" w:type="pct"/>
                  <w:noWrap/>
                  <w:tcMar>
                    <w:top w:w="0" w:type="dxa"/>
                    <w:left w:w="144" w:type="dxa"/>
                    <w:bottom w:w="0" w:type="dxa"/>
                    <w:right w:w="0" w:type="dxa"/>
                  </w:tcMar>
                  <w:vAlign w:val="bottom"/>
                </w:tcPr>
                <w:p w:rsidR="00A431F0" w:rsidRPr="00A431F0" w:rsidRDefault="00A431F0" w:rsidP="00A431F0">
                  <w:pPr>
                    <w:spacing w:before="0" w:after="0"/>
                    <w:ind w:right="142"/>
                    <w:jc w:val="right"/>
                    <w:rPr>
                      <w:sz w:val="18"/>
                      <w:szCs w:val="18"/>
                    </w:rPr>
                  </w:pPr>
                  <w:r w:rsidRPr="00A431F0">
                    <w:rPr>
                      <w:b/>
                      <w:bCs/>
                      <w:sz w:val="18"/>
                      <w:szCs w:val="18"/>
                    </w:rPr>
                    <w:t>71.6</w:t>
                  </w:r>
                </w:p>
              </w:tc>
            </w:tr>
          </w:tbl>
          <w:p w:rsidR="00A431F0" w:rsidRPr="00A431F0" w:rsidRDefault="00A431F0" w:rsidP="00A431F0">
            <w:pPr>
              <w:keepNext/>
              <w:numPr>
                <w:ilvl w:val="1"/>
                <w:numId w:val="0"/>
              </w:numPr>
              <w:tabs>
                <w:tab w:val="num" w:pos="720"/>
              </w:tabs>
              <w:ind w:left="720" w:hanging="720"/>
              <w:outlineLvl w:val="1"/>
              <w:rPr>
                <w:rFonts w:eastAsia="SimSun"/>
                <w:b/>
                <w:szCs w:val="20"/>
              </w:rPr>
            </w:pPr>
            <w:r w:rsidRPr="00A431F0">
              <w:rPr>
                <w:rFonts w:eastAsia="SimSun"/>
                <w:b/>
                <w:szCs w:val="20"/>
              </w:rPr>
              <w:t>Key figures of Peatinvest</w:t>
            </w:r>
          </w:p>
          <w:p w:rsidR="00A431F0" w:rsidRPr="00EA40E9" w:rsidRDefault="00A431F0" w:rsidP="0006129B">
            <w:pPr>
              <w:rPr>
                <w:rFonts w:eastAsia="SimSun"/>
                <w:i/>
                <w:szCs w:val="20"/>
              </w:rPr>
            </w:pPr>
            <w:r w:rsidRPr="00EA40E9">
              <w:rPr>
                <w:rFonts w:eastAsia="SimSun"/>
                <w:i/>
                <w:szCs w:val="20"/>
              </w:rPr>
              <w:t>Income statement as of and for the financial years ended 30 September 2014, 30 September 2013 and</w:t>
            </w:r>
            <w:r w:rsidR="00C14169">
              <w:rPr>
                <w:rFonts w:eastAsia="SimSun"/>
                <w:i/>
                <w:szCs w:val="20"/>
              </w:rPr>
              <w:t xml:space="preserve"> </w:t>
            </w:r>
            <w:r w:rsidRPr="00EA40E9">
              <w:rPr>
                <w:rFonts w:eastAsia="SimSun"/>
                <w:i/>
                <w:szCs w:val="20"/>
              </w:rPr>
              <w:t>30 </w:t>
            </w:r>
            <w:r w:rsidRPr="0006129B">
              <w:rPr>
                <w:i/>
                <w:szCs w:val="20"/>
              </w:rPr>
              <w:t>September</w:t>
            </w:r>
            <w:r w:rsidRPr="00EA40E9">
              <w:rPr>
                <w:rFonts w:eastAsia="SimSun"/>
                <w:i/>
                <w:szCs w:val="20"/>
              </w:rPr>
              <w:t xml:space="preserve"> 2012</w:t>
            </w:r>
          </w:p>
          <w:tbl>
            <w:tblPr>
              <w:tblW w:w="7813" w:type="dxa"/>
              <w:tblLayout w:type="fixed"/>
              <w:tblLook w:val="0000" w:firstRow="0" w:lastRow="0" w:firstColumn="0" w:lastColumn="0" w:noHBand="0" w:noVBand="0"/>
            </w:tblPr>
            <w:tblGrid>
              <w:gridCol w:w="4144"/>
              <w:gridCol w:w="1223"/>
              <w:gridCol w:w="1223"/>
              <w:gridCol w:w="1223"/>
            </w:tblGrid>
            <w:tr w:rsidR="00304A20" w:rsidRPr="00EA40E9" w:rsidTr="00404820">
              <w:tc>
                <w:tcPr>
                  <w:tcW w:w="4144" w:type="dxa"/>
                  <w:vAlign w:val="center"/>
                </w:tcPr>
                <w:p w:rsidR="00304A20" w:rsidRPr="00EA40E9" w:rsidRDefault="00304A20" w:rsidP="00304A20">
                  <w:pPr>
                    <w:keepNext/>
                    <w:spacing w:before="0" w:after="0"/>
                    <w:ind w:left="240" w:hanging="240"/>
                    <w:jc w:val="left"/>
                    <w:rPr>
                      <w:bCs/>
                      <w:i/>
                      <w:sz w:val="16"/>
                      <w:szCs w:val="18"/>
                    </w:rPr>
                  </w:pPr>
                  <w:r w:rsidRPr="00EA40E9">
                    <w:rPr>
                      <w:bCs/>
                      <w:i/>
                      <w:sz w:val="16"/>
                      <w:szCs w:val="18"/>
                    </w:rPr>
                    <w:t>(EUR in millions)</w:t>
                  </w:r>
                </w:p>
              </w:tc>
              <w:tc>
                <w:tcPr>
                  <w:tcW w:w="1223" w:type="dxa"/>
                  <w:vAlign w:val="bottom"/>
                </w:tcPr>
                <w:p w:rsidR="00304A20" w:rsidRPr="00304A20" w:rsidRDefault="00304A20" w:rsidP="00404820">
                  <w:pPr>
                    <w:pBdr>
                      <w:bottom w:val="single" w:sz="4" w:space="1" w:color="auto"/>
                    </w:pBdr>
                    <w:spacing w:before="0" w:after="0"/>
                    <w:jc w:val="center"/>
                    <w:rPr>
                      <w:b/>
                      <w:bCs/>
                      <w:sz w:val="18"/>
                      <w:szCs w:val="18"/>
                    </w:rPr>
                  </w:pPr>
                  <w:r w:rsidRPr="00304A20">
                    <w:rPr>
                      <w:b/>
                      <w:bCs/>
                      <w:sz w:val="18"/>
                      <w:szCs w:val="18"/>
                    </w:rPr>
                    <w:t xml:space="preserve">Year ended </w:t>
                  </w:r>
                  <w:r w:rsidRPr="00304A20">
                    <w:rPr>
                      <w:b/>
                      <w:bCs/>
                      <w:sz w:val="18"/>
                      <w:szCs w:val="18"/>
                    </w:rPr>
                    <w:br/>
                    <w:t>30 </w:t>
                  </w:r>
                  <w:r w:rsidR="00404820" w:rsidRPr="00304A20">
                    <w:rPr>
                      <w:b/>
                      <w:bCs/>
                      <w:sz w:val="18"/>
                      <w:szCs w:val="18"/>
                    </w:rPr>
                    <w:br/>
                  </w:r>
                  <w:r w:rsidRPr="00304A20">
                    <w:rPr>
                      <w:b/>
                      <w:bCs/>
                      <w:sz w:val="18"/>
                      <w:szCs w:val="18"/>
                    </w:rPr>
                    <w:t>September 2014</w:t>
                  </w:r>
                </w:p>
              </w:tc>
              <w:tc>
                <w:tcPr>
                  <w:tcW w:w="1223" w:type="dxa"/>
                </w:tcPr>
                <w:p w:rsidR="00304A20" w:rsidRPr="00304A20" w:rsidRDefault="00304A20" w:rsidP="00404820">
                  <w:pPr>
                    <w:pBdr>
                      <w:bottom w:val="single" w:sz="4" w:space="1" w:color="auto"/>
                    </w:pBdr>
                    <w:spacing w:before="0" w:after="0"/>
                    <w:jc w:val="center"/>
                    <w:rPr>
                      <w:b/>
                      <w:bCs/>
                      <w:sz w:val="18"/>
                      <w:szCs w:val="18"/>
                    </w:rPr>
                  </w:pPr>
                  <w:r w:rsidRPr="00304A20">
                    <w:rPr>
                      <w:b/>
                      <w:bCs/>
                      <w:sz w:val="18"/>
                      <w:szCs w:val="18"/>
                    </w:rPr>
                    <w:t>Year ended 30 </w:t>
                  </w:r>
                  <w:r w:rsidR="00404820" w:rsidRPr="00304A20">
                    <w:rPr>
                      <w:b/>
                      <w:bCs/>
                      <w:sz w:val="18"/>
                      <w:szCs w:val="18"/>
                    </w:rPr>
                    <w:br/>
                  </w:r>
                  <w:r w:rsidRPr="00304A20">
                    <w:rPr>
                      <w:b/>
                      <w:bCs/>
                      <w:sz w:val="18"/>
                      <w:szCs w:val="18"/>
                    </w:rPr>
                    <w:t>September 2013</w:t>
                  </w:r>
                </w:p>
              </w:tc>
              <w:tc>
                <w:tcPr>
                  <w:tcW w:w="1223" w:type="dxa"/>
                  <w:vAlign w:val="bottom"/>
                </w:tcPr>
                <w:p w:rsidR="00304A20" w:rsidRPr="00304A20" w:rsidRDefault="00304A20" w:rsidP="00404820">
                  <w:pPr>
                    <w:pBdr>
                      <w:bottom w:val="single" w:sz="4" w:space="1" w:color="auto"/>
                    </w:pBdr>
                    <w:spacing w:before="0" w:after="0"/>
                    <w:jc w:val="center"/>
                    <w:rPr>
                      <w:sz w:val="18"/>
                      <w:szCs w:val="18"/>
                    </w:rPr>
                  </w:pPr>
                  <w:r w:rsidRPr="00304A20">
                    <w:rPr>
                      <w:b/>
                      <w:bCs/>
                      <w:sz w:val="18"/>
                      <w:szCs w:val="18"/>
                    </w:rPr>
                    <w:t>Year ended 30 </w:t>
                  </w:r>
                  <w:r w:rsidR="00404820" w:rsidRPr="00304A20">
                    <w:rPr>
                      <w:b/>
                      <w:bCs/>
                      <w:sz w:val="18"/>
                      <w:szCs w:val="18"/>
                    </w:rPr>
                    <w:br/>
                  </w:r>
                  <w:r w:rsidRPr="00304A20">
                    <w:rPr>
                      <w:b/>
                      <w:bCs/>
                      <w:sz w:val="18"/>
                      <w:szCs w:val="18"/>
                    </w:rPr>
                    <w:t>September 2012</w:t>
                  </w:r>
                </w:p>
              </w:tc>
            </w:tr>
            <w:tr w:rsidR="00304A20" w:rsidRPr="00EA40E9" w:rsidTr="00404820">
              <w:trPr>
                <w:trHeight w:val="332"/>
              </w:trPr>
              <w:tc>
                <w:tcPr>
                  <w:tcW w:w="4144" w:type="dxa"/>
                </w:tcPr>
                <w:p w:rsidR="00304A20" w:rsidRPr="0006129B" w:rsidRDefault="00304A20" w:rsidP="00304A20">
                  <w:pPr>
                    <w:keepNext/>
                    <w:spacing w:before="0" w:after="0"/>
                    <w:rPr>
                      <w:b/>
                      <w:bCs/>
                      <w:sz w:val="18"/>
                      <w:szCs w:val="18"/>
                    </w:rPr>
                  </w:pPr>
                  <w:r w:rsidRPr="0006129B">
                    <w:rPr>
                      <w:b/>
                      <w:bCs/>
                      <w:sz w:val="18"/>
                      <w:szCs w:val="18"/>
                    </w:rPr>
                    <w:t>Summary Consolidated Statement of Income Data</w:t>
                  </w:r>
                </w:p>
              </w:tc>
              <w:tc>
                <w:tcPr>
                  <w:tcW w:w="1223" w:type="dxa"/>
                </w:tcPr>
                <w:p w:rsidR="00304A20" w:rsidRPr="0006129B" w:rsidRDefault="00304A20" w:rsidP="00304A20">
                  <w:pPr>
                    <w:spacing w:before="0" w:after="0" w:line="40" w:lineRule="exact"/>
                    <w:jc w:val="right"/>
                    <w:rPr>
                      <w:sz w:val="18"/>
                      <w:szCs w:val="18"/>
                    </w:rPr>
                  </w:pPr>
                  <w:r w:rsidRPr="0006129B">
                    <w:rPr>
                      <w:sz w:val="18"/>
                      <w:szCs w:val="18"/>
                    </w:rPr>
                    <w:t> </w:t>
                  </w:r>
                </w:p>
              </w:tc>
              <w:tc>
                <w:tcPr>
                  <w:tcW w:w="1223" w:type="dxa"/>
                </w:tcPr>
                <w:p w:rsidR="00304A20" w:rsidRPr="0006129B" w:rsidRDefault="00304A20" w:rsidP="00304A20">
                  <w:pPr>
                    <w:spacing w:before="0" w:after="0" w:line="40" w:lineRule="exact"/>
                    <w:jc w:val="right"/>
                    <w:rPr>
                      <w:sz w:val="18"/>
                      <w:szCs w:val="18"/>
                    </w:rPr>
                  </w:pPr>
                </w:p>
              </w:tc>
              <w:tc>
                <w:tcPr>
                  <w:tcW w:w="1223" w:type="dxa"/>
                </w:tcPr>
                <w:p w:rsidR="00304A20" w:rsidRPr="0006129B" w:rsidRDefault="00304A20" w:rsidP="00304A20">
                  <w:pPr>
                    <w:spacing w:before="0" w:after="0" w:line="40" w:lineRule="exact"/>
                    <w:jc w:val="right"/>
                    <w:rPr>
                      <w:sz w:val="18"/>
                      <w:szCs w:val="18"/>
                    </w:rPr>
                  </w:pPr>
                  <w:r w:rsidRPr="0006129B">
                    <w:rPr>
                      <w:sz w:val="18"/>
                      <w:szCs w:val="18"/>
                    </w:rPr>
                    <w:t> </w:t>
                  </w:r>
                </w:p>
              </w:tc>
            </w:tr>
            <w:tr w:rsidR="00304A20" w:rsidRPr="00EA40E9" w:rsidTr="00404820">
              <w:tc>
                <w:tcPr>
                  <w:tcW w:w="4144" w:type="dxa"/>
                </w:tcPr>
                <w:p w:rsidR="00304A20" w:rsidRPr="0006129B" w:rsidRDefault="00304A20" w:rsidP="00304A20">
                  <w:pPr>
                    <w:keepNext/>
                    <w:tabs>
                      <w:tab w:val="right" w:leader="dot" w:pos="5160"/>
                    </w:tabs>
                    <w:spacing w:before="0" w:after="0"/>
                    <w:ind w:left="240" w:hanging="240"/>
                    <w:rPr>
                      <w:sz w:val="18"/>
                      <w:szCs w:val="18"/>
                    </w:rPr>
                  </w:pPr>
                  <w:r w:rsidRPr="0006129B">
                    <w:rPr>
                      <w:sz w:val="18"/>
                      <w:szCs w:val="18"/>
                    </w:rPr>
                    <w:t>Sales</w:t>
                  </w:r>
                  <w:r w:rsidRPr="0006129B">
                    <w:rPr>
                      <w:sz w:val="18"/>
                      <w:szCs w:val="18"/>
                    </w:rPr>
                    <w:tab/>
                  </w:r>
                </w:p>
              </w:tc>
              <w:tc>
                <w:tcPr>
                  <w:tcW w:w="1223" w:type="dxa"/>
                  <w:noWrap/>
                </w:tcPr>
                <w:p w:rsidR="00304A20" w:rsidRPr="0006129B" w:rsidRDefault="00304A20" w:rsidP="00304A20">
                  <w:pPr>
                    <w:tabs>
                      <w:tab w:val="right" w:pos="720"/>
                      <w:tab w:val="decimal" w:pos="760"/>
                    </w:tabs>
                    <w:spacing w:before="0" w:after="0"/>
                    <w:jc w:val="right"/>
                    <w:rPr>
                      <w:bCs/>
                      <w:sz w:val="18"/>
                      <w:szCs w:val="18"/>
                    </w:rPr>
                  </w:pPr>
                  <w:r w:rsidRPr="0006129B">
                    <w:rPr>
                      <w:bCs/>
                      <w:sz w:val="18"/>
                      <w:szCs w:val="18"/>
                    </w:rPr>
                    <w:t>65.2</w:t>
                  </w:r>
                </w:p>
              </w:tc>
              <w:tc>
                <w:tcPr>
                  <w:tcW w:w="1223" w:type="dxa"/>
                </w:tcPr>
                <w:p w:rsidR="00304A20" w:rsidRPr="0006129B" w:rsidRDefault="00304A20" w:rsidP="00304A20">
                  <w:pPr>
                    <w:tabs>
                      <w:tab w:val="right" w:pos="720"/>
                      <w:tab w:val="decimal" w:pos="760"/>
                    </w:tabs>
                    <w:spacing w:before="0" w:after="0"/>
                    <w:jc w:val="right"/>
                    <w:rPr>
                      <w:bCs/>
                      <w:sz w:val="18"/>
                      <w:szCs w:val="18"/>
                    </w:rPr>
                  </w:pPr>
                  <w:r w:rsidRPr="0006129B">
                    <w:rPr>
                      <w:bCs/>
                      <w:sz w:val="18"/>
                      <w:szCs w:val="18"/>
                    </w:rPr>
                    <w:t>61.7</w:t>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62.3</w:t>
                  </w:r>
                </w:p>
              </w:tc>
            </w:tr>
            <w:tr w:rsidR="00304A20" w:rsidRPr="00EA40E9" w:rsidTr="00404820">
              <w:tc>
                <w:tcPr>
                  <w:tcW w:w="4144" w:type="dxa"/>
                </w:tcPr>
                <w:p w:rsidR="00304A20" w:rsidRPr="0006129B" w:rsidRDefault="00304A20" w:rsidP="00304A20">
                  <w:pPr>
                    <w:keepNext/>
                    <w:tabs>
                      <w:tab w:val="right" w:leader="dot" w:pos="5160"/>
                    </w:tabs>
                    <w:spacing w:before="0" w:after="0"/>
                    <w:ind w:left="240" w:hanging="240"/>
                    <w:rPr>
                      <w:sz w:val="18"/>
                      <w:szCs w:val="18"/>
                    </w:rPr>
                  </w:pPr>
                  <w:r w:rsidRPr="0006129B">
                    <w:rPr>
                      <w:sz w:val="18"/>
                      <w:szCs w:val="18"/>
                    </w:rPr>
                    <w:t>Increase/decrease (-) in inventories: finished goods and work in progress</w:t>
                  </w:r>
                  <w:r w:rsidRPr="0006129B">
                    <w:rPr>
                      <w:sz w:val="18"/>
                      <w:szCs w:val="18"/>
                    </w:rPr>
                    <w:tab/>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(0.2)</w:t>
                  </w:r>
                </w:p>
              </w:tc>
              <w:tc>
                <w:tcPr>
                  <w:tcW w:w="1223" w:type="dxa"/>
                </w:tcPr>
                <w:p w:rsidR="00304A20" w:rsidRPr="0006129B" w:rsidRDefault="00304A20" w:rsidP="00304A20">
                  <w:pPr>
                    <w:tabs>
                      <w:tab w:val="right" w:pos="720"/>
                      <w:tab w:val="decimal" w:pos="760"/>
                    </w:tabs>
                    <w:spacing w:before="0" w:after="0"/>
                    <w:jc w:val="right"/>
                    <w:rPr>
                      <w:sz w:val="18"/>
                      <w:szCs w:val="18"/>
                    </w:rPr>
                  </w:pPr>
                  <w:r w:rsidRPr="0006129B">
                    <w:rPr>
                      <w:sz w:val="18"/>
                      <w:szCs w:val="18"/>
                    </w:rPr>
                    <w:t>1.1</w:t>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0.1</w:t>
                  </w:r>
                </w:p>
              </w:tc>
            </w:tr>
            <w:tr w:rsidR="00304A20" w:rsidRPr="00EA40E9" w:rsidTr="00404820">
              <w:trPr>
                <w:trHeight w:val="267"/>
              </w:trPr>
              <w:tc>
                <w:tcPr>
                  <w:tcW w:w="4144" w:type="dxa"/>
                </w:tcPr>
                <w:p w:rsidR="00304A20" w:rsidRPr="0006129B" w:rsidRDefault="00304A20" w:rsidP="00304A20">
                  <w:pPr>
                    <w:keepNext/>
                    <w:tabs>
                      <w:tab w:val="right" w:leader="dot" w:pos="5160"/>
                    </w:tabs>
                    <w:spacing w:before="0" w:after="0"/>
                    <w:ind w:left="240" w:hanging="240"/>
                    <w:rPr>
                      <w:sz w:val="18"/>
                      <w:szCs w:val="18"/>
                    </w:rPr>
                  </w:pPr>
                  <w:r w:rsidRPr="0006129B">
                    <w:rPr>
                      <w:sz w:val="18"/>
                      <w:szCs w:val="18"/>
                    </w:rPr>
                    <w:t>Own work capitalised</w:t>
                  </w:r>
                  <w:r w:rsidRPr="0006129B">
                    <w:rPr>
                      <w:sz w:val="18"/>
                      <w:szCs w:val="18"/>
                    </w:rPr>
                    <w:tab/>
                  </w:r>
                </w:p>
                <w:p w:rsidR="00304A20" w:rsidRPr="0006129B" w:rsidRDefault="00304A20" w:rsidP="00304A20">
                  <w:pPr>
                    <w:spacing w:before="0" w:after="0" w:line="40" w:lineRule="exact"/>
                    <w:rPr>
                      <w:noProof/>
                      <w:sz w:val="18"/>
                      <w:szCs w:val="18"/>
                      <w:lang w:val="en-US"/>
                    </w:rPr>
                  </w:pPr>
                  <w:r w:rsidRPr="0006129B">
                    <w:rPr>
                      <w:sz w:val="18"/>
                      <w:szCs w:val="18"/>
                    </w:rPr>
                    <w:t> </w:t>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w:t>
                  </w:r>
                </w:p>
              </w:tc>
              <w:tc>
                <w:tcPr>
                  <w:tcW w:w="1223" w:type="dxa"/>
                </w:tcPr>
                <w:p w:rsidR="00304A20" w:rsidRPr="0006129B" w:rsidRDefault="00304A20" w:rsidP="00304A20">
                  <w:pPr>
                    <w:tabs>
                      <w:tab w:val="right" w:pos="720"/>
                      <w:tab w:val="decimal" w:pos="760"/>
                    </w:tabs>
                    <w:spacing w:before="0" w:after="0"/>
                    <w:jc w:val="right"/>
                    <w:rPr>
                      <w:sz w:val="18"/>
                      <w:szCs w:val="18"/>
                    </w:rPr>
                  </w:pPr>
                  <w:r w:rsidRPr="0006129B">
                    <w:rPr>
                      <w:sz w:val="18"/>
                      <w:szCs w:val="18"/>
                    </w:rPr>
                    <w:t>-</w:t>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0.1</w:t>
                  </w:r>
                </w:p>
              </w:tc>
            </w:tr>
            <w:tr w:rsidR="00304A20" w:rsidRPr="00EA40E9" w:rsidTr="00404820">
              <w:tc>
                <w:tcPr>
                  <w:tcW w:w="4144" w:type="dxa"/>
                </w:tcPr>
                <w:p w:rsidR="00304A20" w:rsidRPr="0006129B" w:rsidRDefault="00304A20" w:rsidP="00304A20">
                  <w:pPr>
                    <w:keepNext/>
                    <w:tabs>
                      <w:tab w:val="right" w:leader="dot" w:pos="5160"/>
                    </w:tabs>
                    <w:spacing w:before="0" w:after="0"/>
                    <w:ind w:left="240" w:hanging="240"/>
                    <w:rPr>
                      <w:sz w:val="18"/>
                      <w:szCs w:val="18"/>
                    </w:rPr>
                  </w:pPr>
                  <w:r w:rsidRPr="0006129B">
                    <w:rPr>
                      <w:sz w:val="18"/>
                      <w:szCs w:val="18"/>
                    </w:rPr>
                    <w:t>Other operating income</w:t>
                  </w:r>
                  <w:r w:rsidRPr="0006129B">
                    <w:rPr>
                      <w:bCs/>
                      <w:sz w:val="18"/>
                      <w:szCs w:val="18"/>
                    </w:rPr>
                    <w:tab/>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1.0</w:t>
                  </w:r>
                </w:p>
              </w:tc>
              <w:tc>
                <w:tcPr>
                  <w:tcW w:w="1223" w:type="dxa"/>
                </w:tcPr>
                <w:p w:rsidR="00304A20" w:rsidRPr="0006129B" w:rsidRDefault="00304A20" w:rsidP="00304A20">
                  <w:pPr>
                    <w:tabs>
                      <w:tab w:val="right" w:pos="720"/>
                      <w:tab w:val="decimal" w:pos="760"/>
                    </w:tabs>
                    <w:spacing w:before="0" w:after="0"/>
                    <w:jc w:val="right"/>
                    <w:rPr>
                      <w:bCs/>
                      <w:sz w:val="18"/>
                      <w:szCs w:val="18"/>
                    </w:rPr>
                  </w:pPr>
                  <w:r w:rsidRPr="0006129B">
                    <w:rPr>
                      <w:bCs/>
                      <w:sz w:val="18"/>
                      <w:szCs w:val="18"/>
                    </w:rPr>
                    <w:t>2.6</w:t>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0.7</w:t>
                  </w:r>
                </w:p>
              </w:tc>
            </w:tr>
            <w:tr w:rsidR="00304A20" w:rsidRPr="00EA40E9" w:rsidTr="00404820">
              <w:tc>
                <w:tcPr>
                  <w:tcW w:w="4144" w:type="dxa"/>
                </w:tcPr>
                <w:p w:rsidR="00304A20" w:rsidRPr="0006129B" w:rsidRDefault="00304A20" w:rsidP="00304A20">
                  <w:pPr>
                    <w:keepNext/>
                    <w:tabs>
                      <w:tab w:val="right" w:leader="dot" w:pos="5160"/>
                    </w:tabs>
                    <w:spacing w:before="0" w:after="0"/>
                    <w:ind w:left="240" w:hanging="240"/>
                    <w:rPr>
                      <w:sz w:val="18"/>
                      <w:szCs w:val="18"/>
                    </w:rPr>
                  </w:pPr>
                  <w:r w:rsidRPr="0006129B">
                    <w:rPr>
                      <w:sz w:val="18"/>
                      <w:szCs w:val="18"/>
                    </w:rPr>
                    <w:t>Raw materials, consumables and goods for resale</w:t>
                  </w:r>
                  <w:r w:rsidRPr="0006129B">
                    <w:rPr>
                      <w:sz w:val="18"/>
                      <w:szCs w:val="18"/>
                    </w:rPr>
                    <w:tab/>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(27.5)</w:t>
                  </w:r>
                </w:p>
              </w:tc>
              <w:tc>
                <w:tcPr>
                  <w:tcW w:w="1223" w:type="dxa"/>
                </w:tcPr>
                <w:p w:rsidR="00304A20" w:rsidRPr="0006129B" w:rsidRDefault="00304A20" w:rsidP="00304A20">
                  <w:pPr>
                    <w:tabs>
                      <w:tab w:val="right" w:pos="720"/>
                      <w:tab w:val="decimal" w:pos="760"/>
                    </w:tabs>
                    <w:spacing w:before="0" w:after="0"/>
                    <w:jc w:val="right"/>
                    <w:rPr>
                      <w:sz w:val="18"/>
                      <w:szCs w:val="18"/>
                    </w:rPr>
                  </w:pPr>
                  <w:r w:rsidRPr="0006129B">
                    <w:rPr>
                      <w:sz w:val="18"/>
                      <w:szCs w:val="18"/>
                    </w:rPr>
                    <w:t>(28.5)</w:t>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(27.7)</w:t>
                  </w:r>
                </w:p>
              </w:tc>
            </w:tr>
            <w:tr w:rsidR="00304A20" w:rsidRPr="00EA40E9" w:rsidTr="00404820">
              <w:tc>
                <w:tcPr>
                  <w:tcW w:w="4144" w:type="dxa"/>
                </w:tcPr>
                <w:p w:rsidR="00304A20" w:rsidRPr="0006129B" w:rsidRDefault="00304A20" w:rsidP="00304A20">
                  <w:pPr>
                    <w:keepNext/>
                    <w:tabs>
                      <w:tab w:val="right" w:leader="dot" w:pos="5160"/>
                    </w:tabs>
                    <w:spacing w:before="0" w:after="0"/>
                    <w:ind w:left="240" w:hanging="240"/>
                    <w:rPr>
                      <w:sz w:val="18"/>
                      <w:szCs w:val="18"/>
                    </w:rPr>
                  </w:pPr>
                  <w:r w:rsidRPr="0006129B">
                    <w:rPr>
                      <w:sz w:val="18"/>
                      <w:szCs w:val="18"/>
                    </w:rPr>
                    <w:t>Services and other goods</w:t>
                  </w:r>
                  <w:r w:rsidRPr="0006129B">
                    <w:rPr>
                      <w:sz w:val="18"/>
                      <w:szCs w:val="18"/>
                    </w:rPr>
                    <w:tab/>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(20.8)</w:t>
                  </w:r>
                </w:p>
              </w:tc>
              <w:tc>
                <w:tcPr>
                  <w:tcW w:w="1223" w:type="dxa"/>
                </w:tcPr>
                <w:p w:rsidR="00304A20" w:rsidRPr="0006129B" w:rsidRDefault="00304A20" w:rsidP="00304A20">
                  <w:pPr>
                    <w:tabs>
                      <w:tab w:val="right" w:pos="720"/>
                      <w:tab w:val="decimal" w:pos="760"/>
                    </w:tabs>
                    <w:spacing w:before="0" w:after="0"/>
                    <w:jc w:val="right"/>
                    <w:rPr>
                      <w:sz w:val="18"/>
                      <w:szCs w:val="18"/>
                    </w:rPr>
                  </w:pPr>
                  <w:r w:rsidRPr="0006129B">
                    <w:rPr>
                      <w:sz w:val="18"/>
                      <w:szCs w:val="18"/>
                    </w:rPr>
                    <w:t>(20.1)</w:t>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(20.2)</w:t>
                  </w:r>
                </w:p>
              </w:tc>
            </w:tr>
            <w:tr w:rsidR="00304A20" w:rsidRPr="00EA40E9" w:rsidTr="00404820">
              <w:tc>
                <w:tcPr>
                  <w:tcW w:w="4144" w:type="dxa"/>
                </w:tcPr>
                <w:p w:rsidR="00304A20" w:rsidRPr="0006129B" w:rsidRDefault="00304A20" w:rsidP="00304A20">
                  <w:pPr>
                    <w:keepNext/>
                    <w:tabs>
                      <w:tab w:val="right" w:leader="dot" w:pos="5160"/>
                    </w:tabs>
                    <w:spacing w:before="0" w:after="0"/>
                    <w:ind w:left="240" w:hanging="240"/>
                    <w:rPr>
                      <w:sz w:val="18"/>
                      <w:szCs w:val="18"/>
                    </w:rPr>
                  </w:pPr>
                  <w:r w:rsidRPr="0006129B">
                    <w:rPr>
                      <w:sz w:val="18"/>
                      <w:szCs w:val="18"/>
                    </w:rPr>
                    <w:t>Personnel costs</w:t>
                  </w:r>
                  <w:r w:rsidRPr="0006129B">
                    <w:rPr>
                      <w:sz w:val="18"/>
                      <w:szCs w:val="18"/>
                    </w:rPr>
                    <w:tab/>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(9.0)</w:t>
                  </w:r>
                </w:p>
              </w:tc>
              <w:tc>
                <w:tcPr>
                  <w:tcW w:w="1223" w:type="dxa"/>
                </w:tcPr>
                <w:p w:rsidR="00304A20" w:rsidRPr="0006129B" w:rsidRDefault="00304A20" w:rsidP="00304A20">
                  <w:pPr>
                    <w:tabs>
                      <w:tab w:val="right" w:pos="720"/>
                      <w:tab w:val="decimal" w:pos="760"/>
                    </w:tabs>
                    <w:spacing w:before="0" w:after="0"/>
                    <w:jc w:val="right"/>
                    <w:rPr>
                      <w:sz w:val="18"/>
                      <w:szCs w:val="18"/>
                    </w:rPr>
                  </w:pPr>
                  <w:r w:rsidRPr="0006129B">
                    <w:rPr>
                      <w:sz w:val="18"/>
                      <w:szCs w:val="18"/>
                    </w:rPr>
                    <w:t>(9.2)</w:t>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(9.0)</w:t>
                  </w:r>
                </w:p>
              </w:tc>
            </w:tr>
            <w:tr w:rsidR="00304A20" w:rsidRPr="00EA40E9" w:rsidTr="00404820">
              <w:tc>
                <w:tcPr>
                  <w:tcW w:w="4144" w:type="dxa"/>
                </w:tcPr>
                <w:p w:rsidR="00304A20" w:rsidRPr="0006129B" w:rsidRDefault="00304A20" w:rsidP="00304A20">
                  <w:pPr>
                    <w:keepNext/>
                    <w:tabs>
                      <w:tab w:val="right" w:leader="dot" w:pos="5160"/>
                    </w:tabs>
                    <w:spacing w:before="0" w:after="0"/>
                    <w:ind w:left="240" w:hanging="240"/>
                    <w:rPr>
                      <w:sz w:val="18"/>
                      <w:szCs w:val="18"/>
                    </w:rPr>
                  </w:pPr>
                  <w:r w:rsidRPr="0006129B">
                    <w:rPr>
                      <w:sz w:val="18"/>
                      <w:szCs w:val="18"/>
                    </w:rPr>
                    <w:t>Depreciation and amortisation</w:t>
                  </w:r>
                  <w:r w:rsidRPr="0006129B">
                    <w:rPr>
                      <w:sz w:val="18"/>
                      <w:szCs w:val="18"/>
                    </w:rPr>
                    <w:tab/>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(3.1)</w:t>
                  </w:r>
                </w:p>
              </w:tc>
              <w:tc>
                <w:tcPr>
                  <w:tcW w:w="1223" w:type="dxa"/>
                </w:tcPr>
                <w:p w:rsidR="00304A20" w:rsidRPr="0006129B" w:rsidRDefault="00304A20" w:rsidP="00304A20">
                  <w:pPr>
                    <w:tabs>
                      <w:tab w:val="right" w:pos="720"/>
                      <w:tab w:val="decimal" w:pos="760"/>
                    </w:tabs>
                    <w:spacing w:before="0" w:after="0"/>
                    <w:jc w:val="right"/>
                    <w:rPr>
                      <w:bCs/>
                      <w:sz w:val="18"/>
                      <w:szCs w:val="18"/>
                    </w:rPr>
                  </w:pPr>
                  <w:r w:rsidRPr="0006129B">
                    <w:rPr>
                      <w:bCs/>
                      <w:sz w:val="18"/>
                      <w:szCs w:val="18"/>
                    </w:rPr>
                    <w:t>(3.3)</w:t>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(2.9)</w:t>
                  </w:r>
                </w:p>
              </w:tc>
            </w:tr>
            <w:tr w:rsidR="00304A20" w:rsidRPr="00EA40E9" w:rsidTr="00404820">
              <w:tc>
                <w:tcPr>
                  <w:tcW w:w="4144" w:type="dxa"/>
                </w:tcPr>
                <w:p w:rsidR="00304A20" w:rsidRPr="0006129B" w:rsidRDefault="00304A20" w:rsidP="00304A20">
                  <w:pPr>
                    <w:keepNext/>
                    <w:tabs>
                      <w:tab w:val="right" w:leader="dot" w:pos="5160"/>
                    </w:tabs>
                    <w:spacing w:before="0" w:after="0"/>
                    <w:ind w:left="240" w:hanging="240"/>
                    <w:rPr>
                      <w:sz w:val="18"/>
                      <w:szCs w:val="18"/>
                    </w:rPr>
                  </w:pPr>
                  <w:r w:rsidRPr="0006129B">
                    <w:rPr>
                      <w:sz w:val="18"/>
                      <w:szCs w:val="18"/>
                    </w:rPr>
                    <w:t>Impairment losses on assets</w:t>
                  </w:r>
                  <w:r w:rsidRPr="0006129B">
                    <w:rPr>
                      <w:sz w:val="18"/>
                      <w:szCs w:val="18"/>
                    </w:rPr>
                    <w:tab/>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w:t>
                  </w:r>
                </w:p>
              </w:tc>
              <w:tc>
                <w:tcPr>
                  <w:tcW w:w="1223" w:type="dxa"/>
                </w:tcPr>
                <w:p w:rsidR="00304A20" w:rsidRPr="0006129B" w:rsidRDefault="00304A20" w:rsidP="00304A20">
                  <w:pPr>
                    <w:tabs>
                      <w:tab w:val="right" w:pos="720"/>
                      <w:tab w:val="decimal" w:pos="760"/>
                    </w:tabs>
                    <w:spacing w:before="0" w:after="0"/>
                    <w:jc w:val="right"/>
                    <w:rPr>
                      <w:sz w:val="18"/>
                      <w:szCs w:val="18"/>
                    </w:rPr>
                  </w:pPr>
                  <w:r w:rsidRPr="0006129B">
                    <w:rPr>
                      <w:sz w:val="18"/>
                      <w:szCs w:val="18"/>
                    </w:rPr>
                    <w:t>(0.2)</w:t>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(0.1)</w:t>
                  </w:r>
                </w:p>
              </w:tc>
            </w:tr>
            <w:tr w:rsidR="00304A20" w:rsidRPr="00EA40E9" w:rsidTr="00404820">
              <w:tc>
                <w:tcPr>
                  <w:tcW w:w="4144" w:type="dxa"/>
                </w:tcPr>
                <w:p w:rsidR="00304A20" w:rsidRPr="0006129B" w:rsidRDefault="00304A20" w:rsidP="00304A20">
                  <w:pPr>
                    <w:keepNext/>
                    <w:tabs>
                      <w:tab w:val="right" w:leader="dot" w:pos="5160"/>
                    </w:tabs>
                    <w:spacing w:before="0" w:after="0"/>
                    <w:ind w:left="240" w:hanging="240"/>
                    <w:rPr>
                      <w:sz w:val="18"/>
                      <w:szCs w:val="18"/>
                    </w:rPr>
                  </w:pPr>
                  <w:r w:rsidRPr="0006129B">
                    <w:rPr>
                      <w:sz w:val="18"/>
                      <w:szCs w:val="18"/>
                    </w:rPr>
                    <w:t>Provisions</w:t>
                  </w:r>
                  <w:r w:rsidRPr="0006129B">
                    <w:rPr>
                      <w:sz w:val="18"/>
                      <w:szCs w:val="18"/>
                    </w:rPr>
                    <w:tab/>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(0.1)</w:t>
                  </w:r>
                </w:p>
              </w:tc>
              <w:tc>
                <w:tcPr>
                  <w:tcW w:w="1223" w:type="dxa"/>
                </w:tcPr>
                <w:p w:rsidR="00304A20" w:rsidRPr="0006129B" w:rsidRDefault="00304A20" w:rsidP="00304A20">
                  <w:pPr>
                    <w:tabs>
                      <w:tab w:val="right" w:pos="720"/>
                      <w:tab w:val="decimal" w:pos="760"/>
                    </w:tabs>
                    <w:spacing w:before="0" w:after="0"/>
                    <w:jc w:val="right"/>
                    <w:rPr>
                      <w:bCs/>
                      <w:sz w:val="18"/>
                      <w:szCs w:val="18"/>
                    </w:rPr>
                  </w:pPr>
                  <w:r w:rsidRPr="0006129B">
                    <w:rPr>
                      <w:bCs/>
                      <w:sz w:val="18"/>
                      <w:szCs w:val="18"/>
                    </w:rPr>
                    <w:t>-</w:t>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0.1</w:t>
                  </w:r>
                </w:p>
              </w:tc>
            </w:tr>
            <w:tr w:rsidR="00304A20" w:rsidRPr="00EA40E9" w:rsidTr="00404820">
              <w:tc>
                <w:tcPr>
                  <w:tcW w:w="4144" w:type="dxa"/>
                </w:tcPr>
                <w:p w:rsidR="00304A20" w:rsidRPr="0006129B" w:rsidRDefault="00304A20" w:rsidP="00304A20">
                  <w:pPr>
                    <w:keepNext/>
                    <w:tabs>
                      <w:tab w:val="right" w:leader="dot" w:pos="5160"/>
                    </w:tabs>
                    <w:spacing w:before="0" w:after="0"/>
                    <w:ind w:left="240" w:hanging="240"/>
                    <w:rPr>
                      <w:sz w:val="18"/>
                      <w:szCs w:val="18"/>
                    </w:rPr>
                  </w:pPr>
                  <w:r w:rsidRPr="0006129B">
                    <w:rPr>
                      <w:sz w:val="18"/>
                      <w:szCs w:val="18"/>
                    </w:rPr>
                    <w:t>Other operating charges</w:t>
                  </w:r>
                  <w:r w:rsidRPr="0006129B">
                    <w:rPr>
                      <w:sz w:val="18"/>
                      <w:szCs w:val="18"/>
                    </w:rPr>
                    <w:tab/>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(1.2)</w:t>
                  </w:r>
                </w:p>
              </w:tc>
              <w:tc>
                <w:tcPr>
                  <w:tcW w:w="1223" w:type="dxa"/>
                </w:tcPr>
                <w:p w:rsidR="00304A20" w:rsidRPr="0006129B" w:rsidRDefault="00304A20" w:rsidP="00304A20">
                  <w:pPr>
                    <w:tabs>
                      <w:tab w:val="right" w:pos="720"/>
                      <w:tab w:val="decimal" w:pos="760"/>
                    </w:tabs>
                    <w:spacing w:before="0" w:after="0"/>
                    <w:jc w:val="right"/>
                    <w:rPr>
                      <w:bCs/>
                      <w:sz w:val="18"/>
                      <w:szCs w:val="18"/>
                    </w:rPr>
                  </w:pPr>
                  <w:r w:rsidRPr="0006129B">
                    <w:rPr>
                      <w:bCs/>
                      <w:sz w:val="18"/>
                      <w:szCs w:val="18"/>
                    </w:rPr>
                    <w:t>(1.2)</w:t>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(1.2)</w:t>
                  </w:r>
                </w:p>
              </w:tc>
            </w:tr>
            <w:tr w:rsidR="00304A20" w:rsidRPr="00EA40E9" w:rsidTr="00404820">
              <w:tc>
                <w:tcPr>
                  <w:tcW w:w="4144" w:type="dxa"/>
                </w:tcPr>
                <w:p w:rsidR="00304A20" w:rsidRPr="0006129B" w:rsidRDefault="00304A20" w:rsidP="00304A20">
                  <w:pPr>
                    <w:keepNext/>
                    <w:tabs>
                      <w:tab w:val="right" w:leader="dot" w:pos="5160"/>
                    </w:tabs>
                    <w:spacing w:before="0" w:after="0"/>
                    <w:ind w:left="240" w:hanging="240"/>
                    <w:rPr>
                      <w:sz w:val="18"/>
                      <w:szCs w:val="18"/>
                    </w:rPr>
                  </w:pPr>
                  <w:r w:rsidRPr="0006129B">
                    <w:rPr>
                      <w:sz w:val="18"/>
                      <w:szCs w:val="18"/>
                    </w:rPr>
                    <w:t>Other operating charges carried to assets as restructuring costs (-)</w:t>
                  </w:r>
                  <w:r w:rsidRPr="0006129B">
                    <w:rPr>
                      <w:sz w:val="18"/>
                      <w:szCs w:val="18"/>
                    </w:rPr>
                    <w:tab/>
                  </w:r>
                </w:p>
              </w:tc>
              <w:tc>
                <w:tcPr>
                  <w:tcW w:w="1223" w:type="dxa"/>
                  <w:noWrap/>
                </w:tcPr>
                <w:p w:rsidR="00304A20" w:rsidRPr="0006129B" w:rsidRDefault="00304A20" w:rsidP="00304A20">
                  <w:pPr>
                    <w:pBdr>
                      <w:bottom w:val="single" w:sz="4" w:space="1" w:color="auto"/>
                    </w:pBdr>
                    <w:tabs>
                      <w:tab w:val="right" w:pos="720"/>
                      <w:tab w:val="decimal" w:pos="760"/>
                    </w:tabs>
                    <w:spacing w:before="0" w:after="0"/>
                    <w:jc w:val="right"/>
                    <w:rPr>
                      <w:sz w:val="18"/>
                      <w:szCs w:val="18"/>
                    </w:rPr>
                  </w:pPr>
                  <w:r w:rsidRPr="0006129B">
                    <w:rPr>
                      <w:sz w:val="18"/>
                      <w:szCs w:val="18"/>
                    </w:rPr>
                    <w:t>-</w:t>
                  </w:r>
                </w:p>
              </w:tc>
              <w:tc>
                <w:tcPr>
                  <w:tcW w:w="1223" w:type="dxa"/>
                </w:tcPr>
                <w:p w:rsidR="00304A20" w:rsidRPr="0006129B" w:rsidRDefault="00304A20" w:rsidP="00304A20">
                  <w:pPr>
                    <w:pBdr>
                      <w:bottom w:val="single" w:sz="4" w:space="1" w:color="auto"/>
                    </w:pBdr>
                    <w:tabs>
                      <w:tab w:val="right" w:pos="720"/>
                      <w:tab w:val="decimal" w:pos="760"/>
                    </w:tabs>
                    <w:spacing w:before="0" w:after="0"/>
                    <w:jc w:val="right"/>
                    <w:rPr>
                      <w:sz w:val="18"/>
                      <w:szCs w:val="18"/>
                    </w:rPr>
                  </w:pPr>
                  <w:r w:rsidRPr="0006129B">
                    <w:rPr>
                      <w:sz w:val="18"/>
                      <w:szCs w:val="18"/>
                    </w:rPr>
                    <w:t>0.2</w:t>
                  </w:r>
                </w:p>
              </w:tc>
              <w:tc>
                <w:tcPr>
                  <w:tcW w:w="1223" w:type="dxa"/>
                  <w:noWrap/>
                </w:tcPr>
                <w:p w:rsidR="00304A20" w:rsidRPr="0006129B" w:rsidRDefault="00304A20" w:rsidP="00304A20">
                  <w:pPr>
                    <w:pBdr>
                      <w:bottom w:val="single" w:sz="4" w:space="1" w:color="auto"/>
                    </w:pBdr>
                    <w:tabs>
                      <w:tab w:val="right" w:pos="720"/>
                      <w:tab w:val="decimal" w:pos="760"/>
                    </w:tabs>
                    <w:spacing w:before="0" w:after="0"/>
                    <w:jc w:val="right"/>
                    <w:rPr>
                      <w:sz w:val="18"/>
                      <w:szCs w:val="18"/>
                    </w:rPr>
                  </w:pPr>
                  <w:r w:rsidRPr="0006129B">
                    <w:rPr>
                      <w:sz w:val="18"/>
                      <w:szCs w:val="18"/>
                    </w:rPr>
                    <w:t>0.2</w:t>
                  </w:r>
                </w:p>
              </w:tc>
            </w:tr>
            <w:tr w:rsidR="00304A20" w:rsidRPr="00EA40E9" w:rsidTr="00404820">
              <w:tc>
                <w:tcPr>
                  <w:tcW w:w="4144" w:type="dxa"/>
                </w:tcPr>
                <w:p w:rsidR="00304A20" w:rsidRPr="0006129B" w:rsidRDefault="00304A20" w:rsidP="00304A20">
                  <w:pPr>
                    <w:keepNext/>
                    <w:tabs>
                      <w:tab w:val="right" w:leader="dot" w:pos="5160"/>
                    </w:tabs>
                    <w:spacing w:before="0" w:after="0"/>
                    <w:ind w:left="240" w:hanging="240"/>
                    <w:rPr>
                      <w:b/>
                      <w:sz w:val="18"/>
                      <w:szCs w:val="18"/>
                    </w:rPr>
                  </w:pPr>
                  <w:r w:rsidRPr="0006129B">
                    <w:rPr>
                      <w:b/>
                      <w:sz w:val="18"/>
                      <w:szCs w:val="18"/>
                    </w:rPr>
                    <w:t>Operating result (EBIT)</w:t>
                  </w:r>
                  <w:r w:rsidRPr="0006129B">
                    <w:rPr>
                      <w:sz w:val="18"/>
                      <w:szCs w:val="18"/>
                    </w:rPr>
                    <w:tab/>
                  </w:r>
                </w:p>
              </w:tc>
              <w:tc>
                <w:tcPr>
                  <w:tcW w:w="1223" w:type="dxa"/>
                  <w:noWrap/>
                </w:tcPr>
                <w:p w:rsidR="00304A20" w:rsidRPr="0006129B" w:rsidRDefault="00304A20" w:rsidP="00304A20">
                  <w:pPr>
                    <w:tabs>
                      <w:tab w:val="right" w:pos="720"/>
                      <w:tab w:val="decimal" w:pos="760"/>
                    </w:tabs>
                    <w:spacing w:before="0" w:after="0"/>
                    <w:jc w:val="right"/>
                    <w:rPr>
                      <w:b/>
                      <w:sz w:val="18"/>
                      <w:szCs w:val="18"/>
                    </w:rPr>
                  </w:pPr>
                  <w:r w:rsidRPr="0006129B">
                    <w:rPr>
                      <w:b/>
                      <w:sz w:val="18"/>
                      <w:szCs w:val="18"/>
                    </w:rPr>
                    <w:t>4.3</w:t>
                  </w:r>
                </w:p>
              </w:tc>
              <w:tc>
                <w:tcPr>
                  <w:tcW w:w="1223" w:type="dxa"/>
                </w:tcPr>
                <w:p w:rsidR="00304A20" w:rsidRPr="0006129B" w:rsidRDefault="00304A20" w:rsidP="00304A20">
                  <w:pPr>
                    <w:tabs>
                      <w:tab w:val="right" w:pos="720"/>
                      <w:tab w:val="decimal" w:pos="760"/>
                    </w:tabs>
                    <w:spacing w:before="0" w:after="0"/>
                    <w:jc w:val="right"/>
                    <w:rPr>
                      <w:b/>
                      <w:bCs/>
                      <w:sz w:val="18"/>
                      <w:szCs w:val="18"/>
                    </w:rPr>
                  </w:pPr>
                  <w:r w:rsidRPr="0006129B">
                    <w:rPr>
                      <w:b/>
                      <w:bCs/>
                      <w:sz w:val="18"/>
                      <w:szCs w:val="18"/>
                    </w:rPr>
                    <w:t>3.1</w:t>
                  </w:r>
                </w:p>
              </w:tc>
              <w:tc>
                <w:tcPr>
                  <w:tcW w:w="1223" w:type="dxa"/>
                  <w:noWrap/>
                </w:tcPr>
                <w:p w:rsidR="00304A20" w:rsidRPr="0006129B" w:rsidRDefault="00304A20" w:rsidP="00304A20">
                  <w:pPr>
                    <w:tabs>
                      <w:tab w:val="right" w:pos="720"/>
                      <w:tab w:val="decimal" w:pos="760"/>
                    </w:tabs>
                    <w:spacing w:before="0" w:after="0"/>
                    <w:jc w:val="right"/>
                    <w:rPr>
                      <w:b/>
                      <w:sz w:val="18"/>
                      <w:szCs w:val="18"/>
                    </w:rPr>
                  </w:pPr>
                  <w:r w:rsidRPr="0006129B">
                    <w:rPr>
                      <w:b/>
                      <w:sz w:val="18"/>
                      <w:szCs w:val="18"/>
                    </w:rPr>
                    <w:t>2.3</w:t>
                  </w:r>
                </w:p>
              </w:tc>
            </w:tr>
            <w:tr w:rsidR="00304A20" w:rsidRPr="00EA40E9" w:rsidTr="00404820">
              <w:tc>
                <w:tcPr>
                  <w:tcW w:w="4144" w:type="dxa"/>
                </w:tcPr>
                <w:p w:rsidR="00304A20" w:rsidRPr="0006129B" w:rsidRDefault="00304A20" w:rsidP="00304A20">
                  <w:pPr>
                    <w:keepNext/>
                    <w:tabs>
                      <w:tab w:val="right" w:leader="dot" w:pos="5160"/>
                    </w:tabs>
                    <w:spacing w:before="0" w:after="0"/>
                    <w:ind w:left="240" w:hanging="240"/>
                    <w:rPr>
                      <w:b/>
                      <w:sz w:val="18"/>
                      <w:szCs w:val="18"/>
                    </w:rPr>
                  </w:pPr>
                  <w:r w:rsidRPr="0006129B">
                    <w:rPr>
                      <w:b/>
                      <w:sz w:val="18"/>
                      <w:szCs w:val="18"/>
                    </w:rPr>
                    <w:t>Recurring operating result (REBIT)</w:t>
                  </w:r>
                  <w:r w:rsidRPr="0006129B">
                    <w:rPr>
                      <w:sz w:val="18"/>
                      <w:szCs w:val="18"/>
                    </w:rPr>
                    <w:t xml:space="preserve"> </w:t>
                  </w:r>
                  <w:r w:rsidRPr="0006129B">
                    <w:rPr>
                      <w:sz w:val="18"/>
                      <w:szCs w:val="18"/>
                    </w:rPr>
                    <w:tab/>
                  </w:r>
                </w:p>
              </w:tc>
              <w:tc>
                <w:tcPr>
                  <w:tcW w:w="1223" w:type="dxa"/>
                  <w:noWrap/>
                </w:tcPr>
                <w:p w:rsidR="00304A20" w:rsidRPr="0006129B" w:rsidRDefault="00304A20" w:rsidP="00304A20">
                  <w:pPr>
                    <w:tabs>
                      <w:tab w:val="right" w:pos="720"/>
                      <w:tab w:val="decimal" w:pos="760"/>
                    </w:tabs>
                    <w:spacing w:before="0" w:after="0"/>
                    <w:jc w:val="right"/>
                    <w:rPr>
                      <w:b/>
                      <w:sz w:val="18"/>
                      <w:szCs w:val="18"/>
                    </w:rPr>
                  </w:pPr>
                  <w:r w:rsidRPr="0006129B">
                    <w:rPr>
                      <w:b/>
                      <w:sz w:val="18"/>
                      <w:szCs w:val="18"/>
                    </w:rPr>
                    <w:t>4.3</w:t>
                  </w:r>
                </w:p>
              </w:tc>
              <w:tc>
                <w:tcPr>
                  <w:tcW w:w="1223" w:type="dxa"/>
                </w:tcPr>
                <w:p w:rsidR="00304A20" w:rsidRPr="0006129B" w:rsidRDefault="00304A20" w:rsidP="00304A20">
                  <w:pPr>
                    <w:tabs>
                      <w:tab w:val="right" w:pos="720"/>
                      <w:tab w:val="decimal" w:pos="760"/>
                    </w:tabs>
                    <w:spacing w:before="0" w:after="0"/>
                    <w:jc w:val="right"/>
                    <w:rPr>
                      <w:b/>
                      <w:sz w:val="18"/>
                      <w:szCs w:val="18"/>
                    </w:rPr>
                  </w:pPr>
                  <w:r w:rsidRPr="0006129B">
                    <w:rPr>
                      <w:b/>
                      <w:sz w:val="18"/>
                      <w:szCs w:val="18"/>
                    </w:rPr>
                    <w:t>3.1</w:t>
                  </w:r>
                </w:p>
              </w:tc>
              <w:tc>
                <w:tcPr>
                  <w:tcW w:w="1223" w:type="dxa"/>
                  <w:noWrap/>
                </w:tcPr>
                <w:p w:rsidR="00304A20" w:rsidRPr="0006129B" w:rsidRDefault="00304A20" w:rsidP="00304A20">
                  <w:pPr>
                    <w:tabs>
                      <w:tab w:val="right" w:pos="720"/>
                      <w:tab w:val="decimal" w:pos="760"/>
                    </w:tabs>
                    <w:spacing w:before="0" w:after="0"/>
                    <w:jc w:val="right"/>
                    <w:rPr>
                      <w:b/>
                      <w:sz w:val="18"/>
                      <w:szCs w:val="18"/>
                    </w:rPr>
                  </w:pPr>
                  <w:r w:rsidRPr="0006129B">
                    <w:rPr>
                      <w:b/>
                      <w:sz w:val="18"/>
                      <w:szCs w:val="18"/>
                    </w:rPr>
                    <w:t>2.3</w:t>
                  </w:r>
                </w:p>
              </w:tc>
            </w:tr>
            <w:tr w:rsidR="00304A20" w:rsidRPr="00EA40E9" w:rsidTr="00404820">
              <w:tc>
                <w:tcPr>
                  <w:tcW w:w="4144" w:type="dxa"/>
                </w:tcPr>
                <w:p w:rsidR="00304A20" w:rsidRPr="0006129B" w:rsidRDefault="00304A20" w:rsidP="00304A20">
                  <w:pPr>
                    <w:keepNext/>
                    <w:tabs>
                      <w:tab w:val="right" w:leader="dot" w:pos="5160"/>
                    </w:tabs>
                    <w:spacing w:before="0" w:after="0"/>
                    <w:ind w:left="240" w:hanging="240"/>
                    <w:rPr>
                      <w:sz w:val="18"/>
                      <w:szCs w:val="18"/>
                    </w:rPr>
                  </w:pPr>
                  <w:r w:rsidRPr="0006129B">
                    <w:rPr>
                      <w:sz w:val="18"/>
                      <w:szCs w:val="18"/>
                    </w:rPr>
                    <w:t>Financial income</w:t>
                  </w:r>
                  <w:r w:rsidRPr="0006129B">
                    <w:rPr>
                      <w:sz w:val="18"/>
                      <w:szCs w:val="18"/>
                    </w:rPr>
                    <w:tab/>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0.1</w:t>
                  </w:r>
                </w:p>
              </w:tc>
              <w:tc>
                <w:tcPr>
                  <w:tcW w:w="1223" w:type="dxa"/>
                </w:tcPr>
                <w:p w:rsidR="00304A20" w:rsidRPr="0006129B" w:rsidRDefault="00304A20" w:rsidP="00304A20">
                  <w:pPr>
                    <w:tabs>
                      <w:tab w:val="right" w:pos="720"/>
                      <w:tab w:val="decimal" w:pos="760"/>
                    </w:tabs>
                    <w:spacing w:before="0" w:after="0"/>
                    <w:jc w:val="right"/>
                    <w:rPr>
                      <w:sz w:val="18"/>
                      <w:szCs w:val="18"/>
                    </w:rPr>
                  </w:pPr>
                  <w:r w:rsidRPr="0006129B">
                    <w:rPr>
                      <w:sz w:val="18"/>
                      <w:szCs w:val="18"/>
                    </w:rPr>
                    <w:t>0.1</w:t>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0.1</w:t>
                  </w:r>
                </w:p>
              </w:tc>
            </w:tr>
            <w:tr w:rsidR="00304A20" w:rsidRPr="00EA40E9" w:rsidTr="00404820">
              <w:tc>
                <w:tcPr>
                  <w:tcW w:w="4144" w:type="dxa"/>
                </w:tcPr>
                <w:p w:rsidR="00304A20" w:rsidRPr="0006129B" w:rsidRDefault="00304A20" w:rsidP="00304A20">
                  <w:pPr>
                    <w:keepNext/>
                    <w:tabs>
                      <w:tab w:val="right" w:leader="dot" w:pos="5160"/>
                    </w:tabs>
                    <w:spacing w:before="0" w:after="0"/>
                    <w:ind w:left="240" w:hanging="240"/>
                    <w:rPr>
                      <w:sz w:val="18"/>
                      <w:szCs w:val="18"/>
                    </w:rPr>
                  </w:pPr>
                  <w:r w:rsidRPr="0006129B">
                    <w:rPr>
                      <w:sz w:val="18"/>
                      <w:szCs w:val="18"/>
                    </w:rPr>
                    <w:t>Financial expense</w:t>
                  </w:r>
                  <w:r w:rsidRPr="0006129B">
                    <w:rPr>
                      <w:sz w:val="18"/>
                      <w:szCs w:val="18"/>
                    </w:rPr>
                    <w:tab/>
                  </w:r>
                </w:p>
                <w:p w:rsidR="00304A20" w:rsidRPr="0006129B" w:rsidRDefault="00304A20" w:rsidP="00304A20">
                  <w:pPr>
                    <w:spacing w:before="0" w:after="0" w:line="40" w:lineRule="exact"/>
                    <w:rPr>
                      <w:noProof/>
                      <w:sz w:val="18"/>
                      <w:szCs w:val="18"/>
                      <w:lang w:val="en-US"/>
                    </w:rPr>
                  </w:pPr>
                  <w:r w:rsidRPr="0006129B">
                    <w:rPr>
                      <w:sz w:val="18"/>
                      <w:szCs w:val="18"/>
                    </w:rPr>
                    <w:t> </w:t>
                  </w:r>
                </w:p>
              </w:tc>
              <w:tc>
                <w:tcPr>
                  <w:tcW w:w="1223" w:type="dxa"/>
                  <w:noWrap/>
                </w:tcPr>
                <w:p w:rsidR="00304A20" w:rsidRPr="0006129B" w:rsidRDefault="00304A20" w:rsidP="00304A20">
                  <w:pPr>
                    <w:pBdr>
                      <w:bottom w:val="single" w:sz="4" w:space="1" w:color="auto"/>
                    </w:pBdr>
                    <w:tabs>
                      <w:tab w:val="right" w:pos="720"/>
                      <w:tab w:val="decimal" w:pos="760"/>
                    </w:tabs>
                    <w:spacing w:before="0" w:after="0"/>
                    <w:jc w:val="right"/>
                    <w:rPr>
                      <w:sz w:val="18"/>
                      <w:szCs w:val="18"/>
                    </w:rPr>
                  </w:pPr>
                  <w:r w:rsidRPr="0006129B">
                    <w:rPr>
                      <w:sz w:val="18"/>
                      <w:szCs w:val="18"/>
                    </w:rPr>
                    <w:t>(1.0)</w:t>
                  </w:r>
                </w:p>
              </w:tc>
              <w:tc>
                <w:tcPr>
                  <w:tcW w:w="1223" w:type="dxa"/>
                </w:tcPr>
                <w:p w:rsidR="00304A20" w:rsidRPr="0006129B" w:rsidRDefault="00304A20" w:rsidP="00304A20">
                  <w:pPr>
                    <w:pBdr>
                      <w:bottom w:val="single" w:sz="4" w:space="1" w:color="auto"/>
                    </w:pBdr>
                    <w:tabs>
                      <w:tab w:val="right" w:pos="720"/>
                      <w:tab w:val="decimal" w:pos="760"/>
                    </w:tabs>
                    <w:spacing w:before="0" w:after="0"/>
                    <w:jc w:val="right"/>
                    <w:rPr>
                      <w:sz w:val="18"/>
                      <w:szCs w:val="18"/>
                    </w:rPr>
                  </w:pPr>
                  <w:r w:rsidRPr="0006129B">
                    <w:rPr>
                      <w:sz w:val="18"/>
                      <w:szCs w:val="18"/>
                    </w:rPr>
                    <w:t>(1.1)</w:t>
                  </w:r>
                </w:p>
              </w:tc>
              <w:tc>
                <w:tcPr>
                  <w:tcW w:w="1223" w:type="dxa"/>
                  <w:noWrap/>
                </w:tcPr>
                <w:p w:rsidR="00304A20" w:rsidRPr="0006129B" w:rsidRDefault="00304A20" w:rsidP="00304A20">
                  <w:pPr>
                    <w:pBdr>
                      <w:bottom w:val="single" w:sz="4" w:space="1" w:color="auto"/>
                    </w:pBdr>
                    <w:tabs>
                      <w:tab w:val="right" w:pos="720"/>
                      <w:tab w:val="decimal" w:pos="760"/>
                    </w:tabs>
                    <w:spacing w:before="0" w:after="0"/>
                    <w:jc w:val="right"/>
                    <w:rPr>
                      <w:sz w:val="18"/>
                      <w:szCs w:val="18"/>
                    </w:rPr>
                  </w:pPr>
                  <w:r w:rsidRPr="0006129B">
                    <w:rPr>
                      <w:sz w:val="18"/>
                      <w:szCs w:val="18"/>
                    </w:rPr>
                    <w:t>(1.0)</w:t>
                  </w:r>
                </w:p>
              </w:tc>
            </w:tr>
            <w:tr w:rsidR="00304A20" w:rsidRPr="00EA40E9" w:rsidTr="00404820">
              <w:trPr>
                <w:trHeight w:val="267"/>
              </w:trPr>
              <w:tc>
                <w:tcPr>
                  <w:tcW w:w="4144" w:type="dxa"/>
                </w:tcPr>
                <w:p w:rsidR="00304A20" w:rsidRPr="0006129B" w:rsidRDefault="00304A20" w:rsidP="00304A20">
                  <w:pPr>
                    <w:keepNext/>
                    <w:tabs>
                      <w:tab w:val="right" w:leader="dot" w:pos="5160"/>
                    </w:tabs>
                    <w:spacing w:before="0" w:after="0"/>
                    <w:ind w:left="240" w:hanging="240"/>
                    <w:rPr>
                      <w:b/>
                      <w:sz w:val="18"/>
                      <w:szCs w:val="18"/>
                    </w:rPr>
                  </w:pPr>
                  <w:r w:rsidRPr="0006129B">
                    <w:rPr>
                      <w:b/>
                      <w:sz w:val="18"/>
                      <w:szCs w:val="18"/>
                    </w:rPr>
                    <w:t xml:space="preserve">Operating profit/(loss) after net finance costs </w:t>
                  </w:r>
                  <w:r w:rsidRPr="0006129B">
                    <w:rPr>
                      <w:sz w:val="18"/>
                      <w:szCs w:val="18"/>
                    </w:rPr>
                    <w:tab/>
                  </w:r>
                </w:p>
                <w:p w:rsidR="00304A20" w:rsidRPr="0006129B" w:rsidRDefault="00304A20" w:rsidP="00304A20">
                  <w:pPr>
                    <w:spacing w:before="0" w:after="0" w:line="40" w:lineRule="exact"/>
                    <w:rPr>
                      <w:b/>
                      <w:noProof/>
                      <w:sz w:val="18"/>
                      <w:szCs w:val="18"/>
                      <w:lang w:val="en-US"/>
                    </w:rPr>
                  </w:pPr>
                  <w:r w:rsidRPr="0006129B">
                    <w:rPr>
                      <w:sz w:val="18"/>
                      <w:szCs w:val="18"/>
                    </w:rPr>
                    <w:t> </w:t>
                  </w:r>
                </w:p>
              </w:tc>
              <w:tc>
                <w:tcPr>
                  <w:tcW w:w="1223" w:type="dxa"/>
                  <w:noWrap/>
                </w:tcPr>
                <w:p w:rsidR="00304A20" w:rsidRPr="0006129B" w:rsidRDefault="00304A20" w:rsidP="00304A20">
                  <w:pPr>
                    <w:tabs>
                      <w:tab w:val="right" w:pos="720"/>
                      <w:tab w:val="decimal" w:pos="760"/>
                    </w:tabs>
                    <w:spacing w:before="0" w:after="0"/>
                    <w:jc w:val="right"/>
                    <w:rPr>
                      <w:b/>
                      <w:sz w:val="18"/>
                      <w:szCs w:val="18"/>
                    </w:rPr>
                  </w:pPr>
                  <w:r w:rsidRPr="0006129B">
                    <w:rPr>
                      <w:b/>
                      <w:sz w:val="18"/>
                      <w:szCs w:val="18"/>
                    </w:rPr>
                    <w:t>3.4</w:t>
                  </w:r>
                </w:p>
              </w:tc>
              <w:tc>
                <w:tcPr>
                  <w:tcW w:w="1223" w:type="dxa"/>
                </w:tcPr>
                <w:p w:rsidR="00304A20" w:rsidRPr="0006129B" w:rsidRDefault="00304A20" w:rsidP="00304A20">
                  <w:pPr>
                    <w:tabs>
                      <w:tab w:val="right" w:pos="720"/>
                      <w:tab w:val="decimal" w:pos="760"/>
                    </w:tabs>
                    <w:spacing w:before="0" w:after="0"/>
                    <w:jc w:val="right"/>
                    <w:rPr>
                      <w:b/>
                      <w:bCs/>
                      <w:sz w:val="18"/>
                      <w:szCs w:val="18"/>
                    </w:rPr>
                  </w:pPr>
                  <w:r w:rsidRPr="0006129B">
                    <w:rPr>
                      <w:b/>
                      <w:bCs/>
                      <w:sz w:val="18"/>
                      <w:szCs w:val="18"/>
                    </w:rPr>
                    <w:t>2.0</w:t>
                  </w:r>
                </w:p>
              </w:tc>
              <w:tc>
                <w:tcPr>
                  <w:tcW w:w="1223" w:type="dxa"/>
                  <w:noWrap/>
                </w:tcPr>
                <w:p w:rsidR="00304A20" w:rsidRPr="0006129B" w:rsidRDefault="00304A20" w:rsidP="00304A20">
                  <w:pPr>
                    <w:tabs>
                      <w:tab w:val="right" w:pos="720"/>
                      <w:tab w:val="decimal" w:pos="760"/>
                    </w:tabs>
                    <w:spacing w:before="0" w:after="0"/>
                    <w:jc w:val="right"/>
                    <w:rPr>
                      <w:b/>
                      <w:sz w:val="18"/>
                      <w:szCs w:val="18"/>
                    </w:rPr>
                  </w:pPr>
                  <w:r w:rsidRPr="0006129B">
                    <w:rPr>
                      <w:b/>
                      <w:sz w:val="18"/>
                      <w:szCs w:val="18"/>
                    </w:rPr>
                    <w:t>1.4</w:t>
                  </w:r>
                </w:p>
              </w:tc>
            </w:tr>
            <w:tr w:rsidR="00304A20" w:rsidRPr="00EA40E9" w:rsidTr="00404820">
              <w:trPr>
                <w:trHeight w:val="267"/>
              </w:trPr>
              <w:tc>
                <w:tcPr>
                  <w:tcW w:w="4144" w:type="dxa"/>
                </w:tcPr>
                <w:p w:rsidR="00304A20" w:rsidRPr="0006129B" w:rsidRDefault="00304A20" w:rsidP="00304A20">
                  <w:pPr>
                    <w:keepNext/>
                    <w:tabs>
                      <w:tab w:val="right" w:leader="dot" w:pos="5160"/>
                    </w:tabs>
                    <w:spacing w:before="0" w:after="0"/>
                    <w:ind w:left="240" w:hanging="240"/>
                    <w:rPr>
                      <w:sz w:val="18"/>
                      <w:szCs w:val="18"/>
                    </w:rPr>
                  </w:pPr>
                  <w:r w:rsidRPr="0006129B">
                    <w:rPr>
                      <w:sz w:val="18"/>
                      <w:szCs w:val="18"/>
                    </w:rPr>
                    <w:t>Extraordinary income</w:t>
                  </w:r>
                  <w:r w:rsidRPr="0006129B">
                    <w:rPr>
                      <w:sz w:val="18"/>
                      <w:szCs w:val="18"/>
                    </w:rPr>
                    <w:tab/>
                  </w:r>
                </w:p>
                <w:p w:rsidR="00304A20" w:rsidRPr="0006129B" w:rsidRDefault="00304A20" w:rsidP="00304A20">
                  <w:pPr>
                    <w:spacing w:before="0" w:after="0" w:line="40" w:lineRule="exact"/>
                    <w:rPr>
                      <w:noProof/>
                      <w:sz w:val="18"/>
                      <w:szCs w:val="18"/>
                      <w:lang w:val="en-US"/>
                    </w:rPr>
                  </w:pPr>
                  <w:r w:rsidRPr="0006129B">
                    <w:rPr>
                      <w:sz w:val="18"/>
                      <w:szCs w:val="18"/>
                    </w:rPr>
                    <w:t> </w:t>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0.3</w:t>
                  </w:r>
                </w:p>
              </w:tc>
              <w:tc>
                <w:tcPr>
                  <w:tcW w:w="1223" w:type="dxa"/>
                </w:tcPr>
                <w:p w:rsidR="00304A20" w:rsidRPr="0006129B" w:rsidRDefault="00304A20" w:rsidP="00304A20">
                  <w:pPr>
                    <w:tabs>
                      <w:tab w:val="right" w:pos="720"/>
                      <w:tab w:val="decimal" w:pos="760"/>
                    </w:tabs>
                    <w:spacing w:before="0" w:after="0"/>
                    <w:jc w:val="right"/>
                    <w:rPr>
                      <w:sz w:val="18"/>
                      <w:szCs w:val="18"/>
                    </w:rPr>
                  </w:pPr>
                  <w:r w:rsidRPr="0006129B">
                    <w:rPr>
                      <w:sz w:val="18"/>
                      <w:szCs w:val="18"/>
                    </w:rPr>
                    <w:t>0.7</w:t>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0.2</w:t>
                  </w:r>
                </w:p>
              </w:tc>
            </w:tr>
            <w:tr w:rsidR="00304A20" w:rsidRPr="00EA40E9" w:rsidTr="00404820">
              <w:trPr>
                <w:trHeight w:val="267"/>
              </w:trPr>
              <w:tc>
                <w:tcPr>
                  <w:tcW w:w="4144" w:type="dxa"/>
                </w:tcPr>
                <w:p w:rsidR="00304A20" w:rsidRPr="0006129B" w:rsidRDefault="00304A20" w:rsidP="00304A20">
                  <w:pPr>
                    <w:keepNext/>
                    <w:tabs>
                      <w:tab w:val="right" w:leader="dot" w:pos="5160"/>
                    </w:tabs>
                    <w:spacing w:before="0" w:after="0"/>
                    <w:ind w:left="240" w:hanging="240"/>
                    <w:rPr>
                      <w:sz w:val="18"/>
                      <w:szCs w:val="18"/>
                    </w:rPr>
                  </w:pPr>
                  <w:r w:rsidRPr="0006129B">
                    <w:rPr>
                      <w:sz w:val="18"/>
                      <w:szCs w:val="18"/>
                    </w:rPr>
                    <w:t>Extraordinary expense</w:t>
                  </w:r>
                  <w:r w:rsidRPr="0006129B">
                    <w:rPr>
                      <w:sz w:val="18"/>
                      <w:szCs w:val="18"/>
                    </w:rPr>
                    <w:tab/>
                  </w:r>
                </w:p>
                <w:p w:rsidR="00304A20" w:rsidRPr="0006129B" w:rsidRDefault="00304A20" w:rsidP="00304A20">
                  <w:pPr>
                    <w:spacing w:before="0" w:after="0" w:line="40" w:lineRule="exact"/>
                    <w:rPr>
                      <w:noProof/>
                      <w:sz w:val="18"/>
                      <w:szCs w:val="18"/>
                      <w:lang w:val="en-US"/>
                    </w:rPr>
                  </w:pPr>
                  <w:r w:rsidRPr="0006129B">
                    <w:rPr>
                      <w:sz w:val="18"/>
                      <w:szCs w:val="18"/>
                    </w:rPr>
                    <w:t> </w:t>
                  </w:r>
                </w:p>
              </w:tc>
              <w:tc>
                <w:tcPr>
                  <w:tcW w:w="1223" w:type="dxa"/>
                  <w:noWrap/>
                </w:tcPr>
                <w:p w:rsidR="00304A20" w:rsidRPr="0006129B" w:rsidRDefault="00304A20" w:rsidP="00304A20">
                  <w:pPr>
                    <w:pBdr>
                      <w:bottom w:val="single" w:sz="4" w:space="1" w:color="auto"/>
                    </w:pBdr>
                    <w:tabs>
                      <w:tab w:val="right" w:pos="720"/>
                      <w:tab w:val="decimal" w:pos="760"/>
                    </w:tabs>
                    <w:spacing w:before="0" w:after="0"/>
                    <w:jc w:val="right"/>
                    <w:rPr>
                      <w:sz w:val="18"/>
                      <w:szCs w:val="18"/>
                    </w:rPr>
                  </w:pPr>
                  <w:r w:rsidRPr="0006129B">
                    <w:rPr>
                      <w:sz w:val="18"/>
                      <w:szCs w:val="18"/>
                    </w:rPr>
                    <w:t>(0.7)</w:t>
                  </w:r>
                </w:p>
              </w:tc>
              <w:tc>
                <w:tcPr>
                  <w:tcW w:w="1223" w:type="dxa"/>
                </w:tcPr>
                <w:p w:rsidR="00304A20" w:rsidRPr="0006129B" w:rsidRDefault="00304A20" w:rsidP="00304A20">
                  <w:pPr>
                    <w:pBdr>
                      <w:bottom w:val="single" w:sz="4" w:space="1" w:color="auto"/>
                    </w:pBdr>
                    <w:tabs>
                      <w:tab w:val="right" w:pos="720"/>
                      <w:tab w:val="decimal" w:pos="760"/>
                    </w:tabs>
                    <w:spacing w:before="0" w:after="0"/>
                    <w:jc w:val="right"/>
                    <w:rPr>
                      <w:sz w:val="18"/>
                      <w:szCs w:val="18"/>
                    </w:rPr>
                  </w:pPr>
                  <w:r w:rsidRPr="0006129B">
                    <w:rPr>
                      <w:sz w:val="18"/>
                      <w:szCs w:val="18"/>
                    </w:rPr>
                    <w:t>(0.7)</w:t>
                  </w:r>
                </w:p>
              </w:tc>
              <w:tc>
                <w:tcPr>
                  <w:tcW w:w="1223" w:type="dxa"/>
                  <w:noWrap/>
                </w:tcPr>
                <w:p w:rsidR="00304A20" w:rsidRPr="0006129B" w:rsidRDefault="00304A20" w:rsidP="00304A20">
                  <w:pPr>
                    <w:pBdr>
                      <w:bottom w:val="single" w:sz="4" w:space="1" w:color="auto"/>
                    </w:pBdr>
                    <w:tabs>
                      <w:tab w:val="right" w:pos="720"/>
                      <w:tab w:val="decimal" w:pos="760"/>
                    </w:tabs>
                    <w:spacing w:before="0" w:after="0"/>
                    <w:jc w:val="right"/>
                    <w:rPr>
                      <w:sz w:val="18"/>
                      <w:szCs w:val="18"/>
                    </w:rPr>
                  </w:pPr>
                  <w:r w:rsidRPr="0006129B">
                    <w:rPr>
                      <w:sz w:val="18"/>
                      <w:szCs w:val="18"/>
                    </w:rPr>
                    <w:t>(0.5)</w:t>
                  </w:r>
                </w:p>
              </w:tc>
            </w:tr>
            <w:tr w:rsidR="00304A20" w:rsidRPr="00EA40E9" w:rsidTr="00404820">
              <w:tc>
                <w:tcPr>
                  <w:tcW w:w="4144" w:type="dxa"/>
                </w:tcPr>
                <w:p w:rsidR="00304A20" w:rsidRPr="0006129B" w:rsidRDefault="00304A20" w:rsidP="00304A20">
                  <w:pPr>
                    <w:keepNext/>
                    <w:tabs>
                      <w:tab w:val="right" w:leader="dot" w:pos="5160"/>
                    </w:tabs>
                    <w:spacing w:before="0" w:after="0"/>
                    <w:ind w:left="240" w:hanging="240"/>
                    <w:rPr>
                      <w:b/>
                      <w:sz w:val="18"/>
                      <w:szCs w:val="18"/>
                    </w:rPr>
                  </w:pPr>
                  <w:r w:rsidRPr="0006129B">
                    <w:rPr>
                      <w:b/>
                      <w:sz w:val="18"/>
                      <w:szCs w:val="18"/>
                    </w:rPr>
                    <w:t>Operating profit/(loss) after net finance costs</w:t>
                  </w:r>
                  <w:r w:rsidRPr="0006129B">
                    <w:rPr>
                      <w:sz w:val="18"/>
                      <w:szCs w:val="18"/>
                    </w:rPr>
                    <w:tab/>
                  </w:r>
                </w:p>
              </w:tc>
              <w:tc>
                <w:tcPr>
                  <w:tcW w:w="1223" w:type="dxa"/>
                  <w:noWrap/>
                </w:tcPr>
                <w:p w:rsidR="00304A20" w:rsidRPr="0006129B" w:rsidRDefault="00304A20" w:rsidP="00304A20">
                  <w:pPr>
                    <w:tabs>
                      <w:tab w:val="right" w:pos="720"/>
                      <w:tab w:val="decimal" w:pos="760"/>
                    </w:tabs>
                    <w:spacing w:before="0" w:after="0"/>
                    <w:jc w:val="right"/>
                    <w:rPr>
                      <w:b/>
                      <w:sz w:val="18"/>
                      <w:szCs w:val="18"/>
                    </w:rPr>
                  </w:pPr>
                  <w:r w:rsidRPr="0006129B">
                    <w:rPr>
                      <w:b/>
                      <w:sz w:val="18"/>
                      <w:szCs w:val="18"/>
                    </w:rPr>
                    <w:t>3.1</w:t>
                  </w:r>
                </w:p>
              </w:tc>
              <w:tc>
                <w:tcPr>
                  <w:tcW w:w="1223" w:type="dxa"/>
                </w:tcPr>
                <w:p w:rsidR="00304A20" w:rsidRPr="0006129B" w:rsidRDefault="00304A20" w:rsidP="00304A20">
                  <w:pPr>
                    <w:tabs>
                      <w:tab w:val="right" w:pos="720"/>
                      <w:tab w:val="decimal" w:pos="760"/>
                    </w:tabs>
                    <w:spacing w:before="0" w:after="0"/>
                    <w:jc w:val="right"/>
                    <w:rPr>
                      <w:b/>
                      <w:bCs/>
                      <w:sz w:val="18"/>
                      <w:szCs w:val="18"/>
                    </w:rPr>
                  </w:pPr>
                  <w:r w:rsidRPr="0006129B">
                    <w:rPr>
                      <w:b/>
                      <w:bCs/>
                      <w:sz w:val="18"/>
                      <w:szCs w:val="18"/>
                    </w:rPr>
                    <w:t>2.0</w:t>
                  </w:r>
                </w:p>
              </w:tc>
              <w:tc>
                <w:tcPr>
                  <w:tcW w:w="1223" w:type="dxa"/>
                  <w:noWrap/>
                </w:tcPr>
                <w:p w:rsidR="00304A20" w:rsidRPr="0006129B" w:rsidRDefault="00304A20" w:rsidP="00304A20">
                  <w:pPr>
                    <w:tabs>
                      <w:tab w:val="right" w:pos="720"/>
                      <w:tab w:val="decimal" w:pos="760"/>
                    </w:tabs>
                    <w:spacing w:before="0" w:after="0"/>
                    <w:jc w:val="right"/>
                    <w:rPr>
                      <w:b/>
                      <w:sz w:val="18"/>
                      <w:szCs w:val="18"/>
                    </w:rPr>
                  </w:pPr>
                  <w:r w:rsidRPr="0006129B">
                    <w:rPr>
                      <w:b/>
                      <w:sz w:val="18"/>
                      <w:szCs w:val="18"/>
                    </w:rPr>
                    <w:t>1.2</w:t>
                  </w:r>
                </w:p>
              </w:tc>
            </w:tr>
            <w:tr w:rsidR="00304A20" w:rsidRPr="00EA40E9" w:rsidTr="00404820">
              <w:tc>
                <w:tcPr>
                  <w:tcW w:w="4144" w:type="dxa"/>
                </w:tcPr>
                <w:p w:rsidR="00304A20" w:rsidRPr="0006129B" w:rsidRDefault="00304A20" w:rsidP="00304A20">
                  <w:pPr>
                    <w:spacing w:before="0" w:after="0" w:line="40" w:lineRule="exact"/>
                    <w:rPr>
                      <w:sz w:val="18"/>
                      <w:szCs w:val="18"/>
                    </w:rPr>
                  </w:pPr>
                </w:p>
              </w:tc>
              <w:tc>
                <w:tcPr>
                  <w:tcW w:w="1223" w:type="dxa"/>
                </w:tcPr>
                <w:p w:rsidR="00304A20" w:rsidRPr="0006129B" w:rsidRDefault="00304A20" w:rsidP="00304A20">
                  <w:pPr>
                    <w:pBdr>
                      <w:top w:val="single" w:sz="8" w:space="1" w:color="auto"/>
                    </w:pBdr>
                    <w:spacing w:before="0" w:after="0" w:line="20" w:lineRule="exact"/>
                    <w:jc w:val="right"/>
                    <w:rPr>
                      <w:sz w:val="18"/>
                      <w:szCs w:val="18"/>
                    </w:rPr>
                  </w:pPr>
                </w:p>
              </w:tc>
              <w:tc>
                <w:tcPr>
                  <w:tcW w:w="1223" w:type="dxa"/>
                </w:tcPr>
                <w:p w:rsidR="00304A20" w:rsidRPr="0006129B" w:rsidRDefault="00304A20" w:rsidP="00304A20">
                  <w:pPr>
                    <w:pBdr>
                      <w:top w:val="single" w:sz="8" w:space="1" w:color="auto"/>
                    </w:pBdr>
                    <w:spacing w:before="0" w:after="0" w:line="20" w:lineRule="exact"/>
                    <w:jc w:val="right"/>
                    <w:rPr>
                      <w:sz w:val="18"/>
                      <w:szCs w:val="18"/>
                    </w:rPr>
                  </w:pPr>
                </w:p>
              </w:tc>
              <w:tc>
                <w:tcPr>
                  <w:tcW w:w="1223" w:type="dxa"/>
                </w:tcPr>
                <w:p w:rsidR="00304A20" w:rsidRPr="0006129B" w:rsidRDefault="00304A20" w:rsidP="00304A20">
                  <w:pPr>
                    <w:pBdr>
                      <w:top w:val="single" w:sz="8" w:space="1" w:color="auto"/>
                    </w:pBdr>
                    <w:spacing w:before="0" w:after="0" w:line="20" w:lineRule="exact"/>
                    <w:jc w:val="right"/>
                    <w:rPr>
                      <w:sz w:val="18"/>
                      <w:szCs w:val="18"/>
                    </w:rPr>
                  </w:pPr>
                </w:p>
              </w:tc>
            </w:tr>
            <w:tr w:rsidR="00304A20" w:rsidRPr="00EA40E9" w:rsidTr="00404820">
              <w:tc>
                <w:tcPr>
                  <w:tcW w:w="4144" w:type="dxa"/>
                </w:tcPr>
                <w:p w:rsidR="00304A20" w:rsidRPr="0006129B" w:rsidRDefault="00304A20" w:rsidP="00304A20">
                  <w:pPr>
                    <w:keepNext/>
                    <w:tabs>
                      <w:tab w:val="right" w:leader="dot" w:pos="5160"/>
                    </w:tabs>
                    <w:spacing w:before="0" w:after="0"/>
                    <w:ind w:left="240" w:hanging="240"/>
                    <w:rPr>
                      <w:sz w:val="18"/>
                      <w:szCs w:val="18"/>
                    </w:rPr>
                  </w:pPr>
                  <w:r w:rsidRPr="0006129B">
                    <w:rPr>
                      <w:sz w:val="18"/>
                      <w:szCs w:val="18"/>
                    </w:rPr>
                    <w:t>Taxes</w:t>
                  </w:r>
                  <w:r w:rsidRPr="0006129B">
                    <w:rPr>
                      <w:sz w:val="18"/>
                      <w:szCs w:val="18"/>
                    </w:rPr>
                    <w:tab/>
                  </w:r>
                </w:p>
              </w:tc>
              <w:tc>
                <w:tcPr>
                  <w:tcW w:w="1223" w:type="dxa"/>
                </w:tcPr>
                <w:p w:rsidR="00304A20" w:rsidRPr="0006129B" w:rsidRDefault="00304A20" w:rsidP="00304A20">
                  <w:pPr>
                    <w:pBdr>
                      <w:bottom w:val="single" w:sz="4" w:space="1" w:color="auto"/>
                    </w:pBdr>
                    <w:tabs>
                      <w:tab w:val="right" w:pos="720"/>
                      <w:tab w:val="decimal" w:pos="760"/>
                    </w:tabs>
                    <w:spacing w:before="0" w:after="0"/>
                    <w:jc w:val="right"/>
                    <w:rPr>
                      <w:sz w:val="18"/>
                      <w:szCs w:val="18"/>
                    </w:rPr>
                  </w:pPr>
                  <w:r w:rsidRPr="0006129B">
                    <w:rPr>
                      <w:sz w:val="18"/>
                      <w:szCs w:val="18"/>
                    </w:rPr>
                    <w:t>(0.6)</w:t>
                  </w:r>
                </w:p>
              </w:tc>
              <w:tc>
                <w:tcPr>
                  <w:tcW w:w="1223" w:type="dxa"/>
                </w:tcPr>
                <w:p w:rsidR="00304A20" w:rsidRPr="0006129B" w:rsidRDefault="00304A20" w:rsidP="00304A20">
                  <w:pPr>
                    <w:pBdr>
                      <w:bottom w:val="single" w:sz="4" w:space="1" w:color="auto"/>
                    </w:pBdr>
                    <w:tabs>
                      <w:tab w:val="right" w:pos="720"/>
                      <w:tab w:val="decimal" w:pos="760"/>
                    </w:tabs>
                    <w:spacing w:before="0" w:after="0"/>
                    <w:jc w:val="right"/>
                    <w:rPr>
                      <w:sz w:val="18"/>
                      <w:szCs w:val="18"/>
                    </w:rPr>
                  </w:pPr>
                  <w:r w:rsidRPr="0006129B">
                    <w:rPr>
                      <w:sz w:val="18"/>
                      <w:szCs w:val="18"/>
                    </w:rPr>
                    <w:t>(0.4)</w:t>
                  </w:r>
                </w:p>
              </w:tc>
              <w:tc>
                <w:tcPr>
                  <w:tcW w:w="1223" w:type="dxa"/>
                </w:tcPr>
                <w:p w:rsidR="00304A20" w:rsidRPr="0006129B" w:rsidRDefault="00304A20" w:rsidP="00304A20">
                  <w:pPr>
                    <w:pBdr>
                      <w:bottom w:val="single" w:sz="4" w:space="1" w:color="auto"/>
                    </w:pBdr>
                    <w:tabs>
                      <w:tab w:val="right" w:pos="720"/>
                      <w:tab w:val="decimal" w:pos="760"/>
                    </w:tabs>
                    <w:spacing w:before="0" w:after="0"/>
                    <w:jc w:val="right"/>
                    <w:rPr>
                      <w:sz w:val="18"/>
                      <w:szCs w:val="18"/>
                    </w:rPr>
                  </w:pPr>
                  <w:r w:rsidRPr="0006129B">
                    <w:rPr>
                      <w:sz w:val="18"/>
                      <w:szCs w:val="18"/>
                    </w:rPr>
                    <w:t>(0.2)</w:t>
                  </w:r>
                </w:p>
              </w:tc>
            </w:tr>
            <w:tr w:rsidR="00304A20" w:rsidRPr="00EA40E9" w:rsidTr="00404820">
              <w:trPr>
                <w:trHeight w:val="465"/>
              </w:trPr>
              <w:tc>
                <w:tcPr>
                  <w:tcW w:w="4144" w:type="dxa"/>
                </w:tcPr>
                <w:p w:rsidR="00304A20" w:rsidRPr="0006129B" w:rsidRDefault="00304A20" w:rsidP="00304A20">
                  <w:pPr>
                    <w:keepNext/>
                    <w:tabs>
                      <w:tab w:val="right" w:leader="dot" w:pos="5160"/>
                    </w:tabs>
                    <w:spacing w:before="0" w:after="0"/>
                    <w:ind w:left="240" w:hanging="240"/>
                    <w:rPr>
                      <w:b/>
                      <w:sz w:val="18"/>
                      <w:szCs w:val="18"/>
                    </w:rPr>
                  </w:pPr>
                  <w:r w:rsidRPr="0006129B">
                    <w:rPr>
                      <w:b/>
                      <w:sz w:val="18"/>
                      <w:szCs w:val="18"/>
                    </w:rPr>
                    <w:t>Profit/(loss) for the period</w:t>
                  </w:r>
                  <w:r w:rsidRPr="0006129B">
                    <w:rPr>
                      <w:sz w:val="18"/>
                      <w:szCs w:val="18"/>
                    </w:rPr>
                    <w:tab/>
                  </w:r>
                </w:p>
                <w:p w:rsidR="00304A20" w:rsidRPr="0006129B" w:rsidRDefault="00304A20" w:rsidP="00304A20">
                  <w:pPr>
                    <w:keepNext/>
                    <w:tabs>
                      <w:tab w:val="right" w:leader="dot" w:pos="5160"/>
                    </w:tabs>
                    <w:spacing w:before="0" w:after="0"/>
                    <w:rPr>
                      <w:sz w:val="18"/>
                      <w:szCs w:val="18"/>
                    </w:rPr>
                  </w:pPr>
                  <w:r w:rsidRPr="0006129B">
                    <w:rPr>
                      <w:sz w:val="18"/>
                      <w:szCs w:val="18"/>
                    </w:rPr>
                    <w:t>Attributable to:</w:t>
                  </w:r>
                </w:p>
              </w:tc>
              <w:tc>
                <w:tcPr>
                  <w:tcW w:w="1223" w:type="dxa"/>
                  <w:noWrap/>
                </w:tcPr>
                <w:p w:rsidR="00304A20" w:rsidRPr="0006129B" w:rsidRDefault="00304A20" w:rsidP="00304A20">
                  <w:pPr>
                    <w:pBdr>
                      <w:bottom w:val="single" w:sz="4" w:space="1" w:color="auto"/>
                    </w:pBdr>
                    <w:tabs>
                      <w:tab w:val="right" w:pos="720"/>
                      <w:tab w:val="decimal" w:pos="760"/>
                    </w:tabs>
                    <w:spacing w:before="0" w:after="0"/>
                    <w:jc w:val="right"/>
                    <w:rPr>
                      <w:b/>
                      <w:sz w:val="18"/>
                      <w:szCs w:val="18"/>
                    </w:rPr>
                  </w:pPr>
                  <w:r w:rsidRPr="0006129B">
                    <w:rPr>
                      <w:b/>
                      <w:sz w:val="18"/>
                      <w:szCs w:val="18"/>
                    </w:rPr>
                    <w:t>2.4</w:t>
                  </w:r>
                </w:p>
              </w:tc>
              <w:tc>
                <w:tcPr>
                  <w:tcW w:w="1223" w:type="dxa"/>
                </w:tcPr>
                <w:p w:rsidR="00304A20" w:rsidRPr="0006129B" w:rsidRDefault="00304A20" w:rsidP="00304A20">
                  <w:pPr>
                    <w:pBdr>
                      <w:bottom w:val="single" w:sz="4" w:space="1" w:color="auto"/>
                    </w:pBdr>
                    <w:tabs>
                      <w:tab w:val="right" w:pos="720"/>
                      <w:tab w:val="decimal" w:pos="760"/>
                    </w:tabs>
                    <w:spacing w:before="0" w:after="0"/>
                    <w:jc w:val="right"/>
                    <w:rPr>
                      <w:b/>
                      <w:bCs/>
                      <w:sz w:val="18"/>
                      <w:szCs w:val="18"/>
                    </w:rPr>
                  </w:pPr>
                  <w:r w:rsidRPr="0006129B">
                    <w:rPr>
                      <w:b/>
                      <w:bCs/>
                      <w:sz w:val="18"/>
                      <w:szCs w:val="18"/>
                    </w:rPr>
                    <w:t>1.6</w:t>
                  </w:r>
                </w:p>
              </w:tc>
              <w:tc>
                <w:tcPr>
                  <w:tcW w:w="1223" w:type="dxa"/>
                  <w:noWrap/>
                </w:tcPr>
                <w:p w:rsidR="00304A20" w:rsidRPr="0006129B" w:rsidRDefault="00304A20" w:rsidP="00304A20">
                  <w:pPr>
                    <w:pBdr>
                      <w:bottom w:val="single" w:sz="4" w:space="1" w:color="auto"/>
                    </w:pBdr>
                    <w:tabs>
                      <w:tab w:val="right" w:pos="720"/>
                      <w:tab w:val="decimal" w:pos="760"/>
                    </w:tabs>
                    <w:spacing w:before="0" w:after="0"/>
                    <w:jc w:val="right"/>
                    <w:rPr>
                      <w:b/>
                      <w:sz w:val="18"/>
                      <w:szCs w:val="18"/>
                    </w:rPr>
                  </w:pPr>
                  <w:r w:rsidRPr="0006129B">
                    <w:rPr>
                      <w:b/>
                      <w:sz w:val="18"/>
                      <w:szCs w:val="18"/>
                    </w:rPr>
                    <w:t>1.0</w:t>
                  </w:r>
                </w:p>
              </w:tc>
            </w:tr>
            <w:tr w:rsidR="00304A20" w:rsidRPr="00EA40E9" w:rsidTr="00404820">
              <w:trPr>
                <w:trHeight w:val="302"/>
              </w:trPr>
              <w:tc>
                <w:tcPr>
                  <w:tcW w:w="4144" w:type="dxa"/>
                </w:tcPr>
                <w:p w:rsidR="00304A20" w:rsidRPr="0006129B" w:rsidRDefault="00304A20" w:rsidP="00304A20">
                  <w:pPr>
                    <w:spacing w:before="0" w:after="0"/>
                    <w:jc w:val="left"/>
                    <w:rPr>
                      <w:bCs/>
                      <w:sz w:val="18"/>
                      <w:szCs w:val="18"/>
                      <w:lang w:eastAsia="en-GB"/>
                    </w:rPr>
                  </w:pPr>
                  <w:r w:rsidRPr="0006129B">
                    <w:rPr>
                      <w:bCs/>
                      <w:sz w:val="18"/>
                      <w:szCs w:val="18"/>
                      <w:lang w:eastAsia="en-GB"/>
                    </w:rPr>
                    <w:t>-</w:t>
                  </w:r>
                  <w:r w:rsidR="00C14169">
                    <w:rPr>
                      <w:bCs/>
                      <w:sz w:val="18"/>
                      <w:szCs w:val="18"/>
                      <w:lang w:eastAsia="en-GB"/>
                    </w:rPr>
                    <w:t xml:space="preserve"> </w:t>
                  </w:r>
                  <w:r w:rsidRPr="0006129B">
                    <w:rPr>
                      <w:bCs/>
                      <w:sz w:val="18"/>
                      <w:szCs w:val="18"/>
                      <w:lang w:eastAsia="en-GB"/>
                    </w:rPr>
                    <w:t>The shareholders of Peatinvest</w:t>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2.4</w:t>
                  </w:r>
                </w:p>
              </w:tc>
              <w:tc>
                <w:tcPr>
                  <w:tcW w:w="1223" w:type="dxa"/>
                </w:tcPr>
                <w:p w:rsidR="00304A20" w:rsidRPr="0006129B" w:rsidRDefault="00304A20" w:rsidP="00304A20">
                  <w:pPr>
                    <w:tabs>
                      <w:tab w:val="right" w:pos="720"/>
                      <w:tab w:val="decimal" w:pos="760"/>
                    </w:tabs>
                    <w:spacing w:before="0" w:after="0"/>
                    <w:jc w:val="right"/>
                    <w:rPr>
                      <w:sz w:val="18"/>
                      <w:szCs w:val="18"/>
                    </w:rPr>
                  </w:pPr>
                  <w:r w:rsidRPr="0006129B">
                    <w:rPr>
                      <w:sz w:val="18"/>
                      <w:szCs w:val="18"/>
                    </w:rPr>
                    <w:t>1.6</w:t>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1.0</w:t>
                  </w:r>
                </w:p>
              </w:tc>
            </w:tr>
            <w:tr w:rsidR="00304A20" w:rsidRPr="00EA40E9" w:rsidTr="00404820">
              <w:trPr>
                <w:trHeight w:val="465"/>
              </w:trPr>
              <w:tc>
                <w:tcPr>
                  <w:tcW w:w="4144" w:type="dxa"/>
                </w:tcPr>
                <w:p w:rsidR="00304A20" w:rsidRPr="0006129B" w:rsidRDefault="00304A20" w:rsidP="00304A20">
                  <w:pPr>
                    <w:spacing w:before="0" w:after="0"/>
                    <w:jc w:val="left"/>
                    <w:rPr>
                      <w:bCs/>
                      <w:sz w:val="18"/>
                      <w:szCs w:val="18"/>
                      <w:lang w:eastAsia="en-GB"/>
                    </w:rPr>
                  </w:pPr>
                  <w:r w:rsidRPr="0006129B">
                    <w:rPr>
                      <w:bCs/>
                      <w:sz w:val="18"/>
                      <w:szCs w:val="18"/>
                      <w:lang w:eastAsia="en-GB"/>
                    </w:rPr>
                    <w:t>-</w:t>
                  </w:r>
                  <w:r w:rsidR="00C14169">
                    <w:rPr>
                      <w:bCs/>
                      <w:sz w:val="18"/>
                      <w:szCs w:val="18"/>
                      <w:lang w:eastAsia="en-GB"/>
                    </w:rPr>
                    <w:t xml:space="preserve"> </w:t>
                  </w:r>
                  <w:r w:rsidRPr="0006129B">
                    <w:rPr>
                      <w:bCs/>
                      <w:sz w:val="18"/>
                      <w:szCs w:val="18"/>
                      <w:lang w:eastAsia="en-GB"/>
                    </w:rPr>
                    <w:t>Non-controlling interest</w:t>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w:t>
                  </w:r>
                </w:p>
              </w:tc>
              <w:tc>
                <w:tcPr>
                  <w:tcW w:w="1223" w:type="dxa"/>
                </w:tcPr>
                <w:p w:rsidR="00304A20" w:rsidRPr="0006129B" w:rsidRDefault="00304A20" w:rsidP="00304A20">
                  <w:pPr>
                    <w:tabs>
                      <w:tab w:val="right" w:pos="720"/>
                      <w:tab w:val="decimal" w:pos="760"/>
                    </w:tabs>
                    <w:spacing w:before="0" w:after="0"/>
                    <w:jc w:val="right"/>
                    <w:rPr>
                      <w:sz w:val="18"/>
                      <w:szCs w:val="18"/>
                    </w:rPr>
                  </w:pPr>
                  <w:r w:rsidRPr="0006129B">
                    <w:rPr>
                      <w:sz w:val="18"/>
                      <w:szCs w:val="18"/>
                    </w:rPr>
                    <w:t>-</w:t>
                  </w:r>
                </w:p>
              </w:tc>
              <w:tc>
                <w:tcPr>
                  <w:tcW w:w="1223" w:type="dxa"/>
                  <w:noWrap/>
                </w:tcPr>
                <w:p w:rsidR="00304A20" w:rsidRPr="0006129B" w:rsidRDefault="00304A20" w:rsidP="00304A20">
                  <w:pPr>
                    <w:tabs>
                      <w:tab w:val="right" w:pos="720"/>
                      <w:tab w:val="decimal" w:pos="760"/>
                    </w:tabs>
                    <w:spacing w:before="0" w:after="0"/>
                    <w:jc w:val="right"/>
                    <w:rPr>
                      <w:sz w:val="18"/>
                      <w:szCs w:val="18"/>
                    </w:rPr>
                  </w:pPr>
                  <w:r w:rsidRPr="0006129B">
                    <w:rPr>
                      <w:sz w:val="18"/>
                      <w:szCs w:val="18"/>
                    </w:rPr>
                    <w:t>-</w:t>
                  </w:r>
                </w:p>
              </w:tc>
            </w:tr>
          </w:tbl>
          <w:p w:rsidR="00A431F0" w:rsidRPr="00EA40E9" w:rsidRDefault="00A431F0" w:rsidP="00EA40E9">
            <w:pPr>
              <w:rPr>
                <w:i/>
                <w:szCs w:val="20"/>
              </w:rPr>
            </w:pPr>
            <w:r w:rsidRPr="00EA40E9">
              <w:rPr>
                <w:i/>
                <w:szCs w:val="20"/>
              </w:rPr>
              <w:t>Statement of financial position as per 30 September 2014, 30 September 2013 and</w:t>
            </w:r>
            <w:r w:rsidR="00C14169">
              <w:rPr>
                <w:i/>
                <w:szCs w:val="20"/>
              </w:rPr>
              <w:t xml:space="preserve"> </w:t>
            </w:r>
            <w:r w:rsidRPr="00EA40E9">
              <w:rPr>
                <w:i/>
                <w:szCs w:val="20"/>
              </w:rPr>
              <w:t>30 September 2012</w:t>
            </w:r>
          </w:p>
          <w:tbl>
            <w:tblPr>
              <w:tblW w:w="4881" w:type="pct"/>
              <w:tblLayout w:type="fixed"/>
              <w:tblLook w:val="0000" w:firstRow="0" w:lastRow="0" w:firstColumn="0" w:lastColumn="0" w:noHBand="0" w:noVBand="0"/>
            </w:tblPr>
            <w:tblGrid>
              <w:gridCol w:w="4145"/>
              <w:gridCol w:w="1245"/>
              <w:gridCol w:w="1245"/>
              <w:gridCol w:w="1243"/>
            </w:tblGrid>
            <w:tr w:rsidR="00A431F0" w:rsidRPr="00A431F0" w:rsidTr="00404820">
              <w:tc>
                <w:tcPr>
                  <w:tcW w:w="2631" w:type="pct"/>
                  <w:vAlign w:val="center"/>
                </w:tcPr>
                <w:p w:rsidR="00A431F0" w:rsidRPr="00A431F0" w:rsidRDefault="00A431F0" w:rsidP="00A431F0">
                  <w:pPr>
                    <w:keepNext/>
                    <w:spacing w:before="0" w:after="0"/>
                    <w:ind w:left="240" w:hanging="240"/>
                    <w:jc w:val="left"/>
                    <w:rPr>
                      <w:bCs/>
                      <w:i/>
                      <w:sz w:val="18"/>
                      <w:szCs w:val="18"/>
                    </w:rPr>
                  </w:pPr>
                </w:p>
                <w:p w:rsidR="00A431F0" w:rsidRPr="00A431F0" w:rsidRDefault="00A431F0" w:rsidP="00A431F0">
                  <w:pPr>
                    <w:keepNext/>
                    <w:spacing w:before="0" w:after="0"/>
                    <w:ind w:left="240" w:hanging="240"/>
                    <w:jc w:val="left"/>
                    <w:rPr>
                      <w:bCs/>
                      <w:i/>
                      <w:sz w:val="18"/>
                      <w:szCs w:val="18"/>
                    </w:rPr>
                  </w:pPr>
                  <w:r w:rsidRPr="00A431F0">
                    <w:rPr>
                      <w:bCs/>
                      <w:i/>
                      <w:sz w:val="18"/>
                      <w:szCs w:val="18"/>
                    </w:rPr>
                    <w:t>(EUR in millions)</w:t>
                  </w:r>
                </w:p>
              </w:tc>
              <w:tc>
                <w:tcPr>
                  <w:tcW w:w="790" w:type="pct"/>
                  <w:vAlign w:val="bottom"/>
                </w:tcPr>
                <w:p w:rsidR="00A431F0" w:rsidRPr="00A431F0" w:rsidRDefault="00A431F0" w:rsidP="00404820">
                  <w:pPr>
                    <w:pBdr>
                      <w:bottom w:val="single" w:sz="4" w:space="1" w:color="auto"/>
                    </w:pBdr>
                    <w:spacing w:before="0" w:after="0"/>
                    <w:ind w:left="-110"/>
                    <w:jc w:val="center"/>
                    <w:rPr>
                      <w:sz w:val="18"/>
                      <w:szCs w:val="18"/>
                    </w:rPr>
                  </w:pPr>
                  <w:r w:rsidRPr="00A431F0">
                    <w:rPr>
                      <w:b/>
                      <w:bCs/>
                      <w:sz w:val="18"/>
                      <w:szCs w:val="18"/>
                    </w:rPr>
                    <w:t>30 September 2014</w:t>
                  </w:r>
                </w:p>
              </w:tc>
              <w:tc>
                <w:tcPr>
                  <w:tcW w:w="790" w:type="pct"/>
                </w:tcPr>
                <w:p w:rsidR="00404820" w:rsidRDefault="00404820" w:rsidP="00A431F0">
                  <w:pPr>
                    <w:pBdr>
                      <w:bottom w:val="single" w:sz="4" w:space="1" w:color="auto"/>
                    </w:pBdr>
                    <w:spacing w:before="0" w:after="0"/>
                    <w:ind w:right="-150"/>
                    <w:jc w:val="center"/>
                    <w:rPr>
                      <w:b/>
                      <w:bCs/>
                      <w:sz w:val="18"/>
                      <w:szCs w:val="18"/>
                    </w:rPr>
                  </w:pPr>
                </w:p>
                <w:p w:rsidR="00A431F0" w:rsidRPr="00A431F0" w:rsidRDefault="00A431F0" w:rsidP="00A431F0">
                  <w:pPr>
                    <w:pBdr>
                      <w:bottom w:val="single" w:sz="4" w:space="1" w:color="auto"/>
                    </w:pBdr>
                    <w:spacing w:before="0" w:after="0"/>
                    <w:ind w:right="-150"/>
                    <w:jc w:val="center"/>
                    <w:rPr>
                      <w:b/>
                      <w:bCs/>
                      <w:sz w:val="18"/>
                      <w:szCs w:val="18"/>
                    </w:rPr>
                  </w:pPr>
                  <w:r w:rsidRPr="00A431F0">
                    <w:rPr>
                      <w:b/>
                      <w:bCs/>
                      <w:sz w:val="18"/>
                      <w:szCs w:val="18"/>
                    </w:rPr>
                    <w:t>30 September</w:t>
                  </w:r>
                  <w:r w:rsidRPr="00A431F0">
                    <w:rPr>
                      <w:b/>
                      <w:bCs/>
                      <w:sz w:val="18"/>
                      <w:szCs w:val="18"/>
                    </w:rPr>
                    <w:br/>
                    <w:t>2013</w:t>
                  </w:r>
                </w:p>
              </w:tc>
              <w:tc>
                <w:tcPr>
                  <w:tcW w:w="789" w:type="pct"/>
                  <w:vAlign w:val="bottom"/>
                </w:tcPr>
                <w:p w:rsidR="00A431F0" w:rsidRPr="00A431F0" w:rsidRDefault="00A431F0" w:rsidP="00404820">
                  <w:pPr>
                    <w:pBdr>
                      <w:bottom w:val="single" w:sz="4" w:space="1" w:color="auto"/>
                    </w:pBdr>
                    <w:spacing w:before="0" w:after="0"/>
                    <w:ind w:left="-46"/>
                    <w:jc w:val="center"/>
                    <w:rPr>
                      <w:sz w:val="18"/>
                      <w:szCs w:val="18"/>
                    </w:rPr>
                  </w:pPr>
                  <w:r w:rsidRPr="00A431F0">
                    <w:rPr>
                      <w:b/>
                      <w:bCs/>
                      <w:sz w:val="18"/>
                      <w:szCs w:val="18"/>
                    </w:rPr>
                    <w:t>30 September</w:t>
                  </w:r>
                  <w:r w:rsidRPr="00A431F0">
                    <w:rPr>
                      <w:b/>
                      <w:bCs/>
                      <w:sz w:val="18"/>
                      <w:szCs w:val="18"/>
                    </w:rPr>
                    <w:br/>
                    <w:t>2012</w:t>
                  </w:r>
                </w:p>
              </w:tc>
            </w:tr>
            <w:tr w:rsidR="00A431F0" w:rsidRPr="00A431F0" w:rsidTr="00404820">
              <w:trPr>
                <w:trHeight w:val="332"/>
              </w:trPr>
              <w:tc>
                <w:tcPr>
                  <w:tcW w:w="2631" w:type="pct"/>
                </w:tcPr>
                <w:p w:rsidR="00A431F0" w:rsidRPr="00A431F0" w:rsidRDefault="00A431F0" w:rsidP="00A431F0">
                  <w:pPr>
                    <w:keepNext/>
                    <w:spacing w:before="0" w:after="0"/>
                    <w:rPr>
                      <w:b/>
                      <w:bCs/>
                      <w:sz w:val="18"/>
                      <w:szCs w:val="18"/>
                    </w:rPr>
                  </w:pPr>
                  <w:r w:rsidRPr="00A431F0">
                    <w:rPr>
                      <w:b/>
                      <w:bCs/>
                      <w:sz w:val="18"/>
                      <w:szCs w:val="18"/>
                    </w:rPr>
                    <w:t>ASSETS</w:t>
                  </w:r>
                </w:p>
              </w:tc>
              <w:tc>
                <w:tcPr>
                  <w:tcW w:w="790" w:type="pct"/>
                </w:tcPr>
                <w:p w:rsidR="00A431F0" w:rsidRPr="00A431F0" w:rsidRDefault="00A431F0" w:rsidP="00A431F0">
                  <w:pPr>
                    <w:spacing w:before="0" w:after="0" w:line="40" w:lineRule="exact"/>
                    <w:jc w:val="right"/>
                    <w:rPr>
                      <w:sz w:val="18"/>
                      <w:szCs w:val="18"/>
                    </w:rPr>
                  </w:pPr>
                  <w:r w:rsidRPr="00A431F0">
                    <w:rPr>
                      <w:sz w:val="18"/>
                      <w:szCs w:val="18"/>
                    </w:rPr>
                    <w:t> </w:t>
                  </w:r>
                </w:p>
              </w:tc>
              <w:tc>
                <w:tcPr>
                  <w:tcW w:w="790" w:type="pct"/>
                </w:tcPr>
                <w:p w:rsidR="00A431F0" w:rsidRPr="00A431F0" w:rsidRDefault="00A431F0" w:rsidP="00A431F0">
                  <w:pPr>
                    <w:spacing w:before="0" w:after="0" w:line="40" w:lineRule="exact"/>
                    <w:jc w:val="right"/>
                    <w:rPr>
                      <w:sz w:val="18"/>
                      <w:szCs w:val="18"/>
                    </w:rPr>
                  </w:pPr>
                </w:p>
              </w:tc>
              <w:tc>
                <w:tcPr>
                  <w:tcW w:w="789" w:type="pct"/>
                </w:tcPr>
                <w:p w:rsidR="00A431F0" w:rsidRPr="00A431F0" w:rsidRDefault="00A431F0" w:rsidP="00A431F0">
                  <w:pPr>
                    <w:spacing w:before="0" w:after="0" w:line="40" w:lineRule="exact"/>
                    <w:jc w:val="right"/>
                    <w:rPr>
                      <w:sz w:val="18"/>
                      <w:szCs w:val="18"/>
                    </w:rPr>
                  </w:pPr>
                  <w:r w:rsidRPr="00A431F0">
                    <w:rPr>
                      <w:sz w:val="18"/>
                      <w:szCs w:val="18"/>
                    </w:rPr>
                    <w:t> </w:t>
                  </w:r>
                </w:p>
              </w:tc>
            </w:tr>
            <w:tr w:rsidR="00A431F0" w:rsidRPr="00A431F0" w:rsidTr="00404820">
              <w:tc>
                <w:tcPr>
                  <w:tcW w:w="2631" w:type="pct"/>
                </w:tcPr>
                <w:p w:rsidR="00A431F0" w:rsidRPr="00A431F0" w:rsidRDefault="00A431F0" w:rsidP="00404820">
                  <w:pPr>
                    <w:tabs>
                      <w:tab w:val="right" w:leader="dot" w:pos="5160"/>
                    </w:tabs>
                    <w:spacing w:before="0" w:after="0"/>
                    <w:rPr>
                      <w:sz w:val="18"/>
                      <w:szCs w:val="18"/>
                    </w:rPr>
                  </w:pPr>
                  <w:r w:rsidRPr="00A431F0">
                    <w:t>Formation expenses</w:t>
                  </w:r>
                  <w:r w:rsidRPr="00A431F0">
                    <w:rPr>
                      <w:sz w:val="18"/>
                      <w:szCs w:val="18"/>
                    </w:rPr>
                    <w:tab/>
                  </w:r>
                </w:p>
              </w:tc>
              <w:tc>
                <w:tcPr>
                  <w:tcW w:w="790" w:type="pct"/>
                  <w:noWrap/>
                </w:tcPr>
                <w:p w:rsidR="00A431F0" w:rsidRPr="00A431F0" w:rsidRDefault="00A431F0" w:rsidP="00404820">
                  <w:pPr>
                    <w:tabs>
                      <w:tab w:val="right" w:pos="720"/>
                      <w:tab w:val="decimal" w:pos="760"/>
                    </w:tabs>
                    <w:spacing w:before="0" w:after="0"/>
                    <w:jc w:val="right"/>
                    <w:rPr>
                      <w:bCs/>
                      <w:sz w:val="18"/>
                      <w:szCs w:val="18"/>
                    </w:rPr>
                  </w:pPr>
                  <w:r w:rsidRPr="00A431F0">
                    <w:rPr>
                      <w:bCs/>
                      <w:sz w:val="18"/>
                      <w:szCs w:val="18"/>
                    </w:rPr>
                    <w:t>0.2</w:t>
                  </w:r>
                </w:p>
              </w:tc>
              <w:tc>
                <w:tcPr>
                  <w:tcW w:w="790" w:type="pct"/>
                </w:tcPr>
                <w:p w:rsidR="00A431F0" w:rsidRPr="00A431F0" w:rsidRDefault="00A431F0" w:rsidP="00404820">
                  <w:pPr>
                    <w:tabs>
                      <w:tab w:val="right" w:pos="720"/>
                      <w:tab w:val="decimal" w:pos="760"/>
                    </w:tabs>
                    <w:spacing w:before="0" w:after="0"/>
                    <w:jc w:val="right"/>
                    <w:rPr>
                      <w:bCs/>
                      <w:sz w:val="18"/>
                      <w:szCs w:val="18"/>
                    </w:rPr>
                  </w:pPr>
                  <w:r w:rsidRPr="00A431F0">
                    <w:rPr>
                      <w:bCs/>
                      <w:sz w:val="18"/>
                      <w:szCs w:val="18"/>
                    </w:rPr>
                    <w:t>0.4</w:t>
                  </w:r>
                </w:p>
              </w:tc>
              <w:tc>
                <w:tcPr>
                  <w:tcW w:w="789" w:type="pct"/>
                  <w:noWrap/>
                </w:tcPr>
                <w:p w:rsidR="00A431F0" w:rsidRPr="00A431F0" w:rsidRDefault="00A431F0" w:rsidP="00404820">
                  <w:pPr>
                    <w:tabs>
                      <w:tab w:val="right" w:pos="720"/>
                      <w:tab w:val="decimal" w:pos="760"/>
                    </w:tabs>
                    <w:spacing w:before="0" w:after="0"/>
                    <w:jc w:val="right"/>
                    <w:rPr>
                      <w:sz w:val="18"/>
                      <w:szCs w:val="18"/>
                    </w:rPr>
                  </w:pPr>
                  <w:r w:rsidRPr="00A431F0">
                    <w:rPr>
                      <w:sz w:val="18"/>
                      <w:szCs w:val="18"/>
                    </w:rPr>
                    <w:t>0.3</w:t>
                  </w:r>
                </w:p>
              </w:tc>
            </w:tr>
            <w:tr w:rsidR="00A431F0" w:rsidRPr="00A431F0" w:rsidTr="00404820">
              <w:tc>
                <w:tcPr>
                  <w:tcW w:w="2631" w:type="pct"/>
                </w:tcPr>
                <w:p w:rsidR="00A431F0" w:rsidRPr="00A431F0" w:rsidRDefault="00A431F0" w:rsidP="00404820">
                  <w:pPr>
                    <w:tabs>
                      <w:tab w:val="right" w:leader="dot" w:pos="5160"/>
                    </w:tabs>
                    <w:spacing w:before="0" w:after="0"/>
                    <w:ind w:left="240" w:hanging="240"/>
                    <w:rPr>
                      <w:sz w:val="18"/>
                      <w:szCs w:val="18"/>
                    </w:rPr>
                  </w:pPr>
                  <w:r w:rsidRPr="00A431F0">
                    <w:rPr>
                      <w:sz w:val="18"/>
                      <w:szCs w:val="18"/>
                    </w:rPr>
                    <w:t>Intangible fixed assets</w:t>
                  </w:r>
                  <w:r w:rsidRPr="00A431F0">
                    <w:rPr>
                      <w:sz w:val="18"/>
                      <w:szCs w:val="18"/>
                    </w:rPr>
                    <w:tab/>
                  </w:r>
                </w:p>
              </w:tc>
              <w:tc>
                <w:tcPr>
                  <w:tcW w:w="790" w:type="pct"/>
                  <w:noWrap/>
                </w:tcPr>
                <w:p w:rsidR="00A431F0" w:rsidRPr="00A431F0" w:rsidRDefault="00A431F0" w:rsidP="00404820">
                  <w:pPr>
                    <w:tabs>
                      <w:tab w:val="right" w:pos="720"/>
                      <w:tab w:val="decimal" w:pos="760"/>
                    </w:tabs>
                    <w:spacing w:before="0" w:after="0"/>
                    <w:jc w:val="right"/>
                    <w:rPr>
                      <w:bCs/>
                      <w:sz w:val="18"/>
                      <w:szCs w:val="18"/>
                    </w:rPr>
                  </w:pPr>
                  <w:r w:rsidRPr="00A431F0">
                    <w:rPr>
                      <w:bCs/>
                      <w:sz w:val="18"/>
                      <w:szCs w:val="18"/>
                    </w:rPr>
                    <w:t>0.3</w:t>
                  </w:r>
                </w:p>
              </w:tc>
              <w:tc>
                <w:tcPr>
                  <w:tcW w:w="790" w:type="pct"/>
                </w:tcPr>
                <w:p w:rsidR="00A431F0" w:rsidRPr="00A431F0" w:rsidRDefault="00A431F0" w:rsidP="00404820">
                  <w:pPr>
                    <w:tabs>
                      <w:tab w:val="right" w:pos="720"/>
                      <w:tab w:val="decimal" w:pos="760"/>
                    </w:tabs>
                    <w:spacing w:before="0" w:after="0"/>
                    <w:jc w:val="right"/>
                    <w:rPr>
                      <w:bCs/>
                      <w:sz w:val="18"/>
                      <w:szCs w:val="18"/>
                    </w:rPr>
                  </w:pPr>
                  <w:r w:rsidRPr="00A431F0">
                    <w:rPr>
                      <w:bCs/>
                      <w:sz w:val="18"/>
                      <w:szCs w:val="18"/>
                    </w:rPr>
                    <w:t>0.3</w:t>
                  </w:r>
                </w:p>
              </w:tc>
              <w:tc>
                <w:tcPr>
                  <w:tcW w:w="789" w:type="pct"/>
                  <w:noWrap/>
                </w:tcPr>
                <w:p w:rsidR="00A431F0" w:rsidRPr="00A431F0" w:rsidRDefault="00A431F0" w:rsidP="00404820">
                  <w:pPr>
                    <w:tabs>
                      <w:tab w:val="right" w:pos="720"/>
                      <w:tab w:val="decimal" w:pos="760"/>
                    </w:tabs>
                    <w:spacing w:before="0" w:after="0"/>
                    <w:jc w:val="right"/>
                    <w:rPr>
                      <w:sz w:val="18"/>
                      <w:szCs w:val="18"/>
                    </w:rPr>
                  </w:pPr>
                  <w:r w:rsidRPr="00A431F0">
                    <w:rPr>
                      <w:sz w:val="18"/>
                      <w:szCs w:val="18"/>
                    </w:rPr>
                    <w:t>0.3</w:t>
                  </w:r>
                </w:p>
              </w:tc>
            </w:tr>
            <w:tr w:rsidR="00A431F0" w:rsidRPr="00A431F0" w:rsidTr="00404820">
              <w:trPr>
                <w:trHeight w:val="215"/>
              </w:trPr>
              <w:tc>
                <w:tcPr>
                  <w:tcW w:w="2631" w:type="pct"/>
                </w:tcPr>
                <w:p w:rsidR="00A431F0" w:rsidRPr="00A431F0" w:rsidRDefault="00A431F0" w:rsidP="00404820">
                  <w:pPr>
                    <w:tabs>
                      <w:tab w:val="right" w:leader="dot" w:pos="5160"/>
                    </w:tabs>
                    <w:spacing w:before="0" w:after="0"/>
                    <w:ind w:left="240" w:hanging="240"/>
                    <w:rPr>
                      <w:sz w:val="18"/>
                      <w:szCs w:val="18"/>
                    </w:rPr>
                  </w:pPr>
                  <w:r w:rsidRPr="00A431F0">
                    <w:rPr>
                      <w:sz w:val="18"/>
                      <w:szCs w:val="18"/>
                    </w:rPr>
                    <w:t>Goodwill</w:t>
                  </w:r>
                  <w:r w:rsidRPr="00A431F0">
                    <w:rPr>
                      <w:sz w:val="18"/>
                      <w:szCs w:val="18"/>
                    </w:rPr>
                    <w:tab/>
                  </w:r>
                </w:p>
                <w:p w:rsidR="00A431F0" w:rsidRPr="00A431F0" w:rsidRDefault="00A431F0" w:rsidP="00404820">
                  <w:pPr>
                    <w:spacing w:before="0" w:after="0" w:line="40" w:lineRule="exact"/>
                    <w:rPr>
                      <w:noProof/>
                      <w:sz w:val="18"/>
                      <w:szCs w:val="18"/>
                      <w:lang w:val="en-US"/>
                    </w:rPr>
                  </w:pPr>
                  <w:r w:rsidRPr="00A431F0">
                    <w:rPr>
                      <w:sz w:val="18"/>
                      <w:szCs w:val="18"/>
                    </w:rPr>
                    <w:t> </w:t>
                  </w:r>
                </w:p>
              </w:tc>
              <w:tc>
                <w:tcPr>
                  <w:tcW w:w="790" w:type="pct"/>
                  <w:noWrap/>
                </w:tcPr>
                <w:p w:rsidR="00A431F0" w:rsidRPr="00A431F0" w:rsidRDefault="00A431F0" w:rsidP="00404820">
                  <w:pPr>
                    <w:tabs>
                      <w:tab w:val="right" w:pos="720"/>
                      <w:tab w:val="decimal" w:pos="760"/>
                    </w:tabs>
                    <w:spacing w:before="0" w:after="0"/>
                    <w:jc w:val="right"/>
                    <w:rPr>
                      <w:sz w:val="18"/>
                      <w:szCs w:val="18"/>
                    </w:rPr>
                  </w:pPr>
                  <w:r w:rsidRPr="00A431F0">
                    <w:rPr>
                      <w:sz w:val="18"/>
                      <w:szCs w:val="18"/>
                    </w:rPr>
                    <w:t>0.2</w:t>
                  </w:r>
                </w:p>
              </w:tc>
              <w:tc>
                <w:tcPr>
                  <w:tcW w:w="790" w:type="pct"/>
                </w:tcPr>
                <w:p w:rsidR="00A431F0" w:rsidRPr="00A431F0" w:rsidRDefault="00A431F0" w:rsidP="00404820">
                  <w:pPr>
                    <w:tabs>
                      <w:tab w:val="right" w:pos="720"/>
                      <w:tab w:val="decimal" w:pos="760"/>
                    </w:tabs>
                    <w:spacing w:before="0" w:after="0"/>
                    <w:jc w:val="right"/>
                    <w:rPr>
                      <w:sz w:val="18"/>
                      <w:szCs w:val="18"/>
                    </w:rPr>
                  </w:pPr>
                  <w:r w:rsidRPr="00A431F0">
                    <w:rPr>
                      <w:sz w:val="18"/>
                      <w:szCs w:val="18"/>
                    </w:rPr>
                    <w:t>0.3</w:t>
                  </w:r>
                </w:p>
              </w:tc>
              <w:tc>
                <w:tcPr>
                  <w:tcW w:w="789" w:type="pct"/>
                  <w:noWrap/>
                </w:tcPr>
                <w:p w:rsidR="00A431F0" w:rsidRPr="00A431F0" w:rsidRDefault="00A431F0" w:rsidP="00404820">
                  <w:pPr>
                    <w:tabs>
                      <w:tab w:val="right" w:pos="720"/>
                      <w:tab w:val="decimal" w:pos="760"/>
                    </w:tabs>
                    <w:spacing w:before="0" w:after="0"/>
                    <w:jc w:val="right"/>
                    <w:rPr>
                      <w:sz w:val="18"/>
                      <w:szCs w:val="18"/>
                    </w:rPr>
                  </w:pPr>
                  <w:r w:rsidRPr="00A431F0">
                    <w:rPr>
                      <w:sz w:val="18"/>
                      <w:szCs w:val="18"/>
                    </w:rPr>
                    <w:t>0.1</w:t>
                  </w:r>
                </w:p>
              </w:tc>
            </w:tr>
            <w:tr w:rsidR="00A431F0" w:rsidRPr="00A431F0" w:rsidTr="00404820">
              <w:tc>
                <w:tcPr>
                  <w:tcW w:w="2631" w:type="pct"/>
                </w:tcPr>
                <w:p w:rsidR="00A431F0" w:rsidRPr="00A431F0" w:rsidRDefault="00A431F0" w:rsidP="00404820">
                  <w:pPr>
                    <w:tabs>
                      <w:tab w:val="right" w:leader="dot" w:pos="5160"/>
                    </w:tabs>
                    <w:spacing w:before="0" w:after="0"/>
                    <w:ind w:left="240" w:hanging="240"/>
                    <w:rPr>
                      <w:sz w:val="18"/>
                      <w:szCs w:val="18"/>
                    </w:rPr>
                  </w:pPr>
                  <w:r w:rsidRPr="00A431F0">
                    <w:rPr>
                      <w:sz w:val="18"/>
                      <w:szCs w:val="18"/>
                    </w:rPr>
                    <w:t>Tangible fixed assets</w:t>
                  </w:r>
                  <w:r w:rsidRPr="00A431F0">
                    <w:rPr>
                      <w:sz w:val="18"/>
                      <w:szCs w:val="18"/>
                    </w:rPr>
                    <w:tab/>
                  </w:r>
                </w:p>
              </w:tc>
              <w:tc>
                <w:tcPr>
                  <w:tcW w:w="790" w:type="pct"/>
                  <w:noWrap/>
                </w:tcPr>
                <w:p w:rsidR="00A431F0" w:rsidRPr="00A431F0" w:rsidRDefault="00A431F0" w:rsidP="00404820">
                  <w:pPr>
                    <w:tabs>
                      <w:tab w:val="right" w:pos="720"/>
                      <w:tab w:val="decimal" w:pos="760"/>
                    </w:tabs>
                    <w:spacing w:before="0" w:after="0"/>
                    <w:jc w:val="right"/>
                    <w:rPr>
                      <w:sz w:val="18"/>
                      <w:szCs w:val="18"/>
                    </w:rPr>
                  </w:pPr>
                  <w:r w:rsidRPr="00A431F0">
                    <w:rPr>
                      <w:sz w:val="18"/>
                      <w:szCs w:val="18"/>
                    </w:rPr>
                    <w:t>12.9</w:t>
                  </w:r>
                </w:p>
              </w:tc>
              <w:tc>
                <w:tcPr>
                  <w:tcW w:w="790" w:type="pct"/>
                </w:tcPr>
                <w:p w:rsidR="00A431F0" w:rsidRPr="00A431F0" w:rsidRDefault="00A431F0" w:rsidP="00404820">
                  <w:pPr>
                    <w:tabs>
                      <w:tab w:val="right" w:pos="720"/>
                      <w:tab w:val="decimal" w:pos="760"/>
                    </w:tabs>
                    <w:spacing w:before="0" w:after="0"/>
                    <w:jc w:val="right"/>
                    <w:rPr>
                      <w:sz w:val="18"/>
                      <w:szCs w:val="18"/>
                    </w:rPr>
                  </w:pPr>
                  <w:r w:rsidRPr="00A431F0">
                    <w:rPr>
                      <w:sz w:val="18"/>
                      <w:szCs w:val="18"/>
                    </w:rPr>
                    <w:t>13.5</w:t>
                  </w:r>
                </w:p>
              </w:tc>
              <w:tc>
                <w:tcPr>
                  <w:tcW w:w="789" w:type="pct"/>
                  <w:noWrap/>
                </w:tcPr>
                <w:p w:rsidR="00A431F0" w:rsidRPr="00A431F0" w:rsidRDefault="00A431F0" w:rsidP="00404820">
                  <w:pPr>
                    <w:tabs>
                      <w:tab w:val="right" w:pos="720"/>
                      <w:tab w:val="decimal" w:pos="760"/>
                    </w:tabs>
                    <w:spacing w:before="0" w:after="0"/>
                    <w:jc w:val="right"/>
                    <w:rPr>
                      <w:sz w:val="18"/>
                      <w:szCs w:val="18"/>
                    </w:rPr>
                  </w:pPr>
                  <w:r w:rsidRPr="00A431F0">
                    <w:rPr>
                      <w:sz w:val="18"/>
                      <w:szCs w:val="18"/>
                    </w:rPr>
                    <w:t>13.3</w:t>
                  </w:r>
                </w:p>
              </w:tc>
            </w:tr>
            <w:tr w:rsidR="00A431F0" w:rsidRPr="00A431F0" w:rsidTr="00404820">
              <w:tc>
                <w:tcPr>
                  <w:tcW w:w="2631" w:type="pct"/>
                </w:tcPr>
                <w:p w:rsidR="00A431F0" w:rsidRPr="00A431F0" w:rsidRDefault="00A431F0" w:rsidP="00404820">
                  <w:pPr>
                    <w:tabs>
                      <w:tab w:val="right" w:leader="dot" w:pos="5160"/>
                    </w:tabs>
                    <w:spacing w:before="0" w:after="0"/>
                    <w:ind w:left="240" w:hanging="240"/>
                    <w:rPr>
                      <w:sz w:val="18"/>
                      <w:szCs w:val="18"/>
                    </w:rPr>
                  </w:pPr>
                  <w:r w:rsidRPr="00A431F0">
                    <w:rPr>
                      <w:sz w:val="18"/>
                      <w:szCs w:val="18"/>
                    </w:rPr>
                    <w:t>Financial fixed assets</w:t>
                  </w:r>
                  <w:r w:rsidRPr="00A431F0">
                    <w:rPr>
                      <w:sz w:val="18"/>
                      <w:szCs w:val="18"/>
                    </w:rPr>
                    <w:tab/>
                  </w:r>
                </w:p>
              </w:tc>
              <w:tc>
                <w:tcPr>
                  <w:tcW w:w="790" w:type="pct"/>
                  <w:noWrap/>
                </w:tcPr>
                <w:p w:rsidR="00A431F0" w:rsidRPr="00A431F0" w:rsidRDefault="00A431F0" w:rsidP="00404820">
                  <w:pPr>
                    <w:tabs>
                      <w:tab w:val="right" w:pos="720"/>
                      <w:tab w:val="decimal" w:pos="760"/>
                    </w:tabs>
                    <w:spacing w:before="0" w:after="0"/>
                    <w:jc w:val="right"/>
                    <w:rPr>
                      <w:sz w:val="18"/>
                      <w:szCs w:val="18"/>
                    </w:rPr>
                  </w:pPr>
                  <w:r w:rsidRPr="00A431F0">
                    <w:rPr>
                      <w:sz w:val="18"/>
                      <w:szCs w:val="18"/>
                    </w:rPr>
                    <w:t>-</w:t>
                  </w:r>
                </w:p>
              </w:tc>
              <w:tc>
                <w:tcPr>
                  <w:tcW w:w="790" w:type="pct"/>
                </w:tcPr>
                <w:p w:rsidR="00A431F0" w:rsidRPr="00A431F0" w:rsidRDefault="00A431F0" w:rsidP="00404820">
                  <w:pPr>
                    <w:tabs>
                      <w:tab w:val="right" w:pos="720"/>
                      <w:tab w:val="decimal" w:pos="760"/>
                    </w:tabs>
                    <w:spacing w:before="0" w:after="0"/>
                    <w:jc w:val="right"/>
                    <w:rPr>
                      <w:sz w:val="18"/>
                      <w:szCs w:val="18"/>
                    </w:rPr>
                  </w:pPr>
                  <w:r w:rsidRPr="00A431F0">
                    <w:rPr>
                      <w:sz w:val="18"/>
                      <w:szCs w:val="18"/>
                    </w:rPr>
                    <w:t>-</w:t>
                  </w:r>
                </w:p>
              </w:tc>
              <w:tc>
                <w:tcPr>
                  <w:tcW w:w="789" w:type="pct"/>
                  <w:noWrap/>
                </w:tcPr>
                <w:p w:rsidR="00A431F0" w:rsidRPr="00A431F0" w:rsidRDefault="00A431F0" w:rsidP="00404820">
                  <w:pPr>
                    <w:tabs>
                      <w:tab w:val="right" w:pos="720"/>
                      <w:tab w:val="decimal" w:pos="760"/>
                    </w:tabs>
                    <w:spacing w:before="0" w:after="0"/>
                    <w:jc w:val="right"/>
                    <w:rPr>
                      <w:sz w:val="18"/>
                      <w:szCs w:val="18"/>
                    </w:rPr>
                  </w:pPr>
                  <w:r w:rsidRPr="00A431F0">
                    <w:rPr>
                      <w:sz w:val="18"/>
                      <w:szCs w:val="18"/>
                    </w:rPr>
                    <w:t>-</w:t>
                  </w:r>
                </w:p>
              </w:tc>
            </w:tr>
            <w:tr w:rsidR="00A431F0" w:rsidRPr="00A431F0" w:rsidTr="00404820">
              <w:tc>
                <w:tcPr>
                  <w:tcW w:w="2631" w:type="pct"/>
                </w:tcPr>
                <w:p w:rsidR="00A431F0" w:rsidRPr="00A431F0" w:rsidRDefault="00A431F0" w:rsidP="00404820">
                  <w:pPr>
                    <w:tabs>
                      <w:tab w:val="right" w:leader="dot" w:pos="5160"/>
                    </w:tabs>
                    <w:spacing w:before="0" w:after="0"/>
                    <w:ind w:left="240" w:hanging="240"/>
                    <w:rPr>
                      <w:sz w:val="18"/>
                      <w:szCs w:val="18"/>
                    </w:rPr>
                  </w:pPr>
                  <w:r w:rsidRPr="00A431F0">
                    <w:rPr>
                      <w:sz w:val="18"/>
                      <w:szCs w:val="18"/>
                    </w:rPr>
                    <w:t>Deferred tax assets</w:t>
                  </w:r>
                  <w:r w:rsidRPr="00A431F0">
                    <w:rPr>
                      <w:sz w:val="18"/>
                      <w:szCs w:val="18"/>
                    </w:rPr>
                    <w:tab/>
                  </w:r>
                  <w:r w:rsidRPr="00A431F0">
                    <w:rPr>
                      <w:sz w:val="18"/>
                      <w:szCs w:val="18"/>
                    </w:rPr>
                    <w:tab/>
                    <w:t>6.7</w:t>
                  </w:r>
                  <w:r w:rsidRPr="00A431F0">
                    <w:rPr>
                      <w:sz w:val="18"/>
                      <w:szCs w:val="18"/>
                    </w:rPr>
                    <w:tab/>
                    <w:t>8.9</w:t>
                  </w:r>
                  <w:r w:rsidRPr="00A431F0">
                    <w:rPr>
                      <w:sz w:val="18"/>
                      <w:szCs w:val="18"/>
                    </w:rPr>
                    <w:tab/>
                    <w:t>10.7</w:t>
                  </w:r>
                </w:p>
              </w:tc>
              <w:tc>
                <w:tcPr>
                  <w:tcW w:w="790" w:type="pct"/>
                  <w:noWrap/>
                </w:tcPr>
                <w:p w:rsidR="00A431F0" w:rsidRPr="00A431F0" w:rsidRDefault="00A431F0" w:rsidP="00404820">
                  <w:pPr>
                    <w:pBdr>
                      <w:bottom w:val="single" w:sz="4" w:space="1" w:color="auto"/>
                    </w:pBdr>
                    <w:tabs>
                      <w:tab w:val="right" w:pos="720"/>
                      <w:tab w:val="decimal" w:pos="760"/>
                    </w:tabs>
                    <w:spacing w:before="0" w:after="0"/>
                    <w:jc w:val="right"/>
                    <w:rPr>
                      <w:sz w:val="18"/>
                      <w:szCs w:val="18"/>
                    </w:rPr>
                  </w:pPr>
                  <w:r w:rsidRPr="00A431F0">
                    <w:rPr>
                      <w:sz w:val="18"/>
                      <w:szCs w:val="18"/>
                    </w:rPr>
                    <w:t>-</w:t>
                  </w:r>
                </w:p>
              </w:tc>
              <w:tc>
                <w:tcPr>
                  <w:tcW w:w="790" w:type="pct"/>
                </w:tcPr>
                <w:p w:rsidR="00A431F0" w:rsidRPr="00A431F0" w:rsidRDefault="00A431F0" w:rsidP="00404820">
                  <w:pPr>
                    <w:pBdr>
                      <w:bottom w:val="single" w:sz="4" w:space="1" w:color="auto"/>
                    </w:pBdr>
                    <w:tabs>
                      <w:tab w:val="right" w:pos="720"/>
                      <w:tab w:val="decimal" w:pos="760"/>
                    </w:tabs>
                    <w:spacing w:before="0" w:after="0"/>
                    <w:jc w:val="right"/>
                    <w:rPr>
                      <w:sz w:val="18"/>
                      <w:szCs w:val="18"/>
                    </w:rPr>
                  </w:pPr>
                  <w:r w:rsidRPr="00A431F0">
                    <w:rPr>
                      <w:sz w:val="18"/>
                      <w:szCs w:val="18"/>
                    </w:rPr>
                    <w:t>-</w:t>
                  </w:r>
                </w:p>
              </w:tc>
              <w:tc>
                <w:tcPr>
                  <w:tcW w:w="789" w:type="pct"/>
                  <w:noWrap/>
                </w:tcPr>
                <w:p w:rsidR="00A431F0" w:rsidRPr="00A431F0" w:rsidRDefault="00A431F0" w:rsidP="00404820">
                  <w:pPr>
                    <w:pBdr>
                      <w:bottom w:val="single" w:sz="4" w:space="1" w:color="auto"/>
                    </w:pBdr>
                    <w:tabs>
                      <w:tab w:val="right" w:pos="720"/>
                      <w:tab w:val="decimal" w:pos="760"/>
                    </w:tabs>
                    <w:spacing w:before="0" w:after="0"/>
                    <w:jc w:val="right"/>
                    <w:rPr>
                      <w:sz w:val="18"/>
                      <w:szCs w:val="18"/>
                    </w:rPr>
                  </w:pPr>
                  <w:r w:rsidRPr="00A431F0">
                    <w:rPr>
                      <w:sz w:val="18"/>
                      <w:szCs w:val="18"/>
                    </w:rPr>
                    <w:t>-</w:t>
                  </w:r>
                </w:p>
              </w:tc>
            </w:tr>
            <w:tr w:rsidR="00A431F0" w:rsidRPr="00A431F0" w:rsidTr="00404820">
              <w:tc>
                <w:tcPr>
                  <w:tcW w:w="2631" w:type="pct"/>
                </w:tcPr>
                <w:p w:rsidR="00A431F0" w:rsidRPr="00A431F0" w:rsidRDefault="00A431F0" w:rsidP="00404820">
                  <w:pPr>
                    <w:tabs>
                      <w:tab w:val="right" w:leader="dot" w:pos="5160"/>
                    </w:tabs>
                    <w:spacing w:before="0" w:after="0"/>
                    <w:ind w:left="240" w:hanging="240"/>
                    <w:rPr>
                      <w:b/>
                      <w:sz w:val="18"/>
                      <w:szCs w:val="18"/>
                    </w:rPr>
                  </w:pPr>
                  <w:r w:rsidRPr="00A431F0">
                    <w:rPr>
                      <w:b/>
                      <w:sz w:val="18"/>
                      <w:szCs w:val="18"/>
                    </w:rPr>
                    <w:t>Non-current assets</w:t>
                  </w:r>
                  <w:r w:rsidRPr="00A431F0">
                    <w:rPr>
                      <w:sz w:val="18"/>
                      <w:szCs w:val="18"/>
                    </w:rPr>
                    <w:tab/>
                  </w:r>
                </w:p>
              </w:tc>
              <w:tc>
                <w:tcPr>
                  <w:tcW w:w="790" w:type="pct"/>
                  <w:noWrap/>
                </w:tcPr>
                <w:p w:rsidR="00A431F0" w:rsidRPr="00A431F0" w:rsidRDefault="00A431F0" w:rsidP="00404820">
                  <w:pPr>
                    <w:tabs>
                      <w:tab w:val="right" w:pos="720"/>
                      <w:tab w:val="decimal" w:pos="760"/>
                    </w:tabs>
                    <w:spacing w:before="0" w:after="0"/>
                    <w:jc w:val="right"/>
                    <w:rPr>
                      <w:b/>
                      <w:sz w:val="18"/>
                      <w:szCs w:val="18"/>
                    </w:rPr>
                  </w:pPr>
                  <w:r w:rsidRPr="00A431F0">
                    <w:rPr>
                      <w:b/>
                      <w:sz w:val="18"/>
                      <w:szCs w:val="18"/>
                    </w:rPr>
                    <w:t>13.6</w:t>
                  </w:r>
                </w:p>
              </w:tc>
              <w:tc>
                <w:tcPr>
                  <w:tcW w:w="790" w:type="pct"/>
                </w:tcPr>
                <w:p w:rsidR="00A431F0" w:rsidRPr="00A431F0" w:rsidRDefault="00A431F0" w:rsidP="00404820">
                  <w:pPr>
                    <w:tabs>
                      <w:tab w:val="right" w:pos="720"/>
                      <w:tab w:val="decimal" w:pos="760"/>
                    </w:tabs>
                    <w:spacing w:before="0" w:after="0"/>
                    <w:jc w:val="right"/>
                    <w:rPr>
                      <w:b/>
                      <w:bCs/>
                      <w:sz w:val="18"/>
                      <w:szCs w:val="18"/>
                    </w:rPr>
                  </w:pPr>
                  <w:r w:rsidRPr="00A431F0">
                    <w:rPr>
                      <w:b/>
                      <w:bCs/>
                      <w:sz w:val="18"/>
                      <w:szCs w:val="18"/>
                    </w:rPr>
                    <w:t>14.5</w:t>
                  </w:r>
                </w:p>
              </w:tc>
              <w:tc>
                <w:tcPr>
                  <w:tcW w:w="789" w:type="pct"/>
                  <w:noWrap/>
                </w:tcPr>
                <w:p w:rsidR="00A431F0" w:rsidRPr="00A431F0" w:rsidRDefault="00A431F0" w:rsidP="00404820">
                  <w:pPr>
                    <w:tabs>
                      <w:tab w:val="right" w:pos="720"/>
                      <w:tab w:val="decimal" w:pos="760"/>
                    </w:tabs>
                    <w:spacing w:before="0" w:after="0"/>
                    <w:jc w:val="right"/>
                    <w:rPr>
                      <w:b/>
                      <w:sz w:val="18"/>
                      <w:szCs w:val="18"/>
                    </w:rPr>
                  </w:pPr>
                  <w:r w:rsidRPr="00A431F0">
                    <w:rPr>
                      <w:b/>
                      <w:sz w:val="18"/>
                      <w:szCs w:val="18"/>
                    </w:rPr>
                    <w:t>14.1</w:t>
                  </w:r>
                </w:p>
              </w:tc>
            </w:tr>
            <w:tr w:rsidR="00A431F0" w:rsidRPr="00A431F0" w:rsidTr="00404820">
              <w:trPr>
                <w:trHeight w:val="267"/>
              </w:trPr>
              <w:tc>
                <w:tcPr>
                  <w:tcW w:w="2631" w:type="pct"/>
                </w:tcPr>
                <w:p w:rsidR="00A431F0" w:rsidRPr="00A431F0" w:rsidRDefault="00A431F0" w:rsidP="00404820">
                  <w:pPr>
                    <w:tabs>
                      <w:tab w:val="right" w:leader="dot" w:pos="4962"/>
                    </w:tabs>
                    <w:spacing w:before="0" w:after="0"/>
                    <w:ind w:left="240" w:hanging="240"/>
                    <w:rPr>
                      <w:sz w:val="18"/>
                      <w:szCs w:val="18"/>
                    </w:rPr>
                  </w:pPr>
                  <w:r w:rsidRPr="00A431F0">
                    <w:rPr>
                      <w:sz w:val="18"/>
                      <w:szCs w:val="18"/>
                    </w:rPr>
                    <w:t>Inventories</w:t>
                  </w:r>
                  <w:r w:rsidRPr="00A431F0">
                    <w:rPr>
                      <w:sz w:val="18"/>
                      <w:szCs w:val="18"/>
                    </w:rPr>
                    <w:tab/>
                  </w:r>
                </w:p>
              </w:tc>
              <w:tc>
                <w:tcPr>
                  <w:tcW w:w="790" w:type="pct"/>
                  <w:noWrap/>
                </w:tcPr>
                <w:p w:rsidR="00A431F0" w:rsidRPr="00A431F0" w:rsidRDefault="00A431F0" w:rsidP="00404820">
                  <w:pPr>
                    <w:tabs>
                      <w:tab w:val="right" w:pos="720"/>
                      <w:tab w:val="decimal" w:pos="760"/>
                    </w:tabs>
                    <w:spacing w:before="0" w:after="0"/>
                    <w:jc w:val="right"/>
                    <w:rPr>
                      <w:sz w:val="18"/>
                      <w:szCs w:val="18"/>
                    </w:rPr>
                  </w:pPr>
                  <w:r w:rsidRPr="00A431F0">
                    <w:rPr>
                      <w:sz w:val="18"/>
                      <w:szCs w:val="18"/>
                    </w:rPr>
                    <w:t>9.7</w:t>
                  </w:r>
                </w:p>
              </w:tc>
              <w:tc>
                <w:tcPr>
                  <w:tcW w:w="790" w:type="pct"/>
                </w:tcPr>
                <w:p w:rsidR="00A431F0" w:rsidRPr="00A431F0" w:rsidRDefault="00A431F0" w:rsidP="00404820">
                  <w:pPr>
                    <w:tabs>
                      <w:tab w:val="right" w:pos="720"/>
                      <w:tab w:val="decimal" w:pos="760"/>
                    </w:tabs>
                    <w:spacing w:before="0" w:after="0"/>
                    <w:jc w:val="right"/>
                    <w:rPr>
                      <w:sz w:val="18"/>
                      <w:szCs w:val="18"/>
                    </w:rPr>
                  </w:pPr>
                  <w:r w:rsidRPr="00A431F0">
                    <w:rPr>
                      <w:sz w:val="18"/>
                      <w:szCs w:val="18"/>
                    </w:rPr>
                    <w:t>10.5</w:t>
                  </w:r>
                </w:p>
              </w:tc>
              <w:tc>
                <w:tcPr>
                  <w:tcW w:w="789" w:type="pct"/>
                  <w:noWrap/>
                </w:tcPr>
                <w:p w:rsidR="00A431F0" w:rsidRPr="00A431F0" w:rsidRDefault="00A431F0" w:rsidP="00404820">
                  <w:pPr>
                    <w:tabs>
                      <w:tab w:val="right" w:pos="720"/>
                      <w:tab w:val="decimal" w:pos="760"/>
                    </w:tabs>
                    <w:spacing w:before="0" w:after="0"/>
                    <w:jc w:val="right"/>
                    <w:rPr>
                      <w:sz w:val="18"/>
                      <w:szCs w:val="18"/>
                    </w:rPr>
                  </w:pPr>
                  <w:r w:rsidRPr="00A431F0">
                    <w:rPr>
                      <w:sz w:val="18"/>
                      <w:szCs w:val="18"/>
                    </w:rPr>
                    <w:t>9.8</w:t>
                  </w:r>
                </w:p>
              </w:tc>
            </w:tr>
            <w:tr w:rsidR="00A431F0" w:rsidRPr="00A431F0" w:rsidTr="00404820">
              <w:trPr>
                <w:trHeight w:val="267"/>
              </w:trPr>
              <w:tc>
                <w:tcPr>
                  <w:tcW w:w="2631" w:type="pct"/>
                </w:tcPr>
                <w:p w:rsidR="00A431F0" w:rsidRPr="00A431F0" w:rsidRDefault="00A431F0" w:rsidP="00404820">
                  <w:pPr>
                    <w:tabs>
                      <w:tab w:val="right" w:leader="dot" w:pos="5160"/>
                    </w:tabs>
                    <w:spacing w:before="0" w:after="0"/>
                    <w:ind w:left="240" w:hanging="240"/>
                    <w:rPr>
                      <w:sz w:val="18"/>
                      <w:szCs w:val="18"/>
                    </w:rPr>
                  </w:pPr>
                  <w:r w:rsidRPr="00A431F0">
                    <w:rPr>
                      <w:sz w:val="18"/>
                      <w:szCs w:val="18"/>
                    </w:rPr>
                    <w:t>Amounts receivable</w:t>
                  </w:r>
                  <w:r w:rsidRPr="00A431F0">
                    <w:rPr>
                      <w:sz w:val="18"/>
                      <w:szCs w:val="18"/>
                    </w:rPr>
                    <w:tab/>
                  </w:r>
                </w:p>
              </w:tc>
              <w:tc>
                <w:tcPr>
                  <w:tcW w:w="790" w:type="pct"/>
                  <w:noWrap/>
                </w:tcPr>
                <w:p w:rsidR="00A431F0" w:rsidRPr="00A431F0" w:rsidRDefault="00A431F0" w:rsidP="00404820">
                  <w:pPr>
                    <w:tabs>
                      <w:tab w:val="right" w:pos="720"/>
                      <w:tab w:val="decimal" w:pos="760"/>
                    </w:tabs>
                    <w:spacing w:before="0" w:after="0"/>
                    <w:jc w:val="right"/>
                    <w:rPr>
                      <w:sz w:val="18"/>
                      <w:szCs w:val="18"/>
                    </w:rPr>
                  </w:pPr>
                  <w:r w:rsidRPr="00A431F0">
                    <w:rPr>
                      <w:sz w:val="18"/>
                      <w:szCs w:val="18"/>
                    </w:rPr>
                    <w:t>9.6</w:t>
                  </w:r>
                </w:p>
              </w:tc>
              <w:tc>
                <w:tcPr>
                  <w:tcW w:w="790" w:type="pct"/>
                </w:tcPr>
                <w:p w:rsidR="00A431F0" w:rsidRPr="00A431F0" w:rsidRDefault="00A431F0" w:rsidP="00404820">
                  <w:pPr>
                    <w:tabs>
                      <w:tab w:val="right" w:pos="720"/>
                      <w:tab w:val="decimal" w:pos="760"/>
                    </w:tabs>
                    <w:spacing w:before="0" w:after="0"/>
                    <w:jc w:val="right"/>
                    <w:rPr>
                      <w:sz w:val="18"/>
                      <w:szCs w:val="18"/>
                    </w:rPr>
                  </w:pPr>
                  <w:r w:rsidRPr="00A431F0">
                    <w:rPr>
                      <w:sz w:val="18"/>
                      <w:szCs w:val="18"/>
                    </w:rPr>
                    <w:t>10.4</w:t>
                  </w:r>
                </w:p>
              </w:tc>
              <w:tc>
                <w:tcPr>
                  <w:tcW w:w="789" w:type="pct"/>
                  <w:noWrap/>
                </w:tcPr>
                <w:p w:rsidR="00A431F0" w:rsidRPr="00A431F0" w:rsidRDefault="00A431F0" w:rsidP="00404820">
                  <w:pPr>
                    <w:tabs>
                      <w:tab w:val="right" w:pos="720"/>
                      <w:tab w:val="decimal" w:pos="760"/>
                    </w:tabs>
                    <w:spacing w:before="0" w:after="0"/>
                    <w:jc w:val="right"/>
                    <w:rPr>
                      <w:sz w:val="18"/>
                      <w:szCs w:val="18"/>
                    </w:rPr>
                  </w:pPr>
                  <w:r w:rsidRPr="00A431F0">
                    <w:rPr>
                      <w:sz w:val="18"/>
                      <w:szCs w:val="18"/>
                    </w:rPr>
                    <w:t>11.0</w:t>
                  </w:r>
                </w:p>
              </w:tc>
            </w:tr>
            <w:tr w:rsidR="00A431F0" w:rsidRPr="00A431F0" w:rsidTr="00404820">
              <w:trPr>
                <w:trHeight w:val="267"/>
              </w:trPr>
              <w:tc>
                <w:tcPr>
                  <w:tcW w:w="2631" w:type="pct"/>
                </w:tcPr>
                <w:p w:rsidR="00A431F0" w:rsidRPr="00A431F0" w:rsidRDefault="00A431F0" w:rsidP="00404820">
                  <w:pPr>
                    <w:tabs>
                      <w:tab w:val="right" w:leader="dot" w:pos="5160"/>
                    </w:tabs>
                    <w:spacing w:before="0" w:after="0"/>
                    <w:ind w:left="240" w:hanging="240"/>
                    <w:rPr>
                      <w:sz w:val="18"/>
                      <w:szCs w:val="18"/>
                    </w:rPr>
                  </w:pPr>
                  <w:r w:rsidRPr="00A431F0">
                    <w:rPr>
                      <w:sz w:val="18"/>
                      <w:szCs w:val="18"/>
                    </w:rPr>
                    <w:t>Other financial assets</w:t>
                  </w:r>
                  <w:r w:rsidRPr="00A431F0">
                    <w:rPr>
                      <w:sz w:val="18"/>
                      <w:szCs w:val="18"/>
                    </w:rPr>
                    <w:tab/>
                  </w:r>
                </w:p>
              </w:tc>
              <w:tc>
                <w:tcPr>
                  <w:tcW w:w="790" w:type="pct"/>
                  <w:noWrap/>
                </w:tcPr>
                <w:p w:rsidR="00A431F0" w:rsidRPr="00A431F0" w:rsidRDefault="00A431F0" w:rsidP="00404820">
                  <w:pPr>
                    <w:tabs>
                      <w:tab w:val="right" w:pos="720"/>
                      <w:tab w:val="decimal" w:pos="760"/>
                    </w:tabs>
                    <w:spacing w:before="0" w:after="0"/>
                    <w:jc w:val="right"/>
                    <w:rPr>
                      <w:sz w:val="18"/>
                      <w:szCs w:val="18"/>
                    </w:rPr>
                  </w:pPr>
                  <w:r w:rsidRPr="00A431F0">
                    <w:rPr>
                      <w:sz w:val="18"/>
                      <w:szCs w:val="18"/>
                    </w:rPr>
                    <w:t>0.3</w:t>
                  </w:r>
                </w:p>
              </w:tc>
              <w:tc>
                <w:tcPr>
                  <w:tcW w:w="790" w:type="pct"/>
                </w:tcPr>
                <w:p w:rsidR="00A431F0" w:rsidRPr="00A431F0" w:rsidRDefault="00A431F0" w:rsidP="00404820">
                  <w:pPr>
                    <w:tabs>
                      <w:tab w:val="right" w:pos="720"/>
                      <w:tab w:val="decimal" w:pos="760"/>
                    </w:tabs>
                    <w:spacing w:before="0" w:after="0"/>
                    <w:jc w:val="right"/>
                    <w:rPr>
                      <w:sz w:val="18"/>
                      <w:szCs w:val="18"/>
                    </w:rPr>
                  </w:pPr>
                  <w:r w:rsidRPr="00A431F0">
                    <w:rPr>
                      <w:sz w:val="18"/>
                      <w:szCs w:val="18"/>
                    </w:rPr>
                    <w:t>0.3</w:t>
                  </w:r>
                </w:p>
              </w:tc>
              <w:tc>
                <w:tcPr>
                  <w:tcW w:w="789" w:type="pct"/>
                  <w:noWrap/>
                </w:tcPr>
                <w:p w:rsidR="00A431F0" w:rsidRPr="00A431F0" w:rsidRDefault="00A431F0" w:rsidP="00404820">
                  <w:pPr>
                    <w:tabs>
                      <w:tab w:val="right" w:pos="720"/>
                      <w:tab w:val="decimal" w:pos="760"/>
                    </w:tabs>
                    <w:spacing w:before="0" w:after="0"/>
                    <w:jc w:val="right"/>
                    <w:rPr>
                      <w:sz w:val="18"/>
                      <w:szCs w:val="18"/>
                    </w:rPr>
                  </w:pPr>
                  <w:r w:rsidRPr="00A431F0">
                    <w:rPr>
                      <w:sz w:val="18"/>
                      <w:szCs w:val="18"/>
                    </w:rPr>
                    <w:t>0.3</w:t>
                  </w:r>
                </w:p>
              </w:tc>
            </w:tr>
            <w:tr w:rsidR="00A431F0" w:rsidRPr="00A431F0" w:rsidTr="00404820">
              <w:trPr>
                <w:trHeight w:val="267"/>
              </w:trPr>
              <w:tc>
                <w:tcPr>
                  <w:tcW w:w="2631" w:type="pct"/>
                </w:tcPr>
                <w:p w:rsidR="00A431F0" w:rsidRPr="00A431F0" w:rsidRDefault="00A431F0" w:rsidP="00404820">
                  <w:pPr>
                    <w:tabs>
                      <w:tab w:val="right" w:leader="dot" w:pos="5160"/>
                    </w:tabs>
                    <w:spacing w:before="0" w:after="0"/>
                    <w:ind w:left="240" w:hanging="240"/>
                    <w:rPr>
                      <w:sz w:val="18"/>
                      <w:szCs w:val="18"/>
                    </w:rPr>
                  </w:pPr>
                  <w:r w:rsidRPr="00A431F0">
                    <w:rPr>
                      <w:sz w:val="18"/>
                      <w:szCs w:val="18"/>
                    </w:rPr>
                    <w:lastRenderedPageBreak/>
                    <w:t>Cash and cash equivalents</w:t>
                  </w:r>
                  <w:r w:rsidRPr="00A431F0">
                    <w:rPr>
                      <w:sz w:val="18"/>
                      <w:szCs w:val="18"/>
                    </w:rPr>
                    <w:tab/>
                  </w:r>
                </w:p>
              </w:tc>
              <w:tc>
                <w:tcPr>
                  <w:tcW w:w="790" w:type="pct"/>
                  <w:noWrap/>
                </w:tcPr>
                <w:p w:rsidR="00A431F0" w:rsidRPr="00A431F0" w:rsidRDefault="00A431F0" w:rsidP="00404820">
                  <w:pPr>
                    <w:tabs>
                      <w:tab w:val="right" w:pos="720"/>
                      <w:tab w:val="decimal" w:pos="760"/>
                    </w:tabs>
                    <w:spacing w:before="0" w:after="0"/>
                    <w:jc w:val="right"/>
                    <w:rPr>
                      <w:sz w:val="18"/>
                      <w:szCs w:val="18"/>
                    </w:rPr>
                  </w:pPr>
                  <w:r w:rsidRPr="00A431F0">
                    <w:rPr>
                      <w:sz w:val="18"/>
                      <w:szCs w:val="18"/>
                    </w:rPr>
                    <w:t>3.2</w:t>
                  </w:r>
                </w:p>
              </w:tc>
              <w:tc>
                <w:tcPr>
                  <w:tcW w:w="790" w:type="pct"/>
                </w:tcPr>
                <w:p w:rsidR="00A431F0" w:rsidRPr="00A431F0" w:rsidRDefault="00A431F0" w:rsidP="00404820">
                  <w:pPr>
                    <w:tabs>
                      <w:tab w:val="right" w:pos="720"/>
                      <w:tab w:val="decimal" w:pos="760"/>
                    </w:tabs>
                    <w:spacing w:before="0" w:after="0"/>
                    <w:jc w:val="right"/>
                    <w:rPr>
                      <w:sz w:val="18"/>
                      <w:szCs w:val="18"/>
                    </w:rPr>
                  </w:pPr>
                  <w:r w:rsidRPr="00A431F0">
                    <w:rPr>
                      <w:sz w:val="18"/>
                      <w:szCs w:val="18"/>
                    </w:rPr>
                    <w:t>2.4</w:t>
                  </w:r>
                </w:p>
              </w:tc>
              <w:tc>
                <w:tcPr>
                  <w:tcW w:w="789" w:type="pct"/>
                  <w:noWrap/>
                </w:tcPr>
                <w:p w:rsidR="00A431F0" w:rsidRPr="00A431F0" w:rsidRDefault="00A431F0" w:rsidP="00404820">
                  <w:pPr>
                    <w:tabs>
                      <w:tab w:val="right" w:pos="720"/>
                      <w:tab w:val="decimal" w:pos="760"/>
                    </w:tabs>
                    <w:spacing w:before="0" w:after="0"/>
                    <w:jc w:val="right"/>
                    <w:rPr>
                      <w:sz w:val="18"/>
                      <w:szCs w:val="18"/>
                    </w:rPr>
                  </w:pPr>
                  <w:r w:rsidRPr="00A431F0">
                    <w:rPr>
                      <w:sz w:val="18"/>
                      <w:szCs w:val="18"/>
                    </w:rPr>
                    <w:t>2.3</w:t>
                  </w:r>
                </w:p>
              </w:tc>
            </w:tr>
            <w:tr w:rsidR="00A431F0" w:rsidRPr="00A431F0" w:rsidTr="00404820">
              <w:trPr>
                <w:trHeight w:val="267"/>
              </w:trPr>
              <w:tc>
                <w:tcPr>
                  <w:tcW w:w="2631" w:type="pct"/>
                </w:tcPr>
                <w:p w:rsidR="00A431F0" w:rsidRPr="00A431F0" w:rsidRDefault="00A431F0" w:rsidP="00404820">
                  <w:pPr>
                    <w:tabs>
                      <w:tab w:val="right" w:leader="dot" w:pos="5160"/>
                    </w:tabs>
                    <w:spacing w:before="0" w:after="0"/>
                    <w:ind w:left="240" w:hanging="240"/>
                    <w:rPr>
                      <w:sz w:val="18"/>
                      <w:szCs w:val="18"/>
                    </w:rPr>
                  </w:pPr>
                  <w:r w:rsidRPr="00A431F0">
                    <w:rPr>
                      <w:sz w:val="18"/>
                      <w:szCs w:val="18"/>
                    </w:rPr>
                    <w:t>Deferred charges and accrued income</w:t>
                  </w:r>
                  <w:r w:rsidRPr="00A431F0">
                    <w:rPr>
                      <w:sz w:val="18"/>
                      <w:szCs w:val="18"/>
                    </w:rPr>
                    <w:tab/>
                  </w:r>
                </w:p>
                <w:p w:rsidR="00A431F0" w:rsidRPr="00A431F0" w:rsidRDefault="00A431F0" w:rsidP="00404820">
                  <w:pPr>
                    <w:spacing w:before="0" w:after="0" w:line="40" w:lineRule="exact"/>
                    <w:rPr>
                      <w:noProof/>
                      <w:sz w:val="18"/>
                      <w:szCs w:val="18"/>
                      <w:lang w:val="en-US"/>
                    </w:rPr>
                  </w:pPr>
                  <w:r w:rsidRPr="00A431F0">
                    <w:rPr>
                      <w:sz w:val="18"/>
                      <w:szCs w:val="18"/>
                    </w:rPr>
                    <w:t> </w:t>
                  </w:r>
                </w:p>
              </w:tc>
              <w:tc>
                <w:tcPr>
                  <w:tcW w:w="790" w:type="pct"/>
                  <w:noWrap/>
                </w:tcPr>
                <w:p w:rsidR="00A431F0" w:rsidRPr="00A431F0" w:rsidRDefault="00A431F0" w:rsidP="00404820">
                  <w:pPr>
                    <w:pBdr>
                      <w:bottom w:val="single" w:sz="4" w:space="1" w:color="auto"/>
                    </w:pBdr>
                    <w:tabs>
                      <w:tab w:val="right" w:pos="720"/>
                      <w:tab w:val="decimal" w:pos="760"/>
                    </w:tabs>
                    <w:spacing w:before="0" w:after="0"/>
                    <w:jc w:val="right"/>
                    <w:rPr>
                      <w:sz w:val="18"/>
                      <w:szCs w:val="18"/>
                    </w:rPr>
                  </w:pPr>
                  <w:r w:rsidRPr="00A431F0">
                    <w:rPr>
                      <w:sz w:val="18"/>
                      <w:szCs w:val="18"/>
                    </w:rPr>
                    <w:t>0.3</w:t>
                  </w:r>
                </w:p>
              </w:tc>
              <w:tc>
                <w:tcPr>
                  <w:tcW w:w="790" w:type="pct"/>
                </w:tcPr>
                <w:p w:rsidR="00A431F0" w:rsidRPr="00A431F0" w:rsidRDefault="00A431F0" w:rsidP="00404820">
                  <w:pPr>
                    <w:pBdr>
                      <w:bottom w:val="single" w:sz="4" w:space="1" w:color="auto"/>
                    </w:pBdr>
                    <w:tabs>
                      <w:tab w:val="right" w:pos="720"/>
                      <w:tab w:val="decimal" w:pos="760"/>
                    </w:tabs>
                    <w:spacing w:before="0" w:after="0"/>
                    <w:jc w:val="right"/>
                    <w:rPr>
                      <w:sz w:val="18"/>
                      <w:szCs w:val="18"/>
                    </w:rPr>
                  </w:pPr>
                  <w:r w:rsidRPr="00A431F0">
                    <w:rPr>
                      <w:sz w:val="18"/>
                      <w:szCs w:val="18"/>
                    </w:rPr>
                    <w:t>0.3</w:t>
                  </w:r>
                </w:p>
              </w:tc>
              <w:tc>
                <w:tcPr>
                  <w:tcW w:w="789" w:type="pct"/>
                  <w:noWrap/>
                </w:tcPr>
                <w:p w:rsidR="00A431F0" w:rsidRPr="00A431F0" w:rsidRDefault="00A431F0" w:rsidP="00404820">
                  <w:pPr>
                    <w:pBdr>
                      <w:bottom w:val="single" w:sz="4" w:space="1" w:color="auto"/>
                    </w:pBdr>
                    <w:tabs>
                      <w:tab w:val="right" w:pos="720"/>
                      <w:tab w:val="decimal" w:pos="760"/>
                    </w:tabs>
                    <w:spacing w:before="0" w:after="0"/>
                    <w:jc w:val="right"/>
                    <w:rPr>
                      <w:sz w:val="18"/>
                      <w:szCs w:val="18"/>
                    </w:rPr>
                  </w:pPr>
                  <w:r w:rsidRPr="00A431F0">
                    <w:rPr>
                      <w:sz w:val="18"/>
                      <w:szCs w:val="18"/>
                    </w:rPr>
                    <w:t>0.4</w:t>
                  </w:r>
                </w:p>
              </w:tc>
            </w:tr>
            <w:tr w:rsidR="00A431F0" w:rsidRPr="00A431F0" w:rsidTr="00404820">
              <w:tc>
                <w:tcPr>
                  <w:tcW w:w="2631" w:type="pct"/>
                </w:tcPr>
                <w:p w:rsidR="00A431F0" w:rsidRPr="00A431F0" w:rsidRDefault="00A431F0" w:rsidP="00404820">
                  <w:pPr>
                    <w:tabs>
                      <w:tab w:val="right" w:leader="dot" w:pos="5160"/>
                    </w:tabs>
                    <w:spacing w:before="0" w:after="0"/>
                    <w:ind w:left="240" w:hanging="240"/>
                    <w:rPr>
                      <w:b/>
                      <w:sz w:val="18"/>
                      <w:szCs w:val="18"/>
                    </w:rPr>
                  </w:pPr>
                  <w:r w:rsidRPr="00A431F0">
                    <w:rPr>
                      <w:b/>
                      <w:sz w:val="18"/>
                      <w:szCs w:val="18"/>
                    </w:rPr>
                    <w:t>Current assets</w:t>
                  </w:r>
                  <w:r w:rsidRPr="00A431F0">
                    <w:rPr>
                      <w:sz w:val="18"/>
                      <w:szCs w:val="18"/>
                    </w:rPr>
                    <w:tab/>
                  </w:r>
                </w:p>
              </w:tc>
              <w:tc>
                <w:tcPr>
                  <w:tcW w:w="790" w:type="pct"/>
                  <w:noWrap/>
                </w:tcPr>
                <w:p w:rsidR="00A431F0" w:rsidRPr="00A431F0" w:rsidRDefault="00A431F0" w:rsidP="00404820">
                  <w:pPr>
                    <w:tabs>
                      <w:tab w:val="right" w:pos="720"/>
                      <w:tab w:val="decimal" w:pos="760"/>
                    </w:tabs>
                    <w:spacing w:before="0" w:after="0"/>
                    <w:jc w:val="right"/>
                    <w:rPr>
                      <w:b/>
                      <w:sz w:val="18"/>
                      <w:szCs w:val="18"/>
                    </w:rPr>
                  </w:pPr>
                  <w:r w:rsidRPr="00A431F0">
                    <w:rPr>
                      <w:b/>
                      <w:sz w:val="18"/>
                      <w:szCs w:val="18"/>
                    </w:rPr>
                    <w:t>23.2</w:t>
                  </w:r>
                </w:p>
              </w:tc>
              <w:tc>
                <w:tcPr>
                  <w:tcW w:w="790" w:type="pct"/>
                </w:tcPr>
                <w:p w:rsidR="00A431F0" w:rsidRPr="00A431F0" w:rsidRDefault="00A431F0" w:rsidP="00404820">
                  <w:pPr>
                    <w:tabs>
                      <w:tab w:val="right" w:pos="720"/>
                      <w:tab w:val="decimal" w:pos="760"/>
                    </w:tabs>
                    <w:spacing w:before="0" w:after="0"/>
                    <w:jc w:val="right"/>
                    <w:rPr>
                      <w:b/>
                      <w:bCs/>
                      <w:sz w:val="18"/>
                      <w:szCs w:val="18"/>
                    </w:rPr>
                  </w:pPr>
                  <w:r w:rsidRPr="00A431F0">
                    <w:rPr>
                      <w:b/>
                      <w:bCs/>
                      <w:sz w:val="18"/>
                      <w:szCs w:val="18"/>
                    </w:rPr>
                    <w:t>24.0</w:t>
                  </w:r>
                </w:p>
              </w:tc>
              <w:tc>
                <w:tcPr>
                  <w:tcW w:w="789" w:type="pct"/>
                  <w:noWrap/>
                </w:tcPr>
                <w:p w:rsidR="00A431F0" w:rsidRPr="00A431F0" w:rsidRDefault="00A431F0" w:rsidP="00404820">
                  <w:pPr>
                    <w:tabs>
                      <w:tab w:val="right" w:pos="720"/>
                      <w:tab w:val="decimal" w:pos="760"/>
                    </w:tabs>
                    <w:spacing w:before="0" w:after="0"/>
                    <w:jc w:val="right"/>
                    <w:rPr>
                      <w:b/>
                      <w:sz w:val="18"/>
                      <w:szCs w:val="18"/>
                    </w:rPr>
                  </w:pPr>
                  <w:r w:rsidRPr="00A431F0">
                    <w:rPr>
                      <w:b/>
                      <w:sz w:val="18"/>
                      <w:szCs w:val="18"/>
                    </w:rPr>
                    <w:t>23.8</w:t>
                  </w:r>
                </w:p>
              </w:tc>
            </w:tr>
            <w:tr w:rsidR="00A431F0" w:rsidRPr="00A431F0" w:rsidTr="00404820">
              <w:tc>
                <w:tcPr>
                  <w:tcW w:w="2631" w:type="pct"/>
                </w:tcPr>
                <w:p w:rsidR="00A431F0" w:rsidRPr="00A431F0" w:rsidRDefault="00A431F0" w:rsidP="00404820">
                  <w:pPr>
                    <w:spacing w:before="0" w:after="0" w:line="40" w:lineRule="exact"/>
                    <w:rPr>
                      <w:sz w:val="18"/>
                      <w:szCs w:val="18"/>
                    </w:rPr>
                  </w:pPr>
                </w:p>
              </w:tc>
              <w:tc>
                <w:tcPr>
                  <w:tcW w:w="790" w:type="pct"/>
                </w:tcPr>
                <w:p w:rsidR="00A431F0" w:rsidRPr="00A431F0" w:rsidRDefault="00A431F0" w:rsidP="00404820">
                  <w:pPr>
                    <w:pBdr>
                      <w:top w:val="single" w:sz="8" w:space="1" w:color="auto"/>
                    </w:pBdr>
                    <w:spacing w:before="0" w:after="0" w:line="20" w:lineRule="exact"/>
                    <w:jc w:val="right"/>
                    <w:rPr>
                      <w:sz w:val="18"/>
                      <w:szCs w:val="18"/>
                    </w:rPr>
                  </w:pPr>
                </w:p>
              </w:tc>
              <w:tc>
                <w:tcPr>
                  <w:tcW w:w="790" w:type="pct"/>
                </w:tcPr>
                <w:p w:rsidR="00A431F0" w:rsidRPr="00A431F0" w:rsidRDefault="00A431F0" w:rsidP="00404820">
                  <w:pPr>
                    <w:pBdr>
                      <w:top w:val="single" w:sz="8" w:space="1" w:color="auto"/>
                    </w:pBdr>
                    <w:spacing w:before="0" w:after="0" w:line="20" w:lineRule="exact"/>
                    <w:jc w:val="right"/>
                    <w:rPr>
                      <w:sz w:val="18"/>
                      <w:szCs w:val="18"/>
                    </w:rPr>
                  </w:pPr>
                </w:p>
              </w:tc>
              <w:tc>
                <w:tcPr>
                  <w:tcW w:w="789" w:type="pct"/>
                </w:tcPr>
                <w:p w:rsidR="00A431F0" w:rsidRPr="00A431F0" w:rsidRDefault="00A431F0" w:rsidP="00404820">
                  <w:pPr>
                    <w:pBdr>
                      <w:top w:val="single" w:sz="8" w:space="1" w:color="auto"/>
                    </w:pBdr>
                    <w:spacing w:before="0" w:after="0" w:line="20" w:lineRule="exact"/>
                    <w:jc w:val="right"/>
                    <w:rPr>
                      <w:sz w:val="18"/>
                      <w:szCs w:val="18"/>
                    </w:rPr>
                  </w:pPr>
                </w:p>
              </w:tc>
            </w:tr>
            <w:tr w:rsidR="00A431F0" w:rsidRPr="00A431F0" w:rsidTr="00404820">
              <w:trPr>
                <w:trHeight w:val="292"/>
              </w:trPr>
              <w:tc>
                <w:tcPr>
                  <w:tcW w:w="2631" w:type="pct"/>
                </w:tcPr>
                <w:p w:rsidR="00A431F0" w:rsidRPr="00A431F0" w:rsidRDefault="00A431F0" w:rsidP="00404820">
                  <w:pPr>
                    <w:tabs>
                      <w:tab w:val="right" w:leader="dot" w:pos="5160"/>
                    </w:tabs>
                    <w:spacing w:before="0" w:after="0"/>
                    <w:ind w:left="240" w:hanging="240"/>
                    <w:rPr>
                      <w:b/>
                      <w:sz w:val="18"/>
                      <w:szCs w:val="18"/>
                    </w:rPr>
                  </w:pPr>
                  <w:r w:rsidRPr="00A431F0">
                    <w:rPr>
                      <w:b/>
                      <w:sz w:val="18"/>
                      <w:szCs w:val="18"/>
                    </w:rPr>
                    <w:t>Total assets</w:t>
                  </w:r>
                  <w:r w:rsidRPr="00A431F0">
                    <w:rPr>
                      <w:sz w:val="18"/>
                      <w:szCs w:val="18"/>
                    </w:rPr>
                    <w:tab/>
                  </w:r>
                </w:p>
                <w:p w:rsidR="00A431F0" w:rsidRPr="00A431F0" w:rsidRDefault="00A431F0" w:rsidP="00404820">
                  <w:pPr>
                    <w:spacing w:before="0" w:after="0" w:line="40" w:lineRule="exact"/>
                    <w:rPr>
                      <w:b/>
                      <w:noProof/>
                      <w:sz w:val="18"/>
                      <w:szCs w:val="18"/>
                      <w:lang w:val="en-US"/>
                    </w:rPr>
                  </w:pPr>
                  <w:r w:rsidRPr="00A431F0">
                    <w:rPr>
                      <w:sz w:val="18"/>
                      <w:szCs w:val="18"/>
                    </w:rPr>
                    <w:t> </w:t>
                  </w:r>
                </w:p>
              </w:tc>
              <w:tc>
                <w:tcPr>
                  <w:tcW w:w="790" w:type="pct"/>
                  <w:noWrap/>
                </w:tcPr>
                <w:p w:rsidR="00A431F0" w:rsidRPr="00A431F0" w:rsidRDefault="00A431F0" w:rsidP="00404820">
                  <w:pPr>
                    <w:tabs>
                      <w:tab w:val="right" w:pos="720"/>
                      <w:tab w:val="decimal" w:pos="760"/>
                    </w:tabs>
                    <w:spacing w:before="0" w:after="0"/>
                    <w:jc w:val="right"/>
                    <w:rPr>
                      <w:b/>
                      <w:sz w:val="18"/>
                      <w:szCs w:val="18"/>
                    </w:rPr>
                  </w:pPr>
                  <w:r w:rsidRPr="00A431F0">
                    <w:rPr>
                      <w:b/>
                      <w:sz w:val="18"/>
                      <w:szCs w:val="18"/>
                    </w:rPr>
                    <w:t>36.8</w:t>
                  </w:r>
                </w:p>
              </w:tc>
              <w:tc>
                <w:tcPr>
                  <w:tcW w:w="790" w:type="pct"/>
                </w:tcPr>
                <w:p w:rsidR="00A431F0" w:rsidRPr="00A431F0" w:rsidRDefault="00A431F0" w:rsidP="00404820">
                  <w:pPr>
                    <w:tabs>
                      <w:tab w:val="right" w:pos="720"/>
                      <w:tab w:val="decimal" w:pos="760"/>
                    </w:tabs>
                    <w:spacing w:before="0" w:after="0"/>
                    <w:jc w:val="right"/>
                    <w:rPr>
                      <w:b/>
                      <w:bCs/>
                      <w:sz w:val="18"/>
                      <w:szCs w:val="18"/>
                    </w:rPr>
                  </w:pPr>
                  <w:r w:rsidRPr="00A431F0">
                    <w:rPr>
                      <w:b/>
                      <w:bCs/>
                      <w:sz w:val="18"/>
                      <w:szCs w:val="18"/>
                    </w:rPr>
                    <w:t>38.5</w:t>
                  </w:r>
                </w:p>
              </w:tc>
              <w:tc>
                <w:tcPr>
                  <w:tcW w:w="789" w:type="pct"/>
                  <w:noWrap/>
                </w:tcPr>
                <w:p w:rsidR="00A431F0" w:rsidRPr="00A431F0" w:rsidRDefault="00A431F0" w:rsidP="00404820">
                  <w:pPr>
                    <w:tabs>
                      <w:tab w:val="right" w:pos="720"/>
                      <w:tab w:val="decimal" w:pos="760"/>
                    </w:tabs>
                    <w:spacing w:before="0" w:after="0"/>
                    <w:jc w:val="right"/>
                    <w:rPr>
                      <w:b/>
                      <w:sz w:val="18"/>
                      <w:szCs w:val="18"/>
                    </w:rPr>
                  </w:pPr>
                  <w:r w:rsidRPr="00A431F0">
                    <w:rPr>
                      <w:b/>
                      <w:sz w:val="18"/>
                      <w:szCs w:val="18"/>
                    </w:rPr>
                    <w:t>37.9</w:t>
                  </w:r>
                </w:p>
              </w:tc>
            </w:tr>
          </w:tbl>
          <w:p w:rsidR="00404820" w:rsidRDefault="00404820"/>
          <w:tbl>
            <w:tblPr>
              <w:tblW w:w="4881" w:type="pct"/>
              <w:tblLayout w:type="fixed"/>
              <w:tblLook w:val="0000" w:firstRow="0" w:lastRow="0" w:firstColumn="0" w:lastColumn="0" w:noHBand="0" w:noVBand="0"/>
            </w:tblPr>
            <w:tblGrid>
              <w:gridCol w:w="4145"/>
              <w:gridCol w:w="1245"/>
              <w:gridCol w:w="1245"/>
              <w:gridCol w:w="1243"/>
            </w:tblGrid>
            <w:tr w:rsidR="00404820" w:rsidRPr="00A431F0" w:rsidTr="00404820">
              <w:tc>
                <w:tcPr>
                  <w:tcW w:w="2631" w:type="pct"/>
                  <w:vAlign w:val="center"/>
                </w:tcPr>
                <w:p w:rsidR="00404820" w:rsidRPr="00A431F0" w:rsidRDefault="00404820" w:rsidP="00F861BE">
                  <w:pPr>
                    <w:keepNext/>
                    <w:spacing w:before="0" w:after="0"/>
                    <w:ind w:left="240" w:hanging="240"/>
                    <w:jc w:val="left"/>
                    <w:rPr>
                      <w:bCs/>
                      <w:i/>
                      <w:sz w:val="18"/>
                      <w:szCs w:val="18"/>
                    </w:rPr>
                  </w:pPr>
                </w:p>
                <w:p w:rsidR="00404820" w:rsidRPr="00A431F0" w:rsidRDefault="00404820" w:rsidP="00F861BE">
                  <w:pPr>
                    <w:keepNext/>
                    <w:spacing w:before="0" w:after="0"/>
                    <w:ind w:left="240" w:hanging="240"/>
                    <w:jc w:val="left"/>
                    <w:rPr>
                      <w:bCs/>
                      <w:i/>
                      <w:sz w:val="18"/>
                      <w:szCs w:val="18"/>
                    </w:rPr>
                  </w:pPr>
                  <w:r w:rsidRPr="00A431F0">
                    <w:rPr>
                      <w:bCs/>
                      <w:i/>
                      <w:sz w:val="18"/>
                      <w:szCs w:val="18"/>
                    </w:rPr>
                    <w:t>(EUR in millions)</w:t>
                  </w:r>
                </w:p>
              </w:tc>
              <w:tc>
                <w:tcPr>
                  <w:tcW w:w="790" w:type="pct"/>
                  <w:vAlign w:val="bottom"/>
                </w:tcPr>
                <w:p w:rsidR="00404820" w:rsidRPr="00A431F0" w:rsidRDefault="00404820" w:rsidP="00F861BE">
                  <w:pPr>
                    <w:pBdr>
                      <w:bottom w:val="single" w:sz="4" w:space="1" w:color="auto"/>
                    </w:pBdr>
                    <w:spacing w:before="0" w:after="0"/>
                    <w:ind w:left="-110"/>
                    <w:jc w:val="center"/>
                    <w:rPr>
                      <w:sz w:val="18"/>
                      <w:szCs w:val="18"/>
                    </w:rPr>
                  </w:pPr>
                  <w:r w:rsidRPr="00A431F0">
                    <w:rPr>
                      <w:b/>
                      <w:bCs/>
                      <w:sz w:val="18"/>
                      <w:szCs w:val="18"/>
                    </w:rPr>
                    <w:t>30 September 2014</w:t>
                  </w:r>
                </w:p>
              </w:tc>
              <w:tc>
                <w:tcPr>
                  <w:tcW w:w="790" w:type="pct"/>
                </w:tcPr>
                <w:p w:rsidR="00404820" w:rsidRDefault="00404820" w:rsidP="00F861BE">
                  <w:pPr>
                    <w:pBdr>
                      <w:bottom w:val="single" w:sz="4" w:space="1" w:color="auto"/>
                    </w:pBdr>
                    <w:spacing w:before="0" w:after="0"/>
                    <w:ind w:right="-150"/>
                    <w:jc w:val="center"/>
                    <w:rPr>
                      <w:b/>
                      <w:bCs/>
                      <w:sz w:val="18"/>
                      <w:szCs w:val="18"/>
                    </w:rPr>
                  </w:pPr>
                </w:p>
                <w:p w:rsidR="00404820" w:rsidRPr="00A431F0" w:rsidRDefault="00404820" w:rsidP="00F861BE">
                  <w:pPr>
                    <w:pBdr>
                      <w:bottom w:val="single" w:sz="4" w:space="1" w:color="auto"/>
                    </w:pBdr>
                    <w:spacing w:before="0" w:after="0"/>
                    <w:ind w:right="-150"/>
                    <w:jc w:val="center"/>
                    <w:rPr>
                      <w:b/>
                      <w:bCs/>
                      <w:sz w:val="18"/>
                      <w:szCs w:val="18"/>
                    </w:rPr>
                  </w:pPr>
                  <w:r w:rsidRPr="00A431F0">
                    <w:rPr>
                      <w:b/>
                      <w:bCs/>
                      <w:sz w:val="18"/>
                      <w:szCs w:val="18"/>
                    </w:rPr>
                    <w:t>30 September</w:t>
                  </w:r>
                  <w:r w:rsidRPr="00A431F0">
                    <w:rPr>
                      <w:b/>
                      <w:bCs/>
                      <w:sz w:val="18"/>
                      <w:szCs w:val="18"/>
                    </w:rPr>
                    <w:br/>
                    <w:t>2013</w:t>
                  </w:r>
                </w:p>
              </w:tc>
              <w:tc>
                <w:tcPr>
                  <w:tcW w:w="790" w:type="pct"/>
                  <w:vAlign w:val="bottom"/>
                </w:tcPr>
                <w:p w:rsidR="00404820" w:rsidRPr="00A431F0" w:rsidRDefault="00404820" w:rsidP="00F861BE">
                  <w:pPr>
                    <w:pBdr>
                      <w:bottom w:val="single" w:sz="4" w:space="1" w:color="auto"/>
                    </w:pBdr>
                    <w:spacing w:before="0" w:after="0"/>
                    <w:ind w:left="-46"/>
                    <w:jc w:val="center"/>
                    <w:rPr>
                      <w:sz w:val="18"/>
                      <w:szCs w:val="18"/>
                    </w:rPr>
                  </w:pPr>
                  <w:r w:rsidRPr="00A431F0">
                    <w:rPr>
                      <w:b/>
                      <w:bCs/>
                      <w:sz w:val="18"/>
                      <w:szCs w:val="18"/>
                    </w:rPr>
                    <w:t>30 September</w:t>
                  </w:r>
                  <w:r w:rsidRPr="00A431F0">
                    <w:rPr>
                      <w:b/>
                      <w:bCs/>
                      <w:sz w:val="18"/>
                      <w:szCs w:val="18"/>
                    </w:rPr>
                    <w:br/>
                    <w:t>2012</w:t>
                  </w:r>
                </w:p>
              </w:tc>
            </w:tr>
            <w:tr w:rsidR="00A431F0" w:rsidRPr="00A431F0" w:rsidTr="00404820">
              <w:trPr>
                <w:trHeight w:val="332"/>
              </w:trPr>
              <w:tc>
                <w:tcPr>
                  <w:tcW w:w="2631" w:type="pct"/>
                </w:tcPr>
                <w:p w:rsidR="00A431F0" w:rsidRPr="00A431F0" w:rsidRDefault="00A431F0" w:rsidP="00A431F0">
                  <w:pPr>
                    <w:keepNext/>
                    <w:spacing w:before="0" w:after="0"/>
                    <w:rPr>
                      <w:b/>
                      <w:bCs/>
                      <w:sz w:val="18"/>
                      <w:szCs w:val="18"/>
                    </w:rPr>
                  </w:pPr>
                  <w:r w:rsidRPr="00A431F0">
                    <w:rPr>
                      <w:b/>
                      <w:bCs/>
                      <w:sz w:val="18"/>
                      <w:szCs w:val="18"/>
                    </w:rPr>
                    <w:t>EQUITY AND LIABILITIES</w:t>
                  </w:r>
                </w:p>
              </w:tc>
              <w:tc>
                <w:tcPr>
                  <w:tcW w:w="790" w:type="pct"/>
                </w:tcPr>
                <w:p w:rsidR="00A431F0" w:rsidRPr="00A431F0" w:rsidRDefault="00A431F0" w:rsidP="00A431F0">
                  <w:pPr>
                    <w:spacing w:before="0" w:after="0" w:line="40" w:lineRule="exact"/>
                    <w:jc w:val="right"/>
                    <w:rPr>
                      <w:sz w:val="18"/>
                      <w:szCs w:val="18"/>
                    </w:rPr>
                  </w:pPr>
                </w:p>
              </w:tc>
              <w:tc>
                <w:tcPr>
                  <w:tcW w:w="790" w:type="pct"/>
                </w:tcPr>
                <w:p w:rsidR="00A431F0" w:rsidRPr="00A431F0" w:rsidRDefault="00A431F0" w:rsidP="00A431F0">
                  <w:pPr>
                    <w:spacing w:before="0" w:after="0" w:line="40" w:lineRule="exact"/>
                    <w:jc w:val="right"/>
                    <w:rPr>
                      <w:sz w:val="18"/>
                      <w:szCs w:val="18"/>
                    </w:rPr>
                  </w:pPr>
                </w:p>
              </w:tc>
              <w:tc>
                <w:tcPr>
                  <w:tcW w:w="790" w:type="pct"/>
                </w:tcPr>
                <w:p w:rsidR="00A431F0" w:rsidRPr="00A431F0" w:rsidRDefault="00A431F0" w:rsidP="00A431F0">
                  <w:pPr>
                    <w:spacing w:before="0" w:after="0" w:line="40" w:lineRule="exact"/>
                    <w:jc w:val="right"/>
                    <w:rPr>
                      <w:sz w:val="18"/>
                      <w:szCs w:val="18"/>
                    </w:rPr>
                  </w:pPr>
                </w:p>
              </w:tc>
            </w:tr>
            <w:tr w:rsidR="00A431F0" w:rsidRPr="00A431F0" w:rsidTr="00404820">
              <w:tc>
                <w:tcPr>
                  <w:tcW w:w="2631"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Share capital</w:t>
                  </w:r>
                  <w:r w:rsidRPr="00A431F0">
                    <w:rPr>
                      <w:sz w:val="18"/>
                      <w:szCs w:val="18"/>
                    </w:rPr>
                    <w:tab/>
                  </w:r>
                </w:p>
              </w:tc>
              <w:tc>
                <w:tcPr>
                  <w:tcW w:w="790" w:type="pct"/>
                  <w:noWrap/>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26.0</w:t>
                  </w:r>
                </w:p>
              </w:tc>
              <w:tc>
                <w:tcPr>
                  <w:tcW w:w="790" w:type="pct"/>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26.0</w:t>
                  </w:r>
                </w:p>
              </w:tc>
              <w:tc>
                <w:tcPr>
                  <w:tcW w:w="790"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26.0</w:t>
                  </w:r>
                </w:p>
              </w:tc>
            </w:tr>
            <w:tr w:rsidR="00A431F0" w:rsidRPr="00A431F0" w:rsidTr="00404820">
              <w:tc>
                <w:tcPr>
                  <w:tcW w:w="2631"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Consolidated reserves</w:t>
                  </w:r>
                  <w:r w:rsidRPr="00A431F0">
                    <w:rPr>
                      <w:bCs/>
                      <w:sz w:val="18"/>
                      <w:szCs w:val="18"/>
                    </w:rPr>
                    <w:tab/>
                  </w:r>
                </w:p>
              </w:tc>
              <w:tc>
                <w:tcPr>
                  <w:tcW w:w="790"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(13.5)</w:t>
                  </w:r>
                </w:p>
              </w:tc>
              <w:tc>
                <w:tcPr>
                  <w:tcW w:w="790" w:type="pct"/>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(14.4)</w:t>
                  </w:r>
                </w:p>
              </w:tc>
              <w:tc>
                <w:tcPr>
                  <w:tcW w:w="790"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(16.0)</w:t>
                  </w:r>
                </w:p>
              </w:tc>
            </w:tr>
            <w:tr w:rsidR="00A431F0" w:rsidRPr="00A431F0" w:rsidTr="00404820">
              <w:tc>
                <w:tcPr>
                  <w:tcW w:w="2631"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Badwill</w:t>
                  </w:r>
                  <w:r w:rsidRPr="00A431F0">
                    <w:rPr>
                      <w:sz w:val="18"/>
                      <w:szCs w:val="18"/>
                    </w:rPr>
                    <w:tab/>
                  </w:r>
                </w:p>
                <w:p w:rsidR="00A431F0" w:rsidRPr="00A431F0" w:rsidRDefault="00A431F0" w:rsidP="00A431F0">
                  <w:pPr>
                    <w:spacing w:before="0" w:after="0" w:line="40" w:lineRule="exact"/>
                    <w:rPr>
                      <w:noProof/>
                      <w:sz w:val="18"/>
                      <w:szCs w:val="18"/>
                      <w:lang w:val="en-US"/>
                    </w:rPr>
                  </w:pPr>
                  <w:r w:rsidRPr="00A431F0">
                    <w:rPr>
                      <w:sz w:val="18"/>
                      <w:szCs w:val="18"/>
                    </w:rPr>
                    <w:t> </w:t>
                  </w:r>
                </w:p>
              </w:tc>
              <w:tc>
                <w:tcPr>
                  <w:tcW w:w="790"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0.3</w:t>
                  </w:r>
                </w:p>
              </w:tc>
              <w:tc>
                <w:tcPr>
                  <w:tcW w:w="790"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0.3</w:t>
                  </w:r>
                </w:p>
              </w:tc>
              <w:tc>
                <w:tcPr>
                  <w:tcW w:w="790"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0.2</w:t>
                  </w:r>
                </w:p>
              </w:tc>
            </w:tr>
            <w:tr w:rsidR="00A431F0" w:rsidRPr="00A431F0" w:rsidTr="00404820">
              <w:tc>
                <w:tcPr>
                  <w:tcW w:w="2631"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Cumulative translation adjustments</w:t>
                  </w:r>
                  <w:r w:rsidRPr="00A431F0">
                    <w:rPr>
                      <w:sz w:val="18"/>
                      <w:szCs w:val="18"/>
                    </w:rPr>
                    <w:tab/>
                  </w:r>
                </w:p>
                <w:p w:rsidR="00A431F0" w:rsidRPr="00A431F0" w:rsidRDefault="00A431F0" w:rsidP="00A431F0">
                  <w:pPr>
                    <w:spacing w:before="0" w:after="0" w:line="40" w:lineRule="exact"/>
                    <w:rPr>
                      <w:noProof/>
                      <w:sz w:val="18"/>
                      <w:szCs w:val="18"/>
                      <w:lang w:val="en-US"/>
                    </w:rPr>
                  </w:pPr>
                  <w:r w:rsidRPr="00A431F0">
                    <w:rPr>
                      <w:sz w:val="18"/>
                      <w:szCs w:val="18"/>
                    </w:rPr>
                    <w:t> </w:t>
                  </w:r>
                </w:p>
              </w:tc>
              <w:tc>
                <w:tcPr>
                  <w:tcW w:w="790"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(0.2)</w:t>
                  </w:r>
                </w:p>
              </w:tc>
              <w:tc>
                <w:tcPr>
                  <w:tcW w:w="790"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(0.2)</w:t>
                  </w:r>
                </w:p>
              </w:tc>
              <w:tc>
                <w:tcPr>
                  <w:tcW w:w="790"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(0.3)</w:t>
                  </w:r>
                </w:p>
              </w:tc>
            </w:tr>
            <w:tr w:rsidR="00A431F0" w:rsidRPr="00A431F0" w:rsidTr="00404820">
              <w:tc>
                <w:tcPr>
                  <w:tcW w:w="2631"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Investment grants</w:t>
                  </w:r>
                  <w:r w:rsidRPr="00A431F0">
                    <w:rPr>
                      <w:sz w:val="18"/>
                      <w:szCs w:val="18"/>
                    </w:rPr>
                    <w:tab/>
                  </w:r>
                </w:p>
                <w:p w:rsidR="00A431F0" w:rsidRPr="00A431F0" w:rsidRDefault="00A431F0" w:rsidP="00A431F0">
                  <w:pPr>
                    <w:spacing w:before="0" w:after="0" w:line="40" w:lineRule="exact"/>
                    <w:rPr>
                      <w:noProof/>
                      <w:sz w:val="18"/>
                      <w:szCs w:val="18"/>
                      <w:lang w:val="en-US"/>
                    </w:rPr>
                  </w:pPr>
                  <w:r w:rsidRPr="00A431F0">
                    <w:rPr>
                      <w:sz w:val="18"/>
                      <w:szCs w:val="18"/>
                    </w:rPr>
                    <w:t> </w:t>
                  </w:r>
                </w:p>
              </w:tc>
              <w:tc>
                <w:tcPr>
                  <w:tcW w:w="790"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0.5</w:t>
                  </w:r>
                </w:p>
              </w:tc>
              <w:tc>
                <w:tcPr>
                  <w:tcW w:w="790"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0.4</w:t>
                  </w:r>
                </w:p>
              </w:tc>
              <w:tc>
                <w:tcPr>
                  <w:tcW w:w="790"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w:t>
                  </w:r>
                </w:p>
              </w:tc>
            </w:tr>
            <w:tr w:rsidR="00A431F0" w:rsidRPr="00A431F0" w:rsidTr="00404820">
              <w:tc>
                <w:tcPr>
                  <w:tcW w:w="2631"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Non-controlling interests</w:t>
                  </w:r>
                  <w:r w:rsidRPr="00A431F0">
                    <w:rPr>
                      <w:sz w:val="18"/>
                      <w:szCs w:val="18"/>
                    </w:rPr>
                    <w:tab/>
                  </w:r>
                </w:p>
              </w:tc>
              <w:tc>
                <w:tcPr>
                  <w:tcW w:w="790"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w:t>
                  </w:r>
                </w:p>
              </w:tc>
              <w:tc>
                <w:tcPr>
                  <w:tcW w:w="790" w:type="pct"/>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w:t>
                  </w:r>
                </w:p>
              </w:tc>
              <w:tc>
                <w:tcPr>
                  <w:tcW w:w="790"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0.1</w:t>
                  </w:r>
                </w:p>
              </w:tc>
            </w:tr>
            <w:tr w:rsidR="00A431F0" w:rsidRPr="00A431F0" w:rsidTr="00404820">
              <w:tc>
                <w:tcPr>
                  <w:tcW w:w="2631"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Equity</w:t>
                  </w:r>
                  <w:r w:rsidRPr="00A431F0">
                    <w:rPr>
                      <w:sz w:val="18"/>
                      <w:szCs w:val="18"/>
                    </w:rPr>
                    <w:tab/>
                  </w:r>
                </w:p>
              </w:tc>
              <w:tc>
                <w:tcPr>
                  <w:tcW w:w="790"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13.1</w:t>
                  </w:r>
                </w:p>
              </w:tc>
              <w:tc>
                <w:tcPr>
                  <w:tcW w:w="790" w:type="pct"/>
                </w:tcPr>
                <w:p w:rsidR="00A431F0" w:rsidRPr="00A431F0" w:rsidRDefault="00A431F0" w:rsidP="00A431F0">
                  <w:pPr>
                    <w:tabs>
                      <w:tab w:val="right" w:pos="720"/>
                      <w:tab w:val="decimal" w:pos="760"/>
                    </w:tabs>
                    <w:spacing w:before="0" w:after="0"/>
                    <w:jc w:val="right"/>
                    <w:rPr>
                      <w:b/>
                      <w:bCs/>
                      <w:sz w:val="18"/>
                      <w:szCs w:val="18"/>
                    </w:rPr>
                  </w:pPr>
                  <w:r w:rsidRPr="00A431F0">
                    <w:rPr>
                      <w:b/>
                      <w:bCs/>
                      <w:sz w:val="18"/>
                      <w:szCs w:val="18"/>
                    </w:rPr>
                    <w:t>7.3</w:t>
                  </w:r>
                </w:p>
              </w:tc>
              <w:tc>
                <w:tcPr>
                  <w:tcW w:w="790"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8.8</w:t>
                  </w:r>
                </w:p>
              </w:tc>
            </w:tr>
            <w:tr w:rsidR="00A431F0" w:rsidRPr="00A431F0" w:rsidTr="00404820">
              <w:tc>
                <w:tcPr>
                  <w:tcW w:w="2631"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Other provisions</w:t>
                  </w:r>
                  <w:r w:rsidRPr="00A431F0">
                    <w:rPr>
                      <w:bCs/>
                      <w:sz w:val="18"/>
                      <w:szCs w:val="18"/>
                    </w:rPr>
                    <w:tab/>
                  </w:r>
                </w:p>
              </w:tc>
              <w:tc>
                <w:tcPr>
                  <w:tcW w:w="790"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0.5</w:t>
                  </w:r>
                </w:p>
              </w:tc>
              <w:tc>
                <w:tcPr>
                  <w:tcW w:w="790" w:type="pct"/>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0.3</w:t>
                  </w:r>
                </w:p>
              </w:tc>
              <w:tc>
                <w:tcPr>
                  <w:tcW w:w="790"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0.2</w:t>
                  </w:r>
                </w:p>
              </w:tc>
            </w:tr>
            <w:tr w:rsidR="00A431F0" w:rsidRPr="00A431F0" w:rsidTr="00404820">
              <w:trPr>
                <w:trHeight w:val="267"/>
              </w:trPr>
              <w:tc>
                <w:tcPr>
                  <w:tcW w:w="2631"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Financial debts at credit instutions</w:t>
                  </w:r>
                  <w:r w:rsidRPr="00A431F0">
                    <w:rPr>
                      <w:bCs/>
                      <w:sz w:val="18"/>
                      <w:szCs w:val="18"/>
                    </w:rPr>
                    <w:tab/>
                  </w:r>
                </w:p>
              </w:tc>
              <w:tc>
                <w:tcPr>
                  <w:tcW w:w="790"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9.8</w:t>
                  </w:r>
                </w:p>
              </w:tc>
              <w:tc>
                <w:tcPr>
                  <w:tcW w:w="790" w:type="pct"/>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6.9</w:t>
                  </w:r>
                </w:p>
              </w:tc>
              <w:tc>
                <w:tcPr>
                  <w:tcW w:w="790"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8.6</w:t>
                  </w:r>
                </w:p>
              </w:tc>
            </w:tr>
            <w:tr w:rsidR="00A431F0" w:rsidRPr="00A431F0" w:rsidTr="00404820">
              <w:trPr>
                <w:trHeight w:val="267"/>
              </w:trPr>
              <w:tc>
                <w:tcPr>
                  <w:tcW w:w="2631"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Deferred tax liabilities</w:t>
                  </w:r>
                  <w:r w:rsidRPr="00A431F0">
                    <w:rPr>
                      <w:sz w:val="18"/>
                      <w:szCs w:val="18"/>
                    </w:rPr>
                    <w:tab/>
                  </w:r>
                </w:p>
              </w:tc>
              <w:tc>
                <w:tcPr>
                  <w:tcW w:w="790"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0.1</w:t>
                  </w:r>
                </w:p>
              </w:tc>
              <w:tc>
                <w:tcPr>
                  <w:tcW w:w="790" w:type="pct"/>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0.1</w:t>
                  </w:r>
                </w:p>
              </w:tc>
              <w:tc>
                <w:tcPr>
                  <w:tcW w:w="790"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0.1</w:t>
                  </w:r>
                </w:p>
              </w:tc>
            </w:tr>
            <w:tr w:rsidR="00A431F0" w:rsidRPr="00A431F0" w:rsidTr="00404820">
              <w:trPr>
                <w:trHeight w:val="267"/>
              </w:trPr>
              <w:tc>
                <w:tcPr>
                  <w:tcW w:w="2631"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Non-current liabilities</w:t>
                  </w:r>
                  <w:r w:rsidRPr="00A431F0">
                    <w:rPr>
                      <w:sz w:val="18"/>
                      <w:szCs w:val="18"/>
                    </w:rPr>
                    <w:tab/>
                  </w:r>
                </w:p>
              </w:tc>
              <w:tc>
                <w:tcPr>
                  <w:tcW w:w="790"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10.4</w:t>
                  </w:r>
                </w:p>
              </w:tc>
              <w:tc>
                <w:tcPr>
                  <w:tcW w:w="790" w:type="pct"/>
                </w:tcPr>
                <w:p w:rsidR="00A431F0" w:rsidRPr="00A431F0" w:rsidRDefault="00A431F0" w:rsidP="00A431F0">
                  <w:pPr>
                    <w:tabs>
                      <w:tab w:val="right" w:pos="720"/>
                      <w:tab w:val="decimal" w:pos="760"/>
                    </w:tabs>
                    <w:spacing w:before="0" w:after="0"/>
                    <w:jc w:val="right"/>
                    <w:rPr>
                      <w:b/>
                      <w:bCs/>
                      <w:sz w:val="18"/>
                      <w:szCs w:val="18"/>
                    </w:rPr>
                  </w:pPr>
                  <w:r w:rsidRPr="00A431F0">
                    <w:rPr>
                      <w:b/>
                      <w:bCs/>
                      <w:sz w:val="18"/>
                      <w:szCs w:val="18"/>
                    </w:rPr>
                    <w:t>7.3</w:t>
                  </w:r>
                </w:p>
              </w:tc>
              <w:tc>
                <w:tcPr>
                  <w:tcW w:w="790"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8.8</w:t>
                  </w:r>
                </w:p>
              </w:tc>
            </w:tr>
            <w:tr w:rsidR="00A431F0" w:rsidRPr="00A431F0" w:rsidTr="00404820">
              <w:trPr>
                <w:trHeight w:val="267"/>
              </w:trPr>
              <w:tc>
                <w:tcPr>
                  <w:tcW w:w="2631"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Financial debts at credit institutions</w:t>
                  </w:r>
                  <w:r w:rsidRPr="00A431F0">
                    <w:rPr>
                      <w:sz w:val="18"/>
                      <w:szCs w:val="18"/>
                    </w:rPr>
                    <w:tab/>
                  </w:r>
                </w:p>
              </w:tc>
              <w:tc>
                <w:tcPr>
                  <w:tcW w:w="790"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2.5</w:t>
                  </w:r>
                </w:p>
              </w:tc>
              <w:tc>
                <w:tcPr>
                  <w:tcW w:w="790"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8.1</w:t>
                  </w:r>
                </w:p>
              </w:tc>
              <w:tc>
                <w:tcPr>
                  <w:tcW w:w="790"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8.6</w:t>
                  </w:r>
                </w:p>
              </w:tc>
            </w:tr>
            <w:tr w:rsidR="00A431F0" w:rsidRPr="00A431F0" w:rsidTr="00404820">
              <w:trPr>
                <w:trHeight w:val="267"/>
              </w:trPr>
              <w:tc>
                <w:tcPr>
                  <w:tcW w:w="2631"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Trade payables</w:t>
                  </w:r>
                  <w:r w:rsidRPr="00A431F0">
                    <w:rPr>
                      <w:sz w:val="18"/>
                      <w:szCs w:val="18"/>
                    </w:rPr>
                    <w:tab/>
                  </w:r>
                </w:p>
              </w:tc>
              <w:tc>
                <w:tcPr>
                  <w:tcW w:w="790"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8.3</w:t>
                  </w:r>
                </w:p>
              </w:tc>
              <w:tc>
                <w:tcPr>
                  <w:tcW w:w="790"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8.2</w:t>
                  </w:r>
                </w:p>
              </w:tc>
              <w:tc>
                <w:tcPr>
                  <w:tcW w:w="790"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7.7</w:t>
                  </w:r>
                </w:p>
              </w:tc>
            </w:tr>
            <w:tr w:rsidR="00A431F0" w:rsidRPr="00A431F0" w:rsidTr="00404820">
              <w:trPr>
                <w:trHeight w:val="267"/>
              </w:trPr>
              <w:tc>
                <w:tcPr>
                  <w:tcW w:w="2631"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Tax payable</w:t>
                  </w:r>
                  <w:r w:rsidRPr="00A431F0">
                    <w:rPr>
                      <w:sz w:val="18"/>
                      <w:szCs w:val="18"/>
                    </w:rPr>
                    <w:tab/>
                  </w:r>
                </w:p>
              </w:tc>
              <w:tc>
                <w:tcPr>
                  <w:tcW w:w="790"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0.7</w:t>
                  </w:r>
                </w:p>
              </w:tc>
              <w:tc>
                <w:tcPr>
                  <w:tcW w:w="790"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0.6</w:t>
                  </w:r>
                </w:p>
              </w:tc>
              <w:tc>
                <w:tcPr>
                  <w:tcW w:w="790"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0.4</w:t>
                  </w:r>
                </w:p>
              </w:tc>
            </w:tr>
            <w:tr w:rsidR="00A431F0" w:rsidRPr="00A431F0" w:rsidTr="00404820">
              <w:trPr>
                <w:trHeight w:val="267"/>
              </w:trPr>
              <w:tc>
                <w:tcPr>
                  <w:tcW w:w="2631"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Remuneration and social security</w:t>
                  </w:r>
                  <w:r w:rsidRPr="00A431F0">
                    <w:rPr>
                      <w:sz w:val="18"/>
                      <w:szCs w:val="18"/>
                    </w:rPr>
                    <w:tab/>
                  </w:r>
                </w:p>
                <w:p w:rsidR="00A431F0" w:rsidRPr="00A431F0" w:rsidRDefault="00A431F0" w:rsidP="00A431F0">
                  <w:pPr>
                    <w:spacing w:before="0" w:after="0" w:line="40" w:lineRule="exact"/>
                    <w:rPr>
                      <w:noProof/>
                      <w:sz w:val="18"/>
                      <w:szCs w:val="18"/>
                      <w:lang w:val="en-US"/>
                    </w:rPr>
                  </w:pPr>
                  <w:r w:rsidRPr="00A431F0">
                    <w:rPr>
                      <w:sz w:val="18"/>
                      <w:szCs w:val="18"/>
                    </w:rPr>
                    <w:t> </w:t>
                  </w:r>
                </w:p>
              </w:tc>
              <w:tc>
                <w:tcPr>
                  <w:tcW w:w="790"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1.4</w:t>
                  </w:r>
                </w:p>
              </w:tc>
              <w:tc>
                <w:tcPr>
                  <w:tcW w:w="790"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1.4</w:t>
                  </w:r>
                </w:p>
              </w:tc>
              <w:tc>
                <w:tcPr>
                  <w:tcW w:w="790"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1.3</w:t>
                  </w:r>
                </w:p>
              </w:tc>
            </w:tr>
            <w:tr w:rsidR="00A431F0" w:rsidRPr="00A431F0" w:rsidTr="00404820">
              <w:trPr>
                <w:trHeight w:val="267"/>
              </w:trPr>
              <w:tc>
                <w:tcPr>
                  <w:tcW w:w="2631"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Other amounts payable</w:t>
                  </w:r>
                  <w:r w:rsidRPr="00A431F0">
                    <w:rPr>
                      <w:sz w:val="18"/>
                      <w:szCs w:val="18"/>
                    </w:rPr>
                    <w:tab/>
                  </w:r>
                </w:p>
                <w:p w:rsidR="00A431F0" w:rsidRPr="00A431F0" w:rsidRDefault="00A431F0" w:rsidP="00A431F0">
                  <w:pPr>
                    <w:spacing w:before="0" w:after="0" w:line="40" w:lineRule="exact"/>
                    <w:rPr>
                      <w:noProof/>
                      <w:sz w:val="18"/>
                      <w:szCs w:val="18"/>
                      <w:lang w:val="en-US"/>
                    </w:rPr>
                  </w:pPr>
                  <w:r w:rsidRPr="00A431F0">
                    <w:rPr>
                      <w:sz w:val="18"/>
                      <w:szCs w:val="18"/>
                    </w:rPr>
                    <w:t> </w:t>
                  </w:r>
                </w:p>
              </w:tc>
              <w:tc>
                <w:tcPr>
                  <w:tcW w:w="790"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0.1</w:t>
                  </w:r>
                </w:p>
              </w:tc>
              <w:tc>
                <w:tcPr>
                  <w:tcW w:w="790" w:type="pct"/>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0.1</w:t>
                  </w:r>
                </w:p>
              </w:tc>
              <w:tc>
                <w:tcPr>
                  <w:tcW w:w="790"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0.5</w:t>
                  </w:r>
                </w:p>
              </w:tc>
            </w:tr>
            <w:tr w:rsidR="00A431F0" w:rsidRPr="00A431F0" w:rsidTr="00404820">
              <w:trPr>
                <w:trHeight w:val="267"/>
              </w:trPr>
              <w:tc>
                <w:tcPr>
                  <w:tcW w:w="2631"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Accruals and deferred income</w:t>
                  </w:r>
                  <w:r w:rsidRPr="00A431F0">
                    <w:rPr>
                      <w:sz w:val="18"/>
                      <w:szCs w:val="18"/>
                    </w:rPr>
                    <w:tab/>
                  </w:r>
                </w:p>
              </w:tc>
              <w:tc>
                <w:tcPr>
                  <w:tcW w:w="790"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0.3</w:t>
                  </w:r>
                </w:p>
              </w:tc>
              <w:tc>
                <w:tcPr>
                  <w:tcW w:w="790" w:type="pct"/>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0.7</w:t>
                  </w:r>
                </w:p>
              </w:tc>
              <w:tc>
                <w:tcPr>
                  <w:tcW w:w="790"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0.6</w:t>
                  </w:r>
                </w:p>
              </w:tc>
            </w:tr>
            <w:tr w:rsidR="00A431F0" w:rsidRPr="00A431F0" w:rsidTr="00404820">
              <w:tc>
                <w:tcPr>
                  <w:tcW w:w="2631"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Current liabilities</w:t>
                  </w:r>
                  <w:r w:rsidRPr="00A431F0">
                    <w:rPr>
                      <w:sz w:val="18"/>
                      <w:szCs w:val="18"/>
                    </w:rPr>
                    <w:tab/>
                  </w:r>
                </w:p>
              </w:tc>
              <w:tc>
                <w:tcPr>
                  <w:tcW w:w="790"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13.3</w:t>
                  </w:r>
                </w:p>
              </w:tc>
              <w:tc>
                <w:tcPr>
                  <w:tcW w:w="790" w:type="pct"/>
                </w:tcPr>
                <w:p w:rsidR="00A431F0" w:rsidRPr="00A431F0" w:rsidRDefault="00A431F0" w:rsidP="00A431F0">
                  <w:pPr>
                    <w:tabs>
                      <w:tab w:val="right" w:pos="720"/>
                      <w:tab w:val="decimal" w:pos="760"/>
                    </w:tabs>
                    <w:spacing w:before="0" w:after="0"/>
                    <w:jc w:val="right"/>
                    <w:rPr>
                      <w:b/>
                      <w:bCs/>
                      <w:sz w:val="18"/>
                      <w:szCs w:val="18"/>
                    </w:rPr>
                  </w:pPr>
                  <w:r w:rsidRPr="00A431F0">
                    <w:rPr>
                      <w:b/>
                      <w:bCs/>
                      <w:sz w:val="18"/>
                      <w:szCs w:val="18"/>
                    </w:rPr>
                    <w:t>19.1</w:t>
                  </w:r>
                </w:p>
              </w:tc>
              <w:tc>
                <w:tcPr>
                  <w:tcW w:w="790"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19.2</w:t>
                  </w:r>
                </w:p>
              </w:tc>
            </w:tr>
            <w:tr w:rsidR="00A431F0" w:rsidRPr="00A431F0" w:rsidTr="00404820">
              <w:tc>
                <w:tcPr>
                  <w:tcW w:w="2631" w:type="pct"/>
                </w:tcPr>
                <w:p w:rsidR="00A431F0" w:rsidRPr="00A431F0" w:rsidRDefault="00A431F0" w:rsidP="00A431F0">
                  <w:pPr>
                    <w:spacing w:before="0" w:after="0" w:line="40" w:lineRule="exact"/>
                    <w:rPr>
                      <w:sz w:val="18"/>
                      <w:szCs w:val="18"/>
                    </w:rPr>
                  </w:pPr>
                </w:p>
              </w:tc>
              <w:tc>
                <w:tcPr>
                  <w:tcW w:w="790" w:type="pct"/>
                </w:tcPr>
                <w:p w:rsidR="00A431F0" w:rsidRPr="00A431F0" w:rsidRDefault="00A431F0" w:rsidP="00A431F0">
                  <w:pPr>
                    <w:pBdr>
                      <w:top w:val="single" w:sz="8" w:space="1" w:color="auto"/>
                    </w:pBdr>
                    <w:spacing w:before="0" w:after="0" w:line="20" w:lineRule="exact"/>
                    <w:jc w:val="right"/>
                    <w:rPr>
                      <w:sz w:val="18"/>
                      <w:szCs w:val="18"/>
                    </w:rPr>
                  </w:pPr>
                </w:p>
              </w:tc>
              <w:tc>
                <w:tcPr>
                  <w:tcW w:w="790" w:type="pct"/>
                </w:tcPr>
                <w:p w:rsidR="00A431F0" w:rsidRPr="00A431F0" w:rsidRDefault="00A431F0" w:rsidP="00A431F0">
                  <w:pPr>
                    <w:pBdr>
                      <w:top w:val="single" w:sz="8" w:space="1" w:color="auto"/>
                    </w:pBdr>
                    <w:spacing w:before="0" w:after="0" w:line="20" w:lineRule="exact"/>
                    <w:jc w:val="right"/>
                    <w:rPr>
                      <w:sz w:val="18"/>
                      <w:szCs w:val="18"/>
                    </w:rPr>
                  </w:pPr>
                </w:p>
              </w:tc>
              <w:tc>
                <w:tcPr>
                  <w:tcW w:w="790" w:type="pct"/>
                </w:tcPr>
                <w:p w:rsidR="00A431F0" w:rsidRPr="00A431F0" w:rsidRDefault="00A431F0" w:rsidP="00A431F0">
                  <w:pPr>
                    <w:pBdr>
                      <w:top w:val="single" w:sz="8" w:space="1" w:color="auto"/>
                    </w:pBdr>
                    <w:spacing w:before="0" w:after="0" w:line="20" w:lineRule="exact"/>
                    <w:jc w:val="right"/>
                    <w:rPr>
                      <w:sz w:val="18"/>
                      <w:szCs w:val="18"/>
                    </w:rPr>
                  </w:pPr>
                </w:p>
              </w:tc>
            </w:tr>
            <w:tr w:rsidR="00A431F0" w:rsidRPr="00A431F0" w:rsidTr="00404820">
              <w:trPr>
                <w:trHeight w:val="292"/>
              </w:trPr>
              <w:tc>
                <w:tcPr>
                  <w:tcW w:w="2631" w:type="pct"/>
                </w:tcPr>
                <w:p w:rsidR="00A431F0" w:rsidRPr="00A431F0" w:rsidRDefault="00A431F0" w:rsidP="00A431F0">
                  <w:pPr>
                    <w:keepNext/>
                    <w:tabs>
                      <w:tab w:val="right" w:leader="dot" w:pos="5160"/>
                    </w:tabs>
                    <w:spacing w:before="0" w:after="0"/>
                    <w:ind w:left="240" w:hanging="240"/>
                    <w:rPr>
                      <w:b/>
                      <w:sz w:val="18"/>
                      <w:szCs w:val="18"/>
                    </w:rPr>
                  </w:pPr>
                  <w:r w:rsidRPr="00A431F0">
                    <w:rPr>
                      <w:b/>
                      <w:sz w:val="18"/>
                      <w:szCs w:val="18"/>
                    </w:rPr>
                    <w:t>Total equity and liabilities</w:t>
                  </w:r>
                  <w:r w:rsidRPr="00A431F0">
                    <w:rPr>
                      <w:sz w:val="18"/>
                      <w:szCs w:val="18"/>
                    </w:rPr>
                    <w:tab/>
                  </w:r>
                </w:p>
                <w:p w:rsidR="00A431F0" w:rsidRPr="00A431F0" w:rsidRDefault="00A431F0" w:rsidP="00A431F0">
                  <w:pPr>
                    <w:spacing w:before="0" w:after="0" w:line="40" w:lineRule="exact"/>
                    <w:rPr>
                      <w:b/>
                      <w:noProof/>
                      <w:sz w:val="18"/>
                      <w:szCs w:val="18"/>
                      <w:lang w:val="en-US"/>
                    </w:rPr>
                  </w:pPr>
                  <w:r w:rsidRPr="00A431F0">
                    <w:rPr>
                      <w:sz w:val="18"/>
                      <w:szCs w:val="18"/>
                    </w:rPr>
                    <w:t> </w:t>
                  </w:r>
                </w:p>
              </w:tc>
              <w:tc>
                <w:tcPr>
                  <w:tcW w:w="790"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36.8</w:t>
                  </w:r>
                </w:p>
              </w:tc>
              <w:tc>
                <w:tcPr>
                  <w:tcW w:w="790" w:type="pct"/>
                </w:tcPr>
                <w:p w:rsidR="00A431F0" w:rsidRPr="00A431F0" w:rsidRDefault="00A431F0" w:rsidP="00A431F0">
                  <w:pPr>
                    <w:tabs>
                      <w:tab w:val="right" w:pos="720"/>
                      <w:tab w:val="decimal" w:pos="760"/>
                    </w:tabs>
                    <w:spacing w:before="0" w:after="0"/>
                    <w:jc w:val="right"/>
                    <w:rPr>
                      <w:b/>
                      <w:bCs/>
                      <w:sz w:val="18"/>
                      <w:szCs w:val="18"/>
                    </w:rPr>
                  </w:pPr>
                  <w:r w:rsidRPr="00A431F0">
                    <w:rPr>
                      <w:b/>
                      <w:bCs/>
                      <w:sz w:val="18"/>
                      <w:szCs w:val="18"/>
                    </w:rPr>
                    <w:t>38.5</w:t>
                  </w:r>
                </w:p>
              </w:tc>
              <w:tc>
                <w:tcPr>
                  <w:tcW w:w="790"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37.9</w:t>
                  </w:r>
                </w:p>
              </w:tc>
            </w:tr>
          </w:tbl>
          <w:p w:rsidR="00A431F0" w:rsidRPr="00A431F0" w:rsidRDefault="00A431F0" w:rsidP="00A431F0">
            <w:pPr>
              <w:spacing w:before="0" w:after="0"/>
              <w:jc w:val="left"/>
              <w:rPr>
                <w:b/>
                <w:bCs/>
                <w:szCs w:val="20"/>
                <w:lang w:eastAsia="en-GB"/>
              </w:rPr>
            </w:pPr>
          </w:p>
          <w:p w:rsidR="00A431F0" w:rsidRPr="0006129B" w:rsidRDefault="0006129B" w:rsidP="00A431F0">
            <w:pPr>
              <w:spacing w:before="0" w:after="0"/>
              <w:jc w:val="left"/>
              <w:rPr>
                <w:i/>
              </w:rPr>
            </w:pPr>
            <w:r w:rsidRPr="0006129B">
              <w:rPr>
                <w:bCs/>
                <w:i/>
                <w:szCs w:val="20"/>
                <w:lang w:eastAsia="en-GB"/>
              </w:rPr>
              <w:t>Consolidated cash flow statement</w:t>
            </w:r>
            <w:r w:rsidR="00A431F0" w:rsidRPr="0006129B">
              <w:rPr>
                <w:i/>
              </w:rPr>
              <w:t xml:space="preserve"> </w:t>
            </w:r>
          </w:p>
          <w:tbl>
            <w:tblPr>
              <w:tblW w:w="5000" w:type="pct"/>
              <w:tblLayout w:type="fixed"/>
              <w:tblLook w:val="0000" w:firstRow="0" w:lastRow="0" w:firstColumn="0" w:lastColumn="0" w:noHBand="0" w:noVBand="0"/>
            </w:tblPr>
            <w:tblGrid>
              <w:gridCol w:w="5397"/>
              <w:gridCol w:w="1448"/>
              <w:gridCol w:w="1225"/>
            </w:tblGrid>
            <w:tr w:rsidR="00A431F0" w:rsidRPr="00A431F0" w:rsidTr="00304A20">
              <w:trPr>
                <w:trHeight w:val="664"/>
              </w:trPr>
              <w:tc>
                <w:tcPr>
                  <w:tcW w:w="3344" w:type="pct"/>
                  <w:vAlign w:val="center"/>
                </w:tcPr>
                <w:p w:rsidR="00A431F0" w:rsidRPr="00A431F0" w:rsidRDefault="00A431F0" w:rsidP="00A431F0">
                  <w:pPr>
                    <w:keepNext/>
                    <w:spacing w:before="0" w:after="0"/>
                    <w:ind w:left="240" w:hanging="240"/>
                    <w:jc w:val="left"/>
                    <w:rPr>
                      <w:bCs/>
                      <w:i/>
                      <w:sz w:val="18"/>
                      <w:szCs w:val="18"/>
                    </w:rPr>
                  </w:pPr>
                  <w:r w:rsidRPr="00A431F0">
                    <w:rPr>
                      <w:bCs/>
                      <w:i/>
                      <w:sz w:val="18"/>
                      <w:szCs w:val="18"/>
                    </w:rPr>
                    <w:t>(EUR in millions)</w:t>
                  </w:r>
                </w:p>
              </w:tc>
              <w:tc>
                <w:tcPr>
                  <w:tcW w:w="897" w:type="pct"/>
                  <w:vAlign w:val="bottom"/>
                </w:tcPr>
                <w:p w:rsidR="00A431F0" w:rsidRPr="00A431F0" w:rsidRDefault="00A431F0" w:rsidP="00A431F0">
                  <w:pPr>
                    <w:pBdr>
                      <w:bottom w:val="single" w:sz="4" w:space="1" w:color="auto"/>
                    </w:pBdr>
                    <w:spacing w:before="0" w:after="0"/>
                    <w:ind w:left="368" w:hanging="227"/>
                    <w:jc w:val="center"/>
                    <w:rPr>
                      <w:sz w:val="18"/>
                      <w:szCs w:val="18"/>
                    </w:rPr>
                  </w:pPr>
                  <w:r w:rsidRPr="00A431F0">
                    <w:rPr>
                      <w:b/>
                      <w:bCs/>
                      <w:sz w:val="18"/>
                      <w:szCs w:val="18"/>
                    </w:rPr>
                    <w:t xml:space="preserve">Year ended </w:t>
                  </w:r>
                  <w:r w:rsidRPr="00A431F0">
                    <w:rPr>
                      <w:b/>
                      <w:bCs/>
                      <w:sz w:val="18"/>
                      <w:szCs w:val="18"/>
                    </w:rPr>
                    <w:br/>
                    <w:t>30 September 2014</w:t>
                  </w:r>
                </w:p>
              </w:tc>
              <w:tc>
                <w:tcPr>
                  <w:tcW w:w="759" w:type="pct"/>
                  <w:vAlign w:val="bottom"/>
                </w:tcPr>
                <w:p w:rsidR="00A431F0" w:rsidRPr="00A431F0" w:rsidRDefault="00A431F0" w:rsidP="00A431F0">
                  <w:pPr>
                    <w:pBdr>
                      <w:bottom w:val="single" w:sz="4" w:space="1" w:color="auto"/>
                    </w:pBdr>
                    <w:spacing w:before="0" w:after="0"/>
                    <w:jc w:val="center"/>
                    <w:rPr>
                      <w:sz w:val="18"/>
                      <w:szCs w:val="18"/>
                    </w:rPr>
                  </w:pPr>
                  <w:r w:rsidRPr="00A431F0">
                    <w:rPr>
                      <w:b/>
                      <w:bCs/>
                      <w:sz w:val="18"/>
                      <w:szCs w:val="18"/>
                    </w:rPr>
                    <w:t>Year ended 30 September</w:t>
                  </w:r>
                  <w:r w:rsidRPr="00A431F0">
                    <w:rPr>
                      <w:b/>
                      <w:bCs/>
                      <w:sz w:val="18"/>
                      <w:szCs w:val="18"/>
                    </w:rPr>
                    <w:br/>
                    <w:t>2013</w:t>
                  </w:r>
                </w:p>
              </w:tc>
            </w:tr>
            <w:tr w:rsidR="00A431F0" w:rsidRPr="00A431F0" w:rsidTr="00304A20">
              <w:trPr>
                <w:trHeight w:val="339"/>
              </w:trPr>
              <w:tc>
                <w:tcPr>
                  <w:tcW w:w="3344" w:type="pct"/>
                </w:tcPr>
                <w:p w:rsidR="00A431F0" w:rsidRPr="00A431F0" w:rsidRDefault="00A431F0" w:rsidP="00A431F0">
                  <w:pPr>
                    <w:keepNext/>
                    <w:spacing w:before="0" w:after="0"/>
                    <w:rPr>
                      <w:b/>
                      <w:bCs/>
                      <w:sz w:val="18"/>
                      <w:szCs w:val="18"/>
                    </w:rPr>
                  </w:pPr>
                  <w:r w:rsidRPr="00A431F0">
                    <w:rPr>
                      <w:b/>
                      <w:bCs/>
                      <w:sz w:val="18"/>
                      <w:szCs w:val="18"/>
                    </w:rPr>
                    <w:t>Summary Consolidated Statement of Cashflow</w:t>
                  </w:r>
                </w:p>
              </w:tc>
              <w:tc>
                <w:tcPr>
                  <w:tcW w:w="897" w:type="pct"/>
                </w:tcPr>
                <w:p w:rsidR="00A431F0" w:rsidRPr="00A431F0" w:rsidRDefault="00A431F0" w:rsidP="00A431F0">
                  <w:pPr>
                    <w:spacing w:before="0" w:after="0" w:line="40" w:lineRule="exact"/>
                    <w:jc w:val="right"/>
                    <w:rPr>
                      <w:sz w:val="18"/>
                      <w:szCs w:val="18"/>
                    </w:rPr>
                  </w:pPr>
                  <w:r w:rsidRPr="00A431F0">
                    <w:rPr>
                      <w:sz w:val="18"/>
                      <w:szCs w:val="18"/>
                    </w:rPr>
                    <w:t> </w:t>
                  </w:r>
                </w:p>
              </w:tc>
              <w:tc>
                <w:tcPr>
                  <w:tcW w:w="759" w:type="pct"/>
                </w:tcPr>
                <w:p w:rsidR="00A431F0" w:rsidRPr="00A431F0" w:rsidRDefault="00A431F0" w:rsidP="00A431F0">
                  <w:pPr>
                    <w:spacing w:before="0" w:after="0" w:line="40" w:lineRule="exact"/>
                    <w:jc w:val="right"/>
                    <w:rPr>
                      <w:sz w:val="18"/>
                      <w:szCs w:val="18"/>
                    </w:rPr>
                  </w:pPr>
                  <w:r w:rsidRPr="00A431F0">
                    <w:rPr>
                      <w:sz w:val="18"/>
                      <w:szCs w:val="18"/>
                    </w:rPr>
                    <w:t> </w:t>
                  </w:r>
                </w:p>
              </w:tc>
            </w:tr>
            <w:tr w:rsidR="00A431F0" w:rsidRPr="00A431F0" w:rsidTr="00304A20">
              <w:trPr>
                <w:trHeight w:val="217"/>
              </w:trPr>
              <w:tc>
                <w:tcPr>
                  <w:tcW w:w="3344"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Cash flow from operating activities</w:t>
                  </w:r>
                  <w:r w:rsidRPr="00A431F0">
                    <w:rPr>
                      <w:sz w:val="18"/>
                      <w:szCs w:val="18"/>
                    </w:rPr>
                    <w:tab/>
                  </w:r>
                </w:p>
              </w:tc>
              <w:tc>
                <w:tcPr>
                  <w:tcW w:w="897" w:type="pct"/>
                  <w:noWrap/>
                </w:tcPr>
                <w:p w:rsidR="00A431F0" w:rsidRPr="00A431F0" w:rsidRDefault="00A431F0" w:rsidP="00A431F0">
                  <w:pPr>
                    <w:tabs>
                      <w:tab w:val="right" w:pos="720"/>
                      <w:tab w:val="decimal" w:pos="760"/>
                    </w:tabs>
                    <w:spacing w:before="0" w:after="0"/>
                    <w:jc w:val="right"/>
                    <w:rPr>
                      <w:bCs/>
                      <w:sz w:val="18"/>
                      <w:szCs w:val="18"/>
                    </w:rPr>
                  </w:pPr>
                  <w:r w:rsidRPr="00A431F0">
                    <w:rPr>
                      <w:bCs/>
                      <w:sz w:val="18"/>
                      <w:szCs w:val="18"/>
                    </w:rPr>
                    <w:t>6.6</w:t>
                  </w:r>
                </w:p>
              </w:tc>
              <w:tc>
                <w:tcPr>
                  <w:tcW w:w="759"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5.5</w:t>
                  </w:r>
                </w:p>
              </w:tc>
            </w:tr>
            <w:tr w:rsidR="00A431F0" w:rsidRPr="00A431F0" w:rsidTr="00304A20">
              <w:trPr>
                <w:trHeight w:val="272"/>
              </w:trPr>
              <w:tc>
                <w:tcPr>
                  <w:tcW w:w="3344"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Increase in working capital (-)/ decrease in working capital (+)</w:t>
                  </w:r>
                  <w:r w:rsidRPr="00A431F0">
                    <w:rPr>
                      <w:sz w:val="18"/>
                      <w:szCs w:val="18"/>
                    </w:rPr>
                    <w:tab/>
                  </w:r>
                </w:p>
                <w:p w:rsidR="00A431F0" w:rsidRPr="00A431F0" w:rsidRDefault="00A431F0" w:rsidP="00A431F0">
                  <w:pPr>
                    <w:spacing w:before="0" w:after="0" w:line="40" w:lineRule="exact"/>
                    <w:rPr>
                      <w:noProof/>
                      <w:sz w:val="18"/>
                      <w:szCs w:val="18"/>
                      <w:lang w:val="en-US"/>
                    </w:rPr>
                  </w:pPr>
                  <w:r w:rsidRPr="00A431F0">
                    <w:rPr>
                      <w:sz w:val="18"/>
                      <w:szCs w:val="18"/>
                    </w:rPr>
                    <w:t> </w:t>
                  </w:r>
                </w:p>
              </w:tc>
              <w:tc>
                <w:tcPr>
                  <w:tcW w:w="897"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0.9</w:t>
                  </w:r>
                </w:p>
              </w:tc>
              <w:tc>
                <w:tcPr>
                  <w:tcW w:w="759" w:type="pct"/>
                  <w:noWrap/>
                </w:tcPr>
                <w:p w:rsidR="00A431F0" w:rsidRPr="00A431F0" w:rsidRDefault="00A431F0" w:rsidP="00A431F0">
                  <w:pPr>
                    <w:pBdr>
                      <w:bottom w:val="single" w:sz="4" w:space="1" w:color="auto"/>
                    </w:pBdr>
                    <w:tabs>
                      <w:tab w:val="right" w:pos="720"/>
                      <w:tab w:val="decimal" w:pos="760"/>
                    </w:tabs>
                    <w:spacing w:before="0" w:after="0"/>
                    <w:jc w:val="right"/>
                    <w:rPr>
                      <w:sz w:val="18"/>
                      <w:szCs w:val="18"/>
                    </w:rPr>
                  </w:pPr>
                  <w:r w:rsidRPr="00A431F0">
                    <w:rPr>
                      <w:sz w:val="18"/>
                      <w:szCs w:val="18"/>
                    </w:rPr>
                    <w:t>0.4</w:t>
                  </w:r>
                </w:p>
              </w:tc>
            </w:tr>
            <w:tr w:rsidR="00A431F0" w:rsidRPr="00A431F0" w:rsidTr="00304A20">
              <w:trPr>
                <w:trHeight w:val="217"/>
              </w:trPr>
              <w:tc>
                <w:tcPr>
                  <w:tcW w:w="3344" w:type="pct"/>
                </w:tcPr>
                <w:p w:rsidR="00A431F0" w:rsidRPr="00A431F0" w:rsidRDefault="00A431F0" w:rsidP="00A431F0">
                  <w:pPr>
                    <w:keepNext/>
                    <w:tabs>
                      <w:tab w:val="right" w:leader="dot" w:pos="5160"/>
                    </w:tabs>
                    <w:spacing w:before="0" w:after="0"/>
                    <w:rPr>
                      <w:b/>
                      <w:sz w:val="18"/>
                      <w:szCs w:val="18"/>
                    </w:rPr>
                  </w:pPr>
                  <w:r w:rsidRPr="00A431F0">
                    <w:rPr>
                      <w:b/>
                      <w:sz w:val="18"/>
                      <w:szCs w:val="18"/>
                    </w:rPr>
                    <w:t>Net cash flow from operating activities</w:t>
                  </w:r>
                  <w:r w:rsidRPr="00A431F0">
                    <w:rPr>
                      <w:b/>
                      <w:bCs/>
                      <w:sz w:val="18"/>
                      <w:szCs w:val="18"/>
                    </w:rPr>
                    <w:tab/>
                  </w:r>
                </w:p>
              </w:tc>
              <w:tc>
                <w:tcPr>
                  <w:tcW w:w="897"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7.5</w:t>
                  </w:r>
                </w:p>
              </w:tc>
              <w:tc>
                <w:tcPr>
                  <w:tcW w:w="759" w:type="pct"/>
                  <w:noWrap/>
                </w:tcPr>
                <w:p w:rsidR="00A431F0" w:rsidRPr="00A431F0" w:rsidRDefault="00A431F0" w:rsidP="00A431F0">
                  <w:pPr>
                    <w:tabs>
                      <w:tab w:val="right" w:pos="720"/>
                      <w:tab w:val="decimal" w:pos="760"/>
                    </w:tabs>
                    <w:spacing w:before="0" w:after="0"/>
                    <w:jc w:val="right"/>
                    <w:rPr>
                      <w:b/>
                      <w:sz w:val="18"/>
                      <w:szCs w:val="18"/>
                    </w:rPr>
                  </w:pPr>
                  <w:r w:rsidRPr="00A431F0">
                    <w:rPr>
                      <w:b/>
                      <w:sz w:val="18"/>
                      <w:szCs w:val="18"/>
                    </w:rPr>
                    <w:t>5.9</w:t>
                  </w:r>
                </w:p>
              </w:tc>
            </w:tr>
            <w:tr w:rsidR="00A431F0" w:rsidRPr="00A431F0" w:rsidTr="00304A20">
              <w:trPr>
                <w:trHeight w:val="204"/>
              </w:trPr>
              <w:tc>
                <w:tcPr>
                  <w:tcW w:w="3344"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Cash flow from investing activities</w:t>
                  </w:r>
                  <w:r w:rsidRPr="00A431F0">
                    <w:rPr>
                      <w:sz w:val="18"/>
                      <w:szCs w:val="18"/>
                    </w:rPr>
                    <w:tab/>
                  </w:r>
                </w:p>
              </w:tc>
              <w:tc>
                <w:tcPr>
                  <w:tcW w:w="89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(2.5)</w:t>
                  </w:r>
                </w:p>
              </w:tc>
              <w:tc>
                <w:tcPr>
                  <w:tcW w:w="759"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(3.6)</w:t>
                  </w:r>
                </w:p>
              </w:tc>
            </w:tr>
            <w:tr w:rsidR="00A431F0" w:rsidRPr="00A431F0" w:rsidTr="00304A20">
              <w:trPr>
                <w:trHeight w:val="217"/>
              </w:trPr>
              <w:tc>
                <w:tcPr>
                  <w:tcW w:w="3344" w:type="pct"/>
                </w:tcPr>
                <w:p w:rsidR="00A431F0" w:rsidRPr="00A431F0" w:rsidRDefault="00A431F0" w:rsidP="00A431F0">
                  <w:pPr>
                    <w:keepNext/>
                    <w:tabs>
                      <w:tab w:val="right" w:leader="dot" w:pos="5160"/>
                    </w:tabs>
                    <w:spacing w:before="0" w:after="0"/>
                    <w:ind w:left="240" w:hanging="240"/>
                    <w:rPr>
                      <w:sz w:val="18"/>
                      <w:szCs w:val="18"/>
                    </w:rPr>
                  </w:pPr>
                  <w:r w:rsidRPr="00A431F0">
                    <w:rPr>
                      <w:sz w:val="18"/>
                      <w:szCs w:val="18"/>
                    </w:rPr>
                    <w:t>Cash flow from financing activities</w:t>
                  </w:r>
                  <w:r w:rsidRPr="00A431F0">
                    <w:rPr>
                      <w:sz w:val="18"/>
                      <w:szCs w:val="18"/>
                    </w:rPr>
                    <w:tab/>
                  </w:r>
                </w:p>
              </w:tc>
              <w:tc>
                <w:tcPr>
                  <w:tcW w:w="897"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(4.2)</w:t>
                  </w:r>
                </w:p>
              </w:tc>
              <w:tc>
                <w:tcPr>
                  <w:tcW w:w="759" w:type="pct"/>
                  <w:noWrap/>
                </w:tcPr>
                <w:p w:rsidR="00A431F0" w:rsidRPr="00A431F0" w:rsidRDefault="00A431F0" w:rsidP="00A431F0">
                  <w:pPr>
                    <w:tabs>
                      <w:tab w:val="right" w:pos="720"/>
                      <w:tab w:val="decimal" w:pos="760"/>
                    </w:tabs>
                    <w:spacing w:before="0" w:after="0"/>
                    <w:jc w:val="right"/>
                    <w:rPr>
                      <w:sz w:val="18"/>
                      <w:szCs w:val="18"/>
                    </w:rPr>
                  </w:pPr>
                  <w:r w:rsidRPr="00A431F0">
                    <w:rPr>
                      <w:sz w:val="18"/>
                      <w:szCs w:val="18"/>
                    </w:rPr>
                    <w:t>(2.3)</w:t>
                  </w:r>
                </w:p>
              </w:tc>
            </w:tr>
            <w:tr w:rsidR="00A431F0" w:rsidRPr="00A431F0" w:rsidTr="00304A20">
              <w:trPr>
                <w:trHeight w:val="243"/>
              </w:trPr>
              <w:tc>
                <w:tcPr>
                  <w:tcW w:w="3344" w:type="pct"/>
                </w:tcPr>
                <w:p w:rsidR="00A431F0" w:rsidRPr="00A431F0" w:rsidRDefault="00A431F0" w:rsidP="00A431F0">
                  <w:pPr>
                    <w:keepNext/>
                    <w:tabs>
                      <w:tab w:val="right" w:leader="dot" w:pos="5160"/>
                    </w:tabs>
                    <w:spacing w:before="0" w:after="0"/>
                    <w:rPr>
                      <w:b/>
                      <w:sz w:val="18"/>
                      <w:szCs w:val="18"/>
                    </w:rPr>
                  </w:pPr>
                  <w:r w:rsidRPr="00A431F0">
                    <w:rPr>
                      <w:b/>
                      <w:sz w:val="18"/>
                      <w:szCs w:val="18"/>
                    </w:rPr>
                    <w:t>Free cash flow</w:t>
                  </w:r>
                  <w:r w:rsidRPr="00A431F0">
                    <w:rPr>
                      <w:b/>
                      <w:sz w:val="18"/>
                      <w:szCs w:val="18"/>
                    </w:rPr>
                    <w:tab/>
                  </w:r>
                </w:p>
              </w:tc>
              <w:tc>
                <w:tcPr>
                  <w:tcW w:w="897" w:type="pct"/>
                  <w:noWrap/>
                </w:tcPr>
                <w:p w:rsidR="00A431F0" w:rsidRPr="00A431F0" w:rsidRDefault="00A431F0" w:rsidP="00A431F0">
                  <w:pPr>
                    <w:pBdr>
                      <w:bottom w:val="single" w:sz="4" w:space="1" w:color="auto"/>
                    </w:pBdr>
                    <w:tabs>
                      <w:tab w:val="right" w:pos="720"/>
                      <w:tab w:val="decimal" w:pos="760"/>
                    </w:tabs>
                    <w:spacing w:before="0" w:after="0"/>
                    <w:jc w:val="right"/>
                    <w:rPr>
                      <w:b/>
                      <w:sz w:val="18"/>
                      <w:szCs w:val="18"/>
                    </w:rPr>
                  </w:pPr>
                  <w:r w:rsidRPr="00A431F0">
                    <w:rPr>
                      <w:b/>
                      <w:sz w:val="18"/>
                      <w:szCs w:val="18"/>
                    </w:rPr>
                    <w:t>0.8</w:t>
                  </w:r>
                </w:p>
              </w:tc>
              <w:tc>
                <w:tcPr>
                  <w:tcW w:w="759" w:type="pct"/>
                  <w:noWrap/>
                </w:tcPr>
                <w:p w:rsidR="00A431F0" w:rsidRPr="00A431F0" w:rsidRDefault="00A431F0" w:rsidP="00A431F0">
                  <w:pPr>
                    <w:pBdr>
                      <w:bottom w:val="single" w:sz="4" w:space="1" w:color="auto"/>
                    </w:pBdr>
                    <w:tabs>
                      <w:tab w:val="right" w:pos="720"/>
                      <w:tab w:val="decimal" w:pos="760"/>
                    </w:tabs>
                    <w:spacing w:before="0" w:after="0"/>
                    <w:jc w:val="right"/>
                    <w:rPr>
                      <w:b/>
                      <w:sz w:val="18"/>
                      <w:szCs w:val="18"/>
                    </w:rPr>
                  </w:pPr>
                  <w:r w:rsidRPr="00A431F0">
                    <w:rPr>
                      <w:b/>
                      <w:sz w:val="18"/>
                      <w:szCs w:val="18"/>
                    </w:rPr>
                    <w:t>0.0</w:t>
                  </w:r>
                </w:p>
              </w:tc>
            </w:tr>
          </w:tbl>
          <w:p w:rsidR="003F0BC5" w:rsidRPr="00A431F0" w:rsidRDefault="003F0BC5" w:rsidP="00BB0F52">
            <w:pPr>
              <w:rPr>
                <w:szCs w:val="20"/>
              </w:rPr>
            </w:pPr>
          </w:p>
        </w:tc>
      </w:tr>
      <w:tr w:rsidR="003F0BC5" w:rsidRPr="00992199" w:rsidTr="00304A20">
        <w:tc>
          <w:tcPr>
            <w:tcW w:w="959" w:type="dxa"/>
            <w:tcBorders>
              <w:bottom w:val="nil"/>
            </w:tcBorders>
            <w:shd w:val="clear" w:color="auto" w:fill="auto"/>
          </w:tcPr>
          <w:p w:rsidR="003F0BC5" w:rsidRPr="00992199" w:rsidRDefault="003F0BC5" w:rsidP="00BB0F52">
            <w:pPr>
              <w:jc w:val="center"/>
              <w:rPr>
                <w:b/>
                <w:szCs w:val="20"/>
              </w:rPr>
            </w:pPr>
            <w:r w:rsidRPr="00992199">
              <w:rPr>
                <w:b/>
                <w:szCs w:val="20"/>
              </w:rPr>
              <w:lastRenderedPageBreak/>
              <w:t>B.8</w:t>
            </w:r>
          </w:p>
        </w:tc>
        <w:tc>
          <w:tcPr>
            <w:tcW w:w="8286" w:type="dxa"/>
            <w:tcBorders>
              <w:bottom w:val="nil"/>
            </w:tcBorders>
            <w:shd w:val="clear" w:color="auto" w:fill="auto"/>
          </w:tcPr>
          <w:p w:rsidR="003F0BC5" w:rsidRPr="00992199" w:rsidRDefault="003F0BC5" w:rsidP="00BB0F52">
            <w:pPr>
              <w:rPr>
                <w:b/>
                <w:szCs w:val="20"/>
              </w:rPr>
            </w:pPr>
            <w:r w:rsidRPr="00992199">
              <w:rPr>
                <w:b/>
                <w:szCs w:val="20"/>
              </w:rPr>
              <w:t>Selected key pro forma financial information</w:t>
            </w:r>
          </w:p>
        </w:tc>
      </w:tr>
      <w:tr w:rsidR="003F0BC5" w:rsidRPr="00992199" w:rsidTr="00304A20">
        <w:tc>
          <w:tcPr>
            <w:tcW w:w="959" w:type="dxa"/>
            <w:tcBorders>
              <w:top w:val="nil"/>
              <w:bottom w:val="single" w:sz="4" w:space="0" w:color="auto"/>
            </w:tcBorders>
            <w:shd w:val="clear" w:color="auto" w:fill="auto"/>
          </w:tcPr>
          <w:p w:rsidR="003F0BC5" w:rsidRPr="00992199" w:rsidRDefault="003F0BC5" w:rsidP="00BB0F52">
            <w:pPr>
              <w:jc w:val="center"/>
              <w:rPr>
                <w:i/>
                <w:szCs w:val="20"/>
              </w:rPr>
            </w:pPr>
          </w:p>
        </w:tc>
        <w:tc>
          <w:tcPr>
            <w:tcW w:w="8286" w:type="dxa"/>
            <w:tcBorders>
              <w:top w:val="nil"/>
              <w:bottom w:val="single" w:sz="4" w:space="0" w:color="auto"/>
            </w:tcBorders>
            <w:shd w:val="clear" w:color="auto" w:fill="auto"/>
          </w:tcPr>
          <w:p w:rsidR="003F0BC5" w:rsidRPr="00992199" w:rsidRDefault="003F0BC5" w:rsidP="00A431F0">
            <w:pPr>
              <w:rPr>
                <w:i/>
                <w:szCs w:val="20"/>
              </w:rPr>
            </w:pPr>
            <w:r w:rsidRPr="00992199">
              <w:rPr>
                <w:i/>
                <w:szCs w:val="20"/>
              </w:rPr>
              <w:t>[</w:t>
            </w:r>
            <w:r w:rsidR="00A431F0">
              <w:rPr>
                <w:i/>
                <w:szCs w:val="20"/>
              </w:rPr>
              <w:t>•</w:t>
            </w:r>
            <w:r w:rsidRPr="00992199">
              <w:rPr>
                <w:i/>
                <w:szCs w:val="20"/>
              </w:rPr>
              <w:t>].</w:t>
            </w:r>
          </w:p>
        </w:tc>
      </w:tr>
      <w:tr w:rsidR="003F0BC5" w:rsidRPr="00992199" w:rsidTr="00304A20">
        <w:tc>
          <w:tcPr>
            <w:tcW w:w="959" w:type="dxa"/>
            <w:tcBorders>
              <w:bottom w:val="nil"/>
            </w:tcBorders>
            <w:shd w:val="clear" w:color="auto" w:fill="auto"/>
          </w:tcPr>
          <w:p w:rsidR="003F0BC5" w:rsidRPr="00992199" w:rsidRDefault="003F0BC5" w:rsidP="00BB0F52">
            <w:pPr>
              <w:jc w:val="center"/>
              <w:rPr>
                <w:b/>
                <w:szCs w:val="20"/>
              </w:rPr>
            </w:pPr>
            <w:r w:rsidRPr="00992199">
              <w:rPr>
                <w:b/>
                <w:szCs w:val="20"/>
              </w:rPr>
              <w:t>B.9</w:t>
            </w:r>
          </w:p>
        </w:tc>
        <w:tc>
          <w:tcPr>
            <w:tcW w:w="8286" w:type="dxa"/>
            <w:tcBorders>
              <w:bottom w:val="nil"/>
            </w:tcBorders>
            <w:shd w:val="clear" w:color="auto" w:fill="auto"/>
          </w:tcPr>
          <w:p w:rsidR="003F0BC5" w:rsidRPr="00992199" w:rsidRDefault="003F0BC5" w:rsidP="00BB0F52">
            <w:pPr>
              <w:rPr>
                <w:b/>
                <w:szCs w:val="20"/>
              </w:rPr>
            </w:pPr>
            <w:r w:rsidRPr="00992199">
              <w:rPr>
                <w:b/>
                <w:szCs w:val="20"/>
              </w:rPr>
              <w:t>Profit forecast or estimate</w:t>
            </w:r>
          </w:p>
        </w:tc>
      </w:tr>
      <w:tr w:rsidR="003F0BC5" w:rsidRPr="00992199" w:rsidTr="00304A20">
        <w:tc>
          <w:tcPr>
            <w:tcW w:w="959" w:type="dxa"/>
            <w:tcBorders>
              <w:top w:val="nil"/>
              <w:bottom w:val="single" w:sz="4" w:space="0" w:color="auto"/>
            </w:tcBorders>
            <w:shd w:val="clear" w:color="auto" w:fill="auto"/>
          </w:tcPr>
          <w:p w:rsidR="003F0BC5" w:rsidRPr="00992199" w:rsidRDefault="003F0BC5" w:rsidP="00BB0F52">
            <w:pPr>
              <w:jc w:val="center"/>
              <w:rPr>
                <w:i/>
                <w:szCs w:val="20"/>
              </w:rPr>
            </w:pPr>
          </w:p>
        </w:tc>
        <w:tc>
          <w:tcPr>
            <w:tcW w:w="8286" w:type="dxa"/>
            <w:tcBorders>
              <w:top w:val="nil"/>
              <w:bottom w:val="single" w:sz="4" w:space="0" w:color="auto"/>
            </w:tcBorders>
            <w:shd w:val="clear" w:color="auto" w:fill="auto"/>
          </w:tcPr>
          <w:p w:rsidR="003F0BC5" w:rsidRPr="00992199" w:rsidRDefault="00A431F0" w:rsidP="00BB0F52">
            <w:pPr>
              <w:rPr>
                <w:i/>
                <w:szCs w:val="20"/>
              </w:rPr>
            </w:pPr>
            <w:r w:rsidRPr="00582032">
              <w:rPr>
                <w:szCs w:val="20"/>
              </w:rPr>
              <w:t>No profit forecasts or estimates are provided in this Prospectus</w:t>
            </w:r>
            <w:r w:rsidR="007B3512">
              <w:rPr>
                <w:szCs w:val="20"/>
              </w:rPr>
              <w:t>.</w:t>
            </w:r>
          </w:p>
        </w:tc>
      </w:tr>
      <w:tr w:rsidR="003F0BC5" w:rsidRPr="00992199" w:rsidTr="00304A20">
        <w:tc>
          <w:tcPr>
            <w:tcW w:w="959" w:type="dxa"/>
            <w:tcBorders>
              <w:bottom w:val="nil"/>
            </w:tcBorders>
            <w:shd w:val="clear" w:color="auto" w:fill="auto"/>
          </w:tcPr>
          <w:p w:rsidR="003F0BC5" w:rsidRPr="00992199" w:rsidRDefault="003F0BC5" w:rsidP="00BB0F52">
            <w:pPr>
              <w:jc w:val="center"/>
              <w:rPr>
                <w:b/>
                <w:szCs w:val="20"/>
              </w:rPr>
            </w:pPr>
            <w:r w:rsidRPr="00992199">
              <w:rPr>
                <w:b/>
                <w:szCs w:val="20"/>
              </w:rPr>
              <w:t>B.10</w:t>
            </w:r>
          </w:p>
        </w:tc>
        <w:tc>
          <w:tcPr>
            <w:tcW w:w="8286" w:type="dxa"/>
            <w:tcBorders>
              <w:bottom w:val="nil"/>
            </w:tcBorders>
            <w:shd w:val="clear" w:color="auto" w:fill="auto"/>
          </w:tcPr>
          <w:p w:rsidR="003F0BC5" w:rsidRPr="00992199" w:rsidRDefault="003F0BC5" w:rsidP="00BB0F52">
            <w:pPr>
              <w:rPr>
                <w:b/>
                <w:szCs w:val="20"/>
              </w:rPr>
            </w:pPr>
            <w:r w:rsidRPr="00992199">
              <w:rPr>
                <w:b/>
                <w:szCs w:val="20"/>
              </w:rPr>
              <w:t>A description of the nature of any qualifications in the audit report on the historical financial information</w:t>
            </w:r>
          </w:p>
        </w:tc>
      </w:tr>
      <w:tr w:rsidR="003F0BC5" w:rsidRPr="00992199" w:rsidTr="00304A20">
        <w:tc>
          <w:tcPr>
            <w:tcW w:w="959" w:type="dxa"/>
            <w:tcBorders>
              <w:top w:val="nil"/>
              <w:bottom w:val="single" w:sz="4" w:space="0" w:color="auto"/>
            </w:tcBorders>
            <w:shd w:val="clear" w:color="auto" w:fill="auto"/>
          </w:tcPr>
          <w:p w:rsidR="003F0BC5" w:rsidRPr="00992199" w:rsidRDefault="003F0BC5" w:rsidP="00BB0F52">
            <w:pPr>
              <w:jc w:val="center"/>
              <w:rPr>
                <w:i/>
                <w:szCs w:val="20"/>
              </w:rPr>
            </w:pPr>
          </w:p>
        </w:tc>
        <w:tc>
          <w:tcPr>
            <w:tcW w:w="8286" w:type="dxa"/>
            <w:tcBorders>
              <w:top w:val="nil"/>
              <w:bottom w:val="single" w:sz="4" w:space="0" w:color="auto"/>
            </w:tcBorders>
            <w:shd w:val="clear" w:color="auto" w:fill="auto"/>
          </w:tcPr>
          <w:p w:rsidR="003F0BC5" w:rsidRPr="0006129B" w:rsidRDefault="0006129B" w:rsidP="00BB0F52">
            <w:pPr>
              <w:rPr>
                <w:szCs w:val="20"/>
              </w:rPr>
            </w:pPr>
            <w:r>
              <w:rPr>
                <w:szCs w:val="20"/>
              </w:rPr>
              <w:t>Not applicable.</w:t>
            </w:r>
          </w:p>
        </w:tc>
      </w:tr>
      <w:tr w:rsidR="003F0BC5" w:rsidRPr="00992199" w:rsidTr="00304A20">
        <w:tc>
          <w:tcPr>
            <w:tcW w:w="959" w:type="dxa"/>
            <w:tcBorders>
              <w:bottom w:val="nil"/>
            </w:tcBorders>
            <w:shd w:val="clear" w:color="auto" w:fill="auto"/>
          </w:tcPr>
          <w:p w:rsidR="003F0BC5" w:rsidRPr="00992199" w:rsidRDefault="003F0BC5" w:rsidP="00BB0F52">
            <w:pPr>
              <w:jc w:val="center"/>
              <w:rPr>
                <w:b/>
                <w:szCs w:val="20"/>
              </w:rPr>
            </w:pPr>
            <w:r w:rsidRPr="00992199">
              <w:rPr>
                <w:b/>
                <w:szCs w:val="20"/>
              </w:rPr>
              <w:lastRenderedPageBreak/>
              <w:t>B.11</w:t>
            </w:r>
          </w:p>
        </w:tc>
        <w:tc>
          <w:tcPr>
            <w:tcW w:w="8286" w:type="dxa"/>
            <w:tcBorders>
              <w:bottom w:val="nil"/>
            </w:tcBorders>
            <w:shd w:val="clear" w:color="auto" w:fill="auto"/>
          </w:tcPr>
          <w:p w:rsidR="003F0BC5" w:rsidRPr="00992199" w:rsidRDefault="003F0BC5" w:rsidP="00BB0F52">
            <w:pPr>
              <w:rPr>
                <w:b/>
                <w:szCs w:val="20"/>
              </w:rPr>
            </w:pPr>
            <w:r w:rsidRPr="00992199">
              <w:rPr>
                <w:b/>
                <w:szCs w:val="20"/>
              </w:rPr>
              <w:t>Working capital</w:t>
            </w:r>
          </w:p>
        </w:tc>
      </w:tr>
      <w:tr w:rsidR="003F0BC5" w:rsidRPr="00992199" w:rsidTr="00304A20">
        <w:tc>
          <w:tcPr>
            <w:tcW w:w="959" w:type="dxa"/>
            <w:tcBorders>
              <w:top w:val="nil"/>
              <w:bottom w:val="single" w:sz="4" w:space="0" w:color="auto"/>
            </w:tcBorders>
            <w:shd w:val="clear" w:color="auto" w:fill="auto"/>
          </w:tcPr>
          <w:p w:rsidR="003F0BC5" w:rsidRPr="00992199" w:rsidRDefault="003F0BC5" w:rsidP="00BB0F52">
            <w:pPr>
              <w:jc w:val="center"/>
              <w:rPr>
                <w:i/>
                <w:szCs w:val="20"/>
              </w:rPr>
            </w:pPr>
          </w:p>
        </w:tc>
        <w:tc>
          <w:tcPr>
            <w:tcW w:w="8286" w:type="dxa"/>
            <w:tcBorders>
              <w:top w:val="nil"/>
              <w:bottom w:val="single" w:sz="4" w:space="0" w:color="auto"/>
            </w:tcBorders>
            <w:shd w:val="clear" w:color="auto" w:fill="auto"/>
          </w:tcPr>
          <w:p w:rsidR="003F0BC5" w:rsidRPr="00992199" w:rsidRDefault="0006129B" w:rsidP="00BB0F52">
            <w:pPr>
              <w:rPr>
                <w:i/>
                <w:szCs w:val="20"/>
              </w:rPr>
            </w:pPr>
            <w:r>
              <w:rPr>
                <w:szCs w:val="20"/>
              </w:rPr>
              <w:t>I</w:t>
            </w:r>
            <w:r w:rsidRPr="00582032">
              <w:rPr>
                <w:szCs w:val="20"/>
              </w:rPr>
              <w:t>n th</w:t>
            </w:r>
            <w:r>
              <w:rPr>
                <w:szCs w:val="20"/>
              </w:rPr>
              <w:t>e Company’s opinion, the working capital is sufficient for the Company’s present requirements.</w:t>
            </w:r>
          </w:p>
        </w:tc>
      </w:tr>
    </w:tbl>
    <w:p w:rsidR="003F0BC5" w:rsidRPr="00992199" w:rsidRDefault="003F0BC5" w:rsidP="003F0BC5">
      <w:pPr>
        <w:rPr>
          <w:szCs w:val="20"/>
        </w:rPr>
      </w:pPr>
    </w:p>
    <w:p w:rsidR="003F0BC5" w:rsidRPr="00992199" w:rsidRDefault="003F0BC5" w:rsidP="003F0BC5">
      <w:pPr>
        <w:jc w:val="center"/>
        <w:rPr>
          <w:b/>
          <w:szCs w:val="20"/>
        </w:rPr>
      </w:pPr>
      <w:r w:rsidRPr="00992199">
        <w:rPr>
          <w:b/>
          <w:szCs w:val="20"/>
        </w:rPr>
        <w:t>Section C – Shares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3"/>
        <w:gridCol w:w="7762"/>
      </w:tblGrid>
      <w:tr w:rsidR="003F0BC5" w:rsidRPr="00992199" w:rsidTr="00474373">
        <w:trPr>
          <w:tblHeader/>
        </w:trPr>
        <w:tc>
          <w:tcPr>
            <w:tcW w:w="1483" w:type="dxa"/>
            <w:shd w:val="clear" w:color="auto" w:fill="E6E6E6"/>
          </w:tcPr>
          <w:p w:rsidR="003F0BC5" w:rsidRPr="00992199" w:rsidRDefault="003F0BC5" w:rsidP="00BB0F52">
            <w:pPr>
              <w:rPr>
                <w:b/>
                <w:szCs w:val="20"/>
              </w:rPr>
            </w:pPr>
            <w:r w:rsidRPr="00992199">
              <w:rPr>
                <w:b/>
                <w:szCs w:val="20"/>
              </w:rPr>
              <w:t>Element</w:t>
            </w:r>
          </w:p>
        </w:tc>
        <w:tc>
          <w:tcPr>
            <w:tcW w:w="7762" w:type="dxa"/>
            <w:shd w:val="clear" w:color="auto" w:fill="E6E6E6"/>
          </w:tcPr>
          <w:p w:rsidR="003F0BC5" w:rsidRPr="00992199" w:rsidRDefault="003F0BC5" w:rsidP="00BB0F52">
            <w:pPr>
              <w:rPr>
                <w:b/>
                <w:szCs w:val="20"/>
              </w:rPr>
            </w:pPr>
            <w:r w:rsidRPr="00992199">
              <w:rPr>
                <w:b/>
                <w:szCs w:val="20"/>
              </w:rPr>
              <w:t>Disclosure requirement</w:t>
            </w:r>
          </w:p>
        </w:tc>
      </w:tr>
      <w:tr w:rsidR="003F0BC5" w:rsidRPr="00992199" w:rsidTr="00474373">
        <w:tc>
          <w:tcPr>
            <w:tcW w:w="1483" w:type="dxa"/>
            <w:tcBorders>
              <w:bottom w:val="nil"/>
            </w:tcBorders>
            <w:shd w:val="clear" w:color="auto" w:fill="auto"/>
          </w:tcPr>
          <w:p w:rsidR="003F0BC5" w:rsidRPr="00992199" w:rsidRDefault="003F0BC5" w:rsidP="00BB0F52">
            <w:pPr>
              <w:jc w:val="center"/>
              <w:rPr>
                <w:b/>
                <w:szCs w:val="20"/>
              </w:rPr>
            </w:pPr>
            <w:r w:rsidRPr="00992199">
              <w:rPr>
                <w:b/>
                <w:szCs w:val="20"/>
              </w:rPr>
              <w:t>C.1</w:t>
            </w:r>
          </w:p>
        </w:tc>
        <w:tc>
          <w:tcPr>
            <w:tcW w:w="7762" w:type="dxa"/>
            <w:tcBorders>
              <w:bottom w:val="nil"/>
            </w:tcBorders>
            <w:shd w:val="clear" w:color="auto" w:fill="auto"/>
          </w:tcPr>
          <w:p w:rsidR="003F0BC5" w:rsidRPr="00992199" w:rsidRDefault="003F0BC5" w:rsidP="00BB0F52">
            <w:pPr>
              <w:rPr>
                <w:b/>
                <w:szCs w:val="20"/>
              </w:rPr>
            </w:pPr>
            <w:r w:rsidRPr="00992199">
              <w:rPr>
                <w:b/>
                <w:szCs w:val="20"/>
              </w:rPr>
              <w:t>Type and class of New Shares being offered and admitted to trading</w:t>
            </w:r>
          </w:p>
        </w:tc>
      </w:tr>
      <w:tr w:rsidR="003F0BC5" w:rsidRPr="00992199" w:rsidTr="00474373">
        <w:tc>
          <w:tcPr>
            <w:tcW w:w="1483" w:type="dxa"/>
            <w:tcBorders>
              <w:top w:val="nil"/>
              <w:bottom w:val="single" w:sz="4" w:space="0" w:color="auto"/>
            </w:tcBorders>
            <w:shd w:val="clear" w:color="auto" w:fill="auto"/>
          </w:tcPr>
          <w:p w:rsidR="003F0BC5" w:rsidRPr="00992199" w:rsidRDefault="003F0BC5" w:rsidP="00BB0F52">
            <w:pPr>
              <w:jc w:val="center"/>
              <w:rPr>
                <w:szCs w:val="20"/>
              </w:rPr>
            </w:pPr>
          </w:p>
        </w:tc>
        <w:tc>
          <w:tcPr>
            <w:tcW w:w="7762" w:type="dxa"/>
            <w:tcBorders>
              <w:top w:val="nil"/>
              <w:bottom w:val="single" w:sz="4" w:space="0" w:color="auto"/>
            </w:tcBorders>
            <w:shd w:val="clear" w:color="auto" w:fill="auto"/>
          </w:tcPr>
          <w:p w:rsidR="003F0BC5" w:rsidRPr="00992199" w:rsidRDefault="003F0BC5" w:rsidP="00BB0F52">
            <w:pPr>
              <w:rPr>
                <w:szCs w:val="20"/>
              </w:rPr>
            </w:pPr>
            <w:r w:rsidRPr="00992199">
              <w:rPr>
                <w:szCs w:val="20"/>
              </w:rPr>
              <w:t xml:space="preserve">Ordinary shares of the same class as the existing Shares of </w:t>
            </w:r>
            <w:r w:rsidR="002A1AB1">
              <w:rPr>
                <w:szCs w:val="20"/>
              </w:rPr>
              <w:t>Greenyard Foods</w:t>
            </w:r>
            <w:r w:rsidRPr="00992199">
              <w:rPr>
                <w:szCs w:val="20"/>
              </w:rPr>
              <w:t>.</w:t>
            </w:r>
          </w:p>
        </w:tc>
      </w:tr>
      <w:tr w:rsidR="003F0BC5" w:rsidRPr="00992199" w:rsidTr="00474373">
        <w:tc>
          <w:tcPr>
            <w:tcW w:w="1483" w:type="dxa"/>
            <w:tcBorders>
              <w:bottom w:val="nil"/>
            </w:tcBorders>
            <w:shd w:val="clear" w:color="auto" w:fill="auto"/>
          </w:tcPr>
          <w:p w:rsidR="003F0BC5" w:rsidRPr="00992199" w:rsidRDefault="003F0BC5" w:rsidP="00BB0F52">
            <w:pPr>
              <w:jc w:val="center"/>
              <w:rPr>
                <w:b/>
                <w:szCs w:val="20"/>
              </w:rPr>
            </w:pPr>
            <w:r w:rsidRPr="00992199">
              <w:rPr>
                <w:b/>
                <w:szCs w:val="20"/>
              </w:rPr>
              <w:t>C.2</w:t>
            </w:r>
          </w:p>
        </w:tc>
        <w:tc>
          <w:tcPr>
            <w:tcW w:w="7762" w:type="dxa"/>
            <w:tcBorders>
              <w:bottom w:val="nil"/>
            </w:tcBorders>
            <w:shd w:val="clear" w:color="auto" w:fill="auto"/>
          </w:tcPr>
          <w:p w:rsidR="003F0BC5" w:rsidRPr="00992199" w:rsidRDefault="003F0BC5" w:rsidP="00BB0F52">
            <w:pPr>
              <w:rPr>
                <w:b/>
                <w:szCs w:val="20"/>
              </w:rPr>
            </w:pPr>
            <w:r w:rsidRPr="00992199">
              <w:rPr>
                <w:b/>
                <w:szCs w:val="20"/>
              </w:rPr>
              <w:t>Currency of the New Shares</w:t>
            </w:r>
          </w:p>
        </w:tc>
      </w:tr>
      <w:tr w:rsidR="003F0BC5" w:rsidRPr="00992199" w:rsidTr="00474373">
        <w:tc>
          <w:tcPr>
            <w:tcW w:w="1483" w:type="dxa"/>
            <w:tcBorders>
              <w:top w:val="nil"/>
              <w:bottom w:val="single" w:sz="4" w:space="0" w:color="auto"/>
            </w:tcBorders>
            <w:shd w:val="clear" w:color="auto" w:fill="auto"/>
          </w:tcPr>
          <w:p w:rsidR="003F0BC5" w:rsidRPr="00992199" w:rsidRDefault="003F0BC5" w:rsidP="00BB0F52">
            <w:pPr>
              <w:jc w:val="center"/>
              <w:rPr>
                <w:szCs w:val="20"/>
              </w:rPr>
            </w:pPr>
          </w:p>
        </w:tc>
        <w:tc>
          <w:tcPr>
            <w:tcW w:w="7762" w:type="dxa"/>
            <w:tcBorders>
              <w:top w:val="nil"/>
              <w:bottom w:val="single" w:sz="4" w:space="0" w:color="auto"/>
            </w:tcBorders>
            <w:shd w:val="clear" w:color="auto" w:fill="auto"/>
          </w:tcPr>
          <w:p w:rsidR="003F0BC5" w:rsidRPr="00992199" w:rsidRDefault="003F0BC5" w:rsidP="00BB0F52">
            <w:pPr>
              <w:rPr>
                <w:szCs w:val="20"/>
              </w:rPr>
            </w:pPr>
            <w:r w:rsidRPr="00992199">
              <w:rPr>
                <w:szCs w:val="20"/>
              </w:rPr>
              <w:t>Euro.</w:t>
            </w:r>
          </w:p>
        </w:tc>
      </w:tr>
      <w:tr w:rsidR="003F0BC5" w:rsidRPr="00992199" w:rsidTr="00474373">
        <w:tc>
          <w:tcPr>
            <w:tcW w:w="1483" w:type="dxa"/>
            <w:tcBorders>
              <w:bottom w:val="nil"/>
            </w:tcBorders>
            <w:shd w:val="clear" w:color="auto" w:fill="auto"/>
          </w:tcPr>
          <w:p w:rsidR="003F0BC5" w:rsidRPr="00992199" w:rsidRDefault="003F0BC5" w:rsidP="00BB0F52">
            <w:pPr>
              <w:keepNext/>
              <w:keepLines/>
              <w:jc w:val="center"/>
              <w:rPr>
                <w:b/>
                <w:szCs w:val="20"/>
              </w:rPr>
            </w:pPr>
            <w:r w:rsidRPr="00992199">
              <w:rPr>
                <w:b/>
                <w:szCs w:val="20"/>
              </w:rPr>
              <w:t>C.3</w:t>
            </w:r>
          </w:p>
        </w:tc>
        <w:tc>
          <w:tcPr>
            <w:tcW w:w="7762" w:type="dxa"/>
            <w:tcBorders>
              <w:bottom w:val="nil"/>
            </w:tcBorders>
            <w:shd w:val="clear" w:color="auto" w:fill="auto"/>
          </w:tcPr>
          <w:p w:rsidR="003F0BC5" w:rsidRPr="00992199" w:rsidRDefault="003F0BC5" w:rsidP="00BB0F52">
            <w:pPr>
              <w:keepNext/>
              <w:keepLines/>
              <w:rPr>
                <w:b/>
                <w:szCs w:val="20"/>
              </w:rPr>
            </w:pPr>
            <w:r w:rsidRPr="00992199">
              <w:rPr>
                <w:b/>
                <w:szCs w:val="20"/>
              </w:rPr>
              <w:t>Number of Shares issued</w:t>
            </w:r>
          </w:p>
        </w:tc>
      </w:tr>
      <w:tr w:rsidR="003F0BC5" w:rsidRPr="00992199" w:rsidTr="00474373">
        <w:tc>
          <w:tcPr>
            <w:tcW w:w="1483" w:type="dxa"/>
            <w:tcBorders>
              <w:top w:val="nil"/>
              <w:bottom w:val="single" w:sz="4" w:space="0" w:color="auto"/>
            </w:tcBorders>
            <w:shd w:val="clear" w:color="auto" w:fill="auto"/>
          </w:tcPr>
          <w:p w:rsidR="003F0BC5" w:rsidRPr="00992199" w:rsidRDefault="003F0BC5" w:rsidP="00BB0F52">
            <w:pPr>
              <w:keepNext/>
              <w:keepLines/>
              <w:rPr>
                <w:szCs w:val="20"/>
              </w:rPr>
            </w:pPr>
          </w:p>
        </w:tc>
        <w:tc>
          <w:tcPr>
            <w:tcW w:w="7762" w:type="dxa"/>
            <w:tcBorders>
              <w:top w:val="nil"/>
              <w:bottom w:val="single" w:sz="4" w:space="0" w:color="auto"/>
            </w:tcBorders>
            <w:shd w:val="clear" w:color="auto" w:fill="auto"/>
          </w:tcPr>
          <w:p w:rsidR="003F0BC5" w:rsidRPr="00992199" w:rsidRDefault="0006129B" w:rsidP="00BB0F52">
            <w:pPr>
              <w:keepNext/>
              <w:keepLines/>
              <w:jc w:val="left"/>
              <w:rPr>
                <w:szCs w:val="20"/>
              </w:rPr>
            </w:pPr>
            <w:r>
              <w:rPr>
                <w:szCs w:val="20"/>
              </w:rPr>
              <w:t>The N</w:t>
            </w:r>
            <w:r w:rsidR="003F0BC5" w:rsidRPr="00992199">
              <w:rPr>
                <w:szCs w:val="20"/>
              </w:rPr>
              <w:t xml:space="preserve">ew Shares to be issued upon </w:t>
            </w:r>
            <w:r>
              <w:rPr>
                <w:szCs w:val="20"/>
              </w:rPr>
              <w:t xml:space="preserve">completion of the Transactions equals </w:t>
            </w:r>
            <w:r w:rsidR="003F0BC5" w:rsidRPr="00992199">
              <w:rPr>
                <w:szCs w:val="20"/>
              </w:rPr>
              <w:t>27,913,065</w:t>
            </w:r>
            <w:r>
              <w:rPr>
                <w:szCs w:val="20"/>
              </w:rPr>
              <w:t>.</w:t>
            </w:r>
          </w:p>
        </w:tc>
      </w:tr>
      <w:tr w:rsidR="003F0BC5" w:rsidRPr="00992199" w:rsidTr="00474373">
        <w:tc>
          <w:tcPr>
            <w:tcW w:w="1483" w:type="dxa"/>
            <w:tcBorders>
              <w:bottom w:val="nil"/>
            </w:tcBorders>
            <w:shd w:val="clear" w:color="auto" w:fill="auto"/>
          </w:tcPr>
          <w:p w:rsidR="003F0BC5" w:rsidRPr="00992199" w:rsidRDefault="003F0BC5" w:rsidP="00BB0F52">
            <w:pPr>
              <w:jc w:val="center"/>
              <w:rPr>
                <w:b/>
                <w:szCs w:val="20"/>
              </w:rPr>
            </w:pPr>
            <w:r w:rsidRPr="00992199">
              <w:rPr>
                <w:b/>
                <w:szCs w:val="20"/>
              </w:rPr>
              <w:t>C.4</w:t>
            </w:r>
          </w:p>
        </w:tc>
        <w:tc>
          <w:tcPr>
            <w:tcW w:w="7762" w:type="dxa"/>
            <w:tcBorders>
              <w:bottom w:val="nil"/>
            </w:tcBorders>
            <w:shd w:val="clear" w:color="auto" w:fill="auto"/>
          </w:tcPr>
          <w:p w:rsidR="003F0BC5" w:rsidRPr="00992199" w:rsidRDefault="003F0BC5" w:rsidP="00BB0F52">
            <w:pPr>
              <w:rPr>
                <w:b/>
                <w:szCs w:val="20"/>
              </w:rPr>
            </w:pPr>
            <w:r w:rsidRPr="00992199">
              <w:rPr>
                <w:b/>
                <w:szCs w:val="20"/>
              </w:rPr>
              <w:t>Rights attached to the New Shares</w:t>
            </w:r>
          </w:p>
        </w:tc>
      </w:tr>
      <w:tr w:rsidR="003F0BC5" w:rsidRPr="00992199" w:rsidTr="00474373">
        <w:tc>
          <w:tcPr>
            <w:tcW w:w="1483" w:type="dxa"/>
            <w:tcBorders>
              <w:top w:val="nil"/>
              <w:bottom w:val="single" w:sz="4" w:space="0" w:color="auto"/>
            </w:tcBorders>
            <w:shd w:val="clear" w:color="auto" w:fill="auto"/>
          </w:tcPr>
          <w:p w:rsidR="003F0BC5" w:rsidRPr="00992199" w:rsidRDefault="003F0BC5" w:rsidP="00BB0F52">
            <w:pPr>
              <w:rPr>
                <w:szCs w:val="20"/>
              </w:rPr>
            </w:pPr>
          </w:p>
        </w:tc>
        <w:tc>
          <w:tcPr>
            <w:tcW w:w="7762" w:type="dxa"/>
            <w:tcBorders>
              <w:top w:val="nil"/>
              <w:bottom w:val="single" w:sz="4" w:space="0" w:color="auto"/>
            </w:tcBorders>
            <w:shd w:val="clear" w:color="auto" w:fill="auto"/>
          </w:tcPr>
          <w:p w:rsidR="003F0BC5" w:rsidRPr="00992199" w:rsidRDefault="003F0BC5" w:rsidP="00BB0F52">
            <w:pPr>
              <w:rPr>
                <w:szCs w:val="20"/>
              </w:rPr>
            </w:pPr>
            <w:r w:rsidRPr="00992199">
              <w:rPr>
                <w:szCs w:val="20"/>
              </w:rPr>
              <w:t xml:space="preserve">Same rights as the rights of the existing Shares of </w:t>
            </w:r>
            <w:r w:rsidR="002A1AB1">
              <w:rPr>
                <w:szCs w:val="20"/>
              </w:rPr>
              <w:t>Greenyard Foods</w:t>
            </w:r>
            <w:r w:rsidRPr="00992199">
              <w:rPr>
                <w:szCs w:val="20"/>
              </w:rPr>
              <w:t>, including in respect of any future dividend distribution.</w:t>
            </w:r>
          </w:p>
        </w:tc>
      </w:tr>
      <w:tr w:rsidR="003F0BC5" w:rsidRPr="00992199" w:rsidTr="00474373">
        <w:tc>
          <w:tcPr>
            <w:tcW w:w="1483" w:type="dxa"/>
            <w:tcBorders>
              <w:bottom w:val="nil"/>
            </w:tcBorders>
            <w:shd w:val="clear" w:color="auto" w:fill="auto"/>
          </w:tcPr>
          <w:p w:rsidR="003F0BC5" w:rsidRPr="00992199" w:rsidRDefault="003F0BC5" w:rsidP="00BB0F52">
            <w:pPr>
              <w:jc w:val="center"/>
              <w:rPr>
                <w:b/>
                <w:szCs w:val="20"/>
              </w:rPr>
            </w:pPr>
            <w:r w:rsidRPr="00992199">
              <w:rPr>
                <w:b/>
                <w:szCs w:val="20"/>
              </w:rPr>
              <w:t>C.5</w:t>
            </w:r>
          </w:p>
        </w:tc>
        <w:tc>
          <w:tcPr>
            <w:tcW w:w="7762" w:type="dxa"/>
            <w:tcBorders>
              <w:bottom w:val="nil"/>
            </w:tcBorders>
            <w:shd w:val="clear" w:color="auto" w:fill="auto"/>
          </w:tcPr>
          <w:p w:rsidR="003F0BC5" w:rsidRPr="00992199" w:rsidRDefault="003F0BC5" w:rsidP="00BB0F52">
            <w:pPr>
              <w:rPr>
                <w:b/>
                <w:szCs w:val="20"/>
              </w:rPr>
            </w:pPr>
            <w:r w:rsidRPr="00992199">
              <w:rPr>
                <w:b/>
                <w:szCs w:val="20"/>
              </w:rPr>
              <w:t>Restrictions on the free transferability of the New Shares</w:t>
            </w:r>
          </w:p>
        </w:tc>
      </w:tr>
      <w:tr w:rsidR="003F0BC5" w:rsidRPr="00992199" w:rsidTr="00474373">
        <w:tc>
          <w:tcPr>
            <w:tcW w:w="1483" w:type="dxa"/>
            <w:tcBorders>
              <w:top w:val="nil"/>
              <w:bottom w:val="single" w:sz="4" w:space="0" w:color="auto"/>
            </w:tcBorders>
            <w:shd w:val="clear" w:color="auto" w:fill="auto"/>
          </w:tcPr>
          <w:p w:rsidR="003F0BC5" w:rsidRPr="00992199" w:rsidRDefault="003F0BC5" w:rsidP="00BB0F52">
            <w:pPr>
              <w:rPr>
                <w:szCs w:val="20"/>
              </w:rPr>
            </w:pPr>
          </w:p>
        </w:tc>
        <w:tc>
          <w:tcPr>
            <w:tcW w:w="7762" w:type="dxa"/>
            <w:tcBorders>
              <w:top w:val="nil"/>
              <w:bottom w:val="single" w:sz="4" w:space="0" w:color="auto"/>
            </w:tcBorders>
            <w:shd w:val="clear" w:color="auto" w:fill="auto"/>
          </w:tcPr>
          <w:p w:rsidR="003F0BC5" w:rsidRPr="00992199" w:rsidRDefault="003F0BC5" w:rsidP="00BB0F52">
            <w:pPr>
              <w:rPr>
                <w:szCs w:val="20"/>
              </w:rPr>
            </w:pPr>
            <w:r w:rsidRPr="00992199">
              <w:rPr>
                <w:szCs w:val="20"/>
              </w:rPr>
              <w:t>None.</w:t>
            </w:r>
          </w:p>
        </w:tc>
      </w:tr>
      <w:tr w:rsidR="003F0BC5" w:rsidRPr="00992199" w:rsidTr="00474373">
        <w:tc>
          <w:tcPr>
            <w:tcW w:w="1483" w:type="dxa"/>
            <w:tcBorders>
              <w:bottom w:val="nil"/>
            </w:tcBorders>
            <w:shd w:val="clear" w:color="auto" w:fill="auto"/>
          </w:tcPr>
          <w:p w:rsidR="003F0BC5" w:rsidRPr="00992199" w:rsidRDefault="003F0BC5" w:rsidP="00BB0F52">
            <w:pPr>
              <w:jc w:val="center"/>
              <w:rPr>
                <w:b/>
                <w:szCs w:val="20"/>
              </w:rPr>
            </w:pPr>
            <w:r w:rsidRPr="00992199">
              <w:rPr>
                <w:b/>
                <w:szCs w:val="20"/>
              </w:rPr>
              <w:t>C.6</w:t>
            </w:r>
          </w:p>
        </w:tc>
        <w:tc>
          <w:tcPr>
            <w:tcW w:w="7762" w:type="dxa"/>
            <w:tcBorders>
              <w:bottom w:val="nil"/>
            </w:tcBorders>
            <w:shd w:val="clear" w:color="auto" w:fill="auto"/>
          </w:tcPr>
          <w:p w:rsidR="003F0BC5" w:rsidRPr="00992199" w:rsidRDefault="003F0BC5" w:rsidP="00BB0F52">
            <w:pPr>
              <w:rPr>
                <w:b/>
                <w:szCs w:val="20"/>
              </w:rPr>
            </w:pPr>
            <w:r w:rsidRPr="00992199">
              <w:rPr>
                <w:b/>
                <w:szCs w:val="20"/>
              </w:rPr>
              <w:t>Application for admission to trading on a regulated market and identity of all the regulated markets where the New Shares are or are to be traded</w:t>
            </w:r>
          </w:p>
        </w:tc>
      </w:tr>
      <w:tr w:rsidR="003F0BC5" w:rsidRPr="00992199" w:rsidTr="00474373">
        <w:tc>
          <w:tcPr>
            <w:tcW w:w="1483" w:type="dxa"/>
            <w:tcBorders>
              <w:top w:val="nil"/>
              <w:bottom w:val="single" w:sz="4" w:space="0" w:color="auto"/>
            </w:tcBorders>
            <w:shd w:val="clear" w:color="auto" w:fill="auto"/>
          </w:tcPr>
          <w:p w:rsidR="003F0BC5" w:rsidRPr="00992199" w:rsidRDefault="003F0BC5" w:rsidP="00BB0F52">
            <w:pPr>
              <w:rPr>
                <w:szCs w:val="20"/>
              </w:rPr>
            </w:pPr>
          </w:p>
        </w:tc>
        <w:tc>
          <w:tcPr>
            <w:tcW w:w="7762" w:type="dxa"/>
            <w:tcBorders>
              <w:top w:val="nil"/>
              <w:bottom w:val="single" w:sz="4" w:space="0" w:color="auto"/>
            </w:tcBorders>
            <w:shd w:val="clear" w:color="auto" w:fill="auto"/>
          </w:tcPr>
          <w:p w:rsidR="003F0BC5" w:rsidRPr="00992199" w:rsidRDefault="003F0BC5" w:rsidP="00BB0F52">
            <w:pPr>
              <w:rPr>
                <w:szCs w:val="20"/>
              </w:rPr>
            </w:pPr>
            <w:r w:rsidRPr="00992199">
              <w:rPr>
                <w:szCs w:val="20"/>
              </w:rPr>
              <w:t>Application filed with Euronext Brussels on [●] June 2015.</w:t>
            </w:r>
          </w:p>
        </w:tc>
      </w:tr>
      <w:tr w:rsidR="003F0BC5" w:rsidRPr="00992199" w:rsidTr="00474373">
        <w:tc>
          <w:tcPr>
            <w:tcW w:w="1483" w:type="dxa"/>
            <w:tcBorders>
              <w:bottom w:val="nil"/>
            </w:tcBorders>
            <w:shd w:val="clear" w:color="auto" w:fill="auto"/>
          </w:tcPr>
          <w:p w:rsidR="003F0BC5" w:rsidRPr="00992199" w:rsidRDefault="003F0BC5" w:rsidP="00BB0F52">
            <w:pPr>
              <w:jc w:val="center"/>
              <w:rPr>
                <w:b/>
                <w:szCs w:val="20"/>
              </w:rPr>
            </w:pPr>
            <w:r w:rsidRPr="00992199">
              <w:rPr>
                <w:b/>
                <w:szCs w:val="20"/>
              </w:rPr>
              <w:t>C.7</w:t>
            </w:r>
          </w:p>
        </w:tc>
        <w:tc>
          <w:tcPr>
            <w:tcW w:w="7762" w:type="dxa"/>
            <w:tcBorders>
              <w:bottom w:val="nil"/>
            </w:tcBorders>
            <w:shd w:val="clear" w:color="auto" w:fill="auto"/>
          </w:tcPr>
          <w:p w:rsidR="003F0BC5" w:rsidRPr="00992199" w:rsidRDefault="003F0BC5" w:rsidP="00BB0F52">
            <w:pPr>
              <w:rPr>
                <w:b/>
                <w:szCs w:val="20"/>
              </w:rPr>
            </w:pPr>
            <w:r w:rsidRPr="00992199">
              <w:rPr>
                <w:b/>
                <w:szCs w:val="20"/>
              </w:rPr>
              <w:t>A description of dividend policy</w:t>
            </w:r>
          </w:p>
        </w:tc>
      </w:tr>
      <w:tr w:rsidR="003F0BC5" w:rsidRPr="00992199" w:rsidTr="00474373">
        <w:tc>
          <w:tcPr>
            <w:tcW w:w="1483" w:type="dxa"/>
            <w:tcBorders>
              <w:top w:val="nil"/>
              <w:bottom w:val="single" w:sz="4" w:space="0" w:color="auto"/>
            </w:tcBorders>
            <w:shd w:val="clear" w:color="auto" w:fill="auto"/>
          </w:tcPr>
          <w:p w:rsidR="003F0BC5" w:rsidRPr="00992199" w:rsidRDefault="003F0BC5" w:rsidP="00BB0F52">
            <w:pPr>
              <w:jc w:val="center"/>
              <w:rPr>
                <w:i/>
                <w:szCs w:val="20"/>
              </w:rPr>
            </w:pPr>
          </w:p>
        </w:tc>
        <w:tc>
          <w:tcPr>
            <w:tcW w:w="7762" w:type="dxa"/>
            <w:tcBorders>
              <w:top w:val="nil"/>
              <w:bottom w:val="single" w:sz="4" w:space="0" w:color="auto"/>
            </w:tcBorders>
            <w:shd w:val="clear" w:color="auto" w:fill="auto"/>
          </w:tcPr>
          <w:p w:rsidR="003F0BC5" w:rsidRPr="0006129B" w:rsidRDefault="0006129B" w:rsidP="00BB0F52">
            <w:pPr>
              <w:rPr>
                <w:szCs w:val="20"/>
              </w:rPr>
            </w:pPr>
            <w:r w:rsidRPr="00992199">
              <w:rPr>
                <w:szCs w:val="20"/>
              </w:rPr>
              <w:t>The</w:t>
            </w:r>
            <w:r>
              <w:rPr>
                <w:szCs w:val="20"/>
              </w:rPr>
              <w:t xml:space="preserve"> </w:t>
            </w:r>
            <w:r w:rsidRPr="00992199">
              <w:rPr>
                <w:szCs w:val="20"/>
              </w:rPr>
              <w:t>dividend policy of the Company </w:t>
            </w:r>
            <w:r>
              <w:rPr>
                <w:szCs w:val="20"/>
              </w:rPr>
              <w:t xml:space="preserve">aims </w:t>
            </w:r>
            <w:r w:rsidR="0083762C">
              <w:rPr>
                <w:szCs w:val="20"/>
              </w:rPr>
              <w:t xml:space="preserve">at </w:t>
            </w:r>
            <w:r>
              <w:rPr>
                <w:szCs w:val="20"/>
              </w:rPr>
              <w:t>a</w:t>
            </w:r>
            <w:r w:rsidRPr="00992199">
              <w:rPr>
                <w:szCs w:val="20"/>
              </w:rPr>
              <w:t xml:space="preserve"> pay ratio instead of </w:t>
            </w:r>
            <w:r>
              <w:rPr>
                <w:szCs w:val="20"/>
              </w:rPr>
              <w:t xml:space="preserve">a </w:t>
            </w:r>
            <w:r w:rsidRPr="00992199">
              <w:rPr>
                <w:szCs w:val="20"/>
              </w:rPr>
              <w:t>fixed dividend</w:t>
            </w:r>
            <w:r>
              <w:rPr>
                <w:szCs w:val="20"/>
              </w:rPr>
              <w:t xml:space="preserve"> per</w:t>
            </w:r>
            <w:r w:rsidRPr="00992199">
              <w:rPr>
                <w:szCs w:val="20"/>
              </w:rPr>
              <w:t xml:space="preserve"> share. The pay ratio is </w:t>
            </w:r>
            <w:r>
              <w:rPr>
                <w:szCs w:val="20"/>
              </w:rPr>
              <w:t xml:space="preserve">a </w:t>
            </w:r>
            <w:r w:rsidRPr="00992199">
              <w:rPr>
                <w:szCs w:val="20"/>
              </w:rPr>
              <w:t xml:space="preserve">minimum </w:t>
            </w:r>
            <w:r>
              <w:rPr>
                <w:szCs w:val="20"/>
              </w:rPr>
              <w:t xml:space="preserve">of </w:t>
            </w:r>
            <w:r w:rsidRPr="00992199">
              <w:rPr>
                <w:szCs w:val="20"/>
              </w:rPr>
              <w:t xml:space="preserve">15% on net recurrent profit. This </w:t>
            </w:r>
            <w:r>
              <w:rPr>
                <w:szCs w:val="20"/>
              </w:rPr>
              <w:t xml:space="preserve">dividend policy by the Company will </w:t>
            </w:r>
            <w:r w:rsidRPr="00992199">
              <w:rPr>
                <w:szCs w:val="20"/>
              </w:rPr>
              <w:t>be reconfirmed by the Board of Directors on an annual basis.</w:t>
            </w:r>
          </w:p>
        </w:tc>
      </w:tr>
    </w:tbl>
    <w:p w:rsidR="003F0BC5" w:rsidRPr="00992199" w:rsidRDefault="003F0BC5" w:rsidP="003F0BC5">
      <w:pPr>
        <w:rPr>
          <w:szCs w:val="20"/>
        </w:rPr>
      </w:pPr>
    </w:p>
    <w:p w:rsidR="003F0BC5" w:rsidRPr="00992199" w:rsidRDefault="003F0BC5" w:rsidP="003F0BC5">
      <w:pPr>
        <w:jc w:val="center"/>
        <w:rPr>
          <w:b/>
          <w:szCs w:val="20"/>
        </w:rPr>
      </w:pPr>
      <w:r w:rsidRPr="00992199">
        <w:rPr>
          <w:b/>
          <w:szCs w:val="20"/>
        </w:rPr>
        <w:t>Section D – 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3"/>
        <w:gridCol w:w="7762"/>
      </w:tblGrid>
      <w:tr w:rsidR="003F0BC5" w:rsidRPr="00992199" w:rsidTr="00474373">
        <w:trPr>
          <w:tblHeader/>
        </w:trPr>
        <w:tc>
          <w:tcPr>
            <w:tcW w:w="1483" w:type="dxa"/>
            <w:shd w:val="clear" w:color="auto" w:fill="E6E6E6"/>
          </w:tcPr>
          <w:p w:rsidR="003F0BC5" w:rsidRPr="00992199" w:rsidRDefault="003F0BC5" w:rsidP="00BB0F52">
            <w:pPr>
              <w:rPr>
                <w:b/>
                <w:szCs w:val="20"/>
              </w:rPr>
            </w:pPr>
            <w:r w:rsidRPr="00992199">
              <w:rPr>
                <w:b/>
                <w:szCs w:val="20"/>
              </w:rPr>
              <w:t>Element</w:t>
            </w:r>
          </w:p>
        </w:tc>
        <w:tc>
          <w:tcPr>
            <w:tcW w:w="7762" w:type="dxa"/>
            <w:shd w:val="clear" w:color="auto" w:fill="E6E6E6"/>
          </w:tcPr>
          <w:p w:rsidR="003F0BC5" w:rsidRPr="00992199" w:rsidRDefault="003F0BC5" w:rsidP="00BB0F52">
            <w:pPr>
              <w:rPr>
                <w:b/>
                <w:szCs w:val="20"/>
              </w:rPr>
            </w:pPr>
            <w:r w:rsidRPr="00992199">
              <w:rPr>
                <w:b/>
                <w:szCs w:val="20"/>
              </w:rPr>
              <w:t>Disclosure requirement</w:t>
            </w:r>
          </w:p>
        </w:tc>
      </w:tr>
      <w:tr w:rsidR="003F0BC5" w:rsidRPr="00992199" w:rsidTr="00474373">
        <w:tc>
          <w:tcPr>
            <w:tcW w:w="1483" w:type="dxa"/>
            <w:tcBorders>
              <w:bottom w:val="nil"/>
            </w:tcBorders>
            <w:shd w:val="clear" w:color="auto" w:fill="auto"/>
          </w:tcPr>
          <w:p w:rsidR="003F0BC5" w:rsidRPr="00992199" w:rsidRDefault="003F0BC5" w:rsidP="00BB0F52">
            <w:pPr>
              <w:jc w:val="center"/>
              <w:rPr>
                <w:b/>
                <w:szCs w:val="20"/>
              </w:rPr>
            </w:pPr>
            <w:r w:rsidRPr="00992199">
              <w:rPr>
                <w:b/>
                <w:szCs w:val="20"/>
              </w:rPr>
              <w:t>D.1</w:t>
            </w:r>
          </w:p>
        </w:tc>
        <w:tc>
          <w:tcPr>
            <w:tcW w:w="7762" w:type="dxa"/>
            <w:tcBorders>
              <w:bottom w:val="nil"/>
            </w:tcBorders>
            <w:shd w:val="clear" w:color="auto" w:fill="auto"/>
          </w:tcPr>
          <w:p w:rsidR="003F0BC5" w:rsidRPr="00992199" w:rsidRDefault="003F0BC5" w:rsidP="00BB0F52">
            <w:pPr>
              <w:rPr>
                <w:b/>
                <w:szCs w:val="20"/>
              </w:rPr>
            </w:pPr>
            <w:r w:rsidRPr="00992199">
              <w:rPr>
                <w:b/>
                <w:szCs w:val="20"/>
              </w:rPr>
              <w:t>Key risks that are specific to the Company or its industry</w:t>
            </w:r>
          </w:p>
        </w:tc>
      </w:tr>
      <w:tr w:rsidR="003F0BC5" w:rsidRPr="00992199" w:rsidTr="00474373">
        <w:tc>
          <w:tcPr>
            <w:tcW w:w="1483" w:type="dxa"/>
            <w:tcBorders>
              <w:top w:val="nil"/>
              <w:bottom w:val="single" w:sz="4" w:space="0" w:color="auto"/>
            </w:tcBorders>
            <w:shd w:val="clear" w:color="auto" w:fill="auto"/>
          </w:tcPr>
          <w:p w:rsidR="003F0BC5" w:rsidRPr="00992199" w:rsidRDefault="003F0BC5" w:rsidP="00BB0F52">
            <w:pPr>
              <w:jc w:val="center"/>
              <w:rPr>
                <w:i/>
                <w:szCs w:val="20"/>
              </w:rPr>
            </w:pPr>
          </w:p>
        </w:tc>
        <w:tc>
          <w:tcPr>
            <w:tcW w:w="7762" w:type="dxa"/>
            <w:tcBorders>
              <w:top w:val="nil"/>
              <w:bottom w:val="single" w:sz="4" w:space="0" w:color="auto"/>
            </w:tcBorders>
            <w:shd w:val="clear" w:color="auto" w:fill="auto"/>
          </w:tcPr>
          <w:p w:rsidR="0006129B" w:rsidRPr="00992199" w:rsidRDefault="0006129B" w:rsidP="0006129B">
            <w:pPr>
              <w:rPr>
                <w:b/>
                <w:i/>
                <w:szCs w:val="20"/>
              </w:rPr>
            </w:pPr>
            <w:r w:rsidRPr="00992199">
              <w:rPr>
                <w:b/>
                <w:i/>
                <w:szCs w:val="20"/>
              </w:rPr>
              <w:t xml:space="preserve">Limited availability of raw materials </w:t>
            </w:r>
            <w:r w:rsidRPr="00992199">
              <w:rPr>
                <w:b/>
                <w:i/>
                <w:szCs w:val="20"/>
                <w:lang w:eastAsia="en-GB"/>
              </w:rPr>
              <w:t>could</w:t>
            </w:r>
            <w:r w:rsidRPr="00992199">
              <w:rPr>
                <w:b/>
                <w:i/>
                <w:szCs w:val="20"/>
              </w:rPr>
              <w:t xml:space="preserve"> potentially result in the lack of sufficient delivery of the quantity and quality asked by the customers</w:t>
            </w:r>
            <w:r w:rsidRPr="00992199">
              <w:rPr>
                <w:b/>
                <w:i/>
                <w:szCs w:val="20"/>
                <w:lang w:eastAsia="en-GB"/>
              </w:rPr>
              <w:t xml:space="preserve"> and adversely affect raw materials prices.</w:t>
            </w:r>
          </w:p>
          <w:p w:rsidR="0006129B" w:rsidRPr="00992199" w:rsidRDefault="0006129B" w:rsidP="0006129B">
            <w:pPr>
              <w:rPr>
                <w:szCs w:val="20"/>
              </w:rPr>
            </w:pPr>
            <w:r w:rsidRPr="00992199">
              <w:rPr>
                <w:szCs w:val="20"/>
                <w:lang w:eastAsia="en-GB"/>
              </w:rPr>
              <w:t xml:space="preserve">The results of the </w:t>
            </w:r>
            <w:r>
              <w:rPr>
                <w:szCs w:val="20"/>
              </w:rPr>
              <w:t>Combined Greenyard Foods</w:t>
            </w:r>
            <w:r w:rsidRPr="00992199">
              <w:rPr>
                <w:szCs w:val="20"/>
              </w:rPr>
              <w:t xml:space="preserve"> </w:t>
            </w:r>
            <w:r w:rsidRPr="00992199">
              <w:rPr>
                <w:szCs w:val="20"/>
                <w:lang w:eastAsia="en-GB"/>
              </w:rPr>
              <w:t>Group may be adversely affected by shortage of produce, on the one hand, and raw materials, which include packaging materials (plastics and cardboard), on the other hand.</w:t>
            </w:r>
          </w:p>
          <w:p w:rsidR="0006129B" w:rsidRPr="00992199" w:rsidRDefault="0006129B" w:rsidP="0006129B">
            <w:pPr>
              <w:rPr>
                <w:szCs w:val="20"/>
              </w:rPr>
            </w:pPr>
            <w:r w:rsidRPr="00992199">
              <w:rPr>
                <w:szCs w:val="20"/>
              </w:rPr>
              <w:lastRenderedPageBreak/>
              <w:t xml:space="preserve">The Frozen Division obtains supplies of fresh vegetables mainly from 800 farmers in West Flanders, Belgium, and northern </w:t>
            </w:r>
            <w:smartTag w:uri="urn:schemas-microsoft-com:office:smarttags" w:element="country-region">
              <w:r w:rsidRPr="00992199">
                <w:rPr>
                  <w:szCs w:val="20"/>
                </w:rPr>
                <w:t>France</w:t>
              </w:r>
            </w:smartTag>
            <w:r w:rsidRPr="00992199">
              <w:rPr>
                <w:szCs w:val="20"/>
              </w:rPr>
              <w:t xml:space="preserve">, </w:t>
            </w:r>
            <w:smartTag w:uri="urn:schemas-microsoft-com:office:smarttags" w:element="country-region">
              <w:r w:rsidRPr="00992199">
                <w:rPr>
                  <w:szCs w:val="20"/>
                </w:rPr>
                <w:t>Poland</w:t>
              </w:r>
            </w:smartTag>
            <w:r w:rsidRPr="00992199">
              <w:rPr>
                <w:szCs w:val="20"/>
              </w:rPr>
              <w:t xml:space="preserve"> and </w:t>
            </w:r>
            <w:smartTag w:uri="urn:schemas-microsoft-com:office:smarttags" w:element="country-region">
              <w:smartTag w:uri="urn:schemas-microsoft-com:office:smarttags" w:element="place">
                <w:r w:rsidRPr="00992199">
                  <w:rPr>
                    <w:szCs w:val="20"/>
                  </w:rPr>
                  <w:t>Hungary</w:t>
                </w:r>
              </w:smartTag>
            </w:smartTag>
            <w:r w:rsidRPr="00992199">
              <w:rPr>
                <w:szCs w:val="20"/>
              </w:rPr>
              <w:t xml:space="preserve">. The supply of Pinguin Foods UK is secured by agricultural cooperatives and various dealers. The supply of the Canning Division originates from approximately 4,500 ha agricultural land in a radius of 100 km around the city of </w:t>
            </w:r>
            <w:smartTag w:uri="urn:schemas-microsoft-com:office:smarttags" w:element="City">
              <w:smartTag w:uri="urn:schemas-microsoft-com:office:smarttags" w:element="place">
                <w:r w:rsidRPr="00992199">
                  <w:rPr>
                    <w:szCs w:val="20"/>
                  </w:rPr>
                  <w:t>Bree</w:t>
                </w:r>
              </w:smartTag>
            </w:smartTag>
            <w:r w:rsidRPr="00992199">
              <w:rPr>
                <w:szCs w:val="20"/>
              </w:rPr>
              <w:t xml:space="preserve">. </w:t>
            </w:r>
            <w:r w:rsidRPr="00992199">
              <w:rPr>
                <w:szCs w:val="20"/>
                <w:lang w:eastAsia="en-GB"/>
              </w:rPr>
              <w:t xml:space="preserve">The Univeg Group currently obtains most of its supply from outside sources, of which approximately a quarter is sourced from the spot market and the remainder from third party suppliers, the </w:t>
            </w:r>
            <w:r w:rsidR="00B0544B" w:rsidRPr="00992199">
              <w:rPr>
                <w:szCs w:val="20"/>
              </w:rPr>
              <w:t>Orchards Invest B</w:t>
            </w:r>
            <w:r w:rsidR="00B0544B">
              <w:rPr>
                <w:szCs w:val="20"/>
              </w:rPr>
              <w:t>.</w:t>
            </w:r>
            <w:r w:rsidR="00B0544B" w:rsidRPr="00992199">
              <w:rPr>
                <w:szCs w:val="20"/>
              </w:rPr>
              <w:t>V</w:t>
            </w:r>
            <w:r w:rsidR="00B0544B">
              <w:rPr>
                <w:szCs w:val="20"/>
              </w:rPr>
              <w:t>.</w:t>
            </w:r>
            <w:r w:rsidR="00B0544B" w:rsidRPr="00992199">
              <w:rPr>
                <w:szCs w:val="20"/>
              </w:rPr>
              <w:t xml:space="preserve"> and its subsidiaries</w:t>
            </w:r>
            <w:r w:rsidR="00B0544B">
              <w:rPr>
                <w:szCs w:val="20"/>
                <w:lang w:eastAsia="en-GB"/>
              </w:rPr>
              <w:t xml:space="preserve"> (the </w:t>
            </w:r>
            <w:r w:rsidRPr="00B0544B">
              <w:rPr>
                <w:b/>
                <w:i/>
                <w:szCs w:val="20"/>
                <w:lang w:eastAsia="en-GB"/>
              </w:rPr>
              <w:t>Argentinean Operations</w:t>
            </w:r>
            <w:r w:rsidR="00B0544B">
              <w:rPr>
                <w:szCs w:val="20"/>
                <w:lang w:eastAsia="en-GB"/>
              </w:rPr>
              <w:t>)</w:t>
            </w:r>
            <w:r w:rsidRPr="00992199">
              <w:rPr>
                <w:szCs w:val="20"/>
                <w:lang w:eastAsia="en-GB"/>
              </w:rPr>
              <w:t xml:space="preserve"> and The Fruit Farm Group. The Peatinvest Group currently supplies the majority of its production through its own production of peat in </w:t>
            </w:r>
            <w:smartTag w:uri="urn:schemas-microsoft-com:office:smarttags" w:element="country-region">
              <w:r w:rsidRPr="00992199">
                <w:rPr>
                  <w:szCs w:val="20"/>
                  <w:lang w:eastAsia="en-GB"/>
                </w:rPr>
                <w:t>Latvia</w:t>
              </w:r>
            </w:smartTag>
            <w:r w:rsidRPr="00992199">
              <w:rPr>
                <w:szCs w:val="20"/>
                <w:lang w:eastAsia="en-GB"/>
              </w:rPr>
              <w:t xml:space="preserve"> and </w:t>
            </w:r>
            <w:smartTag w:uri="urn:schemas-microsoft-com:office:smarttags" w:element="country-region">
              <w:smartTag w:uri="urn:schemas-microsoft-com:office:smarttags" w:element="place">
                <w:r w:rsidRPr="00992199">
                  <w:rPr>
                    <w:szCs w:val="20"/>
                    <w:lang w:eastAsia="en-GB"/>
                  </w:rPr>
                  <w:t>Poland</w:t>
                </w:r>
              </w:smartTag>
            </w:smartTag>
            <w:r w:rsidRPr="00992199">
              <w:rPr>
                <w:szCs w:val="20"/>
                <w:lang w:eastAsia="en-GB"/>
              </w:rPr>
              <w:t>. The Peatinvest Group also purchases specialty raw materials from long-lasting supply partners working closely with the Peatinvest Group.</w:t>
            </w:r>
          </w:p>
          <w:p w:rsidR="0006129B" w:rsidRPr="00992199" w:rsidRDefault="0006129B" w:rsidP="0006129B">
            <w:pPr>
              <w:rPr>
                <w:szCs w:val="20"/>
              </w:rPr>
            </w:pPr>
            <w:r w:rsidRPr="00992199">
              <w:rPr>
                <w:szCs w:val="20"/>
              </w:rPr>
              <w:t xml:space="preserve">Although the </w:t>
            </w:r>
            <w:r>
              <w:rPr>
                <w:szCs w:val="20"/>
              </w:rPr>
              <w:t>Combined Greenyard Foods</w:t>
            </w:r>
            <w:r w:rsidRPr="00992199">
              <w:rPr>
                <w:szCs w:val="20"/>
              </w:rPr>
              <w:t xml:space="preserve"> Group tries to limit this risk by the geographical spread of its production sites, it is however still possible that in certain cases, for example because of climate conditions or soil exhaustion in fields for certain </w:t>
            </w:r>
            <w:r>
              <w:rPr>
                <w:szCs w:val="20"/>
              </w:rPr>
              <w:t>products</w:t>
            </w:r>
            <w:r w:rsidRPr="00992199">
              <w:rPr>
                <w:szCs w:val="20"/>
              </w:rPr>
              <w:t xml:space="preserve">, the </w:t>
            </w:r>
            <w:r w:rsidRPr="002A1AB1">
              <w:rPr>
                <w:szCs w:val="20"/>
              </w:rPr>
              <w:t>Combined Greenyard</w:t>
            </w:r>
            <w:r>
              <w:rPr>
                <w:szCs w:val="20"/>
              </w:rPr>
              <w:t xml:space="preserve"> Foods Group</w:t>
            </w:r>
            <w:r w:rsidRPr="00992199">
              <w:rPr>
                <w:szCs w:val="20"/>
              </w:rPr>
              <w:t>, would not be able to guarantee the supply of the quantities and quality required by the customers.</w:t>
            </w:r>
          </w:p>
          <w:p w:rsidR="0006129B" w:rsidRPr="00992199" w:rsidRDefault="0006129B" w:rsidP="0006129B">
            <w:pPr>
              <w:rPr>
                <w:szCs w:val="20"/>
              </w:rPr>
            </w:pPr>
            <w:r w:rsidRPr="00992199">
              <w:rPr>
                <w:szCs w:val="20"/>
                <w:lang w:eastAsia="en-GB"/>
              </w:rPr>
              <w:t xml:space="preserve">The loss of a significant number of suppliers as a result of the current economic environment or sourcing competition or a supplier expanding in a different product range, facing labour issues, or having raw material procurement or quality problems, could adversely impact the operations and financial situation of the </w:t>
            </w:r>
            <w:r>
              <w:rPr>
                <w:szCs w:val="20"/>
              </w:rPr>
              <w:t xml:space="preserve">Combined Greenyard </w:t>
            </w:r>
            <w:r>
              <w:rPr>
                <w:szCs w:val="20"/>
                <w:lang w:eastAsia="en-GB"/>
              </w:rPr>
              <w:t>Foods</w:t>
            </w:r>
            <w:r w:rsidRPr="00992199">
              <w:rPr>
                <w:szCs w:val="20"/>
                <w:lang w:eastAsia="en-GB"/>
              </w:rPr>
              <w:t xml:space="preserve"> Group. The business, financial condition and results of operations of the </w:t>
            </w:r>
            <w:r>
              <w:rPr>
                <w:szCs w:val="20"/>
              </w:rPr>
              <w:t xml:space="preserve">Combined Greenyard </w:t>
            </w:r>
            <w:r>
              <w:rPr>
                <w:szCs w:val="20"/>
                <w:lang w:eastAsia="en-GB"/>
              </w:rPr>
              <w:t>Foods</w:t>
            </w:r>
            <w:r w:rsidRPr="00992199">
              <w:rPr>
                <w:szCs w:val="20"/>
                <w:lang w:eastAsia="en-GB"/>
              </w:rPr>
              <w:t xml:space="preserve"> Group</w:t>
            </w:r>
            <w:r w:rsidRPr="00992199" w:rsidDel="00BF4029">
              <w:rPr>
                <w:szCs w:val="20"/>
                <w:lang w:eastAsia="en-GB"/>
              </w:rPr>
              <w:t xml:space="preserve"> </w:t>
            </w:r>
            <w:r w:rsidRPr="00992199">
              <w:rPr>
                <w:szCs w:val="20"/>
                <w:lang w:eastAsia="en-GB"/>
              </w:rPr>
              <w:t xml:space="preserve">may also be adversely impacted if it is unable to secure a sufficient portion of its supplies from the spot market as a result of, among other things, steep price increases, limited supply or poor quality of the products offered. This may result in the </w:t>
            </w:r>
            <w:r>
              <w:rPr>
                <w:szCs w:val="20"/>
              </w:rPr>
              <w:t xml:space="preserve">Combined Greenyard </w:t>
            </w:r>
            <w:r>
              <w:rPr>
                <w:szCs w:val="20"/>
                <w:lang w:eastAsia="en-GB"/>
              </w:rPr>
              <w:t>Foods</w:t>
            </w:r>
            <w:r w:rsidRPr="00992199">
              <w:rPr>
                <w:szCs w:val="20"/>
                <w:lang w:eastAsia="en-GB"/>
              </w:rPr>
              <w:t xml:space="preserve"> Group being exposed to unexpected cost increases which it is unable to pass on to its customers.</w:t>
            </w:r>
          </w:p>
          <w:p w:rsidR="0006129B" w:rsidRPr="00992199" w:rsidRDefault="0006129B" w:rsidP="0006129B">
            <w:pPr>
              <w:rPr>
                <w:b/>
                <w:i/>
                <w:szCs w:val="20"/>
              </w:rPr>
            </w:pPr>
            <w:r w:rsidRPr="00992199">
              <w:rPr>
                <w:b/>
                <w:i/>
                <w:szCs w:val="20"/>
              </w:rPr>
              <w:t xml:space="preserve">Significant or prolonged disruptions to the production, storage and distribution facilities, transportation infrastructure or modes of transportation that the </w:t>
            </w:r>
            <w:r w:rsidRPr="00E13084">
              <w:rPr>
                <w:b/>
                <w:i/>
                <w:szCs w:val="20"/>
              </w:rPr>
              <w:t xml:space="preserve">Combined Greenyard </w:t>
            </w:r>
            <w:r>
              <w:rPr>
                <w:b/>
                <w:i/>
                <w:szCs w:val="20"/>
              </w:rPr>
              <w:t>Foods</w:t>
            </w:r>
            <w:r w:rsidRPr="00992199">
              <w:rPr>
                <w:b/>
                <w:i/>
                <w:szCs w:val="20"/>
              </w:rPr>
              <w:t xml:space="preserve"> Group uses could have an adverse effect on the business, financial condition and results of operations</w:t>
            </w:r>
            <w:r w:rsidRPr="00E13084">
              <w:rPr>
                <w:b/>
                <w:i/>
                <w:szCs w:val="20"/>
              </w:rPr>
              <w:t xml:space="preserve"> </w:t>
            </w:r>
            <w:r w:rsidRPr="00992199">
              <w:rPr>
                <w:b/>
                <w:i/>
                <w:szCs w:val="20"/>
              </w:rPr>
              <w:t xml:space="preserve">of the </w:t>
            </w:r>
            <w:r w:rsidRPr="00E13084">
              <w:rPr>
                <w:b/>
                <w:i/>
                <w:szCs w:val="20"/>
              </w:rPr>
              <w:t xml:space="preserve">Combined Greenyard </w:t>
            </w:r>
            <w:r>
              <w:rPr>
                <w:b/>
                <w:i/>
                <w:szCs w:val="20"/>
              </w:rPr>
              <w:t>Foods</w:t>
            </w:r>
            <w:r w:rsidRPr="00992199">
              <w:rPr>
                <w:b/>
                <w:i/>
                <w:szCs w:val="20"/>
              </w:rPr>
              <w:t xml:space="preserve"> Group.</w:t>
            </w:r>
          </w:p>
          <w:p w:rsidR="0006129B" w:rsidRPr="00992199" w:rsidRDefault="0006129B" w:rsidP="0006129B">
            <w:pPr>
              <w:rPr>
                <w:szCs w:val="20"/>
              </w:rPr>
            </w:pPr>
            <w:r w:rsidRPr="00992199">
              <w:rPr>
                <w:szCs w:val="20"/>
                <w:lang w:eastAsia="en-GB"/>
              </w:rPr>
              <w:t xml:space="preserve">The business of the </w:t>
            </w:r>
            <w:r>
              <w:t xml:space="preserve">Combined Greenyard </w:t>
            </w:r>
            <w:r>
              <w:rPr>
                <w:szCs w:val="20"/>
                <w:lang w:eastAsia="en-GB"/>
              </w:rPr>
              <w:t>Foods</w:t>
            </w:r>
            <w:r w:rsidRPr="00992199">
              <w:rPr>
                <w:szCs w:val="20"/>
                <w:lang w:eastAsia="en-GB"/>
              </w:rPr>
              <w:t xml:space="preserve"> Group are highly dependent on production, storage and distribution facilities and transportation services to ensure smooth operation. The production, storage and distribution </w:t>
            </w:r>
            <w:r w:rsidRPr="00992199">
              <w:rPr>
                <w:szCs w:val="20"/>
              </w:rPr>
              <w:t>facilities</w:t>
            </w:r>
            <w:r w:rsidRPr="00992199">
              <w:rPr>
                <w:szCs w:val="20"/>
                <w:lang w:eastAsia="en-GB"/>
              </w:rPr>
              <w:t xml:space="preserve">, as well as transportation infrastructure and modes of transportation that the </w:t>
            </w:r>
            <w:r>
              <w:t xml:space="preserve">Combined Greenyard </w:t>
            </w:r>
            <w:r>
              <w:rPr>
                <w:szCs w:val="20"/>
                <w:lang w:eastAsia="en-GB"/>
              </w:rPr>
              <w:t>Foods</w:t>
            </w:r>
            <w:r w:rsidRPr="00992199">
              <w:rPr>
                <w:szCs w:val="20"/>
                <w:lang w:eastAsia="en-GB"/>
              </w:rPr>
              <w:t xml:space="preserve"> Group uses are at risk of being partially or completely shut down, temporarily or permanently, as a result of a number of circumstances, such as adverse weather conditions, catastrophic events, environmental remediation, equipment or machinery breakdowns, strikes, lockouts or other events. Damage to any of these facilities, any significant or prolonged interruption at these facilities or inability to transport products to or from these facilities for any reason would create a bottleneck in the flow of the business operations of the </w:t>
            </w:r>
            <w:r>
              <w:t xml:space="preserve">Combined Greenyard </w:t>
            </w:r>
            <w:r>
              <w:rPr>
                <w:szCs w:val="20"/>
                <w:lang w:eastAsia="en-GB"/>
              </w:rPr>
              <w:t>Foods</w:t>
            </w:r>
            <w:r w:rsidRPr="00992199">
              <w:rPr>
                <w:szCs w:val="20"/>
                <w:lang w:eastAsia="en-GB"/>
              </w:rPr>
              <w:t xml:space="preserve"> Group and impact its ability to serve its customers. If the </w:t>
            </w:r>
            <w:r>
              <w:t xml:space="preserve">Combined Greenyard </w:t>
            </w:r>
            <w:r>
              <w:rPr>
                <w:szCs w:val="20"/>
                <w:lang w:eastAsia="en-GB"/>
              </w:rPr>
              <w:t>Foods</w:t>
            </w:r>
            <w:r w:rsidRPr="00992199">
              <w:rPr>
                <w:szCs w:val="20"/>
                <w:lang w:eastAsia="en-GB"/>
              </w:rPr>
              <w:t xml:space="preserve"> Group experiences disruptions or interruptions of these types and is unable to quickly identify and resolve them, its reputation, business, financial position and results of operations could be adversely affected and there is a risk it may lose customers as a result.</w:t>
            </w:r>
          </w:p>
          <w:p w:rsidR="0006129B" w:rsidRPr="00992199" w:rsidRDefault="0006129B" w:rsidP="0006129B">
            <w:pPr>
              <w:rPr>
                <w:szCs w:val="20"/>
              </w:rPr>
            </w:pPr>
            <w:r w:rsidRPr="00992199">
              <w:rPr>
                <w:szCs w:val="20"/>
                <w:lang w:eastAsia="en-GB"/>
              </w:rPr>
              <w:t xml:space="preserve">The financial results of the </w:t>
            </w:r>
            <w:r>
              <w:t xml:space="preserve">Combined Greenyard </w:t>
            </w:r>
            <w:r>
              <w:rPr>
                <w:szCs w:val="20"/>
                <w:lang w:eastAsia="en-GB"/>
              </w:rPr>
              <w:t>Foods</w:t>
            </w:r>
            <w:r w:rsidRPr="00992199">
              <w:rPr>
                <w:szCs w:val="20"/>
                <w:lang w:eastAsia="en-GB"/>
              </w:rPr>
              <w:t xml:space="preserve"> Group may also be adversely harmed if — as is most often — it bears the risk for loss of supplies while the </w:t>
            </w:r>
            <w:r>
              <w:rPr>
                <w:szCs w:val="20"/>
                <w:lang w:eastAsia="en-GB"/>
              </w:rPr>
              <w:t>products</w:t>
            </w:r>
            <w:r w:rsidRPr="00992199">
              <w:rPr>
                <w:szCs w:val="20"/>
                <w:lang w:eastAsia="en-GB"/>
              </w:rPr>
              <w:t xml:space="preserve"> </w:t>
            </w:r>
            <w:r>
              <w:rPr>
                <w:szCs w:val="20"/>
                <w:lang w:eastAsia="en-GB"/>
              </w:rPr>
              <w:t>are</w:t>
            </w:r>
            <w:r w:rsidRPr="00992199">
              <w:rPr>
                <w:szCs w:val="20"/>
                <w:lang w:eastAsia="en-GB"/>
              </w:rPr>
              <w:t xml:space="preserve"> in storage and distribution facilities or while in transit. If there are disruptions that result in the loss of supplies, not only will the </w:t>
            </w:r>
            <w:r>
              <w:t xml:space="preserve">Combined Greenyard </w:t>
            </w:r>
            <w:r>
              <w:rPr>
                <w:szCs w:val="20"/>
                <w:lang w:eastAsia="en-GB"/>
              </w:rPr>
              <w:t>Foods</w:t>
            </w:r>
            <w:r w:rsidRPr="00992199">
              <w:rPr>
                <w:szCs w:val="20"/>
                <w:lang w:eastAsia="en-GB"/>
              </w:rPr>
              <w:t xml:space="preserve"> Group have to source new </w:t>
            </w:r>
            <w:r>
              <w:rPr>
                <w:szCs w:val="20"/>
                <w:lang w:eastAsia="en-GB"/>
              </w:rPr>
              <w:t>products</w:t>
            </w:r>
            <w:r w:rsidRPr="00992199">
              <w:rPr>
                <w:szCs w:val="20"/>
                <w:lang w:eastAsia="en-GB"/>
              </w:rPr>
              <w:t xml:space="preserve"> from other sources but, in the case of consignment contracts</w:t>
            </w:r>
            <w:r>
              <w:rPr>
                <w:szCs w:val="20"/>
                <w:lang w:eastAsia="en-GB"/>
              </w:rPr>
              <w:t xml:space="preserve"> (which the Univeg Group uses to a certain extent)</w:t>
            </w:r>
            <w:r w:rsidRPr="00992199">
              <w:rPr>
                <w:szCs w:val="20"/>
                <w:lang w:eastAsia="en-GB"/>
              </w:rPr>
              <w:t xml:space="preserve">, will have to pay to the grower the price of the </w:t>
            </w:r>
            <w:r>
              <w:rPr>
                <w:szCs w:val="20"/>
                <w:lang w:eastAsia="en-GB"/>
              </w:rPr>
              <w:t>product in case there is no product insurance</w:t>
            </w:r>
            <w:r w:rsidRPr="00992199">
              <w:rPr>
                <w:szCs w:val="20"/>
                <w:lang w:eastAsia="en-GB"/>
              </w:rPr>
              <w:t>.</w:t>
            </w:r>
          </w:p>
          <w:p w:rsidR="0006129B" w:rsidRPr="00992199" w:rsidRDefault="0006129B" w:rsidP="0006129B">
            <w:pPr>
              <w:rPr>
                <w:b/>
                <w:i/>
                <w:szCs w:val="20"/>
              </w:rPr>
            </w:pPr>
            <w:r w:rsidRPr="00992199">
              <w:rPr>
                <w:b/>
                <w:i/>
                <w:szCs w:val="20"/>
              </w:rPr>
              <w:t>Local and international produce and raw materials prices fluctuate according to local and international market conditions, and could adversely affect the business, financial condition and results of operations</w:t>
            </w:r>
            <w:r w:rsidRPr="00E13084">
              <w:rPr>
                <w:b/>
                <w:i/>
                <w:szCs w:val="20"/>
              </w:rPr>
              <w:t xml:space="preserve"> </w:t>
            </w:r>
            <w:r w:rsidRPr="00992199">
              <w:rPr>
                <w:b/>
                <w:i/>
                <w:szCs w:val="20"/>
              </w:rPr>
              <w:t xml:space="preserve">of the </w:t>
            </w:r>
            <w:r w:rsidRPr="002A1AB1">
              <w:rPr>
                <w:b/>
                <w:i/>
                <w:szCs w:val="20"/>
              </w:rPr>
              <w:t xml:space="preserve">Combined Greenyard </w:t>
            </w:r>
            <w:r>
              <w:rPr>
                <w:b/>
                <w:i/>
                <w:szCs w:val="20"/>
              </w:rPr>
              <w:t>Foods</w:t>
            </w:r>
            <w:r w:rsidRPr="00992199">
              <w:rPr>
                <w:b/>
                <w:i/>
                <w:szCs w:val="20"/>
              </w:rPr>
              <w:t xml:space="preserve"> Group.</w:t>
            </w:r>
          </w:p>
          <w:p w:rsidR="0006129B" w:rsidRPr="00992199" w:rsidRDefault="0006129B" w:rsidP="0006129B">
            <w:pPr>
              <w:rPr>
                <w:szCs w:val="20"/>
              </w:rPr>
            </w:pPr>
            <w:r w:rsidRPr="00992199">
              <w:rPr>
                <w:szCs w:val="20"/>
                <w:lang w:eastAsia="en-GB"/>
              </w:rPr>
              <w:t xml:space="preserve">The results of the </w:t>
            </w:r>
            <w:r>
              <w:t xml:space="preserve">Combined Greenyard </w:t>
            </w:r>
            <w:r>
              <w:rPr>
                <w:szCs w:val="20"/>
                <w:lang w:eastAsia="en-GB"/>
              </w:rPr>
              <w:t>Foods</w:t>
            </w:r>
            <w:r w:rsidRPr="00992199">
              <w:rPr>
                <w:szCs w:val="20"/>
                <w:lang w:eastAsia="en-GB"/>
              </w:rPr>
              <w:t xml:space="preserve"> Group may be adversely affected by increases </w:t>
            </w:r>
            <w:r w:rsidRPr="00992199">
              <w:rPr>
                <w:szCs w:val="20"/>
                <w:lang w:eastAsia="en-GB"/>
              </w:rPr>
              <w:lastRenderedPageBreak/>
              <w:t xml:space="preserve">in price of the produce, on the one hand, and raw materials, which include packaging materials (plastics and cardboard), on the other hand. </w:t>
            </w:r>
            <w:r>
              <w:rPr>
                <w:szCs w:val="20"/>
                <w:lang w:eastAsia="en-GB"/>
              </w:rPr>
              <w:t>Produce and r</w:t>
            </w:r>
            <w:r w:rsidRPr="00992199">
              <w:rPr>
                <w:szCs w:val="20"/>
                <w:lang w:eastAsia="en-GB"/>
              </w:rPr>
              <w:t xml:space="preserve">aw materials are subject to substantial price fluctuations according to local and international market conditions, and could adversely affect the business, financial condition and results of operations of the </w:t>
            </w:r>
            <w:r>
              <w:t xml:space="preserve">Combined Greenyard </w:t>
            </w:r>
            <w:r>
              <w:rPr>
                <w:szCs w:val="20"/>
                <w:lang w:eastAsia="en-GB"/>
              </w:rPr>
              <w:t>Foods</w:t>
            </w:r>
            <w:r w:rsidRPr="00992199">
              <w:rPr>
                <w:szCs w:val="20"/>
                <w:lang w:eastAsia="en-GB"/>
              </w:rPr>
              <w:t xml:space="preserve"> Group. Prices for both produce and raw materials are influenced by a number of factors beyond the control</w:t>
            </w:r>
            <w:r w:rsidRPr="00992199">
              <w:rPr>
                <w:szCs w:val="20"/>
              </w:rPr>
              <w:t xml:space="preserve"> </w:t>
            </w:r>
            <w:r w:rsidRPr="00992199">
              <w:rPr>
                <w:szCs w:val="20"/>
                <w:lang w:eastAsia="en-GB"/>
              </w:rPr>
              <w:t>of the Company, including market price volatility, currency fluctuations, changes in governmental agricultural programs, harvest and weather conditions, crop disease, crop yields, alternative crops, prices in commodity derivatives, by-product values, and ever increasing demand for raw materials by emerging markets.</w:t>
            </w:r>
          </w:p>
          <w:p w:rsidR="0006129B" w:rsidRPr="00992199" w:rsidRDefault="0006129B" w:rsidP="0006129B">
            <w:pPr>
              <w:rPr>
                <w:szCs w:val="20"/>
              </w:rPr>
            </w:pPr>
            <w:r w:rsidRPr="00992199">
              <w:rPr>
                <w:szCs w:val="20"/>
                <w:lang w:eastAsia="en-GB"/>
              </w:rPr>
              <w:t xml:space="preserve">Any substantial increase in the prices of produce </w:t>
            </w:r>
            <w:r>
              <w:rPr>
                <w:szCs w:val="20"/>
                <w:lang w:eastAsia="en-GB"/>
              </w:rPr>
              <w:t>or</w:t>
            </w:r>
            <w:r w:rsidRPr="00992199">
              <w:rPr>
                <w:szCs w:val="20"/>
                <w:lang w:eastAsia="en-GB"/>
              </w:rPr>
              <w:t xml:space="preserve"> raw materials that is not reflected through an increase in the price of the products may adversely affect the financial condition, results of operations and cash flows of the </w:t>
            </w:r>
            <w:r>
              <w:rPr>
                <w:szCs w:val="20"/>
              </w:rPr>
              <w:t xml:space="preserve">Combined Greenyard </w:t>
            </w:r>
            <w:r>
              <w:rPr>
                <w:szCs w:val="20"/>
                <w:lang w:eastAsia="en-GB"/>
              </w:rPr>
              <w:t>Foods</w:t>
            </w:r>
            <w:r w:rsidRPr="00992199">
              <w:rPr>
                <w:szCs w:val="20"/>
                <w:lang w:eastAsia="en-GB"/>
              </w:rPr>
              <w:t xml:space="preserve"> Group. The </w:t>
            </w:r>
            <w:r>
              <w:rPr>
                <w:szCs w:val="20"/>
              </w:rPr>
              <w:t xml:space="preserve">Combined Greenyard </w:t>
            </w:r>
            <w:r>
              <w:rPr>
                <w:szCs w:val="20"/>
                <w:lang w:eastAsia="en-GB"/>
              </w:rPr>
              <w:t>Foods</w:t>
            </w:r>
            <w:r w:rsidRPr="00992199">
              <w:rPr>
                <w:szCs w:val="20"/>
                <w:lang w:eastAsia="en-GB"/>
              </w:rPr>
              <w:t xml:space="preserve"> Group</w:t>
            </w:r>
            <w:r w:rsidRPr="00992199" w:rsidDel="00B10D3E">
              <w:rPr>
                <w:szCs w:val="20"/>
              </w:rPr>
              <w:t xml:space="preserve"> </w:t>
            </w:r>
            <w:r w:rsidRPr="00992199">
              <w:rPr>
                <w:szCs w:val="20"/>
                <w:lang w:eastAsia="en-GB"/>
              </w:rPr>
              <w:t>may be unsuccessful, due to competitive pressures or other reasons, in passing on cost increases to customers, whether in full or in part, without suffering reduced volume, revenue and operating income. Failure to increase prices of the products may exacerbate the problem of the already low margins in its sector.</w:t>
            </w:r>
          </w:p>
          <w:p w:rsidR="0006129B" w:rsidRDefault="0006129B" w:rsidP="0006129B">
            <w:pPr>
              <w:rPr>
                <w:szCs w:val="20"/>
                <w:lang w:eastAsia="en-GB"/>
              </w:rPr>
            </w:pPr>
            <w:r w:rsidRPr="00992199">
              <w:rPr>
                <w:szCs w:val="20"/>
                <w:lang w:eastAsia="en-GB"/>
              </w:rPr>
              <w:t xml:space="preserve">The </w:t>
            </w:r>
            <w:r>
              <w:rPr>
                <w:szCs w:val="20"/>
              </w:rPr>
              <w:t xml:space="preserve">Combined Greenyard </w:t>
            </w:r>
            <w:r>
              <w:rPr>
                <w:szCs w:val="20"/>
                <w:lang w:eastAsia="en-GB"/>
              </w:rPr>
              <w:t>Foods</w:t>
            </w:r>
            <w:r w:rsidRPr="00992199">
              <w:rPr>
                <w:szCs w:val="20"/>
                <w:lang w:eastAsia="en-GB"/>
              </w:rPr>
              <w:t xml:space="preserve"> </w:t>
            </w:r>
            <w:r w:rsidRPr="00992199">
              <w:rPr>
                <w:szCs w:val="20"/>
              </w:rPr>
              <w:t>Group</w:t>
            </w:r>
            <w:r w:rsidRPr="00992199">
              <w:rPr>
                <w:szCs w:val="20"/>
                <w:lang w:eastAsia="en-GB"/>
              </w:rPr>
              <w:t xml:space="preserve"> is further exposed to significant risks associated with the prices of agricultural products and their volatility because it does not hedge 100% of the price risk on the agricultural </w:t>
            </w:r>
            <w:r w:rsidRPr="00992199">
              <w:rPr>
                <w:szCs w:val="20"/>
              </w:rPr>
              <w:t xml:space="preserve">products of the </w:t>
            </w:r>
            <w:r>
              <w:rPr>
                <w:szCs w:val="20"/>
              </w:rPr>
              <w:t>Combined Greenyard Foods</w:t>
            </w:r>
            <w:r w:rsidRPr="00992199">
              <w:rPr>
                <w:szCs w:val="20"/>
              </w:rPr>
              <w:t xml:space="preserve"> Group</w:t>
            </w:r>
            <w:r w:rsidRPr="00992199">
              <w:rPr>
                <w:szCs w:val="20"/>
                <w:lang w:eastAsia="en-GB"/>
              </w:rPr>
              <w:t xml:space="preserve"> and is therefore subject to fluctuations in prices of agricultural products that could result in the </w:t>
            </w:r>
            <w:r>
              <w:rPr>
                <w:szCs w:val="20"/>
              </w:rPr>
              <w:t xml:space="preserve">Combined Greenyard </w:t>
            </w:r>
            <w:r>
              <w:rPr>
                <w:szCs w:val="20"/>
                <w:lang w:eastAsia="en-GB"/>
              </w:rPr>
              <w:t>Foods</w:t>
            </w:r>
            <w:r w:rsidRPr="00992199">
              <w:rPr>
                <w:szCs w:val="20"/>
                <w:lang w:eastAsia="en-GB"/>
              </w:rPr>
              <w:t xml:space="preserve"> Group receiving lower prices for its produc</w:t>
            </w:r>
            <w:r>
              <w:rPr>
                <w:szCs w:val="20"/>
                <w:lang w:eastAsia="en-GB"/>
              </w:rPr>
              <w:t>ts</w:t>
            </w:r>
            <w:r w:rsidRPr="00992199">
              <w:rPr>
                <w:szCs w:val="20"/>
                <w:lang w:eastAsia="en-GB"/>
              </w:rPr>
              <w:t xml:space="preserve"> than its production and sourcing costs under certain pricing mechanisms it adopts. </w:t>
            </w:r>
          </w:p>
          <w:p w:rsidR="0006129B" w:rsidRDefault="0006129B" w:rsidP="0006129B">
            <w:pPr>
              <w:rPr>
                <w:szCs w:val="20"/>
                <w:lang w:eastAsia="en-GB"/>
              </w:rPr>
            </w:pPr>
            <w:r w:rsidRPr="00E412E4">
              <w:rPr>
                <w:szCs w:val="20"/>
                <w:lang w:eastAsia="en-GB"/>
              </w:rPr>
              <w:t>The prices of raw materials in each division can fluctuate year by year. This is mainly due to climate conditions and the harvests of the past year. In addition, the bargaining power of growers in certain parts of the world is increasing as a result of higher demand in the global supply chain, which translates into increased costs for the produce, or the costs of the produce being determined for longer periods of time.</w:t>
            </w:r>
          </w:p>
          <w:p w:rsidR="0006129B" w:rsidRPr="00992199" w:rsidRDefault="0006129B" w:rsidP="0006129B">
            <w:pPr>
              <w:rPr>
                <w:szCs w:val="20"/>
              </w:rPr>
            </w:pPr>
            <w:r>
              <w:rPr>
                <w:szCs w:val="20"/>
                <w:lang w:eastAsia="en-GB"/>
              </w:rPr>
              <w:t>For example, i</w:t>
            </w:r>
            <w:r w:rsidRPr="00E412E4">
              <w:rPr>
                <w:szCs w:val="20"/>
                <w:lang w:eastAsia="en-GB"/>
              </w:rPr>
              <w:t>n so far as the Frozen Division and in the Canning Division are concerned, fixed year contracts are negotiated with fixed purchase prices per vegetable. These are fixed for the whole season and negotiated prior to seeding or planting the vegetables. Consequently, fluctuations in sales prices throughout the year have an immediate impact on the profitability of the divisions since the purchase prices are fixed upfront for the whole year. Depending on the type of vegetable, the number of hectares and the expected yield (tons per hectare) are fixed. Even if the expected yield has not been reached, the purchase price</w:t>
            </w:r>
            <w:r>
              <w:rPr>
                <w:szCs w:val="20"/>
                <w:lang w:eastAsia="en-GB"/>
              </w:rPr>
              <w:t xml:space="preserve"> per ton</w:t>
            </w:r>
            <w:r w:rsidRPr="00E412E4">
              <w:rPr>
                <w:szCs w:val="20"/>
                <w:lang w:eastAsia="en-GB"/>
              </w:rPr>
              <w:t xml:space="preserve"> is not adapted.</w:t>
            </w:r>
            <w:r>
              <w:rPr>
                <w:szCs w:val="20"/>
                <w:lang w:eastAsia="en-GB"/>
              </w:rPr>
              <w:t xml:space="preserve"> Further, t</w:t>
            </w:r>
            <w:r w:rsidRPr="00992199">
              <w:rPr>
                <w:szCs w:val="20"/>
                <w:lang w:eastAsia="en-GB"/>
              </w:rPr>
              <w:t>he Univeg G</w:t>
            </w:r>
            <w:r>
              <w:rPr>
                <w:szCs w:val="20"/>
                <w:lang w:eastAsia="en-GB"/>
              </w:rPr>
              <w:t xml:space="preserve">roup, </w:t>
            </w:r>
            <w:r w:rsidRPr="00992199">
              <w:rPr>
                <w:szCs w:val="20"/>
                <w:lang w:eastAsia="en-GB"/>
              </w:rPr>
              <w:t xml:space="preserve">through its advances to The Fruit Farm Group and third-party growers, has a long position in agricultural products, which increases its risk of loss if prices of agricultural products decrease. </w:t>
            </w:r>
          </w:p>
          <w:p w:rsidR="0006129B" w:rsidRPr="00992199" w:rsidRDefault="0006129B" w:rsidP="0006129B">
            <w:pPr>
              <w:rPr>
                <w:szCs w:val="20"/>
              </w:rPr>
            </w:pPr>
            <w:r w:rsidRPr="00992199">
              <w:rPr>
                <w:szCs w:val="20"/>
                <w:lang w:eastAsia="en-GB"/>
              </w:rPr>
              <w:t xml:space="preserve">The </w:t>
            </w:r>
            <w:r>
              <w:rPr>
                <w:szCs w:val="20"/>
              </w:rPr>
              <w:t xml:space="preserve">Combined Greenyard </w:t>
            </w:r>
            <w:r>
              <w:rPr>
                <w:szCs w:val="20"/>
                <w:lang w:eastAsia="en-GB"/>
              </w:rPr>
              <w:t>Foods</w:t>
            </w:r>
            <w:r w:rsidRPr="00992199">
              <w:rPr>
                <w:szCs w:val="20"/>
                <w:lang w:eastAsia="en-GB"/>
              </w:rPr>
              <w:t xml:space="preserve"> Group also relies on fuel sources, such as gas, electricity, gasoline and diesel fuel, to operate its business and deliver its products, of which the storage and production (including deep freezers, refrigerated trucks and </w:t>
            </w:r>
            <w:r w:rsidRPr="00992199">
              <w:rPr>
                <w:szCs w:val="20"/>
              </w:rPr>
              <w:t>banana</w:t>
            </w:r>
            <w:r w:rsidRPr="00992199">
              <w:rPr>
                <w:szCs w:val="20"/>
                <w:lang w:eastAsia="en-GB"/>
              </w:rPr>
              <w:t xml:space="preserve"> and mango ripening rooms) is particularly energy-intensive. The cost of diesel fuel has also an impact on the exploitation costs of the machinery used in the harvesting of peat. Substantial increases in prices for, or shortage of, these fuel sources might adversely affect the financial condition, results of operations and cash flows of the </w:t>
            </w:r>
            <w:r>
              <w:rPr>
                <w:szCs w:val="20"/>
              </w:rPr>
              <w:t xml:space="preserve">Combined Greenyard </w:t>
            </w:r>
            <w:r>
              <w:rPr>
                <w:szCs w:val="20"/>
                <w:lang w:eastAsia="en-GB"/>
              </w:rPr>
              <w:t>Foods</w:t>
            </w:r>
            <w:r w:rsidRPr="00992199">
              <w:rPr>
                <w:szCs w:val="20"/>
                <w:lang w:eastAsia="en-GB"/>
              </w:rPr>
              <w:t xml:space="preserve"> Group.</w:t>
            </w:r>
          </w:p>
          <w:p w:rsidR="0006129B" w:rsidRPr="00992199" w:rsidRDefault="0006129B" w:rsidP="0006129B">
            <w:pPr>
              <w:rPr>
                <w:b/>
                <w:i/>
                <w:szCs w:val="20"/>
              </w:rPr>
            </w:pPr>
            <w:r w:rsidRPr="00992199">
              <w:rPr>
                <w:b/>
                <w:i/>
                <w:szCs w:val="20"/>
              </w:rPr>
              <w:t xml:space="preserve">The pricing policy of the </w:t>
            </w:r>
            <w:r w:rsidRPr="00E13084">
              <w:rPr>
                <w:b/>
                <w:i/>
                <w:szCs w:val="20"/>
              </w:rPr>
              <w:t xml:space="preserve">Combined Greenyard </w:t>
            </w:r>
            <w:r>
              <w:rPr>
                <w:b/>
                <w:i/>
                <w:szCs w:val="20"/>
              </w:rPr>
              <w:t>Foods</w:t>
            </w:r>
            <w:r w:rsidRPr="00992199">
              <w:rPr>
                <w:b/>
                <w:i/>
                <w:szCs w:val="20"/>
              </w:rPr>
              <w:t xml:space="preserve"> Group and the bargaining power of key customers may affect the margin of the </w:t>
            </w:r>
            <w:r w:rsidRPr="00E13084">
              <w:rPr>
                <w:b/>
                <w:i/>
                <w:szCs w:val="20"/>
              </w:rPr>
              <w:t xml:space="preserve">Combined Greenyard </w:t>
            </w:r>
            <w:r>
              <w:rPr>
                <w:b/>
                <w:i/>
                <w:szCs w:val="20"/>
              </w:rPr>
              <w:t>Foods</w:t>
            </w:r>
            <w:r w:rsidRPr="00992199">
              <w:rPr>
                <w:b/>
                <w:i/>
                <w:szCs w:val="20"/>
              </w:rPr>
              <w:t xml:space="preserve"> Group and its ability to pass on cost increases to its customers.</w:t>
            </w:r>
          </w:p>
          <w:p w:rsidR="0006129B" w:rsidRPr="00992199" w:rsidRDefault="0006129B" w:rsidP="0006129B">
            <w:pPr>
              <w:rPr>
                <w:szCs w:val="20"/>
              </w:rPr>
            </w:pPr>
            <w:r>
              <w:rPr>
                <w:szCs w:val="20"/>
                <w:lang w:eastAsia="en-GB"/>
              </w:rPr>
              <w:t xml:space="preserve">While </w:t>
            </w:r>
            <w:r w:rsidRPr="00992199">
              <w:rPr>
                <w:szCs w:val="20"/>
                <w:lang w:eastAsia="en-GB"/>
              </w:rPr>
              <w:t>price increases in produc</w:t>
            </w:r>
            <w:r>
              <w:rPr>
                <w:szCs w:val="20"/>
                <w:lang w:eastAsia="en-GB"/>
              </w:rPr>
              <w:t>t</w:t>
            </w:r>
            <w:r w:rsidRPr="00992199">
              <w:rPr>
                <w:szCs w:val="20"/>
                <w:lang w:eastAsia="en-GB"/>
              </w:rPr>
              <w:t xml:space="preserve"> and raw materials </w:t>
            </w:r>
            <w:r>
              <w:rPr>
                <w:szCs w:val="20"/>
                <w:lang w:eastAsia="en-GB"/>
              </w:rPr>
              <w:t>may in certain cases enable the Combined Greenyard Foods Group to renegotiate contracts with its customers or pass on the cost increase to its customers, d</w:t>
            </w:r>
            <w:r w:rsidRPr="00992199">
              <w:rPr>
                <w:szCs w:val="20"/>
                <w:lang w:eastAsia="en-GB"/>
              </w:rPr>
              <w:t xml:space="preserve">ue to the bargaining power of certain key customers, such as large retail distribution chains, </w:t>
            </w:r>
            <w:r>
              <w:rPr>
                <w:szCs w:val="20"/>
                <w:lang w:eastAsia="en-GB"/>
              </w:rPr>
              <w:t>such increases</w:t>
            </w:r>
            <w:r w:rsidRPr="00992199">
              <w:rPr>
                <w:szCs w:val="20"/>
                <w:lang w:eastAsia="en-GB"/>
              </w:rPr>
              <w:t xml:space="preserve"> can in certain cases not be passed on, in all or in part, affecting the margin of the </w:t>
            </w:r>
            <w:r>
              <w:rPr>
                <w:szCs w:val="20"/>
              </w:rPr>
              <w:t xml:space="preserve">Combined Greenyard </w:t>
            </w:r>
            <w:r>
              <w:rPr>
                <w:szCs w:val="20"/>
                <w:lang w:eastAsia="en-GB"/>
              </w:rPr>
              <w:t>Foods</w:t>
            </w:r>
            <w:r w:rsidRPr="00992199">
              <w:rPr>
                <w:szCs w:val="20"/>
                <w:lang w:eastAsia="en-GB"/>
              </w:rPr>
              <w:t xml:space="preserve"> Group.</w:t>
            </w:r>
          </w:p>
          <w:p w:rsidR="0006129B" w:rsidRDefault="0006129B" w:rsidP="0006129B">
            <w:pPr>
              <w:rPr>
                <w:szCs w:val="20"/>
                <w:lang w:eastAsia="en-GB"/>
              </w:rPr>
            </w:pPr>
            <w:r>
              <w:rPr>
                <w:szCs w:val="20"/>
                <w:lang w:eastAsia="en-GB"/>
              </w:rPr>
              <w:t>While in the same cases</w:t>
            </w:r>
            <w:r w:rsidRPr="00992199">
              <w:rPr>
                <w:szCs w:val="20"/>
                <w:lang w:eastAsia="en-GB"/>
              </w:rPr>
              <w:t xml:space="preserve">, the </w:t>
            </w:r>
            <w:r>
              <w:rPr>
                <w:szCs w:val="20"/>
              </w:rPr>
              <w:t xml:space="preserve">Combined Greenyard </w:t>
            </w:r>
            <w:r>
              <w:rPr>
                <w:szCs w:val="20"/>
                <w:lang w:eastAsia="en-GB"/>
              </w:rPr>
              <w:t>Foods</w:t>
            </w:r>
            <w:r w:rsidRPr="00992199">
              <w:rPr>
                <w:szCs w:val="20"/>
                <w:lang w:eastAsia="en-GB"/>
              </w:rPr>
              <w:t xml:space="preserve"> Group has a decentralised pricing policy, leaving its local management to determine </w:t>
            </w:r>
            <w:r w:rsidRPr="00992199">
              <w:rPr>
                <w:szCs w:val="20"/>
              </w:rPr>
              <w:t>product</w:t>
            </w:r>
            <w:r w:rsidRPr="00992199">
              <w:rPr>
                <w:szCs w:val="20"/>
                <w:lang w:eastAsia="en-GB"/>
              </w:rPr>
              <w:t xml:space="preserve"> prices taking into account local </w:t>
            </w:r>
            <w:r w:rsidRPr="00992199">
              <w:rPr>
                <w:szCs w:val="20"/>
                <w:lang w:eastAsia="en-GB"/>
              </w:rPr>
              <w:lastRenderedPageBreak/>
              <w:t xml:space="preserve">demand and market characteristics. This decentralised pricing policy may increase the </w:t>
            </w:r>
            <w:r>
              <w:rPr>
                <w:szCs w:val="20"/>
              </w:rPr>
              <w:t xml:space="preserve">Combined Greenyard </w:t>
            </w:r>
            <w:r>
              <w:rPr>
                <w:szCs w:val="20"/>
                <w:lang w:eastAsia="en-GB"/>
              </w:rPr>
              <w:t>Foods</w:t>
            </w:r>
            <w:r w:rsidRPr="00992199">
              <w:rPr>
                <w:szCs w:val="20"/>
                <w:lang w:eastAsia="en-GB"/>
              </w:rPr>
              <w:t xml:space="preserve"> Group’s inability to pass on (central) cost increases to its customers.</w:t>
            </w:r>
          </w:p>
          <w:p w:rsidR="0006129B" w:rsidRPr="00992199" w:rsidRDefault="0006129B" w:rsidP="0006129B">
            <w:pPr>
              <w:rPr>
                <w:szCs w:val="20"/>
              </w:rPr>
            </w:pPr>
            <w:r>
              <w:rPr>
                <w:szCs w:val="20"/>
                <w:lang w:eastAsia="en-GB"/>
              </w:rPr>
              <w:t xml:space="preserve">In addition, the </w:t>
            </w:r>
          </w:p>
          <w:p w:rsidR="0006129B" w:rsidRPr="0006129B" w:rsidRDefault="0006129B" w:rsidP="00A91110">
            <w:pPr>
              <w:pStyle w:val="ListParagraph"/>
              <w:numPr>
                <w:ilvl w:val="0"/>
                <w:numId w:val="18"/>
              </w:numPr>
              <w:ind w:left="360"/>
              <w:rPr>
                <w:szCs w:val="20"/>
              </w:rPr>
            </w:pPr>
            <w:r w:rsidRPr="0006129B">
              <w:rPr>
                <w:szCs w:val="20"/>
              </w:rPr>
              <w:t>Due to high seasonality, the reduction of production capacity can highly influence the results during high season and large inventories are to be held and financed.</w:t>
            </w:r>
          </w:p>
          <w:p w:rsidR="0006129B" w:rsidRPr="0006129B" w:rsidRDefault="0006129B" w:rsidP="00A91110">
            <w:pPr>
              <w:pStyle w:val="ListParagraph"/>
              <w:numPr>
                <w:ilvl w:val="0"/>
                <w:numId w:val="18"/>
              </w:numPr>
              <w:ind w:left="360"/>
              <w:rPr>
                <w:szCs w:val="20"/>
              </w:rPr>
            </w:pPr>
            <w:r w:rsidRPr="0006129B">
              <w:rPr>
                <w:szCs w:val="20"/>
              </w:rPr>
              <w:t>The business of the Combined Greenyard Foods Group are affected by seasonal trends and production cycles, which may affect the prices of the products of the Combined Greenyard Foods Group and may also affect the comparability of the financial statements of the Combined Greenyard Foods Group.</w:t>
            </w:r>
          </w:p>
          <w:p w:rsidR="0006129B" w:rsidRPr="0006129B" w:rsidRDefault="0006129B" w:rsidP="00A91110">
            <w:pPr>
              <w:pStyle w:val="ListParagraph"/>
              <w:numPr>
                <w:ilvl w:val="0"/>
                <w:numId w:val="18"/>
              </w:numPr>
              <w:ind w:left="360"/>
              <w:rPr>
                <w:szCs w:val="20"/>
              </w:rPr>
            </w:pPr>
            <w:r w:rsidRPr="0006129B">
              <w:rPr>
                <w:szCs w:val="20"/>
              </w:rPr>
              <w:t>Sales may be adversely affected by crop disease, weather conditions, natural disasters and other risks that affect the production and supply of fruit, vegetables and peat.</w:t>
            </w:r>
          </w:p>
          <w:p w:rsidR="0006129B" w:rsidRPr="0006129B" w:rsidRDefault="0006129B" w:rsidP="00A91110">
            <w:pPr>
              <w:pStyle w:val="ListParagraph"/>
              <w:numPr>
                <w:ilvl w:val="0"/>
                <w:numId w:val="18"/>
              </w:numPr>
              <w:ind w:left="360"/>
              <w:rPr>
                <w:szCs w:val="20"/>
              </w:rPr>
            </w:pPr>
            <w:r w:rsidRPr="0006129B">
              <w:rPr>
                <w:szCs w:val="20"/>
              </w:rPr>
              <w:t>If the products become contaminated, the Combined Greenyard Foods Group may be subject to product liability claims, product recalls and restrictions on exports that could materially adversely affect the business, financial condition and results of operations of the Combined Greenyard Foods Group.</w:t>
            </w:r>
          </w:p>
          <w:p w:rsidR="0006129B" w:rsidRPr="0006129B" w:rsidRDefault="0006129B" w:rsidP="00A91110">
            <w:pPr>
              <w:pStyle w:val="ListParagraph"/>
              <w:numPr>
                <w:ilvl w:val="0"/>
                <w:numId w:val="18"/>
              </w:numPr>
              <w:ind w:left="360"/>
              <w:rPr>
                <w:szCs w:val="20"/>
              </w:rPr>
            </w:pPr>
            <w:r w:rsidRPr="0006129B">
              <w:rPr>
                <w:szCs w:val="20"/>
              </w:rPr>
              <w:t>The loss of one or more of the largest customers, or a reduction in the level of purchases made or the prices paid by these customers, could materially and adversely affect the business, financial condition and results of operations of the Combined Greenyard Foods Group.</w:t>
            </w:r>
          </w:p>
          <w:p w:rsidR="0006129B" w:rsidRPr="0006129B" w:rsidRDefault="0006129B" w:rsidP="00A91110">
            <w:pPr>
              <w:pStyle w:val="ListParagraph"/>
              <w:numPr>
                <w:ilvl w:val="0"/>
                <w:numId w:val="18"/>
              </w:numPr>
              <w:ind w:left="360"/>
              <w:rPr>
                <w:szCs w:val="20"/>
              </w:rPr>
            </w:pPr>
            <w:r w:rsidRPr="0006129B">
              <w:rPr>
                <w:szCs w:val="20"/>
              </w:rPr>
              <w:t>Consumer trends and preferences may fluctuate and reduce the demand for the products of the Combined Greenyard Foods Group.</w:t>
            </w:r>
          </w:p>
          <w:p w:rsidR="0006129B" w:rsidRPr="0006129B" w:rsidRDefault="0006129B" w:rsidP="00A91110">
            <w:pPr>
              <w:pStyle w:val="ListParagraph"/>
              <w:numPr>
                <w:ilvl w:val="0"/>
                <w:numId w:val="18"/>
              </w:numPr>
              <w:ind w:left="360"/>
              <w:rPr>
                <w:szCs w:val="20"/>
              </w:rPr>
            </w:pPr>
            <w:r w:rsidRPr="0006129B">
              <w:rPr>
                <w:szCs w:val="20"/>
              </w:rPr>
              <w:t>The Combined Greenyard Foods Group may not be able to realise the synergies envisaged by the Transactions and certain contractual ring-fencing impediments exist in its financing documents to do so.</w:t>
            </w:r>
          </w:p>
          <w:p w:rsidR="0006129B" w:rsidRPr="0006129B" w:rsidRDefault="0006129B" w:rsidP="00A91110">
            <w:pPr>
              <w:pStyle w:val="ListParagraph"/>
              <w:numPr>
                <w:ilvl w:val="0"/>
                <w:numId w:val="18"/>
              </w:numPr>
              <w:ind w:left="360"/>
              <w:rPr>
                <w:szCs w:val="20"/>
              </w:rPr>
            </w:pPr>
            <w:r w:rsidRPr="0006129B">
              <w:rPr>
                <w:szCs w:val="20"/>
              </w:rPr>
              <w:t>The success of the Combined Greenyard Foods Group is dependent on its ability to keep pace with innovation and the development of innovative products and their bringing to the market.</w:t>
            </w:r>
          </w:p>
          <w:p w:rsidR="0006129B" w:rsidRPr="0006129B" w:rsidRDefault="0006129B" w:rsidP="00A91110">
            <w:pPr>
              <w:pStyle w:val="ListParagraph"/>
              <w:numPr>
                <w:ilvl w:val="0"/>
                <w:numId w:val="18"/>
              </w:numPr>
              <w:ind w:left="360"/>
              <w:rPr>
                <w:szCs w:val="20"/>
              </w:rPr>
            </w:pPr>
            <w:r w:rsidRPr="0006129B">
              <w:rPr>
                <w:szCs w:val="20"/>
              </w:rPr>
              <w:t>The Combined Greenyard Foods Group faces significant competition and an inability to compete successfully with its competitors could result in a loss in market share, decreased revenue or decreased profitability.</w:t>
            </w:r>
          </w:p>
          <w:p w:rsidR="0006129B" w:rsidRPr="0006129B" w:rsidRDefault="0006129B" w:rsidP="00A91110">
            <w:pPr>
              <w:pStyle w:val="ListParagraph"/>
              <w:numPr>
                <w:ilvl w:val="0"/>
                <w:numId w:val="18"/>
              </w:numPr>
              <w:ind w:left="360"/>
              <w:rPr>
                <w:szCs w:val="20"/>
              </w:rPr>
            </w:pPr>
            <w:r w:rsidRPr="0006129B">
              <w:rPr>
                <w:szCs w:val="20"/>
              </w:rPr>
              <w:t>Negative media speculation or other negative public statements could adversely affect the reputation of the Combined Greenyard Foods Group, which in turn could adversely affect the Combined Greenyard Foods Group’s business.</w:t>
            </w:r>
          </w:p>
          <w:p w:rsidR="0006129B" w:rsidRPr="0006129B" w:rsidRDefault="0006129B" w:rsidP="00A91110">
            <w:pPr>
              <w:pStyle w:val="ListParagraph"/>
              <w:numPr>
                <w:ilvl w:val="0"/>
                <w:numId w:val="18"/>
              </w:numPr>
              <w:ind w:left="360"/>
              <w:rPr>
                <w:szCs w:val="20"/>
              </w:rPr>
            </w:pPr>
            <w:r w:rsidRPr="0006129B">
              <w:rPr>
                <w:szCs w:val="20"/>
              </w:rPr>
              <w:t>Global economic conditions could materially adversely affect the business, financial condition and results of operations of the Combined Greenyard Foods Group.</w:t>
            </w:r>
          </w:p>
          <w:p w:rsidR="0006129B" w:rsidRPr="0006129B" w:rsidRDefault="0006129B" w:rsidP="00A91110">
            <w:pPr>
              <w:pStyle w:val="ListParagraph"/>
              <w:numPr>
                <w:ilvl w:val="0"/>
                <w:numId w:val="18"/>
              </w:numPr>
              <w:ind w:left="360"/>
              <w:rPr>
                <w:szCs w:val="20"/>
              </w:rPr>
            </w:pPr>
            <w:r w:rsidRPr="0006129B">
              <w:rPr>
                <w:szCs w:val="20"/>
              </w:rPr>
              <w:t>If the European Monetary Union ceases to exist or one or more countries leave the European Monetary Union, the business, financial condition and results of operations of the Combined Greenyard Foods Group may be adversely affected.</w:t>
            </w:r>
          </w:p>
          <w:p w:rsidR="0006129B" w:rsidRPr="0006129B" w:rsidRDefault="0006129B" w:rsidP="00A91110">
            <w:pPr>
              <w:pStyle w:val="ListParagraph"/>
              <w:numPr>
                <w:ilvl w:val="0"/>
                <w:numId w:val="18"/>
              </w:numPr>
              <w:ind w:left="360"/>
              <w:rPr>
                <w:szCs w:val="20"/>
              </w:rPr>
            </w:pPr>
            <w:r w:rsidRPr="0006129B">
              <w:rPr>
                <w:szCs w:val="20"/>
              </w:rPr>
              <w:t>The Combined Greenyard Foods Group operates internationally and expects to continue to expand its international activities, making the Combined Greenyard Foods Group increasingly susceptible to legal, regulatory, political and economic conditions in and outside the countries in which it currently operates, as well as operational risks different from those the Combined Greenyard Foods Group faces at present.</w:t>
            </w:r>
          </w:p>
          <w:p w:rsidR="0006129B" w:rsidRPr="0006129B" w:rsidRDefault="0006129B" w:rsidP="00A91110">
            <w:pPr>
              <w:pStyle w:val="ListParagraph"/>
              <w:numPr>
                <w:ilvl w:val="0"/>
                <w:numId w:val="18"/>
              </w:numPr>
              <w:ind w:left="360"/>
              <w:rPr>
                <w:szCs w:val="20"/>
              </w:rPr>
            </w:pPr>
            <w:r w:rsidRPr="0006129B">
              <w:rPr>
                <w:szCs w:val="20"/>
              </w:rPr>
              <w:t>The Combined Greenyard Foods Group’s business may suffer from trading sanctions and embargoes.</w:t>
            </w:r>
          </w:p>
          <w:p w:rsidR="0006129B" w:rsidRPr="0006129B" w:rsidRDefault="0006129B" w:rsidP="00A91110">
            <w:pPr>
              <w:pStyle w:val="ListParagraph"/>
              <w:numPr>
                <w:ilvl w:val="0"/>
                <w:numId w:val="18"/>
              </w:numPr>
              <w:ind w:left="360"/>
              <w:rPr>
                <w:szCs w:val="20"/>
              </w:rPr>
            </w:pPr>
            <w:r w:rsidRPr="0006129B">
              <w:rPr>
                <w:szCs w:val="20"/>
              </w:rPr>
              <w:t xml:space="preserve">Inflation in some of the countries in which the Combined Greenyard Foods Group operates, along with governmental measures to combat inflation, have adversely affected the economies and financial markets of those countries and the ability of their </w:t>
            </w:r>
            <w:r w:rsidRPr="0006129B">
              <w:rPr>
                <w:szCs w:val="20"/>
              </w:rPr>
              <w:lastRenderedPageBreak/>
              <w:t>governments to create conditions that stimulate or maintain economic growth.</w:t>
            </w:r>
          </w:p>
          <w:p w:rsidR="0006129B" w:rsidRPr="0006129B" w:rsidRDefault="0006129B" w:rsidP="00A91110">
            <w:pPr>
              <w:pStyle w:val="ListParagraph"/>
              <w:numPr>
                <w:ilvl w:val="0"/>
                <w:numId w:val="18"/>
              </w:numPr>
              <w:ind w:left="360"/>
              <w:rPr>
                <w:szCs w:val="20"/>
              </w:rPr>
            </w:pPr>
            <w:r w:rsidRPr="0006129B">
              <w:rPr>
                <w:szCs w:val="20"/>
              </w:rPr>
              <w:t>The Combined Greenyard Foods Group’s financial condition and results of operations could be adversely affected by currency exchange rate fluctuations in some of the countries in which it operates.</w:t>
            </w:r>
          </w:p>
          <w:p w:rsidR="0006129B" w:rsidRPr="0006129B" w:rsidRDefault="0006129B" w:rsidP="00A91110">
            <w:pPr>
              <w:pStyle w:val="ListParagraph"/>
              <w:numPr>
                <w:ilvl w:val="0"/>
                <w:numId w:val="18"/>
              </w:numPr>
              <w:ind w:left="360"/>
              <w:rPr>
                <w:szCs w:val="20"/>
              </w:rPr>
            </w:pPr>
            <w:r w:rsidRPr="0006129B">
              <w:rPr>
                <w:szCs w:val="20"/>
              </w:rPr>
              <w:t>The Combined Greenyard Foods Group is dependent on its management team, and the success of the Combined Greenyard Foods Group may depend on its ability to retain or attract adequate managerial resources.</w:t>
            </w:r>
          </w:p>
          <w:p w:rsidR="0006129B" w:rsidRPr="0006129B" w:rsidRDefault="0006129B" w:rsidP="00A91110">
            <w:pPr>
              <w:pStyle w:val="ListParagraph"/>
              <w:numPr>
                <w:ilvl w:val="0"/>
                <w:numId w:val="18"/>
              </w:numPr>
              <w:ind w:left="360"/>
              <w:rPr>
                <w:szCs w:val="20"/>
              </w:rPr>
            </w:pPr>
            <w:r w:rsidRPr="0006129B">
              <w:rPr>
                <w:szCs w:val="20"/>
              </w:rPr>
              <w:t>The Combined Greenyard Foods Group is dependent on skilled personnel, labour and third party contractors and its business may be disrupted if it lost their services.</w:t>
            </w:r>
          </w:p>
          <w:p w:rsidR="0006129B" w:rsidRPr="0006129B" w:rsidRDefault="0006129B" w:rsidP="00A91110">
            <w:pPr>
              <w:pStyle w:val="ListParagraph"/>
              <w:numPr>
                <w:ilvl w:val="0"/>
                <w:numId w:val="18"/>
              </w:numPr>
              <w:ind w:left="360"/>
              <w:rPr>
                <w:szCs w:val="20"/>
              </w:rPr>
            </w:pPr>
            <w:r w:rsidRPr="0006129B">
              <w:rPr>
                <w:szCs w:val="20"/>
              </w:rPr>
              <w:t>Costs related to the obligations of the Combined Greenyard Foods Group to pension and other retirement funds could escalate, thereby adversely affecting its results of operations and financial condition.</w:t>
            </w:r>
          </w:p>
          <w:p w:rsidR="0006129B" w:rsidRPr="0006129B" w:rsidRDefault="0006129B" w:rsidP="00A91110">
            <w:pPr>
              <w:pStyle w:val="ListParagraph"/>
              <w:numPr>
                <w:ilvl w:val="0"/>
                <w:numId w:val="18"/>
              </w:numPr>
              <w:ind w:left="360"/>
              <w:rPr>
                <w:szCs w:val="20"/>
              </w:rPr>
            </w:pPr>
            <w:r w:rsidRPr="0006129B">
              <w:rPr>
                <w:szCs w:val="20"/>
              </w:rPr>
              <w:t>The Combined Greenyard Foods Group may be subject to misconduct by its employees, contractors and/or joint venture partners.</w:t>
            </w:r>
          </w:p>
          <w:p w:rsidR="0006129B" w:rsidRPr="0006129B" w:rsidRDefault="0006129B" w:rsidP="00A91110">
            <w:pPr>
              <w:pStyle w:val="ListParagraph"/>
              <w:numPr>
                <w:ilvl w:val="0"/>
                <w:numId w:val="18"/>
              </w:numPr>
              <w:ind w:left="360"/>
              <w:rPr>
                <w:szCs w:val="20"/>
              </w:rPr>
            </w:pPr>
            <w:r w:rsidRPr="0006129B">
              <w:rPr>
                <w:szCs w:val="20"/>
              </w:rPr>
              <w:t>The Combined Greenyard Foods Group may be subject to labour disputes from time to time that may adversely affect them.</w:t>
            </w:r>
          </w:p>
          <w:p w:rsidR="0006129B" w:rsidRPr="0006129B" w:rsidRDefault="0006129B" w:rsidP="00A91110">
            <w:pPr>
              <w:pStyle w:val="ListParagraph"/>
              <w:numPr>
                <w:ilvl w:val="0"/>
                <w:numId w:val="18"/>
              </w:numPr>
              <w:ind w:left="360"/>
              <w:rPr>
                <w:szCs w:val="20"/>
              </w:rPr>
            </w:pPr>
            <w:r w:rsidRPr="0006129B">
              <w:rPr>
                <w:szCs w:val="20"/>
              </w:rPr>
              <w:t>The Combined Greenyard Foods Group is exposed to potential failures or disruptions in its IT systems.</w:t>
            </w:r>
          </w:p>
          <w:p w:rsidR="0006129B" w:rsidRPr="0006129B" w:rsidRDefault="0006129B" w:rsidP="00A91110">
            <w:pPr>
              <w:pStyle w:val="ListParagraph"/>
              <w:numPr>
                <w:ilvl w:val="0"/>
                <w:numId w:val="18"/>
              </w:numPr>
              <w:ind w:left="360"/>
              <w:rPr>
                <w:szCs w:val="20"/>
              </w:rPr>
            </w:pPr>
            <w:r w:rsidRPr="0006129B">
              <w:rPr>
                <w:szCs w:val="20"/>
              </w:rPr>
              <w:t>If the Combined Greenyard Foods Group is not able to renew or maintain the approvals, licenses, permits and certificates required to operate its business, this may have a material adverse effect on its business.</w:t>
            </w:r>
          </w:p>
          <w:p w:rsidR="0006129B" w:rsidRPr="0006129B" w:rsidRDefault="0006129B" w:rsidP="00A91110">
            <w:pPr>
              <w:pStyle w:val="ListParagraph"/>
              <w:numPr>
                <w:ilvl w:val="0"/>
                <w:numId w:val="18"/>
              </w:numPr>
              <w:ind w:left="360"/>
              <w:rPr>
                <w:szCs w:val="20"/>
              </w:rPr>
            </w:pPr>
            <w:r w:rsidRPr="0006129B">
              <w:rPr>
                <w:szCs w:val="20"/>
              </w:rPr>
              <w:t>The Combined Greenyard Foods Group leases a significant portion of its facilities, which gives rise to administrative and legal risks, including that its rights to land may be challenged and the Combined Greenyard Foods Group may not be able to renew its lease agreements.</w:t>
            </w:r>
          </w:p>
          <w:p w:rsidR="0006129B" w:rsidRPr="0006129B" w:rsidRDefault="0006129B" w:rsidP="00A91110">
            <w:pPr>
              <w:pStyle w:val="ListParagraph"/>
              <w:numPr>
                <w:ilvl w:val="0"/>
                <w:numId w:val="18"/>
              </w:numPr>
              <w:ind w:left="360"/>
              <w:rPr>
                <w:szCs w:val="20"/>
              </w:rPr>
            </w:pPr>
            <w:r w:rsidRPr="0006129B">
              <w:rPr>
                <w:szCs w:val="20"/>
              </w:rPr>
              <w:t>The strategy of diversifying the product line, expanding into new geographic markets and increasing the value-added services that the Combined Greenyard Foods Group provides to its customers may not be successful.</w:t>
            </w:r>
          </w:p>
          <w:p w:rsidR="0006129B" w:rsidRPr="0006129B" w:rsidRDefault="0006129B" w:rsidP="00A91110">
            <w:pPr>
              <w:pStyle w:val="ListParagraph"/>
              <w:numPr>
                <w:ilvl w:val="0"/>
                <w:numId w:val="18"/>
              </w:numPr>
              <w:ind w:left="360"/>
              <w:rPr>
                <w:szCs w:val="20"/>
              </w:rPr>
            </w:pPr>
            <w:r w:rsidRPr="0006129B">
              <w:rPr>
                <w:szCs w:val="20"/>
              </w:rPr>
              <w:t>The Combined Greenyard Foods Group may be unable to identify or complete potential acquisitions on commercially satisfactory terms or may not be able to integrate successfully acquired businesses, which could have a material adverse effect on the business, results of operations and financial condition of the Combined Greenyard Foods Group.</w:t>
            </w:r>
          </w:p>
          <w:p w:rsidR="0006129B" w:rsidRPr="0006129B" w:rsidRDefault="0006129B" w:rsidP="00A91110">
            <w:pPr>
              <w:pStyle w:val="ListParagraph"/>
              <w:numPr>
                <w:ilvl w:val="0"/>
                <w:numId w:val="18"/>
              </w:numPr>
              <w:ind w:left="360"/>
              <w:rPr>
                <w:szCs w:val="20"/>
              </w:rPr>
            </w:pPr>
            <w:r w:rsidRPr="0006129B">
              <w:rPr>
                <w:szCs w:val="20"/>
              </w:rPr>
              <w:t>The Combined Greenyard Foods Group may be exposed to future liability claims in relation to past divestitures. The future growth of the Combined Greenyard Foods Group may be impeded by non-compete undertakings imposed on them in the course of past or future divestitures.</w:t>
            </w:r>
          </w:p>
          <w:p w:rsidR="0006129B" w:rsidRPr="0006129B" w:rsidRDefault="0006129B" w:rsidP="00A91110">
            <w:pPr>
              <w:pStyle w:val="ListParagraph"/>
              <w:numPr>
                <w:ilvl w:val="0"/>
                <w:numId w:val="18"/>
              </w:numPr>
              <w:ind w:left="360"/>
              <w:rPr>
                <w:szCs w:val="20"/>
              </w:rPr>
            </w:pPr>
            <w:r w:rsidRPr="0006129B">
              <w:rPr>
                <w:szCs w:val="20"/>
              </w:rPr>
              <w:t>The Combined Greenyard Foods Group has made and will continue to make maintenance and growth capital expenditures, and may not generate sufficient cash from operations or obtain funding on terms acceptable to it to meet its future capital needs.</w:t>
            </w:r>
          </w:p>
          <w:p w:rsidR="0006129B" w:rsidRPr="0006129B" w:rsidRDefault="0006129B" w:rsidP="00A91110">
            <w:pPr>
              <w:pStyle w:val="ListParagraph"/>
              <w:numPr>
                <w:ilvl w:val="0"/>
                <w:numId w:val="18"/>
              </w:numPr>
              <w:ind w:left="360"/>
              <w:rPr>
                <w:szCs w:val="20"/>
              </w:rPr>
            </w:pPr>
            <w:r w:rsidRPr="0006129B">
              <w:rPr>
                <w:szCs w:val="20"/>
              </w:rPr>
              <w:t>The Transactions will change the risk and leverage profile of the Combined Greenyard Foods Group.</w:t>
            </w:r>
          </w:p>
          <w:p w:rsidR="0006129B" w:rsidRPr="0006129B" w:rsidRDefault="0006129B" w:rsidP="00A91110">
            <w:pPr>
              <w:pStyle w:val="ListParagraph"/>
              <w:numPr>
                <w:ilvl w:val="0"/>
                <w:numId w:val="18"/>
              </w:numPr>
              <w:ind w:left="360"/>
              <w:rPr>
                <w:szCs w:val="20"/>
              </w:rPr>
            </w:pPr>
            <w:r w:rsidRPr="0006129B">
              <w:rPr>
                <w:szCs w:val="20"/>
              </w:rPr>
              <w:t>The Combined Greenyard Foods Group may not be able to generate sufficient cash, through declining business and/or through a discontinuation or reduction of its factoring, to meet its debt service obligations, and this inability to generate sufficient cash may result in goodwill impairments.</w:t>
            </w:r>
          </w:p>
          <w:p w:rsidR="0006129B" w:rsidRPr="0006129B" w:rsidRDefault="0006129B" w:rsidP="00A91110">
            <w:pPr>
              <w:pStyle w:val="ListParagraph"/>
              <w:numPr>
                <w:ilvl w:val="0"/>
                <w:numId w:val="18"/>
              </w:numPr>
              <w:ind w:left="360"/>
              <w:rPr>
                <w:szCs w:val="20"/>
              </w:rPr>
            </w:pPr>
            <w:r w:rsidRPr="0006129B">
              <w:rPr>
                <w:szCs w:val="20"/>
              </w:rPr>
              <w:t xml:space="preserve">Certain of the Combined Greenyard Foods Group’s financing agreements contain covenants that restrict the Combined Greenyard Foods Group’s ability to engage in certain transactions and may impair the Combined Greenyard Foods Group’s ability to </w:t>
            </w:r>
            <w:r w:rsidRPr="0006129B">
              <w:rPr>
                <w:szCs w:val="20"/>
              </w:rPr>
              <w:lastRenderedPageBreak/>
              <w:t>respond to changing business and economic conditions.</w:t>
            </w:r>
          </w:p>
          <w:p w:rsidR="0006129B" w:rsidRPr="0006129B" w:rsidRDefault="0006129B" w:rsidP="00A91110">
            <w:pPr>
              <w:pStyle w:val="ListParagraph"/>
              <w:numPr>
                <w:ilvl w:val="0"/>
                <w:numId w:val="18"/>
              </w:numPr>
              <w:ind w:left="360"/>
              <w:rPr>
                <w:szCs w:val="20"/>
              </w:rPr>
            </w:pPr>
            <w:r w:rsidRPr="0006129B">
              <w:rPr>
                <w:szCs w:val="20"/>
              </w:rPr>
              <w:t>Despite its current levels of indebtedness, the Combined Greenyard Foods Group may incur substantially more debt in the future, which may make it difficult for it to service its debt, and may impair its ability to operate its business.</w:t>
            </w:r>
          </w:p>
          <w:p w:rsidR="0006129B" w:rsidRPr="0006129B" w:rsidRDefault="0006129B" w:rsidP="00A91110">
            <w:pPr>
              <w:pStyle w:val="ListParagraph"/>
              <w:numPr>
                <w:ilvl w:val="0"/>
                <w:numId w:val="18"/>
              </w:numPr>
              <w:ind w:left="360"/>
              <w:rPr>
                <w:szCs w:val="20"/>
              </w:rPr>
            </w:pPr>
            <w:r w:rsidRPr="0006129B">
              <w:rPr>
                <w:szCs w:val="20"/>
              </w:rPr>
              <w:t>Fluctuations in interest rates can have a significant impact on the activities, operating results or the financial position of the Combined Greenyard Foods Group, and the Transactions could result in an increase of the overall average interest rate of the Combined Greenyard Foods Group.</w:t>
            </w:r>
          </w:p>
          <w:p w:rsidR="0006129B" w:rsidRPr="0006129B" w:rsidRDefault="0006129B" w:rsidP="00A91110">
            <w:pPr>
              <w:pStyle w:val="ListParagraph"/>
              <w:numPr>
                <w:ilvl w:val="0"/>
                <w:numId w:val="18"/>
              </w:numPr>
              <w:ind w:left="360"/>
              <w:rPr>
                <w:szCs w:val="20"/>
              </w:rPr>
            </w:pPr>
            <w:r w:rsidRPr="0006129B">
              <w:rPr>
                <w:szCs w:val="20"/>
              </w:rPr>
              <w:t>The realisation of the Contributions will constitute an event of default under the Bonds</w:t>
            </w:r>
          </w:p>
          <w:p w:rsidR="0006129B" w:rsidRPr="0006129B" w:rsidRDefault="0006129B" w:rsidP="00A91110">
            <w:pPr>
              <w:pStyle w:val="ListParagraph"/>
              <w:numPr>
                <w:ilvl w:val="0"/>
                <w:numId w:val="18"/>
              </w:numPr>
              <w:ind w:left="360"/>
              <w:rPr>
                <w:szCs w:val="20"/>
              </w:rPr>
            </w:pPr>
            <w:r w:rsidRPr="0006129B">
              <w:rPr>
                <w:szCs w:val="20"/>
              </w:rPr>
              <w:t>The Combined Greenyard Foods Group is exposed to the credit and other counterparty risk of its customers, suppliers and hedge counterparties in the ordinary course of its business.</w:t>
            </w:r>
          </w:p>
          <w:p w:rsidR="0006129B" w:rsidRPr="0006129B" w:rsidRDefault="0006129B" w:rsidP="00A91110">
            <w:pPr>
              <w:pStyle w:val="ListParagraph"/>
              <w:numPr>
                <w:ilvl w:val="0"/>
                <w:numId w:val="18"/>
              </w:numPr>
              <w:ind w:left="360"/>
              <w:rPr>
                <w:szCs w:val="20"/>
              </w:rPr>
            </w:pPr>
            <w:r w:rsidRPr="0006129B">
              <w:rPr>
                <w:szCs w:val="20"/>
              </w:rPr>
              <w:t>Compliance with future material changes in regulations and increased governmental regulation might result in material increases in operating costs and might require interruptions in the operations of the Combined Greenyard Foods Group.</w:t>
            </w:r>
          </w:p>
          <w:p w:rsidR="0006129B" w:rsidRPr="0006129B" w:rsidRDefault="0006129B" w:rsidP="00A91110">
            <w:pPr>
              <w:pStyle w:val="ListParagraph"/>
              <w:numPr>
                <w:ilvl w:val="0"/>
                <w:numId w:val="18"/>
              </w:numPr>
              <w:ind w:left="360"/>
              <w:rPr>
                <w:szCs w:val="20"/>
              </w:rPr>
            </w:pPr>
            <w:r w:rsidRPr="0006129B">
              <w:rPr>
                <w:szCs w:val="20"/>
              </w:rPr>
              <w:t>The Combined Greenyard Foods Group is exposed to costs arising from compliance with environmental and health and safety regulations and may be exposed to liabilities if the Combined Greenyard Foods Group fails to comply with these regulations.</w:t>
            </w:r>
          </w:p>
          <w:p w:rsidR="0006129B" w:rsidRPr="0006129B" w:rsidRDefault="0006129B" w:rsidP="00A91110">
            <w:pPr>
              <w:pStyle w:val="ListParagraph"/>
              <w:numPr>
                <w:ilvl w:val="0"/>
                <w:numId w:val="18"/>
              </w:numPr>
              <w:ind w:left="360"/>
              <w:rPr>
                <w:szCs w:val="20"/>
              </w:rPr>
            </w:pPr>
            <w:r w:rsidRPr="0006129B">
              <w:rPr>
                <w:szCs w:val="20"/>
              </w:rPr>
              <w:t>The processing of fresh vegetables is an activity which impacts the environment. Violation of environmental laws could lead to high penalties / investments to be made and even lead to the revocation of licences.</w:t>
            </w:r>
          </w:p>
          <w:p w:rsidR="0006129B" w:rsidRPr="0006129B" w:rsidRDefault="0006129B" w:rsidP="00A91110">
            <w:pPr>
              <w:pStyle w:val="ListParagraph"/>
              <w:numPr>
                <w:ilvl w:val="0"/>
                <w:numId w:val="18"/>
              </w:numPr>
              <w:ind w:left="360"/>
              <w:rPr>
                <w:szCs w:val="20"/>
              </w:rPr>
            </w:pPr>
            <w:r w:rsidRPr="0006129B">
              <w:rPr>
                <w:szCs w:val="20"/>
              </w:rPr>
              <w:t>The geographical footprint, size and decentralised approach to the management of its operations of the Combined Greenyard Foods Group may lead to inefficiencies, inconsistent application of group-wide policies and practices, failures to prevent breaches of applicable laws and reputational harm and the inadequate or late provision of information to its senior management.</w:t>
            </w:r>
          </w:p>
          <w:p w:rsidR="0006129B" w:rsidRPr="0006129B" w:rsidRDefault="0006129B" w:rsidP="00A91110">
            <w:pPr>
              <w:pStyle w:val="ListParagraph"/>
              <w:numPr>
                <w:ilvl w:val="0"/>
                <w:numId w:val="18"/>
              </w:numPr>
              <w:ind w:left="360"/>
              <w:rPr>
                <w:szCs w:val="20"/>
              </w:rPr>
            </w:pPr>
            <w:r w:rsidRPr="0006129B">
              <w:rPr>
                <w:szCs w:val="20"/>
              </w:rPr>
              <w:t>The Combined Greenyard Foods Group is subject to various potential litigation risks associated with its operations.</w:t>
            </w:r>
          </w:p>
          <w:p w:rsidR="0006129B" w:rsidRPr="0006129B" w:rsidRDefault="0006129B" w:rsidP="00A91110">
            <w:pPr>
              <w:pStyle w:val="ListParagraph"/>
              <w:numPr>
                <w:ilvl w:val="0"/>
                <w:numId w:val="18"/>
              </w:numPr>
              <w:ind w:left="360"/>
              <w:rPr>
                <w:szCs w:val="20"/>
              </w:rPr>
            </w:pPr>
            <w:r w:rsidRPr="0006129B">
              <w:rPr>
                <w:szCs w:val="20"/>
              </w:rPr>
              <w:t>The Combined Greenyard Foods Group may have to pay additional taxes for past and future assessment periods. Changes in tax laws or tax-related case law may have adverse effects on the business and the Combined Greenyard Foods Group’s financial condition and results of operations.</w:t>
            </w:r>
          </w:p>
          <w:p w:rsidR="003F0BC5" w:rsidRPr="0006129B" w:rsidRDefault="0006129B" w:rsidP="00A91110">
            <w:pPr>
              <w:pStyle w:val="ListParagraph"/>
              <w:numPr>
                <w:ilvl w:val="0"/>
                <w:numId w:val="18"/>
              </w:numPr>
              <w:ind w:left="360"/>
              <w:rPr>
                <w:szCs w:val="20"/>
              </w:rPr>
            </w:pPr>
            <w:r w:rsidRPr="0006129B">
              <w:rPr>
                <w:szCs w:val="20"/>
              </w:rPr>
              <w:t>The insurance coverage of the Combined Greenyard Foods Group does not cover all potential losses, liabilities and damage related to its operations and certain risks are uninsured or uninsurable.</w:t>
            </w:r>
          </w:p>
        </w:tc>
      </w:tr>
      <w:tr w:rsidR="003F0BC5" w:rsidRPr="00992199" w:rsidTr="00474373">
        <w:tc>
          <w:tcPr>
            <w:tcW w:w="1483" w:type="dxa"/>
            <w:tcBorders>
              <w:bottom w:val="nil"/>
            </w:tcBorders>
            <w:shd w:val="clear" w:color="auto" w:fill="auto"/>
          </w:tcPr>
          <w:p w:rsidR="003F0BC5" w:rsidRPr="00992199" w:rsidRDefault="003F0BC5" w:rsidP="00BB0F52">
            <w:pPr>
              <w:jc w:val="center"/>
              <w:rPr>
                <w:b/>
                <w:szCs w:val="20"/>
              </w:rPr>
            </w:pPr>
            <w:r w:rsidRPr="00992199">
              <w:rPr>
                <w:b/>
                <w:szCs w:val="20"/>
              </w:rPr>
              <w:lastRenderedPageBreak/>
              <w:t>D.3</w:t>
            </w:r>
          </w:p>
        </w:tc>
        <w:tc>
          <w:tcPr>
            <w:tcW w:w="7762" w:type="dxa"/>
            <w:tcBorders>
              <w:bottom w:val="nil"/>
            </w:tcBorders>
            <w:shd w:val="clear" w:color="auto" w:fill="auto"/>
          </w:tcPr>
          <w:p w:rsidR="00F37DD6" w:rsidRPr="00F37DD6" w:rsidRDefault="003F0BC5" w:rsidP="00F37DD6">
            <w:pPr>
              <w:rPr>
                <w:b/>
                <w:szCs w:val="20"/>
              </w:rPr>
            </w:pPr>
            <w:r w:rsidRPr="00992199">
              <w:rPr>
                <w:b/>
                <w:szCs w:val="20"/>
              </w:rPr>
              <w:t>Key risks that are specific to the securities</w:t>
            </w:r>
          </w:p>
        </w:tc>
      </w:tr>
      <w:tr w:rsidR="003F0BC5" w:rsidRPr="00992199" w:rsidTr="00474373">
        <w:tc>
          <w:tcPr>
            <w:tcW w:w="1483" w:type="dxa"/>
            <w:tcBorders>
              <w:top w:val="nil"/>
              <w:bottom w:val="single" w:sz="4" w:space="0" w:color="auto"/>
            </w:tcBorders>
            <w:shd w:val="clear" w:color="auto" w:fill="auto"/>
          </w:tcPr>
          <w:p w:rsidR="003F0BC5" w:rsidRPr="00992199" w:rsidRDefault="003F0BC5" w:rsidP="00BB0F52">
            <w:pPr>
              <w:jc w:val="center"/>
              <w:rPr>
                <w:i/>
                <w:szCs w:val="20"/>
              </w:rPr>
            </w:pPr>
          </w:p>
        </w:tc>
        <w:tc>
          <w:tcPr>
            <w:tcW w:w="7762" w:type="dxa"/>
            <w:tcBorders>
              <w:top w:val="nil"/>
              <w:bottom w:val="single" w:sz="4" w:space="0" w:color="auto"/>
            </w:tcBorders>
            <w:shd w:val="clear" w:color="auto" w:fill="auto"/>
          </w:tcPr>
          <w:p w:rsidR="00F37DD6" w:rsidRPr="00F37DD6" w:rsidRDefault="00F37DD6" w:rsidP="00A91110">
            <w:pPr>
              <w:pStyle w:val="ListParagraph"/>
              <w:numPr>
                <w:ilvl w:val="0"/>
                <w:numId w:val="18"/>
              </w:numPr>
              <w:ind w:left="360"/>
              <w:rPr>
                <w:szCs w:val="20"/>
              </w:rPr>
            </w:pPr>
            <w:r w:rsidRPr="00F37DD6">
              <w:rPr>
                <w:szCs w:val="20"/>
              </w:rPr>
              <w:t>The Contributions need to be approved by the shareholders of Greenyard Foods.</w:t>
            </w:r>
          </w:p>
          <w:p w:rsidR="00F37DD6" w:rsidRPr="00F37DD6" w:rsidRDefault="00F37DD6" w:rsidP="00A91110">
            <w:pPr>
              <w:pStyle w:val="ListParagraph"/>
              <w:numPr>
                <w:ilvl w:val="0"/>
                <w:numId w:val="18"/>
              </w:numPr>
              <w:ind w:left="360"/>
              <w:rPr>
                <w:szCs w:val="20"/>
              </w:rPr>
            </w:pPr>
            <w:r w:rsidRPr="00F37DD6">
              <w:rPr>
                <w:szCs w:val="20"/>
              </w:rPr>
              <w:t>Possibility of liability claims and other challenges in the framework of the Contributions</w:t>
            </w:r>
            <w:r w:rsidR="001A1700">
              <w:rPr>
                <w:szCs w:val="20"/>
              </w:rPr>
              <w:t>.</w:t>
            </w:r>
          </w:p>
          <w:p w:rsidR="00F37DD6" w:rsidRPr="00F37DD6" w:rsidRDefault="00F37DD6" w:rsidP="00A91110">
            <w:pPr>
              <w:pStyle w:val="ListParagraph"/>
              <w:numPr>
                <w:ilvl w:val="0"/>
                <w:numId w:val="18"/>
              </w:numPr>
              <w:ind w:left="360"/>
              <w:rPr>
                <w:szCs w:val="20"/>
              </w:rPr>
            </w:pPr>
            <w:r w:rsidRPr="00F37DD6">
              <w:rPr>
                <w:szCs w:val="20"/>
              </w:rPr>
              <w:t>The start of trading of the New Shares may be postponed.</w:t>
            </w:r>
          </w:p>
          <w:p w:rsidR="00F37DD6" w:rsidRPr="00F37DD6" w:rsidRDefault="00F37DD6" w:rsidP="00A91110">
            <w:pPr>
              <w:pStyle w:val="ListParagraph"/>
              <w:numPr>
                <w:ilvl w:val="0"/>
                <w:numId w:val="18"/>
              </w:numPr>
              <w:ind w:left="360"/>
              <w:rPr>
                <w:szCs w:val="20"/>
              </w:rPr>
            </w:pPr>
            <w:r w:rsidRPr="00F37DD6">
              <w:rPr>
                <w:szCs w:val="20"/>
              </w:rPr>
              <w:t>Greenyard Foods cannot guarantee a sustainable liquid market for the Shares.</w:t>
            </w:r>
          </w:p>
          <w:p w:rsidR="00F37DD6" w:rsidRPr="00F37DD6" w:rsidRDefault="00F37DD6" w:rsidP="00A91110">
            <w:pPr>
              <w:pStyle w:val="ListParagraph"/>
              <w:numPr>
                <w:ilvl w:val="0"/>
                <w:numId w:val="18"/>
              </w:numPr>
              <w:ind w:left="360"/>
              <w:rPr>
                <w:szCs w:val="20"/>
              </w:rPr>
            </w:pPr>
            <w:r w:rsidRPr="00F37DD6">
              <w:rPr>
                <w:szCs w:val="20"/>
              </w:rPr>
              <w:t>Volatility of the Share price.</w:t>
            </w:r>
          </w:p>
          <w:p w:rsidR="00F37DD6" w:rsidRPr="00F37DD6" w:rsidRDefault="00F37DD6" w:rsidP="00A91110">
            <w:pPr>
              <w:pStyle w:val="ListParagraph"/>
              <w:numPr>
                <w:ilvl w:val="0"/>
                <w:numId w:val="18"/>
              </w:numPr>
              <w:ind w:left="360"/>
              <w:rPr>
                <w:szCs w:val="20"/>
              </w:rPr>
            </w:pPr>
            <w:r w:rsidRPr="00F37DD6">
              <w:rPr>
                <w:szCs w:val="20"/>
              </w:rPr>
              <w:t>Future sales of a significant number of Shares, any capital increase of the Company or the perception that such transactions could occur, could have a material adverse effect on the stock market price of the Shares.</w:t>
            </w:r>
          </w:p>
          <w:p w:rsidR="00F37DD6" w:rsidRPr="00F37DD6" w:rsidRDefault="00F37DD6" w:rsidP="00A91110">
            <w:pPr>
              <w:pStyle w:val="ListParagraph"/>
              <w:numPr>
                <w:ilvl w:val="0"/>
                <w:numId w:val="18"/>
              </w:numPr>
              <w:ind w:left="360"/>
              <w:rPr>
                <w:szCs w:val="20"/>
              </w:rPr>
            </w:pPr>
            <w:r w:rsidRPr="00F37DD6">
              <w:rPr>
                <w:szCs w:val="20"/>
              </w:rPr>
              <w:t xml:space="preserve">The interests of the reference shareholders of Greenyard Foods may differ from Greenyard Foods’s or other shareholders’ interests but these reference shareholders </w:t>
            </w:r>
            <w:r w:rsidRPr="00F37DD6">
              <w:rPr>
                <w:szCs w:val="20"/>
              </w:rPr>
              <w:lastRenderedPageBreak/>
              <w:t>guarantee a stable shareholding.</w:t>
            </w:r>
          </w:p>
          <w:p w:rsidR="00F37DD6" w:rsidRPr="00F37DD6" w:rsidRDefault="00F37DD6" w:rsidP="00A91110">
            <w:pPr>
              <w:pStyle w:val="ListParagraph"/>
              <w:numPr>
                <w:ilvl w:val="0"/>
                <w:numId w:val="18"/>
              </w:numPr>
              <w:ind w:left="360"/>
              <w:rPr>
                <w:szCs w:val="20"/>
              </w:rPr>
            </w:pPr>
            <w:r w:rsidRPr="00F37DD6">
              <w:rPr>
                <w:szCs w:val="20"/>
              </w:rPr>
              <w:t>It is possible that Greenyard Foods is unable to pay dividends.</w:t>
            </w:r>
          </w:p>
          <w:p w:rsidR="00F37DD6" w:rsidRPr="00F37DD6" w:rsidRDefault="00F37DD6" w:rsidP="00A91110">
            <w:pPr>
              <w:pStyle w:val="ListParagraph"/>
              <w:numPr>
                <w:ilvl w:val="0"/>
                <w:numId w:val="18"/>
              </w:numPr>
              <w:ind w:left="360"/>
              <w:rPr>
                <w:szCs w:val="20"/>
              </w:rPr>
            </w:pPr>
            <w:r w:rsidRPr="00F37DD6">
              <w:rPr>
                <w:szCs w:val="20"/>
              </w:rPr>
              <w:t xml:space="preserve">Certain provisions of the Belgian Companies Code and of the </w:t>
            </w:r>
            <w:r w:rsidR="001A1700" w:rsidRPr="00F37DD6">
              <w:rPr>
                <w:szCs w:val="20"/>
              </w:rPr>
              <w:t xml:space="preserve">articles of association </w:t>
            </w:r>
            <w:r w:rsidRPr="00F37DD6">
              <w:rPr>
                <w:szCs w:val="20"/>
              </w:rPr>
              <w:t>can have an impact on potential takeover attempts and the stock market price of the Shares.</w:t>
            </w:r>
          </w:p>
          <w:p w:rsidR="003F0BC5" w:rsidRPr="00992199" w:rsidRDefault="00F37DD6" w:rsidP="00A91110">
            <w:pPr>
              <w:pStyle w:val="ListParagraph"/>
              <w:numPr>
                <w:ilvl w:val="0"/>
                <w:numId w:val="18"/>
              </w:numPr>
              <w:ind w:left="360"/>
              <w:rPr>
                <w:i/>
                <w:szCs w:val="20"/>
              </w:rPr>
            </w:pPr>
            <w:r w:rsidRPr="00F37DD6">
              <w:rPr>
                <w:szCs w:val="20"/>
              </w:rPr>
              <w:t xml:space="preserve">Any sale, purchase or exchange of the Shares may become subject to the </w:t>
            </w:r>
            <w:r w:rsidR="001A1700" w:rsidRPr="00F37DD6">
              <w:rPr>
                <w:szCs w:val="20"/>
              </w:rPr>
              <w:t>financial transaction tax.</w:t>
            </w:r>
          </w:p>
        </w:tc>
      </w:tr>
    </w:tbl>
    <w:p w:rsidR="003F0BC5" w:rsidRPr="00992199" w:rsidRDefault="003F0BC5" w:rsidP="003F0BC5">
      <w:pPr>
        <w:rPr>
          <w:szCs w:val="20"/>
        </w:rPr>
      </w:pPr>
    </w:p>
    <w:p w:rsidR="003F0BC5" w:rsidRPr="00992199" w:rsidRDefault="003F0BC5" w:rsidP="003F0BC5">
      <w:pPr>
        <w:pageBreakBefore/>
        <w:jc w:val="center"/>
        <w:rPr>
          <w:b/>
          <w:szCs w:val="20"/>
        </w:rPr>
      </w:pPr>
      <w:r w:rsidRPr="00992199">
        <w:rPr>
          <w:b/>
          <w:szCs w:val="20"/>
        </w:rPr>
        <w:lastRenderedPageBreak/>
        <w:t>Section E – Offer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3"/>
        <w:gridCol w:w="7762"/>
      </w:tblGrid>
      <w:tr w:rsidR="003F0BC5" w:rsidRPr="00992199" w:rsidTr="00474373">
        <w:trPr>
          <w:tblHeader/>
        </w:trPr>
        <w:tc>
          <w:tcPr>
            <w:tcW w:w="1483" w:type="dxa"/>
            <w:shd w:val="clear" w:color="auto" w:fill="E6E6E6"/>
            <w:vAlign w:val="center"/>
          </w:tcPr>
          <w:p w:rsidR="003F0BC5" w:rsidRPr="00992199" w:rsidRDefault="003F0BC5" w:rsidP="00BB0F52">
            <w:pPr>
              <w:rPr>
                <w:b/>
                <w:szCs w:val="20"/>
              </w:rPr>
            </w:pPr>
            <w:r w:rsidRPr="00992199">
              <w:rPr>
                <w:b/>
                <w:szCs w:val="20"/>
              </w:rPr>
              <w:t>Element</w:t>
            </w:r>
          </w:p>
        </w:tc>
        <w:tc>
          <w:tcPr>
            <w:tcW w:w="7762" w:type="dxa"/>
            <w:shd w:val="clear" w:color="auto" w:fill="E6E6E6"/>
            <w:vAlign w:val="center"/>
          </w:tcPr>
          <w:p w:rsidR="003F0BC5" w:rsidRPr="00992199" w:rsidRDefault="003F0BC5" w:rsidP="00BB0F52">
            <w:pPr>
              <w:rPr>
                <w:b/>
                <w:szCs w:val="20"/>
              </w:rPr>
            </w:pPr>
            <w:r w:rsidRPr="00992199">
              <w:rPr>
                <w:b/>
                <w:szCs w:val="20"/>
              </w:rPr>
              <w:t>Disclosure requirement</w:t>
            </w:r>
          </w:p>
        </w:tc>
      </w:tr>
      <w:tr w:rsidR="003F0BC5" w:rsidRPr="00992199" w:rsidTr="00474373">
        <w:tc>
          <w:tcPr>
            <w:tcW w:w="9245" w:type="dxa"/>
            <w:gridSpan w:val="2"/>
            <w:shd w:val="clear" w:color="auto" w:fill="auto"/>
          </w:tcPr>
          <w:p w:rsidR="003F0BC5" w:rsidRPr="00992199" w:rsidRDefault="003F0BC5" w:rsidP="00BB0F52">
            <w:pPr>
              <w:rPr>
                <w:szCs w:val="20"/>
              </w:rPr>
            </w:pPr>
            <w:r w:rsidRPr="00992199">
              <w:rPr>
                <w:szCs w:val="20"/>
              </w:rPr>
              <w:t>This Prospectus does not constitute an offer to buy, subscribe or sell the Shares of the Company. This Prospectus serves as a prospectus for the purposes of article 20 of the Prospectus Law only and no securities are being offered or sold pursuant to this Prospectus.</w:t>
            </w:r>
          </w:p>
        </w:tc>
      </w:tr>
      <w:tr w:rsidR="003F0BC5" w:rsidRPr="00992199" w:rsidTr="00474373">
        <w:tc>
          <w:tcPr>
            <w:tcW w:w="1483" w:type="dxa"/>
            <w:tcBorders>
              <w:bottom w:val="nil"/>
            </w:tcBorders>
            <w:shd w:val="clear" w:color="auto" w:fill="auto"/>
          </w:tcPr>
          <w:p w:rsidR="003F0BC5" w:rsidRPr="00992199" w:rsidRDefault="003F0BC5" w:rsidP="00BB0F52">
            <w:pPr>
              <w:jc w:val="center"/>
              <w:rPr>
                <w:b/>
                <w:szCs w:val="20"/>
              </w:rPr>
            </w:pPr>
            <w:r w:rsidRPr="00992199">
              <w:rPr>
                <w:b/>
                <w:szCs w:val="20"/>
              </w:rPr>
              <w:t>E.1</w:t>
            </w:r>
          </w:p>
        </w:tc>
        <w:tc>
          <w:tcPr>
            <w:tcW w:w="7762" w:type="dxa"/>
            <w:tcBorders>
              <w:bottom w:val="nil"/>
            </w:tcBorders>
            <w:shd w:val="clear" w:color="auto" w:fill="auto"/>
          </w:tcPr>
          <w:p w:rsidR="003F0BC5" w:rsidRPr="00992199" w:rsidRDefault="003F0BC5" w:rsidP="00BB0F52">
            <w:pPr>
              <w:rPr>
                <w:b/>
                <w:szCs w:val="20"/>
              </w:rPr>
            </w:pPr>
            <w:r w:rsidRPr="00992199">
              <w:rPr>
                <w:b/>
                <w:szCs w:val="20"/>
              </w:rPr>
              <w:t>Net proceeds and expenses of the issue / offer</w:t>
            </w:r>
          </w:p>
        </w:tc>
      </w:tr>
      <w:tr w:rsidR="003F0BC5" w:rsidRPr="00992199" w:rsidTr="00474373">
        <w:tc>
          <w:tcPr>
            <w:tcW w:w="1483" w:type="dxa"/>
            <w:tcBorders>
              <w:top w:val="nil"/>
              <w:bottom w:val="single" w:sz="4" w:space="0" w:color="auto"/>
            </w:tcBorders>
            <w:shd w:val="clear" w:color="auto" w:fill="auto"/>
          </w:tcPr>
          <w:p w:rsidR="003F0BC5" w:rsidRPr="00992199" w:rsidRDefault="003F0BC5" w:rsidP="00BB0F52">
            <w:pPr>
              <w:jc w:val="center"/>
              <w:rPr>
                <w:i/>
                <w:szCs w:val="20"/>
              </w:rPr>
            </w:pPr>
          </w:p>
        </w:tc>
        <w:tc>
          <w:tcPr>
            <w:tcW w:w="7762" w:type="dxa"/>
            <w:tcBorders>
              <w:top w:val="nil"/>
              <w:bottom w:val="single" w:sz="4" w:space="0" w:color="auto"/>
            </w:tcBorders>
            <w:shd w:val="clear" w:color="auto" w:fill="auto"/>
          </w:tcPr>
          <w:p w:rsidR="003F0BC5" w:rsidRPr="00462E99" w:rsidRDefault="00462E99" w:rsidP="00BB0F52">
            <w:pPr>
              <w:rPr>
                <w:szCs w:val="20"/>
              </w:rPr>
            </w:pPr>
            <w:r w:rsidRPr="00462E99">
              <w:rPr>
                <w:szCs w:val="20"/>
              </w:rPr>
              <w:t>Not applicable.</w:t>
            </w:r>
            <w:r>
              <w:rPr>
                <w:szCs w:val="20"/>
              </w:rPr>
              <w:t xml:space="preserve"> </w:t>
            </w:r>
            <w:r w:rsidRPr="00462E99">
              <w:rPr>
                <w:szCs w:val="20"/>
              </w:rPr>
              <w:t>This Prospectus does not constitute an offer to buy, subscribe or sell the Shares</w:t>
            </w:r>
            <w:r>
              <w:rPr>
                <w:szCs w:val="20"/>
              </w:rPr>
              <w:t>.</w:t>
            </w:r>
          </w:p>
        </w:tc>
      </w:tr>
      <w:tr w:rsidR="003F0BC5" w:rsidRPr="00992199" w:rsidTr="00474373">
        <w:tc>
          <w:tcPr>
            <w:tcW w:w="1483" w:type="dxa"/>
            <w:tcBorders>
              <w:bottom w:val="nil"/>
            </w:tcBorders>
            <w:shd w:val="clear" w:color="auto" w:fill="auto"/>
          </w:tcPr>
          <w:p w:rsidR="003F0BC5" w:rsidRPr="00992199" w:rsidRDefault="003F0BC5" w:rsidP="00BB0F52">
            <w:pPr>
              <w:jc w:val="center"/>
              <w:rPr>
                <w:b/>
                <w:szCs w:val="20"/>
              </w:rPr>
            </w:pPr>
            <w:r w:rsidRPr="00992199">
              <w:rPr>
                <w:b/>
                <w:szCs w:val="20"/>
              </w:rPr>
              <w:t>E.2a</w:t>
            </w:r>
          </w:p>
        </w:tc>
        <w:tc>
          <w:tcPr>
            <w:tcW w:w="7762" w:type="dxa"/>
            <w:tcBorders>
              <w:bottom w:val="nil"/>
            </w:tcBorders>
            <w:shd w:val="clear" w:color="auto" w:fill="auto"/>
          </w:tcPr>
          <w:p w:rsidR="003F0BC5" w:rsidRPr="00992199" w:rsidRDefault="003F0BC5" w:rsidP="00BB0F52">
            <w:pPr>
              <w:rPr>
                <w:b/>
                <w:szCs w:val="20"/>
              </w:rPr>
            </w:pPr>
            <w:r w:rsidRPr="00992199">
              <w:rPr>
                <w:b/>
                <w:szCs w:val="20"/>
              </w:rPr>
              <w:t>Use of proceeds</w:t>
            </w:r>
          </w:p>
        </w:tc>
      </w:tr>
      <w:tr w:rsidR="00462E99" w:rsidRPr="00992199" w:rsidTr="00474373">
        <w:tc>
          <w:tcPr>
            <w:tcW w:w="1483" w:type="dxa"/>
            <w:tcBorders>
              <w:top w:val="nil"/>
              <w:bottom w:val="single" w:sz="4" w:space="0" w:color="auto"/>
            </w:tcBorders>
            <w:shd w:val="clear" w:color="auto" w:fill="auto"/>
          </w:tcPr>
          <w:p w:rsidR="00462E99" w:rsidRPr="00992199" w:rsidRDefault="00462E99" w:rsidP="00BB0F52">
            <w:pPr>
              <w:jc w:val="center"/>
              <w:rPr>
                <w:i/>
                <w:szCs w:val="20"/>
              </w:rPr>
            </w:pPr>
          </w:p>
        </w:tc>
        <w:tc>
          <w:tcPr>
            <w:tcW w:w="7762" w:type="dxa"/>
            <w:tcBorders>
              <w:top w:val="nil"/>
              <w:bottom w:val="single" w:sz="4" w:space="0" w:color="auto"/>
            </w:tcBorders>
            <w:shd w:val="clear" w:color="auto" w:fill="auto"/>
          </w:tcPr>
          <w:p w:rsidR="00462E99" w:rsidRPr="00462E99" w:rsidRDefault="00462E99" w:rsidP="00462E99">
            <w:pPr>
              <w:rPr>
                <w:szCs w:val="20"/>
              </w:rPr>
            </w:pPr>
            <w:r w:rsidRPr="00462E99">
              <w:rPr>
                <w:szCs w:val="20"/>
              </w:rPr>
              <w:t>Not applicable.</w:t>
            </w:r>
            <w:r>
              <w:rPr>
                <w:szCs w:val="20"/>
              </w:rPr>
              <w:t xml:space="preserve"> </w:t>
            </w:r>
            <w:r w:rsidRPr="00462E99">
              <w:rPr>
                <w:szCs w:val="20"/>
              </w:rPr>
              <w:t>This Prospectus does not constitute an offer to buy, subscribe or sell the Shares</w:t>
            </w:r>
            <w:r>
              <w:rPr>
                <w:szCs w:val="20"/>
              </w:rPr>
              <w:t>.</w:t>
            </w:r>
          </w:p>
        </w:tc>
      </w:tr>
      <w:tr w:rsidR="003F0BC5" w:rsidRPr="00992199" w:rsidTr="00474373">
        <w:tc>
          <w:tcPr>
            <w:tcW w:w="1483" w:type="dxa"/>
            <w:tcBorders>
              <w:bottom w:val="nil"/>
            </w:tcBorders>
            <w:shd w:val="clear" w:color="auto" w:fill="auto"/>
          </w:tcPr>
          <w:p w:rsidR="003F0BC5" w:rsidRPr="00992199" w:rsidRDefault="003F0BC5" w:rsidP="00BB0F52">
            <w:pPr>
              <w:jc w:val="center"/>
              <w:rPr>
                <w:b/>
                <w:szCs w:val="20"/>
              </w:rPr>
            </w:pPr>
            <w:r w:rsidRPr="00992199">
              <w:rPr>
                <w:b/>
                <w:szCs w:val="20"/>
              </w:rPr>
              <w:t>E.3</w:t>
            </w:r>
          </w:p>
        </w:tc>
        <w:tc>
          <w:tcPr>
            <w:tcW w:w="7762" w:type="dxa"/>
            <w:tcBorders>
              <w:bottom w:val="nil"/>
            </w:tcBorders>
            <w:shd w:val="clear" w:color="auto" w:fill="auto"/>
          </w:tcPr>
          <w:p w:rsidR="003F0BC5" w:rsidRPr="00992199" w:rsidRDefault="003F0BC5" w:rsidP="00BB0F52">
            <w:pPr>
              <w:rPr>
                <w:b/>
                <w:szCs w:val="20"/>
              </w:rPr>
            </w:pPr>
            <w:r w:rsidRPr="00992199">
              <w:rPr>
                <w:b/>
                <w:szCs w:val="20"/>
              </w:rPr>
              <w:t>Terms and conditions of the offer</w:t>
            </w:r>
          </w:p>
        </w:tc>
      </w:tr>
      <w:tr w:rsidR="00462E99" w:rsidRPr="00992199" w:rsidTr="00474373">
        <w:tc>
          <w:tcPr>
            <w:tcW w:w="1483" w:type="dxa"/>
            <w:tcBorders>
              <w:top w:val="nil"/>
              <w:bottom w:val="single" w:sz="4" w:space="0" w:color="auto"/>
            </w:tcBorders>
            <w:shd w:val="clear" w:color="auto" w:fill="auto"/>
          </w:tcPr>
          <w:p w:rsidR="00462E99" w:rsidRPr="00992199" w:rsidRDefault="00462E99" w:rsidP="00BB0F52">
            <w:pPr>
              <w:jc w:val="center"/>
              <w:rPr>
                <w:i/>
                <w:szCs w:val="20"/>
              </w:rPr>
            </w:pPr>
          </w:p>
        </w:tc>
        <w:tc>
          <w:tcPr>
            <w:tcW w:w="7762" w:type="dxa"/>
            <w:tcBorders>
              <w:top w:val="nil"/>
              <w:bottom w:val="single" w:sz="4" w:space="0" w:color="auto"/>
            </w:tcBorders>
            <w:shd w:val="clear" w:color="auto" w:fill="auto"/>
          </w:tcPr>
          <w:p w:rsidR="00462E99" w:rsidRPr="00462E99" w:rsidRDefault="00462E99" w:rsidP="00462E99">
            <w:pPr>
              <w:rPr>
                <w:szCs w:val="20"/>
              </w:rPr>
            </w:pPr>
            <w:r w:rsidRPr="00462E99">
              <w:rPr>
                <w:szCs w:val="20"/>
              </w:rPr>
              <w:t>Not applicable.</w:t>
            </w:r>
            <w:r>
              <w:rPr>
                <w:szCs w:val="20"/>
              </w:rPr>
              <w:t xml:space="preserve"> </w:t>
            </w:r>
            <w:r w:rsidRPr="00462E99">
              <w:rPr>
                <w:szCs w:val="20"/>
              </w:rPr>
              <w:t>This Prospectus does not constitute an offer to buy, subscribe or sell the Shares</w:t>
            </w:r>
            <w:r>
              <w:rPr>
                <w:szCs w:val="20"/>
              </w:rPr>
              <w:t>.</w:t>
            </w:r>
          </w:p>
        </w:tc>
      </w:tr>
      <w:tr w:rsidR="003F0BC5" w:rsidRPr="00992199" w:rsidTr="00474373">
        <w:tc>
          <w:tcPr>
            <w:tcW w:w="1483" w:type="dxa"/>
            <w:tcBorders>
              <w:bottom w:val="nil"/>
            </w:tcBorders>
            <w:shd w:val="clear" w:color="auto" w:fill="auto"/>
          </w:tcPr>
          <w:p w:rsidR="003F0BC5" w:rsidRPr="00992199" w:rsidRDefault="003F0BC5" w:rsidP="00BB0F52">
            <w:pPr>
              <w:jc w:val="center"/>
              <w:rPr>
                <w:b/>
                <w:szCs w:val="20"/>
              </w:rPr>
            </w:pPr>
            <w:r w:rsidRPr="00992199">
              <w:rPr>
                <w:b/>
                <w:szCs w:val="20"/>
              </w:rPr>
              <w:t>E.4</w:t>
            </w:r>
          </w:p>
        </w:tc>
        <w:tc>
          <w:tcPr>
            <w:tcW w:w="7762" w:type="dxa"/>
            <w:tcBorders>
              <w:bottom w:val="nil"/>
            </w:tcBorders>
            <w:shd w:val="clear" w:color="auto" w:fill="auto"/>
          </w:tcPr>
          <w:p w:rsidR="003F0BC5" w:rsidRPr="00992199" w:rsidRDefault="003F0BC5" w:rsidP="00BB0F52">
            <w:pPr>
              <w:rPr>
                <w:b/>
                <w:szCs w:val="20"/>
              </w:rPr>
            </w:pPr>
            <w:r w:rsidRPr="00992199">
              <w:rPr>
                <w:b/>
                <w:szCs w:val="20"/>
              </w:rPr>
              <w:t>Material interests to the offer</w:t>
            </w:r>
          </w:p>
        </w:tc>
      </w:tr>
      <w:tr w:rsidR="00462E99" w:rsidRPr="00992199" w:rsidTr="00474373">
        <w:tc>
          <w:tcPr>
            <w:tcW w:w="1483" w:type="dxa"/>
            <w:tcBorders>
              <w:top w:val="nil"/>
              <w:bottom w:val="single" w:sz="4" w:space="0" w:color="auto"/>
            </w:tcBorders>
            <w:shd w:val="clear" w:color="auto" w:fill="auto"/>
          </w:tcPr>
          <w:p w:rsidR="00462E99" w:rsidRPr="00992199" w:rsidRDefault="00462E99" w:rsidP="00BB0F52">
            <w:pPr>
              <w:jc w:val="center"/>
              <w:rPr>
                <w:i/>
                <w:szCs w:val="20"/>
              </w:rPr>
            </w:pPr>
          </w:p>
        </w:tc>
        <w:tc>
          <w:tcPr>
            <w:tcW w:w="7762" w:type="dxa"/>
            <w:tcBorders>
              <w:top w:val="nil"/>
              <w:bottom w:val="single" w:sz="4" w:space="0" w:color="auto"/>
            </w:tcBorders>
            <w:shd w:val="clear" w:color="auto" w:fill="auto"/>
          </w:tcPr>
          <w:p w:rsidR="00462E99" w:rsidRPr="00462E99" w:rsidRDefault="00462E99" w:rsidP="00462E99">
            <w:pPr>
              <w:rPr>
                <w:szCs w:val="20"/>
              </w:rPr>
            </w:pPr>
            <w:r w:rsidRPr="00462E99">
              <w:rPr>
                <w:szCs w:val="20"/>
              </w:rPr>
              <w:t>Not applicable.</w:t>
            </w:r>
            <w:r>
              <w:rPr>
                <w:szCs w:val="20"/>
              </w:rPr>
              <w:t xml:space="preserve"> </w:t>
            </w:r>
            <w:r w:rsidRPr="00462E99">
              <w:rPr>
                <w:szCs w:val="20"/>
              </w:rPr>
              <w:t>This Prospectus does not constitute an offer to buy, subscribe or sell the Shares</w:t>
            </w:r>
            <w:r>
              <w:rPr>
                <w:szCs w:val="20"/>
              </w:rPr>
              <w:t>.</w:t>
            </w:r>
          </w:p>
        </w:tc>
      </w:tr>
      <w:tr w:rsidR="003F0BC5" w:rsidRPr="00992199" w:rsidTr="00474373">
        <w:tc>
          <w:tcPr>
            <w:tcW w:w="1483" w:type="dxa"/>
            <w:tcBorders>
              <w:bottom w:val="nil"/>
            </w:tcBorders>
            <w:shd w:val="clear" w:color="auto" w:fill="auto"/>
          </w:tcPr>
          <w:p w:rsidR="003F0BC5" w:rsidRPr="00992199" w:rsidRDefault="003F0BC5" w:rsidP="00BB0F52">
            <w:pPr>
              <w:jc w:val="center"/>
              <w:rPr>
                <w:b/>
                <w:szCs w:val="20"/>
              </w:rPr>
            </w:pPr>
            <w:r w:rsidRPr="00992199">
              <w:rPr>
                <w:b/>
                <w:szCs w:val="20"/>
              </w:rPr>
              <w:t>E.5</w:t>
            </w:r>
          </w:p>
        </w:tc>
        <w:tc>
          <w:tcPr>
            <w:tcW w:w="7762" w:type="dxa"/>
            <w:tcBorders>
              <w:bottom w:val="nil"/>
            </w:tcBorders>
            <w:shd w:val="clear" w:color="auto" w:fill="auto"/>
          </w:tcPr>
          <w:p w:rsidR="003F0BC5" w:rsidRPr="00992199" w:rsidRDefault="003F0BC5" w:rsidP="00BB0F52">
            <w:pPr>
              <w:rPr>
                <w:b/>
                <w:szCs w:val="20"/>
              </w:rPr>
            </w:pPr>
            <w:r w:rsidRPr="00992199">
              <w:rPr>
                <w:b/>
                <w:szCs w:val="20"/>
              </w:rPr>
              <w:t>Selling shareholder and lock-ups</w:t>
            </w:r>
          </w:p>
        </w:tc>
      </w:tr>
      <w:tr w:rsidR="003F0BC5" w:rsidRPr="00992199" w:rsidTr="00474373">
        <w:tc>
          <w:tcPr>
            <w:tcW w:w="1483" w:type="dxa"/>
            <w:tcBorders>
              <w:top w:val="nil"/>
              <w:bottom w:val="single" w:sz="4" w:space="0" w:color="auto"/>
            </w:tcBorders>
            <w:shd w:val="clear" w:color="auto" w:fill="auto"/>
          </w:tcPr>
          <w:p w:rsidR="003F0BC5" w:rsidRPr="00992199" w:rsidRDefault="003F0BC5" w:rsidP="00BB0F52">
            <w:pPr>
              <w:jc w:val="center"/>
              <w:rPr>
                <w:i/>
                <w:szCs w:val="20"/>
              </w:rPr>
            </w:pPr>
          </w:p>
        </w:tc>
        <w:tc>
          <w:tcPr>
            <w:tcW w:w="7762" w:type="dxa"/>
            <w:tcBorders>
              <w:top w:val="nil"/>
              <w:bottom w:val="single" w:sz="4" w:space="0" w:color="auto"/>
            </w:tcBorders>
            <w:shd w:val="clear" w:color="auto" w:fill="auto"/>
          </w:tcPr>
          <w:p w:rsidR="00B0544B" w:rsidRPr="00992199" w:rsidRDefault="00B0544B" w:rsidP="00B0544B">
            <w:pPr>
              <w:rPr>
                <w:szCs w:val="20"/>
              </w:rPr>
            </w:pPr>
            <w:r w:rsidRPr="00992199">
              <w:rPr>
                <w:szCs w:val="20"/>
              </w:rPr>
              <w:t xml:space="preserve">The </w:t>
            </w:r>
            <w:r w:rsidR="001A1700" w:rsidRPr="001A1700">
              <w:rPr>
                <w:szCs w:val="20"/>
              </w:rPr>
              <w:t xml:space="preserve">Stichting Administratiekantoor </w:t>
            </w:r>
            <w:r w:rsidR="00404820">
              <w:rPr>
                <w:szCs w:val="20"/>
              </w:rPr>
              <w:t>FieldLink</w:t>
            </w:r>
            <w:r w:rsidR="001A1700" w:rsidRPr="001A1700">
              <w:rPr>
                <w:szCs w:val="20"/>
              </w:rPr>
              <w:t xml:space="preserve"> </w:t>
            </w:r>
            <w:r w:rsidR="001A1700">
              <w:rPr>
                <w:szCs w:val="20"/>
              </w:rPr>
              <w:t xml:space="preserve">(the </w:t>
            </w:r>
            <w:r w:rsidRPr="001A1700">
              <w:rPr>
                <w:b/>
                <w:i/>
                <w:szCs w:val="20"/>
              </w:rPr>
              <w:t>STAK FieldLink</w:t>
            </w:r>
            <w:r w:rsidR="001A1700">
              <w:rPr>
                <w:szCs w:val="20"/>
              </w:rPr>
              <w:t>)</w:t>
            </w:r>
            <w:r>
              <w:rPr>
                <w:szCs w:val="20"/>
              </w:rPr>
              <w:t>, which groups the managers of the Univeg Group,</w:t>
            </w:r>
            <w:r w:rsidRPr="00992199">
              <w:rPr>
                <w:szCs w:val="20"/>
              </w:rPr>
              <w:t xml:space="preserve"> </w:t>
            </w:r>
            <w:r>
              <w:rPr>
                <w:szCs w:val="20"/>
              </w:rPr>
              <w:t xml:space="preserve">has agreed </w:t>
            </w:r>
            <w:r w:rsidRPr="00992199">
              <w:rPr>
                <w:szCs w:val="20"/>
              </w:rPr>
              <w:t xml:space="preserve">not to sell or transfer any of the 1,019,757 New Shares to which </w:t>
            </w:r>
            <w:r>
              <w:rPr>
                <w:szCs w:val="20"/>
              </w:rPr>
              <w:t xml:space="preserve">it </w:t>
            </w:r>
            <w:r w:rsidRPr="00992199">
              <w:rPr>
                <w:szCs w:val="20"/>
              </w:rPr>
              <w:t xml:space="preserve">shall subscribe upon completion of the </w:t>
            </w:r>
            <w:r>
              <w:rPr>
                <w:szCs w:val="20"/>
              </w:rPr>
              <w:t xml:space="preserve">Transactions </w:t>
            </w:r>
            <w:r w:rsidRPr="00992199">
              <w:rPr>
                <w:szCs w:val="20"/>
              </w:rPr>
              <w:t xml:space="preserve">until the end of the period of six months following the completion of the </w:t>
            </w:r>
            <w:r>
              <w:rPr>
                <w:szCs w:val="20"/>
              </w:rPr>
              <w:t>s</w:t>
            </w:r>
            <w:r w:rsidRPr="00992199">
              <w:rPr>
                <w:szCs w:val="20"/>
              </w:rPr>
              <w:t xml:space="preserve">econdary </w:t>
            </w:r>
            <w:r>
              <w:rPr>
                <w:szCs w:val="20"/>
              </w:rPr>
              <w:t>s</w:t>
            </w:r>
            <w:r w:rsidRPr="00992199">
              <w:rPr>
                <w:szCs w:val="20"/>
              </w:rPr>
              <w:t xml:space="preserve">ale </w:t>
            </w:r>
            <w:r>
              <w:rPr>
                <w:szCs w:val="20"/>
              </w:rPr>
              <w:t xml:space="preserve">by </w:t>
            </w:r>
            <w:r w:rsidRPr="00992199">
              <w:t>Deprez Holding</w:t>
            </w:r>
            <w:r w:rsidR="001A1700">
              <w:t xml:space="preserve"> NV</w:t>
            </w:r>
            <w:r w:rsidRPr="00992199">
              <w:t xml:space="preserve">, </w:t>
            </w:r>
            <w:r>
              <w:t xml:space="preserve">Mr Hein Deprez, Food Invest International </w:t>
            </w:r>
            <w:r w:rsidR="001A1700">
              <w:t xml:space="preserve">NV </w:t>
            </w:r>
            <w:r>
              <w:t>and</w:t>
            </w:r>
            <w:r w:rsidRPr="00992199">
              <w:t xml:space="preserve"> Gimv-XL</w:t>
            </w:r>
            <w:r w:rsidRPr="00992199">
              <w:rPr>
                <w:szCs w:val="20"/>
              </w:rPr>
              <w:t>.</w:t>
            </w:r>
          </w:p>
          <w:p w:rsidR="00B0544B" w:rsidRDefault="00B0544B" w:rsidP="00B0544B">
            <w:pPr>
              <w:rPr>
                <w:szCs w:val="20"/>
              </w:rPr>
            </w:pPr>
            <w:r w:rsidRPr="00992199">
              <w:t xml:space="preserve">The </w:t>
            </w:r>
            <w:r>
              <w:t>shareholders’ agreement</w:t>
            </w:r>
            <w:r w:rsidRPr="00992199">
              <w:t xml:space="preserve"> to be entered into between Deprez Holding</w:t>
            </w:r>
            <w:r w:rsidR="00404820">
              <w:t xml:space="preserve"> NV</w:t>
            </w:r>
            <w:r w:rsidRPr="00992199">
              <w:t xml:space="preserve">, </w:t>
            </w:r>
            <w:r>
              <w:t>Mr Hein Deprez</w:t>
            </w:r>
            <w:r w:rsidRPr="00992199">
              <w:t>, Food Invest International</w:t>
            </w:r>
            <w:r w:rsidR="001A1700">
              <w:t xml:space="preserve"> NV</w:t>
            </w:r>
            <w:r w:rsidRPr="00992199">
              <w:t>, Gimv-XL</w:t>
            </w:r>
            <w:r w:rsidR="001A1700">
              <w:t>,</w:t>
            </w:r>
            <w:r w:rsidRPr="00992199">
              <w:t xml:space="preserve"> </w:t>
            </w:r>
            <w:r w:rsidR="001A1700" w:rsidRPr="00992199">
              <w:rPr>
                <w:szCs w:val="20"/>
              </w:rPr>
              <w:t>Agri Investment Fund CVBA</w:t>
            </w:r>
            <w:r w:rsidR="001A1700" w:rsidRPr="00992199">
              <w:t xml:space="preserve"> </w:t>
            </w:r>
            <w:r w:rsidRPr="00992199">
              <w:t xml:space="preserve">and </w:t>
            </w:r>
            <w:r>
              <w:rPr>
                <w:szCs w:val="20"/>
              </w:rPr>
              <w:t>Greenyard Foods</w:t>
            </w:r>
            <w:r>
              <w:t xml:space="preserve"> </w:t>
            </w:r>
            <w:r w:rsidRPr="00992199">
              <w:t xml:space="preserve">with respect to </w:t>
            </w:r>
            <w:r>
              <w:t>Greenyard Foods</w:t>
            </w:r>
            <w:r w:rsidRPr="00992199">
              <w:t xml:space="preserve"> provides for a</w:t>
            </w:r>
            <w:r>
              <w:t xml:space="preserve"> lock-up</w:t>
            </w:r>
            <w:r w:rsidRPr="00992199">
              <w:t xml:space="preserve"> undertaking from Deprez Holding</w:t>
            </w:r>
            <w:r w:rsidR="00EC0415">
              <w:t xml:space="preserve"> NV</w:t>
            </w:r>
            <w:r w:rsidRPr="00992199">
              <w:t xml:space="preserve"> towards Gimv-XL </w:t>
            </w:r>
            <w:r>
              <w:t>not</w:t>
            </w:r>
            <w:r w:rsidRPr="00992199">
              <w:rPr>
                <w:szCs w:val="20"/>
              </w:rPr>
              <w:t xml:space="preserve"> to sell Shares in such a number that it would hold less than 30% of the Shares.</w:t>
            </w:r>
            <w:r>
              <w:rPr>
                <w:szCs w:val="20"/>
              </w:rPr>
              <w:t xml:space="preserve"> Deprez Holding</w:t>
            </w:r>
            <w:r w:rsidR="00EC0415">
              <w:rPr>
                <w:szCs w:val="20"/>
              </w:rPr>
              <w:t xml:space="preserve"> NV</w:t>
            </w:r>
            <w:r>
              <w:rPr>
                <w:szCs w:val="20"/>
              </w:rPr>
              <w:t xml:space="preserve"> is further entitled to sell a maximum of 1% of the total Shares over rolling periods of one year as long as it holds at least 30% of the Shares. </w:t>
            </w:r>
            <w:r w:rsidRPr="00992199">
              <w:t xml:space="preserve">Such </w:t>
            </w:r>
            <w:r>
              <w:t>lock-up</w:t>
            </w:r>
            <w:r w:rsidRPr="00992199">
              <w:t xml:space="preserve"> undertaking shall</w:t>
            </w:r>
            <w:r>
              <w:t xml:space="preserve"> however</w:t>
            </w:r>
            <w:r w:rsidRPr="00992199">
              <w:t xml:space="preserve"> not apply (i) when the transfer leads to an obligation of the transferee to launch a mandatory public offer on the Shares or (ii) takes place within the framework of a voluntary or mandatory public offer on the Shares by a third party.</w:t>
            </w:r>
          </w:p>
          <w:p w:rsidR="003F0BC5" w:rsidRPr="00B0544B" w:rsidRDefault="00B0544B" w:rsidP="00BB0F52">
            <w:pPr>
              <w:rPr>
                <w:szCs w:val="20"/>
              </w:rPr>
            </w:pPr>
            <w:r w:rsidRPr="00992199">
              <w:rPr>
                <w:szCs w:val="20"/>
              </w:rPr>
              <w:t xml:space="preserve">This lock-up undertaking shall terminate on the earliest of (i) 31 December 2016 or (ii) the day on which Gimv-XL holds less than 10% of the share capital of </w:t>
            </w:r>
            <w:r>
              <w:rPr>
                <w:szCs w:val="20"/>
              </w:rPr>
              <w:t>Greenyard Foods.</w:t>
            </w:r>
          </w:p>
        </w:tc>
      </w:tr>
      <w:tr w:rsidR="003F0BC5" w:rsidRPr="00992199" w:rsidTr="00474373">
        <w:tc>
          <w:tcPr>
            <w:tcW w:w="1483" w:type="dxa"/>
            <w:tcBorders>
              <w:bottom w:val="nil"/>
            </w:tcBorders>
            <w:shd w:val="clear" w:color="auto" w:fill="auto"/>
          </w:tcPr>
          <w:p w:rsidR="003F0BC5" w:rsidRPr="00992199" w:rsidRDefault="003F0BC5" w:rsidP="00BB0F52">
            <w:pPr>
              <w:jc w:val="center"/>
              <w:rPr>
                <w:b/>
                <w:szCs w:val="20"/>
              </w:rPr>
            </w:pPr>
            <w:r w:rsidRPr="00992199">
              <w:rPr>
                <w:b/>
                <w:szCs w:val="20"/>
              </w:rPr>
              <w:t>E.6</w:t>
            </w:r>
          </w:p>
        </w:tc>
        <w:tc>
          <w:tcPr>
            <w:tcW w:w="7762" w:type="dxa"/>
            <w:tcBorders>
              <w:bottom w:val="nil"/>
            </w:tcBorders>
            <w:shd w:val="clear" w:color="auto" w:fill="auto"/>
          </w:tcPr>
          <w:p w:rsidR="003F0BC5" w:rsidRPr="00992199" w:rsidRDefault="003F0BC5" w:rsidP="00BB0F52">
            <w:pPr>
              <w:rPr>
                <w:b/>
                <w:szCs w:val="20"/>
              </w:rPr>
            </w:pPr>
            <w:r w:rsidRPr="00992199">
              <w:rPr>
                <w:b/>
                <w:szCs w:val="20"/>
              </w:rPr>
              <w:t>Dilution resulting from the offer</w:t>
            </w:r>
          </w:p>
        </w:tc>
      </w:tr>
      <w:tr w:rsidR="00462E99" w:rsidRPr="00992199" w:rsidTr="00474373">
        <w:tc>
          <w:tcPr>
            <w:tcW w:w="1483" w:type="dxa"/>
            <w:tcBorders>
              <w:top w:val="nil"/>
              <w:bottom w:val="single" w:sz="4" w:space="0" w:color="auto"/>
            </w:tcBorders>
            <w:shd w:val="clear" w:color="auto" w:fill="auto"/>
          </w:tcPr>
          <w:p w:rsidR="00462E99" w:rsidRPr="00992199" w:rsidRDefault="00462E99" w:rsidP="00BB0F52">
            <w:pPr>
              <w:jc w:val="center"/>
              <w:rPr>
                <w:i/>
                <w:szCs w:val="20"/>
              </w:rPr>
            </w:pPr>
          </w:p>
        </w:tc>
        <w:tc>
          <w:tcPr>
            <w:tcW w:w="7762" w:type="dxa"/>
            <w:tcBorders>
              <w:top w:val="nil"/>
              <w:bottom w:val="single" w:sz="4" w:space="0" w:color="auto"/>
            </w:tcBorders>
            <w:shd w:val="clear" w:color="auto" w:fill="auto"/>
          </w:tcPr>
          <w:p w:rsidR="00462E99" w:rsidRPr="00462E99" w:rsidRDefault="00462E99" w:rsidP="00462E99">
            <w:pPr>
              <w:rPr>
                <w:szCs w:val="20"/>
              </w:rPr>
            </w:pPr>
            <w:r w:rsidRPr="00462E99">
              <w:rPr>
                <w:szCs w:val="20"/>
              </w:rPr>
              <w:t>Not applicable.</w:t>
            </w:r>
            <w:r>
              <w:rPr>
                <w:szCs w:val="20"/>
              </w:rPr>
              <w:t xml:space="preserve"> </w:t>
            </w:r>
            <w:r w:rsidRPr="00462E99">
              <w:rPr>
                <w:szCs w:val="20"/>
              </w:rPr>
              <w:t>This Prospectus does not constitute an offer to buy, subscribe or sell the Shares</w:t>
            </w:r>
            <w:r>
              <w:rPr>
                <w:szCs w:val="20"/>
              </w:rPr>
              <w:t>.</w:t>
            </w:r>
          </w:p>
        </w:tc>
      </w:tr>
      <w:tr w:rsidR="003F0BC5" w:rsidRPr="00992199" w:rsidTr="00474373">
        <w:tc>
          <w:tcPr>
            <w:tcW w:w="1483" w:type="dxa"/>
            <w:tcBorders>
              <w:bottom w:val="nil"/>
            </w:tcBorders>
            <w:shd w:val="clear" w:color="auto" w:fill="auto"/>
          </w:tcPr>
          <w:p w:rsidR="003F0BC5" w:rsidRPr="00992199" w:rsidRDefault="003F0BC5" w:rsidP="00BB0F52">
            <w:pPr>
              <w:jc w:val="center"/>
              <w:rPr>
                <w:b/>
                <w:szCs w:val="20"/>
              </w:rPr>
            </w:pPr>
            <w:r w:rsidRPr="00992199">
              <w:rPr>
                <w:b/>
                <w:szCs w:val="20"/>
              </w:rPr>
              <w:t>E.7</w:t>
            </w:r>
          </w:p>
        </w:tc>
        <w:tc>
          <w:tcPr>
            <w:tcW w:w="7762" w:type="dxa"/>
            <w:tcBorders>
              <w:bottom w:val="nil"/>
            </w:tcBorders>
            <w:shd w:val="clear" w:color="auto" w:fill="auto"/>
          </w:tcPr>
          <w:p w:rsidR="003F0BC5" w:rsidRPr="00992199" w:rsidRDefault="003F0BC5" w:rsidP="00BB0F52">
            <w:pPr>
              <w:rPr>
                <w:b/>
                <w:szCs w:val="20"/>
              </w:rPr>
            </w:pPr>
            <w:r w:rsidRPr="00992199">
              <w:rPr>
                <w:b/>
                <w:szCs w:val="20"/>
              </w:rPr>
              <w:t>Estimated expenses charged to the investor by the Company or the selling shareholder</w:t>
            </w:r>
          </w:p>
        </w:tc>
      </w:tr>
      <w:tr w:rsidR="00462E99" w:rsidRPr="00992199" w:rsidTr="00474373">
        <w:tc>
          <w:tcPr>
            <w:tcW w:w="1483" w:type="dxa"/>
            <w:tcBorders>
              <w:top w:val="nil"/>
              <w:left w:val="single" w:sz="4" w:space="0" w:color="auto"/>
              <w:bottom w:val="single" w:sz="4" w:space="0" w:color="auto"/>
              <w:right w:val="single" w:sz="4" w:space="0" w:color="auto"/>
            </w:tcBorders>
            <w:shd w:val="clear" w:color="auto" w:fill="auto"/>
          </w:tcPr>
          <w:p w:rsidR="00462E99" w:rsidRPr="00992199" w:rsidRDefault="00462E99" w:rsidP="00BB0F52">
            <w:pPr>
              <w:jc w:val="center"/>
              <w:rPr>
                <w:i/>
                <w:szCs w:val="20"/>
              </w:rPr>
            </w:pPr>
          </w:p>
        </w:tc>
        <w:tc>
          <w:tcPr>
            <w:tcW w:w="7762" w:type="dxa"/>
            <w:tcBorders>
              <w:top w:val="nil"/>
              <w:left w:val="single" w:sz="4" w:space="0" w:color="auto"/>
              <w:bottom w:val="single" w:sz="4" w:space="0" w:color="auto"/>
              <w:right w:val="single" w:sz="4" w:space="0" w:color="auto"/>
            </w:tcBorders>
            <w:shd w:val="clear" w:color="auto" w:fill="auto"/>
          </w:tcPr>
          <w:p w:rsidR="00462E99" w:rsidRPr="00462E99" w:rsidRDefault="00462E99" w:rsidP="00AA3763">
            <w:pPr>
              <w:rPr>
                <w:szCs w:val="20"/>
              </w:rPr>
            </w:pPr>
            <w:r w:rsidRPr="00462E99">
              <w:rPr>
                <w:szCs w:val="20"/>
              </w:rPr>
              <w:t>Not applicable.</w:t>
            </w:r>
            <w:r>
              <w:rPr>
                <w:szCs w:val="20"/>
              </w:rPr>
              <w:t xml:space="preserve"> </w:t>
            </w:r>
            <w:r w:rsidR="00AA3763">
              <w:rPr>
                <w:szCs w:val="20"/>
              </w:rPr>
              <w:t>No fees or expenses in connection with the admission to trading and listing will be charged to investors by the Company or selling shareholders.</w:t>
            </w:r>
          </w:p>
        </w:tc>
      </w:tr>
    </w:tbl>
    <w:p w:rsidR="003F0BC5" w:rsidRPr="00992199" w:rsidRDefault="003F0BC5" w:rsidP="00353B80">
      <w:pPr>
        <w:pStyle w:val="Heading1"/>
        <w:keepNext/>
      </w:pPr>
      <w:bookmarkStart w:id="2" w:name="_Toc420593828"/>
      <w:r w:rsidRPr="00992199">
        <w:lastRenderedPageBreak/>
        <w:t>PART II: RISK FACTORS</w:t>
      </w:r>
      <w:bookmarkEnd w:id="2"/>
    </w:p>
    <w:p w:rsidR="003F0BC5" w:rsidRPr="00992199" w:rsidRDefault="003F0BC5" w:rsidP="003F0BC5">
      <w:pPr>
        <w:rPr>
          <w:szCs w:val="20"/>
        </w:rPr>
      </w:pPr>
      <w:r w:rsidRPr="00992199">
        <w:rPr>
          <w:szCs w:val="20"/>
        </w:rPr>
        <w:t xml:space="preserve">Existing shareholders and prospective shareholders of the Company should carefully consider the risk factors described below and the other information contained in this Prospectus. Any of the following risks, individually or together, could adversely affect the </w:t>
      </w:r>
      <w:r w:rsidR="00574013" w:rsidRPr="00574013">
        <w:rPr>
          <w:szCs w:val="20"/>
        </w:rPr>
        <w:t xml:space="preserve">Combined Greenyard Foods Group </w:t>
      </w:r>
      <w:r w:rsidRPr="00992199">
        <w:rPr>
          <w:szCs w:val="20"/>
        </w:rPr>
        <w:t xml:space="preserve">and the </w:t>
      </w:r>
      <w:r w:rsidR="00574013" w:rsidRPr="00574013">
        <w:rPr>
          <w:szCs w:val="20"/>
        </w:rPr>
        <w:t>Combined Greenyard Foods Group</w:t>
      </w:r>
      <w:r w:rsidRPr="00992199">
        <w:rPr>
          <w:szCs w:val="20"/>
        </w:rPr>
        <w:t>’s business, financial condition and results of operations and, accordingly, the value of the Shares.</w:t>
      </w:r>
    </w:p>
    <w:p w:rsidR="003F0BC5" w:rsidRPr="00992199" w:rsidRDefault="003F0BC5" w:rsidP="003F0BC5">
      <w:pPr>
        <w:rPr>
          <w:szCs w:val="20"/>
        </w:rPr>
      </w:pPr>
      <w:r w:rsidRPr="00992199">
        <w:rPr>
          <w:szCs w:val="20"/>
        </w:rPr>
        <w:t xml:space="preserve">The risks and uncertainties described below are those relating to the </w:t>
      </w:r>
      <w:r w:rsidR="00574013" w:rsidRPr="00574013">
        <w:rPr>
          <w:szCs w:val="20"/>
        </w:rPr>
        <w:t xml:space="preserve">Combined Greenyard Foods Group </w:t>
      </w:r>
      <w:r w:rsidRPr="00992199">
        <w:rPr>
          <w:szCs w:val="20"/>
        </w:rPr>
        <w:t xml:space="preserve">and its business and its activities as if the Transactions have been completed. In general, most of the risks and uncertainties are identical or at least similar for the combined business activities of the </w:t>
      </w:r>
      <w:r w:rsidR="00574013" w:rsidRPr="00574013">
        <w:rPr>
          <w:szCs w:val="20"/>
        </w:rPr>
        <w:t xml:space="preserve">Combined Greenyard Foods Group </w:t>
      </w:r>
      <w:r w:rsidRPr="00992199">
        <w:rPr>
          <w:szCs w:val="20"/>
        </w:rPr>
        <w:t xml:space="preserve">following the completion of the Transactions. Accordingly, if reference is made to certain risks and uncertainties without reference to a specific business or division of the </w:t>
      </w:r>
      <w:r w:rsidR="00574013" w:rsidRPr="00574013">
        <w:rPr>
          <w:szCs w:val="20"/>
        </w:rPr>
        <w:t>Combined Greenyard Foods Group</w:t>
      </w:r>
      <w:r w:rsidRPr="00992199">
        <w:rPr>
          <w:szCs w:val="20"/>
        </w:rPr>
        <w:t xml:space="preserve">, these must be read as if they apply to each of the business and each of the divisions of the </w:t>
      </w:r>
      <w:r w:rsidR="00574013" w:rsidRPr="00574013">
        <w:rPr>
          <w:szCs w:val="20"/>
        </w:rPr>
        <w:t xml:space="preserve">Combined Greenyard Foods Group </w:t>
      </w:r>
      <w:r w:rsidRPr="00992199">
        <w:rPr>
          <w:szCs w:val="20"/>
        </w:rPr>
        <w:t>following completion of the Transactions, unless otherwise required by the context or as explicitly otherwise indicated herein.</w:t>
      </w:r>
    </w:p>
    <w:p w:rsidR="003F0BC5" w:rsidRPr="00992199" w:rsidRDefault="003F0BC5" w:rsidP="003F0BC5">
      <w:pPr>
        <w:rPr>
          <w:szCs w:val="20"/>
        </w:rPr>
      </w:pPr>
      <w:r w:rsidRPr="00992199">
        <w:rPr>
          <w:szCs w:val="20"/>
        </w:rPr>
        <w:t xml:space="preserve">The risks and uncertainties described below are those that the Company’s directors believe are material, but these risks and uncertainties may not be the only ones that the </w:t>
      </w:r>
      <w:r w:rsidR="00574013" w:rsidRPr="00574013">
        <w:rPr>
          <w:szCs w:val="20"/>
        </w:rPr>
        <w:t xml:space="preserve">Combined Greenyard Foods Group </w:t>
      </w:r>
      <w:r w:rsidRPr="00992199">
        <w:rPr>
          <w:szCs w:val="20"/>
        </w:rPr>
        <w:t xml:space="preserve">faces. Additional risks and uncertainties, being those that the Company’s directors currently do not know about or deem immaterial may also result in decreased revenues, assets and cash inflows, increased expenses, liabilities or cash outflows, or other events that could result in a decline in the value of the Shares or which could have a material adverse effect on the </w:t>
      </w:r>
      <w:r w:rsidR="00574013" w:rsidRPr="00574013">
        <w:rPr>
          <w:szCs w:val="20"/>
        </w:rPr>
        <w:t>Combined Greenyard Foods Group</w:t>
      </w:r>
      <w:r w:rsidRPr="00992199">
        <w:rPr>
          <w:szCs w:val="20"/>
        </w:rPr>
        <w:t>’s business, financial condition, results of operations and future prospects.</w:t>
      </w:r>
    </w:p>
    <w:p w:rsidR="003F0BC5" w:rsidRPr="00C14169" w:rsidRDefault="003F0BC5" w:rsidP="00C14169">
      <w:pPr>
        <w:pStyle w:val="Firm5L1"/>
        <w:keepNext/>
      </w:pPr>
      <w:r w:rsidRPr="00C14169">
        <w:t xml:space="preserve">Risks relating to the </w:t>
      </w:r>
      <w:r w:rsidR="00574013" w:rsidRPr="00C14169">
        <w:t xml:space="preserve">Combined Greenyard Foods Group </w:t>
      </w:r>
      <w:r w:rsidRPr="00C14169">
        <w:t>AND ITS BUSINESS</w:t>
      </w:r>
    </w:p>
    <w:p w:rsidR="003F0BC5" w:rsidRPr="00C14169" w:rsidRDefault="003F0BC5" w:rsidP="003F0BC5">
      <w:pPr>
        <w:rPr>
          <w:szCs w:val="20"/>
        </w:rPr>
      </w:pPr>
      <w:r w:rsidRPr="00992199">
        <w:rPr>
          <w:szCs w:val="20"/>
        </w:rPr>
        <w:t xml:space="preserve">The </w:t>
      </w:r>
      <w:r w:rsidR="002A1AB1">
        <w:rPr>
          <w:szCs w:val="20"/>
        </w:rPr>
        <w:t>Combined Greenyard Foods</w:t>
      </w:r>
      <w:r w:rsidRPr="00992199">
        <w:rPr>
          <w:szCs w:val="20"/>
        </w:rPr>
        <w:t xml:space="preserve"> Group’s core activities following completion of the Transactions comprise (i) the processing of harvest-fresh fruit</w:t>
      </w:r>
      <w:r w:rsidR="00FE467C">
        <w:rPr>
          <w:szCs w:val="20"/>
        </w:rPr>
        <w:t xml:space="preserve"> and </w:t>
      </w:r>
      <w:r w:rsidR="00FE467C" w:rsidRPr="00FE467C">
        <w:rPr>
          <w:szCs w:val="20"/>
        </w:rPr>
        <w:t>vegetables</w:t>
      </w:r>
      <w:r w:rsidRPr="00992199">
        <w:rPr>
          <w:szCs w:val="20"/>
        </w:rPr>
        <w:t xml:space="preserve"> with a long shelf </w:t>
      </w:r>
      <w:r w:rsidRPr="00C14169">
        <w:rPr>
          <w:szCs w:val="20"/>
        </w:rPr>
        <w:t xml:space="preserve">life (the </w:t>
      </w:r>
      <w:r w:rsidR="002A1AB1" w:rsidRPr="00C14169">
        <w:rPr>
          <w:szCs w:val="20"/>
        </w:rPr>
        <w:t>Greenyard Foods</w:t>
      </w:r>
      <w:r w:rsidRPr="00C14169">
        <w:rPr>
          <w:szCs w:val="20"/>
        </w:rPr>
        <w:t xml:space="preserve"> Group), (ii) fresh fruit and vegetables (the Univeg Group) and (iii) growing media for gardening and growing, both for ornamental plants and for fruit and vegetable crops (the Peatinvest Group).</w:t>
      </w:r>
    </w:p>
    <w:p w:rsidR="003F0BC5" w:rsidRPr="00992199" w:rsidRDefault="003F0BC5" w:rsidP="003F0BC5">
      <w:pPr>
        <w:rPr>
          <w:szCs w:val="20"/>
        </w:rPr>
      </w:pPr>
      <w:r w:rsidRPr="00992199">
        <w:rPr>
          <w:szCs w:val="20"/>
        </w:rPr>
        <w:t xml:space="preserve">The activities of </w:t>
      </w:r>
      <w:r w:rsidR="002A1AB1">
        <w:rPr>
          <w:szCs w:val="20"/>
        </w:rPr>
        <w:t>the Greenyard Foods</w:t>
      </w:r>
      <w:r w:rsidRPr="00992199">
        <w:rPr>
          <w:szCs w:val="20"/>
        </w:rPr>
        <w:t xml:space="preserve"> </w:t>
      </w:r>
      <w:r w:rsidR="002A1AB1">
        <w:rPr>
          <w:szCs w:val="20"/>
        </w:rPr>
        <w:t xml:space="preserve">Group </w:t>
      </w:r>
      <w:r w:rsidRPr="00992199">
        <w:rPr>
          <w:szCs w:val="20"/>
        </w:rPr>
        <w:t xml:space="preserve">are divided in two specialised divisions, in particular a division specialised in the production of frozen vegetables and ready-to-use vegetable preparations known </w:t>
      </w:r>
      <w:r w:rsidR="00574013">
        <w:rPr>
          <w:szCs w:val="20"/>
        </w:rPr>
        <w:t xml:space="preserve">and referred to in this Prospectus </w:t>
      </w:r>
      <w:r w:rsidRPr="00992199">
        <w:rPr>
          <w:szCs w:val="20"/>
        </w:rPr>
        <w:t xml:space="preserve">as the </w:t>
      </w:r>
      <w:r w:rsidRPr="00992199">
        <w:rPr>
          <w:b/>
          <w:i/>
          <w:szCs w:val="20"/>
        </w:rPr>
        <w:t>Frozen Division</w:t>
      </w:r>
      <w:r w:rsidR="00351F80">
        <w:rPr>
          <w:b/>
          <w:i/>
          <w:szCs w:val="20"/>
        </w:rPr>
        <w:t xml:space="preserve"> </w:t>
      </w:r>
      <w:r w:rsidR="00351F80">
        <w:rPr>
          <w:szCs w:val="20"/>
        </w:rPr>
        <w:t>(</w:t>
      </w:r>
      <w:r w:rsidR="00BF553B">
        <w:rPr>
          <w:szCs w:val="20"/>
        </w:rPr>
        <w:t>“</w:t>
      </w:r>
      <w:r w:rsidR="00351F80" w:rsidRPr="00992199">
        <w:rPr>
          <w:szCs w:val="20"/>
        </w:rPr>
        <w:t>Pinguin</w:t>
      </w:r>
      <w:r w:rsidR="00BF553B">
        <w:rPr>
          <w:szCs w:val="20"/>
        </w:rPr>
        <w:t>”</w:t>
      </w:r>
      <w:r w:rsidRPr="00992199">
        <w:rPr>
          <w:szCs w:val="20"/>
        </w:rPr>
        <w:t>) and a division specialised in the production of vegetables, ready-meals such as soups, sauces, dips and pasta dishes in jars and tins known</w:t>
      </w:r>
      <w:r w:rsidR="00574013" w:rsidRPr="00574013">
        <w:t xml:space="preserve"> </w:t>
      </w:r>
      <w:r w:rsidR="00574013" w:rsidRPr="00574013">
        <w:rPr>
          <w:szCs w:val="20"/>
        </w:rPr>
        <w:t>and referred to in this Prospectus</w:t>
      </w:r>
      <w:r w:rsidRPr="00992199">
        <w:rPr>
          <w:szCs w:val="20"/>
        </w:rPr>
        <w:t xml:space="preserve"> as the </w:t>
      </w:r>
      <w:r w:rsidRPr="00992199">
        <w:rPr>
          <w:b/>
          <w:i/>
          <w:szCs w:val="20"/>
        </w:rPr>
        <w:t>Canning Division</w:t>
      </w:r>
      <w:r w:rsidR="00351F80">
        <w:rPr>
          <w:szCs w:val="20"/>
        </w:rPr>
        <w:t xml:space="preserve"> (</w:t>
      </w:r>
      <w:r w:rsidR="00BF553B">
        <w:rPr>
          <w:szCs w:val="20"/>
        </w:rPr>
        <w:t>“</w:t>
      </w:r>
      <w:r w:rsidR="00351F80" w:rsidRPr="00351F80">
        <w:rPr>
          <w:szCs w:val="20"/>
        </w:rPr>
        <w:t>Noliko</w:t>
      </w:r>
      <w:r w:rsidR="00BF553B">
        <w:rPr>
          <w:szCs w:val="20"/>
        </w:rPr>
        <w:t>”</w:t>
      </w:r>
      <w:r w:rsidR="00351F80">
        <w:rPr>
          <w:szCs w:val="20"/>
        </w:rPr>
        <w:t>)</w:t>
      </w:r>
      <w:r w:rsidRPr="00992199">
        <w:rPr>
          <w:szCs w:val="20"/>
        </w:rPr>
        <w:t>.</w:t>
      </w:r>
    </w:p>
    <w:p w:rsidR="003F0BC5" w:rsidRPr="00992199" w:rsidRDefault="003F0BC5" w:rsidP="00C14169">
      <w:pPr>
        <w:keepNext/>
        <w:rPr>
          <w:b/>
          <w:i/>
          <w:szCs w:val="20"/>
        </w:rPr>
      </w:pPr>
      <w:r w:rsidRPr="00992199">
        <w:rPr>
          <w:b/>
          <w:i/>
          <w:szCs w:val="20"/>
        </w:rPr>
        <w:t xml:space="preserve">Limited availability of raw materials </w:t>
      </w:r>
      <w:r w:rsidRPr="00992199">
        <w:rPr>
          <w:b/>
          <w:i/>
          <w:szCs w:val="20"/>
          <w:lang w:eastAsia="en-GB"/>
        </w:rPr>
        <w:t>could</w:t>
      </w:r>
      <w:r w:rsidRPr="00992199">
        <w:rPr>
          <w:b/>
          <w:i/>
          <w:szCs w:val="20"/>
        </w:rPr>
        <w:t xml:space="preserve"> potentially result in the lack of sufficient delivery of the quantity and quality asked by the customers</w:t>
      </w:r>
      <w:r w:rsidRPr="00992199">
        <w:rPr>
          <w:b/>
          <w:i/>
          <w:szCs w:val="20"/>
          <w:lang w:eastAsia="en-GB"/>
        </w:rPr>
        <w:t xml:space="preserve"> and adversely affect raw materials prices.</w:t>
      </w:r>
    </w:p>
    <w:p w:rsidR="003F0BC5" w:rsidRPr="00992199" w:rsidRDefault="003F0BC5" w:rsidP="003F0BC5">
      <w:pPr>
        <w:rPr>
          <w:szCs w:val="20"/>
        </w:rPr>
      </w:pPr>
      <w:r w:rsidRPr="00992199">
        <w:rPr>
          <w:szCs w:val="20"/>
          <w:lang w:eastAsia="en-GB"/>
        </w:rPr>
        <w:t xml:space="preserve">The results of the </w:t>
      </w:r>
      <w:r w:rsidR="002A1AB1">
        <w:rPr>
          <w:szCs w:val="20"/>
        </w:rPr>
        <w:t>Combined Greenyard Foods</w:t>
      </w:r>
      <w:r w:rsidRPr="00992199">
        <w:rPr>
          <w:szCs w:val="20"/>
        </w:rPr>
        <w:t xml:space="preserve"> </w:t>
      </w:r>
      <w:r w:rsidRPr="00992199">
        <w:rPr>
          <w:szCs w:val="20"/>
          <w:lang w:eastAsia="en-GB"/>
        </w:rPr>
        <w:t>Group may be adversely affected by shortage of produce, on the one hand, and raw materials, which include packaging materials (plastics and cardboard), on the other hand.</w:t>
      </w:r>
    </w:p>
    <w:p w:rsidR="003F0BC5" w:rsidRPr="00992199" w:rsidRDefault="003F0BC5" w:rsidP="003F0BC5">
      <w:pPr>
        <w:rPr>
          <w:szCs w:val="20"/>
        </w:rPr>
      </w:pPr>
      <w:r w:rsidRPr="00992199">
        <w:rPr>
          <w:szCs w:val="20"/>
        </w:rPr>
        <w:t xml:space="preserve">The Frozen Division obtains supplies of fresh vegetables mainly from 800 farmers in West Flanders, Belgium, and northern </w:t>
      </w:r>
      <w:smartTag w:uri="urn:schemas-microsoft-com:office:smarttags" w:element="country-region">
        <w:r w:rsidRPr="00992199">
          <w:rPr>
            <w:szCs w:val="20"/>
          </w:rPr>
          <w:t>France</w:t>
        </w:r>
      </w:smartTag>
      <w:r w:rsidRPr="00992199">
        <w:rPr>
          <w:szCs w:val="20"/>
        </w:rPr>
        <w:t xml:space="preserve">, </w:t>
      </w:r>
      <w:smartTag w:uri="urn:schemas-microsoft-com:office:smarttags" w:element="country-region">
        <w:r w:rsidRPr="00992199">
          <w:rPr>
            <w:szCs w:val="20"/>
          </w:rPr>
          <w:t>Poland</w:t>
        </w:r>
      </w:smartTag>
      <w:r w:rsidRPr="00992199">
        <w:rPr>
          <w:szCs w:val="20"/>
        </w:rPr>
        <w:t xml:space="preserve"> and </w:t>
      </w:r>
      <w:smartTag w:uri="urn:schemas-microsoft-com:office:smarttags" w:element="country-region">
        <w:smartTag w:uri="urn:schemas-microsoft-com:office:smarttags" w:element="place">
          <w:r w:rsidRPr="00992199">
            <w:rPr>
              <w:szCs w:val="20"/>
            </w:rPr>
            <w:t>Hungary</w:t>
          </w:r>
        </w:smartTag>
      </w:smartTag>
      <w:r w:rsidRPr="00992199">
        <w:rPr>
          <w:szCs w:val="20"/>
        </w:rPr>
        <w:t xml:space="preserve">. The supply of Pinguin Foods UK is secured by agricultural cooperatives and various dealers. The supply of the Canning Division originates from approximately 4,500 ha agricultural land in a radius of 100 km around the city of </w:t>
      </w:r>
      <w:smartTag w:uri="urn:schemas-microsoft-com:office:smarttags" w:element="City">
        <w:smartTag w:uri="urn:schemas-microsoft-com:office:smarttags" w:element="place">
          <w:r w:rsidRPr="00992199">
            <w:rPr>
              <w:szCs w:val="20"/>
            </w:rPr>
            <w:t>Bree</w:t>
          </w:r>
        </w:smartTag>
      </w:smartTag>
      <w:r w:rsidRPr="00992199">
        <w:rPr>
          <w:szCs w:val="20"/>
        </w:rPr>
        <w:t xml:space="preserve">. </w:t>
      </w:r>
      <w:r w:rsidRPr="00992199">
        <w:rPr>
          <w:szCs w:val="20"/>
          <w:lang w:eastAsia="en-GB"/>
        </w:rPr>
        <w:t xml:space="preserve">The Univeg Group currently obtains most of its supply from outside sources, of which approximately a quarter is sourced from the spot market and the remainder from third party suppliers, the </w:t>
      </w:r>
      <w:r w:rsidR="00B80FCE">
        <w:rPr>
          <w:szCs w:val="20"/>
          <w:lang w:eastAsia="en-GB"/>
        </w:rPr>
        <w:t>Argentinean Operations</w:t>
      </w:r>
      <w:r w:rsidRPr="00992199">
        <w:rPr>
          <w:szCs w:val="20"/>
          <w:lang w:eastAsia="en-GB"/>
        </w:rPr>
        <w:t xml:space="preserve"> and The Fruit Farm Group. The Peatinvest Group currently supplies the majority of its production through its own production of peat in </w:t>
      </w:r>
      <w:smartTag w:uri="urn:schemas-microsoft-com:office:smarttags" w:element="country-region">
        <w:r w:rsidRPr="00992199">
          <w:rPr>
            <w:szCs w:val="20"/>
            <w:lang w:eastAsia="en-GB"/>
          </w:rPr>
          <w:t>Latvia</w:t>
        </w:r>
      </w:smartTag>
      <w:r w:rsidRPr="00992199">
        <w:rPr>
          <w:szCs w:val="20"/>
          <w:lang w:eastAsia="en-GB"/>
        </w:rPr>
        <w:t xml:space="preserve"> and </w:t>
      </w:r>
      <w:smartTag w:uri="urn:schemas-microsoft-com:office:smarttags" w:element="country-region">
        <w:smartTag w:uri="urn:schemas-microsoft-com:office:smarttags" w:element="place">
          <w:r w:rsidRPr="00992199">
            <w:rPr>
              <w:szCs w:val="20"/>
              <w:lang w:eastAsia="en-GB"/>
            </w:rPr>
            <w:t>Poland</w:t>
          </w:r>
        </w:smartTag>
      </w:smartTag>
      <w:r w:rsidRPr="00992199">
        <w:rPr>
          <w:szCs w:val="20"/>
          <w:lang w:eastAsia="en-GB"/>
        </w:rPr>
        <w:t>. The Peatinvest Group also purchases specialty raw materials from long-lasting supply partners working closely with the Peatinvest Group.</w:t>
      </w:r>
    </w:p>
    <w:p w:rsidR="003F0BC5" w:rsidRPr="00992199" w:rsidRDefault="003F0BC5" w:rsidP="003F0BC5">
      <w:pPr>
        <w:rPr>
          <w:szCs w:val="20"/>
        </w:rPr>
      </w:pPr>
      <w:r w:rsidRPr="00992199">
        <w:rPr>
          <w:szCs w:val="20"/>
        </w:rPr>
        <w:t xml:space="preserve">Although the </w:t>
      </w:r>
      <w:r w:rsidR="002A1AB1">
        <w:rPr>
          <w:szCs w:val="20"/>
        </w:rPr>
        <w:t>Combined Greenyard Foods</w:t>
      </w:r>
      <w:r w:rsidRPr="00992199">
        <w:rPr>
          <w:szCs w:val="20"/>
        </w:rPr>
        <w:t xml:space="preserve"> Group tries to limit this risk by the geographical spread of its production sites, it </w:t>
      </w:r>
      <w:r w:rsidR="00EC0415">
        <w:rPr>
          <w:szCs w:val="20"/>
        </w:rPr>
        <w:t>remains</w:t>
      </w:r>
      <w:r w:rsidRPr="00992199">
        <w:rPr>
          <w:szCs w:val="20"/>
        </w:rPr>
        <w:t xml:space="preserve"> possible that in certain cases, for example because of climate conditions (see also below) or soil exhaustion in fields for certain </w:t>
      </w:r>
      <w:r w:rsidR="00584210">
        <w:rPr>
          <w:szCs w:val="20"/>
        </w:rPr>
        <w:t>products</w:t>
      </w:r>
      <w:r w:rsidRPr="00992199">
        <w:rPr>
          <w:szCs w:val="20"/>
        </w:rPr>
        <w:t xml:space="preserve">, the </w:t>
      </w:r>
      <w:r w:rsidR="002A1AB1" w:rsidRPr="002A1AB1">
        <w:rPr>
          <w:szCs w:val="20"/>
        </w:rPr>
        <w:t>Combined Greenyard</w:t>
      </w:r>
      <w:r w:rsidR="002A1AB1">
        <w:rPr>
          <w:szCs w:val="20"/>
        </w:rPr>
        <w:t xml:space="preserve"> Foods Group</w:t>
      </w:r>
      <w:r w:rsidRPr="00992199">
        <w:rPr>
          <w:szCs w:val="20"/>
        </w:rPr>
        <w:t xml:space="preserve"> would not be able to guarantee the supply of the quantities and quality required by the customers.</w:t>
      </w:r>
    </w:p>
    <w:p w:rsidR="003F0BC5" w:rsidRPr="00992199" w:rsidRDefault="003F0BC5" w:rsidP="003F0BC5">
      <w:pPr>
        <w:rPr>
          <w:szCs w:val="20"/>
        </w:rPr>
      </w:pPr>
      <w:r w:rsidRPr="00992199">
        <w:rPr>
          <w:szCs w:val="20"/>
          <w:lang w:eastAsia="en-GB"/>
        </w:rPr>
        <w:t xml:space="preserve">The loss of a significant number of suppliers as a result of the current economic environment or sourcing competition or a supplier expanding in a different product range, facing labour issues, or having raw material procurement or quality problems, could adversely impact the operations and financial situation of the </w:t>
      </w:r>
      <w:r w:rsidR="002A1AB1">
        <w:rPr>
          <w:szCs w:val="20"/>
        </w:rPr>
        <w:t xml:space="preserve">Combined Greenyard </w:t>
      </w:r>
      <w:r w:rsidR="002A1AB1">
        <w:rPr>
          <w:szCs w:val="20"/>
          <w:lang w:eastAsia="en-GB"/>
        </w:rPr>
        <w:t>Foods</w:t>
      </w:r>
      <w:r w:rsidRPr="00992199">
        <w:rPr>
          <w:szCs w:val="20"/>
          <w:lang w:eastAsia="en-GB"/>
        </w:rPr>
        <w:t xml:space="preserve"> Group. The business, financial condition and results of operations of the </w:t>
      </w:r>
      <w:r w:rsidR="002A1AB1">
        <w:rPr>
          <w:szCs w:val="20"/>
        </w:rPr>
        <w:t xml:space="preserve">Combined Greenyard </w:t>
      </w:r>
      <w:r w:rsidR="002A1AB1">
        <w:rPr>
          <w:szCs w:val="20"/>
          <w:lang w:eastAsia="en-GB"/>
        </w:rPr>
        <w:t>Foods</w:t>
      </w:r>
      <w:r w:rsidRPr="00992199">
        <w:rPr>
          <w:szCs w:val="20"/>
          <w:lang w:eastAsia="en-GB"/>
        </w:rPr>
        <w:t xml:space="preserve"> Group</w:t>
      </w:r>
      <w:r w:rsidRPr="00992199" w:rsidDel="00BF4029">
        <w:rPr>
          <w:szCs w:val="20"/>
          <w:lang w:eastAsia="en-GB"/>
        </w:rPr>
        <w:t xml:space="preserve"> </w:t>
      </w:r>
      <w:r w:rsidRPr="00992199">
        <w:rPr>
          <w:szCs w:val="20"/>
          <w:lang w:eastAsia="en-GB"/>
        </w:rPr>
        <w:t xml:space="preserve">may also be adversely impacted if it is unable to secure a sufficient portion of its supplies from the spot market as a result of, among other things, steep price increases, limited supply or poor quality of the </w:t>
      </w:r>
      <w:r w:rsidRPr="00992199">
        <w:rPr>
          <w:szCs w:val="20"/>
          <w:lang w:eastAsia="en-GB"/>
        </w:rPr>
        <w:lastRenderedPageBreak/>
        <w:t xml:space="preserve">products offered. This may result in the </w:t>
      </w:r>
      <w:r w:rsidR="002A1AB1">
        <w:rPr>
          <w:szCs w:val="20"/>
        </w:rPr>
        <w:t xml:space="preserve">Combined Greenyard </w:t>
      </w:r>
      <w:r w:rsidR="002A1AB1">
        <w:rPr>
          <w:szCs w:val="20"/>
          <w:lang w:eastAsia="en-GB"/>
        </w:rPr>
        <w:t>Foods</w:t>
      </w:r>
      <w:r w:rsidRPr="00992199">
        <w:rPr>
          <w:szCs w:val="20"/>
          <w:lang w:eastAsia="en-GB"/>
        </w:rPr>
        <w:t xml:space="preserve"> Group being exposed to unexpected cost increases which it is unable to pass on to its customers.</w:t>
      </w:r>
    </w:p>
    <w:p w:rsidR="003F0BC5" w:rsidRPr="00992199" w:rsidRDefault="003F0BC5" w:rsidP="00C14169">
      <w:pPr>
        <w:keepNext/>
        <w:rPr>
          <w:b/>
          <w:i/>
          <w:szCs w:val="20"/>
        </w:rPr>
      </w:pPr>
      <w:r w:rsidRPr="00992199">
        <w:rPr>
          <w:b/>
          <w:i/>
          <w:szCs w:val="20"/>
        </w:rPr>
        <w:t xml:space="preserve">Significant or prolonged disruptions to the production, storage and distribution facilities, transportation infrastructure or modes of transportation that the </w:t>
      </w:r>
      <w:r w:rsidR="002A1AB1" w:rsidRPr="00E13084">
        <w:rPr>
          <w:b/>
          <w:i/>
          <w:szCs w:val="20"/>
        </w:rPr>
        <w:t xml:space="preserve">Combined Greenyard </w:t>
      </w:r>
      <w:r w:rsidR="002A1AB1">
        <w:rPr>
          <w:b/>
          <w:i/>
          <w:szCs w:val="20"/>
        </w:rPr>
        <w:t>Foods</w:t>
      </w:r>
      <w:r w:rsidRPr="00992199">
        <w:rPr>
          <w:b/>
          <w:i/>
          <w:szCs w:val="20"/>
        </w:rPr>
        <w:t xml:space="preserve"> Group uses could have an adverse effect on the business, financial condition and results of operations</w:t>
      </w:r>
      <w:r w:rsidRPr="00E13084">
        <w:rPr>
          <w:b/>
          <w:i/>
          <w:szCs w:val="20"/>
        </w:rPr>
        <w:t xml:space="preserve"> </w:t>
      </w:r>
      <w:r w:rsidRPr="00992199">
        <w:rPr>
          <w:b/>
          <w:i/>
          <w:szCs w:val="20"/>
        </w:rPr>
        <w:t xml:space="preserve">of the </w:t>
      </w:r>
      <w:r w:rsidR="002A1AB1" w:rsidRPr="00E13084">
        <w:rPr>
          <w:b/>
          <w:i/>
          <w:szCs w:val="20"/>
        </w:rPr>
        <w:t xml:space="preserve">Combined Greenyard </w:t>
      </w:r>
      <w:r w:rsidR="002A1AB1">
        <w:rPr>
          <w:b/>
          <w:i/>
          <w:szCs w:val="20"/>
        </w:rPr>
        <w:t>Foods</w:t>
      </w:r>
      <w:r w:rsidRPr="00992199">
        <w:rPr>
          <w:b/>
          <w:i/>
          <w:szCs w:val="20"/>
        </w:rPr>
        <w:t xml:space="preserve"> Group.</w:t>
      </w:r>
    </w:p>
    <w:p w:rsidR="003F0BC5" w:rsidRPr="00992199" w:rsidRDefault="003F0BC5" w:rsidP="003F0BC5">
      <w:pPr>
        <w:rPr>
          <w:szCs w:val="20"/>
        </w:rPr>
      </w:pPr>
      <w:r w:rsidRPr="00992199">
        <w:rPr>
          <w:szCs w:val="20"/>
          <w:lang w:eastAsia="en-GB"/>
        </w:rPr>
        <w:t>The business</w:t>
      </w:r>
      <w:r w:rsidR="00EC0415">
        <w:rPr>
          <w:szCs w:val="20"/>
          <w:lang w:eastAsia="en-GB"/>
        </w:rPr>
        <w:t>es</w:t>
      </w:r>
      <w:r w:rsidRPr="00992199">
        <w:rPr>
          <w:szCs w:val="20"/>
          <w:lang w:eastAsia="en-GB"/>
        </w:rPr>
        <w:t xml:space="preserve"> of the </w:t>
      </w:r>
      <w:r w:rsidR="002A1AB1">
        <w:t xml:space="preserve">Combined Greenyard </w:t>
      </w:r>
      <w:r w:rsidR="002A1AB1">
        <w:rPr>
          <w:szCs w:val="20"/>
          <w:lang w:eastAsia="en-GB"/>
        </w:rPr>
        <w:t>Foods</w:t>
      </w:r>
      <w:r w:rsidRPr="00992199">
        <w:rPr>
          <w:szCs w:val="20"/>
          <w:lang w:eastAsia="en-GB"/>
        </w:rPr>
        <w:t xml:space="preserve"> Group are highly dependent on production, storage and distribution facilities and transportation services to ensure smooth operation. The production, storage and distribution </w:t>
      </w:r>
      <w:r w:rsidRPr="00992199">
        <w:rPr>
          <w:szCs w:val="20"/>
        </w:rPr>
        <w:t>facilities</w:t>
      </w:r>
      <w:r w:rsidRPr="00992199">
        <w:rPr>
          <w:szCs w:val="20"/>
          <w:lang w:eastAsia="en-GB"/>
        </w:rPr>
        <w:t xml:space="preserve">, as well as transportation infrastructure and modes of transportation that the </w:t>
      </w:r>
      <w:r w:rsidR="002A1AB1">
        <w:t xml:space="preserve">Combined Greenyard </w:t>
      </w:r>
      <w:r w:rsidR="002A1AB1">
        <w:rPr>
          <w:szCs w:val="20"/>
          <w:lang w:eastAsia="en-GB"/>
        </w:rPr>
        <w:t>Foods</w:t>
      </w:r>
      <w:r w:rsidRPr="00992199">
        <w:rPr>
          <w:szCs w:val="20"/>
          <w:lang w:eastAsia="en-GB"/>
        </w:rPr>
        <w:t xml:space="preserve"> Group uses are at risk of being partially or completely shut down, temporarily or permanently, as a result of a number of circumstances, such as adverse weather conditions, catastrophic events, environmental remediation, equipment or machinery breakdowns, strikes, lockouts or other events. Damage to any of these facilities, any significant or prolonged interruption at these facilities or inability to transport products to or from these facilities for any reason would create a bottleneck in the flow of the business operations of the </w:t>
      </w:r>
      <w:r w:rsidR="002A1AB1">
        <w:t xml:space="preserve">Combined Greenyard </w:t>
      </w:r>
      <w:r w:rsidR="002A1AB1">
        <w:rPr>
          <w:szCs w:val="20"/>
          <w:lang w:eastAsia="en-GB"/>
        </w:rPr>
        <w:t>Foods</w:t>
      </w:r>
      <w:r w:rsidRPr="00992199">
        <w:rPr>
          <w:szCs w:val="20"/>
          <w:lang w:eastAsia="en-GB"/>
        </w:rPr>
        <w:t xml:space="preserve"> Group and impact its ability to serve its customers. If the </w:t>
      </w:r>
      <w:r w:rsidR="002A1AB1">
        <w:t xml:space="preserve">Combined Greenyard </w:t>
      </w:r>
      <w:r w:rsidR="002A1AB1">
        <w:rPr>
          <w:szCs w:val="20"/>
          <w:lang w:eastAsia="en-GB"/>
        </w:rPr>
        <w:t>Foods</w:t>
      </w:r>
      <w:r w:rsidRPr="00992199">
        <w:rPr>
          <w:szCs w:val="20"/>
          <w:lang w:eastAsia="en-GB"/>
        </w:rPr>
        <w:t xml:space="preserve"> Group experiences disruptions or interruptions of these types and is unable to quickly identify and resolve them, its reputation, business, financial position and results of operations could be adversely affected and there is a risk it may lose customers as a result.</w:t>
      </w:r>
    </w:p>
    <w:p w:rsidR="003F0BC5" w:rsidRPr="00992199" w:rsidRDefault="003F0BC5" w:rsidP="003F0BC5">
      <w:pPr>
        <w:rPr>
          <w:szCs w:val="20"/>
        </w:rPr>
      </w:pPr>
      <w:r w:rsidRPr="00992199">
        <w:rPr>
          <w:szCs w:val="20"/>
          <w:lang w:eastAsia="en-GB"/>
        </w:rPr>
        <w:t xml:space="preserve">The financial results of the </w:t>
      </w:r>
      <w:r w:rsidR="002A1AB1">
        <w:t xml:space="preserve">Combined Greenyard </w:t>
      </w:r>
      <w:r w:rsidR="002A1AB1">
        <w:rPr>
          <w:szCs w:val="20"/>
          <w:lang w:eastAsia="en-GB"/>
        </w:rPr>
        <w:t>Foods</w:t>
      </w:r>
      <w:r w:rsidRPr="00992199">
        <w:rPr>
          <w:szCs w:val="20"/>
          <w:lang w:eastAsia="en-GB"/>
        </w:rPr>
        <w:t xml:space="preserve"> Group may also be adversely harmed if — as is most often — it bears the risk for loss of supplies while the </w:t>
      </w:r>
      <w:r w:rsidR="00574013">
        <w:rPr>
          <w:szCs w:val="20"/>
          <w:lang w:eastAsia="en-GB"/>
        </w:rPr>
        <w:t>products</w:t>
      </w:r>
      <w:r w:rsidRPr="00992199">
        <w:rPr>
          <w:szCs w:val="20"/>
          <w:lang w:eastAsia="en-GB"/>
        </w:rPr>
        <w:t xml:space="preserve"> </w:t>
      </w:r>
      <w:r w:rsidR="00574013">
        <w:rPr>
          <w:szCs w:val="20"/>
          <w:lang w:eastAsia="en-GB"/>
        </w:rPr>
        <w:t>are</w:t>
      </w:r>
      <w:r w:rsidRPr="00992199">
        <w:rPr>
          <w:szCs w:val="20"/>
          <w:lang w:eastAsia="en-GB"/>
        </w:rPr>
        <w:t xml:space="preserve"> in storage and distribution facilities or while in transit. If there are disruptions that result in the loss of supplies, not only will the </w:t>
      </w:r>
      <w:r w:rsidR="002A1AB1">
        <w:t xml:space="preserve">Combined Greenyard </w:t>
      </w:r>
      <w:r w:rsidR="002A1AB1">
        <w:rPr>
          <w:szCs w:val="20"/>
          <w:lang w:eastAsia="en-GB"/>
        </w:rPr>
        <w:t>Foods</w:t>
      </w:r>
      <w:r w:rsidRPr="00992199">
        <w:rPr>
          <w:szCs w:val="20"/>
          <w:lang w:eastAsia="en-GB"/>
        </w:rPr>
        <w:t xml:space="preserve"> Group have to source new </w:t>
      </w:r>
      <w:r w:rsidR="00574013">
        <w:rPr>
          <w:szCs w:val="20"/>
          <w:lang w:eastAsia="en-GB"/>
        </w:rPr>
        <w:t>products</w:t>
      </w:r>
      <w:r w:rsidRPr="00992199">
        <w:rPr>
          <w:szCs w:val="20"/>
          <w:lang w:eastAsia="en-GB"/>
        </w:rPr>
        <w:t xml:space="preserve"> from other sources but, in the case of consignment contracts</w:t>
      </w:r>
      <w:r w:rsidR="00574013">
        <w:rPr>
          <w:szCs w:val="20"/>
          <w:lang w:eastAsia="en-GB"/>
        </w:rPr>
        <w:t xml:space="preserve"> (which the Univeg Group uses to a certain extent)</w:t>
      </w:r>
      <w:r w:rsidRPr="00992199">
        <w:rPr>
          <w:szCs w:val="20"/>
          <w:lang w:eastAsia="en-GB"/>
        </w:rPr>
        <w:t xml:space="preserve">, </w:t>
      </w:r>
      <w:r w:rsidR="00C14169">
        <w:rPr>
          <w:szCs w:val="20"/>
          <w:lang w:eastAsia="en-GB"/>
        </w:rPr>
        <w:t xml:space="preserve">it </w:t>
      </w:r>
      <w:r w:rsidRPr="00992199">
        <w:rPr>
          <w:szCs w:val="20"/>
          <w:lang w:eastAsia="en-GB"/>
        </w:rPr>
        <w:t xml:space="preserve">will have to pay to the grower the price of the </w:t>
      </w:r>
      <w:r w:rsidR="00574013">
        <w:rPr>
          <w:szCs w:val="20"/>
          <w:lang w:eastAsia="en-GB"/>
        </w:rPr>
        <w:t>product</w:t>
      </w:r>
      <w:r w:rsidR="00B80FCE">
        <w:rPr>
          <w:szCs w:val="20"/>
          <w:lang w:eastAsia="en-GB"/>
        </w:rPr>
        <w:t xml:space="preserve"> in case there is no product insurance</w:t>
      </w:r>
      <w:r w:rsidRPr="00992199">
        <w:rPr>
          <w:szCs w:val="20"/>
          <w:lang w:eastAsia="en-GB"/>
        </w:rPr>
        <w:t>.</w:t>
      </w:r>
    </w:p>
    <w:p w:rsidR="003F0BC5" w:rsidRPr="00992199" w:rsidRDefault="003F0BC5" w:rsidP="00C14169">
      <w:pPr>
        <w:keepNext/>
        <w:rPr>
          <w:b/>
          <w:i/>
          <w:szCs w:val="20"/>
        </w:rPr>
      </w:pPr>
      <w:r w:rsidRPr="00992199">
        <w:rPr>
          <w:b/>
          <w:i/>
          <w:szCs w:val="20"/>
        </w:rPr>
        <w:t>Local and international produce and raw materials prices fluctuate according to local and international market conditions, and could adversely affect the business, financial condition and results of operations</w:t>
      </w:r>
      <w:r w:rsidRPr="00E13084">
        <w:rPr>
          <w:b/>
          <w:i/>
          <w:szCs w:val="20"/>
        </w:rPr>
        <w:t xml:space="preserve"> </w:t>
      </w:r>
      <w:r w:rsidRPr="00992199">
        <w:rPr>
          <w:b/>
          <w:i/>
          <w:szCs w:val="20"/>
        </w:rPr>
        <w:t xml:space="preserve">of the </w:t>
      </w:r>
      <w:r w:rsidR="002A1AB1" w:rsidRPr="002A1AB1">
        <w:rPr>
          <w:b/>
          <w:i/>
          <w:szCs w:val="20"/>
        </w:rPr>
        <w:t xml:space="preserve">Combined Greenyard </w:t>
      </w:r>
      <w:r w:rsidR="002A1AB1">
        <w:rPr>
          <w:b/>
          <w:i/>
          <w:szCs w:val="20"/>
        </w:rPr>
        <w:t>Foods</w:t>
      </w:r>
      <w:r w:rsidRPr="00992199">
        <w:rPr>
          <w:b/>
          <w:i/>
          <w:szCs w:val="20"/>
        </w:rPr>
        <w:t xml:space="preserve"> Group.</w:t>
      </w:r>
    </w:p>
    <w:p w:rsidR="003F0BC5" w:rsidRPr="00992199" w:rsidRDefault="003F0BC5" w:rsidP="003F0BC5">
      <w:pPr>
        <w:rPr>
          <w:szCs w:val="20"/>
        </w:rPr>
      </w:pPr>
      <w:r w:rsidRPr="00992199">
        <w:rPr>
          <w:szCs w:val="20"/>
          <w:lang w:eastAsia="en-GB"/>
        </w:rPr>
        <w:t xml:space="preserve">The results of the </w:t>
      </w:r>
      <w:r w:rsidR="002A1AB1">
        <w:t xml:space="preserve">Combined Greenyard </w:t>
      </w:r>
      <w:r w:rsidR="002A1AB1">
        <w:rPr>
          <w:szCs w:val="20"/>
          <w:lang w:eastAsia="en-GB"/>
        </w:rPr>
        <w:t>Foods</w:t>
      </w:r>
      <w:r w:rsidRPr="00992199">
        <w:rPr>
          <w:szCs w:val="20"/>
          <w:lang w:eastAsia="en-GB"/>
        </w:rPr>
        <w:t xml:space="preserve"> Group may be adversely affected by increases in price of the produce, on the one hand, and raw materials, which include packaging materials (plastics and cardboard), on the other hand. </w:t>
      </w:r>
      <w:r w:rsidR="00E412E4">
        <w:rPr>
          <w:szCs w:val="20"/>
          <w:lang w:eastAsia="en-GB"/>
        </w:rPr>
        <w:t>Produce and r</w:t>
      </w:r>
      <w:r w:rsidRPr="00992199">
        <w:rPr>
          <w:szCs w:val="20"/>
          <w:lang w:eastAsia="en-GB"/>
        </w:rPr>
        <w:t xml:space="preserve">aw materials are subject to substantial price fluctuations according to local and international market conditions, and could adversely affect the business, financial condition and results of operations of the </w:t>
      </w:r>
      <w:r w:rsidR="002A1AB1">
        <w:t xml:space="preserve">Combined Greenyard </w:t>
      </w:r>
      <w:r w:rsidR="002A1AB1">
        <w:rPr>
          <w:szCs w:val="20"/>
          <w:lang w:eastAsia="en-GB"/>
        </w:rPr>
        <w:t>Foods</w:t>
      </w:r>
      <w:r w:rsidRPr="00992199">
        <w:rPr>
          <w:szCs w:val="20"/>
          <w:lang w:eastAsia="en-GB"/>
        </w:rPr>
        <w:t xml:space="preserve"> Group. Prices for both produce and raw materials are influenced by a number of factors beyond the control</w:t>
      </w:r>
      <w:r w:rsidRPr="00992199">
        <w:rPr>
          <w:szCs w:val="20"/>
        </w:rPr>
        <w:t xml:space="preserve"> </w:t>
      </w:r>
      <w:r w:rsidRPr="00992199">
        <w:rPr>
          <w:szCs w:val="20"/>
          <w:lang w:eastAsia="en-GB"/>
        </w:rPr>
        <w:t>of the Company, including market price volatility, currency fluctuations, changes in governmental agricultural programs, harvest and weather conditions, crop disease, crop yields, alternative crops, prices in commodity derivatives, by-product values, and ever increasing demand for raw materials by emerging markets.</w:t>
      </w:r>
    </w:p>
    <w:p w:rsidR="003F0BC5" w:rsidRPr="00992199" w:rsidRDefault="003F0BC5" w:rsidP="003F0BC5">
      <w:pPr>
        <w:rPr>
          <w:szCs w:val="20"/>
        </w:rPr>
      </w:pPr>
      <w:r w:rsidRPr="00992199">
        <w:rPr>
          <w:szCs w:val="20"/>
          <w:lang w:eastAsia="en-GB"/>
        </w:rPr>
        <w:t xml:space="preserve">Any substantial increase in the prices of produce </w:t>
      </w:r>
      <w:r w:rsidR="00584210">
        <w:rPr>
          <w:szCs w:val="20"/>
          <w:lang w:eastAsia="en-GB"/>
        </w:rPr>
        <w:t>or</w:t>
      </w:r>
      <w:r w:rsidRPr="00992199">
        <w:rPr>
          <w:szCs w:val="20"/>
          <w:lang w:eastAsia="en-GB"/>
        </w:rPr>
        <w:t xml:space="preserve"> raw materials that is not reflected through an increase in the price of the products may adversely affect the financial condition, results of operations and cash flows of the </w:t>
      </w:r>
      <w:r w:rsidR="002A1AB1">
        <w:rPr>
          <w:szCs w:val="20"/>
        </w:rPr>
        <w:t xml:space="preserve">Combined Greenyard </w:t>
      </w:r>
      <w:r w:rsidR="002A1AB1">
        <w:rPr>
          <w:szCs w:val="20"/>
          <w:lang w:eastAsia="en-GB"/>
        </w:rPr>
        <w:t>Foods</w:t>
      </w:r>
      <w:r w:rsidRPr="00992199">
        <w:rPr>
          <w:szCs w:val="20"/>
          <w:lang w:eastAsia="en-GB"/>
        </w:rPr>
        <w:t xml:space="preserve"> Group. The </w:t>
      </w:r>
      <w:r w:rsidR="002A1AB1">
        <w:rPr>
          <w:szCs w:val="20"/>
        </w:rPr>
        <w:t xml:space="preserve">Combined Greenyard </w:t>
      </w:r>
      <w:r w:rsidR="002A1AB1">
        <w:rPr>
          <w:szCs w:val="20"/>
          <w:lang w:eastAsia="en-GB"/>
        </w:rPr>
        <w:t>Foods</w:t>
      </w:r>
      <w:r w:rsidRPr="00992199">
        <w:rPr>
          <w:szCs w:val="20"/>
          <w:lang w:eastAsia="en-GB"/>
        </w:rPr>
        <w:t xml:space="preserve"> Group</w:t>
      </w:r>
      <w:r w:rsidRPr="00992199" w:rsidDel="00B10D3E">
        <w:rPr>
          <w:szCs w:val="20"/>
        </w:rPr>
        <w:t xml:space="preserve"> </w:t>
      </w:r>
      <w:r w:rsidRPr="00992199">
        <w:rPr>
          <w:szCs w:val="20"/>
          <w:lang w:eastAsia="en-GB"/>
        </w:rPr>
        <w:t>may be unsuccessful, due to competitive pressures or other reasons, in passing on cost increases to customers, whether in full or in part, without suffering reduced volume, revenue and operating income. Failure to increase prices of the products may exacerbate the problem of the already low margins in its sector.</w:t>
      </w:r>
    </w:p>
    <w:p w:rsidR="00E412E4" w:rsidRDefault="003F0BC5" w:rsidP="003F0BC5">
      <w:pPr>
        <w:rPr>
          <w:szCs w:val="20"/>
          <w:lang w:eastAsia="en-GB"/>
        </w:rPr>
      </w:pPr>
      <w:r w:rsidRPr="00992199">
        <w:rPr>
          <w:szCs w:val="20"/>
          <w:lang w:eastAsia="en-GB"/>
        </w:rPr>
        <w:t xml:space="preserve">The </w:t>
      </w:r>
      <w:r w:rsidR="002A1AB1">
        <w:rPr>
          <w:szCs w:val="20"/>
        </w:rPr>
        <w:t xml:space="preserve">Combined Greenyard </w:t>
      </w:r>
      <w:r w:rsidR="002A1AB1">
        <w:rPr>
          <w:szCs w:val="20"/>
          <w:lang w:eastAsia="en-GB"/>
        </w:rPr>
        <w:t>Foods</w:t>
      </w:r>
      <w:r w:rsidRPr="00992199">
        <w:rPr>
          <w:szCs w:val="20"/>
          <w:lang w:eastAsia="en-GB"/>
        </w:rPr>
        <w:t xml:space="preserve"> </w:t>
      </w:r>
      <w:r w:rsidRPr="00992199">
        <w:rPr>
          <w:szCs w:val="20"/>
        </w:rPr>
        <w:t>Group</w:t>
      </w:r>
      <w:r w:rsidRPr="00992199">
        <w:rPr>
          <w:szCs w:val="20"/>
          <w:lang w:eastAsia="en-GB"/>
        </w:rPr>
        <w:t xml:space="preserve"> is further exposed to significant risks associated with the prices of agricultural products and their volatility because it does not hedge 100% of the price risk on the agricultural </w:t>
      </w:r>
      <w:r w:rsidRPr="00992199">
        <w:rPr>
          <w:szCs w:val="20"/>
        </w:rPr>
        <w:t xml:space="preserve">products of the </w:t>
      </w:r>
      <w:r w:rsidR="002A1AB1">
        <w:rPr>
          <w:szCs w:val="20"/>
        </w:rPr>
        <w:t>Combined Greenyard Foods</w:t>
      </w:r>
      <w:r w:rsidRPr="00992199">
        <w:rPr>
          <w:szCs w:val="20"/>
        </w:rPr>
        <w:t xml:space="preserve"> Group</w:t>
      </w:r>
      <w:r w:rsidRPr="00992199">
        <w:rPr>
          <w:szCs w:val="20"/>
          <w:lang w:eastAsia="en-GB"/>
        </w:rPr>
        <w:t xml:space="preserve"> and is therefore subject to fluctuations in prices of agricultural products that could result in the </w:t>
      </w:r>
      <w:r w:rsidR="002A1AB1">
        <w:rPr>
          <w:szCs w:val="20"/>
        </w:rPr>
        <w:t xml:space="preserve">Combined Greenyard </w:t>
      </w:r>
      <w:r w:rsidR="002A1AB1">
        <w:rPr>
          <w:szCs w:val="20"/>
          <w:lang w:eastAsia="en-GB"/>
        </w:rPr>
        <w:t>Foods</w:t>
      </w:r>
      <w:r w:rsidRPr="00992199">
        <w:rPr>
          <w:szCs w:val="20"/>
          <w:lang w:eastAsia="en-GB"/>
        </w:rPr>
        <w:t xml:space="preserve"> Group receiving lower prices for its produc</w:t>
      </w:r>
      <w:r w:rsidR="00351F80">
        <w:rPr>
          <w:szCs w:val="20"/>
          <w:lang w:eastAsia="en-GB"/>
        </w:rPr>
        <w:t>ts</w:t>
      </w:r>
      <w:r w:rsidRPr="00992199">
        <w:rPr>
          <w:szCs w:val="20"/>
          <w:lang w:eastAsia="en-GB"/>
        </w:rPr>
        <w:t xml:space="preserve"> than its production and sourcing costs under certain pricing mechanisms it adopts. </w:t>
      </w:r>
    </w:p>
    <w:p w:rsidR="00E412E4" w:rsidRDefault="00E412E4" w:rsidP="003F0BC5">
      <w:pPr>
        <w:rPr>
          <w:szCs w:val="20"/>
          <w:lang w:eastAsia="en-GB"/>
        </w:rPr>
      </w:pPr>
      <w:r w:rsidRPr="00E412E4">
        <w:rPr>
          <w:szCs w:val="20"/>
          <w:lang w:eastAsia="en-GB"/>
        </w:rPr>
        <w:t>The prices of raw materials in each division can fluctuate year by year. This is mainly due to climate conditions and the harvests of the past year. In addition, the bargaining power of growers in certain parts of the world is increasing as a result of higher demand in the global supply chain, which translates into increased costs for the produce, or the costs of the produce being determined for longer periods of time.</w:t>
      </w:r>
    </w:p>
    <w:p w:rsidR="003F0BC5" w:rsidRPr="00992199" w:rsidRDefault="00E412E4" w:rsidP="003F0BC5">
      <w:pPr>
        <w:rPr>
          <w:szCs w:val="20"/>
        </w:rPr>
      </w:pPr>
      <w:r>
        <w:rPr>
          <w:szCs w:val="20"/>
          <w:lang w:eastAsia="en-GB"/>
        </w:rPr>
        <w:t>For example, i</w:t>
      </w:r>
      <w:r w:rsidRPr="00E412E4">
        <w:rPr>
          <w:szCs w:val="20"/>
          <w:lang w:eastAsia="en-GB"/>
        </w:rPr>
        <w:t xml:space="preserve">n so far as the Frozen Division and the Canning Division are concerned, fixed year contracts are negotiated with fixed purchase prices per vegetable. These are fixed for the whole season and negotiated prior to seeding or planting the vegetables. Consequently, fluctuations in sales prices throughout the year have an immediate impact on the profitability of the divisions since the purchase prices are fixed upfront for the whole </w:t>
      </w:r>
      <w:r w:rsidRPr="00E412E4">
        <w:rPr>
          <w:szCs w:val="20"/>
          <w:lang w:eastAsia="en-GB"/>
        </w:rPr>
        <w:lastRenderedPageBreak/>
        <w:t>year. Depending on the type of vegetable, the number of hectares and the expected yield (tons per hectare) are fixed. Even if the expected yield has not been reached, the purchase price</w:t>
      </w:r>
      <w:r w:rsidR="00584210">
        <w:rPr>
          <w:szCs w:val="20"/>
          <w:lang w:eastAsia="en-GB"/>
        </w:rPr>
        <w:t xml:space="preserve"> per ton</w:t>
      </w:r>
      <w:r w:rsidRPr="00E412E4">
        <w:rPr>
          <w:szCs w:val="20"/>
          <w:lang w:eastAsia="en-GB"/>
        </w:rPr>
        <w:t xml:space="preserve"> is not adapted.</w:t>
      </w:r>
      <w:r>
        <w:rPr>
          <w:szCs w:val="20"/>
          <w:lang w:eastAsia="en-GB"/>
        </w:rPr>
        <w:t xml:space="preserve"> Further, t</w:t>
      </w:r>
      <w:r w:rsidR="003F0BC5" w:rsidRPr="00992199">
        <w:rPr>
          <w:szCs w:val="20"/>
          <w:lang w:eastAsia="en-GB"/>
        </w:rPr>
        <w:t>he Univeg G</w:t>
      </w:r>
      <w:r>
        <w:rPr>
          <w:szCs w:val="20"/>
          <w:lang w:eastAsia="en-GB"/>
        </w:rPr>
        <w:t xml:space="preserve">roup, </w:t>
      </w:r>
      <w:r w:rsidR="003F0BC5" w:rsidRPr="00992199">
        <w:rPr>
          <w:szCs w:val="20"/>
          <w:lang w:eastAsia="en-GB"/>
        </w:rPr>
        <w:t xml:space="preserve">through its advances to The Fruit Farm Group and third-party growers, has a long position in agricultural products, which increases its risk of loss if prices of agricultural products decrease. </w:t>
      </w:r>
    </w:p>
    <w:p w:rsidR="003F0BC5" w:rsidRPr="00992199" w:rsidRDefault="003F0BC5" w:rsidP="003F0BC5">
      <w:pPr>
        <w:rPr>
          <w:szCs w:val="20"/>
        </w:rPr>
      </w:pPr>
      <w:r w:rsidRPr="00992199">
        <w:rPr>
          <w:szCs w:val="20"/>
          <w:lang w:eastAsia="en-GB"/>
        </w:rPr>
        <w:t xml:space="preserve">The </w:t>
      </w:r>
      <w:r w:rsidR="002A1AB1">
        <w:rPr>
          <w:szCs w:val="20"/>
        </w:rPr>
        <w:t xml:space="preserve">Combined Greenyard </w:t>
      </w:r>
      <w:r w:rsidR="002A1AB1">
        <w:rPr>
          <w:szCs w:val="20"/>
          <w:lang w:eastAsia="en-GB"/>
        </w:rPr>
        <w:t>Foods</w:t>
      </w:r>
      <w:r w:rsidRPr="00992199">
        <w:rPr>
          <w:szCs w:val="20"/>
          <w:lang w:eastAsia="en-GB"/>
        </w:rPr>
        <w:t xml:space="preserve"> Group also relies on fuel sources, such as gas, electricity, gasoline and diesel fuel, to operate its business and deliver its products, of which the storage and production (including deep freezers, refrigerated trucks and </w:t>
      </w:r>
      <w:r w:rsidRPr="00992199">
        <w:rPr>
          <w:szCs w:val="20"/>
        </w:rPr>
        <w:t>banana</w:t>
      </w:r>
      <w:r w:rsidRPr="00992199">
        <w:rPr>
          <w:szCs w:val="20"/>
          <w:lang w:eastAsia="en-GB"/>
        </w:rPr>
        <w:t xml:space="preserve"> and mango ripening rooms) is particularly energy-intensive. The cost of diesel fuel has also an impact on the exploitation costs of the machinery used in the harvesting of peat. Substantial increases in prices for, or shortage of, these fuel sources might adversely affect the financial condition, results of operations and cash flows of the </w:t>
      </w:r>
      <w:r w:rsidR="002A1AB1">
        <w:rPr>
          <w:szCs w:val="20"/>
        </w:rPr>
        <w:t xml:space="preserve">Combined Greenyard </w:t>
      </w:r>
      <w:r w:rsidR="002A1AB1">
        <w:rPr>
          <w:szCs w:val="20"/>
          <w:lang w:eastAsia="en-GB"/>
        </w:rPr>
        <w:t>Foods</w:t>
      </w:r>
      <w:r w:rsidRPr="00992199">
        <w:rPr>
          <w:szCs w:val="20"/>
          <w:lang w:eastAsia="en-GB"/>
        </w:rPr>
        <w:t xml:space="preserve"> Group.</w:t>
      </w:r>
    </w:p>
    <w:p w:rsidR="003F0BC5" w:rsidRPr="00992199" w:rsidRDefault="003F0BC5" w:rsidP="00C14169">
      <w:pPr>
        <w:keepNext/>
        <w:rPr>
          <w:b/>
          <w:i/>
          <w:szCs w:val="20"/>
        </w:rPr>
      </w:pPr>
      <w:r w:rsidRPr="00992199">
        <w:rPr>
          <w:b/>
          <w:i/>
          <w:szCs w:val="20"/>
        </w:rPr>
        <w:t xml:space="preserve">The pricing policy of the </w:t>
      </w:r>
      <w:r w:rsidR="002A1AB1" w:rsidRPr="00E13084">
        <w:rPr>
          <w:b/>
          <w:i/>
          <w:szCs w:val="20"/>
        </w:rPr>
        <w:t xml:space="preserve">Combined Greenyard </w:t>
      </w:r>
      <w:r w:rsidR="002A1AB1">
        <w:rPr>
          <w:b/>
          <w:i/>
          <w:szCs w:val="20"/>
        </w:rPr>
        <w:t>Foods</w:t>
      </w:r>
      <w:r w:rsidRPr="00992199">
        <w:rPr>
          <w:b/>
          <w:i/>
          <w:szCs w:val="20"/>
        </w:rPr>
        <w:t xml:space="preserve"> Group and the bargaining power of key customers may affect the margin of the </w:t>
      </w:r>
      <w:r w:rsidR="002A1AB1" w:rsidRPr="00E13084">
        <w:rPr>
          <w:b/>
          <w:i/>
          <w:szCs w:val="20"/>
        </w:rPr>
        <w:t xml:space="preserve">Combined Greenyard </w:t>
      </w:r>
      <w:r w:rsidR="002A1AB1">
        <w:rPr>
          <w:b/>
          <w:i/>
          <w:szCs w:val="20"/>
        </w:rPr>
        <w:t>Foods</w:t>
      </w:r>
      <w:r w:rsidRPr="00992199">
        <w:rPr>
          <w:b/>
          <w:i/>
          <w:szCs w:val="20"/>
        </w:rPr>
        <w:t xml:space="preserve"> Group and its ability to pass on cost increases to its customers.</w:t>
      </w:r>
    </w:p>
    <w:p w:rsidR="003F0BC5" w:rsidRPr="00992199" w:rsidRDefault="003E14DE" w:rsidP="003F0BC5">
      <w:pPr>
        <w:rPr>
          <w:szCs w:val="20"/>
        </w:rPr>
      </w:pPr>
      <w:r>
        <w:rPr>
          <w:szCs w:val="20"/>
          <w:lang w:eastAsia="en-GB"/>
        </w:rPr>
        <w:t xml:space="preserve">While </w:t>
      </w:r>
      <w:r w:rsidRPr="00992199">
        <w:rPr>
          <w:szCs w:val="20"/>
          <w:lang w:eastAsia="en-GB"/>
        </w:rPr>
        <w:t>price increases in produc</w:t>
      </w:r>
      <w:r w:rsidR="00574013">
        <w:rPr>
          <w:szCs w:val="20"/>
          <w:lang w:eastAsia="en-GB"/>
        </w:rPr>
        <w:t>t</w:t>
      </w:r>
      <w:r w:rsidRPr="00992199">
        <w:rPr>
          <w:szCs w:val="20"/>
          <w:lang w:eastAsia="en-GB"/>
        </w:rPr>
        <w:t xml:space="preserve"> and raw materials </w:t>
      </w:r>
      <w:r>
        <w:rPr>
          <w:szCs w:val="20"/>
          <w:lang w:eastAsia="en-GB"/>
        </w:rPr>
        <w:t xml:space="preserve">may in certain cases enable the Combined </w:t>
      </w:r>
      <w:r w:rsidR="002A1AB1">
        <w:rPr>
          <w:szCs w:val="20"/>
          <w:lang w:eastAsia="en-GB"/>
        </w:rPr>
        <w:t>Greenyard Foods</w:t>
      </w:r>
      <w:r>
        <w:rPr>
          <w:szCs w:val="20"/>
          <w:lang w:eastAsia="en-GB"/>
        </w:rPr>
        <w:t xml:space="preserve"> Group to renegotiate contracts with its customers or pass on the cost increase to its customers, d</w:t>
      </w:r>
      <w:r w:rsidR="003F0BC5" w:rsidRPr="00992199">
        <w:rPr>
          <w:szCs w:val="20"/>
          <w:lang w:eastAsia="en-GB"/>
        </w:rPr>
        <w:t xml:space="preserve">ue to the bargaining power of certain key customers, such as large retail distribution chains, </w:t>
      </w:r>
      <w:r>
        <w:rPr>
          <w:szCs w:val="20"/>
          <w:lang w:eastAsia="en-GB"/>
        </w:rPr>
        <w:t>such increases</w:t>
      </w:r>
      <w:r w:rsidR="003F0BC5" w:rsidRPr="00992199">
        <w:rPr>
          <w:szCs w:val="20"/>
          <w:lang w:eastAsia="en-GB"/>
        </w:rPr>
        <w:t xml:space="preserve"> can in certain cases not be passed on, in all or in part, affecting the margin of the </w:t>
      </w:r>
      <w:r w:rsidR="002A1AB1">
        <w:rPr>
          <w:szCs w:val="20"/>
        </w:rPr>
        <w:t xml:space="preserve">Combined Greenyard </w:t>
      </w:r>
      <w:r w:rsidR="002A1AB1">
        <w:rPr>
          <w:szCs w:val="20"/>
          <w:lang w:eastAsia="en-GB"/>
        </w:rPr>
        <w:t>Foods</w:t>
      </w:r>
      <w:r w:rsidR="003F0BC5" w:rsidRPr="00992199">
        <w:rPr>
          <w:szCs w:val="20"/>
          <w:lang w:eastAsia="en-GB"/>
        </w:rPr>
        <w:t xml:space="preserve"> Group.</w:t>
      </w:r>
    </w:p>
    <w:p w:rsidR="003F0BC5" w:rsidRPr="00992199" w:rsidRDefault="00584210" w:rsidP="003F0BC5">
      <w:pPr>
        <w:rPr>
          <w:szCs w:val="20"/>
        </w:rPr>
      </w:pPr>
      <w:r>
        <w:rPr>
          <w:szCs w:val="20"/>
          <w:lang w:eastAsia="en-GB"/>
        </w:rPr>
        <w:t>While in the same cases</w:t>
      </w:r>
      <w:r w:rsidR="003F0BC5" w:rsidRPr="00992199">
        <w:rPr>
          <w:szCs w:val="20"/>
          <w:lang w:eastAsia="en-GB"/>
        </w:rPr>
        <w:t xml:space="preserve">, the </w:t>
      </w:r>
      <w:r w:rsidR="002A1AB1">
        <w:rPr>
          <w:szCs w:val="20"/>
        </w:rPr>
        <w:t xml:space="preserve">Combined Greenyard </w:t>
      </w:r>
      <w:r w:rsidR="002A1AB1">
        <w:rPr>
          <w:szCs w:val="20"/>
          <w:lang w:eastAsia="en-GB"/>
        </w:rPr>
        <w:t>Foods</w:t>
      </w:r>
      <w:r w:rsidR="003F0BC5" w:rsidRPr="00992199">
        <w:rPr>
          <w:szCs w:val="20"/>
          <w:lang w:eastAsia="en-GB"/>
        </w:rPr>
        <w:t xml:space="preserve"> Group has a decentralised pricing policy, leaving its local management to determine </w:t>
      </w:r>
      <w:r w:rsidR="003F0BC5" w:rsidRPr="00992199">
        <w:rPr>
          <w:szCs w:val="20"/>
        </w:rPr>
        <w:t>product</w:t>
      </w:r>
      <w:r w:rsidR="003F0BC5" w:rsidRPr="00992199">
        <w:rPr>
          <w:szCs w:val="20"/>
          <w:lang w:eastAsia="en-GB"/>
        </w:rPr>
        <w:t xml:space="preserve"> prices taking into account local demand and market characteristics. This decentralised pricing policy may increase the </w:t>
      </w:r>
      <w:r w:rsidR="002A1AB1">
        <w:rPr>
          <w:szCs w:val="20"/>
        </w:rPr>
        <w:t xml:space="preserve">Combined Greenyard </w:t>
      </w:r>
      <w:r w:rsidR="002A1AB1">
        <w:rPr>
          <w:szCs w:val="20"/>
          <w:lang w:eastAsia="en-GB"/>
        </w:rPr>
        <w:t>Foods</w:t>
      </w:r>
      <w:r w:rsidR="003F0BC5" w:rsidRPr="00992199">
        <w:rPr>
          <w:szCs w:val="20"/>
          <w:lang w:eastAsia="en-GB"/>
        </w:rPr>
        <w:t xml:space="preserve"> Group’s inability to pass on (central) cost increases to its customers.</w:t>
      </w:r>
    </w:p>
    <w:p w:rsidR="003F0BC5" w:rsidRPr="00E13084" w:rsidRDefault="003F0BC5" w:rsidP="00C14169">
      <w:pPr>
        <w:keepNext/>
        <w:rPr>
          <w:b/>
          <w:i/>
          <w:szCs w:val="20"/>
        </w:rPr>
      </w:pPr>
      <w:r w:rsidRPr="00E13084">
        <w:rPr>
          <w:b/>
          <w:i/>
          <w:szCs w:val="20"/>
        </w:rPr>
        <w:t xml:space="preserve">Due to high seasonality, the reduction of production capacity can highly influence the results during high season and </w:t>
      </w:r>
      <w:r w:rsidRPr="00992199">
        <w:rPr>
          <w:b/>
          <w:i/>
          <w:szCs w:val="20"/>
        </w:rPr>
        <w:t>large inventories are to be held and financed.</w:t>
      </w:r>
    </w:p>
    <w:p w:rsidR="00E412E4" w:rsidRDefault="00E412E4" w:rsidP="003F0BC5">
      <w:pPr>
        <w:rPr>
          <w:szCs w:val="20"/>
        </w:rPr>
      </w:pPr>
      <w:r w:rsidRPr="00E412E4">
        <w:rPr>
          <w:szCs w:val="20"/>
        </w:rPr>
        <w:t>Due to high seasonality, the reduction of production capacity can highly influence the results of the Combined Greenyard Foods Group during high season and large inventories are to be held and financed. In so far as the Frozen Division is concerned, since most vegetables for it are harvested in the period from July to November, production reaches a peak around this period. In order to guarantee the freshness of the products, the supplied vegetables must be processed as rapidly as possible. The capacity must therefore be adapted to the output during this period. However, demand for vegetables continues throughout the year and the vegetables must therefore be ready for delivery permanently. A reduction in capacity in the period between July and November can therefore strongly influence the result</w:t>
      </w:r>
      <w:r w:rsidR="00584210">
        <w:rPr>
          <w:szCs w:val="20"/>
        </w:rPr>
        <w:t>s</w:t>
      </w:r>
      <w:r w:rsidRPr="00E412E4">
        <w:rPr>
          <w:szCs w:val="20"/>
        </w:rPr>
        <w:t xml:space="preserve"> in a negative way.</w:t>
      </w:r>
    </w:p>
    <w:p w:rsidR="00EC0415" w:rsidRDefault="00EC0415" w:rsidP="003F0BC5">
      <w:pPr>
        <w:rPr>
          <w:szCs w:val="20"/>
        </w:rPr>
      </w:pPr>
      <w:r w:rsidRPr="00E412E4">
        <w:rPr>
          <w:szCs w:val="20"/>
        </w:rPr>
        <w:t>In addition,</w:t>
      </w:r>
      <w:r>
        <w:rPr>
          <w:szCs w:val="20"/>
        </w:rPr>
        <w:t xml:space="preserve"> </w:t>
      </w:r>
      <w:r w:rsidRPr="00E412E4">
        <w:rPr>
          <w:szCs w:val="20"/>
        </w:rPr>
        <w:t>seasonality means that during high seas</w:t>
      </w:r>
      <w:r>
        <w:rPr>
          <w:szCs w:val="20"/>
        </w:rPr>
        <w:t>on, inventories have to be build</w:t>
      </w:r>
      <w:r w:rsidRPr="00E412E4">
        <w:rPr>
          <w:szCs w:val="20"/>
        </w:rPr>
        <w:t xml:space="preserve"> up</w:t>
      </w:r>
      <w:r>
        <w:rPr>
          <w:szCs w:val="20"/>
        </w:rPr>
        <w:t>.</w:t>
      </w:r>
      <w:r w:rsidR="00C14169">
        <w:rPr>
          <w:szCs w:val="20"/>
        </w:rPr>
        <w:t xml:space="preserve"> </w:t>
      </w:r>
      <w:r>
        <w:rPr>
          <w:szCs w:val="20"/>
        </w:rPr>
        <w:t>The reason is that for</w:t>
      </w:r>
      <w:r w:rsidRPr="00E412E4">
        <w:rPr>
          <w:szCs w:val="20"/>
        </w:rPr>
        <w:t xml:space="preserve"> a large number of vegetable types, there is only one harvesting period a year.</w:t>
      </w:r>
      <w:r w:rsidR="00C14169">
        <w:rPr>
          <w:szCs w:val="20"/>
        </w:rPr>
        <w:t xml:space="preserve"> </w:t>
      </w:r>
      <w:r w:rsidRPr="00E412E4">
        <w:rPr>
          <w:szCs w:val="20"/>
        </w:rPr>
        <w:t xml:space="preserve">The </w:t>
      </w:r>
      <w:r>
        <w:rPr>
          <w:szCs w:val="20"/>
        </w:rPr>
        <w:t xml:space="preserve">Combined </w:t>
      </w:r>
      <w:r w:rsidRPr="00E412E4">
        <w:rPr>
          <w:szCs w:val="20"/>
        </w:rPr>
        <w:t>Greenyard Foods Group needs to ensure that the inventories made are sufficient to cope wi</w:t>
      </w:r>
      <w:r>
        <w:rPr>
          <w:szCs w:val="20"/>
        </w:rPr>
        <w:t xml:space="preserve">th the demand of the whole year, and such </w:t>
      </w:r>
      <w:r w:rsidRPr="00E412E4">
        <w:rPr>
          <w:szCs w:val="20"/>
        </w:rPr>
        <w:t>inventories</w:t>
      </w:r>
      <w:r w:rsidR="00C14169">
        <w:rPr>
          <w:szCs w:val="20"/>
        </w:rPr>
        <w:t xml:space="preserve"> </w:t>
      </w:r>
      <w:r w:rsidRPr="00E412E4">
        <w:rPr>
          <w:szCs w:val="20"/>
        </w:rPr>
        <w:t xml:space="preserve">have to be financed. The value of the inventories is determined by purchases at fixed contract prices which do not fluctuate over the year and also by purchases in the spot market, which vary throughout the year (for trading products). </w:t>
      </w:r>
    </w:p>
    <w:p w:rsidR="003F0BC5" w:rsidRPr="00992199" w:rsidRDefault="003F0BC5" w:rsidP="00C14169">
      <w:pPr>
        <w:keepNext/>
        <w:rPr>
          <w:b/>
          <w:i/>
          <w:szCs w:val="20"/>
        </w:rPr>
      </w:pPr>
      <w:r w:rsidRPr="00992199">
        <w:rPr>
          <w:b/>
          <w:i/>
          <w:szCs w:val="20"/>
        </w:rPr>
        <w:t>The business</w:t>
      </w:r>
      <w:r w:rsidRPr="00E13084">
        <w:rPr>
          <w:b/>
          <w:i/>
          <w:szCs w:val="20"/>
        </w:rPr>
        <w:t xml:space="preserve"> </w:t>
      </w:r>
      <w:r w:rsidRPr="00992199">
        <w:rPr>
          <w:b/>
          <w:i/>
          <w:szCs w:val="20"/>
        </w:rPr>
        <w:t xml:space="preserve">of the </w:t>
      </w:r>
      <w:r w:rsidR="002A1AB1" w:rsidRPr="00E13084">
        <w:rPr>
          <w:b/>
          <w:i/>
          <w:szCs w:val="20"/>
        </w:rPr>
        <w:t xml:space="preserve">Combined Greenyard </w:t>
      </w:r>
      <w:r w:rsidR="002A1AB1">
        <w:rPr>
          <w:b/>
          <w:i/>
          <w:szCs w:val="20"/>
        </w:rPr>
        <w:t>Foods</w:t>
      </w:r>
      <w:r w:rsidRPr="00992199">
        <w:rPr>
          <w:b/>
          <w:i/>
          <w:szCs w:val="20"/>
        </w:rPr>
        <w:t xml:space="preserve"> Group </w:t>
      </w:r>
      <w:r w:rsidR="00C14169">
        <w:rPr>
          <w:b/>
          <w:i/>
          <w:szCs w:val="20"/>
        </w:rPr>
        <w:t>is</w:t>
      </w:r>
      <w:r w:rsidR="00C14169" w:rsidRPr="00992199">
        <w:rPr>
          <w:b/>
          <w:i/>
          <w:szCs w:val="20"/>
        </w:rPr>
        <w:t xml:space="preserve"> </w:t>
      </w:r>
      <w:r w:rsidRPr="00992199">
        <w:rPr>
          <w:b/>
          <w:i/>
          <w:szCs w:val="20"/>
        </w:rPr>
        <w:t xml:space="preserve">affected by seasonal trends and production cycles, which may affect the prices of the products of the </w:t>
      </w:r>
      <w:r w:rsidR="002A1AB1" w:rsidRPr="00E13084">
        <w:rPr>
          <w:b/>
          <w:i/>
          <w:szCs w:val="20"/>
        </w:rPr>
        <w:t xml:space="preserve">Combined Greenyard </w:t>
      </w:r>
      <w:r w:rsidR="002A1AB1">
        <w:rPr>
          <w:b/>
          <w:i/>
          <w:szCs w:val="20"/>
        </w:rPr>
        <w:t>Foods</w:t>
      </w:r>
      <w:r w:rsidRPr="00992199">
        <w:rPr>
          <w:b/>
          <w:i/>
          <w:szCs w:val="20"/>
        </w:rPr>
        <w:t xml:space="preserve"> Group and may also affect the comparability of the financial statements</w:t>
      </w:r>
      <w:r w:rsidRPr="00E13084">
        <w:rPr>
          <w:b/>
          <w:i/>
          <w:szCs w:val="20"/>
        </w:rPr>
        <w:t xml:space="preserve"> </w:t>
      </w:r>
      <w:r w:rsidRPr="00992199">
        <w:rPr>
          <w:b/>
          <w:i/>
          <w:szCs w:val="20"/>
        </w:rPr>
        <w:t xml:space="preserve">of the </w:t>
      </w:r>
      <w:r w:rsidR="002A1AB1" w:rsidRPr="00E13084">
        <w:rPr>
          <w:b/>
          <w:i/>
          <w:szCs w:val="20"/>
        </w:rPr>
        <w:t xml:space="preserve">Combined Greenyard </w:t>
      </w:r>
      <w:r w:rsidR="002A1AB1">
        <w:rPr>
          <w:b/>
          <w:i/>
          <w:szCs w:val="20"/>
        </w:rPr>
        <w:t>Foods</w:t>
      </w:r>
      <w:r w:rsidRPr="00992199">
        <w:rPr>
          <w:b/>
          <w:i/>
          <w:szCs w:val="20"/>
        </w:rPr>
        <w:t xml:space="preserve"> Group.</w:t>
      </w:r>
    </w:p>
    <w:p w:rsidR="003F0BC5" w:rsidRPr="00992199" w:rsidRDefault="003F0BC5" w:rsidP="003F0BC5">
      <w:pPr>
        <w:rPr>
          <w:szCs w:val="20"/>
        </w:rPr>
      </w:pPr>
      <w:r w:rsidRPr="00992199">
        <w:rPr>
          <w:szCs w:val="20"/>
          <w:lang w:eastAsia="en-GB"/>
        </w:rPr>
        <w:t xml:space="preserve">The </w:t>
      </w:r>
      <w:r w:rsidR="002A1AB1">
        <w:rPr>
          <w:szCs w:val="20"/>
        </w:rPr>
        <w:t xml:space="preserve">Combined Greenyard </w:t>
      </w:r>
      <w:r w:rsidR="002A1AB1">
        <w:rPr>
          <w:szCs w:val="20"/>
          <w:lang w:eastAsia="en-GB"/>
        </w:rPr>
        <w:t>Foods</w:t>
      </w:r>
      <w:r w:rsidRPr="00992199">
        <w:rPr>
          <w:szCs w:val="20"/>
          <w:lang w:eastAsia="en-GB"/>
        </w:rPr>
        <w:t xml:space="preserve"> Group is affected by seasonal trends and production cycles that affect it in several ways.</w:t>
      </w:r>
    </w:p>
    <w:p w:rsidR="003F0BC5" w:rsidRPr="00992199" w:rsidRDefault="003F0BC5" w:rsidP="003F0BC5">
      <w:pPr>
        <w:rPr>
          <w:szCs w:val="20"/>
        </w:rPr>
      </w:pPr>
      <w:r w:rsidRPr="00992199">
        <w:rPr>
          <w:szCs w:val="20"/>
        </w:rPr>
        <w:t xml:space="preserve">The results of </w:t>
      </w:r>
      <w:r w:rsidR="002A1AB1">
        <w:rPr>
          <w:szCs w:val="20"/>
        </w:rPr>
        <w:t>the Greenyard Foods</w:t>
      </w:r>
      <w:r w:rsidRPr="00992199">
        <w:rPr>
          <w:szCs w:val="20"/>
        </w:rPr>
        <w:t xml:space="preserve"> </w:t>
      </w:r>
      <w:r w:rsidR="002A1AB1">
        <w:rPr>
          <w:szCs w:val="20"/>
        </w:rPr>
        <w:t xml:space="preserve">Group </w:t>
      </w:r>
      <w:r w:rsidRPr="00992199">
        <w:rPr>
          <w:szCs w:val="20"/>
        </w:rPr>
        <w:t>for the months January until June are generally weaker than the results in the other months, especially in the Frozen Division. This is because the production and the build-up of inventories mainly take place in the other months of the year. Inventories are valued at full cost following IFRS. This means that all costs related to the production (labour, energy, cost of material, manufacturing overhead, etc.) are taken into account in the results of the moment that they are incurred and are not transferred to the period in which there is (more) production. The valuation of inventory is done in accordance with IFRS against the total cost price excluding the selling and financing costs and the warehousing costs of packed inventory. The price setting of the cost initiates from a 12-month profit and loss account for determination of a standard cost price per product. Some of the costs within these profit and loss accounts are linearly spread over 12 months (</w:t>
      </w:r>
      <w:r w:rsidR="00A431F0" w:rsidRPr="00A431F0">
        <w:rPr>
          <w:i/>
          <w:szCs w:val="20"/>
        </w:rPr>
        <w:t>e.g.,</w:t>
      </w:r>
      <w:r w:rsidR="00A431F0">
        <w:rPr>
          <w:szCs w:val="20"/>
        </w:rPr>
        <w:t xml:space="preserve"> </w:t>
      </w:r>
      <w:r w:rsidRPr="00992199">
        <w:rPr>
          <w:szCs w:val="20"/>
        </w:rPr>
        <w:t xml:space="preserve">depreciations, costs of agro-division, etc.). However, this is not the case for the production volumes. In the months during which few (or nothing) is produced, the costs are reflected in the profit and loss accounts but are not (or only to a small extent) activated. In the months during which production is high, more costs are activated than the linearly signed up costs of those months. Therefore, the </w:t>
      </w:r>
      <w:r w:rsidRPr="00992199">
        <w:rPr>
          <w:szCs w:val="20"/>
          <w:lang w:eastAsia="en-GB"/>
        </w:rPr>
        <w:t xml:space="preserve">Frozen Division </w:t>
      </w:r>
      <w:r w:rsidR="005B6FDE">
        <w:rPr>
          <w:szCs w:val="20"/>
          <w:lang w:eastAsia="en-GB"/>
        </w:rPr>
        <w:t>realises the highest results in</w:t>
      </w:r>
      <w:r w:rsidRPr="00992199">
        <w:rPr>
          <w:szCs w:val="20"/>
          <w:lang w:eastAsia="en-GB"/>
        </w:rPr>
        <w:t xml:space="preserve"> </w:t>
      </w:r>
      <w:r w:rsidRPr="00992199">
        <w:rPr>
          <w:szCs w:val="20"/>
          <w:lang w:eastAsia="en-GB"/>
        </w:rPr>
        <w:lastRenderedPageBreak/>
        <w:t xml:space="preserve">the months during which production is high. The results of the Canning Division are less sensitive to seasonality because the production is more spread </w:t>
      </w:r>
      <w:r w:rsidR="005B6FDE">
        <w:rPr>
          <w:szCs w:val="20"/>
          <w:lang w:eastAsia="en-GB"/>
        </w:rPr>
        <w:t xml:space="preserve">over the year </w:t>
      </w:r>
      <w:r w:rsidRPr="00992199">
        <w:rPr>
          <w:szCs w:val="20"/>
          <w:lang w:eastAsia="en-GB"/>
        </w:rPr>
        <w:t>due to the higher importance of the convenience products and the processing of winter vegetables.</w:t>
      </w:r>
    </w:p>
    <w:p w:rsidR="003F0BC5" w:rsidRPr="00992199" w:rsidRDefault="003F0BC5" w:rsidP="003F0BC5">
      <w:pPr>
        <w:rPr>
          <w:szCs w:val="20"/>
        </w:rPr>
      </w:pPr>
      <w:r w:rsidRPr="00992199">
        <w:rPr>
          <w:szCs w:val="20"/>
          <w:lang w:eastAsia="en-GB"/>
        </w:rPr>
        <w:t>The Univeg Group has historically realised a greater portion of its revenues during the first two calendar quarters of the year. The third and fourth quarters of the year typically have on the aggregate lower sales</w:t>
      </w:r>
      <w:r w:rsidR="008D4FB5">
        <w:rPr>
          <w:szCs w:val="20"/>
          <w:lang w:eastAsia="en-GB"/>
        </w:rPr>
        <w:t xml:space="preserve"> and </w:t>
      </w:r>
      <w:r w:rsidR="008D4FB5" w:rsidRPr="008D4FB5">
        <w:rPr>
          <w:szCs w:val="20"/>
          <w:lang w:eastAsia="en-GB"/>
        </w:rPr>
        <w:t>a less homogenous sales pattern</w:t>
      </w:r>
      <w:r w:rsidRPr="00992199">
        <w:rPr>
          <w:szCs w:val="20"/>
          <w:lang w:eastAsia="en-GB"/>
        </w:rPr>
        <w:t xml:space="preserve"> than the first half of the financial year, with sales spiking in the summer months (especially in case of favourable weather) and in the month of December (which is historically the strongest month for the performance of the Univeg Group, due to the holiday season) and slowing down especially in October and November. Sales can also be affected by the day of the week a certain holiday falls on (typically with </w:t>
      </w:r>
      <w:r w:rsidR="00BF553B">
        <w:rPr>
          <w:szCs w:val="20"/>
          <w:lang w:eastAsia="en-GB"/>
        </w:rPr>
        <w:t>“</w:t>
      </w:r>
      <w:r w:rsidRPr="00992199">
        <w:rPr>
          <w:szCs w:val="20"/>
          <w:lang w:eastAsia="en-GB"/>
        </w:rPr>
        <w:t>long</w:t>
      </w:r>
      <w:r w:rsidR="00BF553B">
        <w:rPr>
          <w:szCs w:val="20"/>
          <w:lang w:eastAsia="en-GB"/>
        </w:rPr>
        <w:t>”</w:t>
      </w:r>
      <w:r w:rsidRPr="00992199">
        <w:rPr>
          <w:szCs w:val="20"/>
          <w:lang w:eastAsia="en-GB"/>
        </w:rPr>
        <w:t xml:space="preserve"> weekends leading to a better performance than holidays falling in the middle of the week). Seasonality and the impact on the prices of the products of the Univeg Group could make it more difficult to compare its performance (especially on an interim basis) and could have an adverse effect on the business and financial performance of the Univeg Group.</w:t>
      </w:r>
    </w:p>
    <w:p w:rsidR="003F0BC5" w:rsidRPr="00992199" w:rsidRDefault="008D4FB5" w:rsidP="003F0BC5">
      <w:pPr>
        <w:rPr>
          <w:szCs w:val="20"/>
        </w:rPr>
      </w:pPr>
      <w:r>
        <w:rPr>
          <w:szCs w:val="20"/>
          <w:lang w:eastAsia="en-GB"/>
        </w:rPr>
        <w:t>T</w:t>
      </w:r>
      <w:r w:rsidR="003F0BC5" w:rsidRPr="00992199">
        <w:rPr>
          <w:szCs w:val="20"/>
          <w:lang w:eastAsia="en-GB"/>
        </w:rPr>
        <w:t>he Peatinvest Group has historically realised a greater portion of its revenues during the two first quarters of the year (especially between mid-January and mid-May). Seasonality and the impact on the prices of the products of the Peatinvest Group could make it more difficult to compare its performance (especially on an interim basis) and could have an adverse effect on the business and financial performance of the Peatinvest Group.</w:t>
      </w:r>
    </w:p>
    <w:p w:rsidR="003F0BC5" w:rsidRPr="00992199" w:rsidRDefault="003F0BC5" w:rsidP="00C14169">
      <w:pPr>
        <w:keepNext/>
        <w:rPr>
          <w:b/>
          <w:i/>
          <w:szCs w:val="20"/>
        </w:rPr>
      </w:pPr>
      <w:r w:rsidRPr="00E13084">
        <w:rPr>
          <w:b/>
          <w:i/>
          <w:szCs w:val="20"/>
        </w:rPr>
        <w:t xml:space="preserve">Sales </w:t>
      </w:r>
      <w:r w:rsidRPr="00992199">
        <w:rPr>
          <w:b/>
          <w:i/>
          <w:szCs w:val="20"/>
        </w:rPr>
        <w:t>may be adversely affected by crop disease, weather conditions, natural disasters and other risks that affect the production and supply of fruit, vegetables and peat.</w:t>
      </w:r>
    </w:p>
    <w:p w:rsidR="003F0BC5" w:rsidRPr="00992199" w:rsidRDefault="003F0BC5" w:rsidP="003F0BC5">
      <w:pPr>
        <w:rPr>
          <w:szCs w:val="20"/>
        </w:rPr>
      </w:pPr>
      <w:r w:rsidRPr="00992199">
        <w:rPr>
          <w:szCs w:val="20"/>
          <w:lang w:eastAsia="en-GB"/>
        </w:rPr>
        <w:t xml:space="preserve">The </w:t>
      </w:r>
      <w:r w:rsidR="002A1AB1">
        <w:rPr>
          <w:szCs w:val="20"/>
        </w:rPr>
        <w:t xml:space="preserve">Combined Greenyard </w:t>
      </w:r>
      <w:r w:rsidR="002A1AB1">
        <w:rPr>
          <w:szCs w:val="20"/>
          <w:lang w:eastAsia="en-GB"/>
        </w:rPr>
        <w:t>Foods</w:t>
      </w:r>
      <w:r w:rsidR="008D4FB5">
        <w:rPr>
          <w:szCs w:val="20"/>
          <w:lang w:eastAsia="en-GB"/>
        </w:rPr>
        <w:t xml:space="preserve"> Group</w:t>
      </w:r>
      <w:r w:rsidR="00574013">
        <w:rPr>
          <w:szCs w:val="20"/>
          <w:lang w:eastAsia="en-GB"/>
        </w:rPr>
        <w:t xml:space="preserve"> and</w:t>
      </w:r>
      <w:r w:rsidR="008D4FB5">
        <w:rPr>
          <w:szCs w:val="20"/>
          <w:lang w:eastAsia="en-GB"/>
        </w:rPr>
        <w:t xml:space="preserve"> </w:t>
      </w:r>
      <w:r w:rsidRPr="00992199">
        <w:rPr>
          <w:szCs w:val="20"/>
          <w:lang w:eastAsia="en-GB"/>
        </w:rPr>
        <w:t>their third-party suppliers</w:t>
      </w:r>
      <w:r w:rsidR="00DB252F">
        <w:rPr>
          <w:szCs w:val="20"/>
          <w:lang w:eastAsia="en-GB"/>
        </w:rPr>
        <w:t xml:space="preserve">, </w:t>
      </w:r>
      <w:r w:rsidR="00574013">
        <w:rPr>
          <w:szCs w:val="20"/>
          <w:lang w:eastAsia="en-GB"/>
        </w:rPr>
        <w:t>including</w:t>
      </w:r>
      <w:r w:rsidR="00DB252F">
        <w:rPr>
          <w:szCs w:val="20"/>
          <w:lang w:eastAsia="en-GB"/>
        </w:rPr>
        <w:t xml:space="preserve"> </w:t>
      </w:r>
      <w:r w:rsidR="00EC0415">
        <w:rPr>
          <w:szCs w:val="20"/>
          <w:lang w:eastAsia="en-GB"/>
        </w:rPr>
        <w:t>The Fruit Farm Group</w:t>
      </w:r>
      <w:r w:rsidR="00DB252F">
        <w:rPr>
          <w:szCs w:val="20"/>
          <w:lang w:eastAsia="en-GB"/>
        </w:rPr>
        <w:t xml:space="preserve"> and the Argentinean Operations</w:t>
      </w:r>
      <w:r w:rsidR="00EC0415">
        <w:rPr>
          <w:szCs w:val="20"/>
          <w:lang w:eastAsia="en-GB"/>
        </w:rPr>
        <w:t>,</w:t>
      </w:r>
      <w:r w:rsidRPr="00992199">
        <w:rPr>
          <w:szCs w:val="20"/>
          <w:lang w:eastAsia="en-GB"/>
        </w:rPr>
        <w:t xml:space="preserve"> experience crop disease, insect infestation, severe weather conditions, such as floods, droughts, windstorms and hurricanes, and natural disasters, such as earthquakes, and other adverse environmental conditions from time to time.</w:t>
      </w:r>
    </w:p>
    <w:p w:rsidR="003F0BC5" w:rsidRPr="00992199" w:rsidRDefault="003F0BC5" w:rsidP="003F0BC5">
      <w:pPr>
        <w:rPr>
          <w:szCs w:val="20"/>
        </w:rPr>
      </w:pPr>
      <w:r w:rsidRPr="00992199">
        <w:rPr>
          <w:szCs w:val="20"/>
          <w:lang w:eastAsia="en-GB"/>
        </w:rPr>
        <w:t xml:space="preserve">Adverse environmental conditions may occur with higher frequency, or weather conditions may become less predictable, in the future due to the effects of climate change. In </w:t>
      </w:r>
      <w:r w:rsidR="00DB252F">
        <w:rPr>
          <w:szCs w:val="20"/>
          <w:lang w:eastAsia="en-GB"/>
        </w:rPr>
        <w:t>an</w:t>
      </w:r>
      <w:r w:rsidRPr="00992199">
        <w:rPr>
          <w:szCs w:val="20"/>
          <w:lang w:eastAsia="en-GB"/>
        </w:rPr>
        <w:t xml:space="preserve"> annual report </w:t>
      </w:r>
      <w:r w:rsidR="00626780">
        <w:rPr>
          <w:szCs w:val="20"/>
          <w:lang w:eastAsia="en-GB"/>
        </w:rPr>
        <w:t>of</w:t>
      </w:r>
      <w:r w:rsidRPr="00992199">
        <w:rPr>
          <w:szCs w:val="20"/>
          <w:lang w:eastAsia="en-GB"/>
        </w:rPr>
        <w:t xml:space="preserve"> the UN agricultural agencies called State of </w:t>
      </w:r>
      <w:smartTag w:uri="urn:schemas-microsoft-com:office:smarttags" w:element="State">
        <w:smartTag w:uri="urn:schemas-microsoft-com:office:smarttags" w:element="place">
          <w:r w:rsidRPr="00992199">
            <w:rPr>
              <w:szCs w:val="20"/>
              <w:lang w:eastAsia="en-GB"/>
            </w:rPr>
            <w:t>Food Insecurity</w:t>
          </w:r>
        </w:smartTag>
      </w:smartTag>
      <w:r w:rsidRPr="00992199">
        <w:rPr>
          <w:szCs w:val="20"/>
          <w:lang w:eastAsia="en-GB"/>
        </w:rPr>
        <w:t xml:space="preserve"> in the World, climate change was identified as one of the leading risks to global food security, with unpredictable weather patterns expected to result in production and price volatility. This price volatility, the report says, makes small-scale producers more risk-averse, lowers their propensity to </w:t>
      </w:r>
      <w:r w:rsidRPr="00992199">
        <w:rPr>
          <w:szCs w:val="20"/>
        </w:rPr>
        <w:t>adopt</w:t>
      </w:r>
      <w:r w:rsidRPr="00992199">
        <w:rPr>
          <w:szCs w:val="20"/>
          <w:lang w:eastAsia="en-GB"/>
        </w:rPr>
        <w:t xml:space="preserve"> and invest in new technologies and ultimately results in lower overall production.</w:t>
      </w:r>
      <w:r w:rsidR="00DB252F" w:rsidRPr="00DB252F">
        <w:rPr>
          <w:szCs w:val="20"/>
          <w:lang w:eastAsia="en-GB"/>
        </w:rPr>
        <w:t xml:space="preserve"> </w:t>
      </w:r>
      <w:r w:rsidR="00DB252F">
        <w:rPr>
          <w:szCs w:val="20"/>
          <w:lang w:eastAsia="en-GB"/>
        </w:rPr>
        <w:t xml:space="preserve">In 2014, for example, </w:t>
      </w:r>
      <w:r w:rsidR="00EC0415">
        <w:rPr>
          <w:szCs w:val="20"/>
          <w:lang w:eastAsia="en-GB"/>
        </w:rPr>
        <w:t xml:space="preserve">The Fruit Farm Group </w:t>
      </w:r>
      <w:r w:rsidR="00DB252F">
        <w:rPr>
          <w:szCs w:val="20"/>
          <w:lang w:eastAsia="en-GB"/>
        </w:rPr>
        <w:t>suffered from the natural phenomenon called El Nino.</w:t>
      </w:r>
    </w:p>
    <w:p w:rsidR="003F0BC5" w:rsidRPr="00992199" w:rsidRDefault="003F0BC5" w:rsidP="003F0BC5">
      <w:pPr>
        <w:rPr>
          <w:szCs w:val="20"/>
        </w:rPr>
      </w:pPr>
      <w:r w:rsidRPr="00992199">
        <w:rPr>
          <w:szCs w:val="20"/>
          <w:lang w:eastAsia="en-GB"/>
        </w:rPr>
        <w:t xml:space="preserve">If adverse environmental conditions destroy crops planted on the </w:t>
      </w:r>
      <w:r w:rsidR="002A1AB1">
        <w:rPr>
          <w:szCs w:val="20"/>
        </w:rPr>
        <w:t xml:space="preserve">Combined Greenyard </w:t>
      </w:r>
      <w:r w:rsidR="002A1AB1">
        <w:rPr>
          <w:szCs w:val="20"/>
          <w:lang w:eastAsia="en-GB"/>
        </w:rPr>
        <w:t>Foods</w:t>
      </w:r>
      <w:r w:rsidRPr="00992199">
        <w:rPr>
          <w:szCs w:val="20"/>
          <w:lang w:eastAsia="en-GB"/>
        </w:rPr>
        <w:t xml:space="preserve"> Group’s or its supplier’s farms or prevent the </w:t>
      </w:r>
      <w:r w:rsidR="002A1AB1">
        <w:rPr>
          <w:szCs w:val="20"/>
        </w:rPr>
        <w:t xml:space="preserve">Combined Greenyard </w:t>
      </w:r>
      <w:r w:rsidR="002A1AB1">
        <w:rPr>
          <w:szCs w:val="20"/>
          <w:lang w:eastAsia="en-GB"/>
        </w:rPr>
        <w:t>Foods</w:t>
      </w:r>
      <w:r w:rsidRPr="00992199">
        <w:rPr>
          <w:szCs w:val="20"/>
          <w:lang w:eastAsia="en-GB"/>
        </w:rPr>
        <w:t xml:space="preserve"> Group from exporting them on a timely basis, it may lose its investment in those crops or its purchased fruit, or the cost of the produce may increase.</w:t>
      </w:r>
    </w:p>
    <w:p w:rsidR="003F0BC5" w:rsidRPr="00992199" w:rsidRDefault="003F0BC5" w:rsidP="003F0BC5">
      <w:pPr>
        <w:rPr>
          <w:szCs w:val="20"/>
        </w:rPr>
      </w:pPr>
      <w:r w:rsidRPr="00992199">
        <w:rPr>
          <w:szCs w:val="20"/>
          <w:lang w:eastAsia="en-GB"/>
        </w:rPr>
        <w:t xml:space="preserve">Adverse environmental conditions may adversely affect the </w:t>
      </w:r>
      <w:r w:rsidR="002A1AB1">
        <w:rPr>
          <w:szCs w:val="20"/>
        </w:rPr>
        <w:t xml:space="preserve">Combined Greenyard </w:t>
      </w:r>
      <w:r w:rsidR="002A1AB1">
        <w:rPr>
          <w:szCs w:val="20"/>
          <w:lang w:eastAsia="en-GB"/>
        </w:rPr>
        <w:t>Foods</w:t>
      </w:r>
      <w:r w:rsidRPr="00992199">
        <w:rPr>
          <w:szCs w:val="20"/>
          <w:lang w:eastAsia="en-GB"/>
        </w:rPr>
        <w:t xml:space="preserve"> Group’</w:t>
      </w:r>
      <w:r w:rsidR="00584210">
        <w:rPr>
          <w:szCs w:val="20"/>
          <w:lang w:eastAsia="en-GB"/>
        </w:rPr>
        <w:t>s</w:t>
      </w:r>
      <w:r w:rsidRPr="00992199">
        <w:rPr>
          <w:szCs w:val="20"/>
          <w:lang w:eastAsia="en-GB"/>
        </w:rPr>
        <w:t xml:space="preserve"> supply of one or more fresh produce items, reduce its sales volumes, increase its unit production costs or prevent or impair its ability to transport products as planned, which could result in substantial losses and weaken the financial condition</w:t>
      </w:r>
      <w:r w:rsidRPr="00992199">
        <w:rPr>
          <w:szCs w:val="20"/>
        </w:rPr>
        <w:t xml:space="preserve"> </w:t>
      </w:r>
      <w:r w:rsidRPr="00992199">
        <w:rPr>
          <w:szCs w:val="20"/>
          <w:lang w:eastAsia="en-GB"/>
        </w:rPr>
        <w:t xml:space="preserve">of the </w:t>
      </w:r>
      <w:r w:rsidR="002A1AB1">
        <w:rPr>
          <w:szCs w:val="20"/>
        </w:rPr>
        <w:t xml:space="preserve">Combined Greenyard </w:t>
      </w:r>
      <w:r w:rsidR="002A1AB1">
        <w:rPr>
          <w:szCs w:val="20"/>
          <w:lang w:eastAsia="en-GB"/>
        </w:rPr>
        <w:t>Foods</w:t>
      </w:r>
      <w:r w:rsidRPr="00992199">
        <w:rPr>
          <w:szCs w:val="20"/>
          <w:lang w:eastAsia="en-GB"/>
        </w:rPr>
        <w:t xml:space="preserve"> Group.</w:t>
      </w:r>
    </w:p>
    <w:p w:rsidR="008D4FB5" w:rsidRDefault="008D4FB5" w:rsidP="003F0BC5">
      <w:pPr>
        <w:rPr>
          <w:szCs w:val="20"/>
          <w:lang w:eastAsia="en-GB"/>
        </w:rPr>
      </w:pPr>
      <w:r w:rsidRPr="008D4FB5">
        <w:rPr>
          <w:szCs w:val="20"/>
          <w:lang w:eastAsia="en-GB"/>
        </w:rPr>
        <w:t xml:space="preserve">In so far as the Univeg Group is concerned, even though it acts to a certain extent on a free consignment basis for the produce growers, in practice, it often shares the risk of adverse environmental conditions with the growers given the growers’ long-term relationship with the Univeg Group. Further, the Univeg Group finances crop production of certain of its growers and suppliers and may be adversely affected if it is not repaid or repayment is postponed due to adverse environmental conditions affecting those growers and suppliers or for any other reason. In those cases where the Univeg Group itself has grown the produce, which is limited after the carve-out of </w:t>
      </w:r>
      <w:r w:rsidR="00EA279B">
        <w:rPr>
          <w:szCs w:val="20"/>
          <w:lang w:eastAsia="en-GB"/>
        </w:rPr>
        <w:t xml:space="preserve">its six principal plantations into </w:t>
      </w:r>
      <w:r w:rsidR="00EC0415">
        <w:rPr>
          <w:szCs w:val="20"/>
          <w:lang w:eastAsia="en-GB"/>
        </w:rPr>
        <w:t xml:space="preserve">The Fruit Farm Group </w:t>
      </w:r>
      <w:r w:rsidR="00EA279B">
        <w:rPr>
          <w:szCs w:val="20"/>
          <w:lang w:eastAsia="en-GB"/>
        </w:rPr>
        <w:t>in December 2014 (see also Part VIII (</w:t>
      </w:r>
      <w:r w:rsidR="00EA279B">
        <w:rPr>
          <w:i/>
          <w:szCs w:val="20"/>
          <w:lang w:eastAsia="en-GB"/>
        </w:rPr>
        <w:t>Related party transactions</w:t>
      </w:r>
      <w:r w:rsidR="00EA279B">
        <w:rPr>
          <w:szCs w:val="20"/>
          <w:lang w:eastAsia="en-GB"/>
        </w:rPr>
        <w:t>)</w:t>
      </w:r>
      <w:r w:rsidR="00C14169">
        <w:rPr>
          <w:szCs w:val="20"/>
          <w:lang w:eastAsia="en-GB"/>
        </w:rPr>
        <w:t>)</w:t>
      </w:r>
      <w:r w:rsidRPr="008D4FB5">
        <w:rPr>
          <w:szCs w:val="20"/>
          <w:lang w:eastAsia="en-GB"/>
        </w:rPr>
        <w:t>, it carries the risk of adverse environmental conditions entirely.</w:t>
      </w:r>
    </w:p>
    <w:p w:rsidR="003F0BC5" w:rsidRPr="00992199" w:rsidRDefault="00DB252F" w:rsidP="003F0BC5">
      <w:pPr>
        <w:rPr>
          <w:szCs w:val="20"/>
        </w:rPr>
      </w:pPr>
      <w:r>
        <w:rPr>
          <w:szCs w:val="20"/>
          <w:lang w:eastAsia="en-GB"/>
        </w:rPr>
        <w:t xml:space="preserve">In </w:t>
      </w:r>
      <w:r w:rsidR="008D4FB5">
        <w:rPr>
          <w:szCs w:val="20"/>
          <w:lang w:eastAsia="en-GB"/>
        </w:rPr>
        <w:t xml:space="preserve">addition, in </w:t>
      </w:r>
      <w:r>
        <w:rPr>
          <w:szCs w:val="20"/>
          <w:lang w:eastAsia="en-GB"/>
        </w:rPr>
        <w:t>so far as the Peatinvest Group is concerned, t</w:t>
      </w:r>
      <w:r w:rsidR="003F0BC5" w:rsidRPr="00992199">
        <w:rPr>
          <w:szCs w:val="20"/>
          <w:lang w:eastAsia="en-GB"/>
        </w:rPr>
        <w:t>he quality and the quantity of peat is also highly depende</w:t>
      </w:r>
      <w:r w:rsidR="008D4FB5">
        <w:rPr>
          <w:szCs w:val="20"/>
          <w:lang w:eastAsia="en-GB"/>
        </w:rPr>
        <w:t>nt</w:t>
      </w:r>
      <w:r w:rsidR="003F0BC5" w:rsidRPr="00992199">
        <w:rPr>
          <w:szCs w:val="20"/>
          <w:lang w:eastAsia="en-GB"/>
        </w:rPr>
        <w:t xml:space="preserve"> on weather conditions. The harvest of peat is only possible after a natural drying cycle (</w:t>
      </w:r>
      <w:r w:rsidR="003F0BC5" w:rsidRPr="00992199">
        <w:rPr>
          <w:i/>
          <w:szCs w:val="20"/>
          <w:lang w:eastAsia="en-GB"/>
        </w:rPr>
        <w:t>i.e</w:t>
      </w:r>
      <w:r w:rsidR="003F0BC5" w:rsidRPr="00992199">
        <w:rPr>
          <w:szCs w:val="20"/>
          <w:lang w:eastAsia="en-GB"/>
        </w:rPr>
        <w:t xml:space="preserve">., wind or sun) and important precipitations will therefore reduce the volumes of peat that can be harvested. In addition, wet peat will be less stable, generate less fractioning, lower the quality of the substrates and be </w:t>
      </w:r>
      <w:r w:rsidR="00A07615">
        <w:rPr>
          <w:szCs w:val="20"/>
          <w:lang w:eastAsia="en-GB"/>
        </w:rPr>
        <w:t>heavier</w:t>
      </w:r>
      <w:r w:rsidR="003F0BC5" w:rsidRPr="00992199">
        <w:rPr>
          <w:szCs w:val="20"/>
          <w:lang w:eastAsia="en-GB"/>
        </w:rPr>
        <w:t xml:space="preserve"> to transport. This could result in a reduction of profits and in an increase of transportation costs.</w:t>
      </w:r>
    </w:p>
    <w:p w:rsidR="003F0BC5" w:rsidRPr="00992199" w:rsidRDefault="003F0BC5" w:rsidP="00C14169">
      <w:pPr>
        <w:keepNext/>
        <w:rPr>
          <w:b/>
          <w:i/>
          <w:szCs w:val="20"/>
        </w:rPr>
      </w:pPr>
      <w:r w:rsidRPr="00992199">
        <w:rPr>
          <w:b/>
          <w:i/>
          <w:szCs w:val="20"/>
        </w:rPr>
        <w:lastRenderedPageBreak/>
        <w:t xml:space="preserve">If the products become contaminated, the </w:t>
      </w:r>
      <w:r w:rsidR="002A1AB1" w:rsidRPr="00E13084">
        <w:rPr>
          <w:b/>
          <w:i/>
          <w:szCs w:val="20"/>
        </w:rPr>
        <w:t xml:space="preserve">Combined Greenyard </w:t>
      </w:r>
      <w:r w:rsidR="002A1AB1">
        <w:rPr>
          <w:b/>
          <w:i/>
          <w:szCs w:val="20"/>
        </w:rPr>
        <w:t>Foods</w:t>
      </w:r>
      <w:r w:rsidRPr="00992199">
        <w:rPr>
          <w:b/>
          <w:i/>
          <w:szCs w:val="20"/>
        </w:rPr>
        <w:t xml:space="preserve"> Group may be subject to product liability claims, product recalls and restrictions on exports that could materially adversely affect the business, financial condition and results of operations of the </w:t>
      </w:r>
      <w:r w:rsidR="002A1AB1" w:rsidRPr="00E13084">
        <w:rPr>
          <w:b/>
          <w:i/>
          <w:szCs w:val="20"/>
        </w:rPr>
        <w:t xml:space="preserve">Combined Greenyard </w:t>
      </w:r>
      <w:r w:rsidR="002A1AB1">
        <w:rPr>
          <w:b/>
          <w:i/>
          <w:szCs w:val="20"/>
        </w:rPr>
        <w:t>Foods</w:t>
      </w:r>
      <w:r w:rsidRPr="00992199">
        <w:rPr>
          <w:b/>
          <w:i/>
          <w:szCs w:val="20"/>
        </w:rPr>
        <w:t xml:space="preserve"> Group.</w:t>
      </w:r>
    </w:p>
    <w:p w:rsidR="003F0BC5" w:rsidRPr="00992199" w:rsidRDefault="003F0BC5" w:rsidP="003F0BC5">
      <w:pPr>
        <w:rPr>
          <w:szCs w:val="20"/>
        </w:rPr>
      </w:pPr>
      <w:r w:rsidRPr="00992199">
        <w:rPr>
          <w:szCs w:val="20"/>
          <w:lang w:eastAsia="en-GB"/>
        </w:rPr>
        <w:t>If the produc</w:t>
      </w:r>
      <w:r w:rsidR="00584210">
        <w:rPr>
          <w:szCs w:val="20"/>
          <w:lang w:eastAsia="en-GB"/>
        </w:rPr>
        <w:t>t</w:t>
      </w:r>
      <w:r w:rsidR="00C14169">
        <w:rPr>
          <w:szCs w:val="20"/>
          <w:lang w:eastAsia="en-GB"/>
        </w:rPr>
        <w:t>s</w:t>
      </w:r>
      <w:r w:rsidRPr="00992199">
        <w:rPr>
          <w:szCs w:val="20"/>
          <w:lang w:eastAsia="en-GB"/>
        </w:rPr>
        <w:t xml:space="preserve"> sourced by the </w:t>
      </w:r>
      <w:r w:rsidR="002A1AB1">
        <w:rPr>
          <w:szCs w:val="20"/>
        </w:rPr>
        <w:t xml:space="preserve">Combined Greenyard </w:t>
      </w:r>
      <w:r w:rsidR="002A1AB1">
        <w:rPr>
          <w:szCs w:val="20"/>
          <w:lang w:eastAsia="en-GB"/>
        </w:rPr>
        <w:t>Foods</w:t>
      </w:r>
      <w:r w:rsidRPr="00992199">
        <w:rPr>
          <w:szCs w:val="20"/>
          <w:lang w:eastAsia="en-GB"/>
        </w:rPr>
        <w:t xml:space="preserve"> Group </w:t>
      </w:r>
      <w:r w:rsidR="00C14169">
        <w:rPr>
          <w:szCs w:val="20"/>
          <w:lang w:eastAsia="en-GB"/>
        </w:rPr>
        <w:t>are</w:t>
      </w:r>
      <w:r w:rsidR="00C14169" w:rsidRPr="00992199">
        <w:rPr>
          <w:szCs w:val="20"/>
          <w:lang w:eastAsia="en-GB"/>
        </w:rPr>
        <w:t xml:space="preserve"> </w:t>
      </w:r>
      <w:r w:rsidRPr="00992199">
        <w:rPr>
          <w:szCs w:val="20"/>
          <w:lang w:eastAsia="en-GB"/>
        </w:rPr>
        <w:t xml:space="preserve">alleged or proved to contain contaminants or bacteria affecting the safety or quality of its products, the </w:t>
      </w:r>
      <w:r w:rsidR="002A1AB1">
        <w:rPr>
          <w:szCs w:val="20"/>
        </w:rPr>
        <w:t xml:space="preserve">Combined Greenyard </w:t>
      </w:r>
      <w:r w:rsidR="002A1AB1">
        <w:rPr>
          <w:szCs w:val="20"/>
          <w:lang w:eastAsia="en-GB"/>
        </w:rPr>
        <w:t>Foods</w:t>
      </w:r>
      <w:r w:rsidRPr="00992199">
        <w:rPr>
          <w:szCs w:val="20"/>
          <w:lang w:eastAsia="en-GB"/>
        </w:rPr>
        <w:t xml:space="preserve"> Group may need to find alternative products, delay production of </w:t>
      </w:r>
      <w:r w:rsidR="00584210">
        <w:rPr>
          <w:szCs w:val="20"/>
          <w:lang w:eastAsia="en-GB"/>
        </w:rPr>
        <w:t>its</w:t>
      </w:r>
      <w:r w:rsidRPr="00992199">
        <w:rPr>
          <w:szCs w:val="20"/>
          <w:lang w:eastAsia="en-GB"/>
        </w:rPr>
        <w:t xml:space="preserve"> products, or discard or otherwise dispose of its products, which could adversely affect its results of operations. Additionally, if the presence of such contaminants or bacteria are not alleged or discovered until after the affected </w:t>
      </w:r>
      <w:r w:rsidRPr="00992199">
        <w:rPr>
          <w:szCs w:val="20"/>
        </w:rPr>
        <w:t>product</w:t>
      </w:r>
      <w:r w:rsidRPr="00992199">
        <w:rPr>
          <w:szCs w:val="20"/>
          <w:lang w:eastAsia="en-GB"/>
        </w:rPr>
        <w:t xml:space="preserve"> has been distributed, the </w:t>
      </w:r>
      <w:r w:rsidR="002A1AB1">
        <w:rPr>
          <w:szCs w:val="20"/>
        </w:rPr>
        <w:t xml:space="preserve">Combined Greenyard </w:t>
      </w:r>
      <w:r w:rsidR="002A1AB1">
        <w:rPr>
          <w:szCs w:val="20"/>
          <w:lang w:eastAsia="en-GB"/>
        </w:rPr>
        <w:t>Foods</w:t>
      </w:r>
      <w:r w:rsidRPr="00992199">
        <w:rPr>
          <w:szCs w:val="20"/>
          <w:lang w:eastAsia="en-GB"/>
        </w:rPr>
        <w:t xml:space="preserve"> Group may need to withdraw or recall the affected product and the </w:t>
      </w:r>
      <w:r w:rsidR="002A1AB1">
        <w:rPr>
          <w:szCs w:val="20"/>
        </w:rPr>
        <w:t xml:space="preserve">Combined Greenyard </w:t>
      </w:r>
      <w:r w:rsidR="002A1AB1">
        <w:rPr>
          <w:szCs w:val="20"/>
          <w:lang w:eastAsia="en-GB"/>
        </w:rPr>
        <w:t>Foods</w:t>
      </w:r>
      <w:r w:rsidRPr="00992199">
        <w:rPr>
          <w:szCs w:val="20"/>
          <w:lang w:eastAsia="en-GB"/>
        </w:rPr>
        <w:t xml:space="preserve"> Group may experience adverse publicity or product liability claims. In either case, the business, financial condition and results of operations of the </w:t>
      </w:r>
      <w:r w:rsidR="002A1AB1">
        <w:rPr>
          <w:szCs w:val="20"/>
        </w:rPr>
        <w:t xml:space="preserve">Combined Greenyard </w:t>
      </w:r>
      <w:r w:rsidR="002A1AB1">
        <w:rPr>
          <w:szCs w:val="20"/>
          <w:lang w:eastAsia="en-GB"/>
        </w:rPr>
        <w:t>Foods</w:t>
      </w:r>
      <w:r w:rsidRPr="00992199">
        <w:rPr>
          <w:szCs w:val="20"/>
          <w:lang w:eastAsia="en-GB"/>
        </w:rPr>
        <w:t xml:space="preserve"> Group could be adversely affected.</w:t>
      </w:r>
    </w:p>
    <w:p w:rsidR="003F0BC5" w:rsidRPr="00992199" w:rsidRDefault="003F0BC5" w:rsidP="003F0BC5">
      <w:pPr>
        <w:rPr>
          <w:szCs w:val="20"/>
        </w:rPr>
      </w:pPr>
      <w:r w:rsidRPr="00992199">
        <w:rPr>
          <w:szCs w:val="20"/>
          <w:lang w:eastAsia="en-GB"/>
        </w:rPr>
        <w:t xml:space="preserve">The </w:t>
      </w:r>
      <w:r w:rsidR="002A1AB1">
        <w:rPr>
          <w:szCs w:val="20"/>
        </w:rPr>
        <w:t xml:space="preserve">Combined Greenyard </w:t>
      </w:r>
      <w:r w:rsidR="002A1AB1">
        <w:rPr>
          <w:szCs w:val="20"/>
          <w:lang w:eastAsia="en-GB"/>
        </w:rPr>
        <w:t>Foods</w:t>
      </w:r>
      <w:r w:rsidRPr="00992199">
        <w:rPr>
          <w:szCs w:val="20"/>
          <w:lang w:eastAsia="en-GB"/>
        </w:rPr>
        <w:t xml:space="preserve"> Group may also be exposed to product recalls, including voluntary recalls or withdrawals, and adverse public relations if its products are alleged to cause injury or illness or if the </w:t>
      </w:r>
      <w:r w:rsidR="002A1AB1">
        <w:rPr>
          <w:szCs w:val="20"/>
        </w:rPr>
        <w:t xml:space="preserve">Combined Greenyard </w:t>
      </w:r>
      <w:r w:rsidR="002A1AB1">
        <w:rPr>
          <w:szCs w:val="20"/>
          <w:lang w:eastAsia="en-GB"/>
        </w:rPr>
        <w:t>Foods</w:t>
      </w:r>
      <w:r w:rsidRPr="00992199">
        <w:rPr>
          <w:szCs w:val="20"/>
          <w:lang w:eastAsia="en-GB"/>
        </w:rPr>
        <w:t xml:space="preserve"> Group is alleged to have mislabelled or misbranded its products or otherwise violated governmental regulations. The </w:t>
      </w:r>
      <w:r w:rsidR="002A1AB1">
        <w:rPr>
          <w:szCs w:val="20"/>
        </w:rPr>
        <w:t xml:space="preserve">Combined Greenyard </w:t>
      </w:r>
      <w:r w:rsidR="002A1AB1">
        <w:rPr>
          <w:szCs w:val="20"/>
          <w:lang w:eastAsia="en-GB"/>
        </w:rPr>
        <w:t>Foods</w:t>
      </w:r>
      <w:r w:rsidRPr="00992199">
        <w:rPr>
          <w:szCs w:val="20"/>
          <w:lang w:eastAsia="en-GB"/>
        </w:rPr>
        <w:t xml:space="preserve"> Group may also voluntarily recall or withdraw products that it considers below its standards, whether for taste, appearance or otherwise, in order to protect their brand reputation. Consumer or customer concerns (whether justified or not) regarding the safety of the products of the </w:t>
      </w:r>
      <w:r w:rsidR="002A1AB1">
        <w:rPr>
          <w:szCs w:val="20"/>
        </w:rPr>
        <w:t xml:space="preserve">Combined Greenyard </w:t>
      </w:r>
      <w:r w:rsidR="002A1AB1">
        <w:rPr>
          <w:szCs w:val="20"/>
          <w:lang w:eastAsia="en-GB"/>
        </w:rPr>
        <w:t>Foods</w:t>
      </w:r>
      <w:r w:rsidRPr="00992199">
        <w:rPr>
          <w:szCs w:val="20"/>
          <w:lang w:eastAsia="en-GB"/>
        </w:rPr>
        <w:t xml:space="preserve"> Group could adversely affect its business. A product recall or withdrawal could result in substantial and unexpected expenditures, destruction of product inventory, and lost sales due to the unavailability of the product for a period of time, which could reduce profitability and cash flow. In addition, a product recall or withdrawal may require significant management attention. Product recalls, product liability claims (even if unmerited or unsuccessful), or any other events that cause consumers to no longer associate the brands of the </w:t>
      </w:r>
      <w:r w:rsidR="002A1AB1">
        <w:rPr>
          <w:szCs w:val="20"/>
        </w:rPr>
        <w:t xml:space="preserve">Combined Greenyard </w:t>
      </w:r>
      <w:r w:rsidR="002A1AB1">
        <w:rPr>
          <w:szCs w:val="20"/>
          <w:lang w:eastAsia="en-GB"/>
        </w:rPr>
        <w:t>Foods</w:t>
      </w:r>
      <w:r w:rsidRPr="00992199">
        <w:rPr>
          <w:szCs w:val="20"/>
          <w:lang w:eastAsia="en-GB"/>
        </w:rPr>
        <w:t xml:space="preserve"> Group with high quality and safe products may also result in adverse publicity, impair the value of its brands, lead to a decline in consumer confidence in and demand for its products, and lead to increased scrutiny by regulatory agencies of the operations of the </w:t>
      </w:r>
      <w:r w:rsidR="002A1AB1">
        <w:rPr>
          <w:szCs w:val="20"/>
        </w:rPr>
        <w:t xml:space="preserve">Combined Greenyard </w:t>
      </w:r>
      <w:r w:rsidR="002A1AB1">
        <w:rPr>
          <w:szCs w:val="20"/>
          <w:lang w:eastAsia="en-GB"/>
        </w:rPr>
        <w:t>Foods</w:t>
      </w:r>
      <w:r w:rsidRPr="00992199">
        <w:rPr>
          <w:szCs w:val="20"/>
          <w:lang w:eastAsia="en-GB"/>
        </w:rPr>
        <w:t xml:space="preserve"> Group, which could have a material adverse effect on the business, results of operations and financial condition of the </w:t>
      </w:r>
      <w:r w:rsidR="002A1AB1">
        <w:rPr>
          <w:szCs w:val="20"/>
        </w:rPr>
        <w:t xml:space="preserve">Combined Greenyard </w:t>
      </w:r>
      <w:r w:rsidR="002A1AB1">
        <w:rPr>
          <w:szCs w:val="20"/>
          <w:lang w:eastAsia="en-GB"/>
        </w:rPr>
        <w:t>Foods</w:t>
      </w:r>
      <w:r w:rsidRPr="00992199">
        <w:rPr>
          <w:szCs w:val="20"/>
          <w:lang w:eastAsia="en-GB"/>
        </w:rPr>
        <w:t xml:space="preserve"> Group.</w:t>
      </w:r>
    </w:p>
    <w:p w:rsidR="003F0BC5" w:rsidRPr="00992199" w:rsidRDefault="003F0BC5" w:rsidP="003F0BC5">
      <w:pPr>
        <w:rPr>
          <w:szCs w:val="20"/>
        </w:rPr>
      </w:pPr>
      <w:r w:rsidRPr="00992199">
        <w:rPr>
          <w:szCs w:val="20"/>
          <w:lang w:eastAsia="en-GB"/>
        </w:rPr>
        <w:t xml:space="preserve">In addition, the sales of the products of the </w:t>
      </w:r>
      <w:r w:rsidR="002A1AB1">
        <w:rPr>
          <w:szCs w:val="20"/>
        </w:rPr>
        <w:t xml:space="preserve">Combined Greenyard </w:t>
      </w:r>
      <w:r w:rsidR="002A1AB1">
        <w:rPr>
          <w:szCs w:val="20"/>
          <w:lang w:eastAsia="en-GB"/>
        </w:rPr>
        <w:t>Foods</w:t>
      </w:r>
      <w:r w:rsidRPr="00992199">
        <w:rPr>
          <w:szCs w:val="20"/>
          <w:lang w:eastAsia="en-GB"/>
        </w:rPr>
        <w:t xml:space="preserve"> Group involve the risk of injury to consumers. Such injuries may result from tampering by unauthorised personnel, product contamination or spoilage, including the presence of foreign objects, substances, chemicals, or residues introduced during the growing, packing, storage, handling or transportation phases. While the </w:t>
      </w:r>
      <w:r w:rsidR="002A1AB1">
        <w:rPr>
          <w:szCs w:val="20"/>
        </w:rPr>
        <w:t xml:space="preserve">Combined Greenyard </w:t>
      </w:r>
      <w:r w:rsidR="002A1AB1">
        <w:rPr>
          <w:szCs w:val="20"/>
          <w:lang w:eastAsia="en-GB"/>
        </w:rPr>
        <w:t>Foods</w:t>
      </w:r>
      <w:r w:rsidRPr="00992199">
        <w:rPr>
          <w:szCs w:val="20"/>
          <w:lang w:eastAsia="en-GB"/>
        </w:rPr>
        <w:t xml:space="preserve"> Group is subject to customers’ and governmental inspection and regulations and believes its facilities comply in all material respects with all applicable laws and regulations, including internal product safety policies, the </w:t>
      </w:r>
      <w:r w:rsidR="002A1AB1">
        <w:rPr>
          <w:szCs w:val="20"/>
        </w:rPr>
        <w:t xml:space="preserve">Combined Greenyard </w:t>
      </w:r>
      <w:r w:rsidR="002A1AB1">
        <w:rPr>
          <w:szCs w:val="20"/>
          <w:lang w:eastAsia="en-GB"/>
        </w:rPr>
        <w:t>Foods</w:t>
      </w:r>
      <w:r w:rsidRPr="00992199">
        <w:rPr>
          <w:szCs w:val="20"/>
          <w:lang w:eastAsia="en-GB"/>
        </w:rPr>
        <w:t xml:space="preserve"> Group can give no assurance that consumption of its products will not cause health-related illnesses in the future or that the </w:t>
      </w:r>
      <w:r w:rsidR="002A1AB1">
        <w:rPr>
          <w:szCs w:val="20"/>
        </w:rPr>
        <w:t xml:space="preserve">Combined Greenyard </w:t>
      </w:r>
      <w:r w:rsidR="002A1AB1">
        <w:rPr>
          <w:szCs w:val="20"/>
          <w:lang w:eastAsia="en-GB"/>
        </w:rPr>
        <w:t>Foods</w:t>
      </w:r>
      <w:r w:rsidRPr="00992199">
        <w:rPr>
          <w:szCs w:val="20"/>
          <w:lang w:eastAsia="en-GB"/>
        </w:rPr>
        <w:t xml:space="preserve"> Group will not be subject to claims or lawsuits relating to such matters, including class actions.</w:t>
      </w:r>
    </w:p>
    <w:p w:rsidR="003F0BC5" w:rsidRPr="00992199" w:rsidRDefault="00584210" w:rsidP="003F0BC5">
      <w:pPr>
        <w:rPr>
          <w:szCs w:val="20"/>
        </w:rPr>
      </w:pPr>
      <w:r>
        <w:rPr>
          <w:szCs w:val="20"/>
          <w:lang w:eastAsia="en-GB"/>
        </w:rPr>
        <w:t xml:space="preserve">In </w:t>
      </w:r>
      <w:r w:rsidR="003F0BC5" w:rsidRPr="00992199">
        <w:rPr>
          <w:szCs w:val="20"/>
        </w:rPr>
        <w:t xml:space="preserve">spite of the strict quality controls and the application of HACCP and ISO standards, the occurrence of quality problems and complaints cannot be completely ruled out. In particular, the differing legislation in </w:t>
      </w:r>
      <w:smartTag w:uri="urn:schemas-microsoft-com:office:smarttags" w:element="place">
        <w:r w:rsidR="003F0BC5" w:rsidRPr="00992199">
          <w:rPr>
            <w:szCs w:val="20"/>
          </w:rPr>
          <w:t>Europe</w:t>
        </w:r>
      </w:smartTag>
      <w:r w:rsidR="003F0BC5" w:rsidRPr="00992199">
        <w:rPr>
          <w:szCs w:val="20"/>
        </w:rPr>
        <w:t xml:space="preserve"> with regard to crop protection products constitutes a risk. </w:t>
      </w:r>
    </w:p>
    <w:p w:rsidR="003F0BC5" w:rsidRPr="00992199" w:rsidRDefault="003F0BC5" w:rsidP="003F0BC5">
      <w:pPr>
        <w:rPr>
          <w:szCs w:val="20"/>
        </w:rPr>
      </w:pPr>
      <w:r w:rsidRPr="00992199">
        <w:rPr>
          <w:szCs w:val="20"/>
          <w:lang w:eastAsia="en-GB"/>
        </w:rPr>
        <w:t xml:space="preserve">Even if a product liability claim is unsuccessful, the negative publicity surrounding any assertion that the products of the </w:t>
      </w:r>
      <w:r w:rsidR="002A1AB1">
        <w:rPr>
          <w:szCs w:val="20"/>
        </w:rPr>
        <w:t xml:space="preserve">Combined Greenyard </w:t>
      </w:r>
      <w:r w:rsidR="002A1AB1">
        <w:rPr>
          <w:szCs w:val="20"/>
          <w:lang w:eastAsia="en-GB"/>
        </w:rPr>
        <w:t>Foods</w:t>
      </w:r>
      <w:r w:rsidRPr="00992199">
        <w:rPr>
          <w:szCs w:val="20"/>
          <w:lang w:eastAsia="en-GB"/>
        </w:rPr>
        <w:t xml:space="preserve"> Group caused illness or injury could adversely affect its reputation with existing and potential customers and its brand image. In addition, </w:t>
      </w:r>
      <w:r w:rsidRPr="00992199">
        <w:rPr>
          <w:szCs w:val="20"/>
        </w:rPr>
        <w:t xml:space="preserve">as a player in the food industry, the </w:t>
      </w:r>
      <w:r w:rsidR="002A1AB1">
        <w:rPr>
          <w:szCs w:val="20"/>
        </w:rPr>
        <w:t xml:space="preserve">Combined Greenyard </w:t>
      </w:r>
      <w:r w:rsidR="002A1AB1">
        <w:rPr>
          <w:szCs w:val="20"/>
          <w:lang w:eastAsia="en-GB"/>
        </w:rPr>
        <w:t>Foods</w:t>
      </w:r>
      <w:r w:rsidRPr="00992199">
        <w:rPr>
          <w:szCs w:val="20"/>
          <w:lang w:eastAsia="en-GB"/>
        </w:rPr>
        <w:t xml:space="preserve"> Group is</w:t>
      </w:r>
      <w:r w:rsidRPr="00992199">
        <w:rPr>
          <w:szCs w:val="20"/>
        </w:rPr>
        <w:t xml:space="preserve"> vulnerable for problems with food safety that may occur in the sector and that may impact the consumer purchasing behaviour and the image of the sector and the </w:t>
      </w:r>
      <w:r w:rsidR="002A1AB1">
        <w:rPr>
          <w:szCs w:val="20"/>
        </w:rPr>
        <w:t xml:space="preserve">Combined Greenyard </w:t>
      </w:r>
      <w:r w:rsidR="002A1AB1">
        <w:rPr>
          <w:szCs w:val="20"/>
          <w:lang w:eastAsia="en-GB"/>
        </w:rPr>
        <w:t>Foods</w:t>
      </w:r>
      <w:r w:rsidRPr="00992199">
        <w:rPr>
          <w:szCs w:val="20"/>
          <w:lang w:eastAsia="en-GB"/>
        </w:rPr>
        <w:t xml:space="preserve"> Group</w:t>
      </w:r>
      <w:r w:rsidRPr="00992199">
        <w:rPr>
          <w:szCs w:val="20"/>
        </w:rPr>
        <w:t>.</w:t>
      </w:r>
    </w:p>
    <w:p w:rsidR="003F0BC5" w:rsidRPr="00992199" w:rsidRDefault="003F0BC5" w:rsidP="003F0BC5">
      <w:pPr>
        <w:rPr>
          <w:szCs w:val="20"/>
        </w:rPr>
      </w:pPr>
      <w:r w:rsidRPr="00992199">
        <w:rPr>
          <w:szCs w:val="20"/>
          <w:lang w:eastAsia="en-GB"/>
        </w:rPr>
        <w:t xml:space="preserve">The </w:t>
      </w:r>
      <w:r w:rsidR="002A1AB1">
        <w:rPr>
          <w:szCs w:val="20"/>
        </w:rPr>
        <w:t xml:space="preserve">Combined Greenyard </w:t>
      </w:r>
      <w:r w:rsidR="002A1AB1">
        <w:rPr>
          <w:szCs w:val="20"/>
          <w:lang w:eastAsia="en-GB"/>
        </w:rPr>
        <w:t>Foods</w:t>
      </w:r>
      <w:r w:rsidRPr="00992199">
        <w:rPr>
          <w:szCs w:val="20"/>
          <w:lang w:eastAsia="en-GB"/>
        </w:rPr>
        <w:t xml:space="preserve"> Group is </w:t>
      </w:r>
      <w:r w:rsidRPr="00992199">
        <w:rPr>
          <w:szCs w:val="20"/>
        </w:rPr>
        <w:t xml:space="preserve">covered by a product liability insurance which includes product recalls. However, </w:t>
      </w:r>
      <w:r w:rsidRPr="00992199">
        <w:rPr>
          <w:szCs w:val="20"/>
          <w:lang w:eastAsia="en-GB"/>
        </w:rPr>
        <w:t xml:space="preserve">claims or liabilities might not be covered by the insurance of the </w:t>
      </w:r>
      <w:r w:rsidR="002A1AB1">
        <w:rPr>
          <w:szCs w:val="20"/>
        </w:rPr>
        <w:t xml:space="preserve">Combined Greenyard </w:t>
      </w:r>
      <w:r w:rsidR="002A1AB1">
        <w:rPr>
          <w:szCs w:val="20"/>
          <w:lang w:eastAsia="en-GB"/>
        </w:rPr>
        <w:t>Foods</w:t>
      </w:r>
      <w:r w:rsidRPr="00992199">
        <w:rPr>
          <w:szCs w:val="20"/>
          <w:lang w:eastAsia="en-GB"/>
        </w:rPr>
        <w:t xml:space="preserve"> Group or by any rights of indemnity or contribution that the </w:t>
      </w:r>
      <w:r w:rsidR="002A1AB1">
        <w:rPr>
          <w:szCs w:val="20"/>
        </w:rPr>
        <w:t xml:space="preserve">Combined Greenyard </w:t>
      </w:r>
      <w:r w:rsidR="002A1AB1">
        <w:rPr>
          <w:szCs w:val="20"/>
          <w:lang w:eastAsia="en-GB"/>
        </w:rPr>
        <w:t>Foods</w:t>
      </w:r>
      <w:r w:rsidRPr="00992199">
        <w:rPr>
          <w:szCs w:val="20"/>
          <w:lang w:eastAsia="en-GB"/>
        </w:rPr>
        <w:t xml:space="preserve"> Group may have against others. There can be no assurance that the </w:t>
      </w:r>
      <w:r w:rsidR="002A1AB1">
        <w:rPr>
          <w:szCs w:val="20"/>
        </w:rPr>
        <w:t xml:space="preserve">Combined Greenyard </w:t>
      </w:r>
      <w:r w:rsidR="002A1AB1">
        <w:rPr>
          <w:szCs w:val="20"/>
          <w:lang w:eastAsia="en-GB"/>
        </w:rPr>
        <w:t>Foods</w:t>
      </w:r>
      <w:r w:rsidRPr="00992199">
        <w:rPr>
          <w:szCs w:val="20"/>
          <w:lang w:eastAsia="en-GB"/>
        </w:rPr>
        <w:t xml:space="preserve"> Group will not incur claims or liabilities for which it is not insured or that exceed the amount of its insurance coverage, resulting in significant cash outlays that could materially and adversely affect the business, financial condition and results of operations of the </w:t>
      </w:r>
      <w:r w:rsidR="002A1AB1">
        <w:rPr>
          <w:szCs w:val="20"/>
        </w:rPr>
        <w:t xml:space="preserve">Combined Greenyard </w:t>
      </w:r>
      <w:r w:rsidR="002A1AB1">
        <w:rPr>
          <w:szCs w:val="20"/>
          <w:lang w:eastAsia="en-GB"/>
        </w:rPr>
        <w:t>Foods</w:t>
      </w:r>
      <w:r w:rsidRPr="00992199">
        <w:rPr>
          <w:szCs w:val="20"/>
          <w:lang w:eastAsia="en-GB"/>
        </w:rPr>
        <w:t xml:space="preserve"> Group.</w:t>
      </w:r>
    </w:p>
    <w:p w:rsidR="003F0BC5" w:rsidRPr="00992199" w:rsidRDefault="003F0BC5" w:rsidP="00C14169">
      <w:pPr>
        <w:keepNext/>
        <w:rPr>
          <w:b/>
          <w:i/>
          <w:szCs w:val="20"/>
        </w:rPr>
      </w:pPr>
      <w:r w:rsidRPr="00992199">
        <w:rPr>
          <w:b/>
          <w:i/>
          <w:szCs w:val="20"/>
        </w:rPr>
        <w:lastRenderedPageBreak/>
        <w:t xml:space="preserve">The loss of one or more of the largest customers, or a reduction in the level of purchases made or the prices paid by these customers, could materially and adversely affect the business, financial condition and results of operations of the </w:t>
      </w:r>
      <w:r w:rsidR="002A1AB1" w:rsidRPr="00E13084">
        <w:rPr>
          <w:b/>
          <w:i/>
          <w:szCs w:val="20"/>
        </w:rPr>
        <w:t xml:space="preserve">Combined Greenyard </w:t>
      </w:r>
      <w:r w:rsidR="002A1AB1">
        <w:rPr>
          <w:b/>
          <w:i/>
          <w:szCs w:val="20"/>
        </w:rPr>
        <w:t>Foods</w:t>
      </w:r>
      <w:r w:rsidRPr="00992199">
        <w:rPr>
          <w:b/>
          <w:i/>
          <w:szCs w:val="20"/>
        </w:rPr>
        <w:t xml:space="preserve"> Group.</w:t>
      </w:r>
    </w:p>
    <w:p w:rsidR="003F0BC5" w:rsidRPr="00992199" w:rsidRDefault="003F0BC5" w:rsidP="003F0BC5">
      <w:pPr>
        <w:rPr>
          <w:szCs w:val="20"/>
        </w:rPr>
      </w:pPr>
      <w:r w:rsidRPr="00992199">
        <w:rPr>
          <w:szCs w:val="20"/>
          <w:lang w:eastAsia="en-GB"/>
        </w:rPr>
        <w:t xml:space="preserve">The </w:t>
      </w:r>
      <w:r w:rsidR="001F6ABD">
        <w:rPr>
          <w:szCs w:val="20"/>
        </w:rPr>
        <w:t xml:space="preserve">Combined Greenyard </w:t>
      </w:r>
      <w:r w:rsidR="002A1AB1">
        <w:rPr>
          <w:szCs w:val="20"/>
          <w:lang w:eastAsia="en-GB"/>
        </w:rPr>
        <w:t>Foods</w:t>
      </w:r>
      <w:r w:rsidRPr="00992199">
        <w:rPr>
          <w:szCs w:val="20"/>
          <w:lang w:eastAsia="en-GB"/>
        </w:rPr>
        <w:t xml:space="preserve"> Group believes its customers make purchase decisions based on, among other things, price, product quality, consumer demand, customer </w:t>
      </w:r>
      <w:r w:rsidRPr="00992199">
        <w:rPr>
          <w:szCs w:val="20"/>
        </w:rPr>
        <w:t>service</w:t>
      </w:r>
      <w:r w:rsidRPr="00992199">
        <w:rPr>
          <w:szCs w:val="20"/>
          <w:lang w:eastAsia="en-GB"/>
        </w:rPr>
        <w:t xml:space="preserve"> performance and desired inventory levels. Changes in the strategies or purchasing patterns of the </w:t>
      </w:r>
      <w:r w:rsidR="001F6ABD">
        <w:rPr>
          <w:szCs w:val="20"/>
        </w:rPr>
        <w:t xml:space="preserve">Combined Greenyard </w:t>
      </w:r>
      <w:r w:rsidR="002A1AB1">
        <w:rPr>
          <w:szCs w:val="20"/>
          <w:lang w:eastAsia="en-GB"/>
        </w:rPr>
        <w:t>Foods</w:t>
      </w:r>
      <w:r w:rsidRPr="00992199">
        <w:rPr>
          <w:szCs w:val="20"/>
          <w:lang w:eastAsia="en-GB"/>
        </w:rPr>
        <w:t xml:space="preserve"> Group’s customers may adversely affect the </w:t>
      </w:r>
      <w:r w:rsidR="001F6ABD">
        <w:rPr>
          <w:szCs w:val="20"/>
        </w:rPr>
        <w:t xml:space="preserve">Combined Greenyard </w:t>
      </w:r>
      <w:r w:rsidR="002A1AB1">
        <w:rPr>
          <w:szCs w:val="20"/>
          <w:lang w:eastAsia="en-GB"/>
        </w:rPr>
        <w:t>Foods</w:t>
      </w:r>
      <w:r w:rsidRPr="00992199">
        <w:rPr>
          <w:szCs w:val="20"/>
          <w:lang w:eastAsia="en-GB"/>
        </w:rPr>
        <w:t xml:space="preserve"> Group’s sales as the </w:t>
      </w:r>
      <w:r w:rsidR="001F6ABD">
        <w:rPr>
          <w:szCs w:val="20"/>
        </w:rPr>
        <w:t xml:space="preserve">Combined Greenyard </w:t>
      </w:r>
      <w:r w:rsidR="002A1AB1">
        <w:rPr>
          <w:szCs w:val="20"/>
          <w:lang w:eastAsia="en-GB"/>
        </w:rPr>
        <w:t>Foods</w:t>
      </w:r>
      <w:r w:rsidRPr="00992199">
        <w:rPr>
          <w:szCs w:val="20"/>
          <w:lang w:eastAsia="en-GB"/>
        </w:rPr>
        <w:t xml:space="preserve"> Group</w:t>
      </w:r>
      <w:r w:rsidRPr="00992199" w:rsidDel="008C3B71">
        <w:rPr>
          <w:szCs w:val="20"/>
          <w:lang w:eastAsia="en-GB"/>
        </w:rPr>
        <w:t xml:space="preserve"> </w:t>
      </w:r>
      <w:r w:rsidRPr="00992199">
        <w:rPr>
          <w:szCs w:val="20"/>
          <w:lang w:eastAsia="en-GB"/>
        </w:rPr>
        <w:t xml:space="preserve">may not be in a position to sell the surplus produce or otherwise hedge its position since it can have longer-term obligations towards the growers from whom it sources the produce. Such changes in strategies or purchasing patterns are made easier by the fact that the </w:t>
      </w:r>
      <w:r w:rsidR="001F6ABD">
        <w:rPr>
          <w:szCs w:val="20"/>
        </w:rPr>
        <w:t xml:space="preserve">Combined Greenyard </w:t>
      </w:r>
      <w:r w:rsidR="002A1AB1">
        <w:rPr>
          <w:szCs w:val="20"/>
          <w:lang w:eastAsia="en-GB"/>
        </w:rPr>
        <w:t>Foods</w:t>
      </w:r>
      <w:r w:rsidR="00DB252F" w:rsidRPr="00992199">
        <w:rPr>
          <w:szCs w:val="20"/>
          <w:lang w:eastAsia="en-GB"/>
        </w:rPr>
        <w:t xml:space="preserve"> </w:t>
      </w:r>
      <w:r w:rsidRPr="00992199">
        <w:rPr>
          <w:szCs w:val="20"/>
          <w:lang w:eastAsia="en-GB"/>
        </w:rPr>
        <w:t>Group</w:t>
      </w:r>
      <w:r w:rsidRPr="00992199" w:rsidDel="008C3B71">
        <w:rPr>
          <w:szCs w:val="20"/>
          <w:lang w:eastAsia="en-GB"/>
        </w:rPr>
        <w:t xml:space="preserve"> </w:t>
      </w:r>
      <w:r w:rsidRPr="00992199">
        <w:rPr>
          <w:szCs w:val="20"/>
          <w:lang w:eastAsia="en-GB"/>
        </w:rPr>
        <w:t xml:space="preserve">and </w:t>
      </w:r>
      <w:r w:rsidR="00DB252F">
        <w:rPr>
          <w:szCs w:val="20"/>
          <w:lang w:eastAsia="en-GB"/>
        </w:rPr>
        <w:t>most</w:t>
      </w:r>
      <w:r w:rsidR="00DB252F" w:rsidRPr="00992199">
        <w:rPr>
          <w:szCs w:val="20"/>
          <w:lang w:eastAsia="en-GB"/>
        </w:rPr>
        <w:t xml:space="preserve"> </w:t>
      </w:r>
      <w:r w:rsidRPr="00992199">
        <w:rPr>
          <w:szCs w:val="20"/>
          <w:lang w:eastAsia="en-GB"/>
        </w:rPr>
        <w:t xml:space="preserve">of its largest customers do not operate on the basis of formal contractual arrangements, which allows these customers to terminate their relationship with the </w:t>
      </w:r>
      <w:r w:rsidR="008D4FB5">
        <w:rPr>
          <w:szCs w:val="20"/>
          <w:lang w:eastAsia="en-GB"/>
        </w:rPr>
        <w:t>Combined Greenyard Foods</w:t>
      </w:r>
      <w:r w:rsidRPr="00992199">
        <w:rPr>
          <w:szCs w:val="20"/>
          <w:lang w:eastAsia="en-GB"/>
        </w:rPr>
        <w:t xml:space="preserve"> Group</w:t>
      </w:r>
      <w:r w:rsidRPr="00992199" w:rsidDel="008C3B71">
        <w:rPr>
          <w:szCs w:val="20"/>
          <w:lang w:eastAsia="en-GB"/>
        </w:rPr>
        <w:t xml:space="preserve"> </w:t>
      </w:r>
      <w:r w:rsidRPr="00992199">
        <w:rPr>
          <w:szCs w:val="20"/>
          <w:lang w:eastAsia="en-GB"/>
        </w:rPr>
        <w:t xml:space="preserve">or a then-current supply order at will. </w:t>
      </w:r>
      <w:r w:rsidR="00DB252F">
        <w:rPr>
          <w:szCs w:val="20"/>
          <w:lang w:eastAsia="en-GB"/>
        </w:rPr>
        <w:t>Changes in purchasing patterns and strategies, or</w:t>
      </w:r>
      <w:r w:rsidR="00DB252F" w:rsidRPr="00DB252F">
        <w:rPr>
          <w:szCs w:val="20"/>
          <w:lang w:eastAsia="en-GB"/>
        </w:rPr>
        <w:t xml:space="preserve"> </w:t>
      </w:r>
      <w:r w:rsidR="00DB252F">
        <w:rPr>
          <w:szCs w:val="20"/>
          <w:lang w:eastAsia="en-GB"/>
        </w:rPr>
        <w:t>t</w:t>
      </w:r>
      <w:r w:rsidRPr="00992199">
        <w:rPr>
          <w:szCs w:val="20"/>
          <w:lang w:eastAsia="en-GB"/>
        </w:rPr>
        <w:t xml:space="preserve">he loss of one or more of the </w:t>
      </w:r>
      <w:r w:rsidR="001F6ABD">
        <w:rPr>
          <w:szCs w:val="20"/>
        </w:rPr>
        <w:t xml:space="preserve">Combined Greenyard </w:t>
      </w:r>
      <w:r w:rsidR="002A1AB1">
        <w:rPr>
          <w:szCs w:val="20"/>
          <w:lang w:eastAsia="en-GB"/>
        </w:rPr>
        <w:t>Foods</w:t>
      </w:r>
      <w:r w:rsidRPr="00992199">
        <w:rPr>
          <w:szCs w:val="20"/>
          <w:lang w:eastAsia="en-GB"/>
        </w:rPr>
        <w:t xml:space="preserve"> Group’s</w:t>
      </w:r>
      <w:r w:rsidRPr="00992199" w:rsidDel="008C3B71">
        <w:rPr>
          <w:szCs w:val="20"/>
          <w:lang w:eastAsia="en-GB"/>
        </w:rPr>
        <w:t xml:space="preserve"> </w:t>
      </w:r>
      <w:r w:rsidRPr="00992199">
        <w:rPr>
          <w:szCs w:val="20"/>
          <w:lang w:eastAsia="en-GB"/>
        </w:rPr>
        <w:t xml:space="preserve">largest customers or a significant portion of its business could materially and adversely affect the </w:t>
      </w:r>
      <w:r w:rsidR="001F6ABD">
        <w:rPr>
          <w:szCs w:val="20"/>
        </w:rPr>
        <w:t xml:space="preserve">Combined Greenyard </w:t>
      </w:r>
      <w:r w:rsidR="002A1AB1">
        <w:rPr>
          <w:szCs w:val="20"/>
          <w:lang w:eastAsia="en-GB"/>
        </w:rPr>
        <w:t>Foods</w:t>
      </w:r>
      <w:r w:rsidRPr="00992199">
        <w:rPr>
          <w:szCs w:val="20"/>
          <w:lang w:eastAsia="en-GB"/>
        </w:rPr>
        <w:t xml:space="preserve"> Group’s</w:t>
      </w:r>
      <w:r w:rsidRPr="00992199" w:rsidDel="008C3B71">
        <w:rPr>
          <w:szCs w:val="20"/>
          <w:lang w:eastAsia="en-GB"/>
        </w:rPr>
        <w:t xml:space="preserve"> </w:t>
      </w:r>
      <w:r w:rsidRPr="00992199">
        <w:rPr>
          <w:szCs w:val="20"/>
          <w:lang w:eastAsia="en-GB"/>
        </w:rPr>
        <w:t>business, financial condition and results of operations.</w:t>
      </w:r>
    </w:p>
    <w:p w:rsidR="003F0BC5" w:rsidRPr="00992199" w:rsidRDefault="003F0BC5" w:rsidP="003F0BC5">
      <w:pPr>
        <w:rPr>
          <w:szCs w:val="20"/>
        </w:rPr>
      </w:pPr>
      <w:r w:rsidRPr="00992199">
        <w:rPr>
          <w:szCs w:val="20"/>
          <w:lang w:eastAsia="en-GB"/>
        </w:rPr>
        <w:t xml:space="preserve">Furthermore, the </w:t>
      </w:r>
      <w:r w:rsidR="001F6ABD">
        <w:rPr>
          <w:szCs w:val="20"/>
        </w:rPr>
        <w:t xml:space="preserve">Combined Greenyard </w:t>
      </w:r>
      <w:r w:rsidR="002A1AB1">
        <w:rPr>
          <w:szCs w:val="20"/>
          <w:lang w:eastAsia="en-GB"/>
        </w:rPr>
        <w:t>Foods</w:t>
      </w:r>
      <w:r w:rsidRPr="00992199">
        <w:rPr>
          <w:szCs w:val="20"/>
          <w:lang w:eastAsia="en-GB"/>
        </w:rPr>
        <w:t xml:space="preserve"> Group’s</w:t>
      </w:r>
      <w:r w:rsidRPr="00992199" w:rsidDel="008C3B71">
        <w:rPr>
          <w:szCs w:val="20"/>
          <w:lang w:eastAsia="en-GB"/>
        </w:rPr>
        <w:t xml:space="preserve"> </w:t>
      </w:r>
      <w:r w:rsidRPr="00992199">
        <w:rPr>
          <w:szCs w:val="20"/>
          <w:lang w:eastAsia="en-GB"/>
        </w:rPr>
        <w:t xml:space="preserve">customers may face financial or other difficulties, including bankruptcy or other business disruption, which may impact their operations and cause them to reduce their level of purchases or the prices they are willing to pay for the </w:t>
      </w:r>
      <w:r w:rsidR="001F6ABD">
        <w:rPr>
          <w:szCs w:val="20"/>
        </w:rPr>
        <w:t xml:space="preserve">Combined Greenyard </w:t>
      </w:r>
      <w:r w:rsidR="002A1AB1">
        <w:rPr>
          <w:szCs w:val="20"/>
          <w:lang w:eastAsia="en-GB"/>
        </w:rPr>
        <w:t>Foods</w:t>
      </w:r>
      <w:r w:rsidRPr="00992199">
        <w:rPr>
          <w:szCs w:val="20"/>
          <w:lang w:eastAsia="en-GB"/>
        </w:rPr>
        <w:t xml:space="preserve"> Group’s products, which could materially and adversely affect its business, financial condition and results of operations.</w:t>
      </w:r>
    </w:p>
    <w:p w:rsidR="003F0BC5" w:rsidRPr="00992199" w:rsidRDefault="003F0BC5" w:rsidP="003F0BC5">
      <w:pPr>
        <w:rPr>
          <w:szCs w:val="20"/>
        </w:rPr>
      </w:pPr>
      <w:r w:rsidRPr="00992199">
        <w:rPr>
          <w:szCs w:val="20"/>
          <w:lang w:eastAsia="en-GB"/>
        </w:rPr>
        <w:t xml:space="preserve">Customers may also reduce their purchases in response to any price increase implemented by the </w:t>
      </w:r>
      <w:r w:rsidR="001F6ABD">
        <w:rPr>
          <w:szCs w:val="20"/>
        </w:rPr>
        <w:t xml:space="preserve">Combined Greenyard </w:t>
      </w:r>
      <w:r w:rsidR="002A1AB1">
        <w:rPr>
          <w:szCs w:val="20"/>
          <w:lang w:eastAsia="en-GB"/>
        </w:rPr>
        <w:t>Foods</w:t>
      </w:r>
      <w:r w:rsidRPr="00992199">
        <w:rPr>
          <w:szCs w:val="20"/>
          <w:lang w:eastAsia="en-GB"/>
        </w:rPr>
        <w:t xml:space="preserve"> Group, or as a result of a decision to switch to another supplier or begin sourcing (or to source a greater amount of) fresh produce directly from growers, resulting in lower sales of the </w:t>
      </w:r>
      <w:r w:rsidR="001F6ABD">
        <w:rPr>
          <w:szCs w:val="20"/>
        </w:rPr>
        <w:t xml:space="preserve">Combined Greenyard </w:t>
      </w:r>
      <w:r w:rsidR="002A1AB1">
        <w:rPr>
          <w:szCs w:val="20"/>
          <w:lang w:eastAsia="en-GB"/>
        </w:rPr>
        <w:t>Foods</w:t>
      </w:r>
      <w:r w:rsidRPr="00992199">
        <w:rPr>
          <w:szCs w:val="20"/>
          <w:lang w:eastAsia="en-GB"/>
        </w:rPr>
        <w:t xml:space="preserve"> Group’s products.</w:t>
      </w:r>
    </w:p>
    <w:p w:rsidR="003F0BC5" w:rsidRPr="00992199" w:rsidRDefault="003F0BC5" w:rsidP="003F0BC5">
      <w:pPr>
        <w:rPr>
          <w:szCs w:val="20"/>
        </w:rPr>
      </w:pPr>
      <w:r w:rsidRPr="00992199">
        <w:rPr>
          <w:szCs w:val="20"/>
          <w:lang w:eastAsia="en-GB"/>
        </w:rPr>
        <w:t xml:space="preserve">In addition, there is a risk that customers may reduce their purchases in response to changing trends in the industry. If such measures are adopted by its customers, this could result in lower sales of the </w:t>
      </w:r>
      <w:r w:rsidR="002A1AB1">
        <w:rPr>
          <w:szCs w:val="20"/>
          <w:lang w:eastAsia="en-GB"/>
        </w:rPr>
        <w:t>Greenyard Foods</w:t>
      </w:r>
      <w:r w:rsidRPr="00992199">
        <w:rPr>
          <w:szCs w:val="20"/>
          <w:lang w:eastAsia="en-GB"/>
        </w:rPr>
        <w:t xml:space="preserve"> Group’s products. If sales of the </w:t>
      </w:r>
      <w:r w:rsidR="001F6ABD">
        <w:rPr>
          <w:szCs w:val="20"/>
        </w:rPr>
        <w:t xml:space="preserve">Combined Greenyard </w:t>
      </w:r>
      <w:r w:rsidR="002A1AB1">
        <w:rPr>
          <w:szCs w:val="20"/>
          <w:lang w:eastAsia="en-GB"/>
        </w:rPr>
        <w:t>Foods</w:t>
      </w:r>
      <w:r w:rsidRPr="00992199">
        <w:rPr>
          <w:szCs w:val="20"/>
          <w:lang w:eastAsia="en-GB"/>
        </w:rPr>
        <w:t xml:space="preserve"> Group’s products to one or more of its largest customers decrease, this may have a material adverse effect on the </w:t>
      </w:r>
      <w:r w:rsidR="001F6ABD">
        <w:rPr>
          <w:szCs w:val="20"/>
        </w:rPr>
        <w:t xml:space="preserve">Combined Greenyard </w:t>
      </w:r>
      <w:r w:rsidR="002A1AB1">
        <w:rPr>
          <w:szCs w:val="20"/>
          <w:lang w:eastAsia="en-GB"/>
        </w:rPr>
        <w:t>Foods</w:t>
      </w:r>
      <w:r w:rsidRPr="00992199">
        <w:rPr>
          <w:szCs w:val="20"/>
          <w:lang w:eastAsia="en-GB"/>
        </w:rPr>
        <w:t xml:space="preserve"> Group’s business, financial condition, and results of operations.</w:t>
      </w:r>
    </w:p>
    <w:p w:rsidR="003F0BC5" w:rsidRPr="00992199" w:rsidRDefault="003F0BC5" w:rsidP="003F0BC5">
      <w:pPr>
        <w:rPr>
          <w:szCs w:val="20"/>
        </w:rPr>
      </w:pPr>
      <w:r w:rsidRPr="00992199">
        <w:rPr>
          <w:szCs w:val="20"/>
          <w:lang w:eastAsia="en-GB"/>
        </w:rPr>
        <w:t xml:space="preserve">The fact that the </w:t>
      </w:r>
      <w:r w:rsidR="001F6ABD">
        <w:rPr>
          <w:szCs w:val="20"/>
        </w:rPr>
        <w:t xml:space="preserve">Combined Greenyard </w:t>
      </w:r>
      <w:r w:rsidR="002A1AB1">
        <w:rPr>
          <w:szCs w:val="20"/>
          <w:lang w:eastAsia="en-GB"/>
        </w:rPr>
        <w:t>Foods</w:t>
      </w:r>
      <w:r w:rsidRPr="00992199">
        <w:rPr>
          <w:szCs w:val="20"/>
          <w:lang w:eastAsia="en-GB"/>
        </w:rPr>
        <w:t xml:space="preserve"> Group derives a substantial percentage of its revenues and net income from a small number of customers also gives these customers a substantial amount of leverage over the </w:t>
      </w:r>
      <w:r w:rsidR="001F6ABD">
        <w:rPr>
          <w:szCs w:val="20"/>
        </w:rPr>
        <w:t xml:space="preserve">Combined Greenyard </w:t>
      </w:r>
      <w:r w:rsidR="002A1AB1">
        <w:rPr>
          <w:szCs w:val="20"/>
          <w:lang w:eastAsia="en-GB"/>
        </w:rPr>
        <w:t>Foods</w:t>
      </w:r>
      <w:r w:rsidRPr="00992199">
        <w:rPr>
          <w:szCs w:val="20"/>
          <w:lang w:eastAsia="en-GB"/>
        </w:rPr>
        <w:t xml:space="preserve"> Group, in particular in negotiating their supply arrangements with the </w:t>
      </w:r>
      <w:r w:rsidR="001F6ABD">
        <w:rPr>
          <w:szCs w:val="20"/>
        </w:rPr>
        <w:t xml:space="preserve">Combined Greenyard </w:t>
      </w:r>
      <w:r w:rsidR="002A1AB1">
        <w:rPr>
          <w:szCs w:val="20"/>
          <w:lang w:eastAsia="en-GB"/>
        </w:rPr>
        <w:t>Foods</w:t>
      </w:r>
      <w:r w:rsidRPr="00992199">
        <w:rPr>
          <w:szCs w:val="20"/>
          <w:lang w:eastAsia="en-GB"/>
        </w:rPr>
        <w:t xml:space="preserve"> Group.</w:t>
      </w:r>
      <w:r w:rsidR="008D4FB5">
        <w:rPr>
          <w:szCs w:val="20"/>
          <w:lang w:eastAsia="en-GB"/>
        </w:rPr>
        <w:t xml:space="preserve"> Especially</w:t>
      </w:r>
      <w:r w:rsidR="008D4FB5" w:rsidRPr="008D4FB5">
        <w:rPr>
          <w:szCs w:val="20"/>
          <w:lang w:eastAsia="en-GB"/>
        </w:rPr>
        <w:t xml:space="preserve"> the Univeg Group has a small number of customers which account for a large percentage of its revenues and net income. </w:t>
      </w:r>
      <w:r w:rsidRPr="00992199">
        <w:rPr>
          <w:szCs w:val="20"/>
          <w:lang w:eastAsia="en-GB"/>
        </w:rPr>
        <w:t xml:space="preserve">There can be no assurance that the </w:t>
      </w:r>
      <w:r w:rsidR="001F6ABD">
        <w:rPr>
          <w:szCs w:val="20"/>
        </w:rPr>
        <w:t xml:space="preserve">Combined Greenyard </w:t>
      </w:r>
      <w:r w:rsidR="002A1AB1">
        <w:rPr>
          <w:szCs w:val="20"/>
          <w:lang w:eastAsia="en-GB"/>
        </w:rPr>
        <w:t>Foods</w:t>
      </w:r>
      <w:r w:rsidRPr="00992199">
        <w:rPr>
          <w:szCs w:val="20"/>
          <w:lang w:eastAsia="en-GB"/>
        </w:rPr>
        <w:t xml:space="preserve"> Group’s supply arrangements with </w:t>
      </w:r>
      <w:r w:rsidR="008D4FB5">
        <w:rPr>
          <w:szCs w:val="20"/>
          <w:lang w:eastAsia="en-GB"/>
        </w:rPr>
        <w:t>its</w:t>
      </w:r>
      <w:r w:rsidRPr="00992199">
        <w:rPr>
          <w:szCs w:val="20"/>
          <w:lang w:eastAsia="en-GB"/>
        </w:rPr>
        <w:t xml:space="preserve"> customers will not include onerous terms which could materially and adversely affect the </w:t>
      </w:r>
      <w:r w:rsidR="001F6ABD">
        <w:rPr>
          <w:szCs w:val="20"/>
        </w:rPr>
        <w:t xml:space="preserve">Combined Greenyard </w:t>
      </w:r>
      <w:r w:rsidR="002A1AB1">
        <w:rPr>
          <w:szCs w:val="20"/>
          <w:lang w:eastAsia="en-GB"/>
        </w:rPr>
        <w:t>Foods</w:t>
      </w:r>
      <w:r w:rsidRPr="00992199">
        <w:rPr>
          <w:szCs w:val="20"/>
          <w:lang w:eastAsia="en-GB"/>
        </w:rPr>
        <w:t xml:space="preserve"> Group’s business, cash flows or results of operations.</w:t>
      </w:r>
    </w:p>
    <w:p w:rsidR="003F0BC5" w:rsidRPr="00992199" w:rsidRDefault="003F0BC5" w:rsidP="00C14169">
      <w:pPr>
        <w:keepNext/>
        <w:rPr>
          <w:b/>
          <w:i/>
          <w:szCs w:val="20"/>
        </w:rPr>
      </w:pPr>
      <w:r w:rsidRPr="00992199">
        <w:rPr>
          <w:b/>
          <w:i/>
          <w:szCs w:val="20"/>
        </w:rPr>
        <w:t>Consumer trends and preferences may fluctuate and reduce the demand for the produc</w:t>
      </w:r>
      <w:r w:rsidR="00584210">
        <w:rPr>
          <w:b/>
          <w:i/>
          <w:szCs w:val="20"/>
        </w:rPr>
        <w:t>ts</w:t>
      </w:r>
      <w:r w:rsidRPr="00992199">
        <w:rPr>
          <w:b/>
          <w:i/>
          <w:szCs w:val="20"/>
        </w:rPr>
        <w:t xml:space="preserve"> of the </w:t>
      </w:r>
      <w:r w:rsidR="001F6ABD" w:rsidRPr="00E13084">
        <w:rPr>
          <w:b/>
          <w:i/>
          <w:szCs w:val="20"/>
        </w:rPr>
        <w:t xml:space="preserve">Combined Greenyard </w:t>
      </w:r>
      <w:r w:rsidR="002A1AB1">
        <w:rPr>
          <w:b/>
          <w:i/>
          <w:szCs w:val="20"/>
        </w:rPr>
        <w:t>Foods</w:t>
      </w:r>
      <w:r w:rsidRPr="00992199">
        <w:rPr>
          <w:b/>
          <w:i/>
          <w:szCs w:val="20"/>
        </w:rPr>
        <w:t xml:space="preserve"> Group.</w:t>
      </w:r>
    </w:p>
    <w:p w:rsidR="003F0BC5" w:rsidRDefault="003F0BC5" w:rsidP="003F0BC5">
      <w:pPr>
        <w:rPr>
          <w:szCs w:val="20"/>
          <w:lang w:eastAsia="en-GB"/>
        </w:rPr>
      </w:pPr>
      <w:r w:rsidRPr="00992199">
        <w:rPr>
          <w:szCs w:val="20"/>
          <w:lang w:eastAsia="en-GB"/>
        </w:rPr>
        <w:t xml:space="preserve">The success of the </w:t>
      </w:r>
      <w:r w:rsidR="001F6ABD">
        <w:rPr>
          <w:szCs w:val="20"/>
        </w:rPr>
        <w:t xml:space="preserve">Combined Greenyard </w:t>
      </w:r>
      <w:r w:rsidR="002A1AB1">
        <w:rPr>
          <w:szCs w:val="20"/>
          <w:lang w:eastAsia="en-GB"/>
        </w:rPr>
        <w:t>Foods</w:t>
      </w:r>
      <w:r w:rsidRPr="00992199">
        <w:rPr>
          <w:szCs w:val="20"/>
          <w:lang w:eastAsia="en-GB"/>
        </w:rPr>
        <w:t xml:space="preserve"> Group</w:t>
      </w:r>
      <w:r w:rsidRPr="00992199" w:rsidDel="000005C8">
        <w:rPr>
          <w:szCs w:val="20"/>
          <w:lang w:eastAsia="en-GB"/>
        </w:rPr>
        <w:t xml:space="preserve"> </w:t>
      </w:r>
      <w:r w:rsidRPr="00992199">
        <w:rPr>
          <w:szCs w:val="20"/>
          <w:lang w:eastAsia="en-GB"/>
        </w:rPr>
        <w:t xml:space="preserve">depends in part on its ability to anticipate the tastes, dietary, planting, gardening and harvesting habits of consumers and to offer products that appeal to their preferences. Changes in consumer preferences combined with the </w:t>
      </w:r>
      <w:r w:rsidR="001F6ABD">
        <w:rPr>
          <w:szCs w:val="20"/>
        </w:rPr>
        <w:t xml:space="preserve">Combined Greenyard </w:t>
      </w:r>
      <w:r w:rsidR="002A1AB1">
        <w:rPr>
          <w:szCs w:val="20"/>
          <w:lang w:eastAsia="en-GB"/>
        </w:rPr>
        <w:t>Foods</w:t>
      </w:r>
      <w:r w:rsidR="00584210">
        <w:rPr>
          <w:szCs w:val="20"/>
          <w:lang w:eastAsia="en-GB"/>
        </w:rPr>
        <w:t xml:space="preserve"> Group</w:t>
      </w:r>
      <w:r w:rsidRPr="00992199">
        <w:rPr>
          <w:szCs w:val="20"/>
          <w:lang w:eastAsia="en-GB"/>
        </w:rPr>
        <w:t>’</w:t>
      </w:r>
      <w:r w:rsidR="00584210">
        <w:rPr>
          <w:szCs w:val="20"/>
          <w:lang w:eastAsia="en-GB"/>
        </w:rPr>
        <w:t>s</w:t>
      </w:r>
      <w:r w:rsidRPr="00992199" w:rsidDel="000005C8">
        <w:rPr>
          <w:szCs w:val="20"/>
          <w:lang w:eastAsia="en-GB"/>
        </w:rPr>
        <w:t xml:space="preserve"> </w:t>
      </w:r>
      <w:r w:rsidRPr="00992199">
        <w:rPr>
          <w:szCs w:val="20"/>
          <w:lang w:eastAsia="en-GB"/>
        </w:rPr>
        <w:t>failure to anticipate, identify or react to these changes could result in reduced demand for the products</w:t>
      </w:r>
      <w:r w:rsidRPr="00992199">
        <w:rPr>
          <w:szCs w:val="20"/>
        </w:rPr>
        <w:t xml:space="preserve"> </w:t>
      </w:r>
      <w:r w:rsidRPr="00992199">
        <w:rPr>
          <w:szCs w:val="20"/>
          <w:lang w:eastAsia="en-GB"/>
        </w:rPr>
        <w:t xml:space="preserve">of the </w:t>
      </w:r>
      <w:r w:rsidR="001F6ABD">
        <w:rPr>
          <w:szCs w:val="20"/>
        </w:rPr>
        <w:t xml:space="preserve">Combined Greenyard </w:t>
      </w:r>
      <w:r w:rsidR="002A1AB1">
        <w:rPr>
          <w:szCs w:val="20"/>
          <w:lang w:eastAsia="en-GB"/>
        </w:rPr>
        <w:t>Foods</w:t>
      </w:r>
      <w:r w:rsidRPr="00992199">
        <w:rPr>
          <w:szCs w:val="20"/>
          <w:lang w:eastAsia="en-GB"/>
        </w:rPr>
        <w:t xml:space="preserve"> Group, which could in turn adversely affect the financial condition, results of operations and cash flows</w:t>
      </w:r>
      <w:r w:rsidRPr="00992199">
        <w:rPr>
          <w:szCs w:val="20"/>
        </w:rPr>
        <w:t xml:space="preserve"> </w:t>
      </w:r>
      <w:r w:rsidRPr="00992199">
        <w:rPr>
          <w:szCs w:val="20"/>
          <w:lang w:eastAsia="en-GB"/>
        </w:rPr>
        <w:t xml:space="preserve">of the </w:t>
      </w:r>
      <w:r w:rsidR="001F6ABD">
        <w:rPr>
          <w:szCs w:val="20"/>
        </w:rPr>
        <w:t xml:space="preserve">Combined Greenyard </w:t>
      </w:r>
      <w:r w:rsidR="002A1AB1">
        <w:rPr>
          <w:szCs w:val="20"/>
          <w:lang w:eastAsia="en-GB"/>
        </w:rPr>
        <w:t>Foods</w:t>
      </w:r>
      <w:r w:rsidRPr="00992199">
        <w:rPr>
          <w:szCs w:val="20"/>
          <w:lang w:eastAsia="en-GB"/>
        </w:rPr>
        <w:t xml:space="preserve"> Group. In addition, the success of the </w:t>
      </w:r>
      <w:r w:rsidR="001F6ABD">
        <w:rPr>
          <w:szCs w:val="20"/>
        </w:rPr>
        <w:t xml:space="preserve">Combined Greenyard </w:t>
      </w:r>
      <w:r w:rsidR="002A1AB1">
        <w:rPr>
          <w:szCs w:val="20"/>
          <w:lang w:eastAsia="en-GB"/>
        </w:rPr>
        <w:t>Foods</w:t>
      </w:r>
      <w:r w:rsidRPr="00992199">
        <w:rPr>
          <w:szCs w:val="20"/>
          <w:lang w:eastAsia="en-GB"/>
        </w:rPr>
        <w:t xml:space="preserve"> Group</w:t>
      </w:r>
      <w:r w:rsidRPr="00992199" w:rsidDel="000005C8">
        <w:rPr>
          <w:szCs w:val="20"/>
          <w:lang w:eastAsia="en-GB"/>
        </w:rPr>
        <w:t xml:space="preserve"> </w:t>
      </w:r>
      <w:r w:rsidRPr="00992199">
        <w:rPr>
          <w:szCs w:val="20"/>
          <w:lang w:eastAsia="en-GB"/>
        </w:rPr>
        <w:t>depends in part on its ability to enhance its product portfolio by adding new products in fast growing, profitable categories as well as increasing market share in its existing product categories. Anticipating consumer trends and preferences requires research and development as well as marketing initiatives. If</w:t>
      </w:r>
      <w:r w:rsidRPr="00992199">
        <w:rPr>
          <w:szCs w:val="20"/>
        </w:rPr>
        <w:t xml:space="preserve"> the </w:t>
      </w:r>
      <w:r w:rsidRPr="00992199">
        <w:rPr>
          <w:szCs w:val="20"/>
          <w:lang w:eastAsia="en-GB"/>
        </w:rPr>
        <w:t xml:space="preserve">new products </w:t>
      </w:r>
      <w:r w:rsidRPr="00992199">
        <w:rPr>
          <w:szCs w:val="20"/>
        </w:rPr>
        <w:t xml:space="preserve">of the </w:t>
      </w:r>
      <w:r w:rsidR="001F6ABD">
        <w:rPr>
          <w:szCs w:val="20"/>
        </w:rPr>
        <w:t xml:space="preserve">Combined Greenyard </w:t>
      </w:r>
      <w:r w:rsidR="002A1AB1">
        <w:rPr>
          <w:szCs w:val="20"/>
          <w:lang w:eastAsia="en-GB"/>
        </w:rPr>
        <w:t>Foods</w:t>
      </w:r>
      <w:r w:rsidRPr="00992199">
        <w:rPr>
          <w:szCs w:val="20"/>
          <w:lang w:eastAsia="en-GB"/>
        </w:rPr>
        <w:t xml:space="preserve"> Group</w:t>
      </w:r>
      <w:r w:rsidRPr="00992199" w:rsidDel="000005C8">
        <w:rPr>
          <w:szCs w:val="20"/>
          <w:lang w:eastAsia="en-GB"/>
        </w:rPr>
        <w:t xml:space="preserve"> </w:t>
      </w:r>
      <w:r w:rsidRPr="00992199">
        <w:rPr>
          <w:szCs w:val="20"/>
          <w:lang w:eastAsia="en-GB"/>
        </w:rPr>
        <w:t xml:space="preserve">fail to meet consumers’ preferences, then the return on that investment will be less than anticipated and the strategy of the </w:t>
      </w:r>
      <w:r w:rsidR="001F6ABD">
        <w:rPr>
          <w:szCs w:val="20"/>
        </w:rPr>
        <w:t xml:space="preserve">Combined Greenyard </w:t>
      </w:r>
      <w:r w:rsidR="002A1AB1">
        <w:rPr>
          <w:szCs w:val="20"/>
          <w:lang w:eastAsia="en-GB"/>
        </w:rPr>
        <w:t>Foods</w:t>
      </w:r>
      <w:r w:rsidRPr="00992199">
        <w:rPr>
          <w:szCs w:val="20"/>
          <w:lang w:eastAsia="en-GB"/>
        </w:rPr>
        <w:t xml:space="preserve"> Group</w:t>
      </w:r>
      <w:r w:rsidRPr="00992199" w:rsidDel="000005C8">
        <w:rPr>
          <w:szCs w:val="20"/>
          <w:lang w:eastAsia="en-GB"/>
        </w:rPr>
        <w:t xml:space="preserve"> </w:t>
      </w:r>
      <w:r w:rsidRPr="00992199">
        <w:rPr>
          <w:szCs w:val="20"/>
          <w:lang w:eastAsia="en-GB"/>
        </w:rPr>
        <w:t>to grow net sales and profits may not be successful.</w:t>
      </w:r>
    </w:p>
    <w:p w:rsidR="00DB252F" w:rsidRDefault="00DB252F" w:rsidP="00C14169">
      <w:pPr>
        <w:keepNext/>
        <w:rPr>
          <w:b/>
          <w:i/>
          <w:szCs w:val="20"/>
        </w:rPr>
      </w:pPr>
      <w:r w:rsidRPr="00992199">
        <w:rPr>
          <w:b/>
          <w:i/>
          <w:szCs w:val="20"/>
        </w:rPr>
        <w:t xml:space="preserve">The </w:t>
      </w:r>
      <w:r w:rsidR="001F6ABD" w:rsidRPr="00E13084">
        <w:rPr>
          <w:b/>
          <w:i/>
          <w:szCs w:val="20"/>
        </w:rPr>
        <w:t xml:space="preserve">Combined Greenyard </w:t>
      </w:r>
      <w:r w:rsidR="002A1AB1">
        <w:rPr>
          <w:b/>
          <w:i/>
          <w:szCs w:val="20"/>
        </w:rPr>
        <w:t>Foods</w:t>
      </w:r>
      <w:r w:rsidRPr="00992199">
        <w:rPr>
          <w:b/>
          <w:i/>
          <w:szCs w:val="20"/>
        </w:rPr>
        <w:t xml:space="preserve"> Group </w:t>
      </w:r>
      <w:r>
        <w:rPr>
          <w:b/>
          <w:i/>
          <w:szCs w:val="20"/>
        </w:rPr>
        <w:t xml:space="preserve">may not be able to realise the synergies </w:t>
      </w:r>
      <w:r w:rsidR="00EA279B">
        <w:rPr>
          <w:b/>
          <w:i/>
          <w:szCs w:val="20"/>
        </w:rPr>
        <w:t xml:space="preserve">envisaged by the Transactions </w:t>
      </w:r>
      <w:r>
        <w:rPr>
          <w:b/>
          <w:i/>
          <w:szCs w:val="20"/>
        </w:rPr>
        <w:t>and certain contractual ring</w:t>
      </w:r>
      <w:r w:rsidR="008D4FB5">
        <w:rPr>
          <w:b/>
          <w:i/>
          <w:szCs w:val="20"/>
        </w:rPr>
        <w:t>-</w:t>
      </w:r>
      <w:r>
        <w:rPr>
          <w:b/>
          <w:i/>
          <w:szCs w:val="20"/>
        </w:rPr>
        <w:t>fencing impediments e</w:t>
      </w:r>
      <w:r w:rsidR="008D4FB5">
        <w:rPr>
          <w:b/>
          <w:i/>
          <w:szCs w:val="20"/>
        </w:rPr>
        <w:t>xist in its financing documents</w:t>
      </w:r>
      <w:r>
        <w:rPr>
          <w:b/>
          <w:i/>
          <w:szCs w:val="20"/>
        </w:rPr>
        <w:t xml:space="preserve"> to do so</w:t>
      </w:r>
      <w:r w:rsidRPr="00992199">
        <w:rPr>
          <w:b/>
          <w:i/>
          <w:szCs w:val="20"/>
        </w:rPr>
        <w:t>.</w:t>
      </w:r>
    </w:p>
    <w:p w:rsidR="00DB252F" w:rsidRDefault="00DB252F" w:rsidP="00DB252F">
      <w:pPr>
        <w:rPr>
          <w:szCs w:val="20"/>
          <w:lang w:eastAsia="en-GB"/>
        </w:rPr>
      </w:pPr>
      <w:r w:rsidRPr="0006304C">
        <w:rPr>
          <w:szCs w:val="20"/>
          <w:lang w:eastAsia="en-GB"/>
        </w:rPr>
        <w:t xml:space="preserve">Although </w:t>
      </w:r>
      <w:r>
        <w:rPr>
          <w:szCs w:val="20"/>
          <w:lang w:eastAsia="en-GB"/>
        </w:rPr>
        <w:t xml:space="preserve">the </w:t>
      </w:r>
      <w:r w:rsidR="002A1AB1">
        <w:rPr>
          <w:szCs w:val="20"/>
          <w:lang w:eastAsia="en-GB"/>
        </w:rPr>
        <w:t>Greenyard Foods</w:t>
      </w:r>
      <w:r>
        <w:rPr>
          <w:szCs w:val="20"/>
          <w:lang w:eastAsia="en-GB"/>
        </w:rPr>
        <w:t xml:space="preserve"> Group</w:t>
      </w:r>
      <w:r w:rsidRPr="0006304C">
        <w:rPr>
          <w:szCs w:val="20"/>
          <w:lang w:eastAsia="en-GB"/>
        </w:rPr>
        <w:t xml:space="preserve">, </w:t>
      </w:r>
      <w:r>
        <w:rPr>
          <w:szCs w:val="20"/>
          <w:lang w:eastAsia="en-GB"/>
        </w:rPr>
        <w:t xml:space="preserve">the Univeg Group </w:t>
      </w:r>
      <w:r w:rsidRPr="0006304C">
        <w:rPr>
          <w:szCs w:val="20"/>
          <w:lang w:eastAsia="en-GB"/>
        </w:rPr>
        <w:t xml:space="preserve">and </w:t>
      </w:r>
      <w:r w:rsidR="001F6ABD">
        <w:rPr>
          <w:szCs w:val="20"/>
          <w:lang w:eastAsia="en-GB"/>
        </w:rPr>
        <w:t xml:space="preserve">the </w:t>
      </w:r>
      <w:r w:rsidRPr="0006304C">
        <w:rPr>
          <w:szCs w:val="20"/>
          <w:lang w:eastAsia="en-GB"/>
        </w:rPr>
        <w:t xml:space="preserve">Peatinvest </w:t>
      </w:r>
      <w:r w:rsidR="001F6ABD">
        <w:rPr>
          <w:szCs w:val="20"/>
          <w:lang w:eastAsia="en-GB"/>
        </w:rPr>
        <w:t xml:space="preserve">Group </w:t>
      </w:r>
      <w:r w:rsidRPr="0006304C">
        <w:rPr>
          <w:szCs w:val="20"/>
          <w:lang w:eastAsia="en-GB"/>
        </w:rPr>
        <w:t xml:space="preserve">expect </w:t>
      </w:r>
      <w:r w:rsidR="001F6ABD">
        <w:rPr>
          <w:szCs w:val="20"/>
          <w:lang w:eastAsia="en-GB"/>
        </w:rPr>
        <w:t xml:space="preserve">that </w:t>
      </w:r>
      <w:r w:rsidRPr="0006304C">
        <w:rPr>
          <w:szCs w:val="20"/>
          <w:lang w:eastAsia="en-GB"/>
        </w:rPr>
        <w:t>the Transaction</w:t>
      </w:r>
      <w:r w:rsidR="008D4FB5">
        <w:rPr>
          <w:szCs w:val="20"/>
          <w:lang w:eastAsia="en-GB"/>
        </w:rPr>
        <w:t>s</w:t>
      </w:r>
      <w:r w:rsidRPr="0006304C">
        <w:rPr>
          <w:szCs w:val="20"/>
          <w:lang w:eastAsia="en-GB"/>
        </w:rPr>
        <w:t xml:space="preserve"> will produce </w:t>
      </w:r>
      <w:r w:rsidR="00EA279B">
        <w:rPr>
          <w:szCs w:val="20"/>
          <w:lang w:eastAsia="en-GB"/>
        </w:rPr>
        <w:t>material</w:t>
      </w:r>
      <w:r>
        <w:rPr>
          <w:szCs w:val="20"/>
          <w:lang w:eastAsia="en-GB"/>
        </w:rPr>
        <w:t xml:space="preserve"> </w:t>
      </w:r>
      <w:r w:rsidRPr="0006304C">
        <w:rPr>
          <w:szCs w:val="20"/>
          <w:lang w:eastAsia="en-GB"/>
        </w:rPr>
        <w:t>synergies, the integration of three companies with geographically dispersed operations and with different scope of activities, presents challenges</w:t>
      </w:r>
      <w:r>
        <w:rPr>
          <w:szCs w:val="20"/>
          <w:lang w:eastAsia="en-GB"/>
        </w:rPr>
        <w:t xml:space="preserve"> on different accounts</w:t>
      </w:r>
      <w:r w:rsidR="00EC0415">
        <w:rPr>
          <w:szCs w:val="20"/>
          <w:lang w:eastAsia="en-GB"/>
        </w:rPr>
        <w:t>, and may be adversely impacted</w:t>
      </w:r>
      <w:r w:rsidR="00C14169">
        <w:rPr>
          <w:szCs w:val="20"/>
          <w:lang w:eastAsia="en-GB"/>
        </w:rPr>
        <w:t xml:space="preserve"> </w:t>
      </w:r>
      <w:r w:rsidR="00EC0415">
        <w:rPr>
          <w:szCs w:val="20"/>
          <w:lang w:eastAsia="en-GB"/>
        </w:rPr>
        <w:t>or compounded by any of the risk factors listed above</w:t>
      </w:r>
      <w:r w:rsidRPr="0006304C">
        <w:rPr>
          <w:szCs w:val="20"/>
          <w:lang w:eastAsia="en-GB"/>
        </w:rPr>
        <w:t xml:space="preserve">. </w:t>
      </w:r>
    </w:p>
    <w:p w:rsidR="00DB252F" w:rsidRDefault="00DB252F" w:rsidP="00DB252F">
      <w:pPr>
        <w:rPr>
          <w:szCs w:val="20"/>
          <w:lang w:eastAsia="en-GB"/>
        </w:rPr>
      </w:pPr>
      <w:r>
        <w:rPr>
          <w:szCs w:val="20"/>
          <w:lang w:eastAsia="en-GB"/>
        </w:rPr>
        <w:lastRenderedPageBreak/>
        <w:t>In addition, certain transac</w:t>
      </w:r>
      <w:r w:rsidR="008D4FB5">
        <w:rPr>
          <w:szCs w:val="20"/>
          <w:lang w:eastAsia="en-GB"/>
        </w:rPr>
        <w:t xml:space="preserve">tions between the Greenyard Foods Group, the Univeg Group </w:t>
      </w:r>
      <w:r>
        <w:rPr>
          <w:szCs w:val="20"/>
          <w:lang w:eastAsia="en-GB"/>
        </w:rPr>
        <w:t xml:space="preserve">and the Peatinvest Group may be restricted by </w:t>
      </w:r>
      <w:r w:rsidR="00EA279B">
        <w:rPr>
          <w:szCs w:val="20"/>
          <w:lang w:eastAsia="en-GB"/>
        </w:rPr>
        <w:t xml:space="preserve">their respective financing documents, particularly by </w:t>
      </w:r>
      <w:r>
        <w:rPr>
          <w:szCs w:val="20"/>
          <w:lang w:eastAsia="en-GB"/>
        </w:rPr>
        <w:t>affiliate covenant tests</w:t>
      </w:r>
      <w:r w:rsidR="008D4FB5">
        <w:rPr>
          <w:szCs w:val="20"/>
          <w:lang w:eastAsia="en-GB"/>
        </w:rPr>
        <w:t xml:space="preserve"> and</w:t>
      </w:r>
      <w:r>
        <w:rPr>
          <w:szCs w:val="20"/>
          <w:lang w:eastAsia="en-GB"/>
        </w:rPr>
        <w:t xml:space="preserve"> by certain </w:t>
      </w:r>
      <w:r w:rsidR="00EA279B">
        <w:rPr>
          <w:szCs w:val="20"/>
          <w:lang w:eastAsia="en-GB"/>
        </w:rPr>
        <w:t xml:space="preserve">covenants that limit investments or distributions if financial ratios are not met </w:t>
      </w:r>
      <w:r w:rsidR="00584210">
        <w:rPr>
          <w:szCs w:val="20"/>
          <w:lang w:eastAsia="en-GB"/>
        </w:rPr>
        <w:t>and</w:t>
      </w:r>
      <w:r w:rsidR="00EA279B">
        <w:rPr>
          <w:szCs w:val="20"/>
          <w:lang w:eastAsia="en-GB"/>
        </w:rPr>
        <w:t xml:space="preserve"> baskets are not available. In each case,</w:t>
      </w:r>
      <w:r>
        <w:rPr>
          <w:szCs w:val="20"/>
          <w:lang w:eastAsia="en-GB"/>
        </w:rPr>
        <w:t xml:space="preserve"> the </w:t>
      </w:r>
      <w:r w:rsidR="001F6ABD" w:rsidRPr="001F6ABD">
        <w:rPr>
          <w:szCs w:val="20"/>
          <w:lang w:eastAsia="en-GB"/>
        </w:rPr>
        <w:t xml:space="preserve">Combined Greenyard </w:t>
      </w:r>
      <w:r w:rsidR="002A1AB1">
        <w:rPr>
          <w:szCs w:val="20"/>
          <w:lang w:eastAsia="en-GB"/>
        </w:rPr>
        <w:t>Foods</w:t>
      </w:r>
      <w:r>
        <w:rPr>
          <w:szCs w:val="20"/>
          <w:lang w:eastAsia="en-GB"/>
        </w:rPr>
        <w:t xml:space="preserve"> Group may incur either compliance and waiver costs or face restrictions. </w:t>
      </w:r>
    </w:p>
    <w:p w:rsidR="00DB252F" w:rsidRPr="00F35405" w:rsidRDefault="00DB252F" w:rsidP="003F0BC5">
      <w:pPr>
        <w:rPr>
          <w:szCs w:val="20"/>
          <w:lang w:eastAsia="en-GB"/>
        </w:rPr>
      </w:pPr>
      <w:r w:rsidRPr="0006304C">
        <w:rPr>
          <w:szCs w:val="20"/>
          <w:lang w:eastAsia="en-GB"/>
        </w:rPr>
        <w:t xml:space="preserve">There can </w:t>
      </w:r>
      <w:r>
        <w:rPr>
          <w:szCs w:val="20"/>
          <w:lang w:eastAsia="en-GB"/>
        </w:rPr>
        <w:t xml:space="preserve">therefore </w:t>
      </w:r>
      <w:r w:rsidRPr="0006304C">
        <w:rPr>
          <w:szCs w:val="20"/>
          <w:lang w:eastAsia="en-GB"/>
        </w:rPr>
        <w:t xml:space="preserve">be no assurance that </w:t>
      </w:r>
      <w:r w:rsidR="00584210">
        <w:rPr>
          <w:szCs w:val="20"/>
          <w:lang w:eastAsia="en-GB"/>
        </w:rPr>
        <w:t>the Transactions</w:t>
      </w:r>
      <w:r w:rsidRPr="0006304C">
        <w:rPr>
          <w:szCs w:val="20"/>
          <w:lang w:eastAsia="en-GB"/>
        </w:rPr>
        <w:t xml:space="preserve">, and the synergies expected to result from </w:t>
      </w:r>
      <w:r w:rsidR="00584210" w:rsidRPr="00584210">
        <w:rPr>
          <w:szCs w:val="20"/>
          <w:lang w:eastAsia="en-GB"/>
        </w:rPr>
        <w:t>the Transactions</w:t>
      </w:r>
      <w:r w:rsidRPr="0006304C">
        <w:rPr>
          <w:szCs w:val="20"/>
          <w:lang w:eastAsia="en-GB"/>
        </w:rPr>
        <w:t>, will be achieved as rapidly or to the extent currently anticipated.</w:t>
      </w:r>
    </w:p>
    <w:p w:rsidR="003F0BC5" w:rsidRPr="00992199" w:rsidRDefault="003F0BC5" w:rsidP="00C14169">
      <w:pPr>
        <w:keepNext/>
        <w:rPr>
          <w:b/>
          <w:i/>
          <w:szCs w:val="20"/>
        </w:rPr>
      </w:pPr>
      <w:r w:rsidRPr="00992199">
        <w:rPr>
          <w:b/>
          <w:i/>
          <w:szCs w:val="20"/>
        </w:rPr>
        <w:t xml:space="preserve">The success of the </w:t>
      </w:r>
      <w:r w:rsidR="001F6ABD" w:rsidRPr="00E13084">
        <w:rPr>
          <w:b/>
          <w:i/>
          <w:szCs w:val="20"/>
        </w:rPr>
        <w:t xml:space="preserve">Combined Greenyard </w:t>
      </w:r>
      <w:r w:rsidR="002A1AB1">
        <w:rPr>
          <w:b/>
          <w:i/>
          <w:szCs w:val="20"/>
        </w:rPr>
        <w:t>Foods</w:t>
      </w:r>
      <w:r w:rsidRPr="00992199">
        <w:rPr>
          <w:b/>
          <w:i/>
          <w:szCs w:val="20"/>
        </w:rPr>
        <w:t xml:space="preserve"> Group is dependent on its ability to keep pace with innovation and the development of innovative products and their bringing to the market.</w:t>
      </w:r>
    </w:p>
    <w:p w:rsidR="003F0BC5" w:rsidRPr="00992199" w:rsidRDefault="003F0BC5" w:rsidP="003F0BC5">
      <w:pPr>
        <w:rPr>
          <w:szCs w:val="20"/>
          <w:lang w:bidi="as-IN"/>
        </w:rPr>
      </w:pPr>
      <w:r w:rsidRPr="00992199">
        <w:rPr>
          <w:szCs w:val="20"/>
          <w:lang w:eastAsia="en-GB"/>
        </w:rPr>
        <w:t xml:space="preserve">The </w:t>
      </w:r>
      <w:r w:rsidR="001F6ABD">
        <w:rPr>
          <w:szCs w:val="20"/>
        </w:rPr>
        <w:t xml:space="preserve">Combined Greenyard </w:t>
      </w:r>
      <w:r w:rsidR="002A1AB1">
        <w:rPr>
          <w:szCs w:val="20"/>
          <w:lang w:eastAsia="en-GB"/>
        </w:rPr>
        <w:t>Foods</w:t>
      </w:r>
      <w:r w:rsidRPr="00992199">
        <w:rPr>
          <w:szCs w:val="20"/>
          <w:lang w:eastAsia="en-GB"/>
        </w:rPr>
        <w:t xml:space="preserve"> Group is </w:t>
      </w:r>
      <w:r w:rsidRPr="00992199">
        <w:rPr>
          <w:szCs w:val="20"/>
          <w:lang w:bidi="as-IN"/>
        </w:rPr>
        <w:t xml:space="preserve">making considerable efforts to continuously renew its products and technologies. Cycles for products’ renewal take a considerable time. The careful follow-up and implementation of new technologies is needed to maintain the market share of the </w:t>
      </w:r>
      <w:r w:rsidR="001F6ABD">
        <w:rPr>
          <w:szCs w:val="20"/>
        </w:rPr>
        <w:t xml:space="preserve">Combined Greenyard </w:t>
      </w:r>
      <w:r w:rsidR="002A1AB1">
        <w:rPr>
          <w:szCs w:val="20"/>
          <w:lang w:eastAsia="en-GB"/>
        </w:rPr>
        <w:t>Foods</w:t>
      </w:r>
      <w:r w:rsidRPr="00992199">
        <w:rPr>
          <w:szCs w:val="20"/>
          <w:lang w:eastAsia="en-GB"/>
        </w:rPr>
        <w:t xml:space="preserve"> Group</w:t>
      </w:r>
      <w:r w:rsidRPr="00992199">
        <w:rPr>
          <w:szCs w:val="20"/>
          <w:lang w:bidi="as-IN"/>
        </w:rPr>
        <w:t xml:space="preserve">. If </w:t>
      </w:r>
      <w:r w:rsidRPr="00992199">
        <w:rPr>
          <w:szCs w:val="20"/>
          <w:lang w:eastAsia="en-GB"/>
        </w:rPr>
        <w:t xml:space="preserve">the </w:t>
      </w:r>
      <w:r w:rsidR="001F6ABD">
        <w:rPr>
          <w:szCs w:val="20"/>
        </w:rPr>
        <w:t xml:space="preserve">Combined Greenyard </w:t>
      </w:r>
      <w:r w:rsidR="002A1AB1">
        <w:rPr>
          <w:szCs w:val="20"/>
          <w:lang w:eastAsia="en-GB"/>
        </w:rPr>
        <w:t>Foods</w:t>
      </w:r>
      <w:r w:rsidRPr="00992199">
        <w:rPr>
          <w:szCs w:val="20"/>
          <w:lang w:eastAsia="en-GB"/>
        </w:rPr>
        <w:t xml:space="preserve"> Group does </w:t>
      </w:r>
      <w:r w:rsidRPr="00992199">
        <w:rPr>
          <w:szCs w:val="20"/>
          <w:lang w:bidi="as-IN"/>
        </w:rPr>
        <w:t xml:space="preserve">not succeed to timely select the right technology for the development of new products, or if it fails to develop innovative products and to bring them on the market, this could have a substantial adverse effect on the operations, competitive position or operating results of </w:t>
      </w:r>
      <w:r w:rsidRPr="00992199">
        <w:rPr>
          <w:szCs w:val="20"/>
          <w:lang w:eastAsia="en-GB"/>
        </w:rPr>
        <w:t xml:space="preserve">the </w:t>
      </w:r>
      <w:r w:rsidR="001F6ABD">
        <w:rPr>
          <w:szCs w:val="20"/>
        </w:rPr>
        <w:t xml:space="preserve">Combined Greenyard </w:t>
      </w:r>
      <w:r w:rsidR="002A1AB1">
        <w:rPr>
          <w:szCs w:val="20"/>
          <w:lang w:eastAsia="en-GB"/>
        </w:rPr>
        <w:t>Foods</w:t>
      </w:r>
      <w:r w:rsidRPr="00992199">
        <w:rPr>
          <w:szCs w:val="20"/>
          <w:lang w:eastAsia="en-GB"/>
        </w:rPr>
        <w:t xml:space="preserve"> Group</w:t>
      </w:r>
      <w:r w:rsidRPr="00992199">
        <w:rPr>
          <w:szCs w:val="20"/>
          <w:lang w:bidi="as-IN"/>
        </w:rPr>
        <w:t>.</w:t>
      </w:r>
    </w:p>
    <w:p w:rsidR="003F0BC5" w:rsidRPr="00992199" w:rsidRDefault="003F0BC5" w:rsidP="00C14169">
      <w:pPr>
        <w:keepNext/>
        <w:rPr>
          <w:b/>
          <w:i/>
          <w:szCs w:val="20"/>
        </w:rPr>
      </w:pPr>
      <w:r w:rsidRPr="00992199">
        <w:rPr>
          <w:b/>
          <w:i/>
          <w:szCs w:val="20"/>
        </w:rPr>
        <w:t xml:space="preserve">The </w:t>
      </w:r>
      <w:r w:rsidR="001F6ABD" w:rsidRPr="00E13084">
        <w:rPr>
          <w:b/>
          <w:i/>
          <w:szCs w:val="20"/>
        </w:rPr>
        <w:t xml:space="preserve">Combined Greenyard </w:t>
      </w:r>
      <w:r w:rsidR="002A1AB1">
        <w:rPr>
          <w:b/>
          <w:i/>
          <w:szCs w:val="20"/>
        </w:rPr>
        <w:t>Foods</w:t>
      </w:r>
      <w:r w:rsidRPr="00992199">
        <w:rPr>
          <w:b/>
          <w:i/>
          <w:szCs w:val="20"/>
        </w:rPr>
        <w:t xml:space="preserve"> Group faces significant competition and an inability to compete successfully with its competitors could result in a loss in market share, decreased revenue or decreased profitability.</w:t>
      </w:r>
    </w:p>
    <w:p w:rsidR="003F0BC5" w:rsidRPr="00992199" w:rsidRDefault="003F0BC5" w:rsidP="003F0BC5">
      <w:pPr>
        <w:rPr>
          <w:szCs w:val="20"/>
        </w:rPr>
      </w:pPr>
      <w:r w:rsidRPr="00992199">
        <w:rPr>
          <w:szCs w:val="20"/>
        </w:rPr>
        <w:t xml:space="preserve">The </w:t>
      </w:r>
      <w:r w:rsidR="001F6ABD">
        <w:rPr>
          <w:szCs w:val="20"/>
        </w:rPr>
        <w:t xml:space="preserve">Combined Greenyard </w:t>
      </w:r>
      <w:r w:rsidR="002A1AB1">
        <w:rPr>
          <w:szCs w:val="20"/>
        </w:rPr>
        <w:t>Foods</w:t>
      </w:r>
      <w:r w:rsidRPr="00992199">
        <w:rPr>
          <w:szCs w:val="20"/>
        </w:rPr>
        <w:t xml:space="preserve"> Group competes with other companies based on several factors, including (i) knowledge of and access to new technologies and new production processes, (ii) the ability to introduce and implement new products, (iii) the completeness of the products offered, (iv) reputation and vision (v) geographical presence, (vi) distribution and (vii) prices.</w:t>
      </w:r>
    </w:p>
    <w:p w:rsidR="003F0BC5" w:rsidRPr="00992199" w:rsidRDefault="00626780" w:rsidP="003F0BC5">
      <w:pPr>
        <w:rPr>
          <w:szCs w:val="20"/>
        </w:rPr>
      </w:pPr>
      <w:r>
        <w:rPr>
          <w:szCs w:val="20"/>
          <w:lang w:eastAsia="en-GB"/>
        </w:rPr>
        <w:t>T</w:t>
      </w:r>
      <w:r w:rsidR="003F0BC5" w:rsidRPr="00992199">
        <w:rPr>
          <w:szCs w:val="20"/>
          <w:lang w:eastAsia="en-GB"/>
        </w:rPr>
        <w:t xml:space="preserve">he </w:t>
      </w:r>
      <w:r w:rsidR="001F6ABD">
        <w:rPr>
          <w:szCs w:val="20"/>
        </w:rPr>
        <w:t xml:space="preserve">Combined Greenyard </w:t>
      </w:r>
      <w:r w:rsidR="002A1AB1">
        <w:rPr>
          <w:szCs w:val="20"/>
          <w:lang w:eastAsia="en-GB"/>
        </w:rPr>
        <w:t>Foods</w:t>
      </w:r>
      <w:r w:rsidR="003F0BC5" w:rsidRPr="00992199">
        <w:rPr>
          <w:szCs w:val="20"/>
          <w:lang w:eastAsia="en-GB"/>
        </w:rPr>
        <w:t xml:space="preserve"> Group expects the global frozen produce </w:t>
      </w:r>
      <w:r>
        <w:rPr>
          <w:szCs w:val="20"/>
          <w:lang w:eastAsia="en-GB"/>
        </w:rPr>
        <w:t xml:space="preserve">and </w:t>
      </w:r>
      <w:r w:rsidRPr="00626780">
        <w:rPr>
          <w:szCs w:val="20"/>
          <w:lang w:eastAsia="en-GB"/>
        </w:rPr>
        <w:t xml:space="preserve">global fresh produce </w:t>
      </w:r>
      <w:r w:rsidR="003F0BC5" w:rsidRPr="00992199">
        <w:rPr>
          <w:szCs w:val="20"/>
          <w:lang w:eastAsia="en-GB"/>
        </w:rPr>
        <w:t>industry to remain highly competitive and to undergo a period of consolidation</w:t>
      </w:r>
      <w:r>
        <w:rPr>
          <w:szCs w:val="20"/>
          <w:lang w:eastAsia="en-GB"/>
        </w:rPr>
        <w:t>.</w:t>
      </w:r>
      <w:r w:rsidR="00F13D58">
        <w:rPr>
          <w:szCs w:val="20"/>
          <w:lang w:eastAsia="en-GB"/>
        </w:rPr>
        <w:t xml:space="preserve"> </w:t>
      </w:r>
      <w:r w:rsidR="003F0BC5" w:rsidRPr="00992199">
        <w:rPr>
          <w:szCs w:val="20"/>
          <w:lang w:eastAsia="en-GB"/>
        </w:rPr>
        <w:t xml:space="preserve">If </w:t>
      </w:r>
      <w:r>
        <w:rPr>
          <w:szCs w:val="20"/>
          <w:lang w:eastAsia="en-GB"/>
        </w:rPr>
        <w:t xml:space="preserve">the </w:t>
      </w:r>
      <w:r w:rsidR="001F6ABD">
        <w:rPr>
          <w:szCs w:val="20"/>
        </w:rPr>
        <w:t xml:space="preserve">Combined Greenyard </w:t>
      </w:r>
      <w:r w:rsidR="002A1AB1">
        <w:rPr>
          <w:szCs w:val="20"/>
          <w:lang w:eastAsia="en-GB"/>
        </w:rPr>
        <w:t>Foods</w:t>
      </w:r>
      <w:r>
        <w:rPr>
          <w:szCs w:val="20"/>
          <w:lang w:eastAsia="en-GB"/>
        </w:rPr>
        <w:t xml:space="preserve"> Group</w:t>
      </w:r>
      <w:r w:rsidR="003F0BC5" w:rsidRPr="00992199">
        <w:rPr>
          <w:szCs w:val="20"/>
          <w:lang w:eastAsia="en-GB"/>
        </w:rPr>
        <w:t>’s competitors consolidate, they may become more powerful in the market place, increasing competitive pressures on it. The competitive environment results from rivalry amongst existing market players but also from the bargaining power of customers, as well as from the possibility of new entrants in these markets</w:t>
      </w:r>
      <w:r w:rsidR="008D4FB5">
        <w:rPr>
          <w:szCs w:val="20"/>
          <w:lang w:eastAsia="en-GB"/>
        </w:rPr>
        <w:t xml:space="preserve"> </w:t>
      </w:r>
      <w:r w:rsidR="005F5D47">
        <w:rPr>
          <w:szCs w:val="20"/>
          <w:lang w:eastAsia="en-GB"/>
        </w:rPr>
        <w:t>(see Sections 2.1.4.8</w:t>
      </w:r>
      <w:r w:rsidR="008D4FB5" w:rsidRPr="008D4FB5">
        <w:rPr>
          <w:szCs w:val="20"/>
          <w:lang w:eastAsia="en-GB"/>
        </w:rPr>
        <w:t>, 2.2.5.5 and 2.3.5.5 of Part IV (</w:t>
      </w:r>
      <w:r w:rsidR="008D4FB5" w:rsidRPr="005F5D47">
        <w:rPr>
          <w:i/>
          <w:szCs w:val="20"/>
          <w:lang w:eastAsia="en-GB"/>
        </w:rPr>
        <w:t>The Contributions</w:t>
      </w:r>
      <w:r w:rsidR="008D4FB5" w:rsidRPr="008D4FB5">
        <w:rPr>
          <w:szCs w:val="20"/>
          <w:lang w:eastAsia="en-GB"/>
        </w:rPr>
        <w:t>))</w:t>
      </w:r>
      <w:r w:rsidR="003F0BC5" w:rsidRPr="00992199">
        <w:rPr>
          <w:szCs w:val="20"/>
          <w:lang w:eastAsia="en-GB"/>
        </w:rPr>
        <w:t>.</w:t>
      </w:r>
    </w:p>
    <w:p w:rsidR="003F0BC5" w:rsidRPr="00992199" w:rsidRDefault="003F0BC5" w:rsidP="003F0BC5">
      <w:pPr>
        <w:rPr>
          <w:szCs w:val="20"/>
        </w:rPr>
      </w:pPr>
      <w:r w:rsidRPr="00992199">
        <w:rPr>
          <w:szCs w:val="20"/>
          <w:lang w:eastAsia="en-GB"/>
        </w:rPr>
        <w:t xml:space="preserve">With respect to the Univeg Group, this results particularly from the short lifespan of the fresh products and the fact that they are, for the most part, traded on a customer label basis and </w:t>
      </w:r>
      <w:r w:rsidRPr="00992199">
        <w:rPr>
          <w:szCs w:val="20"/>
        </w:rPr>
        <w:t>therefore</w:t>
      </w:r>
      <w:r w:rsidRPr="00992199">
        <w:rPr>
          <w:szCs w:val="20"/>
          <w:lang w:eastAsia="en-GB"/>
        </w:rPr>
        <w:t xml:space="preserve"> cannot be differentiated from its competitors’ produce in the eyes of consumers through their branding. The market is also fragmented and the Univeg Group therefore competes against a broad range of market participants, including multinational companies, companies with a particular focus on a specific product, and companies at other stages of the value chain.</w:t>
      </w:r>
    </w:p>
    <w:p w:rsidR="003F0BC5" w:rsidRPr="00992199" w:rsidRDefault="003F0BC5" w:rsidP="003F0BC5">
      <w:pPr>
        <w:rPr>
          <w:szCs w:val="20"/>
        </w:rPr>
      </w:pPr>
      <w:r w:rsidRPr="00992199">
        <w:rPr>
          <w:szCs w:val="20"/>
          <w:lang w:eastAsia="en-GB"/>
        </w:rPr>
        <w:t xml:space="preserve">Competitive pressures may restrict the </w:t>
      </w:r>
      <w:r w:rsidR="001F6ABD">
        <w:rPr>
          <w:szCs w:val="20"/>
        </w:rPr>
        <w:t xml:space="preserve">Combined Greenyard </w:t>
      </w:r>
      <w:r w:rsidR="002A1AB1">
        <w:rPr>
          <w:szCs w:val="20"/>
          <w:lang w:eastAsia="en-GB"/>
        </w:rPr>
        <w:t>Foods</w:t>
      </w:r>
      <w:r w:rsidRPr="00992199">
        <w:rPr>
          <w:szCs w:val="20"/>
          <w:lang w:eastAsia="en-GB"/>
        </w:rPr>
        <w:t xml:space="preserve"> Group’s ability to increase prices, including in response to produce, energy, labour and other cost increases, or restrict the </w:t>
      </w:r>
      <w:r w:rsidR="001F6ABD">
        <w:rPr>
          <w:szCs w:val="20"/>
        </w:rPr>
        <w:t xml:space="preserve">Combined Greenyard </w:t>
      </w:r>
      <w:r w:rsidR="002A1AB1">
        <w:rPr>
          <w:szCs w:val="20"/>
          <w:lang w:eastAsia="en-GB"/>
        </w:rPr>
        <w:t>Foods</w:t>
      </w:r>
      <w:r w:rsidRPr="00992199">
        <w:rPr>
          <w:szCs w:val="20"/>
          <w:lang w:eastAsia="en-GB"/>
        </w:rPr>
        <w:t xml:space="preserve"> Group’s ability to realise its strategy of strengthening its position in existing markets. The competitive environment also puts significant additional pressure on the already low margins in the </w:t>
      </w:r>
      <w:r w:rsidR="001F6ABD">
        <w:rPr>
          <w:szCs w:val="20"/>
        </w:rPr>
        <w:t xml:space="preserve">Combined Greenyard </w:t>
      </w:r>
      <w:r w:rsidR="002A1AB1">
        <w:rPr>
          <w:szCs w:val="20"/>
          <w:lang w:eastAsia="en-GB"/>
        </w:rPr>
        <w:t>Foods</w:t>
      </w:r>
      <w:r w:rsidRPr="00992199">
        <w:rPr>
          <w:szCs w:val="20"/>
          <w:lang w:eastAsia="en-GB"/>
        </w:rPr>
        <w:t xml:space="preserve"> Group’s sector and exposes the </w:t>
      </w:r>
      <w:r w:rsidR="001F6ABD">
        <w:rPr>
          <w:szCs w:val="20"/>
        </w:rPr>
        <w:t xml:space="preserve">Combined Greenyard </w:t>
      </w:r>
      <w:r w:rsidR="002A1AB1">
        <w:rPr>
          <w:szCs w:val="20"/>
          <w:lang w:eastAsia="en-GB"/>
        </w:rPr>
        <w:t>Foods</w:t>
      </w:r>
      <w:r w:rsidRPr="00992199">
        <w:rPr>
          <w:szCs w:val="20"/>
          <w:lang w:eastAsia="en-GB"/>
        </w:rPr>
        <w:t xml:space="preserve"> Group to the risk of losing one or more of its significant customers.</w:t>
      </w:r>
    </w:p>
    <w:p w:rsidR="003F0BC5" w:rsidRPr="00992199" w:rsidRDefault="003F0BC5" w:rsidP="003F0BC5">
      <w:pPr>
        <w:rPr>
          <w:szCs w:val="20"/>
        </w:rPr>
      </w:pPr>
      <w:r w:rsidRPr="00992199">
        <w:rPr>
          <w:szCs w:val="20"/>
          <w:lang w:eastAsia="en-GB"/>
        </w:rPr>
        <w:t xml:space="preserve">Failing to keep costs and service levels at least on par with the </w:t>
      </w:r>
      <w:r w:rsidR="001F6ABD">
        <w:rPr>
          <w:szCs w:val="20"/>
        </w:rPr>
        <w:t xml:space="preserve">Combined Greenyard </w:t>
      </w:r>
      <w:r w:rsidR="002A1AB1">
        <w:rPr>
          <w:szCs w:val="20"/>
          <w:lang w:eastAsia="en-GB"/>
        </w:rPr>
        <w:t>Foods</w:t>
      </w:r>
      <w:r w:rsidRPr="00992199">
        <w:rPr>
          <w:szCs w:val="20"/>
          <w:lang w:eastAsia="en-GB"/>
        </w:rPr>
        <w:t xml:space="preserve"> Group’s main competitors and to differentiate itself from such competitors (in terms of product range, produc</w:t>
      </w:r>
      <w:r w:rsidR="00584210">
        <w:rPr>
          <w:szCs w:val="20"/>
          <w:lang w:eastAsia="en-GB"/>
        </w:rPr>
        <w:t>t</w:t>
      </w:r>
      <w:r w:rsidRPr="00992199">
        <w:rPr>
          <w:szCs w:val="20"/>
          <w:lang w:eastAsia="en-GB"/>
        </w:rPr>
        <w:t xml:space="preserve"> availability, price, quality, customer service, brand recognition or access to retail outlets) may lead to market share and/or margin erosion or to the </w:t>
      </w:r>
      <w:r w:rsidR="001F6ABD">
        <w:rPr>
          <w:szCs w:val="20"/>
        </w:rPr>
        <w:t xml:space="preserve">Combined Greenyard </w:t>
      </w:r>
      <w:r w:rsidR="002A1AB1">
        <w:rPr>
          <w:szCs w:val="20"/>
          <w:lang w:eastAsia="en-GB"/>
        </w:rPr>
        <w:t>Foods</w:t>
      </w:r>
      <w:r w:rsidRPr="00992199">
        <w:rPr>
          <w:szCs w:val="20"/>
          <w:lang w:eastAsia="en-GB"/>
        </w:rPr>
        <w:t xml:space="preserve"> Group’s customers substituting their products with alternatives offered by such competitors. The </w:t>
      </w:r>
      <w:r w:rsidR="001F6ABD">
        <w:rPr>
          <w:szCs w:val="20"/>
        </w:rPr>
        <w:t xml:space="preserve">Combined Greenyard </w:t>
      </w:r>
      <w:r w:rsidR="002A1AB1">
        <w:rPr>
          <w:szCs w:val="20"/>
          <w:lang w:eastAsia="en-GB"/>
        </w:rPr>
        <w:t>Foods</w:t>
      </w:r>
      <w:r w:rsidRPr="00992199">
        <w:rPr>
          <w:szCs w:val="20"/>
          <w:lang w:eastAsia="en-GB"/>
        </w:rPr>
        <w:t xml:space="preserve"> Group expects to continue to face strong competition in its core markets and anticipates that existing or new competitors may broaden their product lines, and expand their geographic scope.</w:t>
      </w:r>
    </w:p>
    <w:p w:rsidR="003F0BC5" w:rsidRPr="00992199" w:rsidRDefault="003F0BC5" w:rsidP="003F0BC5">
      <w:pPr>
        <w:rPr>
          <w:szCs w:val="20"/>
        </w:rPr>
      </w:pPr>
      <w:r w:rsidRPr="00992199">
        <w:rPr>
          <w:szCs w:val="20"/>
          <w:lang w:eastAsia="en-GB"/>
        </w:rPr>
        <w:t xml:space="preserve">To compete successfully, the </w:t>
      </w:r>
      <w:r w:rsidR="001F6ABD">
        <w:rPr>
          <w:szCs w:val="20"/>
        </w:rPr>
        <w:t xml:space="preserve">Combined Greenyard </w:t>
      </w:r>
      <w:r w:rsidR="002A1AB1">
        <w:rPr>
          <w:szCs w:val="20"/>
          <w:lang w:eastAsia="en-GB"/>
        </w:rPr>
        <w:t>Foods</w:t>
      </w:r>
      <w:r w:rsidRPr="00992199">
        <w:rPr>
          <w:szCs w:val="20"/>
          <w:lang w:eastAsia="en-GB"/>
        </w:rPr>
        <w:t xml:space="preserve"> Group must be able to strategically source produc</w:t>
      </w:r>
      <w:r w:rsidR="00584210">
        <w:rPr>
          <w:szCs w:val="20"/>
          <w:lang w:eastAsia="en-GB"/>
        </w:rPr>
        <w:t>ts</w:t>
      </w:r>
      <w:r w:rsidRPr="00992199">
        <w:rPr>
          <w:szCs w:val="20"/>
          <w:lang w:eastAsia="en-GB"/>
        </w:rPr>
        <w:t xml:space="preserve"> of uniformly high quality and sell and distribute it on a timely and regular basis. Continuous investments geared at products and processes improvements and costs efficiencies and continuous efforts to improve channel, customer and product mix and to reduce variable plant and logistics costs to compensate for inflation as well as a strict control of fixed costs and overheads cannot guarantee the </w:t>
      </w:r>
      <w:r w:rsidR="001F6ABD">
        <w:rPr>
          <w:szCs w:val="20"/>
        </w:rPr>
        <w:t xml:space="preserve">Combined Greenyard </w:t>
      </w:r>
      <w:r w:rsidR="002A1AB1">
        <w:rPr>
          <w:szCs w:val="20"/>
          <w:lang w:eastAsia="en-GB"/>
        </w:rPr>
        <w:t>Foods</w:t>
      </w:r>
      <w:r w:rsidRPr="00992199">
        <w:rPr>
          <w:szCs w:val="20"/>
          <w:lang w:eastAsia="en-GB"/>
        </w:rPr>
        <w:t xml:space="preserve"> Group’s leading position in its core markets in the future. The failure of the </w:t>
      </w:r>
      <w:r w:rsidR="001F6ABD">
        <w:rPr>
          <w:szCs w:val="20"/>
        </w:rPr>
        <w:t xml:space="preserve">Combined Greenyard </w:t>
      </w:r>
      <w:r w:rsidR="002A1AB1">
        <w:rPr>
          <w:szCs w:val="20"/>
          <w:lang w:eastAsia="en-GB"/>
        </w:rPr>
        <w:t>Foods</w:t>
      </w:r>
      <w:r w:rsidRPr="00992199">
        <w:rPr>
          <w:szCs w:val="20"/>
          <w:lang w:eastAsia="en-GB"/>
        </w:rPr>
        <w:t xml:space="preserve"> Group to compete successfully could result in a loss in market share, decreased revenue or decreased profitability.</w:t>
      </w:r>
    </w:p>
    <w:p w:rsidR="003F0BC5" w:rsidRPr="00992199" w:rsidRDefault="003F0BC5" w:rsidP="00C14169">
      <w:pPr>
        <w:keepNext/>
        <w:rPr>
          <w:b/>
          <w:i/>
          <w:szCs w:val="20"/>
        </w:rPr>
      </w:pPr>
      <w:r w:rsidRPr="00992199">
        <w:rPr>
          <w:b/>
          <w:i/>
          <w:szCs w:val="20"/>
        </w:rPr>
        <w:lastRenderedPageBreak/>
        <w:t xml:space="preserve">Negative media speculation or other negative public statements could adversely affect the reputation of the </w:t>
      </w:r>
      <w:r w:rsidR="001F6ABD" w:rsidRPr="00E13084">
        <w:rPr>
          <w:b/>
          <w:i/>
          <w:szCs w:val="20"/>
        </w:rPr>
        <w:t xml:space="preserve">Combined Greenyard </w:t>
      </w:r>
      <w:r w:rsidR="002A1AB1">
        <w:rPr>
          <w:b/>
          <w:i/>
          <w:szCs w:val="20"/>
        </w:rPr>
        <w:t>Foods</w:t>
      </w:r>
      <w:r w:rsidRPr="00992199">
        <w:rPr>
          <w:b/>
          <w:i/>
          <w:szCs w:val="20"/>
        </w:rPr>
        <w:t xml:space="preserve"> Group, which in turn could adversely affect the </w:t>
      </w:r>
      <w:r w:rsidR="001F6ABD" w:rsidRPr="00E13084">
        <w:rPr>
          <w:b/>
          <w:i/>
          <w:szCs w:val="20"/>
        </w:rPr>
        <w:t xml:space="preserve">Combined Greenyard </w:t>
      </w:r>
      <w:r w:rsidR="002A1AB1">
        <w:rPr>
          <w:b/>
          <w:i/>
          <w:szCs w:val="20"/>
        </w:rPr>
        <w:t>Foods</w:t>
      </w:r>
      <w:r w:rsidRPr="00992199">
        <w:rPr>
          <w:b/>
          <w:i/>
          <w:szCs w:val="20"/>
        </w:rPr>
        <w:t xml:space="preserve"> Group’s</w:t>
      </w:r>
      <w:r w:rsidRPr="00992199" w:rsidDel="008D44D4">
        <w:rPr>
          <w:b/>
          <w:i/>
          <w:szCs w:val="20"/>
        </w:rPr>
        <w:t xml:space="preserve"> </w:t>
      </w:r>
      <w:r w:rsidRPr="00992199">
        <w:rPr>
          <w:b/>
          <w:i/>
          <w:szCs w:val="20"/>
        </w:rPr>
        <w:t>business.</w:t>
      </w:r>
    </w:p>
    <w:p w:rsidR="003F0BC5" w:rsidRPr="00992199" w:rsidRDefault="003F0BC5" w:rsidP="003F0BC5">
      <w:pPr>
        <w:rPr>
          <w:szCs w:val="20"/>
        </w:rPr>
      </w:pPr>
      <w:r w:rsidRPr="00992199">
        <w:rPr>
          <w:szCs w:val="20"/>
          <w:lang w:eastAsia="en-GB"/>
        </w:rPr>
        <w:t xml:space="preserve">As a producer, marketer and distributor of fruit, vegetables, peat and growing media the </w:t>
      </w:r>
      <w:r w:rsidR="001F6ABD">
        <w:rPr>
          <w:szCs w:val="20"/>
        </w:rPr>
        <w:t xml:space="preserve">Combined Greenyard </w:t>
      </w:r>
      <w:r w:rsidR="002A1AB1">
        <w:rPr>
          <w:szCs w:val="20"/>
          <w:lang w:eastAsia="en-GB"/>
        </w:rPr>
        <w:t>Foods</w:t>
      </w:r>
      <w:r w:rsidRPr="00992199">
        <w:rPr>
          <w:szCs w:val="20"/>
          <w:lang w:eastAsia="en-GB"/>
        </w:rPr>
        <w:t xml:space="preserve"> Group</w:t>
      </w:r>
      <w:r w:rsidRPr="00992199" w:rsidDel="008D44D4">
        <w:rPr>
          <w:szCs w:val="20"/>
          <w:lang w:eastAsia="en-GB"/>
        </w:rPr>
        <w:t xml:space="preserve"> </w:t>
      </w:r>
      <w:r w:rsidRPr="00992199">
        <w:rPr>
          <w:szCs w:val="20"/>
          <w:lang w:eastAsia="en-GB"/>
        </w:rPr>
        <w:t xml:space="preserve">is vulnerable to negative media speculation and other negative public statements. If the media and others speculate or report negatively about the </w:t>
      </w:r>
      <w:r w:rsidR="001F6ABD">
        <w:rPr>
          <w:szCs w:val="20"/>
        </w:rPr>
        <w:t xml:space="preserve">Combined Greenyard </w:t>
      </w:r>
      <w:r w:rsidR="002A1AB1">
        <w:rPr>
          <w:szCs w:val="20"/>
          <w:lang w:eastAsia="en-GB"/>
        </w:rPr>
        <w:t>Foods</w:t>
      </w:r>
      <w:r w:rsidRPr="00992199">
        <w:rPr>
          <w:szCs w:val="20"/>
          <w:lang w:eastAsia="en-GB"/>
        </w:rPr>
        <w:t xml:space="preserve"> Group, including about its products, services, suppliers, shareholders, directors or management, this could adversely affect its reputation, potentially disrupting its ability to do business with counterparties who give weight to media comment and distracting its senior management from their responsibilities.</w:t>
      </w:r>
    </w:p>
    <w:p w:rsidR="003F0BC5" w:rsidRPr="00992199" w:rsidRDefault="003F0BC5" w:rsidP="003F0BC5">
      <w:pPr>
        <w:rPr>
          <w:b/>
          <w:i/>
          <w:szCs w:val="20"/>
        </w:rPr>
      </w:pPr>
      <w:r w:rsidRPr="00992199">
        <w:rPr>
          <w:szCs w:val="20"/>
          <w:lang w:eastAsia="en-GB"/>
        </w:rPr>
        <w:t xml:space="preserve">Future </w:t>
      </w:r>
      <w:r w:rsidRPr="00992199">
        <w:rPr>
          <w:szCs w:val="20"/>
        </w:rPr>
        <w:t>negative</w:t>
      </w:r>
      <w:r w:rsidRPr="00992199">
        <w:rPr>
          <w:szCs w:val="20"/>
          <w:lang w:eastAsia="en-GB"/>
        </w:rPr>
        <w:t xml:space="preserve"> speculation in the media related to the </w:t>
      </w:r>
      <w:r w:rsidR="001F6ABD">
        <w:rPr>
          <w:szCs w:val="20"/>
        </w:rPr>
        <w:t xml:space="preserve">Combined Greenyard </w:t>
      </w:r>
      <w:r w:rsidR="002A1AB1">
        <w:rPr>
          <w:szCs w:val="20"/>
          <w:lang w:eastAsia="en-GB"/>
        </w:rPr>
        <w:t>Foods</w:t>
      </w:r>
      <w:r w:rsidRPr="00992199">
        <w:rPr>
          <w:szCs w:val="20"/>
          <w:lang w:eastAsia="en-GB"/>
        </w:rPr>
        <w:t xml:space="preserve"> Group, or its shareholders, officers or directors, could adversely affect its reputation, which in turn could adversely affect the business, financial condition and results of operations of the </w:t>
      </w:r>
      <w:r w:rsidR="001F6ABD">
        <w:rPr>
          <w:szCs w:val="20"/>
        </w:rPr>
        <w:t xml:space="preserve">Combined Greenyard </w:t>
      </w:r>
      <w:r w:rsidR="002A1AB1">
        <w:rPr>
          <w:szCs w:val="20"/>
          <w:lang w:eastAsia="en-GB"/>
        </w:rPr>
        <w:t>Foods</w:t>
      </w:r>
      <w:r w:rsidRPr="00992199">
        <w:rPr>
          <w:szCs w:val="20"/>
          <w:lang w:eastAsia="en-GB"/>
        </w:rPr>
        <w:t xml:space="preserve"> Group.</w:t>
      </w:r>
    </w:p>
    <w:p w:rsidR="003F0BC5" w:rsidRPr="00992199" w:rsidRDefault="003F0BC5" w:rsidP="00C14169">
      <w:pPr>
        <w:keepNext/>
        <w:rPr>
          <w:b/>
          <w:i/>
          <w:szCs w:val="20"/>
        </w:rPr>
      </w:pPr>
      <w:r w:rsidRPr="00992199">
        <w:rPr>
          <w:b/>
          <w:i/>
          <w:szCs w:val="20"/>
        </w:rPr>
        <w:t>Global economic conditions could materially adversely affect the business, financial condition and results of operations</w:t>
      </w:r>
      <w:r w:rsidRPr="00E13084">
        <w:rPr>
          <w:b/>
          <w:i/>
          <w:szCs w:val="20"/>
        </w:rPr>
        <w:t xml:space="preserve"> </w:t>
      </w:r>
      <w:r w:rsidRPr="00992199">
        <w:rPr>
          <w:b/>
          <w:i/>
          <w:szCs w:val="20"/>
        </w:rPr>
        <w:t xml:space="preserve">of the </w:t>
      </w:r>
      <w:r w:rsidR="001F6ABD" w:rsidRPr="00E13084">
        <w:rPr>
          <w:b/>
          <w:i/>
          <w:szCs w:val="20"/>
        </w:rPr>
        <w:t xml:space="preserve">Combined Greenyard </w:t>
      </w:r>
      <w:r w:rsidR="002A1AB1">
        <w:rPr>
          <w:b/>
          <w:i/>
          <w:szCs w:val="20"/>
        </w:rPr>
        <w:t>Foods</w:t>
      </w:r>
      <w:r w:rsidRPr="00992199">
        <w:rPr>
          <w:b/>
          <w:i/>
          <w:szCs w:val="20"/>
        </w:rPr>
        <w:t xml:space="preserve"> Group.</w:t>
      </w:r>
    </w:p>
    <w:p w:rsidR="003F0BC5" w:rsidRPr="00992199" w:rsidRDefault="003F0BC5" w:rsidP="003F0BC5">
      <w:pPr>
        <w:rPr>
          <w:szCs w:val="20"/>
        </w:rPr>
      </w:pPr>
      <w:r w:rsidRPr="00992199">
        <w:rPr>
          <w:szCs w:val="20"/>
        </w:rPr>
        <w:t xml:space="preserve">The activity of </w:t>
      </w:r>
      <w:r w:rsidRPr="00992199">
        <w:rPr>
          <w:szCs w:val="20"/>
          <w:lang w:eastAsia="en-GB"/>
        </w:rPr>
        <w:t xml:space="preserve">the </w:t>
      </w:r>
      <w:r w:rsidR="001F6ABD">
        <w:rPr>
          <w:szCs w:val="20"/>
        </w:rPr>
        <w:t xml:space="preserve">Combined Greenyard </w:t>
      </w:r>
      <w:r w:rsidR="002A1AB1">
        <w:rPr>
          <w:szCs w:val="20"/>
          <w:lang w:eastAsia="en-GB"/>
        </w:rPr>
        <w:t>Foods</w:t>
      </w:r>
      <w:r w:rsidRPr="00992199">
        <w:rPr>
          <w:szCs w:val="20"/>
          <w:lang w:eastAsia="en-GB"/>
        </w:rPr>
        <w:t xml:space="preserve"> Group</w:t>
      </w:r>
      <w:r w:rsidRPr="00992199">
        <w:rPr>
          <w:szCs w:val="20"/>
        </w:rPr>
        <w:t xml:space="preserve"> is, like activities of other companies, subject to the influence of economic cycles. </w:t>
      </w:r>
      <w:r w:rsidRPr="00992199">
        <w:rPr>
          <w:szCs w:val="20"/>
          <w:lang w:eastAsia="en-GB"/>
        </w:rPr>
        <w:t xml:space="preserve">The current depressed macro-economic climate, high unemployment rate in certain developed markets and potentially negative effects of austerity measures in Europe on consumers’ buying power in the principal geographic markets of the </w:t>
      </w:r>
      <w:r w:rsidR="001F6ABD">
        <w:rPr>
          <w:szCs w:val="20"/>
        </w:rPr>
        <w:t xml:space="preserve">Combined Greenyard </w:t>
      </w:r>
      <w:r w:rsidR="002A1AB1">
        <w:rPr>
          <w:szCs w:val="20"/>
          <w:lang w:eastAsia="en-GB"/>
        </w:rPr>
        <w:t>Foods</w:t>
      </w:r>
      <w:r w:rsidRPr="00992199">
        <w:rPr>
          <w:szCs w:val="20"/>
          <w:lang w:eastAsia="en-GB"/>
        </w:rPr>
        <w:t xml:space="preserve"> Group</w:t>
      </w:r>
      <w:r w:rsidRPr="00992199">
        <w:rPr>
          <w:szCs w:val="20"/>
        </w:rPr>
        <w:t xml:space="preserve"> </w:t>
      </w:r>
      <w:r w:rsidRPr="00992199">
        <w:rPr>
          <w:szCs w:val="20"/>
          <w:lang w:eastAsia="en-GB"/>
        </w:rPr>
        <w:t xml:space="preserve">could have a negative impact on one or more of its revenues and margins, its ability to increase or maintain prices for its products and its growth strategy. In addition, visibility over short- to medium-term market and economic developments remains limited and, as such, the </w:t>
      </w:r>
      <w:r w:rsidR="001F6ABD">
        <w:rPr>
          <w:szCs w:val="20"/>
        </w:rPr>
        <w:t xml:space="preserve">Combined Greenyard </w:t>
      </w:r>
      <w:r w:rsidR="002A1AB1">
        <w:rPr>
          <w:szCs w:val="20"/>
          <w:lang w:eastAsia="en-GB"/>
        </w:rPr>
        <w:t>Foods</w:t>
      </w:r>
      <w:r w:rsidRPr="00992199">
        <w:rPr>
          <w:szCs w:val="20"/>
          <w:lang w:eastAsia="en-GB"/>
        </w:rPr>
        <w:t xml:space="preserve"> Group</w:t>
      </w:r>
      <w:r w:rsidRPr="00992199">
        <w:rPr>
          <w:szCs w:val="20"/>
        </w:rPr>
        <w:t xml:space="preserve"> </w:t>
      </w:r>
      <w:r w:rsidRPr="00992199">
        <w:rPr>
          <w:szCs w:val="20"/>
          <w:lang w:eastAsia="en-GB"/>
        </w:rPr>
        <w:t xml:space="preserve">cannot </w:t>
      </w:r>
      <w:r w:rsidRPr="00992199">
        <w:rPr>
          <w:szCs w:val="20"/>
        </w:rPr>
        <w:t>exclude</w:t>
      </w:r>
      <w:r w:rsidRPr="00992199">
        <w:rPr>
          <w:szCs w:val="20"/>
          <w:lang w:eastAsia="en-GB"/>
        </w:rPr>
        <w:t xml:space="preserve"> the continuation of this negative trend or that further negative events may unfold in the context of the global economy. As a result, the </w:t>
      </w:r>
      <w:r w:rsidR="001F6ABD">
        <w:rPr>
          <w:szCs w:val="20"/>
        </w:rPr>
        <w:t xml:space="preserve">Combined Greenyard </w:t>
      </w:r>
      <w:r w:rsidR="002A1AB1">
        <w:rPr>
          <w:szCs w:val="20"/>
          <w:lang w:eastAsia="en-GB"/>
        </w:rPr>
        <w:t>Foods</w:t>
      </w:r>
      <w:r w:rsidRPr="00992199">
        <w:rPr>
          <w:szCs w:val="20"/>
          <w:lang w:eastAsia="en-GB"/>
        </w:rPr>
        <w:t xml:space="preserve"> Group</w:t>
      </w:r>
      <w:r w:rsidRPr="00992199">
        <w:rPr>
          <w:szCs w:val="20"/>
        </w:rPr>
        <w:t xml:space="preserve"> </w:t>
      </w:r>
      <w:r w:rsidRPr="00992199">
        <w:rPr>
          <w:szCs w:val="20"/>
          <w:lang w:eastAsia="en-GB"/>
        </w:rPr>
        <w:t xml:space="preserve">may be exposed to a decrease in demand for its products or fail to further improve its product mix, which, combined with a competitive environment and volatile produce prices, may result in over-supply and declining margins. In particular, the </w:t>
      </w:r>
      <w:r w:rsidR="001F6ABD">
        <w:rPr>
          <w:szCs w:val="20"/>
        </w:rPr>
        <w:t xml:space="preserve">Combined Greenyard </w:t>
      </w:r>
      <w:r w:rsidR="002A1AB1">
        <w:rPr>
          <w:szCs w:val="20"/>
          <w:lang w:eastAsia="en-GB"/>
        </w:rPr>
        <w:t>Foods</w:t>
      </w:r>
      <w:r w:rsidRPr="00992199">
        <w:rPr>
          <w:szCs w:val="20"/>
          <w:lang w:eastAsia="en-GB"/>
        </w:rPr>
        <w:t xml:space="preserve"> Group</w:t>
      </w:r>
      <w:r w:rsidRPr="00992199">
        <w:rPr>
          <w:szCs w:val="20"/>
        </w:rPr>
        <w:t xml:space="preserve"> </w:t>
      </w:r>
      <w:r w:rsidRPr="00992199">
        <w:rPr>
          <w:szCs w:val="20"/>
          <w:lang w:eastAsia="en-GB"/>
        </w:rPr>
        <w:t xml:space="preserve">depends on stable, liquid and well-functioning credit and capital markets to fund its operations. While there have been periods of stability, these markets have experienced extreme volatility, disruption and decreased liquidity in recent years, which has added to the uncertainty of the global economic outlook and made it more difficult to access the credit and capital </w:t>
      </w:r>
      <w:r w:rsidRPr="00992199">
        <w:rPr>
          <w:szCs w:val="20"/>
        </w:rPr>
        <w:t>markets</w:t>
      </w:r>
      <w:r w:rsidRPr="00992199">
        <w:rPr>
          <w:szCs w:val="20"/>
          <w:lang w:eastAsia="en-GB"/>
        </w:rPr>
        <w:t xml:space="preserve">. If for any reason market conditions deteriorate further, the ability of the </w:t>
      </w:r>
      <w:r w:rsidR="001F6ABD">
        <w:rPr>
          <w:szCs w:val="20"/>
        </w:rPr>
        <w:t xml:space="preserve">Combined Greenyard </w:t>
      </w:r>
      <w:r w:rsidR="002A1AB1">
        <w:rPr>
          <w:szCs w:val="20"/>
          <w:lang w:eastAsia="en-GB"/>
        </w:rPr>
        <w:t>Foods</w:t>
      </w:r>
      <w:r w:rsidRPr="00992199">
        <w:rPr>
          <w:szCs w:val="20"/>
          <w:lang w:eastAsia="en-GB"/>
        </w:rPr>
        <w:t xml:space="preserve"> Group, as well as its customers and suppliers, to access these markets in order to service their liquidity needs could be adversely affected and may be subject to higher costs. The occurrence of one or more of these events could materially adversely affect the </w:t>
      </w:r>
      <w:r w:rsidR="001F6ABD">
        <w:rPr>
          <w:szCs w:val="20"/>
        </w:rPr>
        <w:t xml:space="preserve">Combined Greenyard </w:t>
      </w:r>
      <w:r w:rsidR="002A1AB1">
        <w:rPr>
          <w:szCs w:val="20"/>
          <w:lang w:eastAsia="en-GB"/>
        </w:rPr>
        <w:t>Foods</w:t>
      </w:r>
      <w:r w:rsidRPr="00992199">
        <w:rPr>
          <w:szCs w:val="20"/>
          <w:lang w:eastAsia="en-GB"/>
        </w:rPr>
        <w:t xml:space="preserve"> Group’s</w:t>
      </w:r>
      <w:r w:rsidRPr="00992199">
        <w:rPr>
          <w:szCs w:val="20"/>
        </w:rPr>
        <w:t xml:space="preserve"> </w:t>
      </w:r>
      <w:r w:rsidRPr="00992199">
        <w:rPr>
          <w:szCs w:val="20"/>
          <w:lang w:eastAsia="en-GB"/>
        </w:rPr>
        <w:t>business, financial condition and results of operations.</w:t>
      </w:r>
    </w:p>
    <w:p w:rsidR="003F0BC5" w:rsidRPr="00992199" w:rsidRDefault="003F0BC5" w:rsidP="00C14169">
      <w:pPr>
        <w:keepNext/>
        <w:rPr>
          <w:b/>
          <w:i/>
          <w:szCs w:val="20"/>
        </w:rPr>
      </w:pPr>
      <w:r w:rsidRPr="00992199">
        <w:rPr>
          <w:b/>
          <w:i/>
          <w:szCs w:val="20"/>
        </w:rPr>
        <w:t xml:space="preserve">If the European Monetary Union ceases to exist or one or more countries leave the European Monetary Union, the business, financial condition and results of operations of the </w:t>
      </w:r>
      <w:r w:rsidR="001F6ABD" w:rsidRPr="00E13084">
        <w:rPr>
          <w:b/>
          <w:i/>
          <w:szCs w:val="20"/>
        </w:rPr>
        <w:t xml:space="preserve">Combined Greenyard </w:t>
      </w:r>
      <w:r w:rsidR="002A1AB1">
        <w:rPr>
          <w:b/>
          <w:i/>
          <w:szCs w:val="20"/>
        </w:rPr>
        <w:t>Foods</w:t>
      </w:r>
      <w:r w:rsidRPr="00992199">
        <w:rPr>
          <w:b/>
          <w:i/>
          <w:szCs w:val="20"/>
        </w:rPr>
        <w:t xml:space="preserve"> Group may be adversely affected.</w:t>
      </w:r>
    </w:p>
    <w:p w:rsidR="003F0BC5" w:rsidRPr="00992199" w:rsidRDefault="003F0BC5" w:rsidP="003F0BC5">
      <w:pPr>
        <w:rPr>
          <w:szCs w:val="20"/>
        </w:rPr>
      </w:pPr>
      <w:r w:rsidRPr="00992199">
        <w:rPr>
          <w:szCs w:val="20"/>
          <w:lang w:eastAsia="en-GB"/>
        </w:rPr>
        <w:t xml:space="preserve">Recent economic events affecting the European economies, including the sovereign debt crises in </w:t>
      </w:r>
      <w:smartTag w:uri="urn:schemas-microsoft-com:office:smarttags" w:element="country-region">
        <w:r w:rsidRPr="00992199">
          <w:rPr>
            <w:szCs w:val="20"/>
            <w:lang w:eastAsia="en-GB"/>
          </w:rPr>
          <w:t>Greece</w:t>
        </w:r>
      </w:smartTag>
      <w:r w:rsidRPr="00992199">
        <w:rPr>
          <w:szCs w:val="20"/>
          <w:lang w:eastAsia="en-GB"/>
        </w:rPr>
        <w:t xml:space="preserve">, </w:t>
      </w:r>
      <w:smartTag w:uri="urn:schemas-microsoft-com:office:smarttags" w:element="country-region">
        <w:r w:rsidRPr="00992199">
          <w:rPr>
            <w:szCs w:val="20"/>
            <w:lang w:eastAsia="en-GB"/>
          </w:rPr>
          <w:t>Portugal</w:t>
        </w:r>
      </w:smartTag>
      <w:r w:rsidRPr="00992199">
        <w:rPr>
          <w:szCs w:val="20"/>
          <w:lang w:eastAsia="en-GB"/>
        </w:rPr>
        <w:t xml:space="preserve">, </w:t>
      </w:r>
      <w:smartTag w:uri="urn:schemas-microsoft-com:office:smarttags" w:element="country-region">
        <w:r w:rsidRPr="00992199">
          <w:rPr>
            <w:szCs w:val="20"/>
            <w:lang w:eastAsia="en-GB"/>
          </w:rPr>
          <w:t>Spain</w:t>
        </w:r>
      </w:smartTag>
      <w:r w:rsidRPr="00992199">
        <w:rPr>
          <w:szCs w:val="20"/>
          <w:lang w:eastAsia="en-GB"/>
        </w:rPr>
        <w:t xml:space="preserve">, </w:t>
      </w:r>
      <w:smartTag w:uri="urn:schemas-microsoft-com:office:smarttags" w:element="country-region">
        <w:r w:rsidRPr="00992199">
          <w:rPr>
            <w:szCs w:val="20"/>
            <w:lang w:eastAsia="en-GB"/>
          </w:rPr>
          <w:t>Italy</w:t>
        </w:r>
      </w:smartTag>
      <w:r w:rsidRPr="00992199">
        <w:rPr>
          <w:szCs w:val="20"/>
          <w:lang w:eastAsia="en-GB"/>
        </w:rPr>
        <w:t xml:space="preserve"> and </w:t>
      </w:r>
      <w:smartTag w:uri="urn:schemas-microsoft-com:office:smarttags" w:element="country-region">
        <w:smartTag w:uri="urn:schemas-microsoft-com:office:smarttags" w:element="place">
          <w:r w:rsidRPr="00992199">
            <w:rPr>
              <w:szCs w:val="20"/>
              <w:lang w:eastAsia="en-GB"/>
            </w:rPr>
            <w:t>Ireland</w:t>
          </w:r>
        </w:smartTag>
      </w:smartTag>
      <w:r w:rsidRPr="00992199">
        <w:rPr>
          <w:szCs w:val="20"/>
          <w:lang w:eastAsia="en-GB"/>
        </w:rPr>
        <w:t xml:space="preserve">, have raised a number of questions regarding the overall stability of the European Monetary Union. Despite measures taken by countries in the European Monetary Union to alleviate credit risk, concerns persist with respect to the debt burden of certain Eurozone countries and their ability to meet future </w:t>
      </w:r>
      <w:r w:rsidRPr="00992199">
        <w:rPr>
          <w:szCs w:val="20"/>
        </w:rPr>
        <w:t>financial</w:t>
      </w:r>
      <w:r w:rsidRPr="00992199">
        <w:rPr>
          <w:szCs w:val="20"/>
          <w:lang w:eastAsia="en-GB"/>
        </w:rPr>
        <w:t xml:space="preserve"> obligations, the overall stability of the euro and the suitability of the euro as a single currency given the diverse economic and political circumstances in individual euro member states. The economic outlook is adversely affected by the risk that one or more Eurozone countries could come under increasing pressure to leave the European Monetary Union, as well as the risk that the euro as the single currency of the Eurozone could cease to exist, or in more extreme circumstances, the possible dissolution of the European Union entirely, which could result in the redenomination of a portion of or all its euro denominated assets, liabilities and cash flows to the new currency of the country in which they originated. The legal and contractual consequences of such a development for holders of euro-denominated obligations would be determined by applicable laws in effect at such time. Any of these developments, or a perception that any of these developments may be likely to occur, could have a material adverse effect on the economic development of the affected countries or lead to economic recession or depression that could jeopardise the stability of financial markets or the overall financial and monetary system. In addition, if any country in which the </w:t>
      </w:r>
      <w:r w:rsidR="001F6ABD">
        <w:rPr>
          <w:szCs w:val="20"/>
        </w:rPr>
        <w:t xml:space="preserve">Combined Greenyard </w:t>
      </w:r>
      <w:r w:rsidR="002A1AB1">
        <w:rPr>
          <w:szCs w:val="20"/>
          <w:lang w:eastAsia="en-GB"/>
        </w:rPr>
        <w:t>Foods</w:t>
      </w:r>
      <w:r w:rsidRPr="00992199">
        <w:rPr>
          <w:szCs w:val="20"/>
          <w:lang w:eastAsia="en-GB"/>
        </w:rPr>
        <w:t xml:space="preserve"> Group operates that is currently a member of the Eurozone leaves the European Monetary Union, its costs incurred and revenue generated in that country could be adversely affected when converted into its reporting currency. Moreover, any changes from euro to non-euro currencies within the countries in which the </w:t>
      </w:r>
      <w:r w:rsidR="001F6ABD">
        <w:rPr>
          <w:szCs w:val="20"/>
        </w:rPr>
        <w:t xml:space="preserve">Combined Greenyard </w:t>
      </w:r>
      <w:r w:rsidR="002A1AB1">
        <w:rPr>
          <w:szCs w:val="20"/>
          <w:lang w:eastAsia="en-GB"/>
        </w:rPr>
        <w:t>Foods</w:t>
      </w:r>
      <w:r w:rsidRPr="00992199">
        <w:rPr>
          <w:szCs w:val="20"/>
          <w:lang w:eastAsia="en-GB"/>
        </w:rPr>
        <w:t xml:space="preserve"> Group</w:t>
      </w:r>
      <w:r w:rsidRPr="00992199" w:rsidDel="00A8228E">
        <w:rPr>
          <w:szCs w:val="20"/>
          <w:lang w:eastAsia="en-GB"/>
        </w:rPr>
        <w:t xml:space="preserve"> </w:t>
      </w:r>
      <w:r w:rsidRPr="00992199">
        <w:rPr>
          <w:szCs w:val="20"/>
          <w:lang w:eastAsia="en-GB"/>
        </w:rPr>
        <w:t xml:space="preserve">operates would require the </w:t>
      </w:r>
      <w:r w:rsidR="001F6ABD">
        <w:rPr>
          <w:szCs w:val="20"/>
        </w:rPr>
        <w:t xml:space="preserve">Combined Greenyard </w:t>
      </w:r>
      <w:r w:rsidR="002A1AB1">
        <w:rPr>
          <w:szCs w:val="20"/>
          <w:lang w:eastAsia="en-GB"/>
        </w:rPr>
        <w:t>Foods</w:t>
      </w:r>
      <w:r w:rsidRPr="00992199">
        <w:rPr>
          <w:szCs w:val="20"/>
          <w:lang w:eastAsia="en-GB"/>
        </w:rPr>
        <w:t xml:space="preserve"> Group</w:t>
      </w:r>
      <w:r w:rsidRPr="00992199" w:rsidDel="00A8228E">
        <w:rPr>
          <w:szCs w:val="20"/>
          <w:lang w:eastAsia="en-GB"/>
        </w:rPr>
        <w:t xml:space="preserve"> </w:t>
      </w:r>
      <w:r w:rsidRPr="00992199">
        <w:rPr>
          <w:szCs w:val="20"/>
          <w:lang w:eastAsia="en-GB"/>
        </w:rPr>
        <w:t xml:space="preserve">to modify its billing and other financial systems. The </w:t>
      </w:r>
      <w:r w:rsidR="001F6ABD">
        <w:rPr>
          <w:szCs w:val="20"/>
        </w:rPr>
        <w:t xml:space="preserve">Combined Greenyard </w:t>
      </w:r>
      <w:r w:rsidR="002A1AB1">
        <w:rPr>
          <w:szCs w:val="20"/>
          <w:lang w:eastAsia="en-GB"/>
        </w:rPr>
        <w:t>Foods</w:t>
      </w:r>
      <w:r w:rsidRPr="00992199">
        <w:rPr>
          <w:szCs w:val="20"/>
          <w:lang w:eastAsia="en-GB"/>
        </w:rPr>
        <w:t xml:space="preserve"> Group</w:t>
      </w:r>
      <w:r w:rsidRPr="00992199" w:rsidDel="00A8228E">
        <w:rPr>
          <w:szCs w:val="20"/>
          <w:lang w:eastAsia="en-GB"/>
        </w:rPr>
        <w:t xml:space="preserve"> </w:t>
      </w:r>
      <w:r w:rsidRPr="00992199">
        <w:rPr>
          <w:szCs w:val="20"/>
          <w:lang w:eastAsia="en-GB"/>
        </w:rPr>
        <w:t xml:space="preserve">may not </w:t>
      </w:r>
      <w:r w:rsidRPr="00992199">
        <w:rPr>
          <w:szCs w:val="20"/>
          <w:lang w:eastAsia="en-GB"/>
        </w:rPr>
        <w:lastRenderedPageBreak/>
        <w:t xml:space="preserve">be able to make any such required modifications within a timeframe that would allow the </w:t>
      </w:r>
      <w:r w:rsidR="001F6ABD">
        <w:rPr>
          <w:szCs w:val="20"/>
        </w:rPr>
        <w:t xml:space="preserve">Combined Greenyard </w:t>
      </w:r>
      <w:r w:rsidR="002A1AB1">
        <w:rPr>
          <w:szCs w:val="20"/>
          <w:lang w:eastAsia="en-GB"/>
        </w:rPr>
        <w:t>Foods</w:t>
      </w:r>
      <w:r w:rsidRPr="00992199">
        <w:rPr>
          <w:szCs w:val="20"/>
          <w:lang w:eastAsia="en-GB"/>
        </w:rPr>
        <w:t xml:space="preserve"> Group</w:t>
      </w:r>
      <w:r w:rsidRPr="00992199" w:rsidDel="00A8228E">
        <w:rPr>
          <w:szCs w:val="20"/>
          <w:lang w:eastAsia="en-GB"/>
        </w:rPr>
        <w:t xml:space="preserve"> </w:t>
      </w:r>
      <w:r w:rsidRPr="00992199">
        <w:rPr>
          <w:szCs w:val="20"/>
          <w:lang w:eastAsia="en-GB"/>
        </w:rPr>
        <w:t>to timely bill its customers or prepare and file required financial reports. Any of these developments could, in turn, have a material adverse effect on the business, financial condition and results of operations</w:t>
      </w:r>
      <w:r w:rsidRPr="00992199">
        <w:rPr>
          <w:szCs w:val="20"/>
        </w:rPr>
        <w:t xml:space="preserve"> </w:t>
      </w:r>
      <w:r w:rsidRPr="00992199">
        <w:rPr>
          <w:szCs w:val="20"/>
          <w:lang w:eastAsia="en-GB"/>
        </w:rPr>
        <w:t xml:space="preserve">of the </w:t>
      </w:r>
      <w:r w:rsidR="001F6ABD">
        <w:rPr>
          <w:szCs w:val="20"/>
        </w:rPr>
        <w:t xml:space="preserve">Combined Greenyard </w:t>
      </w:r>
      <w:r w:rsidR="002A1AB1">
        <w:rPr>
          <w:szCs w:val="20"/>
          <w:lang w:eastAsia="en-GB"/>
        </w:rPr>
        <w:t>Foods</w:t>
      </w:r>
      <w:r w:rsidRPr="00992199">
        <w:rPr>
          <w:szCs w:val="20"/>
          <w:lang w:eastAsia="en-GB"/>
        </w:rPr>
        <w:t xml:space="preserve"> Group.</w:t>
      </w:r>
    </w:p>
    <w:p w:rsidR="003F0BC5" w:rsidRPr="00992199" w:rsidRDefault="003F0BC5" w:rsidP="00C14169">
      <w:pPr>
        <w:keepNext/>
        <w:rPr>
          <w:b/>
          <w:i/>
          <w:szCs w:val="20"/>
        </w:rPr>
      </w:pPr>
      <w:r w:rsidRPr="00992199">
        <w:rPr>
          <w:b/>
          <w:i/>
          <w:szCs w:val="20"/>
        </w:rPr>
        <w:t xml:space="preserve">The </w:t>
      </w:r>
      <w:r w:rsidR="001F6ABD" w:rsidRPr="00E13084">
        <w:rPr>
          <w:b/>
          <w:i/>
          <w:szCs w:val="20"/>
        </w:rPr>
        <w:t xml:space="preserve">Combined Greenyard </w:t>
      </w:r>
      <w:r w:rsidR="002A1AB1">
        <w:rPr>
          <w:b/>
          <w:i/>
          <w:szCs w:val="20"/>
        </w:rPr>
        <w:t>Foods</w:t>
      </w:r>
      <w:r w:rsidRPr="00992199">
        <w:rPr>
          <w:b/>
          <w:i/>
          <w:szCs w:val="20"/>
        </w:rPr>
        <w:t xml:space="preserve"> Group operates internationally and expects to continue to expand its international activities, making the </w:t>
      </w:r>
      <w:r w:rsidR="001F6ABD" w:rsidRPr="00E13084">
        <w:rPr>
          <w:b/>
          <w:i/>
          <w:szCs w:val="20"/>
        </w:rPr>
        <w:t xml:space="preserve">Combined Greenyard </w:t>
      </w:r>
      <w:r w:rsidR="002A1AB1">
        <w:rPr>
          <w:b/>
          <w:i/>
          <w:szCs w:val="20"/>
        </w:rPr>
        <w:t>Foods</w:t>
      </w:r>
      <w:r w:rsidRPr="00992199">
        <w:rPr>
          <w:b/>
          <w:i/>
          <w:szCs w:val="20"/>
        </w:rPr>
        <w:t xml:space="preserve"> Group increasingly susceptible to legal, regulatory, political and economic conditions in and outside the countries in which it currently operates, as well as operational risks different from those the </w:t>
      </w:r>
      <w:r w:rsidR="001F6ABD" w:rsidRPr="00E13084">
        <w:rPr>
          <w:b/>
          <w:i/>
          <w:szCs w:val="20"/>
        </w:rPr>
        <w:t xml:space="preserve">Combined Greenyard </w:t>
      </w:r>
      <w:r w:rsidR="002A1AB1">
        <w:rPr>
          <w:b/>
          <w:i/>
          <w:szCs w:val="20"/>
        </w:rPr>
        <w:t>Foods</w:t>
      </w:r>
      <w:r w:rsidRPr="00992199">
        <w:rPr>
          <w:b/>
          <w:i/>
          <w:szCs w:val="20"/>
        </w:rPr>
        <w:t xml:space="preserve"> Group faces at present.</w:t>
      </w:r>
    </w:p>
    <w:p w:rsidR="003F0BC5" w:rsidRPr="00992199" w:rsidRDefault="003F0BC5" w:rsidP="003F0BC5">
      <w:pPr>
        <w:rPr>
          <w:szCs w:val="20"/>
        </w:rPr>
      </w:pPr>
      <w:r w:rsidRPr="00992199">
        <w:rPr>
          <w:szCs w:val="20"/>
          <w:lang w:eastAsia="en-GB"/>
        </w:rPr>
        <w:t xml:space="preserve">With global operations spanning Europe, the </w:t>
      </w:r>
      <w:smartTag w:uri="urn:schemas-microsoft-com:office:smarttags" w:element="country-region">
        <w:r w:rsidRPr="00992199">
          <w:rPr>
            <w:szCs w:val="20"/>
            <w:lang w:eastAsia="en-GB"/>
          </w:rPr>
          <w:t>Americas</w:t>
        </w:r>
      </w:smartTag>
      <w:r w:rsidRPr="00992199">
        <w:rPr>
          <w:szCs w:val="20"/>
          <w:lang w:eastAsia="en-GB"/>
        </w:rPr>
        <w:t xml:space="preserve">, Africa and </w:t>
      </w:r>
      <w:smartTag w:uri="urn:schemas-microsoft-com:office:smarttags" w:element="place">
        <w:r w:rsidRPr="00992199">
          <w:rPr>
            <w:szCs w:val="20"/>
            <w:lang w:eastAsia="en-GB"/>
          </w:rPr>
          <w:t>Asia</w:t>
        </w:r>
      </w:smartTag>
      <w:r w:rsidRPr="00992199">
        <w:rPr>
          <w:szCs w:val="20"/>
          <w:lang w:eastAsia="en-GB"/>
        </w:rPr>
        <w:t xml:space="preserve">, the ability of the </w:t>
      </w:r>
      <w:r w:rsidR="001F6ABD">
        <w:rPr>
          <w:szCs w:val="20"/>
        </w:rPr>
        <w:t xml:space="preserve">Combined Greenyard </w:t>
      </w:r>
      <w:r w:rsidR="002A1AB1">
        <w:rPr>
          <w:szCs w:val="20"/>
          <w:lang w:eastAsia="en-GB"/>
        </w:rPr>
        <w:t>Foods</w:t>
      </w:r>
      <w:r w:rsidRPr="00992199">
        <w:rPr>
          <w:szCs w:val="20"/>
          <w:lang w:eastAsia="en-GB"/>
        </w:rPr>
        <w:t xml:space="preserve"> Group to conduct and expand its business and its financial performance is subject to the risks inherent in international operations. The liquidity, results of operations and financial condition of the </w:t>
      </w:r>
      <w:r w:rsidR="001F6ABD">
        <w:rPr>
          <w:szCs w:val="20"/>
        </w:rPr>
        <w:t xml:space="preserve">Combined Greenyard </w:t>
      </w:r>
      <w:r w:rsidR="002A1AB1">
        <w:rPr>
          <w:szCs w:val="20"/>
          <w:lang w:eastAsia="en-GB"/>
        </w:rPr>
        <w:t>Foods</w:t>
      </w:r>
      <w:r w:rsidRPr="00992199">
        <w:rPr>
          <w:szCs w:val="20"/>
          <w:lang w:eastAsia="en-GB"/>
        </w:rPr>
        <w:t xml:space="preserve"> Group may be adversely affected by global macroeconomic conditions, trade barriers, import and export duties and quotas, currency fluctuations and exchange controls, political unrest, high levels of inflation and increases in duties, taxes and governmental royalties, as well as changes in local laws and policies of the countries in which it conducts business, including changes to environmental laws that could affect its manufacturing facilities or to health and safety laws that could affect its products. The governments of the countries in which the </w:t>
      </w:r>
      <w:r w:rsidR="001F6ABD">
        <w:rPr>
          <w:szCs w:val="20"/>
        </w:rPr>
        <w:t xml:space="preserve">Combined Greenyard </w:t>
      </w:r>
      <w:r w:rsidR="002A1AB1">
        <w:rPr>
          <w:szCs w:val="20"/>
          <w:lang w:eastAsia="en-GB"/>
        </w:rPr>
        <w:t>Foods</w:t>
      </w:r>
      <w:r w:rsidRPr="00992199">
        <w:rPr>
          <w:szCs w:val="20"/>
          <w:lang w:eastAsia="en-GB"/>
        </w:rPr>
        <w:t xml:space="preserve"> Group operates, or may operate in the future, could take actions that materially adversely affect it, including the taking, expropriation or condemnation of its assets or subsidiaries. </w:t>
      </w:r>
    </w:p>
    <w:p w:rsidR="003F0BC5" w:rsidRPr="00992199" w:rsidRDefault="003F0BC5" w:rsidP="003F0BC5">
      <w:pPr>
        <w:rPr>
          <w:szCs w:val="20"/>
        </w:rPr>
      </w:pPr>
      <w:r w:rsidRPr="00992199">
        <w:rPr>
          <w:szCs w:val="20"/>
          <w:lang w:eastAsia="en-GB"/>
        </w:rPr>
        <w:t xml:space="preserve">The </w:t>
      </w:r>
      <w:r w:rsidR="001F6ABD">
        <w:rPr>
          <w:szCs w:val="20"/>
        </w:rPr>
        <w:t xml:space="preserve">Combined Greenyard </w:t>
      </w:r>
      <w:r w:rsidR="002A1AB1">
        <w:rPr>
          <w:szCs w:val="20"/>
          <w:lang w:eastAsia="en-GB"/>
        </w:rPr>
        <w:t>Foods</w:t>
      </w:r>
      <w:r w:rsidRPr="00992199">
        <w:rPr>
          <w:szCs w:val="20"/>
          <w:lang w:eastAsia="en-GB"/>
        </w:rPr>
        <w:t xml:space="preserve"> Group is also subject to a variety of government regulations in countries where it markets its products, </w:t>
      </w:r>
      <w:r w:rsidRPr="00992199">
        <w:rPr>
          <w:szCs w:val="20"/>
        </w:rPr>
        <w:t>including</w:t>
      </w:r>
      <w:r w:rsidRPr="00992199">
        <w:rPr>
          <w:szCs w:val="20"/>
          <w:lang w:eastAsia="en-GB"/>
        </w:rPr>
        <w:t xml:space="preserve"> the </w:t>
      </w:r>
      <w:smartTag w:uri="urn:schemas-microsoft-com:office:smarttags" w:element="country-region">
        <w:r w:rsidRPr="00992199">
          <w:rPr>
            <w:szCs w:val="20"/>
            <w:lang w:eastAsia="en-GB"/>
          </w:rPr>
          <w:t>United States</w:t>
        </w:r>
      </w:smartTag>
      <w:r w:rsidRPr="00992199">
        <w:rPr>
          <w:szCs w:val="20"/>
          <w:lang w:eastAsia="en-GB"/>
        </w:rPr>
        <w:t xml:space="preserve">, the EU, South America, South-East Asia and </w:t>
      </w:r>
      <w:smartTag w:uri="urn:schemas-microsoft-com:office:smarttags" w:element="country-region">
        <w:smartTag w:uri="urn:schemas-microsoft-com:office:smarttags" w:element="place">
          <w:r w:rsidRPr="00992199">
            <w:rPr>
              <w:szCs w:val="20"/>
              <w:lang w:eastAsia="en-GB"/>
            </w:rPr>
            <w:t>South Africa</w:t>
          </w:r>
        </w:smartTag>
      </w:smartTag>
      <w:r w:rsidRPr="00992199">
        <w:rPr>
          <w:szCs w:val="20"/>
          <w:lang w:eastAsia="en-GB"/>
        </w:rPr>
        <w:t xml:space="preserve">. If the </w:t>
      </w:r>
      <w:r w:rsidR="001F6ABD">
        <w:rPr>
          <w:szCs w:val="20"/>
        </w:rPr>
        <w:t xml:space="preserve">Combined Greenyard </w:t>
      </w:r>
      <w:r w:rsidR="002A1AB1">
        <w:rPr>
          <w:szCs w:val="20"/>
          <w:lang w:eastAsia="en-GB"/>
        </w:rPr>
        <w:t>Foods</w:t>
      </w:r>
      <w:r w:rsidRPr="00992199">
        <w:rPr>
          <w:szCs w:val="20"/>
          <w:lang w:eastAsia="en-GB"/>
        </w:rPr>
        <w:t xml:space="preserve"> Group fails to comply with applicable regulations, it could result in an order barring the sale of part or all of a particular shipment of the products of the </w:t>
      </w:r>
      <w:r w:rsidR="001F6ABD">
        <w:rPr>
          <w:szCs w:val="20"/>
        </w:rPr>
        <w:t xml:space="preserve">Combined Greenyard </w:t>
      </w:r>
      <w:r w:rsidR="002A1AB1">
        <w:rPr>
          <w:szCs w:val="20"/>
          <w:lang w:eastAsia="en-GB"/>
        </w:rPr>
        <w:t>Foods</w:t>
      </w:r>
      <w:r w:rsidRPr="00992199">
        <w:rPr>
          <w:szCs w:val="20"/>
          <w:lang w:eastAsia="en-GB"/>
        </w:rPr>
        <w:t xml:space="preserve"> Group or, possibly, the sale of any of its products for a specified period. Such a development could result in significant losses and could weaken the financial condition of the </w:t>
      </w:r>
      <w:r w:rsidR="001F6ABD">
        <w:rPr>
          <w:szCs w:val="20"/>
        </w:rPr>
        <w:t xml:space="preserve">Combined Greenyard </w:t>
      </w:r>
      <w:r w:rsidR="002A1AB1">
        <w:rPr>
          <w:szCs w:val="20"/>
          <w:lang w:eastAsia="en-GB"/>
        </w:rPr>
        <w:t>Foods</w:t>
      </w:r>
      <w:r w:rsidRPr="00992199">
        <w:rPr>
          <w:szCs w:val="20"/>
          <w:lang w:eastAsia="en-GB"/>
        </w:rPr>
        <w:t xml:space="preserve"> Group.</w:t>
      </w:r>
    </w:p>
    <w:p w:rsidR="003F0BC5" w:rsidRPr="00992199" w:rsidRDefault="003F0BC5" w:rsidP="00C14169">
      <w:pPr>
        <w:keepNext/>
        <w:rPr>
          <w:b/>
          <w:i/>
          <w:szCs w:val="20"/>
        </w:rPr>
      </w:pPr>
      <w:r w:rsidRPr="00992199">
        <w:rPr>
          <w:b/>
          <w:i/>
          <w:szCs w:val="20"/>
        </w:rPr>
        <w:t xml:space="preserve">The </w:t>
      </w:r>
      <w:r w:rsidR="001F6ABD" w:rsidRPr="00E13084">
        <w:rPr>
          <w:b/>
          <w:i/>
          <w:szCs w:val="20"/>
        </w:rPr>
        <w:t xml:space="preserve">Combined Greenyard </w:t>
      </w:r>
      <w:r w:rsidR="002A1AB1">
        <w:rPr>
          <w:b/>
          <w:i/>
          <w:szCs w:val="20"/>
        </w:rPr>
        <w:t>Foods</w:t>
      </w:r>
      <w:r w:rsidRPr="00992199">
        <w:rPr>
          <w:b/>
          <w:i/>
          <w:szCs w:val="20"/>
        </w:rPr>
        <w:t xml:space="preserve"> Group’s business may suffer from trading sanctions and embargoes.</w:t>
      </w:r>
    </w:p>
    <w:p w:rsidR="003F0BC5" w:rsidRPr="00992199" w:rsidRDefault="003F0BC5" w:rsidP="003F0BC5">
      <w:pPr>
        <w:rPr>
          <w:szCs w:val="20"/>
        </w:rPr>
      </w:pPr>
      <w:r w:rsidRPr="00992199">
        <w:rPr>
          <w:szCs w:val="20"/>
        </w:rPr>
        <w:t xml:space="preserve">In the past few years the </w:t>
      </w:r>
      <w:smartTag w:uri="urn:schemas-microsoft-com:office:smarttags" w:element="country-region">
        <w:r w:rsidRPr="00992199">
          <w:rPr>
            <w:szCs w:val="20"/>
          </w:rPr>
          <w:t>US</w:t>
        </w:r>
      </w:smartTag>
      <w:r w:rsidRPr="00992199">
        <w:rPr>
          <w:szCs w:val="20"/>
        </w:rPr>
        <w:t xml:space="preserve">, the EU and the UN have increased their imposition of various sanctions and embargoes on trading with countries such as </w:t>
      </w:r>
      <w:smartTag w:uri="urn:schemas-microsoft-com:office:smarttags" w:element="country-region">
        <w:r w:rsidRPr="00992199">
          <w:rPr>
            <w:szCs w:val="20"/>
          </w:rPr>
          <w:t>Iran</w:t>
        </w:r>
      </w:smartTag>
      <w:r w:rsidRPr="00992199">
        <w:rPr>
          <w:szCs w:val="20"/>
        </w:rPr>
        <w:t xml:space="preserve">, </w:t>
      </w:r>
      <w:smartTag w:uri="urn:schemas-microsoft-com:office:smarttags" w:element="country-region">
        <w:r w:rsidRPr="00992199">
          <w:rPr>
            <w:szCs w:val="20"/>
          </w:rPr>
          <w:t>Syria</w:t>
        </w:r>
      </w:smartTag>
      <w:r w:rsidRPr="00992199">
        <w:rPr>
          <w:szCs w:val="20"/>
        </w:rPr>
        <w:t xml:space="preserve">, </w:t>
      </w:r>
      <w:smartTag w:uri="urn:schemas-microsoft-com:office:smarttags" w:element="country-region">
        <w:smartTag w:uri="urn:schemas-microsoft-com:office:smarttags" w:element="place">
          <w:r w:rsidRPr="00992199">
            <w:rPr>
              <w:szCs w:val="20"/>
            </w:rPr>
            <w:t>Sudan</w:t>
          </w:r>
        </w:smartTag>
      </w:smartTag>
      <w:r w:rsidRPr="00992199">
        <w:rPr>
          <w:szCs w:val="20"/>
        </w:rPr>
        <w:t xml:space="preserve"> and others. Recently similar sanctions were taken by the </w:t>
      </w:r>
      <w:smartTag w:uri="urn:schemas-microsoft-com:office:smarttags" w:element="country-region">
        <w:r w:rsidRPr="00992199">
          <w:rPr>
            <w:szCs w:val="20"/>
          </w:rPr>
          <w:t>US</w:t>
        </w:r>
      </w:smartTag>
      <w:r w:rsidRPr="00992199">
        <w:rPr>
          <w:szCs w:val="20"/>
        </w:rPr>
        <w:t xml:space="preserve"> and EU against the </w:t>
      </w:r>
      <w:smartTag w:uri="urn:schemas-microsoft-com:office:smarttags" w:element="country-region">
        <w:r w:rsidRPr="00992199">
          <w:rPr>
            <w:szCs w:val="20"/>
          </w:rPr>
          <w:t>Russian Federation</w:t>
        </w:r>
      </w:smartTag>
      <w:r w:rsidRPr="00992199">
        <w:rPr>
          <w:szCs w:val="20"/>
        </w:rPr>
        <w:t xml:space="preserve"> and subsequently by the </w:t>
      </w:r>
      <w:smartTag w:uri="urn:schemas-microsoft-com:office:smarttags" w:element="country-region">
        <w:r w:rsidRPr="00992199">
          <w:rPr>
            <w:szCs w:val="20"/>
          </w:rPr>
          <w:t>Russian Federation</w:t>
        </w:r>
      </w:smartTag>
      <w:r w:rsidRPr="00992199">
        <w:rPr>
          <w:szCs w:val="20"/>
        </w:rPr>
        <w:t xml:space="preserve"> against the </w:t>
      </w:r>
      <w:smartTag w:uri="urn:schemas-microsoft-com:office:smarttags" w:element="country-region">
        <w:smartTag w:uri="urn:schemas-microsoft-com:office:smarttags" w:element="place">
          <w:r w:rsidRPr="00992199">
            <w:rPr>
              <w:szCs w:val="20"/>
            </w:rPr>
            <w:t>US</w:t>
          </w:r>
        </w:smartTag>
      </w:smartTag>
      <w:r w:rsidRPr="00992199">
        <w:rPr>
          <w:szCs w:val="20"/>
        </w:rPr>
        <w:t xml:space="preserve"> and the EU. As the activities and operations of </w:t>
      </w:r>
      <w:r w:rsidR="001F6ABD">
        <w:rPr>
          <w:szCs w:val="20"/>
        </w:rPr>
        <w:t xml:space="preserve">Combined Greenyard </w:t>
      </w:r>
      <w:r w:rsidR="002A1AB1">
        <w:rPr>
          <w:szCs w:val="20"/>
          <w:lang w:eastAsia="en-GB"/>
        </w:rPr>
        <w:t>Foods</w:t>
      </w:r>
      <w:r w:rsidRPr="00992199">
        <w:rPr>
          <w:szCs w:val="20"/>
          <w:lang w:eastAsia="en-GB"/>
        </w:rPr>
        <w:t xml:space="preserve"> Group </w:t>
      </w:r>
      <w:r w:rsidRPr="00992199">
        <w:rPr>
          <w:szCs w:val="20"/>
        </w:rPr>
        <w:t xml:space="preserve">are worldwide, the </w:t>
      </w:r>
      <w:r w:rsidR="001F6ABD">
        <w:rPr>
          <w:szCs w:val="20"/>
        </w:rPr>
        <w:t xml:space="preserve">Combined Greenyard </w:t>
      </w:r>
      <w:r w:rsidR="002A1AB1">
        <w:rPr>
          <w:szCs w:val="20"/>
        </w:rPr>
        <w:t>Foods</w:t>
      </w:r>
      <w:r w:rsidRPr="00992199">
        <w:rPr>
          <w:szCs w:val="20"/>
        </w:rPr>
        <w:t xml:space="preserve"> Group and its competitors, distributors, suppliers and customers may not be able to comply with or suffer from such trading sanctions and embargoes. This may have a negative impact on the </w:t>
      </w:r>
      <w:r w:rsidR="001F6ABD">
        <w:rPr>
          <w:szCs w:val="20"/>
        </w:rPr>
        <w:t xml:space="preserve">Combined Greenyard </w:t>
      </w:r>
      <w:r w:rsidR="002A1AB1">
        <w:rPr>
          <w:szCs w:val="20"/>
        </w:rPr>
        <w:t>Foods</w:t>
      </w:r>
      <w:r w:rsidRPr="00992199">
        <w:rPr>
          <w:szCs w:val="20"/>
        </w:rPr>
        <w:t xml:space="preserve"> Group’s business, results of operation or financial condition and on the reputation of the </w:t>
      </w:r>
      <w:r w:rsidR="001F6ABD">
        <w:rPr>
          <w:szCs w:val="20"/>
        </w:rPr>
        <w:t xml:space="preserve">Combined Greenyard </w:t>
      </w:r>
      <w:r w:rsidR="002A1AB1">
        <w:rPr>
          <w:szCs w:val="20"/>
          <w:lang w:eastAsia="en-GB"/>
        </w:rPr>
        <w:t>Foods</w:t>
      </w:r>
      <w:r w:rsidRPr="00992199">
        <w:rPr>
          <w:szCs w:val="20"/>
          <w:lang w:eastAsia="en-GB"/>
        </w:rPr>
        <w:t xml:space="preserve"> Group </w:t>
      </w:r>
      <w:r w:rsidRPr="00992199">
        <w:rPr>
          <w:szCs w:val="20"/>
        </w:rPr>
        <w:t>and its products.</w:t>
      </w:r>
    </w:p>
    <w:p w:rsidR="003F0BC5" w:rsidRPr="00992199" w:rsidRDefault="003F0BC5" w:rsidP="00C14169">
      <w:pPr>
        <w:keepNext/>
        <w:rPr>
          <w:b/>
          <w:i/>
          <w:szCs w:val="20"/>
        </w:rPr>
      </w:pPr>
      <w:r w:rsidRPr="00992199">
        <w:rPr>
          <w:b/>
          <w:i/>
          <w:szCs w:val="20"/>
        </w:rPr>
        <w:t xml:space="preserve">Inflation in some of the countries in which the </w:t>
      </w:r>
      <w:r w:rsidR="001F6ABD" w:rsidRPr="00E13084">
        <w:rPr>
          <w:b/>
          <w:i/>
          <w:szCs w:val="20"/>
        </w:rPr>
        <w:t xml:space="preserve">Combined Greenyard </w:t>
      </w:r>
      <w:r w:rsidR="002A1AB1">
        <w:rPr>
          <w:b/>
          <w:i/>
          <w:szCs w:val="20"/>
        </w:rPr>
        <w:t>Foods</w:t>
      </w:r>
      <w:r w:rsidRPr="00992199">
        <w:rPr>
          <w:b/>
          <w:i/>
          <w:szCs w:val="20"/>
        </w:rPr>
        <w:t xml:space="preserve"> Group operates, along with governmental measures to combat inflation, have adversely affected the economies and financial markets of those countries and the ability of their governments to create conditions that stimulate or maintain economic growth.</w:t>
      </w:r>
    </w:p>
    <w:p w:rsidR="003F0BC5" w:rsidRPr="00992199" w:rsidRDefault="003F0BC5" w:rsidP="003F0BC5">
      <w:pPr>
        <w:rPr>
          <w:b/>
          <w:i/>
          <w:szCs w:val="20"/>
        </w:rPr>
      </w:pPr>
      <w:r w:rsidRPr="00992199">
        <w:rPr>
          <w:szCs w:val="20"/>
          <w:lang w:eastAsia="en-GB"/>
        </w:rPr>
        <w:t xml:space="preserve">A portion of the </w:t>
      </w:r>
      <w:r w:rsidR="001F6ABD">
        <w:rPr>
          <w:szCs w:val="20"/>
        </w:rPr>
        <w:t xml:space="preserve">Combined Greenyard </w:t>
      </w:r>
      <w:r w:rsidR="002A1AB1">
        <w:rPr>
          <w:szCs w:val="20"/>
          <w:lang w:eastAsia="en-GB"/>
        </w:rPr>
        <w:t>Foods</w:t>
      </w:r>
      <w:r w:rsidRPr="00992199">
        <w:rPr>
          <w:szCs w:val="20"/>
          <w:lang w:eastAsia="en-GB"/>
        </w:rPr>
        <w:t xml:space="preserve"> Group’s operating costs are denominated in local currency. Accordingly, inflation in those and other jurisdictions, without a corresponding devaluation of the local currencies could result in an increase in the operating costs of the </w:t>
      </w:r>
      <w:r w:rsidR="001F6ABD">
        <w:rPr>
          <w:szCs w:val="20"/>
        </w:rPr>
        <w:t xml:space="preserve">Combined Greenyard </w:t>
      </w:r>
      <w:r w:rsidR="002A1AB1">
        <w:rPr>
          <w:szCs w:val="20"/>
          <w:lang w:eastAsia="en-GB"/>
        </w:rPr>
        <w:t>Foods</w:t>
      </w:r>
      <w:r w:rsidRPr="00992199">
        <w:rPr>
          <w:szCs w:val="20"/>
          <w:lang w:eastAsia="en-GB"/>
        </w:rPr>
        <w:t xml:space="preserve"> Group without a commensurate increase in its revenues, which could adversely affect its financial condition and its ability to pay its foreign denominated obligations.</w:t>
      </w:r>
    </w:p>
    <w:p w:rsidR="003F0BC5" w:rsidRPr="00992199" w:rsidRDefault="003F0BC5" w:rsidP="003F0BC5">
      <w:pPr>
        <w:rPr>
          <w:szCs w:val="20"/>
        </w:rPr>
      </w:pPr>
      <w:r w:rsidRPr="00992199">
        <w:rPr>
          <w:szCs w:val="20"/>
          <w:lang w:eastAsia="en-GB"/>
        </w:rPr>
        <w:t xml:space="preserve">Governmental measures to curb inflation and speculation about possible future governmental measures have also contributed to the negative economic impact of inflation and have created general economic uncertainty. If the countries in which the </w:t>
      </w:r>
      <w:r w:rsidR="001F6ABD">
        <w:rPr>
          <w:szCs w:val="20"/>
        </w:rPr>
        <w:t xml:space="preserve">Combined Greenyard </w:t>
      </w:r>
      <w:r w:rsidR="002A1AB1">
        <w:rPr>
          <w:szCs w:val="20"/>
          <w:lang w:eastAsia="en-GB"/>
        </w:rPr>
        <w:t>Foods</w:t>
      </w:r>
      <w:r w:rsidRPr="00992199">
        <w:rPr>
          <w:szCs w:val="20"/>
          <w:lang w:eastAsia="en-GB"/>
        </w:rPr>
        <w:t xml:space="preserve"> Group operates experience high levels of inflation in the future and price controls are imposed, the </w:t>
      </w:r>
      <w:r w:rsidR="001F6ABD">
        <w:rPr>
          <w:szCs w:val="20"/>
        </w:rPr>
        <w:t xml:space="preserve">Combined Greenyard </w:t>
      </w:r>
      <w:r w:rsidR="002A1AB1">
        <w:rPr>
          <w:szCs w:val="20"/>
          <w:lang w:eastAsia="en-GB"/>
        </w:rPr>
        <w:t>Foods</w:t>
      </w:r>
      <w:r w:rsidRPr="00992199">
        <w:rPr>
          <w:szCs w:val="20"/>
          <w:lang w:eastAsia="en-GB"/>
        </w:rPr>
        <w:t xml:space="preserve"> Group may not be able to adjust the rates it charges to its customers to fully offset the impact of inflation on the </w:t>
      </w:r>
      <w:r w:rsidR="001F6ABD">
        <w:rPr>
          <w:szCs w:val="20"/>
        </w:rPr>
        <w:t xml:space="preserve">Combined Greenyard </w:t>
      </w:r>
      <w:r w:rsidR="002A1AB1">
        <w:rPr>
          <w:szCs w:val="20"/>
          <w:lang w:eastAsia="en-GB"/>
        </w:rPr>
        <w:t>Foods</w:t>
      </w:r>
      <w:r w:rsidRPr="00992199">
        <w:rPr>
          <w:szCs w:val="20"/>
          <w:lang w:eastAsia="en-GB"/>
        </w:rPr>
        <w:t xml:space="preserve"> Group’s cost structures, which could adversely affect the </w:t>
      </w:r>
      <w:r w:rsidR="001F6ABD">
        <w:rPr>
          <w:szCs w:val="20"/>
        </w:rPr>
        <w:t xml:space="preserve">Combined Greenyard </w:t>
      </w:r>
      <w:r w:rsidR="002A1AB1">
        <w:rPr>
          <w:szCs w:val="20"/>
          <w:lang w:eastAsia="en-GB"/>
        </w:rPr>
        <w:t>Foods</w:t>
      </w:r>
      <w:r w:rsidRPr="00992199">
        <w:rPr>
          <w:szCs w:val="20"/>
          <w:lang w:eastAsia="en-GB"/>
        </w:rPr>
        <w:t xml:space="preserve"> Group’s results of operations and financial condition. Depreciations of local currencies relative to the US Dollar or the euro may also create additional inflationary pressures in local jurisdictions that may negatively affect the </w:t>
      </w:r>
      <w:r w:rsidR="001F6ABD">
        <w:rPr>
          <w:szCs w:val="20"/>
        </w:rPr>
        <w:t xml:space="preserve">Combined Greenyard </w:t>
      </w:r>
      <w:r w:rsidR="002A1AB1">
        <w:rPr>
          <w:szCs w:val="20"/>
          <w:lang w:eastAsia="en-GB"/>
        </w:rPr>
        <w:t>Foods</w:t>
      </w:r>
      <w:r w:rsidRPr="00992199">
        <w:rPr>
          <w:szCs w:val="20"/>
          <w:lang w:eastAsia="en-GB"/>
        </w:rPr>
        <w:t xml:space="preserve"> Group as depreciations generally curtail access to foreign financial markets and may prompt government intervention, including recessionary governmental policies.</w:t>
      </w:r>
    </w:p>
    <w:p w:rsidR="003F0BC5" w:rsidRPr="00992199" w:rsidRDefault="003F0BC5" w:rsidP="00C14169">
      <w:pPr>
        <w:keepNext/>
        <w:rPr>
          <w:b/>
          <w:i/>
          <w:szCs w:val="20"/>
        </w:rPr>
      </w:pPr>
      <w:r w:rsidRPr="00992199">
        <w:rPr>
          <w:b/>
          <w:i/>
          <w:szCs w:val="20"/>
        </w:rPr>
        <w:lastRenderedPageBreak/>
        <w:t xml:space="preserve">The </w:t>
      </w:r>
      <w:r w:rsidR="001F6ABD" w:rsidRPr="00E13084">
        <w:rPr>
          <w:b/>
          <w:i/>
          <w:szCs w:val="20"/>
        </w:rPr>
        <w:t xml:space="preserve">Combined Greenyard </w:t>
      </w:r>
      <w:r w:rsidR="002A1AB1">
        <w:rPr>
          <w:b/>
          <w:i/>
          <w:szCs w:val="20"/>
        </w:rPr>
        <w:t>Foods</w:t>
      </w:r>
      <w:r w:rsidRPr="00992199">
        <w:rPr>
          <w:b/>
          <w:i/>
          <w:szCs w:val="20"/>
        </w:rPr>
        <w:t xml:space="preserve"> Group’s financial condition and results of operations could be adversely affected by currency exchange rate fluctuations in some of the countries in which it operates.</w:t>
      </w:r>
    </w:p>
    <w:p w:rsidR="003F0BC5" w:rsidRPr="00992199" w:rsidRDefault="003F0BC5" w:rsidP="003F0BC5">
      <w:pPr>
        <w:rPr>
          <w:szCs w:val="20"/>
        </w:rPr>
      </w:pPr>
      <w:r w:rsidRPr="00992199">
        <w:rPr>
          <w:szCs w:val="20"/>
          <w:lang w:eastAsia="en-GB"/>
        </w:rPr>
        <w:t xml:space="preserve">Revenue generated from subsidiaries outside the eurozone is subject to adverse movements in foreign currency exchange rates, both in terms of the </w:t>
      </w:r>
      <w:r w:rsidR="001F6ABD">
        <w:rPr>
          <w:szCs w:val="20"/>
        </w:rPr>
        <w:t xml:space="preserve">Combined Greenyard </w:t>
      </w:r>
      <w:r w:rsidR="002A1AB1">
        <w:rPr>
          <w:szCs w:val="20"/>
          <w:lang w:eastAsia="en-GB"/>
        </w:rPr>
        <w:t>Foods</w:t>
      </w:r>
      <w:r w:rsidRPr="00992199">
        <w:rPr>
          <w:szCs w:val="20"/>
          <w:lang w:eastAsia="en-GB"/>
        </w:rPr>
        <w:t xml:space="preserve"> Group’s trading activities and also the translation of its financial statements. There can be no assurance that the </w:t>
      </w:r>
      <w:r w:rsidR="001F6ABD">
        <w:rPr>
          <w:szCs w:val="20"/>
        </w:rPr>
        <w:t xml:space="preserve">Combined Greenyard </w:t>
      </w:r>
      <w:r w:rsidR="002A1AB1">
        <w:rPr>
          <w:szCs w:val="20"/>
          <w:lang w:eastAsia="en-GB"/>
        </w:rPr>
        <w:t>Foods</w:t>
      </w:r>
      <w:r w:rsidRPr="00992199">
        <w:rPr>
          <w:szCs w:val="20"/>
          <w:lang w:eastAsia="en-GB"/>
        </w:rPr>
        <w:t xml:space="preserve"> Group will be able to successfully mitigate such foreign exchange exposure, particularly over the long-term. In particular, concerns regarding the eurozone sovereign </w:t>
      </w:r>
      <w:r w:rsidRPr="00992199">
        <w:rPr>
          <w:szCs w:val="20"/>
        </w:rPr>
        <w:t>debt</w:t>
      </w:r>
      <w:r w:rsidRPr="00992199">
        <w:rPr>
          <w:szCs w:val="20"/>
          <w:lang w:eastAsia="en-GB"/>
        </w:rPr>
        <w:t xml:space="preserve"> crisis may result in increased volatility of euro exchange rates. See —</w:t>
      </w:r>
      <w:r w:rsidRPr="00992199">
        <w:rPr>
          <w:i/>
          <w:szCs w:val="20"/>
          <w:lang w:eastAsia="en-GB"/>
        </w:rPr>
        <w:t xml:space="preserve">If the European Monetary Union ceases to exist or one or more countries leave the European Monetary Union, </w:t>
      </w:r>
      <w:r w:rsidR="00584210">
        <w:rPr>
          <w:i/>
          <w:szCs w:val="20"/>
          <w:lang w:eastAsia="en-GB"/>
        </w:rPr>
        <w:t>the</w:t>
      </w:r>
      <w:r w:rsidRPr="00992199">
        <w:rPr>
          <w:i/>
          <w:szCs w:val="20"/>
          <w:lang w:eastAsia="en-GB"/>
        </w:rPr>
        <w:t xml:space="preserve"> business, financial condition and results of operations </w:t>
      </w:r>
      <w:r w:rsidR="00584210">
        <w:rPr>
          <w:i/>
          <w:szCs w:val="20"/>
          <w:lang w:eastAsia="en-GB"/>
        </w:rPr>
        <w:t xml:space="preserve">of the Combined reenyard Foods Group </w:t>
      </w:r>
      <w:r w:rsidRPr="00992199">
        <w:rPr>
          <w:i/>
          <w:szCs w:val="20"/>
          <w:lang w:eastAsia="en-GB"/>
        </w:rPr>
        <w:t>may be adversely affected</w:t>
      </w:r>
      <w:r w:rsidRPr="00992199">
        <w:rPr>
          <w:szCs w:val="20"/>
          <w:lang w:eastAsia="en-GB"/>
        </w:rPr>
        <w:t xml:space="preserve"> above.</w:t>
      </w:r>
    </w:p>
    <w:p w:rsidR="003F0BC5" w:rsidRPr="00992199" w:rsidRDefault="003F0BC5" w:rsidP="00C14169">
      <w:pPr>
        <w:keepNext/>
        <w:rPr>
          <w:b/>
          <w:i/>
          <w:szCs w:val="20"/>
        </w:rPr>
      </w:pPr>
      <w:r w:rsidRPr="00992199">
        <w:rPr>
          <w:b/>
          <w:i/>
          <w:szCs w:val="20"/>
        </w:rPr>
        <w:t xml:space="preserve">The </w:t>
      </w:r>
      <w:r w:rsidR="001F6ABD" w:rsidRPr="00E13084">
        <w:rPr>
          <w:b/>
          <w:i/>
          <w:szCs w:val="20"/>
        </w:rPr>
        <w:t xml:space="preserve">Combined Greenyard </w:t>
      </w:r>
      <w:r w:rsidR="002A1AB1">
        <w:rPr>
          <w:b/>
          <w:i/>
          <w:szCs w:val="20"/>
        </w:rPr>
        <w:t>Foods</w:t>
      </w:r>
      <w:r w:rsidRPr="00992199">
        <w:rPr>
          <w:b/>
          <w:i/>
          <w:szCs w:val="20"/>
        </w:rPr>
        <w:t xml:space="preserve"> Group is dependent on its </w:t>
      </w:r>
      <w:r w:rsidR="00EC0415">
        <w:rPr>
          <w:b/>
          <w:i/>
          <w:szCs w:val="20"/>
        </w:rPr>
        <w:t xml:space="preserve">Executive Chairman, </w:t>
      </w:r>
      <w:r w:rsidRPr="00992199">
        <w:rPr>
          <w:b/>
          <w:i/>
          <w:szCs w:val="20"/>
        </w:rPr>
        <w:t>management team, and the success</w:t>
      </w:r>
      <w:r w:rsidRPr="00E13084">
        <w:rPr>
          <w:b/>
          <w:i/>
          <w:szCs w:val="20"/>
        </w:rPr>
        <w:t xml:space="preserve"> </w:t>
      </w:r>
      <w:r w:rsidRPr="00992199">
        <w:rPr>
          <w:b/>
          <w:i/>
          <w:szCs w:val="20"/>
        </w:rPr>
        <w:t xml:space="preserve">of the </w:t>
      </w:r>
      <w:r w:rsidR="001F6ABD" w:rsidRPr="00E13084">
        <w:rPr>
          <w:b/>
          <w:i/>
          <w:szCs w:val="20"/>
        </w:rPr>
        <w:t xml:space="preserve">Combined Greenyard </w:t>
      </w:r>
      <w:r w:rsidR="002A1AB1">
        <w:rPr>
          <w:b/>
          <w:i/>
          <w:szCs w:val="20"/>
        </w:rPr>
        <w:t>Foods</w:t>
      </w:r>
      <w:r w:rsidRPr="00992199">
        <w:rPr>
          <w:b/>
          <w:i/>
          <w:szCs w:val="20"/>
        </w:rPr>
        <w:t xml:space="preserve"> Group may depend on its ability to retain or attract adequate managerial resources.</w:t>
      </w:r>
    </w:p>
    <w:p w:rsidR="003F0BC5" w:rsidRPr="00992199" w:rsidRDefault="003F0BC5" w:rsidP="003F0BC5">
      <w:pPr>
        <w:rPr>
          <w:szCs w:val="20"/>
        </w:rPr>
      </w:pPr>
      <w:r w:rsidRPr="00992199">
        <w:rPr>
          <w:szCs w:val="20"/>
          <w:lang w:eastAsia="en-GB"/>
        </w:rPr>
        <w:t xml:space="preserve">In the markets in which the </w:t>
      </w:r>
      <w:r w:rsidR="001F6ABD">
        <w:rPr>
          <w:szCs w:val="20"/>
        </w:rPr>
        <w:t xml:space="preserve">Combined Greenyard </w:t>
      </w:r>
      <w:r w:rsidR="002A1AB1">
        <w:rPr>
          <w:szCs w:val="20"/>
          <w:lang w:eastAsia="en-GB"/>
        </w:rPr>
        <w:t>Foods</w:t>
      </w:r>
      <w:r w:rsidRPr="00992199">
        <w:rPr>
          <w:szCs w:val="20"/>
          <w:lang w:eastAsia="en-GB"/>
        </w:rPr>
        <w:t xml:space="preserve"> Group operates, personal relationships with growers, on the one hand, and customers, on the other, are key. The ability of the </w:t>
      </w:r>
      <w:r w:rsidR="001F6ABD">
        <w:rPr>
          <w:szCs w:val="20"/>
        </w:rPr>
        <w:t xml:space="preserve">Combined Greenyard </w:t>
      </w:r>
      <w:r w:rsidR="002A1AB1">
        <w:rPr>
          <w:szCs w:val="20"/>
          <w:lang w:eastAsia="en-GB"/>
        </w:rPr>
        <w:t>Foods</w:t>
      </w:r>
      <w:r w:rsidRPr="00992199">
        <w:rPr>
          <w:szCs w:val="20"/>
          <w:lang w:eastAsia="en-GB"/>
        </w:rPr>
        <w:t xml:space="preserve"> Group to maintain its competitive position is dependent to a large degree on the services of its</w:t>
      </w:r>
      <w:r w:rsidR="00EC0415" w:rsidRPr="00EC0415">
        <w:rPr>
          <w:szCs w:val="20"/>
          <w:lang w:eastAsia="en-GB"/>
        </w:rPr>
        <w:t xml:space="preserve"> </w:t>
      </w:r>
      <w:r w:rsidR="00EC0415">
        <w:rPr>
          <w:szCs w:val="20"/>
          <w:lang w:eastAsia="en-GB"/>
        </w:rPr>
        <w:t xml:space="preserve">Executive Chairman, </w:t>
      </w:r>
      <w:r w:rsidRPr="00992199">
        <w:rPr>
          <w:szCs w:val="20"/>
          <w:lang w:eastAsia="en-GB"/>
        </w:rPr>
        <w:t xml:space="preserve">senior management and (often local) key account managers, who possess extensive operating experience and industry knowledge, to set its strategy and manage its operations. The </w:t>
      </w:r>
      <w:r w:rsidR="001F6ABD">
        <w:rPr>
          <w:szCs w:val="20"/>
        </w:rPr>
        <w:t xml:space="preserve">Combined Greenyard </w:t>
      </w:r>
      <w:r w:rsidR="002A1AB1">
        <w:rPr>
          <w:szCs w:val="20"/>
          <w:lang w:eastAsia="en-GB"/>
        </w:rPr>
        <w:t>Foods</w:t>
      </w:r>
      <w:r w:rsidRPr="00992199">
        <w:rPr>
          <w:szCs w:val="20"/>
          <w:lang w:eastAsia="en-GB"/>
        </w:rPr>
        <w:t xml:space="preserve"> Group may not be able to retain its existing senior management personnel and key account </w:t>
      </w:r>
      <w:r w:rsidRPr="00992199">
        <w:rPr>
          <w:szCs w:val="20"/>
        </w:rPr>
        <w:t>managers</w:t>
      </w:r>
      <w:r w:rsidRPr="00992199">
        <w:rPr>
          <w:szCs w:val="20"/>
          <w:lang w:eastAsia="en-GB"/>
        </w:rPr>
        <w:t xml:space="preserve"> (who may be attracted by competition or new market entrants) or attract additional qualified senior management personnel. Its operations and profitability might be disrupted if it lost the services of its senior management team members and key account managers.</w:t>
      </w:r>
    </w:p>
    <w:p w:rsidR="003F0BC5" w:rsidRPr="00992199" w:rsidRDefault="003F0BC5" w:rsidP="003F0BC5">
      <w:pPr>
        <w:rPr>
          <w:szCs w:val="20"/>
        </w:rPr>
      </w:pPr>
      <w:r w:rsidRPr="00992199">
        <w:rPr>
          <w:szCs w:val="20"/>
        </w:rPr>
        <w:t xml:space="preserve">Potential impacts might include: loss of knowledge of key systems and specialised skills resulting in a skills and competency gap; high staff turnover; customer dissatisfaction; failure to meet business objectives; increased re-hiring costs; loss of customers because of the customer-employee relationships. Although </w:t>
      </w:r>
      <w:r w:rsidRPr="00992199">
        <w:rPr>
          <w:szCs w:val="20"/>
          <w:lang w:eastAsia="en-GB"/>
        </w:rPr>
        <w:t xml:space="preserve">the </w:t>
      </w:r>
      <w:r w:rsidR="001F6ABD">
        <w:rPr>
          <w:szCs w:val="20"/>
        </w:rPr>
        <w:t xml:space="preserve">Combined Greenyard </w:t>
      </w:r>
      <w:r w:rsidR="002A1AB1">
        <w:rPr>
          <w:szCs w:val="20"/>
          <w:lang w:eastAsia="en-GB"/>
        </w:rPr>
        <w:t>Foods</w:t>
      </w:r>
      <w:r w:rsidRPr="00992199">
        <w:rPr>
          <w:szCs w:val="20"/>
          <w:lang w:eastAsia="en-GB"/>
        </w:rPr>
        <w:t xml:space="preserve"> Group</w:t>
      </w:r>
      <w:r w:rsidRPr="00992199">
        <w:rPr>
          <w:szCs w:val="20"/>
        </w:rPr>
        <w:t xml:space="preserve"> believes that it is well positioned to attract and retain skilled and experienced personnel, there can be no assurance that it will be able to do so. The inability to do so could have a material adverse effect on </w:t>
      </w:r>
      <w:r w:rsidRPr="00992199">
        <w:rPr>
          <w:szCs w:val="20"/>
          <w:lang w:eastAsia="en-GB"/>
        </w:rPr>
        <w:t xml:space="preserve">the </w:t>
      </w:r>
      <w:r w:rsidR="001F6ABD">
        <w:rPr>
          <w:szCs w:val="20"/>
        </w:rPr>
        <w:t xml:space="preserve">Combined Greenyard </w:t>
      </w:r>
      <w:r w:rsidR="002A1AB1">
        <w:rPr>
          <w:szCs w:val="20"/>
          <w:lang w:eastAsia="en-GB"/>
        </w:rPr>
        <w:t>Foods</w:t>
      </w:r>
      <w:r w:rsidRPr="00992199">
        <w:rPr>
          <w:szCs w:val="20"/>
          <w:lang w:eastAsia="en-GB"/>
        </w:rPr>
        <w:t xml:space="preserve"> Group’s</w:t>
      </w:r>
      <w:r w:rsidRPr="00992199">
        <w:rPr>
          <w:szCs w:val="20"/>
        </w:rPr>
        <w:t xml:space="preserve"> business, results of operation or financial condition.</w:t>
      </w:r>
    </w:p>
    <w:p w:rsidR="003F0BC5" w:rsidRPr="00992199" w:rsidRDefault="003F0BC5" w:rsidP="00C14169">
      <w:pPr>
        <w:keepNext/>
        <w:rPr>
          <w:b/>
          <w:i/>
          <w:szCs w:val="20"/>
        </w:rPr>
      </w:pPr>
      <w:r w:rsidRPr="00992199">
        <w:rPr>
          <w:b/>
          <w:i/>
          <w:szCs w:val="20"/>
        </w:rPr>
        <w:t xml:space="preserve">The </w:t>
      </w:r>
      <w:r w:rsidR="001F6ABD" w:rsidRPr="00E13084">
        <w:rPr>
          <w:b/>
          <w:i/>
          <w:szCs w:val="20"/>
        </w:rPr>
        <w:t xml:space="preserve">Combined Greenyard </w:t>
      </w:r>
      <w:r w:rsidR="002A1AB1">
        <w:rPr>
          <w:b/>
          <w:i/>
          <w:szCs w:val="20"/>
        </w:rPr>
        <w:t>Foods</w:t>
      </w:r>
      <w:r w:rsidRPr="00992199">
        <w:rPr>
          <w:b/>
          <w:i/>
          <w:szCs w:val="20"/>
        </w:rPr>
        <w:t xml:space="preserve"> Group is dependent on skilled personnel, labour and third party contractors and its business may be disrupted if it lost their services.</w:t>
      </w:r>
    </w:p>
    <w:p w:rsidR="003F0BC5" w:rsidRPr="00992199" w:rsidRDefault="003F0BC5" w:rsidP="003F0BC5">
      <w:pPr>
        <w:rPr>
          <w:szCs w:val="20"/>
        </w:rPr>
      </w:pPr>
      <w:r w:rsidRPr="00992199">
        <w:rPr>
          <w:szCs w:val="20"/>
          <w:lang w:eastAsia="en-GB"/>
        </w:rPr>
        <w:t xml:space="preserve">The </w:t>
      </w:r>
      <w:r w:rsidR="001F6ABD">
        <w:rPr>
          <w:szCs w:val="20"/>
        </w:rPr>
        <w:t xml:space="preserve">Combined Greenyard </w:t>
      </w:r>
      <w:r w:rsidR="002A1AB1">
        <w:rPr>
          <w:szCs w:val="20"/>
          <w:lang w:eastAsia="en-GB"/>
        </w:rPr>
        <w:t>Foods</w:t>
      </w:r>
      <w:r w:rsidRPr="00992199">
        <w:rPr>
          <w:szCs w:val="20"/>
          <w:lang w:eastAsia="en-GB"/>
        </w:rPr>
        <w:t xml:space="preserve"> Group is exposed to risks associated with the potential loss of or inability to attract skilled and motivated personnel, labour and third party contractors at all levels in the production and supply process. The seasonal business of the </w:t>
      </w:r>
      <w:r w:rsidR="001F6ABD">
        <w:rPr>
          <w:szCs w:val="20"/>
        </w:rPr>
        <w:t xml:space="preserve">Combined Greenyard </w:t>
      </w:r>
      <w:r w:rsidR="002A1AB1">
        <w:rPr>
          <w:szCs w:val="20"/>
          <w:lang w:eastAsia="en-GB"/>
        </w:rPr>
        <w:t>Foods</w:t>
      </w:r>
      <w:r w:rsidRPr="00992199">
        <w:rPr>
          <w:szCs w:val="20"/>
          <w:lang w:eastAsia="en-GB"/>
        </w:rPr>
        <w:t xml:space="preserve"> Group also depends to a large extent on interim labour. The implementation of the </w:t>
      </w:r>
      <w:r w:rsidRPr="00992199">
        <w:rPr>
          <w:szCs w:val="20"/>
        </w:rPr>
        <w:t>strategic</w:t>
      </w:r>
      <w:r w:rsidRPr="00992199">
        <w:rPr>
          <w:szCs w:val="20"/>
          <w:lang w:eastAsia="en-GB"/>
        </w:rPr>
        <w:t xml:space="preserve"> business plans of the </w:t>
      </w:r>
      <w:r w:rsidR="001F6ABD">
        <w:rPr>
          <w:szCs w:val="20"/>
        </w:rPr>
        <w:t xml:space="preserve">Combined Greenyard </w:t>
      </w:r>
      <w:r w:rsidR="002A1AB1">
        <w:rPr>
          <w:szCs w:val="20"/>
          <w:lang w:eastAsia="en-GB"/>
        </w:rPr>
        <w:t>Foods</w:t>
      </w:r>
      <w:r w:rsidRPr="00992199">
        <w:rPr>
          <w:szCs w:val="20"/>
          <w:lang w:eastAsia="en-GB"/>
        </w:rPr>
        <w:t xml:space="preserve"> Group could be undermined by a failure to attract or retain such personnel and contractors in all jurisdictions in which the </w:t>
      </w:r>
      <w:r w:rsidR="001F6ABD">
        <w:rPr>
          <w:szCs w:val="20"/>
        </w:rPr>
        <w:t xml:space="preserve">Combined Greenyard </w:t>
      </w:r>
      <w:r w:rsidR="002A1AB1">
        <w:rPr>
          <w:szCs w:val="20"/>
          <w:lang w:eastAsia="en-GB"/>
        </w:rPr>
        <w:t>Foods</w:t>
      </w:r>
      <w:r w:rsidRPr="00992199">
        <w:rPr>
          <w:szCs w:val="20"/>
          <w:lang w:eastAsia="en-GB"/>
        </w:rPr>
        <w:t xml:space="preserve"> Group operates. It is not certain that the </w:t>
      </w:r>
      <w:r w:rsidR="001F6ABD">
        <w:rPr>
          <w:szCs w:val="20"/>
        </w:rPr>
        <w:t xml:space="preserve">Combined Greenyard </w:t>
      </w:r>
      <w:r w:rsidR="002A1AB1">
        <w:rPr>
          <w:szCs w:val="20"/>
          <w:lang w:eastAsia="en-GB"/>
        </w:rPr>
        <w:t>Foods</w:t>
      </w:r>
      <w:r w:rsidRPr="00992199">
        <w:rPr>
          <w:szCs w:val="20"/>
          <w:lang w:eastAsia="en-GB"/>
        </w:rPr>
        <w:t xml:space="preserve"> Group will be able to attract or retain such personnel and contractors and successfully manage them. A shortage of qualified people might force the </w:t>
      </w:r>
      <w:r w:rsidR="001F6ABD">
        <w:rPr>
          <w:szCs w:val="20"/>
        </w:rPr>
        <w:t xml:space="preserve">Combined Greenyard </w:t>
      </w:r>
      <w:r w:rsidR="002A1AB1">
        <w:rPr>
          <w:szCs w:val="20"/>
          <w:lang w:eastAsia="en-GB"/>
        </w:rPr>
        <w:t>Foods</w:t>
      </w:r>
      <w:r w:rsidRPr="00992199">
        <w:rPr>
          <w:szCs w:val="20"/>
          <w:lang w:eastAsia="en-GB"/>
        </w:rPr>
        <w:t xml:space="preserve"> Group to increase wages or other benefits to be competitive when hiring or retaining personnel and contractors. The profitability of the </w:t>
      </w:r>
      <w:r w:rsidR="001F6ABD">
        <w:rPr>
          <w:szCs w:val="20"/>
        </w:rPr>
        <w:t xml:space="preserve">Combined Greenyard </w:t>
      </w:r>
      <w:r w:rsidR="002A1AB1">
        <w:rPr>
          <w:szCs w:val="20"/>
          <w:lang w:eastAsia="en-GB"/>
        </w:rPr>
        <w:t>Foods</w:t>
      </w:r>
      <w:r w:rsidRPr="00992199">
        <w:rPr>
          <w:szCs w:val="20"/>
          <w:lang w:eastAsia="en-GB"/>
        </w:rPr>
        <w:t xml:space="preserve"> Group depends on controlled labour costs, and it is not certain that higher labour costs can be passed on to customers in full or in part.</w:t>
      </w:r>
    </w:p>
    <w:p w:rsidR="003F0BC5" w:rsidRPr="00992199" w:rsidRDefault="003F0BC5" w:rsidP="00C14169">
      <w:pPr>
        <w:keepNext/>
        <w:rPr>
          <w:b/>
          <w:i/>
          <w:szCs w:val="20"/>
        </w:rPr>
      </w:pPr>
      <w:r w:rsidRPr="00992199">
        <w:rPr>
          <w:b/>
          <w:i/>
          <w:szCs w:val="20"/>
        </w:rPr>
        <w:t>Costs related to the obligations</w:t>
      </w:r>
      <w:r w:rsidRPr="00E13084">
        <w:rPr>
          <w:b/>
          <w:i/>
          <w:szCs w:val="20"/>
        </w:rPr>
        <w:t xml:space="preserve"> </w:t>
      </w:r>
      <w:r w:rsidRPr="00992199">
        <w:rPr>
          <w:b/>
          <w:i/>
          <w:szCs w:val="20"/>
        </w:rPr>
        <w:t xml:space="preserve">of the </w:t>
      </w:r>
      <w:r w:rsidR="001F6ABD" w:rsidRPr="00E13084">
        <w:rPr>
          <w:b/>
          <w:i/>
          <w:szCs w:val="20"/>
        </w:rPr>
        <w:t xml:space="preserve">Combined Greenyard </w:t>
      </w:r>
      <w:r w:rsidR="002A1AB1">
        <w:rPr>
          <w:b/>
          <w:i/>
          <w:szCs w:val="20"/>
        </w:rPr>
        <w:t>Foods</w:t>
      </w:r>
      <w:r w:rsidRPr="00992199">
        <w:rPr>
          <w:b/>
          <w:i/>
          <w:szCs w:val="20"/>
        </w:rPr>
        <w:t xml:space="preserve"> Group to pension and other retirement funds could escalate, thereby adversely affecting its results of operations and financial condition.</w:t>
      </w:r>
    </w:p>
    <w:p w:rsidR="003F0BC5" w:rsidRPr="00992199" w:rsidRDefault="003F0BC5" w:rsidP="003F0BC5">
      <w:pPr>
        <w:rPr>
          <w:szCs w:val="20"/>
        </w:rPr>
      </w:pPr>
      <w:r w:rsidRPr="00992199">
        <w:rPr>
          <w:szCs w:val="20"/>
          <w:lang w:eastAsia="en-GB"/>
        </w:rPr>
        <w:t xml:space="preserve">The </w:t>
      </w:r>
      <w:r w:rsidR="001F6ABD">
        <w:rPr>
          <w:szCs w:val="20"/>
        </w:rPr>
        <w:t xml:space="preserve">Combined Greenyard </w:t>
      </w:r>
      <w:r w:rsidR="002A1AB1">
        <w:rPr>
          <w:szCs w:val="20"/>
          <w:lang w:eastAsia="en-GB"/>
        </w:rPr>
        <w:t>Foods</w:t>
      </w:r>
      <w:r w:rsidRPr="00992199">
        <w:rPr>
          <w:szCs w:val="20"/>
          <w:lang w:eastAsia="en-GB"/>
        </w:rPr>
        <w:t xml:space="preserve"> Group maintains defined contribution and defined benefit pension plans for its employees in certain jurisdictions.</w:t>
      </w:r>
      <w:r w:rsidR="00F13D58">
        <w:rPr>
          <w:szCs w:val="20"/>
          <w:lang w:eastAsia="en-GB"/>
        </w:rPr>
        <w:t xml:space="preserve"> </w:t>
      </w:r>
      <w:r w:rsidRPr="00992199">
        <w:rPr>
          <w:szCs w:val="20"/>
          <w:lang w:eastAsia="en-GB"/>
        </w:rPr>
        <w:t xml:space="preserve">Assumptions related to future costs, return on investments, interest rates and other actuarial assumptions have a significant impact on the funding requirements of the </w:t>
      </w:r>
      <w:r w:rsidR="001F6ABD">
        <w:rPr>
          <w:szCs w:val="20"/>
        </w:rPr>
        <w:t xml:space="preserve">Combined Greenyard </w:t>
      </w:r>
      <w:r w:rsidR="002A1AB1">
        <w:rPr>
          <w:szCs w:val="20"/>
          <w:lang w:eastAsia="en-GB"/>
        </w:rPr>
        <w:t>Foods</w:t>
      </w:r>
      <w:r w:rsidRPr="00992199">
        <w:rPr>
          <w:szCs w:val="20"/>
          <w:lang w:eastAsia="en-GB"/>
        </w:rPr>
        <w:t xml:space="preserve"> Group with respect to its defined benefit pension plans </w:t>
      </w:r>
      <w:r w:rsidR="008D4FB5">
        <w:rPr>
          <w:szCs w:val="20"/>
          <w:lang w:eastAsia="en-GB"/>
        </w:rPr>
        <w:t xml:space="preserve">(whereby it is to be noted that </w:t>
      </w:r>
      <w:r w:rsidR="008D4FB5" w:rsidRPr="008D4FB5">
        <w:rPr>
          <w:szCs w:val="20"/>
          <w:lang w:eastAsia="en-GB"/>
        </w:rPr>
        <w:t>if under a defined contribution plan, there r</w:t>
      </w:r>
      <w:r w:rsidR="00584210">
        <w:rPr>
          <w:szCs w:val="20"/>
          <w:lang w:eastAsia="en-GB"/>
        </w:rPr>
        <w:t>emains a legal or constructive o</w:t>
      </w:r>
      <w:r w:rsidR="008D4FB5" w:rsidRPr="008D4FB5">
        <w:rPr>
          <w:szCs w:val="20"/>
          <w:lang w:eastAsia="en-GB"/>
        </w:rPr>
        <w:t>bligation for the Combined Greenyard Foods Group to guarantee a certain return, which is the case in certain jurisdictions such as Germany and The Netherlands, the plan is treated as a defined benefit plan</w:t>
      </w:r>
      <w:r w:rsidR="008D4FB5">
        <w:rPr>
          <w:szCs w:val="20"/>
          <w:lang w:eastAsia="en-GB"/>
        </w:rPr>
        <w:t xml:space="preserve">) </w:t>
      </w:r>
      <w:r w:rsidRPr="00992199">
        <w:rPr>
          <w:szCs w:val="20"/>
          <w:lang w:eastAsia="en-GB"/>
        </w:rPr>
        <w:t>and its Belgian defined contribution pension plans.</w:t>
      </w:r>
      <w:r w:rsidR="008D4FB5">
        <w:rPr>
          <w:szCs w:val="20"/>
          <w:lang w:eastAsia="en-GB"/>
        </w:rPr>
        <w:t xml:space="preserve"> </w:t>
      </w:r>
      <w:r w:rsidRPr="00992199">
        <w:rPr>
          <w:szCs w:val="20"/>
          <w:lang w:eastAsia="en-GB"/>
        </w:rPr>
        <w:t xml:space="preserve">These estimates and assumptions may change based on actual return on plan assets, changes in interest rates, inflation, any changes in governmental regulations and general economic conditions. Therefore, the funding requirements of the </w:t>
      </w:r>
      <w:r w:rsidR="001F6ABD">
        <w:rPr>
          <w:szCs w:val="20"/>
        </w:rPr>
        <w:t xml:space="preserve">Combined Greenyard </w:t>
      </w:r>
      <w:r w:rsidR="002A1AB1">
        <w:rPr>
          <w:szCs w:val="20"/>
          <w:lang w:eastAsia="en-GB"/>
        </w:rPr>
        <w:t>Foods</w:t>
      </w:r>
      <w:r w:rsidRPr="00992199">
        <w:rPr>
          <w:szCs w:val="20"/>
          <w:lang w:eastAsia="en-GB"/>
        </w:rPr>
        <w:t xml:space="preserve"> Group may change and additional contributions could be required in the future. If, as of a balance sheet date, the fair value of any plan assets of a defined benefit plan is lower than the defined benefit obligations (determined based on actuarial assumptions), or in respect of a Belgian defined contribution pension plan, the return of a defined contribution pension plan is lower than the minimum return imposed by </w:t>
      </w:r>
      <w:r w:rsidRPr="00992199">
        <w:rPr>
          <w:szCs w:val="20"/>
          <w:lang w:eastAsia="en-GB"/>
        </w:rPr>
        <w:lastRenderedPageBreak/>
        <w:t xml:space="preserve">law, the </w:t>
      </w:r>
      <w:r w:rsidR="001F6ABD">
        <w:rPr>
          <w:szCs w:val="20"/>
        </w:rPr>
        <w:t xml:space="preserve">Combined Greenyard </w:t>
      </w:r>
      <w:r w:rsidR="002A1AB1">
        <w:rPr>
          <w:szCs w:val="20"/>
          <w:lang w:eastAsia="en-GB"/>
        </w:rPr>
        <w:t>Foods</w:t>
      </w:r>
      <w:r w:rsidRPr="00992199">
        <w:rPr>
          <w:szCs w:val="20"/>
          <w:lang w:eastAsia="en-GB"/>
        </w:rPr>
        <w:t xml:space="preserve"> Group bears an </w:t>
      </w:r>
      <w:r w:rsidR="00BF553B">
        <w:rPr>
          <w:szCs w:val="20"/>
          <w:lang w:eastAsia="en-GB"/>
        </w:rPr>
        <w:t>“</w:t>
      </w:r>
      <w:r w:rsidRPr="00992199">
        <w:rPr>
          <w:szCs w:val="20"/>
          <w:lang w:eastAsia="en-GB"/>
        </w:rPr>
        <w:t>underfunding risk</w:t>
      </w:r>
      <w:r w:rsidR="00BF553B">
        <w:rPr>
          <w:szCs w:val="20"/>
          <w:lang w:eastAsia="en-GB"/>
        </w:rPr>
        <w:t>”</w:t>
      </w:r>
      <w:r w:rsidRPr="00992199">
        <w:rPr>
          <w:szCs w:val="20"/>
          <w:lang w:eastAsia="en-GB"/>
        </w:rPr>
        <w:t xml:space="preserve"> at that moment in time. In addition, as far as </w:t>
      </w:r>
      <w:smartTag w:uri="urn:schemas-microsoft-com:office:smarttags" w:element="country-region">
        <w:smartTag w:uri="urn:schemas-microsoft-com:office:smarttags" w:element="place">
          <w:r w:rsidRPr="00992199">
            <w:rPr>
              <w:szCs w:val="20"/>
              <w:lang w:eastAsia="en-GB"/>
            </w:rPr>
            <w:t>Belgium</w:t>
          </w:r>
        </w:smartTag>
      </w:smartTag>
      <w:r w:rsidRPr="00992199">
        <w:rPr>
          <w:szCs w:val="20"/>
          <w:lang w:eastAsia="en-GB"/>
        </w:rPr>
        <w:t xml:space="preserve"> is concerned, the cost of pension plans might increase as a result of the mandatory harmonisation of the pension plans for white-collar and blue-collar employees. Accordingly, costs related to the obligations of the </w:t>
      </w:r>
      <w:r w:rsidR="001F6ABD">
        <w:rPr>
          <w:szCs w:val="20"/>
        </w:rPr>
        <w:t xml:space="preserve">Combined Greenyard </w:t>
      </w:r>
      <w:r w:rsidR="002A1AB1">
        <w:rPr>
          <w:szCs w:val="20"/>
          <w:lang w:eastAsia="en-GB"/>
        </w:rPr>
        <w:t>Foods</w:t>
      </w:r>
      <w:r w:rsidRPr="00992199">
        <w:rPr>
          <w:szCs w:val="20"/>
          <w:lang w:eastAsia="en-GB"/>
        </w:rPr>
        <w:t xml:space="preserve"> Group to pension and other retirement funds could escalate, thereby adversely affecting its results of operations and financial condition.</w:t>
      </w:r>
    </w:p>
    <w:p w:rsidR="003F0BC5" w:rsidRPr="00992199" w:rsidRDefault="003F0BC5" w:rsidP="00C14169">
      <w:pPr>
        <w:keepNext/>
        <w:rPr>
          <w:b/>
          <w:i/>
          <w:szCs w:val="20"/>
        </w:rPr>
      </w:pPr>
      <w:r w:rsidRPr="00992199">
        <w:rPr>
          <w:b/>
          <w:i/>
          <w:szCs w:val="20"/>
        </w:rPr>
        <w:t xml:space="preserve">The </w:t>
      </w:r>
      <w:r w:rsidR="001F6ABD" w:rsidRPr="00E13084">
        <w:rPr>
          <w:b/>
          <w:i/>
          <w:szCs w:val="20"/>
        </w:rPr>
        <w:t xml:space="preserve">Combined Greenyard </w:t>
      </w:r>
      <w:r w:rsidR="002A1AB1">
        <w:rPr>
          <w:b/>
          <w:i/>
          <w:szCs w:val="20"/>
        </w:rPr>
        <w:t>Foods</w:t>
      </w:r>
      <w:r w:rsidRPr="00992199">
        <w:rPr>
          <w:b/>
          <w:i/>
          <w:szCs w:val="20"/>
        </w:rPr>
        <w:t xml:space="preserve"> Group may be subject to misconduct by its employees, contractors and/or joint venture partners.</w:t>
      </w:r>
    </w:p>
    <w:p w:rsidR="003F0BC5" w:rsidRPr="00992199" w:rsidRDefault="003F0BC5" w:rsidP="003F0BC5">
      <w:pPr>
        <w:rPr>
          <w:szCs w:val="20"/>
        </w:rPr>
      </w:pPr>
      <w:r w:rsidRPr="00992199">
        <w:rPr>
          <w:szCs w:val="20"/>
        </w:rPr>
        <w:t xml:space="preserve">The </w:t>
      </w:r>
      <w:r w:rsidR="001F6ABD">
        <w:rPr>
          <w:szCs w:val="20"/>
        </w:rPr>
        <w:t xml:space="preserve">Combined Greenyard </w:t>
      </w:r>
      <w:r w:rsidR="002A1AB1">
        <w:rPr>
          <w:szCs w:val="20"/>
        </w:rPr>
        <w:t>Foods</w:t>
      </w:r>
      <w:r w:rsidRPr="00992199">
        <w:rPr>
          <w:szCs w:val="20"/>
        </w:rPr>
        <w:t xml:space="preserve"> Group may be subject to misconduct by its employees, contractors and/or joint venture partners, such as theft, bribery, sabotage, insider trading, violation of laws and regulations, slander or other illegal actions and may be exposed to the risk of stoppages by third parties. Any misconduct may lead to fines or other penalties, slow-downs in production, harm to reputation, increased costs, loss of revenues, increased liabilities to third parties or impairment of assets, any of which may have a material adverse effect on </w:t>
      </w:r>
      <w:r w:rsidRPr="00992199">
        <w:rPr>
          <w:szCs w:val="20"/>
          <w:lang w:eastAsia="en-GB"/>
        </w:rPr>
        <w:t xml:space="preserve">the </w:t>
      </w:r>
      <w:r w:rsidR="001F6ABD">
        <w:rPr>
          <w:szCs w:val="20"/>
        </w:rPr>
        <w:t xml:space="preserve">Combined Greenyard </w:t>
      </w:r>
      <w:r w:rsidR="002A1AB1">
        <w:rPr>
          <w:szCs w:val="20"/>
          <w:lang w:eastAsia="en-GB"/>
        </w:rPr>
        <w:t>Foods</w:t>
      </w:r>
      <w:r w:rsidRPr="00992199">
        <w:rPr>
          <w:szCs w:val="20"/>
          <w:lang w:eastAsia="en-GB"/>
        </w:rPr>
        <w:t xml:space="preserve"> Group’s</w:t>
      </w:r>
      <w:r w:rsidRPr="00992199">
        <w:rPr>
          <w:szCs w:val="20"/>
        </w:rPr>
        <w:t xml:space="preserve"> business, results of operation or financial condition.</w:t>
      </w:r>
    </w:p>
    <w:p w:rsidR="003F0BC5" w:rsidRPr="00992199" w:rsidRDefault="003F0BC5" w:rsidP="00C14169">
      <w:pPr>
        <w:keepNext/>
        <w:rPr>
          <w:b/>
          <w:i/>
          <w:szCs w:val="20"/>
        </w:rPr>
      </w:pPr>
      <w:r w:rsidRPr="00992199">
        <w:rPr>
          <w:b/>
          <w:i/>
          <w:szCs w:val="20"/>
        </w:rPr>
        <w:t xml:space="preserve">The </w:t>
      </w:r>
      <w:r w:rsidR="001F6ABD" w:rsidRPr="00E13084">
        <w:rPr>
          <w:b/>
          <w:i/>
          <w:szCs w:val="20"/>
        </w:rPr>
        <w:t xml:space="preserve">Combined Greenyard </w:t>
      </w:r>
      <w:r w:rsidR="002A1AB1">
        <w:rPr>
          <w:b/>
          <w:i/>
          <w:szCs w:val="20"/>
        </w:rPr>
        <w:t>Foods</w:t>
      </w:r>
      <w:r w:rsidRPr="00992199">
        <w:rPr>
          <w:b/>
          <w:i/>
          <w:szCs w:val="20"/>
        </w:rPr>
        <w:t xml:space="preserve"> Group may be subject to labour disputes from time to time that may adversely affect them.</w:t>
      </w:r>
    </w:p>
    <w:p w:rsidR="003F0BC5" w:rsidRPr="00992199" w:rsidRDefault="003F0BC5" w:rsidP="003F0BC5">
      <w:pPr>
        <w:rPr>
          <w:szCs w:val="20"/>
        </w:rPr>
      </w:pPr>
      <w:r w:rsidRPr="00992199">
        <w:rPr>
          <w:szCs w:val="20"/>
          <w:lang w:eastAsia="en-GB"/>
        </w:rPr>
        <w:t>The success</w:t>
      </w:r>
      <w:r w:rsidRPr="00992199">
        <w:rPr>
          <w:szCs w:val="20"/>
        </w:rPr>
        <w:t xml:space="preserve"> </w:t>
      </w:r>
      <w:r w:rsidRPr="00992199">
        <w:rPr>
          <w:szCs w:val="20"/>
          <w:lang w:eastAsia="en-GB"/>
        </w:rPr>
        <w:t xml:space="preserve">of the </w:t>
      </w:r>
      <w:r w:rsidR="001F6ABD">
        <w:rPr>
          <w:szCs w:val="20"/>
        </w:rPr>
        <w:t xml:space="preserve">Combined Greenyard </w:t>
      </w:r>
      <w:r w:rsidR="002A1AB1">
        <w:rPr>
          <w:szCs w:val="20"/>
          <w:lang w:eastAsia="en-GB"/>
        </w:rPr>
        <w:t>Foods</w:t>
      </w:r>
      <w:r w:rsidRPr="00992199">
        <w:rPr>
          <w:szCs w:val="20"/>
          <w:lang w:eastAsia="en-GB"/>
        </w:rPr>
        <w:t xml:space="preserve"> Group depends on maintaining good relations with its workforce. The employees of the </w:t>
      </w:r>
      <w:r w:rsidR="001F6ABD">
        <w:rPr>
          <w:szCs w:val="20"/>
        </w:rPr>
        <w:t xml:space="preserve">Combined Greenyard </w:t>
      </w:r>
      <w:r w:rsidR="002A1AB1">
        <w:rPr>
          <w:szCs w:val="20"/>
          <w:lang w:eastAsia="en-GB"/>
        </w:rPr>
        <w:t>Foods</w:t>
      </w:r>
      <w:r w:rsidRPr="00992199">
        <w:rPr>
          <w:szCs w:val="20"/>
          <w:lang w:eastAsia="en-GB"/>
        </w:rPr>
        <w:t xml:space="preserve"> Group are represented by unions or equivalent bodies and are covered by collective bargaining or similar agreements which are subject to periodic renegotiation. The </w:t>
      </w:r>
      <w:r w:rsidR="001F6ABD">
        <w:rPr>
          <w:szCs w:val="20"/>
        </w:rPr>
        <w:t xml:space="preserve">Combined Greenyard </w:t>
      </w:r>
      <w:r w:rsidR="002A1AB1">
        <w:rPr>
          <w:szCs w:val="20"/>
          <w:lang w:eastAsia="en-GB"/>
        </w:rPr>
        <w:t>Foods</w:t>
      </w:r>
      <w:r w:rsidRPr="00992199">
        <w:rPr>
          <w:szCs w:val="20"/>
          <w:lang w:eastAsia="en-GB"/>
        </w:rPr>
        <w:t xml:space="preserve"> Group may not successfully conclude its labour negotiations on satisfactory terms, which may result in a significant increase in the cost of labour or may result in work stoppages or labour disturbances that disrupt the </w:t>
      </w:r>
      <w:r w:rsidR="001F6ABD">
        <w:rPr>
          <w:szCs w:val="20"/>
        </w:rPr>
        <w:t xml:space="preserve">Combined Greenyard </w:t>
      </w:r>
      <w:r w:rsidR="002A1AB1">
        <w:rPr>
          <w:szCs w:val="20"/>
          <w:lang w:eastAsia="en-GB"/>
        </w:rPr>
        <w:t>Foods</w:t>
      </w:r>
      <w:r w:rsidRPr="00992199">
        <w:rPr>
          <w:szCs w:val="20"/>
          <w:lang w:eastAsia="en-GB"/>
        </w:rPr>
        <w:t xml:space="preserve"> Group’s operations and such disruptions </w:t>
      </w:r>
      <w:r w:rsidRPr="00992199">
        <w:rPr>
          <w:szCs w:val="20"/>
        </w:rPr>
        <w:t>could</w:t>
      </w:r>
      <w:r w:rsidRPr="00992199">
        <w:rPr>
          <w:szCs w:val="20"/>
          <w:lang w:eastAsia="en-GB"/>
        </w:rPr>
        <w:t xml:space="preserve"> put a strain on its relationships with suppliers and customers. Cost increases, work stoppages or disturbances that result in substantial amounts of produce not being processed could have a material and adverse effect on the business, results of operations and financial condition</w:t>
      </w:r>
      <w:r w:rsidRPr="00992199">
        <w:rPr>
          <w:szCs w:val="20"/>
        </w:rPr>
        <w:t xml:space="preserve"> </w:t>
      </w:r>
      <w:r w:rsidRPr="00992199">
        <w:rPr>
          <w:szCs w:val="20"/>
          <w:lang w:eastAsia="en-GB"/>
        </w:rPr>
        <w:t xml:space="preserve">of the </w:t>
      </w:r>
      <w:r w:rsidR="001F6ABD">
        <w:rPr>
          <w:szCs w:val="20"/>
        </w:rPr>
        <w:t xml:space="preserve">Combined Greenyard </w:t>
      </w:r>
      <w:r w:rsidR="002A1AB1">
        <w:rPr>
          <w:szCs w:val="20"/>
          <w:lang w:eastAsia="en-GB"/>
        </w:rPr>
        <w:t>Foods</w:t>
      </w:r>
      <w:r w:rsidRPr="00992199">
        <w:rPr>
          <w:szCs w:val="20"/>
          <w:lang w:eastAsia="en-GB"/>
        </w:rPr>
        <w:t xml:space="preserve"> Group.</w:t>
      </w:r>
    </w:p>
    <w:p w:rsidR="003F0BC5" w:rsidRPr="00992199" w:rsidRDefault="003F0BC5" w:rsidP="00C14169">
      <w:pPr>
        <w:keepNext/>
        <w:rPr>
          <w:b/>
          <w:i/>
          <w:szCs w:val="20"/>
        </w:rPr>
      </w:pPr>
      <w:r w:rsidRPr="00992199">
        <w:rPr>
          <w:b/>
          <w:i/>
          <w:szCs w:val="20"/>
        </w:rPr>
        <w:t xml:space="preserve">The </w:t>
      </w:r>
      <w:r w:rsidR="001F6ABD" w:rsidRPr="00E13084">
        <w:rPr>
          <w:b/>
          <w:i/>
          <w:szCs w:val="20"/>
        </w:rPr>
        <w:t xml:space="preserve">Combined Greenyard </w:t>
      </w:r>
      <w:r w:rsidR="002A1AB1">
        <w:rPr>
          <w:b/>
          <w:i/>
          <w:szCs w:val="20"/>
        </w:rPr>
        <w:t>Foods</w:t>
      </w:r>
      <w:r w:rsidRPr="00992199">
        <w:rPr>
          <w:b/>
          <w:i/>
          <w:szCs w:val="20"/>
        </w:rPr>
        <w:t xml:space="preserve"> Group</w:t>
      </w:r>
      <w:r w:rsidRPr="00E13084">
        <w:rPr>
          <w:b/>
          <w:i/>
          <w:szCs w:val="20"/>
        </w:rPr>
        <w:t xml:space="preserve"> </w:t>
      </w:r>
      <w:r w:rsidRPr="00992199">
        <w:rPr>
          <w:b/>
          <w:i/>
          <w:szCs w:val="20"/>
        </w:rPr>
        <w:t>is exposed to potential failures or disruptions in its IT systems.</w:t>
      </w:r>
    </w:p>
    <w:p w:rsidR="003F0BC5" w:rsidRPr="00992199" w:rsidRDefault="003F0BC5" w:rsidP="003F0BC5">
      <w:pPr>
        <w:rPr>
          <w:szCs w:val="20"/>
          <w:lang w:bidi="as-IN"/>
        </w:rPr>
      </w:pPr>
      <w:r w:rsidRPr="00992199">
        <w:rPr>
          <w:szCs w:val="20"/>
          <w:lang w:bidi="as-IN"/>
        </w:rPr>
        <w:t xml:space="preserve">IT systems are a central part of the business activities of the </w:t>
      </w:r>
      <w:r w:rsidR="001F6ABD">
        <w:rPr>
          <w:szCs w:val="20"/>
        </w:rPr>
        <w:t xml:space="preserve">Combined Greenyard </w:t>
      </w:r>
      <w:r w:rsidR="002A1AB1">
        <w:rPr>
          <w:szCs w:val="20"/>
          <w:lang w:bidi="as-IN"/>
        </w:rPr>
        <w:t>Foods</w:t>
      </w:r>
      <w:r w:rsidRPr="00992199">
        <w:rPr>
          <w:szCs w:val="20"/>
          <w:lang w:bidi="as-IN"/>
        </w:rPr>
        <w:t xml:space="preserve"> Group. The </w:t>
      </w:r>
      <w:r w:rsidR="001F6ABD">
        <w:rPr>
          <w:szCs w:val="20"/>
        </w:rPr>
        <w:t xml:space="preserve">Combined Greenyard </w:t>
      </w:r>
      <w:r w:rsidR="002A1AB1">
        <w:rPr>
          <w:szCs w:val="20"/>
          <w:lang w:bidi="as-IN"/>
        </w:rPr>
        <w:t>Foods</w:t>
      </w:r>
      <w:r w:rsidRPr="00992199">
        <w:rPr>
          <w:szCs w:val="20"/>
          <w:lang w:bidi="as-IN"/>
        </w:rPr>
        <w:t xml:space="preserve"> Group uses both standard software packages and legacy systems that have been developed internally. If a failure occurs in the IT systems of the </w:t>
      </w:r>
      <w:r w:rsidR="001F6ABD">
        <w:rPr>
          <w:szCs w:val="20"/>
        </w:rPr>
        <w:t xml:space="preserve">Combined Greenyard </w:t>
      </w:r>
      <w:r w:rsidR="002A1AB1">
        <w:rPr>
          <w:szCs w:val="20"/>
          <w:lang w:bidi="as-IN"/>
        </w:rPr>
        <w:t>Foods</w:t>
      </w:r>
      <w:r w:rsidRPr="00992199">
        <w:rPr>
          <w:szCs w:val="20"/>
          <w:lang w:bidi="as-IN"/>
        </w:rPr>
        <w:t xml:space="preserve"> Group, due to a breakdown, malicious attacks, viruses or other factors, this could have a serious impact on various aspects of the business, including, but not limited to, logistics, sales, customer service and administration. Disruptions in the operation of IT systems could have a material adverse effect on the business or the operating results of the </w:t>
      </w:r>
      <w:r w:rsidR="001F6ABD">
        <w:rPr>
          <w:szCs w:val="20"/>
        </w:rPr>
        <w:t xml:space="preserve">Combined Greenyard </w:t>
      </w:r>
      <w:r w:rsidR="002A1AB1">
        <w:rPr>
          <w:szCs w:val="20"/>
          <w:lang w:bidi="as-IN"/>
        </w:rPr>
        <w:t>Foods</w:t>
      </w:r>
      <w:r w:rsidRPr="00992199">
        <w:rPr>
          <w:szCs w:val="20"/>
          <w:lang w:bidi="as-IN"/>
        </w:rPr>
        <w:t xml:space="preserve"> Group. To date, the </w:t>
      </w:r>
      <w:r w:rsidR="001F6ABD">
        <w:rPr>
          <w:szCs w:val="20"/>
        </w:rPr>
        <w:t xml:space="preserve">Combined Greenyard </w:t>
      </w:r>
      <w:r w:rsidR="002A1AB1">
        <w:rPr>
          <w:szCs w:val="20"/>
          <w:lang w:bidi="as-IN"/>
        </w:rPr>
        <w:t>Foods</w:t>
      </w:r>
      <w:r w:rsidRPr="00992199">
        <w:rPr>
          <w:szCs w:val="20"/>
          <w:lang w:bidi="as-IN"/>
        </w:rPr>
        <w:t xml:space="preserve"> Group did not face any significant problems with its IT systems, but it cannot guarantee that such problems would not occur in the future.</w:t>
      </w:r>
    </w:p>
    <w:p w:rsidR="003F0BC5" w:rsidRPr="00992199" w:rsidRDefault="003F0BC5" w:rsidP="00C14169">
      <w:pPr>
        <w:keepNext/>
        <w:rPr>
          <w:b/>
          <w:i/>
          <w:szCs w:val="20"/>
        </w:rPr>
      </w:pPr>
      <w:r w:rsidRPr="00992199">
        <w:rPr>
          <w:b/>
          <w:i/>
          <w:szCs w:val="20"/>
        </w:rPr>
        <w:t xml:space="preserve">If the </w:t>
      </w:r>
      <w:r w:rsidR="001F6ABD" w:rsidRPr="00E13084">
        <w:rPr>
          <w:b/>
          <w:i/>
          <w:szCs w:val="20"/>
        </w:rPr>
        <w:t xml:space="preserve">Combined Greenyard </w:t>
      </w:r>
      <w:r w:rsidR="002A1AB1">
        <w:rPr>
          <w:b/>
          <w:i/>
          <w:szCs w:val="20"/>
        </w:rPr>
        <w:t>Foods</w:t>
      </w:r>
      <w:r w:rsidRPr="00992199">
        <w:rPr>
          <w:b/>
          <w:i/>
          <w:szCs w:val="20"/>
        </w:rPr>
        <w:t xml:space="preserve"> Group is not able to renew or maintain the approvals, licenses, permits and certificates required to operate its business, this may have a material adverse effect on its business.</w:t>
      </w:r>
    </w:p>
    <w:p w:rsidR="003F0BC5" w:rsidRPr="00992199" w:rsidRDefault="003F0BC5" w:rsidP="003F0BC5">
      <w:pPr>
        <w:rPr>
          <w:szCs w:val="20"/>
        </w:rPr>
      </w:pPr>
      <w:r w:rsidRPr="00992199">
        <w:rPr>
          <w:szCs w:val="20"/>
          <w:lang w:eastAsia="en-GB"/>
        </w:rPr>
        <w:t xml:space="preserve">The </w:t>
      </w:r>
      <w:r w:rsidR="001F6ABD">
        <w:rPr>
          <w:szCs w:val="20"/>
        </w:rPr>
        <w:t xml:space="preserve">Combined Greenyard </w:t>
      </w:r>
      <w:r w:rsidR="002A1AB1">
        <w:rPr>
          <w:szCs w:val="20"/>
          <w:lang w:eastAsia="en-GB"/>
        </w:rPr>
        <w:t>Foods</w:t>
      </w:r>
      <w:r w:rsidRPr="00992199">
        <w:rPr>
          <w:szCs w:val="20"/>
          <w:lang w:eastAsia="en-GB"/>
        </w:rPr>
        <w:t xml:space="preserve"> Group requires various approvals, licenses, permits and certificates to operate its business and facilities. The </w:t>
      </w:r>
      <w:r w:rsidR="001F6ABD">
        <w:rPr>
          <w:szCs w:val="20"/>
        </w:rPr>
        <w:t xml:space="preserve">Combined Greenyard </w:t>
      </w:r>
      <w:r w:rsidR="002A1AB1">
        <w:rPr>
          <w:szCs w:val="20"/>
          <w:lang w:eastAsia="en-GB"/>
        </w:rPr>
        <w:t>Foods</w:t>
      </w:r>
      <w:r w:rsidRPr="00992199">
        <w:rPr>
          <w:szCs w:val="20"/>
          <w:lang w:eastAsia="en-GB"/>
        </w:rPr>
        <w:t xml:space="preserve"> Group may be required to renew these approvals, licenses, permits and certificates or to obtain new approvals, licenses, permits and certificates.</w:t>
      </w:r>
    </w:p>
    <w:p w:rsidR="003F0BC5" w:rsidRPr="00992199" w:rsidRDefault="003F0BC5" w:rsidP="003F0BC5">
      <w:pPr>
        <w:rPr>
          <w:szCs w:val="20"/>
        </w:rPr>
      </w:pPr>
      <w:r w:rsidRPr="00992199">
        <w:rPr>
          <w:szCs w:val="20"/>
          <w:lang w:eastAsia="en-GB"/>
        </w:rPr>
        <w:t xml:space="preserve">In particular, the Peatinvest Group requires extraction licenses awarded by local authorities through a public tender process to exploit its peat fields in </w:t>
      </w:r>
      <w:smartTag w:uri="urn:schemas-microsoft-com:office:smarttags" w:element="country-region">
        <w:r w:rsidRPr="00992199">
          <w:rPr>
            <w:szCs w:val="20"/>
            <w:lang w:eastAsia="en-GB"/>
          </w:rPr>
          <w:t>Poland</w:t>
        </w:r>
      </w:smartTag>
      <w:r w:rsidRPr="00992199">
        <w:rPr>
          <w:szCs w:val="20"/>
          <w:lang w:eastAsia="en-GB"/>
        </w:rPr>
        <w:t xml:space="preserve"> and </w:t>
      </w:r>
      <w:smartTag w:uri="urn:schemas-microsoft-com:office:smarttags" w:element="country-region">
        <w:smartTag w:uri="urn:schemas-microsoft-com:office:smarttags" w:element="place">
          <w:r w:rsidRPr="00992199">
            <w:rPr>
              <w:szCs w:val="20"/>
              <w:lang w:eastAsia="en-GB"/>
            </w:rPr>
            <w:t>Latvia</w:t>
          </w:r>
        </w:smartTag>
      </w:smartTag>
      <w:r w:rsidRPr="00992199">
        <w:rPr>
          <w:szCs w:val="20"/>
          <w:lang w:eastAsia="en-GB"/>
        </w:rPr>
        <w:t xml:space="preserve">. The Peatinvest Group may be required to renew these licenses upon expiration of their term or to obtain new licenses for newly acquired fields. There is no absolute certainty that Peatinvest will obtain new licences that are tendered. </w:t>
      </w:r>
    </w:p>
    <w:p w:rsidR="003F0BC5" w:rsidRPr="00992199" w:rsidRDefault="003F0BC5" w:rsidP="003F0BC5">
      <w:pPr>
        <w:rPr>
          <w:szCs w:val="20"/>
        </w:rPr>
      </w:pPr>
      <w:r w:rsidRPr="00992199">
        <w:rPr>
          <w:szCs w:val="20"/>
          <w:lang w:eastAsia="en-GB"/>
        </w:rPr>
        <w:t xml:space="preserve">The </w:t>
      </w:r>
      <w:r w:rsidR="001F6ABD">
        <w:rPr>
          <w:szCs w:val="20"/>
        </w:rPr>
        <w:t xml:space="preserve">Combined Greenyard </w:t>
      </w:r>
      <w:r w:rsidR="002A1AB1">
        <w:rPr>
          <w:szCs w:val="20"/>
          <w:lang w:eastAsia="en-GB"/>
        </w:rPr>
        <w:t>Foods</w:t>
      </w:r>
      <w:r w:rsidRPr="00992199">
        <w:rPr>
          <w:szCs w:val="20"/>
          <w:lang w:eastAsia="en-GB"/>
        </w:rPr>
        <w:t xml:space="preserve"> Group cannot assure that in the future the relevant authorities will issue or renew any required approvals, licenses, permits or certificates in a timely manner or at all. Failure by the </w:t>
      </w:r>
      <w:r w:rsidR="001F6ABD">
        <w:rPr>
          <w:szCs w:val="20"/>
        </w:rPr>
        <w:t xml:space="preserve">Combined Greenyard </w:t>
      </w:r>
      <w:r w:rsidR="002A1AB1">
        <w:rPr>
          <w:szCs w:val="20"/>
          <w:lang w:eastAsia="en-GB"/>
        </w:rPr>
        <w:t>Foods</w:t>
      </w:r>
      <w:r w:rsidRPr="00992199">
        <w:rPr>
          <w:szCs w:val="20"/>
          <w:lang w:eastAsia="en-GB"/>
        </w:rPr>
        <w:t xml:space="preserve"> Group to renew, maintain or </w:t>
      </w:r>
      <w:r w:rsidRPr="00992199">
        <w:rPr>
          <w:szCs w:val="20"/>
        </w:rPr>
        <w:t>obtain</w:t>
      </w:r>
      <w:r w:rsidRPr="00992199">
        <w:rPr>
          <w:szCs w:val="20"/>
          <w:lang w:eastAsia="en-GB"/>
        </w:rPr>
        <w:t xml:space="preserve"> the required approvals, licenses, permits and certificates may interrupt the operations of the </w:t>
      </w:r>
      <w:r w:rsidR="001F6ABD">
        <w:rPr>
          <w:szCs w:val="20"/>
        </w:rPr>
        <w:t xml:space="preserve">Combined Greenyard </w:t>
      </w:r>
      <w:r w:rsidR="002A1AB1">
        <w:rPr>
          <w:szCs w:val="20"/>
          <w:lang w:eastAsia="en-GB"/>
        </w:rPr>
        <w:t>Foods</w:t>
      </w:r>
      <w:r w:rsidRPr="00992199">
        <w:rPr>
          <w:szCs w:val="20"/>
          <w:lang w:eastAsia="en-GB"/>
        </w:rPr>
        <w:t xml:space="preserve"> Group or delay or prevent the implementation of any capacity expansion or other new projects and may have a material adverse effect on the business, financial condition and results of operations of the </w:t>
      </w:r>
      <w:r w:rsidR="001F6ABD">
        <w:rPr>
          <w:szCs w:val="20"/>
        </w:rPr>
        <w:t xml:space="preserve">Combined Greenyard </w:t>
      </w:r>
      <w:r w:rsidR="002A1AB1">
        <w:rPr>
          <w:szCs w:val="20"/>
          <w:lang w:eastAsia="en-GB"/>
        </w:rPr>
        <w:t>Foods</w:t>
      </w:r>
      <w:r w:rsidRPr="00992199">
        <w:rPr>
          <w:szCs w:val="20"/>
          <w:lang w:eastAsia="en-GB"/>
        </w:rPr>
        <w:t xml:space="preserve"> Group.</w:t>
      </w:r>
    </w:p>
    <w:p w:rsidR="003F0BC5" w:rsidRPr="00992199" w:rsidRDefault="003F0BC5" w:rsidP="003F0BC5">
      <w:pPr>
        <w:rPr>
          <w:b/>
          <w:i/>
          <w:szCs w:val="20"/>
        </w:rPr>
      </w:pPr>
      <w:r w:rsidRPr="00992199">
        <w:rPr>
          <w:szCs w:val="20"/>
          <w:lang w:eastAsia="en-GB"/>
        </w:rPr>
        <w:t xml:space="preserve">In addition, the </w:t>
      </w:r>
      <w:r w:rsidR="001F6ABD">
        <w:rPr>
          <w:szCs w:val="20"/>
        </w:rPr>
        <w:t xml:space="preserve">Combined Greenyard </w:t>
      </w:r>
      <w:r w:rsidR="002A1AB1">
        <w:rPr>
          <w:szCs w:val="20"/>
          <w:lang w:eastAsia="en-GB"/>
        </w:rPr>
        <w:t>Foods</w:t>
      </w:r>
      <w:r w:rsidRPr="00992199">
        <w:rPr>
          <w:szCs w:val="20"/>
          <w:lang w:eastAsia="en-GB"/>
        </w:rPr>
        <w:t xml:space="preserve"> Group cannot guarantee that it is currently in compliance with all applicable requirements for permits and licenses, nor that it will be able to comply with any future requirements for necessary permits and licenses. Failure to obtain or renew any necessary permits and licenses could subject the </w:t>
      </w:r>
      <w:r w:rsidR="001F6ABD">
        <w:rPr>
          <w:szCs w:val="20"/>
        </w:rPr>
        <w:t xml:space="preserve">Combined Greenyard </w:t>
      </w:r>
      <w:r w:rsidR="002A1AB1">
        <w:rPr>
          <w:szCs w:val="20"/>
          <w:lang w:eastAsia="en-GB"/>
        </w:rPr>
        <w:t>Foods</w:t>
      </w:r>
      <w:r w:rsidRPr="00992199">
        <w:rPr>
          <w:szCs w:val="20"/>
          <w:lang w:eastAsia="en-GB"/>
        </w:rPr>
        <w:t xml:space="preserve"> Group to civil remedies including fines, injunctions, recalls or seizures, as well as potential criminal sanctions.</w:t>
      </w:r>
    </w:p>
    <w:p w:rsidR="003F0BC5" w:rsidRPr="00992199" w:rsidRDefault="003F0BC5" w:rsidP="00C14169">
      <w:pPr>
        <w:keepNext/>
        <w:rPr>
          <w:b/>
          <w:i/>
          <w:szCs w:val="20"/>
        </w:rPr>
      </w:pPr>
      <w:r w:rsidRPr="00992199">
        <w:rPr>
          <w:b/>
          <w:i/>
          <w:szCs w:val="20"/>
        </w:rPr>
        <w:lastRenderedPageBreak/>
        <w:t xml:space="preserve">The </w:t>
      </w:r>
      <w:r w:rsidR="001F6ABD" w:rsidRPr="00E13084">
        <w:rPr>
          <w:b/>
          <w:i/>
          <w:szCs w:val="20"/>
        </w:rPr>
        <w:t xml:space="preserve">Combined Greenyard </w:t>
      </w:r>
      <w:r w:rsidR="002A1AB1">
        <w:rPr>
          <w:b/>
          <w:i/>
          <w:szCs w:val="20"/>
        </w:rPr>
        <w:t>Foods</w:t>
      </w:r>
      <w:r w:rsidRPr="00992199">
        <w:rPr>
          <w:b/>
          <w:i/>
          <w:szCs w:val="20"/>
        </w:rPr>
        <w:t xml:space="preserve"> Group leases a significant portion of its facilities, which gives rise to administrative and legal risks, including that its rights to land may be challenged and the </w:t>
      </w:r>
      <w:r w:rsidR="001F6ABD" w:rsidRPr="00E13084">
        <w:rPr>
          <w:b/>
          <w:i/>
          <w:szCs w:val="20"/>
        </w:rPr>
        <w:t xml:space="preserve">Combined Greenyard </w:t>
      </w:r>
      <w:r w:rsidR="002A1AB1">
        <w:rPr>
          <w:b/>
          <w:i/>
          <w:szCs w:val="20"/>
        </w:rPr>
        <w:t>Foods</w:t>
      </w:r>
      <w:r w:rsidRPr="00992199">
        <w:rPr>
          <w:b/>
          <w:i/>
          <w:szCs w:val="20"/>
        </w:rPr>
        <w:t xml:space="preserve"> Group may not be able to renew its lease agreements.</w:t>
      </w:r>
    </w:p>
    <w:p w:rsidR="003F0BC5" w:rsidRPr="00992199" w:rsidRDefault="003F0BC5" w:rsidP="003F0BC5">
      <w:pPr>
        <w:rPr>
          <w:szCs w:val="20"/>
        </w:rPr>
      </w:pPr>
      <w:r w:rsidRPr="00992199">
        <w:rPr>
          <w:szCs w:val="20"/>
          <w:lang w:eastAsia="en-GB"/>
        </w:rPr>
        <w:t xml:space="preserve">Currently, a significant portion of the </w:t>
      </w:r>
      <w:r w:rsidR="001F6ABD">
        <w:rPr>
          <w:szCs w:val="20"/>
        </w:rPr>
        <w:t xml:space="preserve">Combined Greenyard </w:t>
      </w:r>
      <w:r w:rsidR="002A1AB1">
        <w:rPr>
          <w:szCs w:val="20"/>
          <w:lang w:eastAsia="en-GB"/>
        </w:rPr>
        <w:t>Foods</w:t>
      </w:r>
      <w:r w:rsidRPr="00992199">
        <w:rPr>
          <w:szCs w:val="20"/>
          <w:lang w:eastAsia="en-GB"/>
        </w:rPr>
        <w:t xml:space="preserve"> Group’s area of production facilities and other types of facilities used by the </w:t>
      </w:r>
      <w:r w:rsidR="001F6ABD">
        <w:rPr>
          <w:szCs w:val="20"/>
        </w:rPr>
        <w:t xml:space="preserve">Combined Greenyard </w:t>
      </w:r>
      <w:r w:rsidR="002A1AB1">
        <w:rPr>
          <w:szCs w:val="20"/>
          <w:lang w:eastAsia="en-GB"/>
        </w:rPr>
        <w:t>Foods</w:t>
      </w:r>
      <w:r w:rsidRPr="00992199">
        <w:rPr>
          <w:szCs w:val="20"/>
          <w:lang w:eastAsia="en-GB"/>
        </w:rPr>
        <w:t xml:space="preserve"> Group in the ordinary course of its business is leased or is subject to agriculture partnership agreements. The </w:t>
      </w:r>
      <w:r w:rsidR="001F6ABD">
        <w:rPr>
          <w:szCs w:val="20"/>
        </w:rPr>
        <w:t xml:space="preserve">Combined Greenyard </w:t>
      </w:r>
      <w:r w:rsidR="002A1AB1">
        <w:rPr>
          <w:szCs w:val="20"/>
          <w:lang w:eastAsia="en-GB"/>
        </w:rPr>
        <w:t>Foods</w:t>
      </w:r>
      <w:r w:rsidRPr="00992199">
        <w:rPr>
          <w:szCs w:val="20"/>
          <w:lang w:eastAsia="en-GB"/>
        </w:rPr>
        <w:t xml:space="preserve"> Group cannot guarantee that these leases, concession rights or agriculture partnerships will be renewed after the expiry of their respective terms. Even if the </w:t>
      </w:r>
      <w:r w:rsidR="001F6ABD">
        <w:rPr>
          <w:szCs w:val="20"/>
        </w:rPr>
        <w:t xml:space="preserve">Combined Greenyard </w:t>
      </w:r>
      <w:r w:rsidR="002A1AB1">
        <w:rPr>
          <w:szCs w:val="20"/>
          <w:lang w:eastAsia="en-GB"/>
        </w:rPr>
        <w:t>Foods</w:t>
      </w:r>
      <w:r w:rsidRPr="00992199">
        <w:rPr>
          <w:szCs w:val="20"/>
          <w:lang w:eastAsia="en-GB"/>
        </w:rPr>
        <w:t xml:space="preserve"> Group is able to renew these agreements, the </w:t>
      </w:r>
      <w:r w:rsidR="001F6ABD">
        <w:rPr>
          <w:szCs w:val="20"/>
        </w:rPr>
        <w:t xml:space="preserve">Combined Greenyard </w:t>
      </w:r>
      <w:r w:rsidR="002A1AB1">
        <w:rPr>
          <w:szCs w:val="20"/>
          <w:lang w:eastAsia="en-GB"/>
        </w:rPr>
        <w:t>Foods</w:t>
      </w:r>
      <w:r w:rsidRPr="00992199">
        <w:rPr>
          <w:szCs w:val="20"/>
          <w:lang w:eastAsia="en-GB"/>
        </w:rPr>
        <w:t xml:space="preserve"> Group cannot guarantee that such renewals will be on terms and conditions satisfactory to it. Furthermore, the </w:t>
      </w:r>
      <w:r w:rsidR="001F6ABD">
        <w:rPr>
          <w:szCs w:val="20"/>
        </w:rPr>
        <w:t xml:space="preserve">Combined Greenyard </w:t>
      </w:r>
      <w:r w:rsidR="002A1AB1">
        <w:rPr>
          <w:szCs w:val="20"/>
          <w:lang w:eastAsia="en-GB"/>
        </w:rPr>
        <w:t>Foods</w:t>
      </w:r>
      <w:r w:rsidRPr="00992199">
        <w:rPr>
          <w:szCs w:val="20"/>
          <w:lang w:eastAsia="en-GB"/>
        </w:rPr>
        <w:t xml:space="preserve"> Group might not at all times comply with all the terms of certain leases, concession rights or agriculture partnerships and this can lead to renegotiation of, or litigation in relation to, such agreements which might be costly and hinder the timely and effective management of the activities of the </w:t>
      </w:r>
      <w:r w:rsidR="001F6ABD">
        <w:rPr>
          <w:szCs w:val="20"/>
        </w:rPr>
        <w:t xml:space="preserve">Combined Greenyard </w:t>
      </w:r>
      <w:r w:rsidR="002A1AB1">
        <w:rPr>
          <w:szCs w:val="20"/>
          <w:lang w:eastAsia="en-GB"/>
        </w:rPr>
        <w:t>Foods</w:t>
      </w:r>
      <w:r w:rsidRPr="00992199">
        <w:rPr>
          <w:szCs w:val="20"/>
          <w:lang w:eastAsia="en-GB"/>
        </w:rPr>
        <w:t xml:space="preserve"> Group. Any failure to renew the leases, concession rights or agriculture partnerships or obtain land suitable for crop planting in sufficient quantity and at reasonable prices to develop its activities could adversely affect the results of operations</w:t>
      </w:r>
      <w:r w:rsidRPr="00992199">
        <w:rPr>
          <w:szCs w:val="20"/>
        </w:rPr>
        <w:t xml:space="preserve"> </w:t>
      </w:r>
      <w:r w:rsidRPr="00992199">
        <w:rPr>
          <w:szCs w:val="20"/>
          <w:lang w:eastAsia="en-GB"/>
        </w:rPr>
        <w:t xml:space="preserve">of the </w:t>
      </w:r>
      <w:r w:rsidR="001F6ABD">
        <w:rPr>
          <w:szCs w:val="20"/>
        </w:rPr>
        <w:t xml:space="preserve">Combined Greenyard </w:t>
      </w:r>
      <w:r w:rsidR="002A1AB1">
        <w:rPr>
          <w:szCs w:val="20"/>
          <w:lang w:eastAsia="en-GB"/>
        </w:rPr>
        <w:t>Foods</w:t>
      </w:r>
      <w:r w:rsidRPr="00992199">
        <w:rPr>
          <w:szCs w:val="20"/>
          <w:lang w:eastAsia="en-GB"/>
        </w:rPr>
        <w:t xml:space="preserve"> Group, increase its costs or force the </w:t>
      </w:r>
      <w:r w:rsidR="001F6ABD">
        <w:rPr>
          <w:szCs w:val="20"/>
        </w:rPr>
        <w:t xml:space="preserve">Combined Greenyard </w:t>
      </w:r>
      <w:r w:rsidR="002A1AB1">
        <w:rPr>
          <w:szCs w:val="20"/>
          <w:lang w:eastAsia="en-GB"/>
        </w:rPr>
        <w:t>Foods</w:t>
      </w:r>
      <w:r w:rsidRPr="00992199">
        <w:rPr>
          <w:szCs w:val="20"/>
          <w:lang w:eastAsia="en-GB"/>
        </w:rPr>
        <w:t xml:space="preserve"> Group to seek alternative properties, which may not be available or be available only at higher prices.</w:t>
      </w:r>
    </w:p>
    <w:p w:rsidR="003F0BC5" w:rsidRPr="00992199" w:rsidRDefault="003F0BC5" w:rsidP="00C14169">
      <w:pPr>
        <w:keepNext/>
        <w:rPr>
          <w:b/>
          <w:i/>
          <w:szCs w:val="20"/>
        </w:rPr>
      </w:pPr>
      <w:r w:rsidRPr="00992199">
        <w:rPr>
          <w:b/>
          <w:i/>
          <w:szCs w:val="20"/>
        </w:rPr>
        <w:t xml:space="preserve">The strategy of diversifying the product line, expanding into new geographic markets and increasing the value-added services that the </w:t>
      </w:r>
      <w:r w:rsidR="001F6ABD" w:rsidRPr="00E13084">
        <w:rPr>
          <w:b/>
          <w:i/>
          <w:szCs w:val="20"/>
        </w:rPr>
        <w:t xml:space="preserve">Combined Greenyard </w:t>
      </w:r>
      <w:r w:rsidR="002A1AB1">
        <w:rPr>
          <w:b/>
          <w:i/>
          <w:szCs w:val="20"/>
        </w:rPr>
        <w:t>Foods</w:t>
      </w:r>
      <w:r w:rsidRPr="00992199">
        <w:rPr>
          <w:b/>
          <w:i/>
          <w:szCs w:val="20"/>
        </w:rPr>
        <w:t xml:space="preserve"> Group provides to its customers may not be successful.</w:t>
      </w:r>
    </w:p>
    <w:p w:rsidR="003F0BC5" w:rsidRPr="00992199" w:rsidRDefault="003F0BC5" w:rsidP="003F0BC5">
      <w:pPr>
        <w:rPr>
          <w:szCs w:val="20"/>
        </w:rPr>
      </w:pPr>
      <w:r w:rsidRPr="00992199">
        <w:rPr>
          <w:szCs w:val="20"/>
        </w:rPr>
        <w:t xml:space="preserve">The </w:t>
      </w:r>
      <w:r w:rsidR="001F6ABD">
        <w:rPr>
          <w:szCs w:val="20"/>
        </w:rPr>
        <w:t xml:space="preserve">Combined Greenyard </w:t>
      </w:r>
      <w:r w:rsidR="002A1AB1">
        <w:rPr>
          <w:szCs w:val="20"/>
        </w:rPr>
        <w:t>Foods</w:t>
      </w:r>
      <w:r w:rsidRPr="00992199">
        <w:rPr>
          <w:szCs w:val="20"/>
        </w:rPr>
        <w:t xml:space="preserve"> Group is diversifying its product line through acquisitions and internal growth. In particular, the Univeg Group has expanded its service offerings to include a higher proportion of value-added services, such as the preparation of fresh-cut produce, ripening, customised sorting and packing, direct-to-store delivery and in-store merchandising and promotional support. In recent periods, the Univeg Group has made significant investments in service and distribution centres, fresh-cut and prepared food facilities through capital expenditures and has expanded the Univeg Group’s business into new geographic markets. The </w:t>
      </w:r>
      <w:r w:rsidR="001F6ABD">
        <w:rPr>
          <w:szCs w:val="20"/>
        </w:rPr>
        <w:t xml:space="preserve">Combined Greenyard </w:t>
      </w:r>
      <w:r w:rsidR="002A1AB1">
        <w:rPr>
          <w:szCs w:val="20"/>
        </w:rPr>
        <w:t>Foods</w:t>
      </w:r>
      <w:r w:rsidRPr="00992199">
        <w:rPr>
          <w:szCs w:val="20"/>
        </w:rPr>
        <w:t xml:space="preserve"> Group may not be able to realise its strategy or recover these investments as a result of decreasing demand for this type of value-added service, as a result of the customers of the </w:t>
      </w:r>
      <w:r w:rsidR="001F6ABD">
        <w:rPr>
          <w:szCs w:val="20"/>
        </w:rPr>
        <w:t xml:space="preserve">Combined Greenyard </w:t>
      </w:r>
      <w:r w:rsidR="002A1AB1">
        <w:rPr>
          <w:szCs w:val="20"/>
        </w:rPr>
        <w:t>Foods</w:t>
      </w:r>
      <w:r w:rsidRPr="00992199">
        <w:rPr>
          <w:szCs w:val="20"/>
        </w:rPr>
        <w:t xml:space="preserve"> Group resolving to integrate vertically themselves, or as a result of competitors copying the solutions and services of the </w:t>
      </w:r>
      <w:r w:rsidR="001F6ABD">
        <w:rPr>
          <w:szCs w:val="20"/>
        </w:rPr>
        <w:t xml:space="preserve">Combined Greenyard </w:t>
      </w:r>
      <w:r w:rsidR="002A1AB1">
        <w:rPr>
          <w:szCs w:val="20"/>
        </w:rPr>
        <w:t>Foods</w:t>
      </w:r>
      <w:r w:rsidRPr="00992199">
        <w:rPr>
          <w:szCs w:val="20"/>
        </w:rPr>
        <w:t xml:space="preserve"> Group, thus commoditising them and thereby lowering market prices. If the </w:t>
      </w:r>
      <w:r w:rsidR="001F6ABD">
        <w:rPr>
          <w:szCs w:val="20"/>
        </w:rPr>
        <w:t xml:space="preserve">Combined Greenyard </w:t>
      </w:r>
      <w:r w:rsidR="002A1AB1">
        <w:rPr>
          <w:szCs w:val="20"/>
        </w:rPr>
        <w:t>Foods</w:t>
      </w:r>
      <w:r w:rsidRPr="00992199">
        <w:rPr>
          <w:szCs w:val="20"/>
        </w:rPr>
        <w:t xml:space="preserve"> Group is not successful in its diversification efforts or to implement additional value-added services, the business, financial condition or results of operations of the </w:t>
      </w:r>
      <w:r w:rsidR="001F6ABD">
        <w:rPr>
          <w:szCs w:val="20"/>
        </w:rPr>
        <w:t xml:space="preserve">Combined Greenyard </w:t>
      </w:r>
      <w:r w:rsidR="002A1AB1">
        <w:rPr>
          <w:szCs w:val="20"/>
        </w:rPr>
        <w:t>Foods</w:t>
      </w:r>
      <w:r w:rsidRPr="00992199">
        <w:rPr>
          <w:szCs w:val="20"/>
        </w:rPr>
        <w:t xml:space="preserve"> Group could be further materially and adversely affected</w:t>
      </w:r>
      <w:r w:rsidR="0094005D">
        <w:rPr>
          <w:szCs w:val="20"/>
        </w:rPr>
        <w:t>.</w:t>
      </w:r>
    </w:p>
    <w:p w:rsidR="003F0BC5" w:rsidRPr="00992199" w:rsidRDefault="0094005D" w:rsidP="00C14169">
      <w:pPr>
        <w:keepNext/>
        <w:rPr>
          <w:b/>
          <w:i/>
          <w:szCs w:val="20"/>
        </w:rPr>
      </w:pPr>
      <w:r>
        <w:rPr>
          <w:b/>
          <w:i/>
          <w:szCs w:val="20"/>
        </w:rPr>
        <w:t xml:space="preserve">The </w:t>
      </w:r>
      <w:r w:rsidR="001F6ABD" w:rsidRPr="00E13084">
        <w:rPr>
          <w:b/>
          <w:i/>
          <w:szCs w:val="20"/>
        </w:rPr>
        <w:t xml:space="preserve">Combined Greenyard </w:t>
      </w:r>
      <w:r w:rsidR="002A1AB1">
        <w:rPr>
          <w:b/>
          <w:i/>
          <w:szCs w:val="20"/>
        </w:rPr>
        <w:t>Foods</w:t>
      </w:r>
      <w:r>
        <w:rPr>
          <w:b/>
          <w:i/>
          <w:szCs w:val="20"/>
        </w:rPr>
        <w:t xml:space="preserve"> Group </w:t>
      </w:r>
      <w:r w:rsidR="003F0BC5" w:rsidRPr="00992199">
        <w:rPr>
          <w:b/>
          <w:i/>
          <w:szCs w:val="20"/>
        </w:rPr>
        <w:t>may be unable to identify or complete potential acquisitions on commercially satisfactory terms or may not be able to integrate successfully acquired business</w:t>
      </w:r>
      <w:r w:rsidR="00584210">
        <w:rPr>
          <w:b/>
          <w:i/>
          <w:szCs w:val="20"/>
        </w:rPr>
        <w:t>es</w:t>
      </w:r>
      <w:r w:rsidR="003F0BC5" w:rsidRPr="00992199">
        <w:rPr>
          <w:b/>
          <w:i/>
          <w:szCs w:val="20"/>
        </w:rPr>
        <w:t>, which could have a material adverse effect on the business, results of operations and financial condition</w:t>
      </w:r>
      <w:r w:rsidR="003F0BC5" w:rsidRPr="00E13084">
        <w:rPr>
          <w:b/>
          <w:i/>
          <w:szCs w:val="20"/>
        </w:rPr>
        <w:t xml:space="preserve"> </w:t>
      </w:r>
      <w:r w:rsidR="003F0BC5" w:rsidRPr="00992199">
        <w:rPr>
          <w:b/>
          <w:i/>
          <w:szCs w:val="20"/>
        </w:rPr>
        <w:t xml:space="preserve">of the </w:t>
      </w:r>
      <w:r w:rsidR="001F6ABD" w:rsidRPr="00E13084">
        <w:rPr>
          <w:b/>
          <w:i/>
          <w:szCs w:val="20"/>
        </w:rPr>
        <w:t xml:space="preserve">Combined Greenyard </w:t>
      </w:r>
      <w:r w:rsidR="002A1AB1">
        <w:rPr>
          <w:b/>
          <w:i/>
          <w:szCs w:val="20"/>
        </w:rPr>
        <w:t>Foods</w:t>
      </w:r>
      <w:r w:rsidR="003F0BC5" w:rsidRPr="00992199">
        <w:rPr>
          <w:b/>
          <w:i/>
          <w:szCs w:val="20"/>
        </w:rPr>
        <w:t xml:space="preserve"> Group.</w:t>
      </w:r>
    </w:p>
    <w:p w:rsidR="003F0BC5" w:rsidRPr="00992199" w:rsidRDefault="003F0BC5" w:rsidP="003F0BC5">
      <w:pPr>
        <w:rPr>
          <w:szCs w:val="20"/>
        </w:rPr>
      </w:pPr>
      <w:r w:rsidRPr="00992199">
        <w:rPr>
          <w:szCs w:val="20"/>
          <w:lang w:eastAsia="en-GB"/>
        </w:rPr>
        <w:t xml:space="preserve">Acquisitions have been an important part of the growth of the </w:t>
      </w:r>
      <w:r w:rsidR="001F6ABD">
        <w:rPr>
          <w:szCs w:val="20"/>
        </w:rPr>
        <w:t xml:space="preserve">Combined Greenyard </w:t>
      </w:r>
      <w:r w:rsidR="002A1AB1">
        <w:rPr>
          <w:szCs w:val="20"/>
          <w:lang w:eastAsia="en-GB"/>
        </w:rPr>
        <w:t>Foods</w:t>
      </w:r>
      <w:r w:rsidRPr="00992199">
        <w:rPr>
          <w:szCs w:val="20"/>
          <w:lang w:eastAsia="en-GB"/>
        </w:rPr>
        <w:t xml:space="preserve"> Group and further acquisitions, determined on a case-by-case basis, cannot be excluded. </w:t>
      </w:r>
      <w:r w:rsidR="0094005D" w:rsidRPr="0094005D">
        <w:rPr>
          <w:szCs w:val="20"/>
          <w:lang w:eastAsia="en-GB"/>
        </w:rPr>
        <w:t xml:space="preserve">The </w:t>
      </w:r>
      <w:r w:rsidR="001F6ABD">
        <w:rPr>
          <w:szCs w:val="20"/>
        </w:rPr>
        <w:t xml:space="preserve">Combined Greenyard </w:t>
      </w:r>
      <w:r w:rsidR="002A1AB1">
        <w:rPr>
          <w:szCs w:val="20"/>
          <w:lang w:eastAsia="en-GB"/>
        </w:rPr>
        <w:t>Foods</w:t>
      </w:r>
      <w:r w:rsidR="0094005D" w:rsidRPr="0094005D">
        <w:rPr>
          <w:szCs w:val="20"/>
          <w:lang w:eastAsia="en-GB"/>
        </w:rPr>
        <w:t xml:space="preserve"> Group may be unable to identify or complete potential acquisitions </w:t>
      </w:r>
      <w:r w:rsidR="00EA279B">
        <w:rPr>
          <w:szCs w:val="20"/>
          <w:lang w:eastAsia="en-GB"/>
        </w:rPr>
        <w:t xml:space="preserve">that are necessary for its growth </w:t>
      </w:r>
      <w:r w:rsidR="0094005D" w:rsidRPr="0094005D">
        <w:rPr>
          <w:szCs w:val="20"/>
          <w:lang w:eastAsia="en-GB"/>
        </w:rPr>
        <w:t>on commercially satisfactory terms</w:t>
      </w:r>
      <w:r w:rsidR="0094005D">
        <w:rPr>
          <w:szCs w:val="20"/>
          <w:lang w:eastAsia="en-GB"/>
        </w:rPr>
        <w:t>. In addition, a</w:t>
      </w:r>
      <w:r w:rsidRPr="00992199">
        <w:rPr>
          <w:szCs w:val="20"/>
          <w:lang w:eastAsia="en-GB"/>
        </w:rPr>
        <w:t xml:space="preserve">s with any acquisition, there is a risk that corporate cultures do not match, expected synergies do not materialise fully or at all, restructurings prove to be more costly than initially anticipated, </w:t>
      </w:r>
      <w:r w:rsidRPr="00992199">
        <w:rPr>
          <w:szCs w:val="20"/>
        </w:rPr>
        <w:t>acquired</w:t>
      </w:r>
      <w:r w:rsidRPr="00992199">
        <w:rPr>
          <w:szCs w:val="20"/>
          <w:lang w:eastAsia="en-GB"/>
        </w:rPr>
        <w:t xml:space="preserve"> companies prove to be more difficult to integrate than foreseen, the integration of the assets may meet unexpected difficulties or the acquired businesses may not develop as expected. No assurances can therefore be given that the expected advantages or synergies from the acquisitions would materialise.</w:t>
      </w:r>
    </w:p>
    <w:p w:rsidR="003F0BC5" w:rsidRPr="00992199" w:rsidRDefault="003F0BC5" w:rsidP="003F0BC5">
      <w:pPr>
        <w:rPr>
          <w:b/>
          <w:i/>
          <w:szCs w:val="20"/>
        </w:rPr>
      </w:pPr>
      <w:r w:rsidRPr="00992199">
        <w:rPr>
          <w:szCs w:val="20"/>
          <w:lang w:eastAsia="en-GB"/>
        </w:rPr>
        <w:t xml:space="preserve">Furthermore, as the </w:t>
      </w:r>
      <w:r w:rsidR="001F6ABD">
        <w:rPr>
          <w:szCs w:val="20"/>
        </w:rPr>
        <w:t xml:space="preserve">Combined Greenyard </w:t>
      </w:r>
      <w:r w:rsidR="002A1AB1">
        <w:rPr>
          <w:szCs w:val="20"/>
          <w:lang w:eastAsia="en-GB"/>
        </w:rPr>
        <w:t>Foods</w:t>
      </w:r>
      <w:r w:rsidRPr="00992199">
        <w:rPr>
          <w:szCs w:val="20"/>
          <w:lang w:eastAsia="en-GB"/>
        </w:rPr>
        <w:t xml:space="preserve"> Group continues to expand through bolt-on acquisitions, one of its key challenges consists of the integration of its managerial, operational and financial systems. If the </w:t>
      </w:r>
      <w:r w:rsidR="001F6ABD">
        <w:rPr>
          <w:szCs w:val="20"/>
        </w:rPr>
        <w:t xml:space="preserve">Combined Greenyard </w:t>
      </w:r>
      <w:r w:rsidR="002A1AB1">
        <w:rPr>
          <w:szCs w:val="20"/>
          <w:lang w:eastAsia="en-GB"/>
        </w:rPr>
        <w:t>Foods</w:t>
      </w:r>
      <w:r w:rsidRPr="00992199">
        <w:rPr>
          <w:szCs w:val="20"/>
          <w:lang w:eastAsia="en-GB"/>
        </w:rPr>
        <w:t xml:space="preserve"> Group fails to address these challenges, this could adversely impact its business operations, financial position and/or operational results.</w:t>
      </w:r>
    </w:p>
    <w:p w:rsidR="003F0BC5" w:rsidRPr="00992199" w:rsidRDefault="003F0BC5" w:rsidP="00C14169">
      <w:pPr>
        <w:keepNext/>
        <w:rPr>
          <w:b/>
          <w:i/>
          <w:szCs w:val="20"/>
        </w:rPr>
      </w:pPr>
      <w:r w:rsidRPr="00992199">
        <w:rPr>
          <w:b/>
          <w:i/>
          <w:szCs w:val="20"/>
        </w:rPr>
        <w:t xml:space="preserve">The </w:t>
      </w:r>
      <w:r w:rsidR="001F6ABD" w:rsidRPr="00E13084">
        <w:rPr>
          <w:b/>
          <w:i/>
          <w:szCs w:val="20"/>
        </w:rPr>
        <w:t xml:space="preserve">Combined Greenyard </w:t>
      </w:r>
      <w:r w:rsidR="002A1AB1">
        <w:rPr>
          <w:b/>
          <w:i/>
          <w:szCs w:val="20"/>
        </w:rPr>
        <w:t>Foods</w:t>
      </w:r>
      <w:r w:rsidRPr="00992199">
        <w:rPr>
          <w:b/>
          <w:i/>
          <w:szCs w:val="20"/>
        </w:rPr>
        <w:t xml:space="preserve"> Group may be exposed to future liability claims in relation to past divestitures. The future growth of the </w:t>
      </w:r>
      <w:r w:rsidR="001F6ABD" w:rsidRPr="00E13084">
        <w:rPr>
          <w:b/>
          <w:i/>
          <w:szCs w:val="20"/>
        </w:rPr>
        <w:t xml:space="preserve">Combined Greenyard </w:t>
      </w:r>
      <w:r w:rsidR="002A1AB1">
        <w:rPr>
          <w:b/>
          <w:i/>
          <w:szCs w:val="20"/>
        </w:rPr>
        <w:t>Foods</w:t>
      </w:r>
      <w:r w:rsidRPr="00992199">
        <w:rPr>
          <w:b/>
          <w:i/>
          <w:szCs w:val="20"/>
        </w:rPr>
        <w:t xml:space="preserve"> Group may be impeded by non-compete undertakings imposed on them in the course of past or future divestitures.</w:t>
      </w:r>
    </w:p>
    <w:p w:rsidR="003F0BC5" w:rsidRPr="00992199" w:rsidRDefault="003F0BC5" w:rsidP="003F0BC5">
      <w:pPr>
        <w:rPr>
          <w:szCs w:val="20"/>
        </w:rPr>
      </w:pPr>
      <w:r w:rsidRPr="00992199">
        <w:rPr>
          <w:szCs w:val="20"/>
          <w:lang w:eastAsia="en-GB"/>
        </w:rPr>
        <w:t xml:space="preserve">In relation to past and/or future divestitures, the </w:t>
      </w:r>
      <w:r w:rsidR="001F6ABD">
        <w:rPr>
          <w:szCs w:val="20"/>
        </w:rPr>
        <w:t xml:space="preserve">Combined Greenyard </w:t>
      </w:r>
      <w:r w:rsidR="002A1AB1">
        <w:rPr>
          <w:szCs w:val="20"/>
          <w:lang w:eastAsia="en-GB"/>
        </w:rPr>
        <w:t>Foods</w:t>
      </w:r>
      <w:r w:rsidRPr="00992199">
        <w:rPr>
          <w:szCs w:val="20"/>
          <w:lang w:eastAsia="en-GB"/>
        </w:rPr>
        <w:t xml:space="preserve"> Group has entered or may enter into several divestiture agreements which include representations </w:t>
      </w:r>
      <w:r w:rsidRPr="00992199">
        <w:rPr>
          <w:szCs w:val="20"/>
        </w:rPr>
        <w:t>and</w:t>
      </w:r>
      <w:r w:rsidRPr="00992199">
        <w:rPr>
          <w:szCs w:val="20"/>
          <w:lang w:eastAsia="en-GB"/>
        </w:rPr>
        <w:t xml:space="preserve"> warranties as well as indemnities given by the </w:t>
      </w:r>
      <w:r w:rsidR="001F6ABD">
        <w:rPr>
          <w:szCs w:val="20"/>
        </w:rPr>
        <w:t xml:space="preserve">Combined Greenyard </w:t>
      </w:r>
      <w:r w:rsidR="002A1AB1">
        <w:rPr>
          <w:szCs w:val="20"/>
          <w:lang w:eastAsia="en-GB"/>
        </w:rPr>
        <w:t>Foods</w:t>
      </w:r>
      <w:r w:rsidRPr="00992199">
        <w:rPr>
          <w:szCs w:val="20"/>
          <w:lang w:eastAsia="en-GB"/>
        </w:rPr>
        <w:t xml:space="preserve"> Group as seller. It cannot be excluded that, if a risk materialises, acquirers </w:t>
      </w:r>
      <w:r w:rsidRPr="00992199">
        <w:rPr>
          <w:szCs w:val="20"/>
          <w:lang w:eastAsia="en-GB"/>
        </w:rPr>
        <w:lastRenderedPageBreak/>
        <w:t xml:space="preserve">initiate a claim against the </w:t>
      </w:r>
      <w:r w:rsidR="001F6ABD">
        <w:rPr>
          <w:szCs w:val="20"/>
        </w:rPr>
        <w:t xml:space="preserve">Combined Greenyard </w:t>
      </w:r>
      <w:r w:rsidR="002A1AB1">
        <w:rPr>
          <w:szCs w:val="20"/>
          <w:lang w:eastAsia="en-GB"/>
        </w:rPr>
        <w:t>Foods</w:t>
      </w:r>
      <w:r w:rsidRPr="00992199">
        <w:rPr>
          <w:szCs w:val="20"/>
          <w:lang w:eastAsia="en-GB"/>
        </w:rPr>
        <w:t xml:space="preserve"> Group for a potential breach of such representations and warranties on the basis of these contractual provisions.</w:t>
      </w:r>
    </w:p>
    <w:p w:rsidR="003F0BC5" w:rsidRPr="00992199" w:rsidRDefault="003F0BC5" w:rsidP="003F0BC5">
      <w:pPr>
        <w:rPr>
          <w:szCs w:val="20"/>
        </w:rPr>
      </w:pPr>
      <w:r w:rsidRPr="00992199">
        <w:rPr>
          <w:szCs w:val="20"/>
          <w:lang w:eastAsia="en-GB"/>
        </w:rPr>
        <w:t xml:space="preserve">Such claims may, in general, under the terms of the respective divestiture agreements, only be initiated during a certain period of </w:t>
      </w:r>
      <w:r w:rsidRPr="00992199">
        <w:rPr>
          <w:szCs w:val="20"/>
        </w:rPr>
        <w:t>time</w:t>
      </w:r>
      <w:r w:rsidRPr="00992199">
        <w:rPr>
          <w:szCs w:val="20"/>
          <w:lang w:eastAsia="en-GB"/>
        </w:rPr>
        <w:t xml:space="preserve"> after the completion of the divestiture. In certain cases, the </w:t>
      </w:r>
      <w:r w:rsidR="001F6ABD">
        <w:rPr>
          <w:szCs w:val="20"/>
        </w:rPr>
        <w:t xml:space="preserve">Combined Greenyard </w:t>
      </w:r>
      <w:r w:rsidR="002A1AB1">
        <w:rPr>
          <w:szCs w:val="20"/>
          <w:lang w:eastAsia="en-GB"/>
        </w:rPr>
        <w:t>Foods</w:t>
      </w:r>
      <w:r w:rsidRPr="00992199">
        <w:rPr>
          <w:szCs w:val="20"/>
          <w:lang w:eastAsia="en-GB"/>
        </w:rPr>
        <w:t xml:space="preserve"> Group is not yet able to benefit from such time limitations. In addition, certain representations, warranties or specific indemnities may be excluded from such time limitation (</w:t>
      </w:r>
      <w:r w:rsidR="00A431F0" w:rsidRPr="00A431F0">
        <w:rPr>
          <w:i/>
          <w:szCs w:val="20"/>
          <w:lang w:eastAsia="en-GB"/>
        </w:rPr>
        <w:t>e.g.,</w:t>
      </w:r>
      <w:r w:rsidRPr="00992199">
        <w:rPr>
          <w:szCs w:val="20"/>
          <w:lang w:eastAsia="en-GB"/>
        </w:rPr>
        <w:t xml:space="preserve"> with regard to tax, social security or environmental law compliance) or acquirers may otherwise benefit from a longer period in which to initiate claims.</w:t>
      </w:r>
    </w:p>
    <w:p w:rsidR="003F0BC5" w:rsidRPr="00992199" w:rsidRDefault="003F0BC5" w:rsidP="003F0BC5">
      <w:pPr>
        <w:rPr>
          <w:szCs w:val="20"/>
        </w:rPr>
      </w:pPr>
      <w:r w:rsidRPr="00992199">
        <w:rPr>
          <w:szCs w:val="20"/>
          <w:lang w:eastAsia="en-GB"/>
        </w:rPr>
        <w:t xml:space="preserve">While the divestiture agreements, in general, cap the maximum liability of the </w:t>
      </w:r>
      <w:r w:rsidR="001F6ABD">
        <w:rPr>
          <w:szCs w:val="20"/>
        </w:rPr>
        <w:t xml:space="preserve">Combined Greenyard </w:t>
      </w:r>
      <w:r w:rsidR="002A1AB1">
        <w:rPr>
          <w:szCs w:val="20"/>
          <w:lang w:eastAsia="en-GB"/>
        </w:rPr>
        <w:t>Foods</w:t>
      </w:r>
      <w:r w:rsidRPr="00992199">
        <w:rPr>
          <w:szCs w:val="20"/>
          <w:lang w:eastAsia="en-GB"/>
        </w:rPr>
        <w:t xml:space="preserve"> Group for breaches of representations </w:t>
      </w:r>
      <w:r w:rsidRPr="00992199">
        <w:rPr>
          <w:szCs w:val="20"/>
        </w:rPr>
        <w:t>and</w:t>
      </w:r>
      <w:r w:rsidRPr="00992199">
        <w:rPr>
          <w:szCs w:val="20"/>
          <w:lang w:eastAsia="en-GB"/>
        </w:rPr>
        <w:t xml:space="preserve"> warranties, such limitation may, under certain divestment agreements, not apply to claims initiated for specific indemnities or certain representations and warranties (</w:t>
      </w:r>
      <w:r w:rsidR="00A431F0" w:rsidRPr="00A431F0">
        <w:rPr>
          <w:i/>
          <w:szCs w:val="20"/>
          <w:lang w:eastAsia="en-GB"/>
        </w:rPr>
        <w:t>e.g.,</w:t>
      </w:r>
      <w:r w:rsidRPr="00992199">
        <w:rPr>
          <w:szCs w:val="20"/>
          <w:lang w:eastAsia="en-GB"/>
        </w:rPr>
        <w:t xml:space="preserve"> with regard to tax, social security or environmental law compliance).</w:t>
      </w:r>
    </w:p>
    <w:p w:rsidR="003F0BC5" w:rsidRPr="00992199" w:rsidRDefault="003F0BC5" w:rsidP="003F0BC5">
      <w:pPr>
        <w:rPr>
          <w:szCs w:val="20"/>
        </w:rPr>
      </w:pPr>
      <w:r w:rsidRPr="00992199">
        <w:rPr>
          <w:szCs w:val="20"/>
          <w:lang w:eastAsia="en-GB"/>
        </w:rPr>
        <w:t xml:space="preserve">In the context of the recent divestitures of the </w:t>
      </w:r>
      <w:r w:rsidR="001F6ABD">
        <w:rPr>
          <w:szCs w:val="20"/>
        </w:rPr>
        <w:t xml:space="preserve">Combined Greenyard </w:t>
      </w:r>
      <w:r w:rsidR="002A1AB1">
        <w:rPr>
          <w:szCs w:val="20"/>
          <w:lang w:eastAsia="en-GB"/>
        </w:rPr>
        <w:t>Foods</w:t>
      </w:r>
      <w:r w:rsidRPr="00992199">
        <w:rPr>
          <w:szCs w:val="20"/>
          <w:lang w:eastAsia="en-GB"/>
        </w:rPr>
        <w:t xml:space="preserve"> Group, the </w:t>
      </w:r>
      <w:r w:rsidR="001F6ABD">
        <w:rPr>
          <w:szCs w:val="20"/>
        </w:rPr>
        <w:t xml:space="preserve">Combined Greenyard </w:t>
      </w:r>
      <w:r w:rsidR="002A1AB1">
        <w:rPr>
          <w:szCs w:val="20"/>
          <w:lang w:eastAsia="en-GB"/>
        </w:rPr>
        <w:t>Foods</w:t>
      </w:r>
      <w:r w:rsidRPr="00992199">
        <w:rPr>
          <w:szCs w:val="20"/>
          <w:lang w:eastAsia="en-GB"/>
        </w:rPr>
        <w:t xml:space="preserve"> Group has entered into several divestiture agreements which include customary non-compete clauses. Although these non-compete clauses are in general related to non-core businesses (</w:t>
      </w:r>
      <w:r w:rsidR="00A431F0" w:rsidRPr="00A431F0">
        <w:rPr>
          <w:i/>
          <w:szCs w:val="20"/>
          <w:lang w:eastAsia="en-GB"/>
        </w:rPr>
        <w:t>e.g.,</w:t>
      </w:r>
      <w:r w:rsidRPr="00992199">
        <w:rPr>
          <w:szCs w:val="20"/>
          <w:lang w:eastAsia="en-GB"/>
        </w:rPr>
        <w:t xml:space="preserve"> ready-made meals) or to non-strategic locations (</w:t>
      </w:r>
      <w:r w:rsidR="00A431F0" w:rsidRPr="00A431F0">
        <w:rPr>
          <w:i/>
          <w:szCs w:val="20"/>
          <w:lang w:eastAsia="en-GB"/>
        </w:rPr>
        <w:t>e.g.,</w:t>
      </w:r>
      <w:r w:rsidRPr="00992199">
        <w:rPr>
          <w:szCs w:val="20"/>
          <w:lang w:eastAsia="en-GB"/>
        </w:rPr>
        <w:t xml:space="preserve"> Russia) for the </w:t>
      </w:r>
      <w:r w:rsidR="001F6ABD">
        <w:rPr>
          <w:szCs w:val="20"/>
        </w:rPr>
        <w:t xml:space="preserve">Combined Greenyard </w:t>
      </w:r>
      <w:r w:rsidR="002A1AB1">
        <w:rPr>
          <w:szCs w:val="20"/>
          <w:lang w:eastAsia="en-GB"/>
        </w:rPr>
        <w:t>Foods</w:t>
      </w:r>
      <w:r w:rsidRPr="00992199">
        <w:rPr>
          <w:szCs w:val="20"/>
          <w:lang w:eastAsia="en-GB"/>
        </w:rPr>
        <w:t xml:space="preserve"> Group and are limited in duration, these clauses may nevertheless limit the further development of the </w:t>
      </w:r>
      <w:r w:rsidR="001F6ABD">
        <w:rPr>
          <w:szCs w:val="20"/>
        </w:rPr>
        <w:t xml:space="preserve">Combined Greenyard </w:t>
      </w:r>
      <w:r w:rsidR="002A1AB1">
        <w:rPr>
          <w:szCs w:val="20"/>
          <w:lang w:eastAsia="en-GB"/>
        </w:rPr>
        <w:t>Foods</w:t>
      </w:r>
      <w:r w:rsidRPr="00992199">
        <w:rPr>
          <w:szCs w:val="20"/>
          <w:lang w:eastAsia="en-GB"/>
        </w:rPr>
        <w:t xml:space="preserve"> Group, including its future acquisitions, investments or joint-ventures.</w:t>
      </w:r>
    </w:p>
    <w:p w:rsidR="003F0BC5" w:rsidRPr="00992199" w:rsidRDefault="003F0BC5" w:rsidP="00C14169">
      <w:pPr>
        <w:keepNext/>
        <w:rPr>
          <w:b/>
          <w:i/>
          <w:szCs w:val="20"/>
        </w:rPr>
      </w:pPr>
      <w:r w:rsidRPr="00992199">
        <w:rPr>
          <w:b/>
          <w:i/>
          <w:szCs w:val="20"/>
        </w:rPr>
        <w:t xml:space="preserve">The </w:t>
      </w:r>
      <w:r w:rsidR="001F6ABD" w:rsidRPr="00E13084">
        <w:rPr>
          <w:b/>
          <w:i/>
          <w:szCs w:val="20"/>
        </w:rPr>
        <w:t xml:space="preserve">Combined Greenyard </w:t>
      </w:r>
      <w:r w:rsidR="002A1AB1">
        <w:rPr>
          <w:b/>
          <w:i/>
          <w:szCs w:val="20"/>
        </w:rPr>
        <w:t>Foods</w:t>
      </w:r>
      <w:r w:rsidRPr="00992199">
        <w:rPr>
          <w:b/>
          <w:i/>
          <w:szCs w:val="20"/>
        </w:rPr>
        <w:t xml:space="preserve"> Group has made and will continue to make maintenance and growth capital expenditures, and may not generate sufficient cash from operations or obtain funding on terms acceptable to it to meet its future capital needs.</w:t>
      </w:r>
    </w:p>
    <w:p w:rsidR="003F0BC5" w:rsidRPr="00992199" w:rsidRDefault="003F0BC5" w:rsidP="003F0BC5">
      <w:pPr>
        <w:rPr>
          <w:b/>
          <w:i/>
          <w:szCs w:val="20"/>
        </w:rPr>
      </w:pPr>
      <w:r w:rsidRPr="00992199">
        <w:rPr>
          <w:szCs w:val="20"/>
          <w:lang w:eastAsia="en-GB"/>
        </w:rPr>
        <w:t xml:space="preserve">The </w:t>
      </w:r>
      <w:r w:rsidR="001F6ABD">
        <w:rPr>
          <w:szCs w:val="20"/>
        </w:rPr>
        <w:t xml:space="preserve">Combined Greenyard </w:t>
      </w:r>
      <w:r w:rsidR="002A1AB1">
        <w:rPr>
          <w:szCs w:val="20"/>
          <w:lang w:eastAsia="en-GB"/>
        </w:rPr>
        <w:t>Foods</w:t>
      </w:r>
      <w:r w:rsidRPr="00992199">
        <w:rPr>
          <w:szCs w:val="20"/>
          <w:lang w:eastAsia="en-GB"/>
        </w:rPr>
        <w:t xml:space="preserve"> Group will continue to need working capital to fund its business. If the capital resources of the </w:t>
      </w:r>
      <w:r w:rsidR="001F6ABD">
        <w:rPr>
          <w:szCs w:val="20"/>
        </w:rPr>
        <w:t xml:space="preserve">Combined Greenyard </w:t>
      </w:r>
      <w:r w:rsidR="002A1AB1">
        <w:rPr>
          <w:szCs w:val="20"/>
          <w:lang w:eastAsia="en-GB"/>
        </w:rPr>
        <w:t>Foods</w:t>
      </w:r>
      <w:r w:rsidRPr="00992199">
        <w:rPr>
          <w:szCs w:val="20"/>
          <w:lang w:eastAsia="en-GB"/>
        </w:rPr>
        <w:t xml:space="preserve"> Group are insufficient to meet its capital requirements, the </w:t>
      </w:r>
      <w:r w:rsidR="001F6ABD">
        <w:rPr>
          <w:szCs w:val="20"/>
        </w:rPr>
        <w:t xml:space="preserve">Combined Greenyard </w:t>
      </w:r>
      <w:r w:rsidR="002A1AB1">
        <w:rPr>
          <w:szCs w:val="20"/>
          <w:lang w:eastAsia="en-GB"/>
        </w:rPr>
        <w:t>Foods</w:t>
      </w:r>
      <w:r w:rsidRPr="00992199">
        <w:rPr>
          <w:szCs w:val="20"/>
          <w:lang w:eastAsia="en-GB"/>
        </w:rPr>
        <w:t xml:space="preserve"> Group will have to raise additional funds. The </w:t>
      </w:r>
      <w:r w:rsidR="001F6ABD">
        <w:rPr>
          <w:szCs w:val="20"/>
        </w:rPr>
        <w:t xml:space="preserve">Combined Greenyard </w:t>
      </w:r>
      <w:r w:rsidR="002A1AB1">
        <w:rPr>
          <w:szCs w:val="20"/>
          <w:lang w:eastAsia="en-GB"/>
        </w:rPr>
        <w:t>Foods</w:t>
      </w:r>
      <w:r w:rsidRPr="00992199">
        <w:rPr>
          <w:szCs w:val="20"/>
          <w:lang w:eastAsia="en-GB"/>
        </w:rPr>
        <w:t xml:space="preserve"> Group may not be able to raise sufficient additional funds on terms that are favourable to it, if at all. If the </w:t>
      </w:r>
      <w:r w:rsidR="001F6ABD">
        <w:rPr>
          <w:szCs w:val="20"/>
        </w:rPr>
        <w:t xml:space="preserve">Combined Greenyard </w:t>
      </w:r>
      <w:r w:rsidR="002A1AB1">
        <w:rPr>
          <w:szCs w:val="20"/>
          <w:lang w:eastAsia="en-GB"/>
        </w:rPr>
        <w:t>Foods</w:t>
      </w:r>
      <w:r w:rsidRPr="00992199">
        <w:rPr>
          <w:szCs w:val="20"/>
          <w:lang w:eastAsia="en-GB"/>
        </w:rPr>
        <w:t xml:space="preserve"> Group fails to raise sufficient funds, its ability to fund its operations, </w:t>
      </w:r>
      <w:r w:rsidRPr="00992199">
        <w:rPr>
          <w:szCs w:val="20"/>
        </w:rPr>
        <w:t>take</w:t>
      </w:r>
      <w:r w:rsidRPr="00992199">
        <w:rPr>
          <w:szCs w:val="20"/>
          <w:lang w:eastAsia="en-GB"/>
        </w:rPr>
        <w:t xml:space="preserve"> advantage of strategic opportunities, develop and commercialise products or technologies, or otherwise respond to competitive pressures could be significantly limited. If adequate funds are not available, the </w:t>
      </w:r>
      <w:r w:rsidR="001F6ABD">
        <w:rPr>
          <w:szCs w:val="20"/>
        </w:rPr>
        <w:t xml:space="preserve">Combined Greenyard </w:t>
      </w:r>
      <w:r w:rsidR="002A1AB1">
        <w:rPr>
          <w:szCs w:val="20"/>
          <w:lang w:eastAsia="en-GB"/>
        </w:rPr>
        <w:t>Foods</w:t>
      </w:r>
      <w:r w:rsidRPr="00992199">
        <w:rPr>
          <w:szCs w:val="20"/>
          <w:lang w:eastAsia="en-GB"/>
        </w:rPr>
        <w:t xml:space="preserve"> Group will not be able to successfully execute its business strategy or continue its business.</w:t>
      </w:r>
    </w:p>
    <w:p w:rsidR="00DB252F" w:rsidRPr="00E13084" w:rsidRDefault="00DB252F" w:rsidP="00C14169">
      <w:pPr>
        <w:keepNext/>
        <w:rPr>
          <w:b/>
          <w:i/>
          <w:szCs w:val="20"/>
        </w:rPr>
      </w:pPr>
      <w:r w:rsidRPr="00E13084">
        <w:rPr>
          <w:b/>
          <w:i/>
          <w:szCs w:val="20"/>
        </w:rPr>
        <w:t xml:space="preserve">The Transactions will change the risk and leverage profile of the </w:t>
      </w:r>
      <w:r w:rsidR="001F6ABD" w:rsidRPr="00E13084">
        <w:rPr>
          <w:b/>
          <w:i/>
          <w:szCs w:val="20"/>
        </w:rPr>
        <w:t xml:space="preserve">Combined Greenyard </w:t>
      </w:r>
      <w:r w:rsidR="002A1AB1" w:rsidRPr="00E13084">
        <w:rPr>
          <w:b/>
          <w:i/>
          <w:szCs w:val="20"/>
        </w:rPr>
        <w:t>Foods</w:t>
      </w:r>
      <w:r w:rsidRPr="00E13084">
        <w:rPr>
          <w:b/>
          <w:i/>
          <w:szCs w:val="20"/>
        </w:rPr>
        <w:t xml:space="preserve"> Group.</w:t>
      </w:r>
    </w:p>
    <w:p w:rsidR="00DB252F" w:rsidRDefault="00DB252F" w:rsidP="003F0BC5">
      <w:pPr>
        <w:rPr>
          <w:b/>
          <w:i/>
          <w:szCs w:val="20"/>
          <w:lang w:eastAsia="en-GB"/>
        </w:rPr>
      </w:pPr>
      <w:r w:rsidRPr="00992199">
        <w:rPr>
          <w:szCs w:val="20"/>
        </w:rPr>
        <w:t xml:space="preserve">The contemplated Transactions pursuant to which (i) the activities of the Univeg Group would become part of </w:t>
      </w:r>
      <w:r w:rsidR="001F6ABD">
        <w:rPr>
          <w:szCs w:val="20"/>
        </w:rPr>
        <w:t xml:space="preserve">the </w:t>
      </w:r>
      <w:r w:rsidR="002A1AB1">
        <w:rPr>
          <w:szCs w:val="20"/>
        </w:rPr>
        <w:t>Greenyard Foods</w:t>
      </w:r>
      <w:r w:rsidRPr="00992199">
        <w:rPr>
          <w:szCs w:val="20"/>
        </w:rPr>
        <w:t xml:space="preserve"> </w:t>
      </w:r>
      <w:r w:rsidR="001F6ABD">
        <w:rPr>
          <w:szCs w:val="20"/>
        </w:rPr>
        <w:t xml:space="preserve">Group </w:t>
      </w:r>
      <w:r w:rsidRPr="00992199">
        <w:rPr>
          <w:szCs w:val="20"/>
        </w:rPr>
        <w:t xml:space="preserve">through the realisation of the DWB Demerger and the </w:t>
      </w:r>
      <w:r w:rsidR="0082672E">
        <w:rPr>
          <w:szCs w:val="20"/>
        </w:rPr>
        <w:t>Univeg</w:t>
      </w:r>
      <w:r w:rsidRPr="00992199">
        <w:rPr>
          <w:szCs w:val="20"/>
        </w:rPr>
        <w:t xml:space="preserve"> Contribution and (ii) the activities of the Peatinvest Group would become part of </w:t>
      </w:r>
      <w:r w:rsidR="001F6ABD">
        <w:rPr>
          <w:szCs w:val="20"/>
        </w:rPr>
        <w:t xml:space="preserve">the </w:t>
      </w:r>
      <w:r w:rsidR="000F59DA">
        <w:rPr>
          <w:szCs w:val="20"/>
        </w:rPr>
        <w:t xml:space="preserve">Combined </w:t>
      </w:r>
      <w:r w:rsidR="002A1AB1">
        <w:rPr>
          <w:szCs w:val="20"/>
        </w:rPr>
        <w:t>Greenyard Foods</w:t>
      </w:r>
      <w:r w:rsidRPr="00992199">
        <w:rPr>
          <w:szCs w:val="20"/>
        </w:rPr>
        <w:t xml:space="preserve"> </w:t>
      </w:r>
      <w:r w:rsidR="001F6ABD">
        <w:rPr>
          <w:szCs w:val="20"/>
        </w:rPr>
        <w:t xml:space="preserve">Group </w:t>
      </w:r>
      <w:r w:rsidRPr="00992199">
        <w:rPr>
          <w:szCs w:val="20"/>
        </w:rPr>
        <w:t>through the realisation of the Peatinvest Contribution, will substantially change the</w:t>
      </w:r>
      <w:r>
        <w:rPr>
          <w:szCs w:val="20"/>
        </w:rPr>
        <w:t xml:space="preserve"> risk and leverage</w:t>
      </w:r>
      <w:r w:rsidRPr="00992199">
        <w:rPr>
          <w:szCs w:val="20"/>
        </w:rPr>
        <w:t xml:space="preserve"> profile of </w:t>
      </w:r>
      <w:r w:rsidR="001F6ABD">
        <w:rPr>
          <w:szCs w:val="20"/>
        </w:rPr>
        <w:t xml:space="preserve">the </w:t>
      </w:r>
      <w:r w:rsidR="002A1AB1">
        <w:rPr>
          <w:szCs w:val="20"/>
        </w:rPr>
        <w:t>Greenyard Foods</w:t>
      </w:r>
      <w:r w:rsidR="001F6ABD">
        <w:rPr>
          <w:szCs w:val="20"/>
        </w:rPr>
        <w:t xml:space="preserve"> Group</w:t>
      </w:r>
      <w:r>
        <w:rPr>
          <w:szCs w:val="20"/>
        </w:rPr>
        <w:t xml:space="preserve"> considering the leverage of the Univeg Group compared to that of the </w:t>
      </w:r>
      <w:r w:rsidR="002A1AB1">
        <w:rPr>
          <w:szCs w:val="20"/>
        </w:rPr>
        <w:t>Greenyard Foods</w:t>
      </w:r>
      <w:r>
        <w:rPr>
          <w:szCs w:val="20"/>
        </w:rPr>
        <w:t xml:space="preserve"> Group</w:t>
      </w:r>
      <w:r w:rsidRPr="00992199">
        <w:rPr>
          <w:szCs w:val="20"/>
        </w:rPr>
        <w:t>.</w:t>
      </w:r>
      <w:r w:rsidR="00900687">
        <w:rPr>
          <w:szCs w:val="20"/>
        </w:rPr>
        <w:t xml:space="preserve"> </w:t>
      </w:r>
      <w:r>
        <w:rPr>
          <w:szCs w:val="20"/>
          <w:lang w:eastAsia="en-GB"/>
        </w:rPr>
        <w:t xml:space="preserve">The </w:t>
      </w:r>
      <w:r w:rsidRPr="00992199">
        <w:rPr>
          <w:szCs w:val="20"/>
          <w:lang w:eastAsia="en-GB"/>
        </w:rPr>
        <w:t xml:space="preserve">audit opinion delivered by </w:t>
      </w:r>
      <w:r>
        <w:rPr>
          <w:szCs w:val="20"/>
          <w:lang w:eastAsia="en-GB"/>
        </w:rPr>
        <w:t xml:space="preserve">the </w:t>
      </w:r>
      <w:r w:rsidRPr="00992199">
        <w:rPr>
          <w:szCs w:val="20"/>
          <w:lang w:eastAsia="en-GB"/>
        </w:rPr>
        <w:t>independent auditor</w:t>
      </w:r>
      <w:r>
        <w:rPr>
          <w:szCs w:val="20"/>
          <w:lang w:eastAsia="en-GB"/>
        </w:rPr>
        <w:t xml:space="preserve"> of the Univeg Group</w:t>
      </w:r>
      <w:r w:rsidRPr="00992199">
        <w:rPr>
          <w:szCs w:val="20"/>
          <w:lang w:eastAsia="en-GB"/>
        </w:rPr>
        <w:t xml:space="preserve"> </w:t>
      </w:r>
      <w:r w:rsidRPr="00992199">
        <w:rPr>
          <w:szCs w:val="20"/>
        </w:rPr>
        <w:t xml:space="preserve">includes an emphasis of matter paragraph </w:t>
      </w:r>
      <w:r w:rsidR="00ED1BE9">
        <w:rPr>
          <w:szCs w:val="20"/>
        </w:rPr>
        <w:t>for the financial year ended 31 December</w:t>
      </w:r>
      <w:r>
        <w:rPr>
          <w:szCs w:val="20"/>
        </w:rPr>
        <w:t xml:space="preserve"> 2014</w:t>
      </w:r>
      <w:r w:rsidRPr="00992199">
        <w:rPr>
          <w:szCs w:val="20"/>
        </w:rPr>
        <w:t xml:space="preserve"> regarding the justification by the board of directors of </w:t>
      </w:r>
      <w:r w:rsidR="0082672E">
        <w:rPr>
          <w:szCs w:val="20"/>
        </w:rPr>
        <w:t>Univeg</w:t>
      </w:r>
      <w:r w:rsidRPr="00992199">
        <w:rPr>
          <w:szCs w:val="20"/>
        </w:rPr>
        <w:t xml:space="preserve"> for the application of the valuation rules in going concern</w:t>
      </w:r>
      <w:r>
        <w:rPr>
          <w:szCs w:val="20"/>
        </w:rPr>
        <w:t>.</w:t>
      </w:r>
    </w:p>
    <w:p w:rsidR="003F0BC5" w:rsidRPr="00992199" w:rsidRDefault="003F0BC5" w:rsidP="00C14169">
      <w:pPr>
        <w:keepNext/>
        <w:rPr>
          <w:b/>
          <w:i/>
          <w:szCs w:val="20"/>
        </w:rPr>
      </w:pPr>
      <w:r w:rsidRPr="00992199">
        <w:rPr>
          <w:b/>
          <w:i/>
          <w:szCs w:val="20"/>
        </w:rPr>
        <w:t xml:space="preserve">The </w:t>
      </w:r>
      <w:r w:rsidR="001F6ABD" w:rsidRPr="00E13084">
        <w:rPr>
          <w:b/>
          <w:i/>
          <w:szCs w:val="20"/>
        </w:rPr>
        <w:t xml:space="preserve">Combined Greenyard </w:t>
      </w:r>
      <w:r w:rsidR="002A1AB1">
        <w:rPr>
          <w:b/>
          <w:i/>
          <w:szCs w:val="20"/>
        </w:rPr>
        <w:t>Foods</w:t>
      </w:r>
      <w:r w:rsidRPr="00992199">
        <w:rPr>
          <w:b/>
          <w:i/>
          <w:szCs w:val="20"/>
        </w:rPr>
        <w:t xml:space="preserve"> Group may not be able to generate sufficient cash</w:t>
      </w:r>
      <w:r w:rsidR="00DB252F">
        <w:rPr>
          <w:b/>
          <w:i/>
          <w:szCs w:val="20"/>
        </w:rPr>
        <w:t xml:space="preserve">, through declining business </w:t>
      </w:r>
      <w:r w:rsidR="00EA279B">
        <w:rPr>
          <w:b/>
          <w:i/>
          <w:szCs w:val="20"/>
        </w:rPr>
        <w:t>and/</w:t>
      </w:r>
      <w:r w:rsidR="00DB252F">
        <w:rPr>
          <w:b/>
          <w:i/>
          <w:szCs w:val="20"/>
        </w:rPr>
        <w:t>or</w:t>
      </w:r>
      <w:r w:rsidR="00EA279B">
        <w:rPr>
          <w:b/>
          <w:i/>
          <w:szCs w:val="20"/>
        </w:rPr>
        <w:t xml:space="preserve"> through</w:t>
      </w:r>
      <w:r w:rsidR="00DB252F">
        <w:rPr>
          <w:b/>
          <w:i/>
          <w:szCs w:val="20"/>
        </w:rPr>
        <w:t xml:space="preserve"> a discontinuation or reduction of its factoring,</w:t>
      </w:r>
      <w:r w:rsidRPr="00992199">
        <w:rPr>
          <w:b/>
          <w:i/>
          <w:szCs w:val="20"/>
        </w:rPr>
        <w:t xml:space="preserve"> to meet its debt service obligations</w:t>
      </w:r>
      <w:r w:rsidR="00DB252F">
        <w:rPr>
          <w:b/>
          <w:i/>
          <w:szCs w:val="20"/>
        </w:rPr>
        <w:t xml:space="preserve">, and this inability to generate sufficient cash may </w:t>
      </w:r>
      <w:r w:rsidR="00EA279B">
        <w:rPr>
          <w:b/>
          <w:i/>
          <w:szCs w:val="20"/>
        </w:rPr>
        <w:t>result in</w:t>
      </w:r>
      <w:r w:rsidR="00DB252F">
        <w:rPr>
          <w:b/>
          <w:i/>
          <w:szCs w:val="20"/>
        </w:rPr>
        <w:t xml:space="preserve"> goodwill impairments</w:t>
      </w:r>
      <w:r w:rsidRPr="00992199">
        <w:rPr>
          <w:b/>
          <w:i/>
          <w:szCs w:val="20"/>
        </w:rPr>
        <w:t>.</w:t>
      </w:r>
    </w:p>
    <w:p w:rsidR="003F0BC5" w:rsidRDefault="003F0BC5" w:rsidP="003F0BC5">
      <w:pPr>
        <w:rPr>
          <w:szCs w:val="20"/>
          <w:lang w:eastAsia="en-GB"/>
        </w:rPr>
      </w:pPr>
      <w:r w:rsidRPr="00992199">
        <w:rPr>
          <w:szCs w:val="20"/>
          <w:lang w:eastAsia="en-GB"/>
        </w:rPr>
        <w:t xml:space="preserve">The </w:t>
      </w:r>
      <w:r w:rsidR="001F6ABD">
        <w:rPr>
          <w:szCs w:val="20"/>
        </w:rPr>
        <w:t xml:space="preserve">Combined Greenyard </w:t>
      </w:r>
      <w:r w:rsidR="002A1AB1">
        <w:rPr>
          <w:szCs w:val="20"/>
          <w:lang w:eastAsia="en-GB"/>
        </w:rPr>
        <w:t>Foods</w:t>
      </w:r>
      <w:r w:rsidRPr="00992199">
        <w:rPr>
          <w:szCs w:val="20"/>
          <w:lang w:eastAsia="en-GB"/>
        </w:rPr>
        <w:t xml:space="preserve"> Group’s ability to meet its debt service obligations or to refinance its debt, depends on its future operating and financial performance, which will be affected by its ability to successfully implement their business strategy as well as general economic, financial, competitive, regulatory and other factors beyond its control.</w:t>
      </w:r>
    </w:p>
    <w:p w:rsidR="000A2D2F" w:rsidRDefault="000A2D2F" w:rsidP="000A2D2F">
      <w:pPr>
        <w:rPr>
          <w:szCs w:val="20"/>
          <w:lang w:eastAsia="en-GB"/>
        </w:rPr>
      </w:pPr>
      <w:r>
        <w:rPr>
          <w:szCs w:val="20"/>
          <w:lang w:eastAsia="en-GB"/>
        </w:rPr>
        <w:t xml:space="preserve">In addition, the Univeg Group and to a lesser degree the </w:t>
      </w:r>
      <w:r w:rsidR="002A1AB1">
        <w:rPr>
          <w:szCs w:val="20"/>
          <w:lang w:eastAsia="en-GB"/>
        </w:rPr>
        <w:t>Greenyard Foods</w:t>
      </w:r>
      <w:r>
        <w:rPr>
          <w:szCs w:val="20"/>
          <w:lang w:eastAsia="en-GB"/>
        </w:rPr>
        <w:t xml:space="preserve"> Group engage in factoring programs of which the proceeds, amongst other matters, serve to pay interests under the Combined </w:t>
      </w:r>
      <w:r w:rsidR="002A1AB1">
        <w:rPr>
          <w:szCs w:val="20"/>
          <w:lang w:eastAsia="en-GB"/>
        </w:rPr>
        <w:t xml:space="preserve">Greenyard Foods </w:t>
      </w:r>
      <w:r>
        <w:rPr>
          <w:szCs w:val="20"/>
          <w:lang w:eastAsia="en-GB"/>
        </w:rPr>
        <w:t>Group’s financial instruments.</w:t>
      </w:r>
      <w:r w:rsidR="00F13D58">
        <w:rPr>
          <w:szCs w:val="20"/>
          <w:lang w:eastAsia="en-GB"/>
        </w:rPr>
        <w:t xml:space="preserve"> </w:t>
      </w:r>
      <w:r>
        <w:rPr>
          <w:szCs w:val="20"/>
          <w:lang w:eastAsia="en-GB"/>
        </w:rPr>
        <w:t xml:space="preserve">The inability to factor sufficient receivables or the non-availability of such factoring programs in the future may therefore accelerate any difficulties that the Combined </w:t>
      </w:r>
      <w:r w:rsidR="002A1AB1">
        <w:rPr>
          <w:szCs w:val="20"/>
          <w:lang w:eastAsia="en-GB"/>
        </w:rPr>
        <w:t xml:space="preserve">Greenyard Foods </w:t>
      </w:r>
      <w:r>
        <w:rPr>
          <w:szCs w:val="20"/>
          <w:lang w:eastAsia="en-GB"/>
        </w:rPr>
        <w:t>Group may face to service or refinance its debt.</w:t>
      </w:r>
      <w:r w:rsidR="00F13D58">
        <w:rPr>
          <w:szCs w:val="20"/>
          <w:lang w:eastAsia="en-GB"/>
        </w:rPr>
        <w:t xml:space="preserve"> </w:t>
      </w:r>
    </w:p>
    <w:p w:rsidR="000A2D2F" w:rsidRPr="00992199" w:rsidRDefault="000A2D2F" w:rsidP="006C72A1">
      <w:pPr>
        <w:rPr>
          <w:szCs w:val="20"/>
        </w:rPr>
      </w:pPr>
      <w:r w:rsidRPr="00351F80">
        <w:rPr>
          <w:szCs w:val="20"/>
        </w:rPr>
        <w:t xml:space="preserve">The Transactions will furthermore result in substantial goodwill booked on the balance sheet of the Combined </w:t>
      </w:r>
      <w:r w:rsidR="002A1AB1">
        <w:rPr>
          <w:szCs w:val="20"/>
        </w:rPr>
        <w:t>Greenyard Foods</w:t>
      </w:r>
      <w:r w:rsidRPr="00351F80">
        <w:rPr>
          <w:szCs w:val="20"/>
        </w:rPr>
        <w:t xml:space="preserve"> Group, and, under IFRS, such goodwill </w:t>
      </w:r>
      <w:r w:rsidR="00EA279B">
        <w:rPr>
          <w:szCs w:val="20"/>
        </w:rPr>
        <w:t>is</w:t>
      </w:r>
      <w:r w:rsidRPr="00351F80">
        <w:rPr>
          <w:szCs w:val="20"/>
        </w:rPr>
        <w:t xml:space="preserve"> subject to annual impairment testing.</w:t>
      </w:r>
      <w:r w:rsidR="00F13D58" w:rsidRPr="00351F80">
        <w:rPr>
          <w:szCs w:val="20"/>
        </w:rPr>
        <w:t xml:space="preserve"> </w:t>
      </w:r>
      <w:r>
        <w:rPr>
          <w:szCs w:val="20"/>
        </w:rPr>
        <w:t xml:space="preserve">For the purpose of impairment testing, assets are grouped together into the smallest group of assets that generates cash inflows from continuing use that are largely independent of the cash inflows of other assets or groups of assets </w:t>
      </w:r>
      <w:r>
        <w:rPr>
          <w:szCs w:val="20"/>
        </w:rPr>
        <w:lastRenderedPageBreak/>
        <w:t xml:space="preserve">(the </w:t>
      </w:r>
      <w:r w:rsidR="00BF553B">
        <w:rPr>
          <w:szCs w:val="20"/>
        </w:rPr>
        <w:t>“</w:t>
      </w:r>
      <w:r>
        <w:rPr>
          <w:szCs w:val="20"/>
        </w:rPr>
        <w:t>cash-generating unit</w:t>
      </w:r>
      <w:r w:rsidR="00BF553B">
        <w:rPr>
          <w:szCs w:val="20"/>
        </w:rPr>
        <w:t>”</w:t>
      </w:r>
      <w:r>
        <w:rPr>
          <w:szCs w:val="20"/>
        </w:rPr>
        <w:t>). An impairment loss is recognised if the carrying amount of an asset or its cash-generating unit exceeds its estimated recoverable amount, which may result from decreased financial performance.</w:t>
      </w:r>
      <w:r w:rsidR="00F13D58">
        <w:rPr>
          <w:szCs w:val="20"/>
        </w:rPr>
        <w:t xml:space="preserve"> </w:t>
      </w:r>
      <w:r w:rsidR="006C72A1" w:rsidRPr="006C72A1">
        <w:rPr>
          <w:szCs w:val="20"/>
        </w:rPr>
        <w:t xml:space="preserve">While impairments do not affect </w:t>
      </w:r>
      <w:r w:rsidR="006C72A1">
        <w:rPr>
          <w:szCs w:val="20"/>
        </w:rPr>
        <w:t xml:space="preserve">the Combined Greenyard Foods Group’s </w:t>
      </w:r>
      <w:r w:rsidR="006C72A1" w:rsidRPr="006C72A1">
        <w:rPr>
          <w:szCs w:val="20"/>
        </w:rPr>
        <w:t>cash flows, a small impairment charge relative to the total amount of goodwill could, given the significant</w:t>
      </w:r>
      <w:r w:rsidR="006C72A1">
        <w:rPr>
          <w:szCs w:val="20"/>
        </w:rPr>
        <w:t xml:space="preserve"> </w:t>
      </w:r>
      <w:r w:rsidR="006C72A1" w:rsidRPr="006C72A1">
        <w:rPr>
          <w:szCs w:val="20"/>
        </w:rPr>
        <w:t xml:space="preserve">amount of goodwill recorded on </w:t>
      </w:r>
      <w:r w:rsidR="006C72A1">
        <w:rPr>
          <w:szCs w:val="20"/>
        </w:rPr>
        <w:t>its</w:t>
      </w:r>
      <w:r w:rsidR="006C72A1" w:rsidRPr="006C72A1">
        <w:rPr>
          <w:szCs w:val="20"/>
        </w:rPr>
        <w:t xml:space="preserve"> statement of financial position, adversely affect operating profit and</w:t>
      </w:r>
      <w:r w:rsidR="006C72A1">
        <w:rPr>
          <w:szCs w:val="20"/>
        </w:rPr>
        <w:t xml:space="preserve"> </w:t>
      </w:r>
      <w:r w:rsidR="006C72A1" w:rsidRPr="006C72A1">
        <w:rPr>
          <w:szCs w:val="20"/>
        </w:rPr>
        <w:t>equity</w:t>
      </w:r>
      <w:r w:rsidR="006C72A1">
        <w:rPr>
          <w:szCs w:val="20"/>
        </w:rPr>
        <w:t xml:space="preserve"> of </w:t>
      </w:r>
      <w:r w:rsidR="006C72A1" w:rsidRPr="006C72A1">
        <w:rPr>
          <w:szCs w:val="20"/>
        </w:rPr>
        <w:t xml:space="preserve">the Combined Greenyard Foods Group. </w:t>
      </w:r>
      <w:r w:rsidR="006C72A1">
        <w:rPr>
          <w:szCs w:val="20"/>
        </w:rPr>
        <w:t>Goodwill impairment may</w:t>
      </w:r>
      <w:r>
        <w:rPr>
          <w:szCs w:val="20"/>
        </w:rPr>
        <w:t xml:space="preserve"> therefore impact certain of the covenants and ratios that the Combined </w:t>
      </w:r>
      <w:r w:rsidR="002A1AB1">
        <w:rPr>
          <w:szCs w:val="20"/>
        </w:rPr>
        <w:t>Greenyard Foods</w:t>
      </w:r>
      <w:r>
        <w:rPr>
          <w:szCs w:val="20"/>
        </w:rPr>
        <w:t xml:space="preserve"> Group is held to in its various financial instruments.</w:t>
      </w:r>
      <w:r w:rsidR="00F13D58">
        <w:rPr>
          <w:szCs w:val="20"/>
        </w:rPr>
        <w:t xml:space="preserve"> </w:t>
      </w:r>
      <w:r>
        <w:rPr>
          <w:szCs w:val="20"/>
        </w:rPr>
        <w:t xml:space="preserve">Such goodwill impairment may then in turn accelerate the </w:t>
      </w:r>
      <w:r w:rsidRPr="000A2D2F">
        <w:rPr>
          <w:szCs w:val="20"/>
        </w:rPr>
        <w:t xml:space="preserve">Combined </w:t>
      </w:r>
      <w:r w:rsidR="002A1AB1">
        <w:rPr>
          <w:szCs w:val="20"/>
        </w:rPr>
        <w:t>Greenyard Foods</w:t>
      </w:r>
      <w:r w:rsidRPr="000A2D2F">
        <w:rPr>
          <w:szCs w:val="20"/>
        </w:rPr>
        <w:t xml:space="preserve"> </w:t>
      </w:r>
      <w:r>
        <w:rPr>
          <w:szCs w:val="20"/>
        </w:rPr>
        <w:t>Group’s inability to comply with its debt covenants and accelerate its debt obligations.</w:t>
      </w:r>
    </w:p>
    <w:p w:rsidR="003F0BC5" w:rsidRPr="00992199" w:rsidRDefault="003F0BC5" w:rsidP="003F0BC5">
      <w:pPr>
        <w:rPr>
          <w:szCs w:val="20"/>
        </w:rPr>
      </w:pPr>
      <w:r w:rsidRPr="00992199">
        <w:rPr>
          <w:szCs w:val="20"/>
          <w:lang w:eastAsia="en-GB"/>
        </w:rPr>
        <w:t xml:space="preserve">If its business does not generate sufficient cash flow from operations or if future borrowings are not available to the </w:t>
      </w:r>
      <w:r w:rsidR="001F6ABD">
        <w:rPr>
          <w:szCs w:val="20"/>
        </w:rPr>
        <w:t xml:space="preserve">Combined Greenyard </w:t>
      </w:r>
      <w:r w:rsidR="002A1AB1">
        <w:rPr>
          <w:szCs w:val="20"/>
          <w:lang w:eastAsia="en-GB"/>
        </w:rPr>
        <w:t>Foods</w:t>
      </w:r>
      <w:r w:rsidRPr="00992199">
        <w:rPr>
          <w:szCs w:val="20"/>
          <w:lang w:eastAsia="en-GB"/>
        </w:rPr>
        <w:t xml:space="preserve"> Group in an amount sufficient to enable the </w:t>
      </w:r>
      <w:r w:rsidR="001F6ABD">
        <w:rPr>
          <w:szCs w:val="20"/>
        </w:rPr>
        <w:t xml:space="preserve">Combined Greenyard </w:t>
      </w:r>
      <w:r w:rsidR="002A1AB1">
        <w:rPr>
          <w:szCs w:val="20"/>
          <w:lang w:eastAsia="en-GB"/>
        </w:rPr>
        <w:t>Foods</w:t>
      </w:r>
      <w:r w:rsidRPr="00992199">
        <w:rPr>
          <w:szCs w:val="20"/>
          <w:lang w:eastAsia="en-GB"/>
        </w:rPr>
        <w:t xml:space="preserve"> Group to pay its indebtedness or to fund its other liquidity needs, the </w:t>
      </w:r>
      <w:r w:rsidR="001F6ABD">
        <w:rPr>
          <w:szCs w:val="20"/>
        </w:rPr>
        <w:t xml:space="preserve">Combined Greenyard </w:t>
      </w:r>
      <w:r w:rsidR="002A1AB1">
        <w:rPr>
          <w:szCs w:val="20"/>
          <w:lang w:eastAsia="en-GB"/>
        </w:rPr>
        <w:t>Foods</w:t>
      </w:r>
      <w:r w:rsidRPr="00992199">
        <w:rPr>
          <w:szCs w:val="20"/>
          <w:lang w:eastAsia="en-GB"/>
        </w:rPr>
        <w:t xml:space="preserve"> Group may, among other things, need to refinance all or a portion of its indebtedness on or before the maturity thereof, sell assets, reduce or delay capital investments or seek to raise additional capital, any of which could have a material adverse effect on its operations.</w:t>
      </w:r>
    </w:p>
    <w:p w:rsidR="003F0BC5" w:rsidRPr="00992199" w:rsidRDefault="003F0BC5" w:rsidP="003F0BC5">
      <w:pPr>
        <w:rPr>
          <w:szCs w:val="20"/>
        </w:rPr>
      </w:pPr>
      <w:r w:rsidRPr="00992199">
        <w:rPr>
          <w:szCs w:val="20"/>
          <w:lang w:eastAsia="en-GB"/>
        </w:rPr>
        <w:t xml:space="preserve">The type, timing and terms of any such potential alternatives would depend on the </w:t>
      </w:r>
      <w:r w:rsidR="001F6ABD">
        <w:rPr>
          <w:szCs w:val="20"/>
        </w:rPr>
        <w:t xml:space="preserve">Combined Greenyard </w:t>
      </w:r>
      <w:r w:rsidR="002A1AB1">
        <w:rPr>
          <w:szCs w:val="20"/>
          <w:lang w:eastAsia="en-GB"/>
        </w:rPr>
        <w:t>Foods</w:t>
      </w:r>
      <w:r w:rsidRPr="00992199">
        <w:rPr>
          <w:szCs w:val="20"/>
          <w:lang w:eastAsia="en-GB"/>
        </w:rPr>
        <w:t xml:space="preserve"> Group’s cash needs and the prevailing conditions in the financial markets. The </w:t>
      </w:r>
      <w:r w:rsidR="001F6ABD">
        <w:rPr>
          <w:szCs w:val="20"/>
        </w:rPr>
        <w:t xml:space="preserve">Combined Greenyard </w:t>
      </w:r>
      <w:r w:rsidR="002A1AB1">
        <w:rPr>
          <w:szCs w:val="20"/>
          <w:lang w:eastAsia="en-GB"/>
        </w:rPr>
        <w:t>Foods</w:t>
      </w:r>
      <w:r w:rsidRPr="00992199">
        <w:rPr>
          <w:szCs w:val="20"/>
          <w:lang w:eastAsia="en-GB"/>
        </w:rPr>
        <w:t xml:space="preserve"> Group cannot assure that any future financing will be available to the </w:t>
      </w:r>
      <w:r w:rsidR="001F6ABD">
        <w:rPr>
          <w:szCs w:val="20"/>
        </w:rPr>
        <w:t xml:space="preserve">Combined Greenyard </w:t>
      </w:r>
      <w:r w:rsidR="002A1AB1">
        <w:rPr>
          <w:szCs w:val="20"/>
          <w:lang w:eastAsia="en-GB"/>
        </w:rPr>
        <w:t>Foods</w:t>
      </w:r>
      <w:r w:rsidRPr="00992199">
        <w:rPr>
          <w:szCs w:val="20"/>
          <w:lang w:eastAsia="en-GB"/>
        </w:rPr>
        <w:t xml:space="preserve"> Group at any given time or as to the reasonableness of the terms on which any future financing may be available. For example, any refinancing of the </w:t>
      </w:r>
      <w:r w:rsidR="001F6ABD">
        <w:rPr>
          <w:szCs w:val="20"/>
        </w:rPr>
        <w:t xml:space="preserve">Combined Greenyard </w:t>
      </w:r>
      <w:r w:rsidR="002A1AB1">
        <w:rPr>
          <w:szCs w:val="20"/>
          <w:lang w:eastAsia="en-GB"/>
        </w:rPr>
        <w:t>Foods</w:t>
      </w:r>
      <w:r w:rsidRPr="00992199">
        <w:rPr>
          <w:szCs w:val="20"/>
          <w:lang w:eastAsia="en-GB"/>
        </w:rPr>
        <w:t xml:space="preserve"> Group’s debt could be at higher interest rates and may require the </w:t>
      </w:r>
      <w:r w:rsidR="001F6ABD">
        <w:rPr>
          <w:szCs w:val="20"/>
        </w:rPr>
        <w:t xml:space="preserve">Combined Greenyard </w:t>
      </w:r>
      <w:r w:rsidR="002A1AB1">
        <w:rPr>
          <w:szCs w:val="20"/>
          <w:lang w:eastAsia="en-GB"/>
        </w:rPr>
        <w:t>Foods</w:t>
      </w:r>
      <w:r w:rsidRPr="00992199">
        <w:rPr>
          <w:szCs w:val="20"/>
          <w:lang w:eastAsia="en-GB"/>
        </w:rPr>
        <w:t xml:space="preserve"> Group to comply with more onerous covenants, which could further restrict its business operations. The terms of existing or future debt instruments may also limit or prevent the </w:t>
      </w:r>
      <w:r w:rsidR="001F6ABD">
        <w:rPr>
          <w:szCs w:val="20"/>
        </w:rPr>
        <w:t xml:space="preserve">Combined Greenyard </w:t>
      </w:r>
      <w:r w:rsidR="002A1AB1">
        <w:rPr>
          <w:szCs w:val="20"/>
          <w:lang w:eastAsia="en-GB"/>
        </w:rPr>
        <w:t>Foods</w:t>
      </w:r>
      <w:r w:rsidRPr="00992199">
        <w:rPr>
          <w:szCs w:val="20"/>
          <w:lang w:eastAsia="en-GB"/>
        </w:rPr>
        <w:t xml:space="preserve"> Group from taking any of these actions should the same become necessary.</w:t>
      </w:r>
    </w:p>
    <w:p w:rsidR="003F0BC5" w:rsidRPr="00992199" w:rsidRDefault="003F0BC5" w:rsidP="003F0BC5">
      <w:pPr>
        <w:rPr>
          <w:szCs w:val="20"/>
        </w:rPr>
      </w:pPr>
      <w:r w:rsidRPr="00992199">
        <w:rPr>
          <w:szCs w:val="20"/>
          <w:lang w:eastAsia="en-GB"/>
        </w:rPr>
        <w:t xml:space="preserve">Further, if the </w:t>
      </w:r>
      <w:r w:rsidR="001F6ABD">
        <w:rPr>
          <w:szCs w:val="20"/>
        </w:rPr>
        <w:t xml:space="preserve">Combined Greenyard </w:t>
      </w:r>
      <w:r w:rsidR="002A1AB1">
        <w:rPr>
          <w:szCs w:val="20"/>
          <w:lang w:eastAsia="en-GB"/>
        </w:rPr>
        <w:t>Foods</w:t>
      </w:r>
      <w:r w:rsidRPr="00992199">
        <w:rPr>
          <w:szCs w:val="20"/>
          <w:lang w:eastAsia="en-GB"/>
        </w:rPr>
        <w:t xml:space="preserve"> Group defaults on the payments required under the terms of certain of its indebtedness, that indebtedness, together with debt incurred pursuant to other debt agreements or instruments that contain cross-default or cross-acceleration provisions, may become payable on demand and the </w:t>
      </w:r>
      <w:r w:rsidR="001F6ABD">
        <w:rPr>
          <w:szCs w:val="20"/>
        </w:rPr>
        <w:t xml:space="preserve">Combined Greenyard </w:t>
      </w:r>
      <w:r w:rsidR="002A1AB1">
        <w:rPr>
          <w:szCs w:val="20"/>
          <w:lang w:eastAsia="en-GB"/>
        </w:rPr>
        <w:t>Foods</w:t>
      </w:r>
      <w:r w:rsidRPr="00992199">
        <w:rPr>
          <w:szCs w:val="20"/>
          <w:lang w:eastAsia="en-GB"/>
        </w:rPr>
        <w:t xml:space="preserve"> Group may not have sufficient funds to repay all of its debts.</w:t>
      </w:r>
    </w:p>
    <w:p w:rsidR="003F0BC5" w:rsidRPr="00992199" w:rsidRDefault="003F0BC5" w:rsidP="003F0BC5">
      <w:pPr>
        <w:rPr>
          <w:szCs w:val="20"/>
        </w:rPr>
      </w:pPr>
      <w:r w:rsidRPr="00992199">
        <w:rPr>
          <w:szCs w:val="20"/>
          <w:lang w:eastAsia="en-GB"/>
        </w:rPr>
        <w:t xml:space="preserve">As a result of all the foregoing, the </w:t>
      </w:r>
      <w:r w:rsidR="001F6ABD">
        <w:rPr>
          <w:szCs w:val="20"/>
        </w:rPr>
        <w:t xml:space="preserve">Combined Greenyard </w:t>
      </w:r>
      <w:r w:rsidR="002A1AB1">
        <w:rPr>
          <w:szCs w:val="20"/>
          <w:lang w:eastAsia="en-GB"/>
        </w:rPr>
        <w:t>Foods</w:t>
      </w:r>
      <w:r w:rsidRPr="00992199">
        <w:rPr>
          <w:szCs w:val="20"/>
          <w:lang w:eastAsia="en-GB"/>
        </w:rPr>
        <w:t xml:space="preserve"> Group’s inability to generate sufficient cash flow to satisfy its debt service obligations, or to refinance or restructure its obligations on commercially reasonable terms or at all, would have an adverse effect, which could be material, on its business, financial condition and results of operations.</w:t>
      </w:r>
    </w:p>
    <w:p w:rsidR="003F0BC5" w:rsidRPr="00992199" w:rsidRDefault="003F0BC5" w:rsidP="00C14169">
      <w:pPr>
        <w:keepNext/>
        <w:rPr>
          <w:b/>
          <w:i/>
          <w:szCs w:val="20"/>
        </w:rPr>
      </w:pPr>
      <w:r w:rsidRPr="00992199">
        <w:rPr>
          <w:b/>
          <w:i/>
          <w:szCs w:val="20"/>
        </w:rPr>
        <w:t xml:space="preserve">Certain of the </w:t>
      </w:r>
      <w:r w:rsidR="001F6ABD" w:rsidRPr="00E13084">
        <w:rPr>
          <w:b/>
          <w:i/>
          <w:szCs w:val="20"/>
        </w:rPr>
        <w:t xml:space="preserve">Combined Greenyard </w:t>
      </w:r>
      <w:r w:rsidR="002A1AB1">
        <w:rPr>
          <w:b/>
          <w:i/>
          <w:szCs w:val="20"/>
        </w:rPr>
        <w:t>Foods</w:t>
      </w:r>
      <w:r w:rsidRPr="00992199">
        <w:rPr>
          <w:b/>
          <w:i/>
          <w:szCs w:val="20"/>
        </w:rPr>
        <w:t xml:space="preserve"> Group’s financing agreements contain covenants that restrict the </w:t>
      </w:r>
      <w:r w:rsidR="001F6ABD" w:rsidRPr="00E13084">
        <w:rPr>
          <w:b/>
          <w:i/>
          <w:szCs w:val="20"/>
        </w:rPr>
        <w:t xml:space="preserve">Combined Greenyard </w:t>
      </w:r>
      <w:r w:rsidR="002A1AB1">
        <w:rPr>
          <w:b/>
          <w:i/>
          <w:szCs w:val="20"/>
        </w:rPr>
        <w:t>Foods</w:t>
      </w:r>
      <w:r w:rsidRPr="00992199">
        <w:rPr>
          <w:b/>
          <w:i/>
          <w:szCs w:val="20"/>
        </w:rPr>
        <w:t xml:space="preserve"> Group’s ability to engage in certain transactions and may impair the </w:t>
      </w:r>
      <w:r w:rsidR="001F6ABD" w:rsidRPr="00E13084">
        <w:rPr>
          <w:b/>
          <w:i/>
          <w:szCs w:val="20"/>
        </w:rPr>
        <w:t xml:space="preserve">Combined Greenyard </w:t>
      </w:r>
      <w:r w:rsidR="002A1AB1">
        <w:rPr>
          <w:b/>
          <w:i/>
          <w:szCs w:val="20"/>
        </w:rPr>
        <w:t>Foods</w:t>
      </w:r>
      <w:r w:rsidRPr="00992199">
        <w:rPr>
          <w:b/>
          <w:i/>
          <w:szCs w:val="20"/>
        </w:rPr>
        <w:t xml:space="preserve"> Group’s ability to respond to changing business and economic conditions.</w:t>
      </w:r>
    </w:p>
    <w:p w:rsidR="003F0BC5" w:rsidRPr="00992199" w:rsidRDefault="003F0BC5" w:rsidP="003F0BC5">
      <w:pPr>
        <w:rPr>
          <w:szCs w:val="20"/>
        </w:rPr>
      </w:pPr>
      <w:r w:rsidRPr="00992199">
        <w:rPr>
          <w:szCs w:val="20"/>
          <w:lang w:eastAsia="en-GB"/>
        </w:rPr>
        <w:t xml:space="preserve">Certain of the </w:t>
      </w:r>
      <w:r w:rsidR="001F6ABD">
        <w:rPr>
          <w:szCs w:val="20"/>
        </w:rPr>
        <w:t xml:space="preserve">Combined Greenyard </w:t>
      </w:r>
      <w:r w:rsidR="002A1AB1">
        <w:rPr>
          <w:szCs w:val="20"/>
          <w:lang w:eastAsia="en-GB"/>
        </w:rPr>
        <w:t>Foods</w:t>
      </w:r>
      <w:r w:rsidRPr="00992199">
        <w:rPr>
          <w:szCs w:val="20"/>
          <w:lang w:eastAsia="en-GB"/>
        </w:rPr>
        <w:t xml:space="preserve"> Group’s financing agreements include a number of restrictive covenants. These covenants may restrict, among other things, the </w:t>
      </w:r>
      <w:r w:rsidR="001F6ABD">
        <w:rPr>
          <w:szCs w:val="20"/>
        </w:rPr>
        <w:t xml:space="preserve">Combined Greenyard </w:t>
      </w:r>
      <w:r w:rsidR="002A1AB1">
        <w:rPr>
          <w:szCs w:val="20"/>
          <w:lang w:eastAsia="en-GB"/>
        </w:rPr>
        <w:t>Foods</w:t>
      </w:r>
      <w:r w:rsidRPr="00992199">
        <w:rPr>
          <w:szCs w:val="20"/>
          <w:lang w:eastAsia="en-GB"/>
        </w:rPr>
        <w:t xml:space="preserve"> Group’s ability to: incur additional indebtedness, provide guarantees, create liens, pay dividends, redeem share capital, sell assets, make investments, merge or consolidate with another company, and engage in transactions with affiliates</w:t>
      </w:r>
      <w:r w:rsidR="000A2D2F">
        <w:rPr>
          <w:szCs w:val="20"/>
          <w:lang w:eastAsia="en-GB"/>
        </w:rPr>
        <w:t xml:space="preserve"> (including other divisions of the Combined </w:t>
      </w:r>
      <w:r w:rsidR="002A1AB1">
        <w:rPr>
          <w:szCs w:val="20"/>
          <w:lang w:eastAsia="en-GB"/>
        </w:rPr>
        <w:t>Greenyard Foods</w:t>
      </w:r>
      <w:r w:rsidR="000A2D2F">
        <w:rPr>
          <w:szCs w:val="20"/>
          <w:lang w:eastAsia="en-GB"/>
        </w:rPr>
        <w:t xml:space="preserve"> Group)</w:t>
      </w:r>
      <w:r w:rsidRPr="00992199">
        <w:rPr>
          <w:szCs w:val="20"/>
          <w:lang w:eastAsia="en-GB"/>
        </w:rPr>
        <w:t>.</w:t>
      </w:r>
    </w:p>
    <w:p w:rsidR="003F0BC5" w:rsidRPr="00992199" w:rsidRDefault="003F0BC5" w:rsidP="003F0BC5">
      <w:pPr>
        <w:rPr>
          <w:szCs w:val="20"/>
        </w:rPr>
      </w:pPr>
      <w:r w:rsidRPr="00992199">
        <w:rPr>
          <w:szCs w:val="20"/>
          <w:lang w:eastAsia="en-GB"/>
        </w:rPr>
        <w:t xml:space="preserve">Although subject to significant qualifications and exceptions, these covenants could limit the ability of the </w:t>
      </w:r>
      <w:r w:rsidR="001F6ABD">
        <w:rPr>
          <w:szCs w:val="20"/>
        </w:rPr>
        <w:t xml:space="preserve">Combined Greenyard </w:t>
      </w:r>
      <w:r w:rsidR="002A1AB1">
        <w:rPr>
          <w:szCs w:val="20"/>
          <w:lang w:eastAsia="en-GB"/>
        </w:rPr>
        <w:t>Foods</w:t>
      </w:r>
      <w:r w:rsidRPr="00992199">
        <w:rPr>
          <w:szCs w:val="20"/>
          <w:lang w:eastAsia="en-GB"/>
        </w:rPr>
        <w:t xml:space="preserve"> Group to plan for or react to market conditions or to meet capital needs or engage in activities that may be in its interest. The ability of the </w:t>
      </w:r>
      <w:r w:rsidR="001F6ABD">
        <w:rPr>
          <w:szCs w:val="20"/>
        </w:rPr>
        <w:t xml:space="preserve">Combined Greenyard </w:t>
      </w:r>
      <w:r w:rsidR="002A1AB1">
        <w:rPr>
          <w:szCs w:val="20"/>
          <w:lang w:eastAsia="en-GB"/>
        </w:rPr>
        <w:t>Foods</w:t>
      </w:r>
      <w:r w:rsidRPr="00992199">
        <w:rPr>
          <w:szCs w:val="20"/>
          <w:lang w:eastAsia="en-GB"/>
        </w:rPr>
        <w:t xml:space="preserve"> Group to comply with these covenants may be affected by events beyond its control, and the </w:t>
      </w:r>
      <w:r w:rsidR="001F6ABD">
        <w:rPr>
          <w:szCs w:val="20"/>
        </w:rPr>
        <w:t xml:space="preserve">Combined Greenyard </w:t>
      </w:r>
      <w:r w:rsidR="002A1AB1">
        <w:rPr>
          <w:szCs w:val="20"/>
          <w:lang w:eastAsia="en-GB"/>
        </w:rPr>
        <w:t>Foods</w:t>
      </w:r>
      <w:r w:rsidRPr="00992199">
        <w:rPr>
          <w:szCs w:val="20"/>
          <w:lang w:eastAsia="en-GB"/>
        </w:rPr>
        <w:t xml:space="preserve"> Group may have to curtail some of its </w:t>
      </w:r>
      <w:r w:rsidR="000A2D2F">
        <w:rPr>
          <w:szCs w:val="20"/>
          <w:lang w:eastAsia="en-GB"/>
        </w:rPr>
        <w:t xml:space="preserve">planned synergies, </w:t>
      </w:r>
      <w:r w:rsidRPr="00992199">
        <w:rPr>
          <w:szCs w:val="20"/>
          <w:lang w:eastAsia="en-GB"/>
        </w:rPr>
        <w:t>operations and growth plans to maintain compliance.</w:t>
      </w:r>
    </w:p>
    <w:p w:rsidR="003F0BC5" w:rsidRPr="0094005D" w:rsidRDefault="003F0BC5" w:rsidP="003F0BC5">
      <w:pPr>
        <w:rPr>
          <w:szCs w:val="20"/>
        </w:rPr>
      </w:pPr>
      <w:r w:rsidRPr="00992199">
        <w:rPr>
          <w:szCs w:val="20"/>
          <w:lang w:eastAsia="en-GB"/>
        </w:rPr>
        <w:t xml:space="preserve">In addition, the </w:t>
      </w:r>
      <w:r w:rsidR="001F6ABD">
        <w:rPr>
          <w:szCs w:val="20"/>
        </w:rPr>
        <w:t xml:space="preserve">Combined Greenyard </w:t>
      </w:r>
      <w:r w:rsidR="002A1AB1">
        <w:rPr>
          <w:szCs w:val="20"/>
          <w:lang w:eastAsia="en-GB"/>
        </w:rPr>
        <w:t>Foods</w:t>
      </w:r>
      <w:r w:rsidRPr="00992199">
        <w:rPr>
          <w:szCs w:val="20"/>
          <w:lang w:eastAsia="en-GB"/>
        </w:rPr>
        <w:t xml:space="preserve"> Group will be subject to the affirmative and negative covenants contained in instruments governing its indebtedness. For example, the </w:t>
      </w:r>
      <w:r w:rsidR="000A2D2F">
        <w:rPr>
          <w:szCs w:val="20"/>
          <w:lang w:eastAsia="en-GB"/>
        </w:rPr>
        <w:t xml:space="preserve">Combined </w:t>
      </w:r>
      <w:r w:rsidR="002A1AB1">
        <w:rPr>
          <w:szCs w:val="20"/>
          <w:lang w:eastAsia="en-GB"/>
        </w:rPr>
        <w:t xml:space="preserve">Greenyard Foods </w:t>
      </w:r>
      <w:r w:rsidR="000A2D2F">
        <w:rPr>
          <w:szCs w:val="20"/>
          <w:lang w:eastAsia="en-GB"/>
        </w:rPr>
        <w:t xml:space="preserve">Group’s financing documents </w:t>
      </w:r>
      <w:r w:rsidRPr="00992199">
        <w:rPr>
          <w:szCs w:val="20"/>
          <w:lang w:eastAsia="en-GB"/>
        </w:rPr>
        <w:t xml:space="preserve">require </w:t>
      </w:r>
      <w:r w:rsidR="008D4FB5">
        <w:rPr>
          <w:szCs w:val="20"/>
          <w:lang w:eastAsia="en-GB"/>
        </w:rPr>
        <w:t>it</w:t>
      </w:r>
      <w:r w:rsidRPr="00992199">
        <w:rPr>
          <w:szCs w:val="20"/>
          <w:lang w:eastAsia="en-GB"/>
        </w:rPr>
        <w:t xml:space="preserve"> to maintain specified financial ratios and satisfy certain financial condition tests. The </w:t>
      </w:r>
      <w:r w:rsidR="001F6ABD">
        <w:rPr>
          <w:szCs w:val="20"/>
        </w:rPr>
        <w:t xml:space="preserve">Combined Greenyard </w:t>
      </w:r>
      <w:r w:rsidR="002A1AB1">
        <w:rPr>
          <w:szCs w:val="20"/>
          <w:lang w:eastAsia="en-GB"/>
        </w:rPr>
        <w:t>Foods</w:t>
      </w:r>
      <w:r w:rsidRPr="00992199">
        <w:rPr>
          <w:szCs w:val="20"/>
          <w:lang w:eastAsia="en-GB"/>
        </w:rPr>
        <w:t xml:space="preserve"> Group’s ability to meet those financial ratios and tests can be affected by events beyond its control and the </w:t>
      </w:r>
      <w:r w:rsidR="001F6ABD">
        <w:rPr>
          <w:szCs w:val="20"/>
        </w:rPr>
        <w:t xml:space="preserve">Combined Greenyard </w:t>
      </w:r>
      <w:r w:rsidR="002A1AB1">
        <w:rPr>
          <w:szCs w:val="20"/>
          <w:lang w:eastAsia="en-GB"/>
        </w:rPr>
        <w:t>Foods</w:t>
      </w:r>
      <w:r w:rsidRPr="00992199">
        <w:rPr>
          <w:szCs w:val="20"/>
          <w:lang w:eastAsia="en-GB"/>
        </w:rPr>
        <w:t xml:space="preserve"> Group cannot assure you that it will meet them. A breach of any of those covenants, ratios, tests or restrictions could result in an event of default under the financing agreements. Upon the occurrence of any event of default under the financing agreements, subject to applicable cure periods and other limitations on acceleration or enforcement, the relevant creditors could cancel the availability of the facilities and elect to declare all amounts outstanding under the financing agreements, together with accrued interest, immediately due and payable. In addition, any default under any financing agreements could lead to an event of default and acceleration under other debt instruments that contain cross-</w:t>
      </w:r>
      <w:r w:rsidRPr="00992199">
        <w:rPr>
          <w:szCs w:val="20"/>
          <w:lang w:eastAsia="en-GB"/>
        </w:rPr>
        <w:lastRenderedPageBreak/>
        <w:t>default or cross-acceleration provisions.</w:t>
      </w:r>
      <w:r w:rsidR="0094005D">
        <w:rPr>
          <w:szCs w:val="20"/>
          <w:lang w:eastAsia="en-GB"/>
        </w:rPr>
        <w:t xml:space="preserve"> See also Section </w:t>
      </w:r>
      <w:r w:rsidR="005F5D47">
        <w:rPr>
          <w:szCs w:val="20"/>
          <w:lang w:eastAsia="en-GB"/>
        </w:rPr>
        <w:t>8</w:t>
      </w:r>
      <w:r w:rsidR="0094005D">
        <w:rPr>
          <w:szCs w:val="20"/>
          <w:lang w:eastAsia="en-GB"/>
        </w:rPr>
        <w:t xml:space="preserve"> of Part V </w:t>
      </w:r>
      <w:r w:rsidR="00AD2433" w:rsidRPr="00992199">
        <w:rPr>
          <w:szCs w:val="20"/>
        </w:rPr>
        <w:t>(</w:t>
      </w:r>
      <w:r w:rsidR="00AD2433" w:rsidRPr="00992199">
        <w:rPr>
          <w:i/>
          <w:szCs w:val="20"/>
        </w:rPr>
        <w:t xml:space="preserve">Information about </w:t>
      </w:r>
      <w:r w:rsidR="00AD2433">
        <w:rPr>
          <w:i/>
          <w:szCs w:val="20"/>
        </w:rPr>
        <w:t>the Combined Greenyard Foods</w:t>
      </w:r>
      <w:r w:rsidR="00AD2433" w:rsidRPr="00992199">
        <w:rPr>
          <w:i/>
          <w:szCs w:val="20"/>
        </w:rPr>
        <w:t xml:space="preserve"> </w:t>
      </w:r>
      <w:r w:rsidR="00AD2433">
        <w:rPr>
          <w:i/>
          <w:szCs w:val="20"/>
        </w:rPr>
        <w:t xml:space="preserve">Group </w:t>
      </w:r>
      <w:r w:rsidR="00AD2433" w:rsidRPr="00992199">
        <w:rPr>
          <w:i/>
          <w:szCs w:val="20"/>
        </w:rPr>
        <w:t>upon completion of the Contributions</w:t>
      </w:r>
      <w:r w:rsidR="00AD2433" w:rsidRPr="00992199">
        <w:rPr>
          <w:szCs w:val="20"/>
        </w:rPr>
        <w:t>)</w:t>
      </w:r>
      <w:r w:rsidR="0094005D">
        <w:rPr>
          <w:szCs w:val="20"/>
          <w:lang w:eastAsia="en-GB"/>
        </w:rPr>
        <w:t>.</w:t>
      </w:r>
    </w:p>
    <w:p w:rsidR="003F0BC5" w:rsidRPr="00992199" w:rsidRDefault="003F0BC5" w:rsidP="003F0BC5">
      <w:pPr>
        <w:rPr>
          <w:szCs w:val="20"/>
        </w:rPr>
      </w:pPr>
      <w:r w:rsidRPr="00992199">
        <w:rPr>
          <w:szCs w:val="20"/>
          <w:lang w:eastAsia="en-GB"/>
        </w:rPr>
        <w:t xml:space="preserve">If the </w:t>
      </w:r>
      <w:r w:rsidR="001F6ABD">
        <w:rPr>
          <w:szCs w:val="20"/>
        </w:rPr>
        <w:t xml:space="preserve">Combined Greenyard </w:t>
      </w:r>
      <w:r w:rsidR="002A1AB1">
        <w:rPr>
          <w:szCs w:val="20"/>
          <w:lang w:eastAsia="en-GB"/>
        </w:rPr>
        <w:t>Foods</w:t>
      </w:r>
      <w:r w:rsidRPr="00992199">
        <w:rPr>
          <w:szCs w:val="20"/>
          <w:lang w:eastAsia="en-GB"/>
        </w:rPr>
        <w:t xml:space="preserve"> Group breaches certain covenants under its outstanding indebtedness, its creditors may accelerate the payment of amounts following any such future default, and it cannot assure that its assets would be sufficient to repay in full those amounts, to satisfy all other liabilities of its subsidiaries which would be due and payable, in full or in part. In addition, if the </w:t>
      </w:r>
      <w:r w:rsidR="001F6ABD">
        <w:rPr>
          <w:szCs w:val="20"/>
        </w:rPr>
        <w:t xml:space="preserve">Combined Greenyard </w:t>
      </w:r>
      <w:r w:rsidR="002A1AB1">
        <w:rPr>
          <w:szCs w:val="20"/>
          <w:lang w:eastAsia="en-GB"/>
        </w:rPr>
        <w:t>Foods</w:t>
      </w:r>
      <w:r w:rsidRPr="00992199">
        <w:rPr>
          <w:szCs w:val="20"/>
          <w:lang w:eastAsia="en-GB"/>
        </w:rPr>
        <w:t xml:space="preserve"> Group is unable to repay those amounts, its creditors would proceed against any collateral granted to them to secure repayment of those amounts.</w:t>
      </w:r>
    </w:p>
    <w:p w:rsidR="003F0BC5" w:rsidRPr="00992199" w:rsidRDefault="003F0BC5" w:rsidP="00C14169">
      <w:pPr>
        <w:keepNext/>
        <w:rPr>
          <w:b/>
          <w:i/>
          <w:szCs w:val="20"/>
        </w:rPr>
      </w:pPr>
      <w:r w:rsidRPr="00992199">
        <w:rPr>
          <w:b/>
          <w:i/>
          <w:szCs w:val="20"/>
        </w:rPr>
        <w:t xml:space="preserve">Despite its current levels of indebtedness, the </w:t>
      </w:r>
      <w:r w:rsidR="001F6ABD" w:rsidRPr="00E13084">
        <w:rPr>
          <w:b/>
          <w:i/>
          <w:szCs w:val="20"/>
        </w:rPr>
        <w:t xml:space="preserve">Combined Greenyard </w:t>
      </w:r>
      <w:r w:rsidR="002A1AB1">
        <w:rPr>
          <w:b/>
          <w:i/>
          <w:szCs w:val="20"/>
        </w:rPr>
        <w:t>Foods</w:t>
      </w:r>
      <w:r w:rsidRPr="00992199">
        <w:rPr>
          <w:b/>
          <w:i/>
          <w:szCs w:val="20"/>
        </w:rPr>
        <w:t xml:space="preserve"> Group may incur substantially more debt in the future, which may make it difficult for it to service its debt, and </w:t>
      </w:r>
      <w:r w:rsidR="000F59DA">
        <w:rPr>
          <w:b/>
          <w:i/>
          <w:szCs w:val="20"/>
        </w:rPr>
        <w:t xml:space="preserve">may </w:t>
      </w:r>
      <w:r w:rsidRPr="00992199">
        <w:rPr>
          <w:b/>
          <w:i/>
          <w:szCs w:val="20"/>
        </w:rPr>
        <w:t>impair its ability to operate its business.</w:t>
      </w:r>
    </w:p>
    <w:p w:rsidR="003F0BC5" w:rsidRPr="00992199" w:rsidRDefault="003F0BC5" w:rsidP="003F0BC5">
      <w:pPr>
        <w:rPr>
          <w:szCs w:val="20"/>
        </w:rPr>
      </w:pPr>
      <w:r w:rsidRPr="00992199">
        <w:rPr>
          <w:szCs w:val="20"/>
          <w:lang w:eastAsia="en-GB"/>
        </w:rPr>
        <w:t xml:space="preserve">The </w:t>
      </w:r>
      <w:r w:rsidR="001F6ABD">
        <w:rPr>
          <w:szCs w:val="20"/>
        </w:rPr>
        <w:t xml:space="preserve">Combined Greenyard </w:t>
      </w:r>
      <w:r w:rsidR="002A1AB1">
        <w:rPr>
          <w:szCs w:val="20"/>
          <w:lang w:eastAsia="en-GB"/>
        </w:rPr>
        <w:t>Foods</w:t>
      </w:r>
      <w:r w:rsidRPr="00992199">
        <w:rPr>
          <w:szCs w:val="20"/>
          <w:lang w:eastAsia="en-GB"/>
        </w:rPr>
        <w:t xml:space="preserve"> Group may incur substantial additional debt in the future. In addition, although</w:t>
      </w:r>
      <w:r w:rsidR="0094005D">
        <w:rPr>
          <w:szCs w:val="20"/>
          <w:lang w:eastAsia="en-GB"/>
        </w:rPr>
        <w:t xml:space="preserve"> the </w:t>
      </w:r>
      <w:r w:rsidR="0094005D" w:rsidRPr="0094005D">
        <w:rPr>
          <w:szCs w:val="20"/>
          <w:lang w:eastAsia="en-GB"/>
        </w:rPr>
        <w:t xml:space="preserve">Combined </w:t>
      </w:r>
      <w:r w:rsidR="002A1AB1">
        <w:rPr>
          <w:szCs w:val="20"/>
          <w:lang w:eastAsia="en-GB"/>
        </w:rPr>
        <w:t xml:space="preserve">Greenyard Foods </w:t>
      </w:r>
      <w:r w:rsidR="0094005D" w:rsidRPr="0094005D">
        <w:rPr>
          <w:szCs w:val="20"/>
          <w:lang w:eastAsia="en-GB"/>
        </w:rPr>
        <w:t>Group’s financing documents</w:t>
      </w:r>
      <w:r w:rsidRPr="00992199">
        <w:rPr>
          <w:szCs w:val="20"/>
          <w:lang w:eastAsia="en-GB"/>
        </w:rPr>
        <w:t xml:space="preserve"> contain restrictions for the </w:t>
      </w:r>
      <w:r w:rsidR="0094005D">
        <w:rPr>
          <w:szCs w:val="20"/>
          <w:lang w:eastAsia="en-GB"/>
        </w:rPr>
        <w:t xml:space="preserve">Combined </w:t>
      </w:r>
      <w:r w:rsidR="002A1AB1">
        <w:rPr>
          <w:szCs w:val="20"/>
          <w:lang w:eastAsia="en-GB"/>
        </w:rPr>
        <w:t xml:space="preserve">Greenyard Foods </w:t>
      </w:r>
      <w:r w:rsidR="0094005D">
        <w:rPr>
          <w:szCs w:val="20"/>
          <w:lang w:eastAsia="en-GB"/>
        </w:rPr>
        <w:t xml:space="preserve">Group </w:t>
      </w:r>
      <w:r w:rsidRPr="00992199">
        <w:rPr>
          <w:szCs w:val="20"/>
          <w:lang w:eastAsia="en-GB"/>
        </w:rPr>
        <w:t xml:space="preserve">on the incurrence of additional indebtedness, these restrictions are subject to a number of significant qualifications and exceptions and, under certain circumstances, the amount of indebtedness that could be incurred in compliance with these restrictions could be substantial. The </w:t>
      </w:r>
      <w:r w:rsidR="0094005D">
        <w:rPr>
          <w:szCs w:val="20"/>
          <w:lang w:eastAsia="en-GB"/>
        </w:rPr>
        <w:t xml:space="preserve">Combined </w:t>
      </w:r>
      <w:r w:rsidR="002A1AB1">
        <w:rPr>
          <w:szCs w:val="20"/>
          <w:lang w:eastAsia="en-GB"/>
        </w:rPr>
        <w:t xml:space="preserve">Greenyard Foods </w:t>
      </w:r>
      <w:r w:rsidR="0094005D">
        <w:rPr>
          <w:szCs w:val="20"/>
          <w:lang w:eastAsia="en-GB"/>
        </w:rPr>
        <w:t xml:space="preserve">Group </w:t>
      </w:r>
      <w:r w:rsidRPr="00992199">
        <w:rPr>
          <w:szCs w:val="20"/>
          <w:lang w:eastAsia="en-GB"/>
        </w:rPr>
        <w:t xml:space="preserve">may in particular also be able to draw amounts under its </w:t>
      </w:r>
      <w:r w:rsidR="0094005D">
        <w:rPr>
          <w:szCs w:val="20"/>
          <w:lang w:eastAsia="en-GB"/>
        </w:rPr>
        <w:t>financing documents</w:t>
      </w:r>
      <w:r w:rsidRPr="00992199">
        <w:rPr>
          <w:szCs w:val="20"/>
          <w:lang w:eastAsia="en-GB"/>
        </w:rPr>
        <w:t xml:space="preserve"> and incur certain other indebtedness at times when it does not meet ce</w:t>
      </w:r>
      <w:r w:rsidR="0094005D">
        <w:rPr>
          <w:szCs w:val="20"/>
          <w:lang w:eastAsia="en-GB"/>
        </w:rPr>
        <w:t>rtain ratios provided for in its financing documents</w:t>
      </w:r>
      <w:r w:rsidRPr="00992199">
        <w:rPr>
          <w:szCs w:val="20"/>
          <w:lang w:eastAsia="en-GB"/>
        </w:rPr>
        <w:t xml:space="preserve">. In addition, the </w:t>
      </w:r>
      <w:r w:rsidR="0094005D">
        <w:rPr>
          <w:szCs w:val="20"/>
          <w:lang w:eastAsia="en-GB"/>
        </w:rPr>
        <w:t>financing documents</w:t>
      </w:r>
      <w:r w:rsidRPr="00992199">
        <w:rPr>
          <w:szCs w:val="20"/>
          <w:lang w:eastAsia="en-GB"/>
        </w:rPr>
        <w:t xml:space="preserve"> will not prevent the </w:t>
      </w:r>
      <w:r w:rsidR="0094005D">
        <w:rPr>
          <w:szCs w:val="20"/>
          <w:lang w:eastAsia="en-GB"/>
        </w:rPr>
        <w:t xml:space="preserve">Combined </w:t>
      </w:r>
      <w:r w:rsidR="002A1AB1">
        <w:rPr>
          <w:szCs w:val="20"/>
          <w:lang w:eastAsia="en-GB"/>
        </w:rPr>
        <w:t>Greenyard Foods</w:t>
      </w:r>
      <w:r w:rsidR="0094005D">
        <w:rPr>
          <w:szCs w:val="20"/>
          <w:lang w:eastAsia="en-GB"/>
        </w:rPr>
        <w:t xml:space="preserve"> </w:t>
      </w:r>
      <w:r w:rsidRPr="00992199">
        <w:rPr>
          <w:szCs w:val="20"/>
          <w:lang w:eastAsia="en-GB"/>
        </w:rPr>
        <w:t>Group from incurring obligations that do not constitute indebtedness under those agreements. The incurrence of additional debt would increase the leverage-related risks described above.</w:t>
      </w:r>
    </w:p>
    <w:p w:rsidR="003F0BC5" w:rsidRPr="00992199" w:rsidRDefault="003F0BC5" w:rsidP="00C14169">
      <w:pPr>
        <w:keepNext/>
        <w:rPr>
          <w:b/>
          <w:i/>
          <w:szCs w:val="20"/>
        </w:rPr>
      </w:pPr>
      <w:r w:rsidRPr="00992199">
        <w:rPr>
          <w:b/>
          <w:i/>
          <w:szCs w:val="20"/>
        </w:rPr>
        <w:t xml:space="preserve">Fluctuations in interest rates can have a significant impact on the activities, operating results or the financial position of the </w:t>
      </w:r>
      <w:r w:rsidR="001F6ABD" w:rsidRPr="00E13084">
        <w:rPr>
          <w:b/>
          <w:i/>
          <w:szCs w:val="20"/>
        </w:rPr>
        <w:t xml:space="preserve">Combined Greenyard </w:t>
      </w:r>
      <w:r w:rsidR="002A1AB1">
        <w:rPr>
          <w:b/>
          <w:i/>
          <w:szCs w:val="20"/>
        </w:rPr>
        <w:t>Foods</w:t>
      </w:r>
      <w:r w:rsidRPr="00992199">
        <w:rPr>
          <w:b/>
          <w:i/>
          <w:szCs w:val="20"/>
        </w:rPr>
        <w:t xml:space="preserve"> Group</w:t>
      </w:r>
      <w:r w:rsidR="000A2D2F">
        <w:rPr>
          <w:b/>
          <w:i/>
          <w:szCs w:val="20"/>
        </w:rPr>
        <w:t xml:space="preserve">, and the Transactions could result in an increase of the overall average interest rate of the Combined </w:t>
      </w:r>
      <w:r w:rsidR="002A1AB1">
        <w:rPr>
          <w:b/>
          <w:i/>
          <w:szCs w:val="20"/>
        </w:rPr>
        <w:t>Greenyard Foods</w:t>
      </w:r>
      <w:r w:rsidR="000A2D2F">
        <w:rPr>
          <w:b/>
          <w:i/>
          <w:szCs w:val="20"/>
        </w:rPr>
        <w:t xml:space="preserve"> Group</w:t>
      </w:r>
      <w:r w:rsidRPr="00992199">
        <w:rPr>
          <w:b/>
          <w:i/>
          <w:szCs w:val="20"/>
        </w:rPr>
        <w:t>.</w:t>
      </w:r>
    </w:p>
    <w:p w:rsidR="000A2D2F" w:rsidRPr="00992199" w:rsidRDefault="000A2D2F" w:rsidP="000A2D2F">
      <w:pPr>
        <w:rPr>
          <w:szCs w:val="20"/>
        </w:rPr>
      </w:pPr>
      <w:r>
        <w:rPr>
          <w:szCs w:val="20"/>
        </w:rPr>
        <w:t xml:space="preserve">Except for the Notes issued by the Univeg Group and the Bonds issued by </w:t>
      </w:r>
      <w:r w:rsidR="002A1AB1">
        <w:rPr>
          <w:szCs w:val="20"/>
        </w:rPr>
        <w:t>Greenyard Foods</w:t>
      </w:r>
      <w:r>
        <w:rPr>
          <w:szCs w:val="20"/>
        </w:rPr>
        <w:t xml:space="preserve">, the Combined </w:t>
      </w:r>
      <w:r w:rsidR="002A1AB1">
        <w:rPr>
          <w:szCs w:val="20"/>
        </w:rPr>
        <w:t>Greenyard Foods</w:t>
      </w:r>
      <w:r>
        <w:rPr>
          <w:szCs w:val="20"/>
        </w:rPr>
        <w:t xml:space="preserve"> Group </w:t>
      </w:r>
      <w:r w:rsidRPr="00992199">
        <w:rPr>
          <w:szCs w:val="20"/>
        </w:rPr>
        <w:t xml:space="preserve">is mainly financed by financial debt (bank debt) </w:t>
      </w:r>
      <w:r>
        <w:rPr>
          <w:szCs w:val="20"/>
        </w:rPr>
        <w:t xml:space="preserve">with </w:t>
      </w:r>
      <w:r w:rsidRPr="00992199">
        <w:rPr>
          <w:szCs w:val="20"/>
        </w:rPr>
        <w:t xml:space="preserve">a variable interest rate (EURIBOR + margin), resulting in an interest rate exposure for </w:t>
      </w:r>
      <w:r>
        <w:rPr>
          <w:szCs w:val="20"/>
        </w:rPr>
        <w:t xml:space="preserve">the Combined </w:t>
      </w:r>
      <w:r w:rsidR="002A1AB1">
        <w:rPr>
          <w:szCs w:val="20"/>
        </w:rPr>
        <w:t>Greenyard Foods</w:t>
      </w:r>
      <w:r>
        <w:rPr>
          <w:szCs w:val="20"/>
        </w:rPr>
        <w:t xml:space="preserve"> Group</w:t>
      </w:r>
      <w:r w:rsidRPr="00992199">
        <w:rPr>
          <w:szCs w:val="20"/>
        </w:rPr>
        <w:t xml:space="preserve">. The interest rate risk is partly mitigated through the use of financial instruments for hedging the interest rates. </w:t>
      </w:r>
    </w:p>
    <w:p w:rsidR="003F0BC5" w:rsidRPr="00992199" w:rsidRDefault="000A2D2F" w:rsidP="001F6ABD">
      <w:pPr>
        <w:rPr>
          <w:kern w:val="20"/>
          <w:szCs w:val="20"/>
        </w:rPr>
      </w:pPr>
      <w:r>
        <w:rPr>
          <w:szCs w:val="20"/>
        </w:rPr>
        <w:t xml:space="preserve">In addition, </w:t>
      </w:r>
      <w:r w:rsidRPr="00992199">
        <w:rPr>
          <w:szCs w:val="20"/>
        </w:rPr>
        <w:t xml:space="preserve">the Transactions </w:t>
      </w:r>
      <w:r>
        <w:rPr>
          <w:szCs w:val="20"/>
        </w:rPr>
        <w:t>may</w:t>
      </w:r>
      <w:r w:rsidRPr="00992199">
        <w:rPr>
          <w:szCs w:val="20"/>
        </w:rPr>
        <w:t xml:space="preserve"> lead to a possible increase of the interest rate of the Bonds. The standard interest rate of the Bonds is 5.00% per year but would be increased with a step-up of 1.25% leading to 6.25% in the event that (i) the interest coverage ratio</w:t>
      </w:r>
      <w:r w:rsidR="00EE44FC">
        <w:rPr>
          <w:szCs w:val="20"/>
        </w:rPr>
        <w:t xml:space="preserve"> would be smaller than</w:t>
      </w:r>
      <w:r w:rsidRPr="00992199">
        <w:rPr>
          <w:szCs w:val="20"/>
        </w:rPr>
        <w:t xml:space="preserve"> or (ii) the ratio between the consolidated total debts and the consolidated total assets would </w:t>
      </w:r>
      <w:r w:rsidR="00EE44FC">
        <w:rPr>
          <w:szCs w:val="20"/>
        </w:rPr>
        <w:t>be l</w:t>
      </w:r>
      <w:r w:rsidR="000F59DA">
        <w:rPr>
          <w:szCs w:val="20"/>
        </w:rPr>
        <w:t>arger than certain specified th</w:t>
      </w:r>
      <w:r w:rsidR="00EE44FC">
        <w:rPr>
          <w:szCs w:val="20"/>
        </w:rPr>
        <w:t>r</w:t>
      </w:r>
      <w:r w:rsidR="000F59DA">
        <w:rPr>
          <w:szCs w:val="20"/>
        </w:rPr>
        <w:t>e</w:t>
      </w:r>
      <w:r w:rsidR="00EE44FC">
        <w:rPr>
          <w:szCs w:val="20"/>
        </w:rPr>
        <w:t>sholds</w:t>
      </w:r>
      <w:r w:rsidRPr="00992199">
        <w:rPr>
          <w:szCs w:val="20"/>
        </w:rPr>
        <w:t>. These covenants need to be tested for the first time as per 31 March 2016.</w:t>
      </w:r>
    </w:p>
    <w:p w:rsidR="003F0BC5" w:rsidRPr="00E13084" w:rsidRDefault="003F0BC5" w:rsidP="00C14169">
      <w:pPr>
        <w:keepNext/>
        <w:rPr>
          <w:b/>
          <w:i/>
          <w:szCs w:val="20"/>
        </w:rPr>
      </w:pPr>
      <w:r w:rsidRPr="00E13084">
        <w:rPr>
          <w:b/>
          <w:i/>
          <w:szCs w:val="20"/>
        </w:rPr>
        <w:t xml:space="preserve">The </w:t>
      </w:r>
      <w:r w:rsidRPr="00992199">
        <w:rPr>
          <w:b/>
          <w:i/>
          <w:szCs w:val="20"/>
        </w:rPr>
        <w:t>realisation</w:t>
      </w:r>
      <w:r w:rsidRPr="00E13084">
        <w:rPr>
          <w:b/>
          <w:i/>
          <w:szCs w:val="20"/>
        </w:rPr>
        <w:t xml:space="preserve"> of the Contributions will constitute an event of default under the Bonds</w:t>
      </w:r>
    </w:p>
    <w:p w:rsidR="003F0BC5" w:rsidRPr="00992199" w:rsidRDefault="003F0BC5" w:rsidP="003F0BC5">
      <w:pPr>
        <w:rPr>
          <w:szCs w:val="20"/>
          <w:lang w:bidi="as-IN"/>
        </w:rPr>
      </w:pPr>
      <w:r w:rsidRPr="00992199">
        <w:rPr>
          <w:szCs w:val="20"/>
          <w:lang w:bidi="as-IN"/>
        </w:rPr>
        <w:t>According to the Bonds’ terms and conditions, the realisation of the Contributions will constitute a default under the following clauses:</w:t>
      </w:r>
    </w:p>
    <w:p w:rsidR="003F0BC5" w:rsidRPr="006B42D1" w:rsidRDefault="003F0BC5" w:rsidP="006B42D1">
      <w:pPr>
        <w:pStyle w:val="BulletsL1"/>
        <w:rPr>
          <w:i/>
          <w:lang w:bidi="as-IN"/>
        </w:rPr>
      </w:pPr>
      <w:r w:rsidRPr="006B42D1">
        <w:rPr>
          <w:i/>
          <w:lang w:bidi="as-IN"/>
        </w:rPr>
        <w:t>Change of activities</w:t>
      </w:r>
    </w:p>
    <w:p w:rsidR="003F0BC5" w:rsidRPr="00992199" w:rsidRDefault="003F0BC5" w:rsidP="006B42D1">
      <w:pPr>
        <w:rPr>
          <w:lang w:bidi="as-IN"/>
        </w:rPr>
      </w:pPr>
      <w:r w:rsidRPr="00992199">
        <w:rPr>
          <w:lang w:bidi="as-IN"/>
        </w:rPr>
        <w:t xml:space="preserve">The activities of </w:t>
      </w:r>
      <w:r w:rsidR="002A1AB1">
        <w:rPr>
          <w:lang w:bidi="as-IN"/>
        </w:rPr>
        <w:t>Greenyard Foods</w:t>
      </w:r>
      <w:r w:rsidR="000F59DA">
        <w:rPr>
          <w:lang w:bidi="as-IN"/>
        </w:rPr>
        <w:t>, prior to the Transactions</w:t>
      </w:r>
      <w:r w:rsidR="001F6ABD">
        <w:rPr>
          <w:lang w:bidi="as-IN"/>
        </w:rPr>
        <w:t xml:space="preserve"> </w:t>
      </w:r>
      <w:r w:rsidRPr="00992199">
        <w:rPr>
          <w:lang w:bidi="as-IN"/>
        </w:rPr>
        <w:t xml:space="preserve">(processing of frozen </w:t>
      </w:r>
      <w:r w:rsidR="00FE467C">
        <w:rPr>
          <w:lang w:bidi="as-IN"/>
        </w:rPr>
        <w:t>fruits and vegetables</w:t>
      </w:r>
      <w:r w:rsidRPr="00992199">
        <w:rPr>
          <w:lang w:bidi="as-IN"/>
        </w:rPr>
        <w:t xml:space="preserve"> and </w:t>
      </w:r>
      <w:r w:rsidR="00FE467C" w:rsidRPr="00FE467C">
        <w:rPr>
          <w:lang w:bidi="as-IN"/>
        </w:rPr>
        <w:t xml:space="preserve">fruits and vegetables </w:t>
      </w:r>
      <w:r w:rsidRPr="00992199">
        <w:rPr>
          <w:lang w:bidi="as-IN"/>
        </w:rPr>
        <w:t>in tins and jars)</w:t>
      </w:r>
      <w:r w:rsidR="000F59DA">
        <w:rPr>
          <w:lang w:bidi="as-IN"/>
        </w:rPr>
        <w:t>,</w:t>
      </w:r>
      <w:r w:rsidRPr="00992199">
        <w:rPr>
          <w:lang w:bidi="as-IN"/>
        </w:rPr>
        <w:t xml:space="preserve"> are different from those of the Univeg Group (trading in fresh fruits and vegetables) and the Peatinvest Grou</w:t>
      </w:r>
      <w:r w:rsidR="00A07615">
        <w:rPr>
          <w:lang w:bidi="as-IN"/>
        </w:rPr>
        <w:t>p</w:t>
      </w:r>
      <w:r w:rsidRPr="00992199">
        <w:rPr>
          <w:lang w:bidi="as-IN"/>
        </w:rPr>
        <w:t xml:space="preserve"> (potting soil products, peat, bark and soil improvers). Since an event of default occurs under the Bonds if 25% of the turnover of the group is generated by activities of the group (considered as a whole) which differ from the activities that were carried out on the issue date (Section 8 (g) (i) of Part III of the Bonds’ terms and conditions), the realisation of the Contributions would trigger an event of default.</w:t>
      </w:r>
    </w:p>
    <w:p w:rsidR="003F0BC5" w:rsidRPr="006B42D1" w:rsidRDefault="003F0BC5" w:rsidP="006B42D1">
      <w:pPr>
        <w:pStyle w:val="BulletsL1"/>
        <w:rPr>
          <w:i/>
          <w:lang w:bidi="as-IN"/>
        </w:rPr>
      </w:pPr>
      <w:r w:rsidRPr="006B42D1">
        <w:rPr>
          <w:i/>
          <w:lang w:bidi="as-IN"/>
        </w:rPr>
        <w:t>Guarantor coverage requirement</w:t>
      </w:r>
    </w:p>
    <w:p w:rsidR="003F0BC5" w:rsidRPr="00992199" w:rsidRDefault="003F0BC5" w:rsidP="006B42D1">
      <w:pPr>
        <w:rPr>
          <w:lang w:bidi="as-IN"/>
        </w:rPr>
      </w:pPr>
      <w:r w:rsidRPr="00992199">
        <w:rPr>
          <w:lang w:bidi="as-IN"/>
        </w:rPr>
        <w:t xml:space="preserve">The sum of the total assets of </w:t>
      </w:r>
      <w:r w:rsidR="002A1AB1">
        <w:rPr>
          <w:lang w:bidi="as-IN"/>
        </w:rPr>
        <w:t>Greenyard Foods</w:t>
      </w:r>
      <w:r w:rsidRPr="00992199">
        <w:rPr>
          <w:lang w:bidi="as-IN"/>
        </w:rPr>
        <w:t xml:space="preserve"> and the Bond </w:t>
      </w:r>
      <w:r w:rsidR="007D1829">
        <w:rPr>
          <w:lang w:bidi="as-IN"/>
        </w:rPr>
        <w:t>g</w:t>
      </w:r>
      <w:r w:rsidRPr="00992199">
        <w:rPr>
          <w:lang w:bidi="as-IN"/>
        </w:rPr>
        <w:t xml:space="preserve">uarantors (each calculated on a non-consolidated basis and with exclusion of all intra-group transactions) must be equal to at least 75% of the consolidated total assets of the group (Section 2.3 of Part III of the Bonds’ terms and conditions). Pursuant to the realisation of the Contributions, </w:t>
      </w:r>
      <w:r w:rsidR="0082672E">
        <w:rPr>
          <w:lang w:bidi="as-IN"/>
        </w:rPr>
        <w:t>Univeg</w:t>
      </w:r>
      <w:r w:rsidRPr="00992199">
        <w:rPr>
          <w:lang w:bidi="as-IN"/>
        </w:rPr>
        <w:t xml:space="preserve"> and Peatinvest (and their respective necessary subsidiaries) would need to become guarantors in order for </w:t>
      </w:r>
      <w:r w:rsidR="002A1AB1">
        <w:rPr>
          <w:lang w:bidi="as-IN"/>
        </w:rPr>
        <w:t>Greenyard Foods</w:t>
      </w:r>
      <w:r w:rsidRPr="00992199">
        <w:rPr>
          <w:lang w:bidi="as-IN"/>
        </w:rPr>
        <w:t xml:space="preserve"> to comply with the guarantor coverage requirement</w:t>
      </w:r>
      <w:r w:rsidR="000A2D2F">
        <w:rPr>
          <w:lang w:bidi="as-IN"/>
        </w:rPr>
        <w:t>, which members of the Univeg Group are restricted to do under the terms of the Indenture governing the Notes issued by the Univeg Group</w:t>
      </w:r>
      <w:r w:rsidRPr="00992199">
        <w:rPr>
          <w:lang w:bidi="as-IN"/>
        </w:rPr>
        <w:t>. The failure to meet the guarantor coverage requirement post realisation of the Contributions would constitute an event of default.</w:t>
      </w:r>
    </w:p>
    <w:p w:rsidR="003F0BC5" w:rsidRPr="00992199" w:rsidRDefault="003F0BC5" w:rsidP="006B42D1">
      <w:pPr>
        <w:rPr>
          <w:b/>
          <w:lang w:bidi="as-IN"/>
        </w:rPr>
      </w:pPr>
      <w:r w:rsidRPr="00992199">
        <w:rPr>
          <w:lang w:bidi="as-IN"/>
        </w:rPr>
        <w:lastRenderedPageBreak/>
        <w:t xml:space="preserve">On </w:t>
      </w:r>
      <w:r w:rsidR="005B6FDE">
        <w:rPr>
          <w:lang w:bidi="as-IN"/>
        </w:rPr>
        <w:t>27 March</w:t>
      </w:r>
      <w:r w:rsidRPr="00992199">
        <w:rPr>
          <w:lang w:bidi="as-IN"/>
        </w:rPr>
        <w:t xml:space="preserve"> 2015, </w:t>
      </w:r>
      <w:r w:rsidR="00FE0FEB">
        <w:rPr>
          <w:lang w:bidi="as-IN"/>
        </w:rPr>
        <w:t>the Company</w:t>
      </w:r>
      <w:r w:rsidRPr="00992199">
        <w:rPr>
          <w:lang w:bidi="as-IN"/>
        </w:rPr>
        <w:t xml:space="preserve"> decided to convene a bondholders’ meeting to resolve upon the grant of a waiver with respect to the aforementioned Bonds’ terms and conditions in respect of (i) change of activities and (ii) guarantor coverage requirement</w:t>
      </w:r>
      <w:r w:rsidRPr="00C87D8C">
        <w:rPr>
          <w:lang w:bidi="as-IN"/>
        </w:rPr>
        <w:t>.</w:t>
      </w:r>
    </w:p>
    <w:p w:rsidR="000A2D2F" w:rsidRPr="00992199" w:rsidRDefault="003F0BC5" w:rsidP="000A2D2F">
      <w:pPr>
        <w:rPr>
          <w:lang w:bidi="as-IN"/>
        </w:rPr>
      </w:pPr>
      <w:r w:rsidRPr="00992199">
        <w:rPr>
          <w:lang w:bidi="as-IN"/>
        </w:rPr>
        <w:t xml:space="preserve">If the bondholders do not resolve to grant a waiver to </w:t>
      </w:r>
      <w:r w:rsidR="002A1AB1">
        <w:rPr>
          <w:lang w:bidi="as-IN"/>
        </w:rPr>
        <w:t>Greenyard Foods</w:t>
      </w:r>
      <w:r w:rsidRPr="00992199">
        <w:rPr>
          <w:lang w:bidi="as-IN"/>
        </w:rPr>
        <w:t xml:space="preserve"> in this regard, there will be a breach of the Bonds’ terms and conditions and every bondholder would have the right to give written notice to </w:t>
      </w:r>
      <w:r w:rsidR="002A1AB1">
        <w:rPr>
          <w:lang w:bidi="as-IN"/>
        </w:rPr>
        <w:t>Greenyard Foods</w:t>
      </w:r>
      <w:r w:rsidRPr="00992199">
        <w:rPr>
          <w:lang w:bidi="as-IN"/>
        </w:rPr>
        <w:t xml:space="preserve"> (with a copy to the agent) to demand that the Bonds held by him become immediately due and repayable at the nominal value together with accrued interests (if any) until the payment date, without the need of further notice or formalities.</w:t>
      </w:r>
      <w:r w:rsidR="00F13D58">
        <w:rPr>
          <w:lang w:bidi="as-IN"/>
        </w:rPr>
        <w:t xml:space="preserve"> </w:t>
      </w:r>
      <w:r w:rsidR="000A2D2F" w:rsidRPr="00992199">
        <w:rPr>
          <w:lang w:bidi="as-IN"/>
        </w:rPr>
        <w:t xml:space="preserve">In order to cover this risk, </w:t>
      </w:r>
      <w:r w:rsidR="002A1AB1">
        <w:rPr>
          <w:lang w:bidi="as-IN"/>
        </w:rPr>
        <w:t>Greenyard Foods</w:t>
      </w:r>
      <w:r w:rsidR="000A2D2F" w:rsidRPr="00992199">
        <w:rPr>
          <w:lang w:bidi="as-IN"/>
        </w:rPr>
        <w:t xml:space="preserve"> has </w:t>
      </w:r>
      <w:r w:rsidR="000A2D2F">
        <w:rPr>
          <w:lang w:bidi="as-IN"/>
        </w:rPr>
        <w:t xml:space="preserve">a committed short-term back-up </w:t>
      </w:r>
      <w:r w:rsidR="000A2D2F" w:rsidRPr="00992199">
        <w:rPr>
          <w:lang w:bidi="as-IN"/>
        </w:rPr>
        <w:t xml:space="preserve">credit facility </w:t>
      </w:r>
      <w:r w:rsidR="000A2D2F">
        <w:rPr>
          <w:lang w:bidi="as-IN"/>
        </w:rPr>
        <w:t xml:space="preserve">in place </w:t>
      </w:r>
      <w:r w:rsidR="000A2D2F" w:rsidRPr="00992199">
        <w:rPr>
          <w:lang w:bidi="as-IN"/>
        </w:rPr>
        <w:t xml:space="preserve">with </w:t>
      </w:r>
      <w:r w:rsidR="000A2D2F">
        <w:rPr>
          <w:lang w:bidi="as-IN"/>
        </w:rPr>
        <w:t>ING Bank</w:t>
      </w:r>
      <w:r w:rsidR="00D01B48">
        <w:rPr>
          <w:lang w:bidi="as-IN"/>
        </w:rPr>
        <w:t xml:space="preserve"> NV</w:t>
      </w:r>
      <w:r w:rsidR="000A2D2F">
        <w:rPr>
          <w:lang w:bidi="as-IN"/>
        </w:rPr>
        <w:t xml:space="preserve"> and KBC Bank</w:t>
      </w:r>
      <w:r w:rsidR="00D01B48">
        <w:rPr>
          <w:lang w:bidi="as-IN"/>
        </w:rPr>
        <w:t xml:space="preserve"> NV</w:t>
      </w:r>
      <w:r w:rsidR="000A2D2F">
        <w:rPr>
          <w:lang w:bidi="as-IN"/>
        </w:rPr>
        <w:t xml:space="preserve"> </w:t>
      </w:r>
      <w:r w:rsidR="000A2D2F" w:rsidRPr="00992199">
        <w:rPr>
          <w:lang w:bidi="as-IN"/>
        </w:rPr>
        <w:t xml:space="preserve">so that </w:t>
      </w:r>
      <w:r w:rsidR="002A1AB1">
        <w:rPr>
          <w:lang w:bidi="as-IN"/>
        </w:rPr>
        <w:t>Greenyard Foods</w:t>
      </w:r>
      <w:r w:rsidR="000A2D2F" w:rsidRPr="00992199">
        <w:rPr>
          <w:lang w:bidi="as-IN"/>
        </w:rPr>
        <w:t xml:space="preserve"> shall have the liquidity it needs to repay all amounts due under the Bonds if and to the extent requested by the bondholders</w:t>
      </w:r>
      <w:r w:rsidR="000A2D2F">
        <w:rPr>
          <w:lang w:bidi="as-IN"/>
        </w:rPr>
        <w:t xml:space="preserve"> at the occasion of the Transactions</w:t>
      </w:r>
      <w:r w:rsidR="000A2D2F" w:rsidRPr="00992199">
        <w:rPr>
          <w:lang w:bidi="as-IN"/>
        </w:rPr>
        <w:t>.</w:t>
      </w:r>
    </w:p>
    <w:p w:rsidR="003F0BC5" w:rsidRPr="00992199" w:rsidRDefault="003F0BC5" w:rsidP="00C14169">
      <w:pPr>
        <w:keepNext/>
        <w:rPr>
          <w:b/>
          <w:i/>
          <w:szCs w:val="20"/>
        </w:rPr>
      </w:pPr>
      <w:r w:rsidRPr="00992199">
        <w:rPr>
          <w:b/>
          <w:i/>
          <w:szCs w:val="20"/>
        </w:rPr>
        <w:t xml:space="preserve">The </w:t>
      </w:r>
      <w:r w:rsidR="001F6ABD" w:rsidRPr="001F6ABD">
        <w:rPr>
          <w:b/>
          <w:i/>
          <w:szCs w:val="20"/>
        </w:rPr>
        <w:t xml:space="preserve">Combined Greenyard </w:t>
      </w:r>
      <w:r w:rsidR="002A1AB1">
        <w:rPr>
          <w:b/>
          <w:i/>
          <w:szCs w:val="20"/>
        </w:rPr>
        <w:t>Foods</w:t>
      </w:r>
      <w:r w:rsidRPr="00992199">
        <w:rPr>
          <w:b/>
          <w:i/>
          <w:szCs w:val="20"/>
        </w:rPr>
        <w:t xml:space="preserve"> Group is exposed to the credit and other counterparty risk of its customers, suppliers and hedge counterparties in the ordinary course of its business.</w:t>
      </w:r>
    </w:p>
    <w:p w:rsidR="003F0BC5" w:rsidRPr="00992199" w:rsidRDefault="003F0BC5" w:rsidP="003F0BC5">
      <w:pPr>
        <w:rPr>
          <w:szCs w:val="20"/>
        </w:rPr>
      </w:pPr>
      <w:r w:rsidRPr="00992199">
        <w:rPr>
          <w:szCs w:val="20"/>
          <w:lang w:eastAsia="en-GB"/>
        </w:rPr>
        <w:t xml:space="preserve">The </w:t>
      </w:r>
      <w:r w:rsidR="001F6ABD">
        <w:rPr>
          <w:szCs w:val="20"/>
        </w:rPr>
        <w:t>Combined Greenyard</w:t>
      </w:r>
      <w:r w:rsidR="00900687">
        <w:rPr>
          <w:szCs w:val="20"/>
        </w:rPr>
        <w:t xml:space="preserve"> </w:t>
      </w:r>
      <w:r w:rsidR="002A1AB1">
        <w:rPr>
          <w:szCs w:val="20"/>
          <w:lang w:eastAsia="en-GB"/>
        </w:rPr>
        <w:t>Foods</w:t>
      </w:r>
      <w:r w:rsidRPr="00992199">
        <w:rPr>
          <w:szCs w:val="20"/>
          <w:lang w:eastAsia="en-GB"/>
        </w:rPr>
        <w:t xml:space="preserve"> Group is exposed to </w:t>
      </w:r>
      <w:r w:rsidRPr="00992199">
        <w:rPr>
          <w:szCs w:val="20"/>
        </w:rPr>
        <w:t xml:space="preserve">the risks associated with </w:t>
      </w:r>
      <w:r w:rsidRPr="00992199">
        <w:rPr>
          <w:szCs w:val="20"/>
          <w:lang w:eastAsia="en-GB"/>
        </w:rPr>
        <w:t xml:space="preserve">their counterparties being unable to perform their contractual </w:t>
      </w:r>
      <w:r w:rsidRPr="00992199">
        <w:rPr>
          <w:szCs w:val="20"/>
        </w:rPr>
        <w:t>obligations</w:t>
      </w:r>
      <w:r w:rsidRPr="00992199">
        <w:rPr>
          <w:szCs w:val="20"/>
          <w:lang w:eastAsia="en-GB"/>
        </w:rPr>
        <w:t>. The</w:t>
      </w:r>
      <w:r w:rsidRPr="00992199">
        <w:rPr>
          <w:szCs w:val="20"/>
        </w:rPr>
        <w:t xml:space="preserve"> customers</w:t>
      </w:r>
      <w:r w:rsidRPr="00992199">
        <w:rPr>
          <w:szCs w:val="20"/>
          <w:lang w:eastAsia="en-GB"/>
        </w:rPr>
        <w:t xml:space="preserve"> and suppliers of the </w:t>
      </w:r>
      <w:r w:rsidR="001F6ABD">
        <w:rPr>
          <w:szCs w:val="20"/>
        </w:rPr>
        <w:t xml:space="preserve">Combined Greenyard </w:t>
      </w:r>
      <w:r w:rsidR="002A1AB1">
        <w:rPr>
          <w:szCs w:val="20"/>
          <w:lang w:eastAsia="en-GB"/>
        </w:rPr>
        <w:t>Foods</w:t>
      </w:r>
      <w:r w:rsidRPr="00992199">
        <w:rPr>
          <w:szCs w:val="20"/>
          <w:lang w:eastAsia="en-GB"/>
        </w:rPr>
        <w:t xml:space="preserve"> Group</w:t>
      </w:r>
      <w:r w:rsidRPr="00992199" w:rsidDel="00B55E5D">
        <w:rPr>
          <w:szCs w:val="20"/>
          <w:lang w:eastAsia="en-GB"/>
        </w:rPr>
        <w:t xml:space="preserve"> </w:t>
      </w:r>
      <w:r w:rsidRPr="00992199">
        <w:rPr>
          <w:szCs w:val="20"/>
          <w:lang w:eastAsia="en-GB"/>
        </w:rPr>
        <w:t xml:space="preserve">have varying degrees of creditworthiness, exposing the </w:t>
      </w:r>
      <w:r w:rsidR="001F6ABD">
        <w:rPr>
          <w:szCs w:val="20"/>
        </w:rPr>
        <w:t xml:space="preserve">Combined Greenyard </w:t>
      </w:r>
      <w:r w:rsidR="002A1AB1">
        <w:rPr>
          <w:szCs w:val="20"/>
          <w:lang w:eastAsia="en-GB"/>
        </w:rPr>
        <w:t>Foods</w:t>
      </w:r>
      <w:r w:rsidRPr="00992199">
        <w:rPr>
          <w:szCs w:val="20"/>
          <w:lang w:eastAsia="en-GB"/>
        </w:rPr>
        <w:t xml:space="preserve"> Group</w:t>
      </w:r>
      <w:r w:rsidRPr="00992199" w:rsidDel="00B55E5D">
        <w:rPr>
          <w:szCs w:val="20"/>
          <w:lang w:eastAsia="en-GB"/>
        </w:rPr>
        <w:t xml:space="preserve"> </w:t>
      </w:r>
      <w:r w:rsidRPr="00992199">
        <w:rPr>
          <w:szCs w:val="20"/>
          <w:lang w:eastAsia="en-GB"/>
        </w:rPr>
        <w:t xml:space="preserve">to the risk of non-payment or other default under its contracts and other arrangements with them. In the event that a </w:t>
      </w:r>
      <w:r w:rsidR="00C87D8C">
        <w:rPr>
          <w:szCs w:val="20"/>
        </w:rPr>
        <w:t>significant</w:t>
      </w:r>
      <w:r w:rsidR="001F6ABD">
        <w:rPr>
          <w:szCs w:val="20"/>
        </w:rPr>
        <w:t xml:space="preserve"> </w:t>
      </w:r>
      <w:r w:rsidRPr="00992199">
        <w:rPr>
          <w:szCs w:val="20"/>
          <w:lang w:eastAsia="en-GB"/>
        </w:rPr>
        <w:t xml:space="preserve">number of material customers or suppliers default on their payment or other obligations to the </w:t>
      </w:r>
      <w:r w:rsidR="002A1AB1">
        <w:rPr>
          <w:szCs w:val="20"/>
          <w:lang w:eastAsia="en-GB"/>
        </w:rPr>
        <w:t>Greenyard Foods</w:t>
      </w:r>
      <w:r w:rsidRPr="00992199">
        <w:rPr>
          <w:szCs w:val="20"/>
          <w:lang w:eastAsia="en-GB"/>
        </w:rPr>
        <w:t xml:space="preserve"> Group,</w:t>
      </w:r>
      <w:r w:rsidRPr="00992199">
        <w:rPr>
          <w:szCs w:val="20"/>
        </w:rPr>
        <w:t xml:space="preserve"> the business, financial condition and results of operations of the </w:t>
      </w:r>
      <w:r w:rsidR="001F6ABD">
        <w:rPr>
          <w:szCs w:val="20"/>
        </w:rPr>
        <w:t xml:space="preserve">Combined Greenyard </w:t>
      </w:r>
      <w:r w:rsidR="002A1AB1">
        <w:rPr>
          <w:szCs w:val="20"/>
          <w:lang w:eastAsia="en-GB"/>
        </w:rPr>
        <w:t>Foods</w:t>
      </w:r>
      <w:r w:rsidRPr="00992199">
        <w:rPr>
          <w:szCs w:val="20"/>
          <w:lang w:eastAsia="en-GB"/>
        </w:rPr>
        <w:t xml:space="preserve"> Group</w:t>
      </w:r>
      <w:r w:rsidRPr="00992199" w:rsidDel="00B55E5D">
        <w:rPr>
          <w:szCs w:val="20"/>
          <w:lang w:eastAsia="en-GB"/>
        </w:rPr>
        <w:t xml:space="preserve"> </w:t>
      </w:r>
      <w:r w:rsidRPr="00992199">
        <w:rPr>
          <w:szCs w:val="20"/>
          <w:lang w:eastAsia="en-GB"/>
        </w:rPr>
        <w:t>could be materially and adversely affected.</w:t>
      </w:r>
    </w:p>
    <w:p w:rsidR="003F0BC5" w:rsidRPr="00992199" w:rsidRDefault="003F0BC5" w:rsidP="003F0BC5">
      <w:pPr>
        <w:rPr>
          <w:szCs w:val="20"/>
        </w:rPr>
      </w:pPr>
      <w:r w:rsidRPr="00992199">
        <w:rPr>
          <w:szCs w:val="20"/>
          <w:lang w:eastAsia="en-GB"/>
        </w:rPr>
        <w:t xml:space="preserve">In particular, the Univeg Group is exposed to the risk of non-payment through its financing of crop production of certain of its third party growers and suppliers, including the </w:t>
      </w:r>
      <w:r w:rsidR="00B80FCE">
        <w:rPr>
          <w:szCs w:val="20"/>
          <w:lang w:eastAsia="en-GB"/>
        </w:rPr>
        <w:t>Argentinean Operations</w:t>
      </w:r>
      <w:r w:rsidRPr="00992199">
        <w:rPr>
          <w:szCs w:val="20"/>
          <w:lang w:eastAsia="en-GB"/>
        </w:rPr>
        <w:t xml:space="preserve"> and The Fruit Farm Group. See Section </w:t>
      </w:r>
      <w:r w:rsidR="0007306E">
        <w:rPr>
          <w:szCs w:val="20"/>
          <w:lang w:eastAsia="en-GB"/>
        </w:rPr>
        <w:fldChar w:fldCharType="begin"/>
      </w:r>
      <w:r w:rsidR="0007306E">
        <w:rPr>
          <w:szCs w:val="20"/>
          <w:lang w:eastAsia="en-GB"/>
        </w:rPr>
        <w:instrText xml:space="preserve"> REF _Ref418401558 \r \h </w:instrText>
      </w:r>
      <w:r w:rsidR="0007306E">
        <w:rPr>
          <w:szCs w:val="20"/>
          <w:lang w:eastAsia="en-GB"/>
        </w:rPr>
      </w:r>
      <w:r w:rsidR="0007306E">
        <w:rPr>
          <w:szCs w:val="20"/>
          <w:lang w:eastAsia="en-GB"/>
        </w:rPr>
        <w:fldChar w:fldCharType="separate"/>
      </w:r>
      <w:r w:rsidR="005F5D47">
        <w:rPr>
          <w:szCs w:val="20"/>
          <w:lang w:eastAsia="en-GB"/>
        </w:rPr>
        <w:t>2.2.4.4</w:t>
      </w:r>
      <w:r w:rsidR="0007306E">
        <w:rPr>
          <w:szCs w:val="20"/>
          <w:lang w:eastAsia="en-GB"/>
        </w:rPr>
        <w:fldChar w:fldCharType="end"/>
      </w:r>
      <w:r w:rsidRPr="00992199">
        <w:rPr>
          <w:szCs w:val="20"/>
          <w:lang w:eastAsia="en-GB"/>
        </w:rPr>
        <w:t xml:space="preserve"> of Part IV (</w:t>
      </w:r>
      <w:r w:rsidRPr="00992199">
        <w:rPr>
          <w:i/>
          <w:szCs w:val="20"/>
          <w:lang w:eastAsia="en-GB"/>
        </w:rPr>
        <w:t>The Contributions</w:t>
      </w:r>
      <w:r w:rsidRPr="00992199">
        <w:rPr>
          <w:szCs w:val="20"/>
          <w:lang w:eastAsia="en-GB"/>
        </w:rPr>
        <w:t>). If such growers and suppliers default on repayment of the advances, the liquidity and financial condition of the Univeg Group may be adversely affected.</w:t>
      </w:r>
    </w:p>
    <w:p w:rsidR="003F0BC5" w:rsidRPr="00992199" w:rsidRDefault="003F0BC5" w:rsidP="003F0BC5">
      <w:pPr>
        <w:rPr>
          <w:b/>
          <w:i/>
          <w:szCs w:val="20"/>
        </w:rPr>
      </w:pPr>
      <w:r w:rsidRPr="00992199">
        <w:rPr>
          <w:szCs w:val="20"/>
          <w:lang w:eastAsia="en-GB"/>
        </w:rPr>
        <w:t xml:space="preserve">Furthermore, the </w:t>
      </w:r>
      <w:r w:rsidR="001F6ABD">
        <w:rPr>
          <w:szCs w:val="20"/>
        </w:rPr>
        <w:t xml:space="preserve">Combined Greenyard </w:t>
      </w:r>
      <w:r w:rsidR="002A1AB1">
        <w:rPr>
          <w:szCs w:val="20"/>
          <w:lang w:eastAsia="en-GB"/>
        </w:rPr>
        <w:t>Foods</w:t>
      </w:r>
      <w:r w:rsidRPr="00992199">
        <w:rPr>
          <w:szCs w:val="20"/>
          <w:lang w:eastAsia="en-GB"/>
        </w:rPr>
        <w:t xml:space="preserve"> Group is exposed to the risk of non-performance of its counterparties under the derivatives transactions entered into by the </w:t>
      </w:r>
      <w:r w:rsidR="001F6ABD">
        <w:rPr>
          <w:szCs w:val="20"/>
        </w:rPr>
        <w:t xml:space="preserve">Combined Greenyard </w:t>
      </w:r>
      <w:r w:rsidR="002A1AB1">
        <w:rPr>
          <w:szCs w:val="20"/>
          <w:lang w:eastAsia="en-GB"/>
        </w:rPr>
        <w:t>Foods</w:t>
      </w:r>
      <w:r w:rsidRPr="00992199">
        <w:rPr>
          <w:szCs w:val="20"/>
          <w:lang w:eastAsia="en-GB"/>
        </w:rPr>
        <w:t xml:space="preserve"> Group to hedge foreign exchange or interest risks upon realisation of the risk hedged. If this risk were to materialise, the business, financial condition and results of operations</w:t>
      </w:r>
      <w:r w:rsidRPr="00992199">
        <w:rPr>
          <w:szCs w:val="20"/>
        </w:rPr>
        <w:t xml:space="preserve"> </w:t>
      </w:r>
      <w:r w:rsidRPr="00992199">
        <w:rPr>
          <w:szCs w:val="20"/>
          <w:lang w:eastAsia="en-GB"/>
        </w:rPr>
        <w:t xml:space="preserve">of the </w:t>
      </w:r>
      <w:r w:rsidR="001F6ABD">
        <w:rPr>
          <w:szCs w:val="20"/>
        </w:rPr>
        <w:t xml:space="preserve">Combined Greenyard </w:t>
      </w:r>
      <w:r w:rsidR="002A1AB1">
        <w:rPr>
          <w:szCs w:val="20"/>
          <w:lang w:eastAsia="en-GB"/>
        </w:rPr>
        <w:t>Foods</w:t>
      </w:r>
      <w:r w:rsidRPr="00992199">
        <w:rPr>
          <w:szCs w:val="20"/>
          <w:lang w:eastAsia="en-GB"/>
        </w:rPr>
        <w:t xml:space="preserve"> Group may be adversely affected.</w:t>
      </w:r>
    </w:p>
    <w:p w:rsidR="003F0BC5" w:rsidRPr="00992199" w:rsidRDefault="003F0BC5" w:rsidP="00C14169">
      <w:pPr>
        <w:keepNext/>
        <w:rPr>
          <w:b/>
          <w:i/>
          <w:szCs w:val="20"/>
        </w:rPr>
      </w:pPr>
      <w:r w:rsidRPr="00992199">
        <w:rPr>
          <w:b/>
          <w:i/>
          <w:szCs w:val="20"/>
        </w:rPr>
        <w:t xml:space="preserve">Compliance with future material changes in regulations and increased governmental regulation might result in material increases in operating costs and might require interruptions in the operations of the </w:t>
      </w:r>
      <w:r w:rsidR="001F6ABD" w:rsidRPr="00E13084">
        <w:rPr>
          <w:b/>
          <w:i/>
          <w:szCs w:val="20"/>
        </w:rPr>
        <w:t xml:space="preserve">Combined Greenyard </w:t>
      </w:r>
      <w:r w:rsidR="002A1AB1">
        <w:rPr>
          <w:b/>
          <w:i/>
          <w:szCs w:val="20"/>
        </w:rPr>
        <w:t>Foods</w:t>
      </w:r>
      <w:r w:rsidRPr="00992199">
        <w:rPr>
          <w:b/>
          <w:i/>
          <w:szCs w:val="20"/>
        </w:rPr>
        <w:t xml:space="preserve"> Group.</w:t>
      </w:r>
    </w:p>
    <w:p w:rsidR="003F0BC5" w:rsidRPr="00992199" w:rsidRDefault="003F0BC5" w:rsidP="003F0BC5">
      <w:pPr>
        <w:rPr>
          <w:b/>
          <w:i/>
          <w:szCs w:val="20"/>
        </w:rPr>
      </w:pPr>
      <w:r w:rsidRPr="00992199">
        <w:rPr>
          <w:szCs w:val="20"/>
          <w:lang w:eastAsia="en-GB"/>
        </w:rPr>
        <w:t xml:space="preserve">Compliance </w:t>
      </w:r>
      <w:r w:rsidRPr="00992199">
        <w:rPr>
          <w:szCs w:val="20"/>
        </w:rPr>
        <w:t>with</w:t>
      </w:r>
      <w:r w:rsidRPr="00992199">
        <w:rPr>
          <w:szCs w:val="20"/>
          <w:lang w:eastAsia="en-GB"/>
        </w:rPr>
        <w:t xml:space="preserve"> future material changes in food safety or health-related regulations and increased governmental regulation of the food industry, such as proposed requirements designed to enhance food safety, impose health-protection requirements or to regulate imported ingredients, might result in material increases in operating costs and might require interruptions in the operations of the </w:t>
      </w:r>
      <w:r w:rsidR="001F6ABD">
        <w:rPr>
          <w:szCs w:val="20"/>
        </w:rPr>
        <w:t xml:space="preserve">Combined Greenyard </w:t>
      </w:r>
      <w:r w:rsidR="002A1AB1">
        <w:rPr>
          <w:szCs w:val="20"/>
          <w:lang w:eastAsia="en-GB"/>
        </w:rPr>
        <w:t>Foods</w:t>
      </w:r>
      <w:r w:rsidRPr="00992199">
        <w:rPr>
          <w:szCs w:val="20"/>
          <w:lang w:eastAsia="en-GB"/>
        </w:rPr>
        <w:t xml:space="preserve"> Group to implement such regulatory changes, thereby affecting its profitability. There has been a broad range of proposed and promulgated national and international regulation aimed at reducing the effects of climate change. Such regulations apply or could apply in countries where the </w:t>
      </w:r>
      <w:r w:rsidR="001F6ABD">
        <w:rPr>
          <w:szCs w:val="20"/>
        </w:rPr>
        <w:t xml:space="preserve">Combined Greenyard </w:t>
      </w:r>
      <w:r w:rsidR="002A1AB1">
        <w:rPr>
          <w:szCs w:val="20"/>
          <w:lang w:eastAsia="en-GB"/>
        </w:rPr>
        <w:t>Foods</w:t>
      </w:r>
      <w:r w:rsidRPr="00992199">
        <w:rPr>
          <w:szCs w:val="20"/>
          <w:lang w:eastAsia="en-GB"/>
        </w:rPr>
        <w:t xml:space="preserve"> Group has interests or could have interests in the future. Although the </w:t>
      </w:r>
      <w:r w:rsidR="001F6ABD">
        <w:rPr>
          <w:szCs w:val="20"/>
        </w:rPr>
        <w:t xml:space="preserve">Combined Greenyard </w:t>
      </w:r>
      <w:r w:rsidR="002A1AB1">
        <w:rPr>
          <w:szCs w:val="20"/>
          <w:lang w:eastAsia="en-GB"/>
        </w:rPr>
        <w:t>Foods</w:t>
      </w:r>
      <w:r w:rsidRPr="00992199">
        <w:rPr>
          <w:szCs w:val="20"/>
          <w:lang w:eastAsia="en-GB"/>
        </w:rPr>
        <w:t xml:space="preserve"> Group has budgeted for future capital and operating expenditures to maintain compliance with environmental and health and safety regulations, there can be no assurance that such provisions would be sufficient.</w:t>
      </w:r>
    </w:p>
    <w:p w:rsidR="003F0BC5" w:rsidRPr="00992199" w:rsidRDefault="003F0BC5" w:rsidP="003F0BC5">
      <w:pPr>
        <w:rPr>
          <w:szCs w:val="20"/>
        </w:rPr>
      </w:pPr>
      <w:r w:rsidRPr="00992199">
        <w:rPr>
          <w:szCs w:val="20"/>
        </w:rPr>
        <w:t xml:space="preserve">In addition, competitors, distributors, suppliers and customers may not be able to comply with any changes in legislation. This may adversely impact the reputation of </w:t>
      </w:r>
      <w:r w:rsidRPr="00992199">
        <w:rPr>
          <w:szCs w:val="20"/>
          <w:lang w:eastAsia="en-GB"/>
        </w:rPr>
        <w:t xml:space="preserve">the </w:t>
      </w:r>
      <w:r w:rsidR="001F6ABD">
        <w:rPr>
          <w:szCs w:val="20"/>
        </w:rPr>
        <w:t xml:space="preserve">Combined Greenyard </w:t>
      </w:r>
      <w:r w:rsidR="002A1AB1">
        <w:rPr>
          <w:szCs w:val="20"/>
          <w:lang w:eastAsia="en-GB"/>
        </w:rPr>
        <w:t>Foods</w:t>
      </w:r>
      <w:r w:rsidRPr="00992199">
        <w:rPr>
          <w:szCs w:val="20"/>
          <w:lang w:eastAsia="en-GB"/>
        </w:rPr>
        <w:t xml:space="preserve"> Group </w:t>
      </w:r>
      <w:r w:rsidRPr="00992199">
        <w:rPr>
          <w:szCs w:val="20"/>
        </w:rPr>
        <w:t xml:space="preserve">and its products and hence </w:t>
      </w:r>
      <w:r w:rsidRPr="00992199">
        <w:rPr>
          <w:szCs w:val="20"/>
          <w:lang w:eastAsia="en-GB"/>
        </w:rPr>
        <w:t xml:space="preserve">the </w:t>
      </w:r>
      <w:r w:rsidR="001F6ABD">
        <w:rPr>
          <w:szCs w:val="20"/>
        </w:rPr>
        <w:t xml:space="preserve">Combined Greenyard </w:t>
      </w:r>
      <w:r w:rsidR="002A1AB1">
        <w:rPr>
          <w:szCs w:val="20"/>
          <w:lang w:eastAsia="en-GB"/>
        </w:rPr>
        <w:t>Foods</w:t>
      </w:r>
      <w:r w:rsidRPr="00992199">
        <w:rPr>
          <w:szCs w:val="20"/>
          <w:lang w:eastAsia="en-GB"/>
        </w:rPr>
        <w:t xml:space="preserve"> Group’s</w:t>
      </w:r>
      <w:r w:rsidRPr="00992199">
        <w:rPr>
          <w:szCs w:val="20"/>
        </w:rPr>
        <w:t xml:space="preserve"> business.</w:t>
      </w:r>
    </w:p>
    <w:p w:rsidR="003F0BC5" w:rsidRPr="00992199" w:rsidRDefault="003F0BC5" w:rsidP="00C14169">
      <w:pPr>
        <w:keepNext/>
        <w:rPr>
          <w:b/>
          <w:i/>
          <w:szCs w:val="20"/>
        </w:rPr>
      </w:pPr>
      <w:r w:rsidRPr="00992199">
        <w:rPr>
          <w:b/>
          <w:i/>
          <w:szCs w:val="20"/>
        </w:rPr>
        <w:t xml:space="preserve">The </w:t>
      </w:r>
      <w:r w:rsidR="001F6ABD" w:rsidRPr="00E13084">
        <w:rPr>
          <w:b/>
          <w:i/>
          <w:szCs w:val="20"/>
        </w:rPr>
        <w:t xml:space="preserve">Combined Greenyard </w:t>
      </w:r>
      <w:r w:rsidR="002A1AB1">
        <w:rPr>
          <w:b/>
          <w:i/>
          <w:szCs w:val="20"/>
        </w:rPr>
        <w:t>Foods</w:t>
      </w:r>
      <w:r w:rsidRPr="00992199">
        <w:rPr>
          <w:b/>
          <w:i/>
          <w:szCs w:val="20"/>
        </w:rPr>
        <w:t xml:space="preserve"> Group is exposed to costs arising from compliance with environmental and health and safety regulations and may be exposed to liabilities if the </w:t>
      </w:r>
      <w:r w:rsidR="001F6ABD" w:rsidRPr="00E13084">
        <w:rPr>
          <w:b/>
          <w:i/>
          <w:szCs w:val="20"/>
        </w:rPr>
        <w:t xml:space="preserve">Combined Greenyard </w:t>
      </w:r>
      <w:r w:rsidR="002A1AB1">
        <w:rPr>
          <w:b/>
          <w:i/>
          <w:szCs w:val="20"/>
        </w:rPr>
        <w:t>Foods</w:t>
      </w:r>
      <w:r w:rsidRPr="00992199">
        <w:rPr>
          <w:b/>
          <w:i/>
          <w:szCs w:val="20"/>
        </w:rPr>
        <w:t xml:space="preserve"> Group fails to comply with these regulations.</w:t>
      </w:r>
    </w:p>
    <w:p w:rsidR="003F0BC5" w:rsidRPr="00992199" w:rsidRDefault="003F0BC5" w:rsidP="003F0BC5">
      <w:pPr>
        <w:rPr>
          <w:szCs w:val="20"/>
        </w:rPr>
      </w:pPr>
      <w:r w:rsidRPr="00992199">
        <w:rPr>
          <w:szCs w:val="20"/>
          <w:lang w:eastAsia="en-GB"/>
        </w:rPr>
        <w:t xml:space="preserve">The activities of the </w:t>
      </w:r>
      <w:r w:rsidR="001F6ABD">
        <w:rPr>
          <w:szCs w:val="20"/>
        </w:rPr>
        <w:t xml:space="preserve">Combined Greenyard </w:t>
      </w:r>
      <w:r w:rsidR="002A1AB1">
        <w:rPr>
          <w:szCs w:val="20"/>
          <w:lang w:eastAsia="en-GB"/>
        </w:rPr>
        <w:t>Foods</w:t>
      </w:r>
      <w:r w:rsidRPr="00992199">
        <w:rPr>
          <w:szCs w:val="20"/>
          <w:lang w:eastAsia="en-GB"/>
        </w:rPr>
        <w:t xml:space="preserve"> Group are subject to extensive regulation in each country in which it operates, including corporate governance, labour, tax, competition, environment and health and safety regulations. Failure to comply with existing laws and regulations might result in damages, fines and criminal sanctions being levied against the </w:t>
      </w:r>
      <w:r w:rsidR="001F6ABD">
        <w:rPr>
          <w:szCs w:val="20"/>
        </w:rPr>
        <w:t xml:space="preserve">Combined Greenyard </w:t>
      </w:r>
      <w:r w:rsidR="002A1AB1">
        <w:rPr>
          <w:szCs w:val="20"/>
          <w:lang w:eastAsia="en-GB"/>
        </w:rPr>
        <w:t>Foods</w:t>
      </w:r>
      <w:r w:rsidRPr="00992199">
        <w:rPr>
          <w:szCs w:val="20"/>
          <w:lang w:eastAsia="en-GB"/>
        </w:rPr>
        <w:t xml:space="preserve"> Group</w:t>
      </w:r>
      <w:r w:rsidRPr="00992199" w:rsidDel="00D26E62">
        <w:rPr>
          <w:szCs w:val="20"/>
          <w:lang w:eastAsia="en-GB"/>
        </w:rPr>
        <w:t xml:space="preserve"> </w:t>
      </w:r>
      <w:r w:rsidRPr="00992199">
        <w:rPr>
          <w:szCs w:val="20"/>
          <w:lang w:eastAsia="en-GB"/>
        </w:rPr>
        <w:t xml:space="preserve">or the loss of its operating licenses and might adversely affect its reputation. Compliance with applicable regulatory requirements might result in material costs for the </w:t>
      </w:r>
      <w:r w:rsidR="001F6ABD">
        <w:rPr>
          <w:szCs w:val="20"/>
        </w:rPr>
        <w:t xml:space="preserve">Combined Greenyard </w:t>
      </w:r>
      <w:r w:rsidR="002A1AB1">
        <w:rPr>
          <w:szCs w:val="20"/>
          <w:lang w:eastAsia="en-GB"/>
        </w:rPr>
        <w:t>Foods</w:t>
      </w:r>
      <w:r w:rsidRPr="00992199">
        <w:rPr>
          <w:szCs w:val="20"/>
          <w:lang w:eastAsia="en-GB"/>
        </w:rPr>
        <w:t xml:space="preserve"> Group.</w:t>
      </w:r>
    </w:p>
    <w:p w:rsidR="003F0BC5" w:rsidRPr="00E13084" w:rsidRDefault="003F0BC5" w:rsidP="00C14169">
      <w:pPr>
        <w:keepNext/>
        <w:rPr>
          <w:b/>
          <w:i/>
          <w:szCs w:val="20"/>
        </w:rPr>
      </w:pPr>
      <w:r w:rsidRPr="00E13084">
        <w:rPr>
          <w:b/>
          <w:i/>
          <w:szCs w:val="20"/>
        </w:rPr>
        <w:lastRenderedPageBreak/>
        <w:t>The processing of fresh vegetables is an activity which impacts the environment. Violation of environmental laws could lead to high penalties / investments to be made and even lead to the revocation of licences.</w:t>
      </w:r>
    </w:p>
    <w:p w:rsidR="003F0BC5" w:rsidRPr="00992199" w:rsidRDefault="003F0BC5" w:rsidP="003F0BC5">
      <w:pPr>
        <w:autoSpaceDE w:val="0"/>
        <w:autoSpaceDN w:val="0"/>
        <w:adjustRightInd w:val="0"/>
        <w:rPr>
          <w:szCs w:val="20"/>
        </w:rPr>
      </w:pPr>
      <w:r w:rsidRPr="00992199">
        <w:rPr>
          <w:szCs w:val="20"/>
        </w:rPr>
        <w:t xml:space="preserve">The processing of fresh vegetables by the </w:t>
      </w:r>
      <w:r w:rsidR="001F6ABD">
        <w:rPr>
          <w:szCs w:val="20"/>
        </w:rPr>
        <w:t xml:space="preserve">Combined Greenyard </w:t>
      </w:r>
      <w:r w:rsidR="002A1AB1">
        <w:rPr>
          <w:szCs w:val="20"/>
          <w:lang w:eastAsia="en-GB"/>
        </w:rPr>
        <w:t>Foods</w:t>
      </w:r>
      <w:r w:rsidRPr="00992199">
        <w:rPr>
          <w:szCs w:val="20"/>
          <w:lang w:eastAsia="en-GB"/>
        </w:rPr>
        <w:t xml:space="preserve"> Group</w:t>
      </w:r>
      <w:r w:rsidRPr="00992199">
        <w:rPr>
          <w:szCs w:val="20"/>
        </w:rPr>
        <w:t xml:space="preserve"> is an activity which impacts the environment with very high consumption of water and energy. The environmental issues include the control of various waste streams (effluent waste water, release of steam, CO2 emissions, solid and viscous waste, scrap metals, wood, board and paper, plastic and residual waste), environmental nuisance (noise and odour nuisance resulting from the processing of vegetables and waste), hazards for employees and nearby residents (storage of ammonia and chemicals), etc. The fact that environmental regulations differ in each country and that, moreover, the relevant legislation changes rapidly may impact some of the operations of the </w:t>
      </w:r>
      <w:r w:rsidR="001F6ABD">
        <w:rPr>
          <w:szCs w:val="20"/>
        </w:rPr>
        <w:t xml:space="preserve">Combined Greenyard </w:t>
      </w:r>
      <w:r w:rsidR="002A1AB1">
        <w:rPr>
          <w:szCs w:val="20"/>
          <w:lang w:eastAsia="en-GB"/>
        </w:rPr>
        <w:t>Foods</w:t>
      </w:r>
      <w:r w:rsidRPr="00992199">
        <w:rPr>
          <w:szCs w:val="20"/>
          <w:lang w:eastAsia="en-GB"/>
        </w:rPr>
        <w:t xml:space="preserve"> Group</w:t>
      </w:r>
      <w:r w:rsidRPr="00992199">
        <w:rPr>
          <w:szCs w:val="20"/>
        </w:rPr>
        <w:t>. Potential changes in applicable provisions of environmental regulations can require additional large investments.</w:t>
      </w:r>
    </w:p>
    <w:p w:rsidR="003F0BC5" w:rsidRPr="00992199" w:rsidRDefault="003F0BC5" w:rsidP="00C14169">
      <w:pPr>
        <w:keepNext/>
        <w:rPr>
          <w:b/>
          <w:i/>
          <w:szCs w:val="20"/>
        </w:rPr>
      </w:pPr>
      <w:r w:rsidRPr="00992199">
        <w:rPr>
          <w:b/>
          <w:i/>
          <w:szCs w:val="20"/>
        </w:rPr>
        <w:t xml:space="preserve">The geographical footprint, size and decentralised approach to the management of its operations of the </w:t>
      </w:r>
      <w:r w:rsidR="001F6ABD" w:rsidRPr="00E13084">
        <w:rPr>
          <w:b/>
          <w:i/>
          <w:szCs w:val="20"/>
        </w:rPr>
        <w:t xml:space="preserve">Combined Greenyard </w:t>
      </w:r>
      <w:r w:rsidR="002A1AB1">
        <w:rPr>
          <w:b/>
          <w:i/>
          <w:szCs w:val="20"/>
        </w:rPr>
        <w:t>Foods</w:t>
      </w:r>
      <w:r w:rsidRPr="00992199">
        <w:rPr>
          <w:b/>
          <w:i/>
          <w:szCs w:val="20"/>
        </w:rPr>
        <w:t xml:space="preserve"> Group may lead to inefficiencies, inconsistent application of group-wide policies and practices, failures to prevent breaches of applicable laws and reputational harm and the inadequate or late provision of information to its senior management.</w:t>
      </w:r>
    </w:p>
    <w:p w:rsidR="003F0BC5" w:rsidRPr="00992199" w:rsidRDefault="003F0BC5" w:rsidP="003F0BC5">
      <w:pPr>
        <w:rPr>
          <w:szCs w:val="20"/>
        </w:rPr>
      </w:pPr>
      <w:r w:rsidRPr="00992199">
        <w:rPr>
          <w:szCs w:val="20"/>
          <w:lang w:eastAsia="en-GB"/>
        </w:rPr>
        <w:t xml:space="preserve">The </w:t>
      </w:r>
      <w:r w:rsidR="001F6ABD">
        <w:rPr>
          <w:szCs w:val="20"/>
        </w:rPr>
        <w:t xml:space="preserve">Combined Greenyard </w:t>
      </w:r>
      <w:r w:rsidR="002A1AB1">
        <w:rPr>
          <w:szCs w:val="20"/>
          <w:lang w:eastAsia="en-GB"/>
        </w:rPr>
        <w:t>Foods</w:t>
      </w:r>
      <w:r w:rsidRPr="00992199">
        <w:rPr>
          <w:szCs w:val="20"/>
          <w:lang w:eastAsia="en-GB"/>
        </w:rPr>
        <w:t xml:space="preserve"> Group has operations across many countries and has employees worldwide. As a result of the size and geographical footprint</w:t>
      </w:r>
      <w:r w:rsidRPr="00992199">
        <w:rPr>
          <w:szCs w:val="20"/>
        </w:rPr>
        <w:t xml:space="preserve"> </w:t>
      </w:r>
      <w:r w:rsidRPr="00992199">
        <w:rPr>
          <w:szCs w:val="20"/>
          <w:lang w:eastAsia="en-GB"/>
        </w:rPr>
        <w:t xml:space="preserve">of the </w:t>
      </w:r>
      <w:r w:rsidR="001F6ABD">
        <w:rPr>
          <w:szCs w:val="20"/>
        </w:rPr>
        <w:t xml:space="preserve">Combined Greenyard </w:t>
      </w:r>
      <w:r w:rsidR="002A1AB1">
        <w:rPr>
          <w:szCs w:val="20"/>
          <w:lang w:eastAsia="en-GB"/>
        </w:rPr>
        <w:t>Foods</w:t>
      </w:r>
      <w:r w:rsidRPr="00992199">
        <w:rPr>
          <w:szCs w:val="20"/>
          <w:lang w:eastAsia="en-GB"/>
        </w:rPr>
        <w:t xml:space="preserve"> Group, there is a risk that inefficiencies may arise, or local operations may not take advantage of efficiencies available centrally, and that this may, in each case, adversely affect the business, financial condition and results of operations of the </w:t>
      </w:r>
      <w:r w:rsidR="001F6ABD">
        <w:rPr>
          <w:szCs w:val="20"/>
        </w:rPr>
        <w:t xml:space="preserve">Combined Greenyard </w:t>
      </w:r>
      <w:r w:rsidR="002A1AB1">
        <w:rPr>
          <w:szCs w:val="20"/>
          <w:lang w:eastAsia="en-GB"/>
        </w:rPr>
        <w:t>Foods</w:t>
      </w:r>
      <w:r w:rsidRPr="00992199">
        <w:rPr>
          <w:szCs w:val="20"/>
          <w:lang w:eastAsia="en-GB"/>
        </w:rPr>
        <w:t xml:space="preserve"> Group. In addition, the Univeg Group in particular takes a decentralised approach to the management of its operations based on local responsibility for pricing, production, marketing and personnel. As a result, there can be no assurance that the group-wide policies and practices will always be fully and consistently applied throughout the Univeg Group. In particular, the </w:t>
      </w:r>
      <w:r w:rsidRPr="00992199">
        <w:rPr>
          <w:szCs w:val="20"/>
        </w:rPr>
        <w:t>decentralised</w:t>
      </w:r>
      <w:r w:rsidRPr="00992199">
        <w:rPr>
          <w:szCs w:val="20"/>
          <w:lang w:eastAsia="en-GB"/>
        </w:rPr>
        <w:t xml:space="preserve"> pricing policy of the Univeg Group provides key local account managers with considerable decision-making power, to determine product prices taking into account local demand and market characteristics. Quality control is also undertaken on a decentralised basis.</w:t>
      </w:r>
    </w:p>
    <w:p w:rsidR="003F0BC5" w:rsidRPr="00992199" w:rsidRDefault="003F0BC5" w:rsidP="003F0BC5">
      <w:pPr>
        <w:rPr>
          <w:szCs w:val="20"/>
        </w:rPr>
      </w:pPr>
      <w:r w:rsidRPr="00992199">
        <w:rPr>
          <w:szCs w:val="20"/>
          <w:lang w:eastAsia="en-GB"/>
        </w:rPr>
        <w:t xml:space="preserve">In addition, the internal control and compliance processes of the </w:t>
      </w:r>
      <w:r w:rsidR="001F6ABD">
        <w:rPr>
          <w:szCs w:val="20"/>
        </w:rPr>
        <w:t xml:space="preserve">Combined Greenyard </w:t>
      </w:r>
      <w:r w:rsidR="002A1AB1">
        <w:rPr>
          <w:szCs w:val="20"/>
          <w:lang w:eastAsia="en-GB"/>
        </w:rPr>
        <w:t>Foods</w:t>
      </w:r>
      <w:r w:rsidRPr="00992199">
        <w:rPr>
          <w:szCs w:val="20"/>
          <w:lang w:eastAsia="en-GB"/>
        </w:rPr>
        <w:t xml:space="preserve"> Group may be difficult to implement throughout the whole </w:t>
      </w:r>
      <w:r w:rsidR="001F6ABD">
        <w:rPr>
          <w:szCs w:val="20"/>
        </w:rPr>
        <w:t xml:space="preserve">Combined Greenyard </w:t>
      </w:r>
      <w:r w:rsidR="002A1AB1">
        <w:rPr>
          <w:szCs w:val="20"/>
          <w:lang w:eastAsia="en-GB"/>
        </w:rPr>
        <w:t>Foods</w:t>
      </w:r>
      <w:r w:rsidRPr="00992199">
        <w:rPr>
          <w:szCs w:val="20"/>
          <w:lang w:eastAsia="en-GB"/>
        </w:rPr>
        <w:t xml:space="preserve"> Group structure, and therefore may not prevent all future breaches of law, accounting standards or its internal codes of conduct. Any failure to comply with applicable laws and other standards could subject the </w:t>
      </w:r>
      <w:r w:rsidR="001F6ABD">
        <w:rPr>
          <w:szCs w:val="20"/>
        </w:rPr>
        <w:t xml:space="preserve">Combined Greenyard </w:t>
      </w:r>
      <w:r w:rsidR="002A1AB1">
        <w:rPr>
          <w:szCs w:val="20"/>
          <w:lang w:eastAsia="en-GB"/>
        </w:rPr>
        <w:t>Foods</w:t>
      </w:r>
      <w:r w:rsidRPr="00992199">
        <w:rPr>
          <w:szCs w:val="20"/>
          <w:lang w:eastAsia="en-GB"/>
        </w:rPr>
        <w:t xml:space="preserve"> Group to fines, legal proceedings and reputational harm. Similarly, reporting lines, including those for risk reporting, controlling and accounting purposes, may not be followed properly or on a timely basis, the failure of which may result in the inadequate or late provision of information to its senior management. The inconsistent application of group-wide policies and practices, as well as failures to follow reporting lines properly or on a timely basis, may adversely affect the ability of the Board of Directors to effectively perform its oversight function as the body responsible for the day-to-day management of the </w:t>
      </w:r>
      <w:r w:rsidR="001F6ABD">
        <w:rPr>
          <w:szCs w:val="20"/>
        </w:rPr>
        <w:t xml:space="preserve">Combined Greenyard </w:t>
      </w:r>
      <w:r w:rsidR="002A1AB1">
        <w:rPr>
          <w:szCs w:val="20"/>
          <w:lang w:eastAsia="en-GB"/>
        </w:rPr>
        <w:t>Foods</w:t>
      </w:r>
      <w:r w:rsidRPr="00992199">
        <w:rPr>
          <w:szCs w:val="20"/>
          <w:lang w:eastAsia="en-GB"/>
        </w:rPr>
        <w:t xml:space="preserve"> Group. In each case, this may adversely affect the business, financial condition and results of operations of the </w:t>
      </w:r>
      <w:r w:rsidR="001F6ABD">
        <w:rPr>
          <w:szCs w:val="20"/>
        </w:rPr>
        <w:t xml:space="preserve">Combined Greenyard </w:t>
      </w:r>
      <w:r w:rsidR="002A1AB1">
        <w:rPr>
          <w:szCs w:val="20"/>
          <w:lang w:eastAsia="en-GB"/>
        </w:rPr>
        <w:t>Foods</w:t>
      </w:r>
      <w:r w:rsidRPr="00992199">
        <w:rPr>
          <w:szCs w:val="20"/>
          <w:lang w:eastAsia="en-GB"/>
        </w:rPr>
        <w:t xml:space="preserve"> Group.</w:t>
      </w:r>
    </w:p>
    <w:p w:rsidR="003F0BC5" w:rsidRPr="00992199" w:rsidRDefault="003F0BC5" w:rsidP="00C14169">
      <w:pPr>
        <w:keepNext/>
        <w:rPr>
          <w:b/>
          <w:i/>
          <w:szCs w:val="20"/>
        </w:rPr>
      </w:pPr>
      <w:r w:rsidRPr="00992199">
        <w:rPr>
          <w:b/>
          <w:i/>
          <w:szCs w:val="20"/>
        </w:rPr>
        <w:t xml:space="preserve">The </w:t>
      </w:r>
      <w:r w:rsidR="001F6ABD" w:rsidRPr="00E13084">
        <w:rPr>
          <w:b/>
          <w:i/>
          <w:szCs w:val="20"/>
        </w:rPr>
        <w:t xml:space="preserve">Combined Greenyard </w:t>
      </w:r>
      <w:r w:rsidR="002A1AB1">
        <w:rPr>
          <w:b/>
          <w:i/>
          <w:szCs w:val="20"/>
        </w:rPr>
        <w:t>Foods</w:t>
      </w:r>
      <w:r w:rsidRPr="00992199">
        <w:rPr>
          <w:b/>
          <w:i/>
          <w:szCs w:val="20"/>
        </w:rPr>
        <w:t xml:space="preserve"> Group </w:t>
      </w:r>
      <w:r w:rsidR="000A2D2F">
        <w:rPr>
          <w:b/>
          <w:i/>
          <w:szCs w:val="20"/>
        </w:rPr>
        <w:t>is</w:t>
      </w:r>
      <w:r w:rsidRPr="00992199">
        <w:rPr>
          <w:b/>
          <w:i/>
          <w:szCs w:val="20"/>
        </w:rPr>
        <w:t xml:space="preserve"> subject to various potential litigation risks associated with its operations.</w:t>
      </w:r>
    </w:p>
    <w:p w:rsidR="000A2D2F" w:rsidRDefault="000A2D2F" w:rsidP="000A2D2F">
      <w:pPr>
        <w:autoSpaceDE w:val="0"/>
        <w:autoSpaceDN w:val="0"/>
        <w:spacing w:before="0" w:after="0"/>
        <w:rPr>
          <w:szCs w:val="20"/>
        </w:rPr>
      </w:pPr>
      <w:r w:rsidRPr="008A7FD6">
        <w:rPr>
          <w:szCs w:val="20"/>
          <w:lang w:eastAsia="en-GB"/>
        </w:rPr>
        <w:t xml:space="preserve">The </w:t>
      </w:r>
      <w:r>
        <w:rPr>
          <w:szCs w:val="20"/>
          <w:lang w:eastAsia="en-GB"/>
        </w:rPr>
        <w:t xml:space="preserve">Combined </w:t>
      </w:r>
      <w:r w:rsidR="002A1AB1">
        <w:rPr>
          <w:szCs w:val="20"/>
          <w:lang w:eastAsia="en-GB"/>
        </w:rPr>
        <w:t>Greenyard Foods</w:t>
      </w:r>
      <w:r>
        <w:rPr>
          <w:szCs w:val="20"/>
          <w:lang w:eastAsia="en-GB"/>
        </w:rPr>
        <w:t xml:space="preserve"> </w:t>
      </w:r>
      <w:r w:rsidRPr="008A7FD6">
        <w:rPr>
          <w:szCs w:val="20"/>
          <w:lang w:eastAsia="en-GB"/>
        </w:rPr>
        <w:t>Group is subject to litigation, other legal claims and proceedings, investigations and regulatory enforcement</w:t>
      </w:r>
      <w:r>
        <w:rPr>
          <w:szCs w:val="20"/>
          <w:lang w:eastAsia="en-GB"/>
        </w:rPr>
        <w:t xml:space="preserve"> </w:t>
      </w:r>
      <w:r w:rsidRPr="008A7FD6">
        <w:rPr>
          <w:szCs w:val="20"/>
          <w:lang w:eastAsia="en-GB"/>
        </w:rPr>
        <w:t xml:space="preserve">actions </w:t>
      </w:r>
      <w:r>
        <w:rPr>
          <w:szCs w:val="20"/>
          <w:lang w:eastAsia="en-GB"/>
        </w:rPr>
        <w:t>from time to time, including in respect to product liability</w:t>
      </w:r>
      <w:r w:rsidRPr="008A7FD6">
        <w:rPr>
          <w:szCs w:val="20"/>
          <w:lang w:eastAsia="en-GB"/>
        </w:rPr>
        <w:t>.</w:t>
      </w:r>
      <w:r w:rsidR="00F13D58">
        <w:rPr>
          <w:szCs w:val="20"/>
          <w:lang w:eastAsia="en-GB"/>
        </w:rPr>
        <w:t xml:space="preserve"> </w:t>
      </w:r>
      <w:r w:rsidRPr="008A7FD6">
        <w:rPr>
          <w:szCs w:val="20"/>
          <w:lang w:eastAsia="en-GB"/>
        </w:rPr>
        <w:t>The outcome of such proceedings, investigations and enforcement</w:t>
      </w:r>
      <w:r>
        <w:rPr>
          <w:szCs w:val="20"/>
          <w:lang w:eastAsia="en-GB"/>
        </w:rPr>
        <w:t xml:space="preserve"> </w:t>
      </w:r>
      <w:r w:rsidRPr="008A7FD6">
        <w:rPr>
          <w:szCs w:val="20"/>
          <w:lang w:eastAsia="en-GB"/>
        </w:rPr>
        <w:t>actions cannot be predicted with certainty and additional claims (including class actions claims) based on the same</w:t>
      </w:r>
      <w:r>
        <w:rPr>
          <w:szCs w:val="20"/>
          <w:lang w:eastAsia="en-GB"/>
        </w:rPr>
        <w:t xml:space="preserve"> </w:t>
      </w:r>
      <w:r w:rsidRPr="008A7FD6">
        <w:rPr>
          <w:szCs w:val="20"/>
        </w:rPr>
        <w:t xml:space="preserve">facts, may arise. </w:t>
      </w:r>
    </w:p>
    <w:p w:rsidR="000A2D2F" w:rsidRDefault="003F0BC5" w:rsidP="003F0BC5">
      <w:pPr>
        <w:rPr>
          <w:szCs w:val="20"/>
          <w:lang w:eastAsia="en-GB"/>
        </w:rPr>
      </w:pPr>
      <w:r w:rsidRPr="00992199">
        <w:rPr>
          <w:szCs w:val="20"/>
          <w:lang w:eastAsia="en-GB"/>
        </w:rPr>
        <w:t xml:space="preserve">Disputes and legal proceedings in which the </w:t>
      </w:r>
      <w:r w:rsidR="001F6ABD">
        <w:rPr>
          <w:szCs w:val="20"/>
        </w:rPr>
        <w:t xml:space="preserve">Combined Greenyard </w:t>
      </w:r>
      <w:r w:rsidR="002A1AB1">
        <w:rPr>
          <w:szCs w:val="20"/>
          <w:lang w:eastAsia="en-GB"/>
        </w:rPr>
        <w:t>Foods</w:t>
      </w:r>
      <w:r w:rsidRPr="00992199">
        <w:rPr>
          <w:szCs w:val="20"/>
          <w:lang w:eastAsia="en-GB"/>
        </w:rPr>
        <w:t xml:space="preserve"> Group may be involved are subject to many uncertainties, and their outcomes are often difficult to predict. The defence of any such claims and any associated settlement costs can be substantial, even with respect to claims that have no merit. </w:t>
      </w:r>
    </w:p>
    <w:p w:rsidR="003F0BC5" w:rsidRPr="00992199" w:rsidRDefault="003F0BC5" w:rsidP="003F0BC5">
      <w:pPr>
        <w:rPr>
          <w:szCs w:val="20"/>
        </w:rPr>
      </w:pPr>
      <w:r w:rsidRPr="00992199">
        <w:rPr>
          <w:szCs w:val="20"/>
          <w:lang w:eastAsia="en-GB"/>
        </w:rPr>
        <w:t xml:space="preserve">In addition, adverse judgments arising from litigation could result in restrictions or limitations on the operations of the </w:t>
      </w:r>
      <w:r w:rsidR="001F6ABD">
        <w:rPr>
          <w:szCs w:val="20"/>
        </w:rPr>
        <w:t xml:space="preserve">Combined Greenyard </w:t>
      </w:r>
      <w:r w:rsidR="002A1AB1">
        <w:rPr>
          <w:szCs w:val="20"/>
          <w:lang w:eastAsia="en-GB"/>
        </w:rPr>
        <w:t>Foods</w:t>
      </w:r>
      <w:r w:rsidRPr="00992199">
        <w:rPr>
          <w:szCs w:val="20"/>
          <w:lang w:eastAsia="en-GB"/>
        </w:rPr>
        <w:t xml:space="preserve"> Group or result in a material adverse impact on its reputation or financial condition. Due to the inherent uncertainty of the litigation and dispute resolution process, there is no assurance that the resolution of any particular </w:t>
      </w:r>
      <w:r w:rsidRPr="00992199">
        <w:rPr>
          <w:szCs w:val="20"/>
        </w:rPr>
        <w:t>legal</w:t>
      </w:r>
      <w:r w:rsidRPr="00992199">
        <w:rPr>
          <w:szCs w:val="20"/>
          <w:lang w:eastAsia="en-GB"/>
        </w:rPr>
        <w:t xml:space="preserve"> proceeding or dispute will not have a material adverse effect on the future cash flow, results of operations or financial condition</w:t>
      </w:r>
      <w:r w:rsidRPr="00992199">
        <w:rPr>
          <w:szCs w:val="20"/>
        </w:rPr>
        <w:t xml:space="preserve"> </w:t>
      </w:r>
      <w:r w:rsidRPr="00992199">
        <w:rPr>
          <w:szCs w:val="20"/>
          <w:lang w:eastAsia="en-GB"/>
        </w:rPr>
        <w:t xml:space="preserve">of the </w:t>
      </w:r>
      <w:r w:rsidR="001F6ABD">
        <w:rPr>
          <w:szCs w:val="20"/>
        </w:rPr>
        <w:t xml:space="preserve">Combined Greenyard </w:t>
      </w:r>
      <w:r w:rsidR="002A1AB1">
        <w:rPr>
          <w:szCs w:val="20"/>
          <w:lang w:eastAsia="en-GB"/>
        </w:rPr>
        <w:t>Foods</w:t>
      </w:r>
      <w:r w:rsidRPr="00992199">
        <w:rPr>
          <w:szCs w:val="20"/>
          <w:lang w:eastAsia="en-GB"/>
        </w:rPr>
        <w:t xml:space="preserve"> Group. Accounting provisions for commercial, social and tax litigations may appear to be insufficient in case of adverse outcomes of these litigations.</w:t>
      </w:r>
    </w:p>
    <w:p w:rsidR="003F0BC5" w:rsidRPr="00992199" w:rsidRDefault="003F0BC5" w:rsidP="00C14169">
      <w:pPr>
        <w:keepNext/>
        <w:rPr>
          <w:b/>
          <w:i/>
          <w:szCs w:val="20"/>
        </w:rPr>
      </w:pPr>
      <w:r w:rsidRPr="00992199">
        <w:rPr>
          <w:b/>
          <w:i/>
          <w:szCs w:val="20"/>
        </w:rPr>
        <w:lastRenderedPageBreak/>
        <w:t xml:space="preserve">The </w:t>
      </w:r>
      <w:r w:rsidR="00E13084" w:rsidRPr="00E13084">
        <w:rPr>
          <w:b/>
          <w:i/>
          <w:szCs w:val="20"/>
        </w:rPr>
        <w:t xml:space="preserve">Combined Greenyard </w:t>
      </w:r>
      <w:r w:rsidR="002A1AB1">
        <w:rPr>
          <w:b/>
          <w:i/>
          <w:szCs w:val="20"/>
        </w:rPr>
        <w:t>Foods</w:t>
      </w:r>
      <w:r w:rsidRPr="00992199">
        <w:rPr>
          <w:b/>
          <w:i/>
          <w:szCs w:val="20"/>
        </w:rPr>
        <w:t xml:space="preserve"> Group may have to pay additional taxes for past and future assessment periods. Changes in tax laws or tax-related case law may have adverse effects on the business and the </w:t>
      </w:r>
      <w:r w:rsidR="00E13084" w:rsidRPr="00E13084">
        <w:rPr>
          <w:b/>
          <w:i/>
          <w:szCs w:val="20"/>
        </w:rPr>
        <w:t xml:space="preserve">Combined Greenyard </w:t>
      </w:r>
      <w:r w:rsidR="002A1AB1">
        <w:rPr>
          <w:b/>
          <w:i/>
          <w:szCs w:val="20"/>
        </w:rPr>
        <w:t>Foods</w:t>
      </w:r>
      <w:r w:rsidRPr="00992199">
        <w:rPr>
          <w:b/>
          <w:i/>
          <w:szCs w:val="20"/>
        </w:rPr>
        <w:t xml:space="preserve"> Group’s financial condition and results of operations.</w:t>
      </w:r>
    </w:p>
    <w:p w:rsidR="003F0BC5" w:rsidRPr="00992199" w:rsidRDefault="00C87D8C" w:rsidP="003F0BC5">
      <w:pPr>
        <w:rPr>
          <w:szCs w:val="20"/>
        </w:rPr>
      </w:pPr>
      <w:r w:rsidRPr="00C87D8C">
        <w:rPr>
          <w:szCs w:val="20"/>
          <w:lang w:eastAsia="en-GB"/>
        </w:rPr>
        <w:t xml:space="preserve">The Combined Greenyard Foods Group is subject to income taxes as well as non-income based taxes in many jurisdictions. In the ordinary course of </w:t>
      </w:r>
      <w:r>
        <w:rPr>
          <w:szCs w:val="20"/>
          <w:lang w:eastAsia="en-GB"/>
        </w:rPr>
        <w:t>its</w:t>
      </w:r>
      <w:r w:rsidRPr="00C87D8C">
        <w:rPr>
          <w:szCs w:val="20"/>
          <w:lang w:eastAsia="en-GB"/>
        </w:rPr>
        <w:t xml:space="preserve"> business, there are many transactions and calculations where the ultimate tax determination is uncertain. </w:t>
      </w:r>
      <w:r>
        <w:rPr>
          <w:szCs w:val="20"/>
          <w:lang w:eastAsia="en-GB"/>
        </w:rPr>
        <w:t>In addition, t</w:t>
      </w:r>
      <w:r w:rsidR="003F0BC5" w:rsidRPr="00992199">
        <w:rPr>
          <w:szCs w:val="20"/>
          <w:lang w:eastAsia="en-GB"/>
        </w:rPr>
        <w:t xml:space="preserve">he </w:t>
      </w:r>
      <w:r w:rsidR="00E13084">
        <w:rPr>
          <w:szCs w:val="20"/>
        </w:rPr>
        <w:t xml:space="preserve">Combined Greenyard </w:t>
      </w:r>
      <w:r w:rsidR="002A1AB1">
        <w:rPr>
          <w:szCs w:val="20"/>
          <w:lang w:eastAsia="en-GB"/>
        </w:rPr>
        <w:t>Foods</w:t>
      </w:r>
      <w:r w:rsidR="003F0BC5" w:rsidRPr="00992199">
        <w:rPr>
          <w:szCs w:val="20"/>
          <w:lang w:eastAsia="en-GB"/>
        </w:rPr>
        <w:t xml:space="preserve"> Group is from time to time subject to ordinary course tax-related audits by the fiscal authorities in multiple jurisdictions. In connection with ongoing and future audits, fiscal authorities may assess fiscal regulations and tax-related matters differently than the </w:t>
      </w:r>
      <w:r w:rsidR="00E13084">
        <w:rPr>
          <w:szCs w:val="20"/>
        </w:rPr>
        <w:t xml:space="preserve">Combined Greenyard </w:t>
      </w:r>
      <w:r w:rsidR="002A1AB1">
        <w:rPr>
          <w:szCs w:val="20"/>
          <w:lang w:eastAsia="en-GB"/>
        </w:rPr>
        <w:t>Foods</w:t>
      </w:r>
      <w:r w:rsidR="003F0BC5" w:rsidRPr="00992199">
        <w:rPr>
          <w:szCs w:val="20"/>
          <w:lang w:eastAsia="en-GB"/>
        </w:rPr>
        <w:t xml:space="preserve"> Group has.</w:t>
      </w:r>
    </w:p>
    <w:p w:rsidR="003F0BC5" w:rsidRPr="00992199" w:rsidRDefault="003F0BC5" w:rsidP="003F0BC5">
      <w:pPr>
        <w:rPr>
          <w:szCs w:val="20"/>
        </w:rPr>
      </w:pPr>
      <w:r w:rsidRPr="00992199">
        <w:rPr>
          <w:szCs w:val="20"/>
          <w:lang w:eastAsia="en-GB"/>
        </w:rPr>
        <w:t xml:space="preserve">In particular, this may apply to any of the tax-planning measures of the </w:t>
      </w:r>
      <w:r w:rsidR="00E13084">
        <w:rPr>
          <w:szCs w:val="20"/>
        </w:rPr>
        <w:t xml:space="preserve">Combined Greenyard </w:t>
      </w:r>
      <w:r w:rsidR="002A1AB1">
        <w:rPr>
          <w:szCs w:val="20"/>
          <w:lang w:eastAsia="en-GB"/>
        </w:rPr>
        <w:t>Foods</w:t>
      </w:r>
      <w:r w:rsidRPr="00992199">
        <w:rPr>
          <w:szCs w:val="20"/>
          <w:lang w:eastAsia="en-GB"/>
        </w:rPr>
        <w:t xml:space="preserve"> Group, which have not been approved by an advance tax ruling. Although the </w:t>
      </w:r>
      <w:r w:rsidR="00E13084">
        <w:rPr>
          <w:szCs w:val="20"/>
        </w:rPr>
        <w:t xml:space="preserve">Combined Greenyard </w:t>
      </w:r>
      <w:r w:rsidR="002A1AB1">
        <w:rPr>
          <w:szCs w:val="20"/>
          <w:lang w:eastAsia="en-GB"/>
        </w:rPr>
        <w:t>Foods</w:t>
      </w:r>
      <w:r w:rsidRPr="00992199">
        <w:rPr>
          <w:szCs w:val="20"/>
          <w:lang w:eastAsia="en-GB"/>
        </w:rPr>
        <w:t xml:space="preserve"> Group would retain the right to appeal any such adverse conclusions, it cannot provide assurance that these audits would not result in a reduction of its carry-forward tax losses or in the immediate payment of taxes. Therefore, it cannot be ruled out that as a result of audits conducted, tax breaks and other tax advantages may not be honoured (even if recorded as deferred tax assets in the financial statements) and additional taxes may become due (even if respective tax provisions or liabilities are not shown in the financial statements).</w:t>
      </w:r>
    </w:p>
    <w:p w:rsidR="003F0BC5" w:rsidRPr="00992199" w:rsidRDefault="003F0BC5" w:rsidP="003F0BC5">
      <w:pPr>
        <w:rPr>
          <w:b/>
          <w:szCs w:val="20"/>
        </w:rPr>
      </w:pPr>
      <w:r w:rsidRPr="00992199">
        <w:rPr>
          <w:szCs w:val="20"/>
          <w:lang w:eastAsia="en-GB"/>
        </w:rPr>
        <w:t xml:space="preserve">The risk of having to pay additional taxes is also tied to a not insubstantial risk that interest and fines would be due. Changes in fiscal regulations or the interpretation of tax laws by the courts may have adverse effects on the business of the </w:t>
      </w:r>
      <w:r w:rsidR="00E13084">
        <w:rPr>
          <w:szCs w:val="20"/>
        </w:rPr>
        <w:t xml:space="preserve">Combined Greenyard </w:t>
      </w:r>
      <w:r w:rsidR="002A1AB1">
        <w:rPr>
          <w:szCs w:val="20"/>
          <w:lang w:eastAsia="en-GB"/>
        </w:rPr>
        <w:t>Foods</w:t>
      </w:r>
      <w:r w:rsidRPr="00992199">
        <w:rPr>
          <w:szCs w:val="20"/>
          <w:lang w:eastAsia="en-GB"/>
        </w:rPr>
        <w:t xml:space="preserve"> Group, for example because certain tax exemptions no longer apply or products may be less attractive to customers for tax purposes. Changes in tax laws may also lead to higher tax impacts on the </w:t>
      </w:r>
      <w:r w:rsidR="00E13084">
        <w:rPr>
          <w:szCs w:val="20"/>
        </w:rPr>
        <w:t xml:space="preserve">Combined Greenyard </w:t>
      </w:r>
      <w:r w:rsidR="002A1AB1">
        <w:rPr>
          <w:szCs w:val="20"/>
          <w:lang w:eastAsia="en-GB"/>
        </w:rPr>
        <w:t>Foods</w:t>
      </w:r>
      <w:r w:rsidRPr="00992199">
        <w:rPr>
          <w:szCs w:val="20"/>
          <w:lang w:eastAsia="en-GB"/>
        </w:rPr>
        <w:t xml:space="preserve"> Group. The aforementioned tax-related risks could adversely affect the financial condition and results of operations of the </w:t>
      </w:r>
      <w:r w:rsidR="00E13084">
        <w:rPr>
          <w:szCs w:val="20"/>
        </w:rPr>
        <w:t xml:space="preserve">Combined Greenyard </w:t>
      </w:r>
      <w:r w:rsidR="002A1AB1">
        <w:rPr>
          <w:szCs w:val="20"/>
          <w:lang w:eastAsia="en-GB"/>
        </w:rPr>
        <w:t>Foods</w:t>
      </w:r>
      <w:r w:rsidRPr="00992199">
        <w:rPr>
          <w:szCs w:val="20"/>
          <w:lang w:eastAsia="en-GB"/>
        </w:rPr>
        <w:t xml:space="preserve"> Group.</w:t>
      </w:r>
    </w:p>
    <w:p w:rsidR="003F0BC5" w:rsidRPr="00992199" w:rsidRDefault="003F0BC5" w:rsidP="00C14169">
      <w:pPr>
        <w:keepNext/>
        <w:rPr>
          <w:b/>
          <w:i/>
          <w:szCs w:val="20"/>
        </w:rPr>
      </w:pPr>
      <w:r w:rsidRPr="00992199">
        <w:rPr>
          <w:b/>
          <w:i/>
          <w:szCs w:val="20"/>
        </w:rPr>
        <w:t xml:space="preserve">The insurance coverage of the </w:t>
      </w:r>
      <w:r w:rsidR="00E13084" w:rsidRPr="00E13084">
        <w:rPr>
          <w:b/>
          <w:i/>
          <w:szCs w:val="20"/>
        </w:rPr>
        <w:t xml:space="preserve">Combined Greenyard </w:t>
      </w:r>
      <w:r w:rsidR="002A1AB1">
        <w:rPr>
          <w:b/>
          <w:i/>
          <w:szCs w:val="20"/>
        </w:rPr>
        <w:t>Foods</w:t>
      </w:r>
      <w:r w:rsidRPr="00992199">
        <w:rPr>
          <w:b/>
          <w:i/>
          <w:szCs w:val="20"/>
        </w:rPr>
        <w:t xml:space="preserve"> Group does not cover all potential losses, liabilities and damage related to its operations and certain risks are uninsured or uninsurable.</w:t>
      </w:r>
    </w:p>
    <w:p w:rsidR="003F0BC5" w:rsidRPr="00992199" w:rsidRDefault="003F0BC5" w:rsidP="003F0BC5">
      <w:pPr>
        <w:rPr>
          <w:szCs w:val="20"/>
        </w:rPr>
      </w:pPr>
      <w:r w:rsidRPr="00992199">
        <w:rPr>
          <w:szCs w:val="20"/>
          <w:lang w:eastAsia="en-GB"/>
        </w:rPr>
        <w:t xml:space="preserve">In each country in which the </w:t>
      </w:r>
      <w:r w:rsidR="00E13084">
        <w:rPr>
          <w:szCs w:val="20"/>
        </w:rPr>
        <w:t xml:space="preserve">Combined Greenyard </w:t>
      </w:r>
      <w:r w:rsidR="002A1AB1">
        <w:rPr>
          <w:szCs w:val="20"/>
          <w:lang w:eastAsia="en-GB"/>
        </w:rPr>
        <w:t>Foods</w:t>
      </w:r>
      <w:r w:rsidRPr="00992199">
        <w:rPr>
          <w:szCs w:val="20"/>
          <w:lang w:eastAsia="en-GB"/>
        </w:rPr>
        <w:t xml:space="preserve"> Group operates, the business and assets of the </w:t>
      </w:r>
      <w:r w:rsidR="00E13084">
        <w:rPr>
          <w:szCs w:val="20"/>
        </w:rPr>
        <w:t xml:space="preserve">Combined Greenyard </w:t>
      </w:r>
      <w:r w:rsidR="002A1AB1">
        <w:rPr>
          <w:szCs w:val="20"/>
          <w:lang w:eastAsia="en-GB"/>
        </w:rPr>
        <w:t>Foods</w:t>
      </w:r>
      <w:r w:rsidRPr="00992199">
        <w:rPr>
          <w:szCs w:val="20"/>
          <w:lang w:eastAsia="en-GB"/>
        </w:rPr>
        <w:t xml:space="preserve"> Group are subject to varying degrees </w:t>
      </w:r>
      <w:r w:rsidRPr="00992199">
        <w:rPr>
          <w:szCs w:val="20"/>
        </w:rPr>
        <w:t>of</w:t>
      </w:r>
      <w:r w:rsidRPr="00992199">
        <w:rPr>
          <w:szCs w:val="20"/>
          <w:lang w:eastAsia="en-GB"/>
        </w:rPr>
        <w:t xml:space="preserve"> risk and uncertainty. The </w:t>
      </w:r>
      <w:r w:rsidR="00E13084">
        <w:rPr>
          <w:szCs w:val="20"/>
        </w:rPr>
        <w:t xml:space="preserve">Combined Greenyard </w:t>
      </w:r>
      <w:r w:rsidR="002A1AB1">
        <w:rPr>
          <w:szCs w:val="20"/>
          <w:lang w:eastAsia="en-GB"/>
        </w:rPr>
        <w:t>Foods</w:t>
      </w:r>
      <w:r w:rsidRPr="00992199">
        <w:rPr>
          <w:szCs w:val="20"/>
          <w:lang w:eastAsia="en-GB"/>
        </w:rPr>
        <w:t xml:space="preserve"> Group insures the operational risks, including property, business interruption, liability and employee accidents, in each country in a manner that it deems appropriate for operations of their size and activities based on an analysis of the relative risks and costs. The insurance policies are, however, subject to exclusions of liability and limitations of liability, both with regard to the amount of and the events leading to the insured losses. Consequently, some types of risks, such as losses resulting from wars or acts of terrorism are generally excluded from insurance policies standard in the sector of the </w:t>
      </w:r>
      <w:r w:rsidR="00E13084">
        <w:rPr>
          <w:szCs w:val="20"/>
        </w:rPr>
        <w:t xml:space="preserve">Combined Greenyard </w:t>
      </w:r>
      <w:r w:rsidR="002A1AB1">
        <w:rPr>
          <w:szCs w:val="20"/>
          <w:lang w:eastAsia="en-GB"/>
        </w:rPr>
        <w:t>Foods</w:t>
      </w:r>
      <w:r w:rsidRPr="00992199">
        <w:rPr>
          <w:szCs w:val="20"/>
          <w:lang w:eastAsia="en-GB"/>
        </w:rPr>
        <w:t xml:space="preserve"> Group and are not insured because they are either uninsurable or prohibitively expensive. One or more significant claims covered under the current insurance policies could lead to an increase of the insurance premium or termination of these policies.</w:t>
      </w:r>
    </w:p>
    <w:p w:rsidR="003F0BC5" w:rsidRPr="00992199" w:rsidRDefault="003F0BC5" w:rsidP="003F0BC5">
      <w:pPr>
        <w:rPr>
          <w:szCs w:val="20"/>
        </w:rPr>
      </w:pPr>
      <w:r w:rsidRPr="00992199">
        <w:rPr>
          <w:szCs w:val="20"/>
          <w:lang w:eastAsia="en-GB"/>
        </w:rPr>
        <w:t xml:space="preserve">If the </w:t>
      </w:r>
      <w:r w:rsidR="00E13084">
        <w:rPr>
          <w:szCs w:val="20"/>
        </w:rPr>
        <w:t xml:space="preserve">Combined Greenyard </w:t>
      </w:r>
      <w:r w:rsidR="002A1AB1">
        <w:rPr>
          <w:szCs w:val="20"/>
          <w:lang w:eastAsia="en-GB"/>
        </w:rPr>
        <w:t>Foods</w:t>
      </w:r>
      <w:r w:rsidRPr="00992199">
        <w:rPr>
          <w:szCs w:val="20"/>
          <w:lang w:eastAsia="en-GB"/>
        </w:rPr>
        <w:t xml:space="preserve"> Group were to incur a significant loss or liability for which it is not fully insured or if its insurers become insolvent, this could have a material adverse impact on the business and financial condition of the </w:t>
      </w:r>
      <w:r w:rsidR="00E13084">
        <w:rPr>
          <w:szCs w:val="20"/>
        </w:rPr>
        <w:t xml:space="preserve">Combined Greenyard </w:t>
      </w:r>
      <w:r w:rsidR="002A1AB1">
        <w:rPr>
          <w:szCs w:val="20"/>
          <w:lang w:eastAsia="en-GB"/>
        </w:rPr>
        <w:t>Foods</w:t>
      </w:r>
      <w:r w:rsidRPr="00992199">
        <w:rPr>
          <w:szCs w:val="20"/>
          <w:lang w:eastAsia="en-GB"/>
        </w:rPr>
        <w:t xml:space="preserve"> Group.</w:t>
      </w:r>
    </w:p>
    <w:p w:rsidR="003F0BC5" w:rsidRPr="00992199" w:rsidRDefault="003F0BC5" w:rsidP="003F0BC5">
      <w:pPr>
        <w:rPr>
          <w:szCs w:val="20"/>
        </w:rPr>
      </w:pPr>
      <w:r w:rsidRPr="00992199">
        <w:rPr>
          <w:szCs w:val="20"/>
          <w:lang w:eastAsia="en-GB"/>
        </w:rPr>
        <w:t xml:space="preserve">A successful claim against the </w:t>
      </w:r>
      <w:r w:rsidR="00E13084">
        <w:rPr>
          <w:szCs w:val="20"/>
        </w:rPr>
        <w:t xml:space="preserve">Combined Greenyard </w:t>
      </w:r>
      <w:r w:rsidR="002A1AB1">
        <w:rPr>
          <w:szCs w:val="20"/>
          <w:lang w:eastAsia="en-GB"/>
        </w:rPr>
        <w:t>Foods</w:t>
      </w:r>
      <w:r w:rsidRPr="00992199">
        <w:rPr>
          <w:szCs w:val="20"/>
          <w:lang w:eastAsia="en-GB"/>
        </w:rPr>
        <w:t xml:space="preserve"> Group could </w:t>
      </w:r>
      <w:r w:rsidRPr="00992199">
        <w:rPr>
          <w:szCs w:val="20"/>
        </w:rPr>
        <w:t xml:space="preserve">have a material adverse effect on its </w:t>
      </w:r>
      <w:r w:rsidRPr="00992199">
        <w:rPr>
          <w:szCs w:val="20"/>
          <w:lang w:eastAsia="en-GB"/>
        </w:rPr>
        <w:t xml:space="preserve">proceeds. Moreover, the conduct of the defence against such claims can exert considerable pressure on the management, may lead to significant legal fees to be owed and the reputation of the </w:t>
      </w:r>
      <w:r w:rsidR="00E13084">
        <w:rPr>
          <w:szCs w:val="20"/>
        </w:rPr>
        <w:t xml:space="preserve">Combined Greenyard </w:t>
      </w:r>
      <w:r w:rsidR="002A1AB1">
        <w:rPr>
          <w:szCs w:val="20"/>
          <w:lang w:eastAsia="en-GB"/>
        </w:rPr>
        <w:t>Foods</w:t>
      </w:r>
      <w:r w:rsidRPr="00992199">
        <w:rPr>
          <w:szCs w:val="20"/>
          <w:lang w:eastAsia="en-GB"/>
        </w:rPr>
        <w:t xml:space="preserve"> Group may be affected.</w:t>
      </w:r>
    </w:p>
    <w:p w:rsidR="003F0BC5" w:rsidRPr="00C14169" w:rsidRDefault="003F0BC5" w:rsidP="00C14169">
      <w:pPr>
        <w:pStyle w:val="Firm5L1"/>
        <w:keepNext/>
      </w:pPr>
      <w:r w:rsidRPr="00C14169">
        <w:t xml:space="preserve">RISKS RELATING TO THE CONTRIBUTIONS, THE </w:t>
      </w:r>
      <w:r w:rsidR="002E649F" w:rsidRPr="00C14169">
        <w:t>SHARES</w:t>
      </w:r>
      <w:r w:rsidRPr="00C14169">
        <w:t xml:space="preserve"> AND THE </w:t>
      </w:r>
      <w:r w:rsidR="00FE467C" w:rsidRPr="00C14169">
        <w:t xml:space="preserve">SECONDARY </w:t>
      </w:r>
      <w:smartTag w:uri="urn:schemas-microsoft-com:office:smarttags" w:element="City">
        <w:smartTag w:uri="urn:schemas-microsoft-com:office:smarttags" w:element="place">
          <w:r w:rsidR="00FE467C" w:rsidRPr="00C14169">
            <w:t>SALE</w:t>
          </w:r>
        </w:smartTag>
      </w:smartTag>
    </w:p>
    <w:p w:rsidR="003F0BC5" w:rsidRPr="00992199" w:rsidRDefault="003F0BC5" w:rsidP="00C14169">
      <w:pPr>
        <w:keepNext/>
        <w:rPr>
          <w:b/>
          <w:i/>
          <w:szCs w:val="20"/>
        </w:rPr>
      </w:pPr>
      <w:r w:rsidRPr="00992199">
        <w:rPr>
          <w:b/>
          <w:i/>
          <w:szCs w:val="20"/>
        </w:rPr>
        <w:t xml:space="preserve">The Contributions need to be approved by the shareholders </w:t>
      </w:r>
      <w:r w:rsidR="002E649F">
        <w:rPr>
          <w:b/>
          <w:i/>
          <w:szCs w:val="20"/>
        </w:rPr>
        <w:t>of Greenyard Foods</w:t>
      </w:r>
      <w:r w:rsidRPr="00992199">
        <w:rPr>
          <w:b/>
          <w:i/>
          <w:szCs w:val="20"/>
        </w:rPr>
        <w:t>.</w:t>
      </w:r>
    </w:p>
    <w:p w:rsidR="003F0BC5" w:rsidRDefault="003F0BC5" w:rsidP="003F0BC5">
      <w:pPr>
        <w:rPr>
          <w:szCs w:val="20"/>
        </w:rPr>
      </w:pPr>
      <w:r w:rsidRPr="00992199">
        <w:rPr>
          <w:szCs w:val="20"/>
        </w:rPr>
        <w:t xml:space="preserve">The Contributions must be approved by the </w:t>
      </w:r>
      <w:r w:rsidR="00AA3763">
        <w:rPr>
          <w:szCs w:val="20"/>
        </w:rPr>
        <w:t>general shareholders’ meeting</w:t>
      </w:r>
      <w:r w:rsidRPr="00992199">
        <w:rPr>
          <w:szCs w:val="20"/>
        </w:rPr>
        <w:t xml:space="preserve">s of </w:t>
      </w:r>
      <w:r w:rsidR="002A1AB1">
        <w:rPr>
          <w:szCs w:val="20"/>
        </w:rPr>
        <w:t>Greenyard Foods</w:t>
      </w:r>
      <w:r w:rsidRPr="00992199">
        <w:rPr>
          <w:szCs w:val="20"/>
        </w:rPr>
        <w:t xml:space="preserve"> and</w:t>
      </w:r>
      <w:r w:rsidR="002E649F">
        <w:rPr>
          <w:szCs w:val="20"/>
        </w:rPr>
        <w:t>, for the DWB Demerger,</w:t>
      </w:r>
      <w:r w:rsidRPr="00992199">
        <w:rPr>
          <w:szCs w:val="20"/>
        </w:rPr>
        <w:t xml:space="preserve"> DWB. The approval by the </w:t>
      </w:r>
      <w:r w:rsidR="00AA3763">
        <w:rPr>
          <w:szCs w:val="20"/>
        </w:rPr>
        <w:t>general shareholders’ meeting</w:t>
      </w:r>
      <w:r w:rsidRPr="00992199">
        <w:rPr>
          <w:szCs w:val="20"/>
        </w:rPr>
        <w:t xml:space="preserve">s of each company will require the positive vote of at least 75% of the shares present and represented at the meetings. All shareholders of DWB have undertaken to vote in favour of the DWB Demerger and shareholders representing more than [•]% of the Shares have undertaken to vote in favour of each of the Contributions. Minority shareholders of </w:t>
      </w:r>
      <w:r w:rsidR="002A1AB1">
        <w:rPr>
          <w:szCs w:val="20"/>
        </w:rPr>
        <w:t>Greenyard Foods</w:t>
      </w:r>
      <w:r w:rsidRPr="00992199">
        <w:rPr>
          <w:szCs w:val="20"/>
        </w:rPr>
        <w:t xml:space="preserve"> may </w:t>
      </w:r>
      <w:r w:rsidR="002E649F">
        <w:rPr>
          <w:szCs w:val="20"/>
        </w:rPr>
        <w:t xml:space="preserve">nevertheless </w:t>
      </w:r>
      <w:r w:rsidRPr="00992199">
        <w:rPr>
          <w:szCs w:val="20"/>
        </w:rPr>
        <w:t>challenge the Contributions, which may result in a delay for the completion of the Contributions.</w:t>
      </w:r>
    </w:p>
    <w:p w:rsidR="003F0BC5" w:rsidRPr="00E13084" w:rsidRDefault="003F0BC5" w:rsidP="00C14169">
      <w:pPr>
        <w:keepNext/>
        <w:rPr>
          <w:b/>
          <w:i/>
          <w:szCs w:val="20"/>
        </w:rPr>
      </w:pPr>
      <w:r w:rsidRPr="00E13084">
        <w:rPr>
          <w:b/>
          <w:i/>
          <w:szCs w:val="20"/>
        </w:rPr>
        <w:lastRenderedPageBreak/>
        <w:t xml:space="preserve">Possibility of liability claims </w:t>
      </w:r>
      <w:r w:rsidR="002E649F">
        <w:rPr>
          <w:b/>
          <w:i/>
          <w:szCs w:val="20"/>
        </w:rPr>
        <w:t xml:space="preserve">and other challenges </w:t>
      </w:r>
      <w:r w:rsidRPr="00E13084">
        <w:rPr>
          <w:b/>
          <w:i/>
          <w:szCs w:val="20"/>
        </w:rPr>
        <w:t>in the framework of the Contributions</w:t>
      </w:r>
    </w:p>
    <w:p w:rsidR="003F0BC5" w:rsidRDefault="003F0BC5" w:rsidP="003F0BC5">
      <w:pPr>
        <w:rPr>
          <w:szCs w:val="20"/>
          <w:lang w:eastAsia="en-GB"/>
        </w:rPr>
      </w:pPr>
      <w:r w:rsidRPr="00992199">
        <w:rPr>
          <w:szCs w:val="20"/>
          <w:lang w:eastAsia="en-GB"/>
        </w:rPr>
        <w:t xml:space="preserve">In the framework of the Contributions, a contribution agreement has been concluded including </w:t>
      </w:r>
      <w:r w:rsidR="002E649F">
        <w:rPr>
          <w:szCs w:val="20"/>
          <w:lang w:eastAsia="en-GB"/>
        </w:rPr>
        <w:t>customary</w:t>
      </w:r>
      <w:r w:rsidRPr="00992199">
        <w:rPr>
          <w:szCs w:val="20"/>
          <w:lang w:eastAsia="en-GB"/>
        </w:rPr>
        <w:t xml:space="preserve"> representations and warranties in favour of </w:t>
      </w:r>
      <w:r w:rsidR="002A1AB1">
        <w:rPr>
          <w:szCs w:val="20"/>
          <w:lang w:eastAsia="en-GB"/>
        </w:rPr>
        <w:t>Greenyard Foods</w:t>
      </w:r>
      <w:r w:rsidRPr="00992199">
        <w:rPr>
          <w:szCs w:val="20"/>
          <w:lang w:eastAsia="en-GB"/>
        </w:rPr>
        <w:t xml:space="preserve"> as acquirer of the shares in </w:t>
      </w:r>
      <w:r w:rsidR="0082672E">
        <w:rPr>
          <w:szCs w:val="20"/>
          <w:lang w:eastAsia="en-GB"/>
        </w:rPr>
        <w:t>Univeg</w:t>
      </w:r>
      <w:r w:rsidRPr="00992199">
        <w:rPr>
          <w:szCs w:val="20"/>
          <w:lang w:eastAsia="en-GB"/>
        </w:rPr>
        <w:t xml:space="preserve"> (through the DWB Demerger and the </w:t>
      </w:r>
      <w:r w:rsidR="0082672E">
        <w:rPr>
          <w:szCs w:val="20"/>
          <w:lang w:eastAsia="en-GB"/>
        </w:rPr>
        <w:t>Univeg</w:t>
      </w:r>
      <w:r w:rsidRPr="00992199">
        <w:rPr>
          <w:szCs w:val="20"/>
          <w:lang w:eastAsia="en-GB"/>
        </w:rPr>
        <w:t xml:space="preserve"> Contribution) and Peatinvest (through the Peatinvest Contribution). It cannot be excluded that </w:t>
      </w:r>
      <w:r w:rsidR="002A1AB1">
        <w:rPr>
          <w:szCs w:val="20"/>
          <w:lang w:eastAsia="en-GB"/>
        </w:rPr>
        <w:t>Greenyard Foods</w:t>
      </w:r>
      <w:r w:rsidRPr="00992199">
        <w:rPr>
          <w:szCs w:val="20"/>
          <w:lang w:eastAsia="en-GB"/>
        </w:rPr>
        <w:t xml:space="preserve"> has to invoke these contractual provisions and has to file a claim for damages against the shareholders of </w:t>
      </w:r>
      <w:r w:rsidR="0082672E">
        <w:rPr>
          <w:szCs w:val="20"/>
          <w:lang w:eastAsia="en-GB"/>
        </w:rPr>
        <w:t>Univeg</w:t>
      </w:r>
      <w:r w:rsidRPr="00992199">
        <w:rPr>
          <w:szCs w:val="20"/>
          <w:lang w:eastAsia="en-GB"/>
        </w:rPr>
        <w:t xml:space="preserve"> and/or Peatinvest for a potential breach of the granted</w:t>
      </w:r>
      <w:r w:rsidR="002E649F">
        <w:rPr>
          <w:szCs w:val="20"/>
          <w:lang w:eastAsia="en-GB"/>
        </w:rPr>
        <w:t xml:space="preserve"> representations and warranties.</w:t>
      </w:r>
    </w:p>
    <w:p w:rsidR="002E649F" w:rsidRPr="00992199" w:rsidRDefault="002E649F" w:rsidP="003F0BC5">
      <w:pPr>
        <w:rPr>
          <w:szCs w:val="20"/>
        </w:rPr>
      </w:pPr>
      <w:r w:rsidRPr="002E649F">
        <w:rPr>
          <w:rFonts w:eastAsia="Calibri"/>
          <w:szCs w:val="20"/>
        </w:rPr>
        <w:t>The approval of the DWB Demerger will trigger a creditors’ protection procedure under the BCC. Creditors of the Company or DWB whose receivables came into existence prior to, and which have not yet become due and payable on the date of publication of the shareholders’ resolution in respect of the DWB Demerger</w:t>
      </w:r>
      <w:r w:rsidR="00C14169">
        <w:rPr>
          <w:rFonts w:eastAsia="Calibri"/>
          <w:szCs w:val="20"/>
        </w:rPr>
        <w:t xml:space="preserve"> </w:t>
      </w:r>
      <w:r w:rsidRPr="002E649F">
        <w:rPr>
          <w:rFonts w:eastAsia="Calibri"/>
          <w:szCs w:val="20"/>
        </w:rPr>
        <w:t xml:space="preserve">in the annexes to the </w:t>
      </w:r>
      <w:r w:rsidR="00D47467">
        <w:rPr>
          <w:rFonts w:eastAsia="Calibri"/>
          <w:szCs w:val="20"/>
        </w:rPr>
        <w:t>Belgian State Gazette</w:t>
      </w:r>
      <w:r w:rsidRPr="002E649F">
        <w:rPr>
          <w:rFonts w:eastAsia="Calibri"/>
          <w:szCs w:val="20"/>
        </w:rPr>
        <w:t xml:space="preserve"> (</w:t>
      </w:r>
      <w:r w:rsidRPr="002E649F">
        <w:rPr>
          <w:rFonts w:eastAsia="Calibri"/>
          <w:i/>
          <w:iCs/>
          <w:szCs w:val="20"/>
        </w:rPr>
        <w:t>Belgisch Staatsblad / Moniteur Belge</w:t>
      </w:r>
      <w:r w:rsidRPr="002E649F">
        <w:rPr>
          <w:rFonts w:eastAsia="Calibri"/>
          <w:szCs w:val="20"/>
        </w:rPr>
        <w:t>)) or for which proceedings have been initiated in a court of law or an arbitral tribunal before the date of the shareholders meetings of</w:t>
      </w:r>
      <w:r w:rsidRPr="002E649F">
        <w:t xml:space="preserve"> </w:t>
      </w:r>
      <w:r w:rsidRPr="002E649F">
        <w:rPr>
          <w:rFonts w:eastAsia="Calibri"/>
          <w:szCs w:val="20"/>
        </w:rPr>
        <w:t xml:space="preserve">the Company and DWB resolving upon the DWB Demerger, may request (additional) collateral in respect of such receivables. Such creditors are entitled to request (additional) collateral during a period of two months following the publication of the resolution in the </w:t>
      </w:r>
      <w:r w:rsidR="00D47467">
        <w:rPr>
          <w:rFonts w:eastAsia="Calibri"/>
          <w:szCs w:val="20"/>
        </w:rPr>
        <w:t>Belgian State Gazette</w:t>
      </w:r>
      <w:r w:rsidRPr="002E649F">
        <w:rPr>
          <w:rFonts w:eastAsia="Calibri"/>
          <w:szCs w:val="20"/>
        </w:rPr>
        <w:t xml:space="preserve"> (</w:t>
      </w:r>
      <w:r w:rsidRPr="002E649F">
        <w:rPr>
          <w:rFonts w:eastAsia="Calibri"/>
          <w:i/>
          <w:iCs/>
          <w:szCs w:val="20"/>
        </w:rPr>
        <w:t>Belgisch Staatsblad / Moniteur Belge</w:t>
      </w:r>
      <w:r w:rsidRPr="002E649F">
        <w:rPr>
          <w:rFonts w:eastAsia="Calibri"/>
          <w:szCs w:val="20"/>
        </w:rPr>
        <w:t>). The Company and/or DWB may also discharge any such creditor’s request by paying the receivable at its value less a discount for early payment. If no agreement has been reached or if the creditor has not been satisfied, the president of the commercial court, ruling in the form of summary proceedings, is to resolve upon the collateral to be provided, unless it has denied the creditor’s request for collateral on the ground that the creditor benefits from sufficient existing collateral or that the solvency profile of the Company does not justify a request for collateral. If the Company were required to provide (additional) collateral or repay any receivables, this could have a material adverse effect on its business, financial conditions, results of operations and prospects.</w:t>
      </w:r>
    </w:p>
    <w:p w:rsidR="003F0BC5" w:rsidRPr="00992199" w:rsidRDefault="003F0BC5" w:rsidP="00C14169">
      <w:pPr>
        <w:keepNext/>
        <w:rPr>
          <w:b/>
          <w:i/>
          <w:szCs w:val="20"/>
        </w:rPr>
      </w:pPr>
      <w:r w:rsidRPr="00992199">
        <w:rPr>
          <w:b/>
          <w:i/>
          <w:szCs w:val="20"/>
        </w:rPr>
        <w:t>The start of trading of the New Shares may be postponed.</w:t>
      </w:r>
    </w:p>
    <w:p w:rsidR="003F0BC5" w:rsidRPr="00992199" w:rsidRDefault="003F0BC5" w:rsidP="003F0BC5">
      <w:pPr>
        <w:rPr>
          <w:szCs w:val="20"/>
        </w:rPr>
      </w:pPr>
      <w:r w:rsidRPr="00992199">
        <w:rPr>
          <w:szCs w:val="20"/>
        </w:rPr>
        <w:t xml:space="preserve">The start of trading of the New Shares on the regulated market of Euronext Brussels is expected to start on </w:t>
      </w:r>
      <w:r w:rsidR="00351F80">
        <w:rPr>
          <w:szCs w:val="20"/>
        </w:rPr>
        <w:t>[19]</w:t>
      </w:r>
      <w:r w:rsidRPr="00992199">
        <w:rPr>
          <w:szCs w:val="20"/>
        </w:rPr>
        <w:t> June 2015. In the event that any of the approvals to be obtained for the completion of the Transactions would be delayed, trading of the New Shares may start later than the Closing Date.</w:t>
      </w:r>
    </w:p>
    <w:p w:rsidR="003F0BC5" w:rsidRPr="00E13084" w:rsidRDefault="002A1AB1" w:rsidP="00C14169">
      <w:pPr>
        <w:keepNext/>
        <w:rPr>
          <w:b/>
          <w:i/>
          <w:szCs w:val="20"/>
        </w:rPr>
      </w:pPr>
      <w:r w:rsidRPr="00E13084">
        <w:rPr>
          <w:b/>
          <w:i/>
          <w:szCs w:val="20"/>
        </w:rPr>
        <w:t>Greenyard Foods</w:t>
      </w:r>
      <w:r w:rsidR="003F0BC5" w:rsidRPr="00E13084">
        <w:rPr>
          <w:b/>
          <w:i/>
          <w:szCs w:val="20"/>
        </w:rPr>
        <w:t xml:space="preserve"> cannot guarantee a sustainable liquid market for the Shares.</w:t>
      </w:r>
    </w:p>
    <w:p w:rsidR="003F0BC5" w:rsidRPr="00992199" w:rsidRDefault="00B178C7" w:rsidP="003F0BC5">
      <w:pPr>
        <w:rPr>
          <w:szCs w:val="20"/>
          <w:lang w:bidi="as-IN"/>
        </w:rPr>
      </w:pPr>
      <w:r w:rsidRPr="00B178C7">
        <w:rPr>
          <w:szCs w:val="20"/>
          <w:lang w:bidi="as-IN"/>
        </w:rPr>
        <w:t xml:space="preserve">Despite the envisaged Secondary Sale </w:t>
      </w:r>
      <w:r>
        <w:rPr>
          <w:szCs w:val="20"/>
          <w:lang w:bidi="as-IN"/>
        </w:rPr>
        <w:t xml:space="preserve">(see </w:t>
      </w:r>
      <w:r w:rsidR="005F5D47">
        <w:rPr>
          <w:szCs w:val="20"/>
          <w:lang w:bidi="as-IN"/>
        </w:rPr>
        <w:t>Section</w:t>
      </w:r>
      <w:r>
        <w:rPr>
          <w:szCs w:val="20"/>
          <w:lang w:bidi="as-IN"/>
        </w:rPr>
        <w:t xml:space="preserve"> 1.5 of Part IV (</w:t>
      </w:r>
      <w:r>
        <w:rPr>
          <w:i/>
          <w:szCs w:val="20"/>
          <w:lang w:bidi="as-IN"/>
        </w:rPr>
        <w:t>The Contributions</w:t>
      </w:r>
      <w:r>
        <w:rPr>
          <w:szCs w:val="20"/>
          <w:lang w:bidi="as-IN"/>
        </w:rPr>
        <w:t>)</w:t>
      </w:r>
      <w:r w:rsidRPr="00B178C7">
        <w:rPr>
          <w:szCs w:val="20"/>
          <w:lang w:bidi="as-IN"/>
        </w:rPr>
        <w:t>, Greenyard Foods cannot guarantee that a liquid market for the Shares will develop or be maintained. The price of the Shares may fluctuate depending on the trading volume of the Shares and the balance between the buy and sell orders placed for the Shares. As a sustainable liquid market for the Shares may not be maintained, this could have an impact on the price of the Shares.</w:t>
      </w:r>
    </w:p>
    <w:p w:rsidR="003F0BC5" w:rsidRPr="00E13084" w:rsidRDefault="003F0BC5" w:rsidP="00C14169">
      <w:pPr>
        <w:keepNext/>
        <w:rPr>
          <w:b/>
          <w:i/>
          <w:szCs w:val="20"/>
        </w:rPr>
      </w:pPr>
      <w:r w:rsidRPr="00E13084">
        <w:rPr>
          <w:b/>
          <w:i/>
          <w:szCs w:val="20"/>
        </w:rPr>
        <w:t>Volatility of the Share price.</w:t>
      </w:r>
    </w:p>
    <w:p w:rsidR="003F0BC5" w:rsidRPr="00992199" w:rsidRDefault="003F0BC5" w:rsidP="003F0BC5">
      <w:pPr>
        <w:rPr>
          <w:szCs w:val="20"/>
          <w:lang w:bidi="as-IN"/>
        </w:rPr>
      </w:pPr>
      <w:r w:rsidRPr="00992199">
        <w:rPr>
          <w:szCs w:val="20"/>
          <w:lang w:bidi="as-IN"/>
        </w:rPr>
        <w:t>Over the past few years, the stock markets have been subject to wide price variations which are not always an accurate reflection of financial performance of the companies which shares are traded.</w:t>
      </w:r>
    </w:p>
    <w:p w:rsidR="003F0BC5" w:rsidRPr="00992199" w:rsidRDefault="003F0BC5" w:rsidP="003F0BC5">
      <w:pPr>
        <w:rPr>
          <w:szCs w:val="20"/>
          <w:lang w:bidi="as-IN"/>
        </w:rPr>
      </w:pPr>
      <w:r w:rsidRPr="00992199">
        <w:rPr>
          <w:szCs w:val="20"/>
          <w:lang w:bidi="as-IN"/>
        </w:rPr>
        <w:t>Fluctuations in the stock markets, economic cycles and ongoing financial transactions can increase the volatility of the price of the Shares.</w:t>
      </w:r>
    </w:p>
    <w:p w:rsidR="003F0BC5" w:rsidRPr="00992199" w:rsidRDefault="003F0BC5" w:rsidP="003F0BC5">
      <w:pPr>
        <w:rPr>
          <w:szCs w:val="20"/>
          <w:lang w:bidi="as-IN"/>
        </w:rPr>
      </w:pPr>
      <w:r w:rsidRPr="00992199">
        <w:rPr>
          <w:szCs w:val="20"/>
          <w:lang w:bidi="as-IN"/>
        </w:rPr>
        <w:t xml:space="preserve">The current price of the Shares, the price of the New Shares immediately after completion of the Transactions and the price of the Shares offered in the framework of the Secondary Sale may not be indicative of the price of the Shares on the stock exchange after the Transactions and the Secondary Sale. The trading price of the Shares could be subject to fluctuations in response to changes, developments or publications concerning the </w:t>
      </w:r>
      <w:r w:rsidR="00E13084">
        <w:rPr>
          <w:szCs w:val="20"/>
        </w:rPr>
        <w:t xml:space="preserve">Combined Greenyard </w:t>
      </w:r>
      <w:r w:rsidR="002A1AB1">
        <w:rPr>
          <w:szCs w:val="20"/>
          <w:lang w:bidi="as-IN"/>
        </w:rPr>
        <w:t>Foods</w:t>
      </w:r>
      <w:r w:rsidRPr="00992199">
        <w:rPr>
          <w:szCs w:val="20"/>
          <w:lang w:bidi="as-IN"/>
        </w:rPr>
        <w:t xml:space="preserve"> Group. In addition, stock market prices and trading volumes could be materially impacted by economic, monetary and financial factors. Such volatility can significantly affect the share price of many companies, regardless of their actual performance.</w:t>
      </w:r>
    </w:p>
    <w:p w:rsidR="003F0BC5" w:rsidRPr="00E13084" w:rsidRDefault="003F0BC5" w:rsidP="00C14169">
      <w:pPr>
        <w:keepNext/>
        <w:rPr>
          <w:b/>
          <w:i/>
          <w:szCs w:val="20"/>
        </w:rPr>
      </w:pPr>
      <w:r w:rsidRPr="00E13084">
        <w:rPr>
          <w:b/>
          <w:i/>
          <w:szCs w:val="20"/>
        </w:rPr>
        <w:t>Future sales of a significant number of Shares, any capital increase of the Company or the perception that such transactions could occur, could have a material adverse effect on the stock market price of the Shares.</w:t>
      </w:r>
    </w:p>
    <w:p w:rsidR="003F0BC5" w:rsidRPr="00992199" w:rsidRDefault="003F0BC5" w:rsidP="003F0BC5">
      <w:pPr>
        <w:rPr>
          <w:szCs w:val="20"/>
          <w:lang w:bidi="as-IN"/>
        </w:rPr>
      </w:pPr>
      <w:r w:rsidRPr="00992199">
        <w:rPr>
          <w:szCs w:val="20"/>
          <w:lang w:bidi="as-IN"/>
        </w:rPr>
        <w:t>A future sale of a substantial number of Shares through the Secondary Sale (or otherwise) or on the stock market should other major shareholders also decide to sell substantial numbers of Shares at the same time, could have a material adverse effect on the price of the Shares.</w:t>
      </w:r>
    </w:p>
    <w:p w:rsidR="003F0BC5" w:rsidRPr="00992199" w:rsidRDefault="003F0BC5" w:rsidP="003F0BC5">
      <w:pPr>
        <w:rPr>
          <w:szCs w:val="20"/>
          <w:lang w:bidi="as-IN"/>
        </w:rPr>
      </w:pPr>
      <w:r w:rsidRPr="00992199">
        <w:rPr>
          <w:szCs w:val="20"/>
          <w:lang w:bidi="as-IN"/>
        </w:rPr>
        <w:t xml:space="preserve">Furthermore, regardless of the underlying objectives of the selling shareholders as mentioned under Section </w:t>
      </w:r>
      <w:r w:rsidR="0007306E">
        <w:rPr>
          <w:szCs w:val="20"/>
          <w:lang w:bidi="as-IN"/>
        </w:rPr>
        <w:fldChar w:fldCharType="begin"/>
      </w:r>
      <w:r w:rsidR="0007306E">
        <w:rPr>
          <w:szCs w:val="20"/>
          <w:lang w:bidi="as-IN"/>
        </w:rPr>
        <w:instrText xml:space="preserve"> REF _Ref418401665 \r \h </w:instrText>
      </w:r>
      <w:r w:rsidR="0007306E">
        <w:rPr>
          <w:szCs w:val="20"/>
          <w:lang w:bidi="as-IN"/>
        </w:rPr>
      </w:r>
      <w:r w:rsidR="0007306E">
        <w:rPr>
          <w:szCs w:val="20"/>
          <w:lang w:bidi="as-IN"/>
        </w:rPr>
        <w:fldChar w:fldCharType="separate"/>
      </w:r>
      <w:r w:rsidR="009859A6">
        <w:rPr>
          <w:szCs w:val="20"/>
          <w:lang w:bidi="as-IN"/>
        </w:rPr>
        <w:t>1.5</w:t>
      </w:r>
      <w:r w:rsidR="0007306E">
        <w:rPr>
          <w:szCs w:val="20"/>
          <w:lang w:bidi="as-IN"/>
        </w:rPr>
        <w:fldChar w:fldCharType="end"/>
      </w:r>
      <w:r w:rsidRPr="00992199">
        <w:rPr>
          <w:szCs w:val="20"/>
          <w:lang w:bidi="as-IN"/>
        </w:rPr>
        <w:t xml:space="preserve"> of Part IV (</w:t>
      </w:r>
      <w:r w:rsidRPr="00992199">
        <w:rPr>
          <w:i/>
          <w:szCs w:val="20"/>
          <w:lang w:bidi="as-IN"/>
        </w:rPr>
        <w:t>The Contributions</w:t>
      </w:r>
      <w:r w:rsidRPr="00992199">
        <w:rPr>
          <w:szCs w:val="20"/>
          <w:lang w:bidi="as-IN"/>
        </w:rPr>
        <w:t xml:space="preserve">) this Prospectus, the Secondary Sale could be negatively perceived by the market [and could </w:t>
      </w:r>
      <w:r w:rsidR="00A431F0" w:rsidRPr="00A431F0">
        <w:rPr>
          <w:i/>
          <w:szCs w:val="20"/>
          <w:lang w:bidi="as-IN"/>
        </w:rPr>
        <w:t>e.g.,</w:t>
      </w:r>
      <w:r w:rsidR="00A431F0">
        <w:rPr>
          <w:szCs w:val="20"/>
          <w:lang w:bidi="as-IN"/>
        </w:rPr>
        <w:t xml:space="preserve"> </w:t>
      </w:r>
      <w:r w:rsidRPr="00992199">
        <w:rPr>
          <w:szCs w:val="20"/>
          <w:lang w:bidi="as-IN"/>
        </w:rPr>
        <w:t xml:space="preserve">be considered as a token of lack of confidence by some reference shareholders in a long-term </w:t>
      </w:r>
      <w:r w:rsidRPr="00992199">
        <w:rPr>
          <w:szCs w:val="20"/>
          <w:lang w:bidi="as-IN"/>
        </w:rPr>
        <w:lastRenderedPageBreak/>
        <w:t xml:space="preserve">view of the </w:t>
      </w:r>
      <w:r w:rsidR="0055687C">
        <w:rPr>
          <w:szCs w:val="20"/>
          <w:lang w:bidi="as-IN"/>
        </w:rPr>
        <w:t>Company</w:t>
      </w:r>
      <w:r w:rsidRPr="00992199">
        <w:rPr>
          <w:szCs w:val="20"/>
          <w:lang w:bidi="as-IN"/>
        </w:rPr>
        <w:t xml:space="preserve">]. Accordingly, such sales could make it more difficult for </w:t>
      </w:r>
      <w:r w:rsidR="002A1AB1">
        <w:rPr>
          <w:szCs w:val="20"/>
          <w:lang w:bidi="as-IN"/>
        </w:rPr>
        <w:t>Greenyard Foods</w:t>
      </w:r>
      <w:r w:rsidRPr="00992199">
        <w:rPr>
          <w:szCs w:val="20"/>
          <w:lang w:bidi="as-IN"/>
        </w:rPr>
        <w:t xml:space="preserve"> to issue or to sell Shares at a future point in time and at a price that it finds appropriate.</w:t>
      </w:r>
    </w:p>
    <w:p w:rsidR="003F0BC5" w:rsidRPr="00992199" w:rsidRDefault="003F0BC5" w:rsidP="003F0BC5">
      <w:pPr>
        <w:rPr>
          <w:szCs w:val="20"/>
        </w:rPr>
      </w:pPr>
      <w:r w:rsidRPr="00992199">
        <w:rPr>
          <w:szCs w:val="20"/>
        </w:rPr>
        <w:t xml:space="preserve">During the lock-up period as set out under Section </w:t>
      </w:r>
      <w:r w:rsidR="0007306E">
        <w:rPr>
          <w:szCs w:val="20"/>
        </w:rPr>
        <w:fldChar w:fldCharType="begin"/>
      </w:r>
      <w:r w:rsidR="0007306E">
        <w:rPr>
          <w:szCs w:val="20"/>
        </w:rPr>
        <w:instrText xml:space="preserve"> REF _Ref418401709 \r \h </w:instrText>
      </w:r>
      <w:r w:rsidR="0007306E">
        <w:rPr>
          <w:szCs w:val="20"/>
        </w:rPr>
      </w:r>
      <w:r w:rsidR="0007306E">
        <w:rPr>
          <w:szCs w:val="20"/>
        </w:rPr>
        <w:fldChar w:fldCharType="separate"/>
      </w:r>
      <w:r w:rsidR="009859A6">
        <w:rPr>
          <w:szCs w:val="20"/>
        </w:rPr>
        <w:t>1.4.2.2</w:t>
      </w:r>
      <w:r w:rsidR="0007306E">
        <w:rPr>
          <w:szCs w:val="20"/>
        </w:rPr>
        <w:fldChar w:fldCharType="end"/>
      </w:r>
      <w:r w:rsidRPr="00992199">
        <w:rPr>
          <w:szCs w:val="20"/>
        </w:rPr>
        <w:t xml:space="preserve"> of Part IV (</w:t>
      </w:r>
      <w:r w:rsidRPr="0007306E">
        <w:rPr>
          <w:i/>
          <w:szCs w:val="20"/>
        </w:rPr>
        <w:t>The Contributions</w:t>
      </w:r>
      <w:r w:rsidRPr="00992199">
        <w:rPr>
          <w:szCs w:val="20"/>
        </w:rPr>
        <w:t xml:space="preserve">) </w:t>
      </w:r>
      <w:r w:rsidR="000F59DA">
        <w:rPr>
          <w:szCs w:val="20"/>
        </w:rPr>
        <w:t xml:space="preserve">of </w:t>
      </w:r>
      <w:r w:rsidRPr="00992199">
        <w:rPr>
          <w:szCs w:val="20"/>
        </w:rPr>
        <w:t xml:space="preserve">this Prospectus, Deprez Holding and Gimv-XL will be prevented from selling Shares other than the Shares they will sell in the context of the Secondary Sale. Following the expiry of </w:t>
      </w:r>
      <w:r w:rsidR="00A07615" w:rsidRPr="00992199">
        <w:rPr>
          <w:szCs w:val="20"/>
        </w:rPr>
        <w:t>such</w:t>
      </w:r>
      <w:r w:rsidRPr="00992199">
        <w:rPr>
          <w:szCs w:val="20"/>
        </w:rPr>
        <w:t xml:space="preserve"> lock-up period, they will be free to sell additional Shares. Any future sales of blocks of Shares, or any rumours relating to such sales, could cause the price of the Shares to fall.</w:t>
      </w:r>
    </w:p>
    <w:p w:rsidR="003F0BC5" w:rsidRPr="00992199" w:rsidRDefault="003F0BC5" w:rsidP="003F0BC5">
      <w:pPr>
        <w:rPr>
          <w:szCs w:val="20"/>
        </w:rPr>
      </w:pPr>
      <w:r w:rsidRPr="00992199">
        <w:rPr>
          <w:szCs w:val="20"/>
        </w:rPr>
        <w:t>The Company may in the future increase its share capital against cash or contributions in kind to finance any future acquisition or other investment or to strengthen its balance sheet. In connection with such transactions, the Company may, subject to certain conditions, limit or cancel the preferential subscription rights of the existing shareholders otherwise applicable to capital increases through contributions in cash, while no preferential subscription rights apply to capital increases through contributions in kind. Such transactions could therefore dilute the stakes in the Company’s share capital held by the shareholders at that time and could have a negative impact on the share price, earnings per Share and net asset value per Share.</w:t>
      </w:r>
    </w:p>
    <w:p w:rsidR="003F0BC5" w:rsidRPr="00E13084" w:rsidRDefault="003F0BC5" w:rsidP="00C14169">
      <w:pPr>
        <w:keepNext/>
        <w:rPr>
          <w:b/>
          <w:i/>
          <w:szCs w:val="20"/>
        </w:rPr>
      </w:pPr>
      <w:r w:rsidRPr="00E13084">
        <w:rPr>
          <w:b/>
          <w:i/>
          <w:szCs w:val="20"/>
        </w:rPr>
        <w:t xml:space="preserve">The interests of the reference shareholders of </w:t>
      </w:r>
      <w:r w:rsidR="002A1AB1" w:rsidRPr="00E13084">
        <w:rPr>
          <w:b/>
          <w:i/>
          <w:szCs w:val="20"/>
        </w:rPr>
        <w:t>Greenyard Foods</w:t>
      </w:r>
      <w:r w:rsidRPr="00E13084">
        <w:rPr>
          <w:b/>
          <w:i/>
          <w:szCs w:val="20"/>
        </w:rPr>
        <w:t xml:space="preserve"> may differ from </w:t>
      </w:r>
      <w:r w:rsidR="002A1AB1" w:rsidRPr="00E13084">
        <w:rPr>
          <w:b/>
          <w:i/>
          <w:szCs w:val="20"/>
        </w:rPr>
        <w:t>Greenyard Foods</w:t>
      </w:r>
      <w:r w:rsidRPr="00E13084">
        <w:rPr>
          <w:b/>
          <w:i/>
          <w:szCs w:val="20"/>
        </w:rPr>
        <w:t>’s or other shareholders’ interests but these reference shareholders guarantee a stable shareholding.</w:t>
      </w:r>
    </w:p>
    <w:p w:rsidR="003F0BC5" w:rsidRPr="00992199" w:rsidRDefault="003F0BC5" w:rsidP="003F0BC5">
      <w:pPr>
        <w:rPr>
          <w:szCs w:val="20"/>
          <w:lang w:bidi="as-IN"/>
        </w:rPr>
      </w:pPr>
      <w:r w:rsidRPr="00992199">
        <w:rPr>
          <w:szCs w:val="20"/>
          <w:lang w:bidi="as-IN"/>
        </w:rPr>
        <w:t>A number of Shares belongs to a limited number of reference shareholders</w:t>
      </w:r>
      <w:r w:rsidR="00D01B48">
        <w:rPr>
          <w:szCs w:val="20"/>
          <w:lang w:bidi="as-IN"/>
        </w:rPr>
        <w:t xml:space="preserve"> that are </w:t>
      </w:r>
      <w:r w:rsidR="00D01B48" w:rsidRPr="003D1D9A">
        <w:rPr>
          <w:rFonts w:eastAsia="SimSun"/>
          <w:szCs w:val="20"/>
          <w:lang w:val="en-US"/>
        </w:rPr>
        <w:t>affiliates of the Deprez family</w:t>
      </w:r>
      <w:r w:rsidRPr="00992199">
        <w:rPr>
          <w:szCs w:val="20"/>
          <w:lang w:bidi="as-IN"/>
        </w:rPr>
        <w:t xml:space="preserve">. For an overview of </w:t>
      </w:r>
      <w:r w:rsidR="002A1AB1">
        <w:rPr>
          <w:szCs w:val="20"/>
          <w:lang w:bidi="as-IN"/>
        </w:rPr>
        <w:t>Greenyard Foods</w:t>
      </w:r>
      <w:r w:rsidRPr="00992199">
        <w:rPr>
          <w:szCs w:val="20"/>
          <w:lang w:bidi="as-IN"/>
        </w:rPr>
        <w:t>’ reference shareholders please refer to Part VII (</w:t>
      </w:r>
      <w:r w:rsidRPr="00992199">
        <w:rPr>
          <w:i/>
          <w:szCs w:val="20"/>
          <w:lang w:bidi="as-IN"/>
        </w:rPr>
        <w:t xml:space="preserve">Description of the Shares and articles of association of </w:t>
      </w:r>
      <w:r w:rsidR="002A1AB1">
        <w:rPr>
          <w:i/>
          <w:szCs w:val="20"/>
          <w:lang w:bidi="as-IN"/>
        </w:rPr>
        <w:t>Greenyard Foods</w:t>
      </w:r>
      <w:r w:rsidRPr="00992199">
        <w:rPr>
          <w:szCs w:val="20"/>
          <w:lang w:bidi="as-IN"/>
        </w:rPr>
        <w:t>).</w:t>
      </w:r>
    </w:p>
    <w:p w:rsidR="003F0BC5" w:rsidRPr="00992199" w:rsidRDefault="003F0BC5" w:rsidP="003F0BC5">
      <w:pPr>
        <w:rPr>
          <w:szCs w:val="20"/>
          <w:lang w:bidi="as-IN"/>
        </w:rPr>
      </w:pPr>
      <w:r w:rsidRPr="00992199">
        <w:rPr>
          <w:szCs w:val="20"/>
          <w:lang w:bidi="as-IN"/>
        </w:rPr>
        <w:t xml:space="preserve">The reference shareholders may exercise a decisive influence on the adoption of shareholders’ resolutions. To the extent that certain reference shareholders would conclude voting agreements or would have the same voting behaviour, they may hold sufficient votes to appoint and dismiss directors and to take other shareholders’ resolutions which require (more than) 50%, 75% or 80% of the votes of the shareholders who are present or represented at </w:t>
      </w:r>
      <w:r w:rsidR="00AA3763">
        <w:rPr>
          <w:szCs w:val="20"/>
          <w:lang w:bidi="as-IN"/>
        </w:rPr>
        <w:t>general shareholders’ meeting</w:t>
      </w:r>
      <w:r w:rsidRPr="00992199">
        <w:rPr>
          <w:szCs w:val="20"/>
          <w:lang w:bidi="as-IN"/>
        </w:rPr>
        <w:t xml:space="preserve">s. Moreover, the reference shareholders can block proposals of shareholders’ resolutions that require (more than) 50%, 75% or 80% of the votes of the shareholders who are present or represented at the </w:t>
      </w:r>
      <w:r w:rsidR="00AA3763">
        <w:rPr>
          <w:szCs w:val="20"/>
          <w:lang w:bidi="as-IN"/>
        </w:rPr>
        <w:t>general shareholders’ meeting</w:t>
      </w:r>
      <w:r w:rsidRPr="00992199">
        <w:rPr>
          <w:szCs w:val="20"/>
          <w:lang w:bidi="as-IN"/>
        </w:rPr>
        <w:t xml:space="preserve">s. The voting behaviour of these reference shareholders may not be in line with the interests of the other shareholders or of </w:t>
      </w:r>
      <w:r w:rsidR="002A1AB1">
        <w:rPr>
          <w:szCs w:val="20"/>
          <w:lang w:bidi="as-IN"/>
        </w:rPr>
        <w:t>Greenyard Foods</w:t>
      </w:r>
      <w:r w:rsidRPr="00992199">
        <w:rPr>
          <w:szCs w:val="20"/>
          <w:lang w:bidi="as-IN"/>
        </w:rPr>
        <w:t>.</w:t>
      </w:r>
    </w:p>
    <w:p w:rsidR="003F0BC5" w:rsidRPr="00D01B48" w:rsidRDefault="003F0BC5" w:rsidP="003F0BC5">
      <w:r w:rsidRPr="00992199">
        <w:rPr>
          <w:szCs w:val="20"/>
          <w:lang w:bidi="as-IN"/>
        </w:rPr>
        <w:t xml:space="preserve">Furthermore, the </w:t>
      </w:r>
      <w:r w:rsidR="00E13084">
        <w:rPr>
          <w:szCs w:val="20"/>
        </w:rPr>
        <w:t xml:space="preserve">Combined Greenyard </w:t>
      </w:r>
      <w:r w:rsidR="002A1AB1">
        <w:rPr>
          <w:szCs w:val="20"/>
          <w:lang w:bidi="as-IN"/>
        </w:rPr>
        <w:t>Foods</w:t>
      </w:r>
      <w:r w:rsidRPr="00992199">
        <w:rPr>
          <w:szCs w:val="20"/>
          <w:lang w:bidi="as-IN"/>
        </w:rPr>
        <w:t xml:space="preserve"> Group has engaged and may continue to engage in related party transactions that are important to its business, including with parties under the common control of </w:t>
      </w:r>
      <w:r w:rsidR="002A1AB1">
        <w:rPr>
          <w:szCs w:val="20"/>
          <w:lang w:bidi="as-IN"/>
        </w:rPr>
        <w:t>Greenyard Foods</w:t>
      </w:r>
      <w:r w:rsidRPr="00992199">
        <w:rPr>
          <w:szCs w:val="20"/>
          <w:lang w:bidi="as-IN"/>
        </w:rPr>
        <w:t xml:space="preserve">’s reference shareholders such as the </w:t>
      </w:r>
      <w:r w:rsidR="00B80FCE">
        <w:rPr>
          <w:szCs w:val="20"/>
          <w:lang w:bidi="as-IN"/>
        </w:rPr>
        <w:t>Argentinean Operations</w:t>
      </w:r>
      <w:r w:rsidR="00D01B48">
        <w:rPr>
          <w:szCs w:val="20"/>
          <w:lang w:bidi="as-IN"/>
        </w:rPr>
        <w:t>,</w:t>
      </w:r>
      <w:r w:rsidR="000F59DA">
        <w:rPr>
          <w:szCs w:val="20"/>
          <w:lang w:bidi="as-IN"/>
        </w:rPr>
        <w:t xml:space="preserve"> </w:t>
      </w:r>
      <w:r w:rsidRPr="00992199">
        <w:rPr>
          <w:szCs w:val="20"/>
          <w:lang w:bidi="as-IN"/>
        </w:rPr>
        <w:t>The Fruit Farm Group</w:t>
      </w:r>
      <w:r w:rsidR="00D01B48">
        <w:rPr>
          <w:szCs w:val="20"/>
          <w:lang w:bidi="as-IN"/>
        </w:rPr>
        <w:t xml:space="preserve"> and Lincsflora</w:t>
      </w:r>
      <w:r w:rsidRPr="00992199">
        <w:rPr>
          <w:szCs w:val="20"/>
          <w:lang w:bidi="as-IN"/>
        </w:rPr>
        <w:t>. See Part VIII (</w:t>
      </w:r>
      <w:r w:rsidRPr="00992199">
        <w:rPr>
          <w:i/>
          <w:szCs w:val="20"/>
          <w:lang w:bidi="as-IN"/>
        </w:rPr>
        <w:t>Related Party Transactions</w:t>
      </w:r>
      <w:r w:rsidRPr="00992199">
        <w:rPr>
          <w:szCs w:val="20"/>
          <w:lang w:bidi="as-IN"/>
        </w:rPr>
        <w:t xml:space="preserve">). In particular, in 2012 and in 2014, respectively, the Univeg Group’s shareholders separated the Univeg Group from the </w:t>
      </w:r>
      <w:r w:rsidR="00B80FCE">
        <w:rPr>
          <w:szCs w:val="20"/>
          <w:lang w:bidi="as-IN"/>
        </w:rPr>
        <w:t>Argentinean Operations</w:t>
      </w:r>
      <w:r w:rsidRPr="00992199">
        <w:rPr>
          <w:szCs w:val="20"/>
          <w:lang w:bidi="as-IN"/>
        </w:rPr>
        <w:t xml:space="preserve"> and The Fruit Farm Group in order to improve the financial position of the Univeg Group while retaining the ability to source produce from the region. See Part VIII (</w:t>
      </w:r>
      <w:r w:rsidRPr="00992199">
        <w:rPr>
          <w:i/>
          <w:szCs w:val="20"/>
          <w:lang w:bidi="as-IN"/>
        </w:rPr>
        <w:t>Related Party Transactions</w:t>
      </w:r>
      <w:r w:rsidR="00B80FCE">
        <w:rPr>
          <w:szCs w:val="20"/>
          <w:lang w:bidi="as-IN"/>
        </w:rPr>
        <w:t xml:space="preserve">). </w:t>
      </w:r>
      <w:r w:rsidRPr="00992199">
        <w:rPr>
          <w:szCs w:val="20"/>
          <w:lang w:bidi="as-IN"/>
        </w:rPr>
        <w:t xml:space="preserve">The divestment of The Fruit Farm Group might also adversely affect the perception of the Univeg Group in the market as a vertically integrated player as the Univeg Group believes a considerable amount of its credibility – both with suppliers and food retailers – lies in its local knowledge and ability to act as a </w:t>
      </w:r>
      <w:r w:rsidR="00BF553B">
        <w:rPr>
          <w:szCs w:val="20"/>
          <w:lang w:bidi="as-IN"/>
        </w:rPr>
        <w:t>“</w:t>
      </w:r>
      <w:r w:rsidRPr="00992199">
        <w:rPr>
          <w:szCs w:val="20"/>
          <w:lang w:bidi="as-IN"/>
        </w:rPr>
        <w:t>d</w:t>
      </w:r>
      <w:r w:rsidR="00B80FCE">
        <w:rPr>
          <w:szCs w:val="20"/>
          <w:lang w:bidi="as-IN"/>
        </w:rPr>
        <w:t>irect connection to the field.</w:t>
      </w:r>
      <w:r w:rsidR="00BF553B">
        <w:rPr>
          <w:szCs w:val="20"/>
          <w:lang w:bidi="as-IN"/>
        </w:rPr>
        <w:t>”</w:t>
      </w:r>
      <w:r w:rsidR="00F13D58">
        <w:rPr>
          <w:szCs w:val="20"/>
          <w:lang w:bidi="as-IN"/>
        </w:rPr>
        <w:t xml:space="preserve"> </w:t>
      </w:r>
      <w:r w:rsidR="00D01B48">
        <w:rPr>
          <w:szCs w:val="20"/>
          <w:lang w:bidi="as-IN"/>
        </w:rPr>
        <w:t>Finally, while most of these entities have been sold by the Univeg Group under a limited set of contractual representations and warranties, it cannot be excluded that such entities seek recourse or support from the Univeg Group in the future, which, through the common ownership of certain reference shareholders, is a related party.</w:t>
      </w:r>
    </w:p>
    <w:p w:rsidR="003F0BC5" w:rsidRPr="00E13084" w:rsidRDefault="003F0BC5" w:rsidP="00C14169">
      <w:pPr>
        <w:keepNext/>
        <w:rPr>
          <w:b/>
          <w:i/>
          <w:szCs w:val="20"/>
        </w:rPr>
      </w:pPr>
      <w:r w:rsidRPr="00E13084">
        <w:rPr>
          <w:b/>
          <w:i/>
          <w:szCs w:val="20"/>
        </w:rPr>
        <w:t xml:space="preserve">It is possible that </w:t>
      </w:r>
      <w:r w:rsidR="002A1AB1" w:rsidRPr="00E13084">
        <w:rPr>
          <w:b/>
          <w:i/>
          <w:szCs w:val="20"/>
        </w:rPr>
        <w:t>Greenyard Foods</w:t>
      </w:r>
      <w:r w:rsidRPr="00E13084">
        <w:rPr>
          <w:b/>
          <w:i/>
          <w:szCs w:val="20"/>
        </w:rPr>
        <w:t xml:space="preserve"> is unable to pay dividends.</w:t>
      </w:r>
    </w:p>
    <w:p w:rsidR="003F0BC5" w:rsidRDefault="002A1AB1" w:rsidP="003F0BC5">
      <w:pPr>
        <w:rPr>
          <w:szCs w:val="20"/>
          <w:lang w:bidi="as-IN"/>
        </w:rPr>
      </w:pPr>
      <w:r>
        <w:rPr>
          <w:szCs w:val="20"/>
          <w:lang w:bidi="as-IN"/>
        </w:rPr>
        <w:t>Greenyard Foods</w:t>
      </w:r>
      <w:r w:rsidR="003F0BC5" w:rsidRPr="00992199">
        <w:rPr>
          <w:szCs w:val="20"/>
          <w:lang w:bidi="as-IN"/>
        </w:rPr>
        <w:t xml:space="preserve"> cannot guarantee that it will pay dividends in the future. The payment of dividends will depend on factors such as the business outlook, cash flow requirements and </w:t>
      </w:r>
      <w:r>
        <w:rPr>
          <w:szCs w:val="20"/>
          <w:lang w:bidi="as-IN"/>
        </w:rPr>
        <w:t>Greenyard Foods</w:t>
      </w:r>
      <w:r w:rsidR="003F0BC5" w:rsidRPr="00992199">
        <w:rPr>
          <w:szCs w:val="20"/>
          <w:lang w:bidi="as-IN"/>
        </w:rPr>
        <w:t xml:space="preserve">’s financial performance, the state of the market and the general economic climate and other factors, including tax and other regulatory considerations.In addition, </w:t>
      </w:r>
      <w:r>
        <w:rPr>
          <w:szCs w:val="20"/>
          <w:lang w:bidi="as-IN"/>
        </w:rPr>
        <w:t>Greenyard Foods</w:t>
      </w:r>
      <w:r w:rsidR="003F0BC5" w:rsidRPr="00992199">
        <w:rPr>
          <w:szCs w:val="20"/>
          <w:lang w:bidi="as-IN"/>
        </w:rPr>
        <w:t xml:space="preserve"> must, under Belgian law and its Articles of Association, before it proceeds with any dividend payment, </w:t>
      </w:r>
      <w:r w:rsidR="003F0BC5" w:rsidRPr="00D51F51">
        <w:rPr>
          <w:szCs w:val="20"/>
          <w:lang w:bidi="as-IN"/>
        </w:rPr>
        <w:t xml:space="preserve">add an amount of 5% of its annual net profit to a legal reserve in its Belgian GAAP financial statements until the reserve reaches 10% of </w:t>
      </w:r>
      <w:r>
        <w:rPr>
          <w:szCs w:val="20"/>
          <w:lang w:bidi="as-IN"/>
        </w:rPr>
        <w:t>Greenyard Foods</w:t>
      </w:r>
      <w:r w:rsidR="003F0BC5" w:rsidRPr="00D51F51">
        <w:rPr>
          <w:szCs w:val="20"/>
          <w:lang w:bidi="as-IN"/>
        </w:rPr>
        <w:t xml:space="preserve">’s share capital, in accordance with Belgian accounting principles. </w:t>
      </w:r>
      <w:r w:rsidR="005B6FDE">
        <w:rPr>
          <w:rFonts w:eastAsia="Calibri"/>
          <w:szCs w:val="20"/>
          <w:lang w:bidi="as-IN"/>
        </w:rPr>
        <w:t xml:space="preserve">Until today, the legal reserve does not reach 10% of the share capital of the Company. </w:t>
      </w:r>
      <w:r w:rsidR="003F0BC5" w:rsidRPr="00992199">
        <w:rPr>
          <w:szCs w:val="20"/>
          <w:lang w:bidi="as-IN"/>
        </w:rPr>
        <w:t>Accordingly, 5% of the annual net profit will need to be allocated to the legal reserve in the coming years</w:t>
      </w:r>
      <w:r w:rsidR="000F59DA">
        <w:rPr>
          <w:szCs w:val="20"/>
          <w:lang w:bidi="as-IN"/>
        </w:rPr>
        <w:t xml:space="preserve"> until the legal reserve equals 10% of the share capital of the Company</w:t>
      </w:r>
      <w:r w:rsidR="003F0BC5" w:rsidRPr="00992199">
        <w:rPr>
          <w:szCs w:val="20"/>
          <w:lang w:bidi="as-IN"/>
        </w:rPr>
        <w:t xml:space="preserve">, in accordance with Belgian accounting principles, </w:t>
      </w:r>
      <w:r w:rsidR="005B6FDE">
        <w:rPr>
          <w:szCs w:val="20"/>
          <w:lang w:bidi="as-IN"/>
        </w:rPr>
        <w:t>which needs to be taken into consideration when dividends are paid to shareholders</w:t>
      </w:r>
      <w:r w:rsidR="003F0BC5" w:rsidRPr="00992199">
        <w:rPr>
          <w:szCs w:val="20"/>
          <w:lang w:bidi="as-IN"/>
        </w:rPr>
        <w:t>.</w:t>
      </w:r>
    </w:p>
    <w:p w:rsidR="00D01B48" w:rsidRPr="00992199" w:rsidRDefault="00D01B48" w:rsidP="003F0BC5">
      <w:pPr>
        <w:rPr>
          <w:szCs w:val="20"/>
          <w:lang w:bidi="as-IN"/>
        </w:rPr>
      </w:pPr>
      <w:r>
        <w:rPr>
          <w:szCs w:val="20"/>
          <w:lang w:bidi="as-IN"/>
        </w:rPr>
        <w:t xml:space="preserve">It is furthermore the case that certain divisions of the Combined </w:t>
      </w:r>
      <w:r w:rsidR="002A1AB1">
        <w:rPr>
          <w:szCs w:val="20"/>
          <w:lang w:bidi="as-IN"/>
        </w:rPr>
        <w:t xml:space="preserve">Greenyard Foods </w:t>
      </w:r>
      <w:r>
        <w:rPr>
          <w:szCs w:val="20"/>
          <w:lang w:bidi="as-IN"/>
        </w:rPr>
        <w:t xml:space="preserve">Group have, in their financing documentation, contractual restrictions on their ability to pay or upstream dividends, and can only do so subject to certain interest cover ratio’s and other thresholds being met or subject to certain limitative baskets. </w:t>
      </w:r>
    </w:p>
    <w:p w:rsidR="003F0BC5" w:rsidRPr="00E13084" w:rsidRDefault="003F0BC5" w:rsidP="00C14169">
      <w:pPr>
        <w:keepNext/>
        <w:rPr>
          <w:b/>
          <w:i/>
          <w:szCs w:val="20"/>
        </w:rPr>
      </w:pPr>
      <w:r w:rsidRPr="00E13084">
        <w:rPr>
          <w:b/>
          <w:i/>
          <w:szCs w:val="20"/>
        </w:rPr>
        <w:lastRenderedPageBreak/>
        <w:t>Certain provisions of the Belgian Companies Code and of the Articles of Association can have an impact on potential takeover attempts and the stock market price of the Shares.</w:t>
      </w:r>
    </w:p>
    <w:p w:rsidR="003F0BC5" w:rsidRPr="00992199" w:rsidRDefault="003F0BC5" w:rsidP="003F0BC5">
      <w:pPr>
        <w:rPr>
          <w:szCs w:val="20"/>
          <w:lang w:bidi="as-IN"/>
        </w:rPr>
      </w:pPr>
      <w:r w:rsidRPr="00992199">
        <w:rPr>
          <w:szCs w:val="20"/>
          <w:lang w:bidi="as-IN"/>
        </w:rPr>
        <w:t xml:space="preserve">There are several provisions of Belgian company law, and certain other provisions of Belgian law and of the Articles of Association, such as those in connection with the obligation of disclosing major shareholdings, merger control and the authorised capital, which may be applicable to </w:t>
      </w:r>
      <w:r w:rsidR="002A1AB1">
        <w:rPr>
          <w:szCs w:val="20"/>
          <w:lang w:bidi="as-IN"/>
        </w:rPr>
        <w:t>Greenyard Foods</w:t>
      </w:r>
      <w:r w:rsidRPr="00992199">
        <w:rPr>
          <w:szCs w:val="20"/>
          <w:lang w:bidi="as-IN"/>
        </w:rPr>
        <w:t xml:space="preserve"> and which may make it more difficult to succeed with a hostile takeover bid. Please see Section 6 of Part VII (</w:t>
      </w:r>
      <w:r w:rsidRPr="00992199">
        <w:rPr>
          <w:i/>
          <w:szCs w:val="20"/>
          <w:lang w:bidi="as-IN"/>
        </w:rPr>
        <w:t xml:space="preserve">Description of the Shares and articles of association of </w:t>
      </w:r>
      <w:r w:rsidR="002A1AB1">
        <w:rPr>
          <w:i/>
          <w:szCs w:val="20"/>
          <w:lang w:bidi="as-IN"/>
        </w:rPr>
        <w:t>Greenyard Foods</w:t>
      </w:r>
      <w:r w:rsidRPr="00992199">
        <w:rPr>
          <w:szCs w:val="20"/>
          <w:lang w:bidi="as-IN"/>
        </w:rPr>
        <w:t>). These provisions could discourage potential takeover attempts that may be regarded by other shareholders as being in their best interest, and could negatively affect the market price of the Shares. These provisions may also have the consequence that the shareholders will be deprived of the opportunity to sell their Shares.</w:t>
      </w:r>
    </w:p>
    <w:p w:rsidR="003F0BC5" w:rsidRPr="00E13084" w:rsidRDefault="003F0BC5" w:rsidP="00C14169">
      <w:pPr>
        <w:keepNext/>
        <w:rPr>
          <w:b/>
          <w:i/>
          <w:szCs w:val="20"/>
        </w:rPr>
      </w:pPr>
      <w:r w:rsidRPr="00E13084">
        <w:rPr>
          <w:b/>
          <w:i/>
          <w:szCs w:val="20"/>
        </w:rPr>
        <w:t>Any sale, purchase or exchange of the Shares may become subject to the Financial Transaction Tax.</w:t>
      </w:r>
    </w:p>
    <w:p w:rsidR="003F0BC5" w:rsidRPr="00992199" w:rsidRDefault="003F0BC5" w:rsidP="003F0BC5">
      <w:pPr>
        <w:rPr>
          <w:szCs w:val="20"/>
          <w:lang w:bidi="as-IN"/>
        </w:rPr>
      </w:pPr>
      <w:r w:rsidRPr="00992199">
        <w:rPr>
          <w:szCs w:val="20"/>
          <w:lang w:bidi="as-IN"/>
        </w:rPr>
        <w:t xml:space="preserve">On 14 February 2013, the EU Commission has adopted a proposal for a directive on a common financial transaction tax (the </w:t>
      </w:r>
      <w:r w:rsidRPr="00992199">
        <w:rPr>
          <w:b/>
          <w:i/>
          <w:szCs w:val="20"/>
          <w:lang w:bidi="as-IN"/>
        </w:rPr>
        <w:t>Financial Transaction Tax</w:t>
      </w:r>
      <w:r w:rsidRPr="00992199">
        <w:rPr>
          <w:szCs w:val="20"/>
          <w:lang w:bidi="as-IN"/>
        </w:rPr>
        <w:t>). The intention is for the Financial Transaction Tax to be implemented via an enhanced cooperation procedure in 11 participating EU Member States (</w:t>
      </w:r>
      <w:smartTag w:uri="urn:schemas-microsoft-com:office:smarttags" w:element="country-region">
        <w:r w:rsidRPr="00992199">
          <w:rPr>
            <w:szCs w:val="20"/>
            <w:lang w:bidi="as-IN"/>
          </w:rPr>
          <w:t>Austria</w:t>
        </w:r>
      </w:smartTag>
      <w:r w:rsidRPr="00992199">
        <w:rPr>
          <w:szCs w:val="20"/>
          <w:lang w:bidi="as-IN"/>
        </w:rPr>
        <w:t xml:space="preserve">, </w:t>
      </w:r>
      <w:smartTag w:uri="urn:schemas-microsoft-com:office:smarttags" w:element="country-region">
        <w:r w:rsidRPr="00992199">
          <w:rPr>
            <w:szCs w:val="20"/>
            <w:lang w:bidi="as-IN"/>
          </w:rPr>
          <w:t>Belgium</w:t>
        </w:r>
      </w:smartTag>
      <w:r w:rsidRPr="00992199">
        <w:rPr>
          <w:szCs w:val="20"/>
          <w:lang w:bidi="as-IN"/>
        </w:rPr>
        <w:t xml:space="preserve">, </w:t>
      </w:r>
      <w:smartTag w:uri="urn:schemas-microsoft-com:office:smarttags" w:element="country-region">
        <w:r w:rsidRPr="00992199">
          <w:rPr>
            <w:szCs w:val="20"/>
            <w:lang w:bidi="as-IN"/>
          </w:rPr>
          <w:t>Estonia</w:t>
        </w:r>
      </w:smartTag>
      <w:r w:rsidRPr="00992199">
        <w:rPr>
          <w:szCs w:val="20"/>
          <w:lang w:bidi="as-IN"/>
        </w:rPr>
        <w:t xml:space="preserve">, France, </w:t>
      </w:r>
      <w:smartTag w:uri="urn:schemas-microsoft-com:office:smarttags" w:element="country-region">
        <w:r w:rsidRPr="00992199">
          <w:rPr>
            <w:szCs w:val="20"/>
            <w:lang w:bidi="as-IN"/>
          </w:rPr>
          <w:t>Germany</w:t>
        </w:r>
      </w:smartTag>
      <w:r w:rsidRPr="00992199">
        <w:rPr>
          <w:szCs w:val="20"/>
          <w:lang w:bidi="as-IN"/>
        </w:rPr>
        <w:t xml:space="preserve">, </w:t>
      </w:r>
      <w:smartTag w:uri="urn:schemas-microsoft-com:office:smarttags" w:element="country-region">
        <w:r w:rsidRPr="00992199">
          <w:rPr>
            <w:szCs w:val="20"/>
            <w:lang w:bidi="as-IN"/>
          </w:rPr>
          <w:t>Greece</w:t>
        </w:r>
      </w:smartTag>
      <w:r w:rsidRPr="00992199">
        <w:rPr>
          <w:szCs w:val="20"/>
          <w:lang w:bidi="as-IN"/>
        </w:rPr>
        <w:t xml:space="preserve">, </w:t>
      </w:r>
      <w:smartTag w:uri="urn:schemas-microsoft-com:office:smarttags" w:element="country-region">
        <w:r w:rsidRPr="00992199">
          <w:rPr>
            <w:szCs w:val="20"/>
            <w:lang w:bidi="as-IN"/>
          </w:rPr>
          <w:t>Italy</w:t>
        </w:r>
      </w:smartTag>
      <w:r w:rsidRPr="00992199">
        <w:rPr>
          <w:szCs w:val="20"/>
          <w:lang w:bidi="as-IN"/>
        </w:rPr>
        <w:t xml:space="preserve">, </w:t>
      </w:r>
      <w:smartTag w:uri="urn:schemas-microsoft-com:office:smarttags" w:element="country-region">
        <w:r w:rsidRPr="00992199">
          <w:rPr>
            <w:szCs w:val="20"/>
            <w:lang w:bidi="as-IN"/>
          </w:rPr>
          <w:t>Portugal</w:t>
        </w:r>
      </w:smartTag>
      <w:r w:rsidRPr="00992199">
        <w:rPr>
          <w:szCs w:val="20"/>
          <w:lang w:bidi="as-IN"/>
        </w:rPr>
        <w:t xml:space="preserve">, </w:t>
      </w:r>
      <w:smartTag w:uri="urn:schemas-microsoft-com:office:smarttags" w:element="country-region">
        <w:r w:rsidRPr="00992199">
          <w:rPr>
            <w:szCs w:val="20"/>
            <w:lang w:bidi="as-IN"/>
          </w:rPr>
          <w:t>Spain</w:t>
        </w:r>
      </w:smartTag>
      <w:r w:rsidRPr="00992199">
        <w:rPr>
          <w:szCs w:val="20"/>
          <w:lang w:bidi="as-IN"/>
        </w:rPr>
        <w:t xml:space="preserve">, </w:t>
      </w:r>
      <w:smartTag w:uri="urn:schemas-microsoft-com:office:smarttags" w:element="country-region">
        <w:r w:rsidRPr="00992199">
          <w:rPr>
            <w:szCs w:val="20"/>
            <w:lang w:bidi="as-IN"/>
          </w:rPr>
          <w:t>Slovakia</w:t>
        </w:r>
      </w:smartTag>
      <w:r w:rsidRPr="00992199">
        <w:rPr>
          <w:szCs w:val="20"/>
          <w:lang w:bidi="as-IN"/>
        </w:rPr>
        <w:t xml:space="preserve"> and </w:t>
      </w:r>
      <w:smartTag w:uri="urn:schemas-microsoft-com:office:smarttags" w:element="country-region">
        <w:smartTag w:uri="urn:schemas-microsoft-com:office:smarttags" w:element="place">
          <w:r w:rsidRPr="00992199">
            <w:rPr>
              <w:szCs w:val="20"/>
              <w:lang w:bidi="as-IN"/>
            </w:rPr>
            <w:t>Slovenia</w:t>
          </w:r>
        </w:smartTag>
      </w:smartTag>
      <w:r w:rsidRPr="00992199">
        <w:rPr>
          <w:szCs w:val="20"/>
          <w:lang w:bidi="as-IN"/>
        </w:rPr>
        <w:t>).</w:t>
      </w:r>
    </w:p>
    <w:p w:rsidR="003F0BC5" w:rsidRPr="00992199" w:rsidRDefault="003F0BC5" w:rsidP="003F0BC5">
      <w:pPr>
        <w:rPr>
          <w:szCs w:val="20"/>
          <w:lang w:bidi="as-IN"/>
        </w:rPr>
      </w:pPr>
      <w:r w:rsidRPr="00992199">
        <w:rPr>
          <w:szCs w:val="20"/>
          <w:lang w:bidi="as-IN"/>
        </w:rPr>
        <w:t>Pursuant to the proposed directive, the Financial Transaction Tax will be payable on financial transactions provided at least one party to the financial transaction is established or deemed established in a participating Member State and there is a financial institution established or deemed established in a participating Member State which is a party to the financial transaction, or is acting in the name of a party to the transaction. The Financial Transaction Tax shall, however, not apply to (inter alia) primary market transactions referred to in article 5I of Regulation (EC) No 1287/2006, including the activity of underwriting and subsequent allocation of financial instruments in the framework of their issue.</w:t>
      </w:r>
    </w:p>
    <w:p w:rsidR="003F0BC5" w:rsidRPr="00992199" w:rsidRDefault="003F0BC5" w:rsidP="003F0BC5">
      <w:pPr>
        <w:rPr>
          <w:szCs w:val="20"/>
          <w:lang w:bidi="as-IN"/>
        </w:rPr>
      </w:pPr>
      <w:r w:rsidRPr="00992199">
        <w:rPr>
          <w:szCs w:val="20"/>
          <w:lang w:bidi="as-IN"/>
        </w:rPr>
        <w:t xml:space="preserve">The rates of the Financial Transaction Tax shall be fixed by each participating </w:t>
      </w:r>
      <w:smartTag w:uri="urn:schemas-microsoft-com:office:smarttags" w:element="place">
        <w:smartTag w:uri="urn:schemas-microsoft-com:office:smarttags" w:element="PlaceName">
          <w:r w:rsidRPr="00992199">
            <w:rPr>
              <w:szCs w:val="20"/>
              <w:lang w:bidi="as-IN"/>
            </w:rPr>
            <w:t>Member</w:t>
          </w:r>
        </w:smartTag>
        <w:r w:rsidRPr="00992199">
          <w:rPr>
            <w:szCs w:val="20"/>
            <w:lang w:bidi="as-IN"/>
          </w:rPr>
          <w:t xml:space="preserve"> </w:t>
        </w:r>
        <w:smartTag w:uri="urn:schemas-microsoft-com:office:smarttags" w:element="PlaceType">
          <w:r w:rsidRPr="00992199">
            <w:rPr>
              <w:szCs w:val="20"/>
              <w:lang w:bidi="as-IN"/>
            </w:rPr>
            <w:t>State</w:t>
          </w:r>
        </w:smartTag>
      </w:smartTag>
      <w:r w:rsidRPr="00992199">
        <w:rPr>
          <w:szCs w:val="20"/>
          <w:lang w:bidi="as-IN"/>
        </w:rPr>
        <w:t xml:space="preserve"> but for transactions involving financial instruments other than derivatives shall amount to at least 0.1% of the taxable amount. The taxable amount for such transactions shall in general be determined by reference to the consideration paid or owed in return for the transfer. The Financial Transaction Tax shall be payable by each financial institution established or deemed established in a participating Member State if it is either a party to the financial transaction, or acting in the name of a party to the transaction or if the transaction has been carried out on its account. Where the Financial Transaction Tax due has not been paid within the applicable time limits, each party to a financial transaction, including persons other than financial institutions, shall become jointly and severally liable for the payment of the Financial Transaction Tax due.</w:t>
      </w:r>
    </w:p>
    <w:p w:rsidR="003F0BC5" w:rsidRPr="00992199" w:rsidRDefault="003F0BC5" w:rsidP="003F0BC5">
      <w:pPr>
        <w:rPr>
          <w:szCs w:val="20"/>
          <w:lang w:bidi="as-IN"/>
        </w:rPr>
      </w:pPr>
      <w:r w:rsidRPr="00992199">
        <w:rPr>
          <w:szCs w:val="20"/>
          <w:lang w:bidi="as-IN"/>
        </w:rPr>
        <w:t>Investors should therefore note, in particular, that any sale, purchase or exchange of Shares may be subject to the Financial Transaction Tax at a minimum rate of 0.1% provided the abovementioned prerequisites are met. The investor may be liable to pay this charge or reimburse a financial institution for the charge, and/or the charge may affect the value of the Shares. The issuance of the New Shares should not be subject to the Financial Transaction Tax.</w:t>
      </w:r>
    </w:p>
    <w:p w:rsidR="003F0BC5" w:rsidRPr="00992199" w:rsidRDefault="003F0BC5" w:rsidP="003F0BC5">
      <w:pPr>
        <w:rPr>
          <w:szCs w:val="20"/>
          <w:lang w:bidi="as-IN"/>
        </w:rPr>
      </w:pPr>
      <w:r w:rsidRPr="00992199">
        <w:rPr>
          <w:szCs w:val="20"/>
          <w:lang w:bidi="as-IN"/>
        </w:rPr>
        <w:t xml:space="preserve">On 6 May 2014, a statement made by the participating Member States (other than </w:t>
      </w:r>
      <w:smartTag w:uri="urn:schemas-microsoft-com:office:smarttags" w:element="country-region">
        <w:smartTag w:uri="urn:schemas-microsoft-com:office:smarttags" w:element="place">
          <w:r w:rsidRPr="00992199">
            <w:rPr>
              <w:szCs w:val="20"/>
              <w:lang w:bidi="as-IN"/>
            </w:rPr>
            <w:t>Slovenia</w:t>
          </w:r>
        </w:smartTag>
      </w:smartTag>
      <w:r w:rsidRPr="00992199">
        <w:rPr>
          <w:szCs w:val="20"/>
          <w:lang w:bidi="as-IN"/>
        </w:rPr>
        <w:t>) indicates that a progressive implementation of the Financial Transaction Tax is being considered, and that the Financial Transaction Tax may initially apply only to transactions involving shares and certain derivatives, with implementation occurring by 1 January 2016. However, full details are not available.</w:t>
      </w:r>
    </w:p>
    <w:p w:rsidR="003F0BC5" w:rsidRPr="00992199" w:rsidRDefault="003F0BC5" w:rsidP="003F0BC5">
      <w:pPr>
        <w:rPr>
          <w:szCs w:val="20"/>
          <w:lang w:bidi="as-IN"/>
        </w:rPr>
      </w:pPr>
      <w:r w:rsidRPr="00992199">
        <w:rPr>
          <w:szCs w:val="20"/>
          <w:lang w:bidi="as-IN"/>
        </w:rPr>
        <w:t xml:space="preserve">The proposed directive is still subject to negotiation amongst the participating Member States and therefore may be changed at any time. A committee of the EU Parliament published a draft report on 19 March 2013, suggesting amendments to the proposed directive. If the amendments were included in the final directive, the Financial Transaction Tax would have an even broader reach. Moreover, once the proposed directive has been adopted, it will need to be implemented into the respective domestic laws of the participating </w:t>
      </w:r>
      <w:smartTag w:uri="urn:schemas-microsoft-com:office:smarttags" w:element="place">
        <w:smartTag w:uri="urn:schemas-microsoft-com:office:smarttags" w:element="PlaceName">
          <w:r w:rsidRPr="00992199">
            <w:rPr>
              <w:szCs w:val="20"/>
              <w:lang w:bidi="as-IN"/>
            </w:rPr>
            <w:t>Member</w:t>
          </w:r>
        </w:smartTag>
        <w:r w:rsidRPr="00992199">
          <w:rPr>
            <w:szCs w:val="20"/>
            <w:lang w:bidi="as-IN"/>
          </w:rPr>
          <w:t xml:space="preserve"> </w:t>
        </w:r>
        <w:smartTag w:uri="urn:schemas-microsoft-com:office:smarttags" w:element="PlaceType">
          <w:r w:rsidRPr="00992199">
            <w:rPr>
              <w:szCs w:val="20"/>
              <w:lang w:bidi="as-IN"/>
            </w:rPr>
            <w:t>States</w:t>
          </w:r>
        </w:smartTag>
      </w:smartTag>
      <w:r w:rsidRPr="00992199">
        <w:rPr>
          <w:szCs w:val="20"/>
          <w:lang w:bidi="as-IN"/>
        </w:rPr>
        <w:t xml:space="preserve"> and the domestic provisions implementing the directive might deviate from the directive itself.</w:t>
      </w:r>
    </w:p>
    <w:p w:rsidR="003F0BC5" w:rsidRPr="00992199" w:rsidRDefault="003F0BC5" w:rsidP="00353B80">
      <w:pPr>
        <w:pStyle w:val="Heading1"/>
        <w:keepNext/>
      </w:pPr>
      <w:bookmarkStart w:id="3" w:name="_Toc420593829"/>
      <w:r w:rsidRPr="00992199">
        <w:lastRenderedPageBreak/>
        <w:t>PART III: EXPECTED TIMETABLE OF PRINCIPAL EVENTS</w:t>
      </w:r>
      <w:bookmarkEnd w:id="3"/>
    </w:p>
    <w:p w:rsidR="003F0BC5" w:rsidRPr="00992199" w:rsidRDefault="003F0BC5" w:rsidP="003F0BC5">
      <w:pPr>
        <w:rPr>
          <w:szCs w:val="20"/>
        </w:rPr>
      </w:pPr>
      <w:r w:rsidRPr="00992199">
        <w:rPr>
          <w:szCs w:val="20"/>
        </w:rPr>
        <w:t xml:space="preserve">The table below sets out the timetable relating to the main steps towards the completion of the </w:t>
      </w:r>
      <w:r w:rsidR="00FE467C">
        <w:rPr>
          <w:szCs w:val="20"/>
        </w:rPr>
        <w:t>Transactions</w:t>
      </w:r>
      <w:r w:rsidRPr="00992199">
        <w:rPr>
          <w:szCs w:val="20"/>
        </w:rPr>
        <w:t xml:space="preserve"> and the issuance of the New Shares.</w:t>
      </w:r>
    </w:p>
    <w:tbl>
      <w:tblPr>
        <w:tblW w:w="0" w:type="auto"/>
        <w:tblLayout w:type="fixed"/>
        <w:tblLook w:val="04A0" w:firstRow="1" w:lastRow="0" w:firstColumn="1" w:lastColumn="0" w:noHBand="0" w:noVBand="1"/>
      </w:tblPr>
      <w:tblGrid>
        <w:gridCol w:w="2350"/>
        <w:gridCol w:w="6895"/>
      </w:tblGrid>
      <w:tr w:rsidR="003F0BC5" w:rsidRPr="00992199" w:rsidTr="0007306E">
        <w:tc>
          <w:tcPr>
            <w:tcW w:w="2350" w:type="dxa"/>
            <w:shd w:val="clear" w:color="auto" w:fill="auto"/>
          </w:tcPr>
          <w:p w:rsidR="003F0BC5" w:rsidRPr="00992199" w:rsidRDefault="003F0BC5" w:rsidP="007B5305">
            <w:pPr>
              <w:jc w:val="center"/>
              <w:rPr>
                <w:b/>
                <w:szCs w:val="20"/>
                <w:lang w:eastAsia="nl-NL"/>
              </w:rPr>
            </w:pPr>
            <w:r w:rsidRPr="00992199">
              <w:rPr>
                <w:b/>
                <w:szCs w:val="20"/>
                <w:lang w:eastAsia="nl-NL"/>
              </w:rPr>
              <w:t>Date</w:t>
            </w:r>
          </w:p>
        </w:tc>
        <w:tc>
          <w:tcPr>
            <w:tcW w:w="6895" w:type="dxa"/>
            <w:shd w:val="clear" w:color="auto" w:fill="auto"/>
          </w:tcPr>
          <w:p w:rsidR="003F0BC5" w:rsidRPr="00992199" w:rsidRDefault="003F0BC5" w:rsidP="00BB0F52">
            <w:pPr>
              <w:jc w:val="center"/>
              <w:rPr>
                <w:b/>
                <w:szCs w:val="20"/>
                <w:lang w:eastAsia="nl-NL"/>
              </w:rPr>
            </w:pPr>
            <w:r w:rsidRPr="00992199">
              <w:rPr>
                <w:b/>
                <w:szCs w:val="20"/>
                <w:lang w:eastAsia="nl-NL"/>
              </w:rPr>
              <w:t>Event</w:t>
            </w:r>
          </w:p>
        </w:tc>
      </w:tr>
      <w:tr w:rsidR="003F0BC5" w:rsidRPr="00992199" w:rsidTr="0007306E">
        <w:tc>
          <w:tcPr>
            <w:tcW w:w="2350" w:type="dxa"/>
            <w:shd w:val="clear" w:color="auto" w:fill="auto"/>
          </w:tcPr>
          <w:p w:rsidR="003F0BC5" w:rsidRPr="00992199" w:rsidRDefault="003F0BC5" w:rsidP="0007306E">
            <w:pPr>
              <w:jc w:val="left"/>
              <w:rPr>
                <w:szCs w:val="20"/>
                <w:lang w:eastAsia="nl-NL"/>
              </w:rPr>
            </w:pPr>
            <w:r w:rsidRPr="00992199">
              <w:rPr>
                <w:szCs w:val="20"/>
                <w:lang w:eastAsia="nl-NL"/>
              </w:rPr>
              <w:t>13 April 2015</w:t>
            </w:r>
          </w:p>
        </w:tc>
        <w:tc>
          <w:tcPr>
            <w:tcW w:w="6895" w:type="dxa"/>
            <w:shd w:val="clear" w:color="auto" w:fill="auto"/>
          </w:tcPr>
          <w:p w:rsidR="003F0BC5" w:rsidRPr="00992199" w:rsidRDefault="003F0BC5" w:rsidP="006B42D1">
            <w:pPr>
              <w:pStyle w:val="BulletsL1"/>
              <w:rPr>
                <w:lang w:eastAsia="nl-NL"/>
              </w:rPr>
            </w:pPr>
            <w:r w:rsidRPr="00992199">
              <w:rPr>
                <w:lang w:eastAsia="nl-NL"/>
              </w:rPr>
              <w:t>Execution of the letter of intent setting out the terms of the Transactions, subject to conditions precedent</w:t>
            </w:r>
          </w:p>
        </w:tc>
      </w:tr>
      <w:tr w:rsidR="003F0BC5" w:rsidRPr="00992199" w:rsidTr="0007306E">
        <w:tc>
          <w:tcPr>
            <w:tcW w:w="2350" w:type="dxa"/>
            <w:shd w:val="clear" w:color="auto" w:fill="auto"/>
          </w:tcPr>
          <w:p w:rsidR="003F0BC5" w:rsidRPr="00992199" w:rsidRDefault="003F0BC5" w:rsidP="0007306E">
            <w:pPr>
              <w:jc w:val="left"/>
              <w:rPr>
                <w:szCs w:val="20"/>
                <w:lang w:eastAsia="nl-NL"/>
              </w:rPr>
            </w:pPr>
            <w:r w:rsidRPr="00992199">
              <w:rPr>
                <w:szCs w:val="20"/>
                <w:lang w:eastAsia="nl-NL"/>
              </w:rPr>
              <w:t>22 April 2015</w:t>
            </w:r>
          </w:p>
        </w:tc>
        <w:tc>
          <w:tcPr>
            <w:tcW w:w="6895" w:type="dxa"/>
            <w:shd w:val="clear" w:color="auto" w:fill="auto"/>
          </w:tcPr>
          <w:p w:rsidR="003F0BC5" w:rsidRPr="00992199" w:rsidRDefault="003F0BC5" w:rsidP="006B42D1">
            <w:pPr>
              <w:pStyle w:val="BulletsL1"/>
              <w:rPr>
                <w:lang w:eastAsia="nl-NL"/>
              </w:rPr>
            </w:pPr>
            <w:r w:rsidRPr="00992199">
              <w:rPr>
                <w:lang w:eastAsia="nl-NL"/>
              </w:rPr>
              <w:t xml:space="preserve">Approval by the boards of directors of </w:t>
            </w:r>
            <w:r w:rsidR="002A1AB1">
              <w:rPr>
                <w:lang w:eastAsia="nl-NL"/>
              </w:rPr>
              <w:t>Greenyard Foods</w:t>
            </w:r>
            <w:r w:rsidRPr="00992199">
              <w:rPr>
                <w:lang w:eastAsia="nl-NL"/>
              </w:rPr>
              <w:t xml:space="preserve"> and DWB of the </w:t>
            </w:r>
            <w:r w:rsidR="00334917">
              <w:rPr>
                <w:lang w:eastAsia="nl-NL"/>
              </w:rPr>
              <w:t>Joint Demerger Proposal</w:t>
            </w:r>
          </w:p>
        </w:tc>
      </w:tr>
      <w:tr w:rsidR="003F0BC5" w:rsidRPr="00992199" w:rsidTr="0007306E">
        <w:tc>
          <w:tcPr>
            <w:tcW w:w="2350" w:type="dxa"/>
            <w:shd w:val="clear" w:color="auto" w:fill="auto"/>
          </w:tcPr>
          <w:p w:rsidR="003F0BC5" w:rsidRPr="00992199" w:rsidRDefault="003F0BC5" w:rsidP="0007306E">
            <w:pPr>
              <w:jc w:val="left"/>
              <w:rPr>
                <w:szCs w:val="20"/>
                <w:lang w:eastAsia="nl-NL"/>
              </w:rPr>
            </w:pPr>
            <w:r w:rsidRPr="00992199">
              <w:rPr>
                <w:szCs w:val="20"/>
                <w:lang w:eastAsia="nl-NL"/>
              </w:rPr>
              <w:t>23 April 2015</w:t>
            </w:r>
          </w:p>
        </w:tc>
        <w:tc>
          <w:tcPr>
            <w:tcW w:w="6895" w:type="dxa"/>
            <w:shd w:val="clear" w:color="auto" w:fill="auto"/>
          </w:tcPr>
          <w:p w:rsidR="003F0BC5" w:rsidRPr="00992199" w:rsidRDefault="003F0BC5" w:rsidP="006B42D1">
            <w:pPr>
              <w:pStyle w:val="BulletsL1"/>
              <w:rPr>
                <w:lang w:eastAsia="nl-NL"/>
              </w:rPr>
            </w:pPr>
            <w:r w:rsidRPr="00992199">
              <w:rPr>
                <w:lang w:eastAsia="nl-NL"/>
              </w:rPr>
              <w:t xml:space="preserve">Filing of the </w:t>
            </w:r>
            <w:r w:rsidR="00334917">
              <w:rPr>
                <w:lang w:eastAsia="nl-NL"/>
              </w:rPr>
              <w:t>Joint Demerger Proposal</w:t>
            </w:r>
            <w:r w:rsidRPr="00992199">
              <w:rPr>
                <w:lang w:eastAsia="nl-NL"/>
              </w:rPr>
              <w:t xml:space="preserve"> with the clerk of the competent commercial courts</w:t>
            </w:r>
          </w:p>
        </w:tc>
      </w:tr>
      <w:tr w:rsidR="003F0BC5" w:rsidRPr="00992199" w:rsidTr="0007306E">
        <w:tc>
          <w:tcPr>
            <w:tcW w:w="2350" w:type="dxa"/>
            <w:shd w:val="clear" w:color="auto" w:fill="auto"/>
          </w:tcPr>
          <w:p w:rsidR="003F0BC5" w:rsidRPr="00992199" w:rsidRDefault="005B28E9" w:rsidP="005B28E9">
            <w:pPr>
              <w:jc w:val="left"/>
              <w:rPr>
                <w:szCs w:val="20"/>
                <w:lang w:eastAsia="nl-NL"/>
              </w:rPr>
            </w:pPr>
            <w:r>
              <w:rPr>
                <w:szCs w:val="20"/>
                <w:lang w:eastAsia="nl-NL"/>
              </w:rPr>
              <w:t>8</w:t>
            </w:r>
            <w:r w:rsidR="003F0BC5" w:rsidRPr="00992199">
              <w:rPr>
                <w:szCs w:val="20"/>
                <w:lang w:eastAsia="nl-NL"/>
              </w:rPr>
              <w:t> May 2015</w:t>
            </w:r>
          </w:p>
        </w:tc>
        <w:tc>
          <w:tcPr>
            <w:tcW w:w="6895" w:type="dxa"/>
            <w:shd w:val="clear" w:color="auto" w:fill="auto"/>
          </w:tcPr>
          <w:p w:rsidR="003F0BC5" w:rsidRPr="00992199" w:rsidRDefault="003F0BC5" w:rsidP="006B42D1">
            <w:pPr>
              <w:pStyle w:val="BulletsL1"/>
              <w:rPr>
                <w:lang w:eastAsia="nl-NL"/>
              </w:rPr>
            </w:pPr>
            <w:r w:rsidRPr="00992199">
              <w:t xml:space="preserve">Advice of the committee of independent directors of </w:t>
            </w:r>
            <w:r w:rsidR="002A1AB1">
              <w:t>Greenyard Foods</w:t>
            </w:r>
            <w:r w:rsidRPr="00992199">
              <w:t xml:space="preserve"> given to the Board of Directors of </w:t>
            </w:r>
            <w:r w:rsidR="002A1AB1">
              <w:t>Greenyard Foods</w:t>
            </w:r>
            <w:r w:rsidRPr="00992199">
              <w:t>, in accordance with article 524 of the Belgian Companies Code (</w:t>
            </w:r>
            <w:r w:rsidRPr="00992199">
              <w:rPr>
                <w:b/>
                <w:i/>
              </w:rPr>
              <w:t>BCC</w:t>
            </w:r>
            <w:r w:rsidRPr="00992199">
              <w:t>)</w:t>
            </w:r>
          </w:p>
        </w:tc>
      </w:tr>
      <w:tr w:rsidR="003F0BC5" w:rsidRPr="00992199" w:rsidTr="0007306E">
        <w:tc>
          <w:tcPr>
            <w:tcW w:w="2350" w:type="dxa"/>
            <w:shd w:val="clear" w:color="auto" w:fill="auto"/>
          </w:tcPr>
          <w:p w:rsidR="003F0BC5" w:rsidRPr="00992199" w:rsidRDefault="005B28E9" w:rsidP="00C14169">
            <w:pPr>
              <w:jc w:val="left"/>
              <w:rPr>
                <w:szCs w:val="20"/>
                <w:lang w:eastAsia="nl-NL"/>
              </w:rPr>
            </w:pPr>
            <w:r>
              <w:rPr>
                <w:szCs w:val="20"/>
                <w:lang w:eastAsia="nl-NL"/>
              </w:rPr>
              <w:t>8</w:t>
            </w:r>
            <w:r w:rsidR="003F0BC5" w:rsidRPr="00992199">
              <w:rPr>
                <w:szCs w:val="20"/>
                <w:lang w:eastAsia="nl-NL"/>
              </w:rPr>
              <w:t> May 2015</w:t>
            </w:r>
          </w:p>
        </w:tc>
        <w:tc>
          <w:tcPr>
            <w:tcW w:w="6895" w:type="dxa"/>
            <w:shd w:val="clear" w:color="auto" w:fill="auto"/>
          </w:tcPr>
          <w:p w:rsidR="003F0BC5" w:rsidRPr="00992199" w:rsidRDefault="000F59DA" w:rsidP="006B42D1">
            <w:pPr>
              <w:pStyle w:val="BulletsL1"/>
              <w:rPr>
                <w:lang w:eastAsia="nl-NL"/>
              </w:rPr>
            </w:pPr>
            <w:r w:rsidRPr="00992199">
              <w:rPr>
                <w:lang w:eastAsia="nl-NL"/>
              </w:rPr>
              <w:t xml:space="preserve">Approval of the </w:t>
            </w:r>
            <w:r>
              <w:rPr>
                <w:lang w:eastAsia="nl-NL"/>
              </w:rPr>
              <w:t xml:space="preserve">Contributions </w:t>
            </w:r>
            <w:r w:rsidRPr="00992199">
              <w:rPr>
                <w:lang w:eastAsia="nl-NL"/>
              </w:rPr>
              <w:t xml:space="preserve">and the Partial Demerger and Contribution Agreement by the </w:t>
            </w:r>
            <w:r>
              <w:rPr>
                <w:lang w:eastAsia="nl-NL"/>
              </w:rPr>
              <w:t>B</w:t>
            </w:r>
            <w:r w:rsidRPr="00992199">
              <w:rPr>
                <w:lang w:eastAsia="nl-NL"/>
              </w:rPr>
              <w:t xml:space="preserve">oards of </w:t>
            </w:r>
            <w:r>
              <w:rPr>
                <w:lang w:eastAsia="nl-NL"/>
              </w:rPr>
              <w:t>Directors</w:t>
            </w:r>
          </w:p>
          <w:p w:rsidR="003F0BC5" w:rsidRPr="00992199" w:rsidRDefault="003F0BC5" w:rsidP="006B42D1">
            <w:pPr>
              <w:pStyle w:val="BulletsL1"/>
              <w:rPr>
                <w:lang w:eastAsia="nl-NL"/>
              </w:rPr>
            </w:pPr>
            <w:r w:rsidRPr="00992199">
              <w:rPr>
                <w:lang w:eastAsia="nl-NL"/>
              </w:rPr>
              <w:t xml:space="preserve">Approval of the </w:t>
            </w:r>
            <w:r w:rsidR="0082672E">
              <w:rPr>
                <w:lang w:eastAsia="nl-NL"/>
              </w:rPr>
              <w:t>Univeg</w:t>
            </w:r>
            <w:r w:rsidRPr="00992199">
              <w:rPr>
                <w:lang w:eastAsia="nl-NL"/>
              </w:rPr>
              <w:t xml:space="preserve"> Contribution, the Peatinvest Contribution and the Partial Demerger and Contribution Agreement by the boards of directors of the Stichting Administratiekantoor </w:t>
            </w:r>
            <w:r w:rsidR="00404820">
              <w:rPr>
                <w:lang w:eastAsia="nl-NL"/>
              </w:rPr>
              <w:t>FieldLink</w:t>
            </w:r>
            <w:r w:rsidRPr="00992199">
              <w:rPr>
                <w:lang w:eastAsia="nl-NL"/>
              </w:rPr>
              <w:t xml:space="preserve"> (the </w:t>
            </w:r>
            <w:r w:rsidR="00C87D8C">
              <w:rPr>
                <w:b/>
                <w:i/>
                <w:lang w:eastAsia="nl-NL"/>
              </w:rPr>
              <w:t>STAK FieldLink</w:t>
            </w:r>
            <w:r w:rsidRPr="00992199">
              <w:rPr>
                <w:lang w:eastAsia="nl-NL"/>
              </w:rPr>
              <w:t>) and Peatinvest</w:t>
            </w:r>
          </w:p>
          <w:p w:rsidR="003F0BC5" w:rsidRPr="00992199" w:rsidRDefault="003F0BC5" w:rsidP="006B42D1">
            <w:pPr>
              <w:pStyle w:val="BulletsL1"/>
              <w:rPr>
                <w:lang w:eastAsia="nl-NL"/>
              </w:rPr>
            </w:pPr>
            <w:r w:rsidRPr="00992199">
              <w:rPr>
                <w:lang w:eastAsia="nl-NL"/>
              </w:rPr>
              <w:t>Execution of the Partial Demerger and Contribution Agreement</w:t>
            </w:r>
          </w:p>
        </w:tc>
      </w:tr>
      <w:tr w:rsidR="003F0BC5" w:rsidRPr="00992199" w:rsidTr="0007306E">
        <w:tc>
          <w:tcPr>
            <w:tcW w:w="2350" w:type="dxa"/>
            <w:shd w:val="clear" w:color="auto" w:fill="auto"/>
          </w:tcPr>
          <w:p w:rsidR="003F0BC5" w:rsidRPr="00992199" w:rsidRDefault="00C14169" w:rsidP="0007306E">
            <w:pPr>
              <w:jc w:val="left"/>
              <w:rPr>
                <w:szCs w:val="20"/>
                <w:lang w:eastAsia="nl-NL"/>
              </w:rPr>
            </w:pPr>
            <w:r>
              <w:rPr>
                <w:szCs w:val="20"/>
                <w:lang w:eastAsia="nl-NL"/>
              </w:rPr>
              <w:t>19</w:t>
            </w:r>
            <w:r w:rsidRPr="00992199">
              <w:rPr>
                <w:szCs w:val="20"/>
                <w:lang w:eastAsia="nl-NL"/>
              </w:rPr>
              <w:t> </w:t>
            </w:r>
            <w:r w:rsidR="003F0BC5" w:rsidRPr="00992199">
              <w:rPr>
                <w:szCs w:val="20"/>
                <w:lang w:eastAsia="nl-NL"/>
              </w:rPr>
              <w:t>May 2015</w:t>
            </w:r>
          </w:p>
        </w:tc>
        <w:tc>
          <w:tcPr>
            <w:tcW w:w="6895" w:type="dxa"/>
            <w:shd w:val="clear" w:color="auto" w:fill="auto"/>
          </w:tcPr>
          <w:p w:rsidR="003F0BC5" w:rsidRPr="00992199" w:rsidRDefault="003F0BC5" w:rsidP="006B42D1">
            <w:pPr>
              <w:pStyle w:val="BulletsL1"/>
              <w:rPr>
                <w:lang w:eastAsia="nl-NL"/>
              </w:rPr>
            </w:pPr>
            <w:r w:rsidRPr="00992199">
              <w:rPr>
                <w:lang w:eastAsia="nl-NL"/>
              </w:rPr>
              <w:t xml:space="preserve">Convening notices of the general meeting of shareholders of </w:t>
            </w:r>
            <w:r w:rsidR="002A1AB1">
              <w:rPr>
                <w:lang w:eastAsia="nl-NL"/>
              </w:rPr>
              <w:t>Greenyard Foods</w:t>
            </w:r>
          </w:p>
        </w:tc>
      </w:tr>
      <w:tr w:rsidR="00EC0415" w:rsidRPr="00992199" w:rsidTr="0007306E">
        <w:tc>
          <w:tcPr>
            <w:tcW w:w="2350" w:type="dxa"/>
            <w:shd w:val="clear" w:color="auto" w:fill="auto"/>
          </w:tcPr>
          <w:p w:rsidR="00EC0415" w:rsidRPr="00992199" w:rsidRDefault="00C14169" w:rsidP="00C14169">
            <w:pPr>
              <w:jc w:val="left"/>
              <w:rPr>
                <w:szCs w:val="20"/>
                <w:lang w:eastAsia="nl-NL"/>
              </w:rPr>
            </w:pPr>
            <w:r>
              <w:rPr>
                <w:szCs w:val="20"/>
                <w:lang w:eastAsia="nl-NL"/>
              </w:rPr>
              <w:t>22 May</w:t>
            </w:r>
            <w:r w:rsidR="00EC0415">
              <w:rPr>
                <w:szCs w:val="20"/>
                <w:lang w:eastAsia="nl-NL"/>
              </w:rPr>
              <w:t xml:space="preserve"> 2015</w:t>
            </w:r>
          </w:p>
        </w:tc>
        <w:tc>
          <w:tcPr>
            <w:tcW w:w="6895" w:type="dxa"/>
            <w:shd w:val="clear" w:color="auto" w:fill="auto"/>
          </w:tcPr>
          <w:p w:rsidR="00EC0415" w:rsidRPr="00992199" w:rsidRDefault="00C14169" w:rsidP="00C14169">
            <w:pPr>
              <w:pStyle w:val="BulletsL1"/>
              <w:rPr>
                <w:lang w:eastAsia="nl-NL"/>
              </w:rPr>
            </w:pPr>
            <w:r>
              <w:rPr>
                <w:lang w:eastAsia="nl-NL"/>
              </w:rPr>
              <w:t>M</w:t>
            </w:r>
            <w:r w:rsidR="00EC0415" w:rsidRPr="00EC0415">
              <w:rPr>
                <w:lang w:eastAsia="nl-NL"/>
              </w:rPr>
              <w:t>erger clearance by the European Commission in relation with the Contributions</w:t>
            </w:r>
          </w:p>
        </w:tc>
      </w:tr>
      <w:tr w:rsidR="003F0BC5" w:rsidRPr="00992199" w:rsidTr="0007306E">
        <w:tc>
          <w:tcPr>
            <w:tcW w:w="2350" w:type="dxa"/>
            <w:shd w:val="clear" w:color="auto" w:fill="auto"/>
          </w:tcPr>
          <w:p w:rsidR="003F0BC5" w:rsidRPr="00992199" w:rsidRDefault="003F0BC5" w:rsidP="0007306E">
            <w:pPr>
              <w:jc w:val="left"/>
              <w:rPr>
                <w:szCs w:val="20"/>
                <w:lang w:eastAsia="nl-NL"/>
              </w:rPr>
            </w:pPr>
            <w:r w:rsidRPr="00992199">
              <w:rPr>
                <w:szCs w:val="20"/>
                <w:lang w:eastAsia="nl-NL"/>
              </w:rPr>
              <w:t>[16] June 2015</w:t>
            </w:r>
          </w:p>
        </w:tc>
        <w:tc>
          <w:tcPr>
            <w:tcW w:w="6895" w:type="dxa"/>
            <w:shd w:val="clear" w:color="auto" w:fill="auto"/>
          </w:tcPr>
          <w:p w:rsidR="003F0BC5" w:rsidRPr="00992199" w:rsidRDefault="003F0BC5" w:rsidP="006B42D1">
            <w:pPr>
              <w:pStyle w:val="BulletsL1"/>
              <w:rPr>
                <w:lang w:eastAsia="nl-NL"/>
              </w:rPr>
            </w:pPr>
            <w:r w:rsidRPr="00992199">
              <w:rPr>
                <w:lang w:eastAsia="nl-NL"/>
              </w:rPr>
              <w:t>Approval of this Prospectus by the FSMA</w:t>
            </w:r>
          </w:p>
        </w:tc>
      </w:tr>
      <w:tr w:rsidR="000F59DA" w:rsidRPr="00992199" w:rsidTr="0007306E">
        <w:tc>
          <w:tcPr>
            <w:tcW w:w="2350" w:type="dxa"/>
            <w:shd w:val="clear" w:color="auto" w:fill="auto"/>
          </w:tcPr>
          <w:p w:rsidR="000F59DA" w:rsidRPr="00992199" w:rsidRDefault="000F59DA" w:rsidP="0007306E">
            <w:pPr>
              <w:jc w:val="left"/>
              <w:rPr>
                <w:szCs w:val="20"/>
                <w:lang w:eastAsia="nl-NL"/>
              </w:rPr>
            </w:pPr>
            <w:r>
              <w:rPr>
                <w:szCs w:val="20"/>
                <w:lang w:eastAsia="nl-NL"/>
              </w:rPr>
              <w:t>[19] June 2015</w:t>
            </w:r>
          </w:p>
        </w:tc>
        <w:tc>
          <w:tcPr>
            <w:tcW w:w="6895" w:type="dxa"/>
            <w:shd w:val="clear" w:color="auto" w:fill="auto"/>
          </w:tcPr>
          <w:p w:rsidR="000F59DA" w:rsidRPr="00992199" w:rsidRDefault="000F59DA" w:rsidP="000F59DA">
            <w:pPr>
              <w:pStyle w:val="BulletsL1"/>
              <w:rPr>
                <w:lang w:eastAsia="nl-NL"/>
              </w:rPr>
            </w:pPr>
            <w:r>
              <w:rPr>
                <w:lang w:eastAsia="nl-NL"/>
              </w:rPr>
              <w:t>Gimv Warrants Exercise</w:t>
            </w:r>
          </w:p>
        </w:tc>
      </w:tr>
      <w:tr w:rsidR="003F0BC5" w:rsidRPr="00992199" w:rsidTr="0007306E">
        <w:tc>
          <w:tcPr>
            <w:tcW w:w="2350" w:type="dxa"/>
            <w:shd w:val="clear" w:color="auto" w:fill="auto"/>
          </w:tcPr>
          <w:p w:rsidR="003F0BC5" w:rsidRPr="00992199" w:rsidRDefault="003F0BC5" w:rsidP="0007306E">
            <w:pPr>
              <w:jc w:val="left"/>
              <w:rPr>
                <w:szCs w:val="20"/>
                <w:lang w:eastAsia="nl-NL"/>
              </w:rPr>
            </w:pPr>
            <w:r w:rsidRPr="00992199">
              <w:rPr>
                <w:szCs w:val="20"/>
                <w:lang w:eastAsia="nl-NL"/>
              </w:rPr>
              <w:t>19 June 2015</w:t>
            </w:r>
          </w:p>
        </w:tc>
        <w:tc>
          <w:tcPr>
            <w:tcW w:w="6895" w:type="dxa"/>
            <w:shd w:val="clear" w:color="auto" w:fill="auto"/>
          </w:tcPr>
          <w:p w:rsidR="003F0BC5" w:rsidRPr="00992199" w:rsidRDefault="003F0BC5" w:rsidP="006B42D1">
            <w:pPr>
              <w:pStyle w:val="BulletsL1"/>
              <w:rPr>
                <w:lang w:eastAsia="nl-NL"/>
              </w:rPr>
            </w:pPr>
            <w:r w:rsidRPr="00992199">
              <w:rPr>
                <w:lang w:eastAsia="nl-NL"/>
              </w:rPr>
              <w:t xml:space="preserve">General meetings of shareholders of </w:t>
            </w:r>
            <w:r w:rsidR="002A1AB1">
              <w:rPr>
                <w:lang w:eastAsia="nl-NL"/>
              </w:rPr>
              <w:t>Greenyard Foods</w:t>
            </w:r>
            <w:r w:rsidRPr="00992199">
              <w:rPr>
                <w:lang w:eastAsia="nl-NL"/>
              </w:rPr>
              <w:t xml:space="preserve"> and DWB</w:t>
            </w:r>
          </w:p>
        </w:tc>
      </w:tr>
      <w:tr w:rsidR="003F0BC5" w:rsidRPr="00992199" w:rsidTr="0007306E">
        <w:tc>
          <w:tcPr>
            <w:tcW w:w="2350" w:type="dxa"/>
            <w:shd w:val="clear" w:color="auto" w:fill="auto"/>
          </w:tcPr>
          <w:p w:rsidR="003F0BC5" w:rsidRPr="00992199" w:rsidRDefault="00FE467C" w:rsidP="0007306E">
            <w:pPr>
              <w:jc w:val="left"/>
              <w:rPr>
                <w:szCs w:val="20"/>
                <w:lang w:eastAsia="nl-NL"/>
              </w:rPr>
            </w:pPr>
            <w:r>
              <w:rPr>
                <w:szCs w:val="20"/>
                <w:lang w:eastAsia="nl-NL"/>
              </w:rPr>
              <w:t>[19]</w:t>
            </w:r>
            <w:r w:rsidR="003F0BC5" w:rsidRPr="00992199">
              <w:rPr>
                <w:szCs w:val="20"/>
                <w:lang w:eastAsia="nl-NL"/>
              </w:rPr>
              <w:t> June 2015</w:t>
            </w:r>
          </w:p>
        </w:tc>
        <w:tc>
          <w:tcPr>
            <w:tcW w:w="6895" w:type="dxa"/>
            <w:shd w:val="clear" w:color="auto" w:fill="auto"/>
          </w:tcPr>
          <w:p w:rsidR="003F0BC5" w:rsidRPr="00992199" w:rsidRDefault="003F0BC5" w:rsidP="006B42D1">
            <w:pPr>
              <w:pStyle w:val="BulletsL1"/>
              <w:rPr>
                <w:lang w:eastAsia="nl-NL"/>
              </w:rPr>
            </w:pPr>
            <w:r w:rsidRPr="00992199">
              <w:rPr>
                <w:lang w:eastAsia="nl-NL"/>
              </w:rPr>
              <w:t>Expected date for the delivery and listing of the New Shares</w:t>
            </w:r>
          </w:p>
        </w:tc>
      </w:tr>
    </w:tbl>
    <w:p w:rsidR="003F0BC5" w:rsidRPr="00992199" w:rsidRDefault="003F0BC5" w:rsidP="00353B80">
      <w:pPr>
        <w:pStyle w:val="Heading1"/>
        <w:keepNext/>
      </w:pPr>
      <w:bookmarkStart w:id="4" w:name="_Toc420593830"/>
      <w:r w:rsidRPr="00992199">
        <w:lastRenderedPageBreak/>
        <w:t xml:space="preserve">PART IV: </w:t>
      </w:r>
      <w:r w:rsidR="00EE44FC" w:rsidRPr="00304A20">
        <w:rPr>
          <w:rFonts w:ascii="Times New Roman Bold" w:hAnsi="Times New Roman Bold"/>
          <w:b w:val="0"/>
        </w:rPr>
        <w:t>The</w:t>
      </w:r>
      <w:r w:rsidR="00EE44FC" w:rsidRPr="00992199">
        <w:rPr>
          <w:caps w:val="0"/>
        </w:rPr>
        <w:t xml:space="preserve"> </w:t>
      </w:r>
      <w:r w:rsidRPr="00992199">
        <w:t>contributions</w:t>
      </w:r>
      <w:bookmarkEnd w:id="4"/>
    </w:p>
    <w:p w:rsidR="003F0BC5" w:rsidRPr="00992199" w:rsidRDefault="003F0BC5" w:rsidP="00C14169">
      <w:pPr>
        <w:pStyle w:val="Firm5L1"/>
        <w:keepNext/>
        <w:numPr>
          <w:ilvl w:val="0"/>
          <w:numId w:val="23"/>
        </w:numPr>
      </w:pPr>
      <w:bookmarkStart w:id="5" w:name="_Toc420593831"/>
      <w:r w:rsidRPr="00992199">
        <w:t>General description of the business combination</w:t>
      </w:r>
      <w:bookmarkEnd w:id="5"/>
    </w:p>
    <w:p w:rsidR="003F0BC5" w:rsidRPr="00992199" w:rsidRDefault="003F0BC5" w:rsidP="00353B80">
      <w:pPr>
        <w:pStyle w:val="Firm5L2"/>
        <w:keepNext/>
      </w:pPr>
      <w:bookmarkStart w:id="6" w:name="_Toc420593832"/>
      <w:r w:rsidRPr="00992199">
        <w:t>Context</w:t>
      </w:r>
      <w:bookmarkEnd w:id="6"/>
    </w:p>
    <w:p w:rsidR="00F76A91" w:rsidRDefault="00184321" w:rsidP="00F76A91">
      <w:r>
        <w:t>H</w:t>
      </w:r>
      <w:r w:rsidR="00F76A91">
        <w:t>ealth and environmental studies have demonstrated that:</w:t>
      </w:r>
    </w:p>
    <w:p w:rsidR="00F76A91" w:rsidRDefault="00184321" w:rsidP="00F76A91">
      <w:pPr>
        <w:pStyle w:val="BulletsL1"/>
      </w:pPr>
      <w:r>
        <w:t xml:space="preserve">the </w:t>
      </w:r>
      <w:r w:rsidR="00F76A91">
        <w:t>deterioration in alimentary diets, both in developed and developing countries, causes increasing health concerns which put pressure on national healthcare budgets. Fruit and vegetables are important components of a healthy diet, and their daily consumption</w:t>
      </w:r>
      <w:r>
        <w:t xml:space="preserve"> in sufficient quantities</w:t>
      </w:r>
      <w:r w:rsidR="00F76A91">
        <w:t xml:space="preserve"> could help prevent diseases, such as obesity, diabetes, cardiovascular diseases and certain cancers. Approximately 16,000,000 (1.0%) disability adjusted life years (a measure of the potential life lost due to premature mortality and the years of productive life lost due to disability) and 1,700,000 (2.8%) of deaths worldwide are attributable to low fruit and vegetable consumption.</w:t>
      </w:r>
      <w:r w:rsidR="00F76A91">
        <w:rPr>
          <w:rStyle w:val="FootnoteReference"/>
        </w:rPr>
        <w:footnoteReference w:id="1"/>
      </w:r>
    </w:p>
    <w:p w:rsidR="00F76A91" w:rsidRDefault="00184321" w:rsidP="00F76A91">
      <w:pPr>
        <w:pStyle w:val="BulletsL1"/>
      </w:pPr>
      <w:r>
        <w:t>a</w:t>
      </w:r>
      <w:r w:rsidR="00F76A91">
        <w:t xml:space="preserve"> growing world population calls for renewable food categories with a substantially lower environmental footprint.</w:t>
      </w:r>
    </w:p>
    <w:p w:rsidR="00F76A91" w:rsidRDefault="00F76A91" w:rsidP="00F76A91">
      <w:r>
        <w:t>Consumer behaviour, on the other hand, is changing very slowly. Although it is obvious that the consumption of fruit and vegetables addresses both societal challenges listed above, the actual consumpt</w:t>
      </w:r>
      <w:r w:rsidR="00F33B98">
        <w:t>ion pattern, especially in the w</w:t>
      </w:r>
      <w:r>
        <w:t xml:space="preserve">estern world, remains stable. The actual consumption of vegetables in </w:t>
      </w:r>
      <w:smartTag w:uri="urn:schemas-microsoft-com:office:smarttags" w:element="place">
        <w:r>
          <w:t>Europe</w:t>
        </w:r>
      </w:smartTag>
      <w:r>
        <w:t xml:space="preserve"> per day and per person (approximately 175 grams) is far below the recommended portion of 300 grams per day. Within the EU, fruit consumption per day and per person is on average 136 grams, or 45% below the recommended amount of 250 grams. In </w:t>
      </w:r>
      <w:smartTag w:uri="urn:schemas-microsoft-com:office:smarttags" w:element="country-region">
        <w:smartTag w:uri="urn:schemas-microsoft-com:office:smarttags" w:element="place">
          <w:r>
            <w:t>Belgium</w:t>
          </w:r>
        </w:smartTag>
      </w:smartTag>
      <w:r>
        <w:t>, specifically, the recommended combined amount of fruit and vegetables is set at 550 grams per day while the amount actually consumed is about 310 grams per day.</w:t>
      </w:r>
      <w:r>
        <w:rPr>
          <w:rStyle w:val="FootnoteReference"/>
        </w:rPr>
        <w:footnoteReference w:id="2"/>
      </w:r>
    </w:p>
    <w:p w:rsidR="00F76A91" w:rsidRDefault="00F76A91" w:rsidP="00F76A91">
      <w:r>
        <w:t>This is caused by a number of societal trends:</w:t>
      </w:r>
    </w:p>
    <w:p w:rsidR="00F76A91" w:rsidRDefault="00F76A91" w:rsidP="00F76A91">
      <w:pPr>
        <w:pStyle w:val="BulletsL1"/>
      </w:pPr>
      <w:r>
        <w:t>Lifestyle changes (convenience, individualisation, out of home eating) lead to substitution by food categories offering fat, salt and sugar indulgence.</w:t>
      </w:r>
    </w:p>
    <w:p w:rsidR="00F76A91" w:rsidRDefault="00F76A91" w:rsidP="00F76A91">
      <w:pPr>
        <w:pStyle w:val="BulletsL1"/>
      </w:pPr>
      <w:r>
        <w:t>The fruit and vegetables industry has been slow in communicating about and, relatedly, adapting to changing consumer lifestyles.</w:t>
      </w:r>
    </w:p>
    <w:p w:rsidR="00F76A91" w:rsidRDefault="00F76A91" w:rsidP="00F76A91">
      <w:pPr>
        <w:pStyle w:val="BulletsL1"/>
      </w:pPr>
      <w:r>
        <w:t xml:space="preserve">The fruit and vegetables industry is still highly fragmented, offers few marketing brands and </w:t>
      </w:r>
      <w:r w:rsidR="00C14169">
        <w:t xml:space="preserve">different </w:t>
      </w:r>
      <w:r>
        <w:t>categories (</w:t>
      </w:r>
      <w:r w:rsidRPr="00F76A91">
        <w:t xml:space="preserve">frozen </w:t>
      </w:r>
      <w:r>
        <w:t>versus canned versus fresh). This can have a confusing and sometimes even deterring effect on consumers.</w:t>
      </w:r>
    </w:p>
    <w:p w:rsidR="00F76A91" w:rsidRPr="00F33B98" w:rsidRDefault="00F76A91" w:rsidP="00F76A91">
      <w:r>
        <w:t xml:space="preserve">The </w:t>
      </w:r>
      <w:r w:rsidR="00F33B98">
        <w:t>fruit and vegetables industry</w:t>
      </w:r>
      <w:r>
        <w:t xml:space="preserve"> in which the Combined Greenyard Foods Group operates is estimated at </w:t>
      </w:r>
      <w:r w:rsidR="00E53641">
        <w:t>EUR </w:t>
      </w:r>
      <w:r>
        <w:t>101,000,000,000</w:t>
      </w:r>
      <w:r>
        <w:rPr>
          <w:rStyle w:val="FootnoteReference"/>
        </w:rPr>
        <w:footnoteReference w:id="3"/>
      </w:r>
      <w:r>
        <w:t xml:space="preserve">, spread over </w:t>
      </w:r>
      <w:r w:rsidR="00E53641">
        <w:t>EUR </w:t>
      </w:r>
      <w:r>
        <w:t xml:space="preserve">55,000,000,000 in vegetables and </w:t>
      </w:r>
      <w:r w:rsidR="00E53641">
        <w:t>EUR </w:t>
      </w:r>
      <w:r>
        <w:t xml:space="preserve">46,000,000,000 in fruit. The main characteriscs </w:t>
      </w:r>
      <w:r w:rsidR="00F33B98">
        <w:t xml:space="preserve">of this industry </w:t>
      </w:r>
      <w:r>
        <w:t>are described below.</w:t>
      </w:r>
      <w:r w:rsidR="00F33B98">
        <w:t xml:space="preserve"> </w:t>
      </w:r>
    </w:p>
    <w:p w:rsidR="00F76A91" w:rsidRPr="00413C4C" w:rsidRDefault="00F76A91" w:rsidP="00413C4C">
      <w:pPr>
        <w:pStyle w:val="BulletsL1"/>
      </w:pPr>
      <w:r w:rsidRPr="00413C4C">
        <w:t>Non-cyclical</w:t>
      </w:r>
    </w:p>
    <w:p w:rsidR="00F76A91" w:rsidRDefault="00413C4C" w:rsidP="00413C4C">
      <w:pPr>
        <w:widowControl w:val="0"/>
        <w:autoSpaceDE w:val="0"/>
        <w:autoSpaceDN w:val="0"/>
        <w:adjustRightInd w:val="0"/>
        <w:ind w:left="720"/>
      </w:pPr>
      <w:r>
        <w:t>F</w:t>
      </w:r>
      <w:r w:rsidR="00F76A91">
        <w:t xml:space="preserve">ruit and </w:t>
      </w:r>
      <w:r w:rsidR="00F76A91" w:rsidRPr="00413C4C">
        <w:rPr>
          <w:szCs w:val="20"/>
        </w:rPr>
        <w:t>vegetables</w:t>
      </w:r>
      <w:r w:rsidR="00F76A91">
        <w:t xml:space="preserve"> are considered basic consumer necessities and </w:t>
      </w:r>
      <w:r>
        <w:t xml:space="preserve">are </w:t>
      </w:r>
      <w:r w:rsidR="00F76A91">
        <w:t>therefore non-cyclical</w:t>
      </w:r>
      <w:r>
        <w:t>, v</w:t>
      </w:r>
      <w:r w:rsidR="00F76A91">
        <w:t>olumes are relatively immune to economic sentiment</w:t>
      </w:r>
      <w:r>
        <w:t xml:space="preserve"> and g</w:t>
      </w:r>
      <w:r w:rsidR="00F76A91">
        <w:t>rowth drivers include population growth and increased focus on healthy food (partly as a result of increased governmental focus on this topic)</w:t>
      </w:r>
      <w:r>
        <w:t>.</w:t>
      </w:r>
    </w:p>
    <w:p w:rsidR="00F76A91" w:rsidRPr="00413C4C" w:rsidRDefault="00F76A91" w:rsidP="00413C4C">
      <w:pPr>
        <w:pStyle w:val="BulletsL1"/>
      </w:pPr>
      <w:r w:rsidRPr="00413C4C">
        <w:t>Commodity yet relationship based</w:t>
      </w:r>
    </w:p>
    <w:p w:rsidR="00F76A91" w:rsidRDefault="00413C4C" w:rsidP="00413C4C">
      <w:pPr>
        <w:widowControl w:val="0"/>
        <w:autoSpaceDE w:val="0"/>
        <w:autoSpaceDN w:val="0"/>
        <w:adjustRightInd w:val="0"/>
        <w:ind w:left="720"/>
      </w:pPr>
      <w:r w:rsidRPr="00413C4C">
        <w:rPr>
          <w:szCs w:val="20"/>
        </w:rPr>
        <w:t>Fruit and vegetables are c</w:t>
      </w:r>
      <w:r w:rsidR="00F76A91" w:rsidRPr="00413C4C">
        <w:rPr>
          <w:szCs w:val="20"/>
        </w:rPr>
        <w:t>onsidered</w:t>
      </w:r>
      <w:r w:rsidR="00F76A91">
        <w:t xml:space="preserve"> </w:t>
      </w:r>
      <w:r>
        <w:t xml:space="preserve">to be </w:t>
      </w:r>
      <w:r w:rsidR="00F76A91">
        <w:t xml:space="preserve">commodity </w:t>
      </w:r>
      <w:r>
        <w:t xml:space="preserve">products </w:t>
      </w:r>
      <w:r w:rsidR="00F76A91">
        <w:t>as differentiation (besides quality, availability and service) is difficult and prices are typically set by the market</w:t>
      </w:r>
      <w:r>
        <w:t xml:space="preserve">. </w:t>
      </w:r>
      <w:r w:rsidR="00F76A91">
        <w:t xml:space="preserve">In </w:t>
      </w:r>
      <w:r w:rsidR="00F33B98">
        <w:rPr>
          <w:szCs w:val="20"/>
        </w:rPr>
        <w:t>the</w:t>
      </w:r>
      <w:r w:rsidR="00F33B98">
        <w:t xml:space="preserve"> fruit and vegetable </w:t>
      </w:r>
      <w:r>
        <w:t>market</w:t>
      </w:r>
      <w:r w:rsidR="00F76A91">
        <w:t xml:space="preserve">, some consumer brands exist and command a premium but </w:t>
      </w:r>
      <w:r>
        <w:t xml:space="preserve">remain an exception rather than </w:t>
      </w:r>
      <w:r w:rsidR="00F33B98">
        <w:t xml:space="preserve">the </w:t>
      </w:r>
      <w:r>
        <w:t>rule. Hence, g</w:t>
      </w:r>
      <w:r w:rsidR="00F76A91">
        <w:t>ood an</w:t>
      </w:r>
      <w:r w:rsidR="00F76A91" w:rsidRPr="00413C4C">
        <w:rPr>
          <w:szCs w:val="20"/>
        </w:rPr>
        <w:t>d</w:t>
      </w:r>
      <w:r>
        <w:t xml:space="preserve"> long-</w:t>
      </w:r>
      <w:r w:rsidR="00F76A91" w:rsidRPr="00413C4C">
        <w:rPr>
          <w:szCs w:val="20"/>
        </w:rPr>
        <w:t>term</w:t>
      </w:r>
      <w:r w:rsidR="00F76A91">
        <w:t xml:space="preserve"> relation</w:t>
      </w:r>
      <w:r>
        <w:t>ship</w:t>
      </w:r>
      <w:r w:rsidR="00F76A91">
        <w:t>s with key b</w:t>
      </w:r>
      <w:r>
        <w:t>uyers from retail chains is key, and c</w:t>
      </w:r>
      <w:r w:rsidR="00F76A91" w:rsidRPr="00413C4C">
        <w:rPr>
          <w:szCs w:val="20"/>
        </w:rPr>
        <w:t>ategory</w:t>
      </w:r>
      <w:r w:rsidR="00F76A91">
        <w:t xml:space="preserve"> management and innovative concepts provide opportunities t</w:t>
      </w:r>
      <w:r>
        <w:t>o offer distinguishing products.</w:t>
      </w:r>
    </w:p>
    <w:p w:rsidR="00F76A91" w:rsidRPr="00413C4C" w:rsidRDefault="00F76A91" w:rsidP="00413C4C">
      <w:pPr>
        <w:pStyle w:val="BulletsL1"/>
      </w:pPr>
      <w:r w:rsidRPr="00413C4C">
        <w:t>Origin</w:t>
      </w:r>
    </w:p>
    <w:p w:rsidR="00F76A91" w:rsidRDefault="00413C4C" w:rsidP="00413C4C">
      <w:pPr>
        <w:widowControl w:val="0"/>
        <w:autoSpaceDE w:val="0"/>
        <w:autoSpaceDN w:val="0"/>
        <w:adjustRightInd w:val="0"/>
        <w:ind w:left="720"/>
      </w:pPr>
      <w:r>
        <w:t>The more n</w:t>
      </w:r>
      <w:r w:rsidR="00F76A91">
        <w:t>orthern</w:t>
      </w:r>
      <w:r w:rsidR="00291D2F">
        <w:t xml:space="preserve"> a region is</w:t>
      </w:r>
      <w:r w:rsidR="00F76A91">
        <w:t>, the higher the share of imported fruit and vegetables</w:t>
      </w:r>
      <w:r>
        <w:t xml:space="preserve">. </w:t>
      </w:r>
      <w:r w:rsidR="00F76A91">
        <w:t xml:space="preserve">Locally </w:t>
      </w:r>
      <w:r w:rsidR="00F76A91" w:rsidRPr="00413C4C">
        <w:rPr>
          <w:szCs w:val="20"/>
        </w:rPr>
        <w:t>grown</w:t>
      </w:r>
      <w:r w:rsidR="00F76A91">
        <w:t xml:space="preserve"> products are said to be preferred, but consumers </w:t>
      </w:r>
      <w:r>
        <w:t xml:space="preserve">appear to </w:t>
      </w:r>
      <w:r w:rsidR="00F76A91">
        <w:t>often ignore origin</w:t>
      </w:r>
      <w:r>
        <w:t>. Further, most r</w:t>
      </w:r>
      <w:r w:rsidR="00F76A91">
        <w:t xml:space="preserve">aw materials for frozen and canned </w:t>
      </w:r>
      <w:r>
        <w:t xml:space="preserve">fruit and </w:t>
      </w:r>
      <w:r w:rsidR="00F76A91">
        <w:t xml:space="preserve">vegetables are sourced near the production facilities but can </w:t>
      </w:r>
      <w:r w:rsidR="00F76A91">
        <w:lastRenderedPageBreak/>
        <w:t xml:space="preserve">be </w:t>
      </w:r>
      <w:r w:rsidR="00F76A91" w:rsidRPr="00413C4C">
        <w:rPr>
          <w:szCs w:val="20"/>
        </w:rPr>
        <w:t>exported</w:t>
      </w:r>
      <w:r w:rsidR="00F76A91">
        <w:t xml:space="preserve"> globally</w:t>
      </w:r>
      <w:r>
        <w:t xml:space="preserve">. </w:t>
      </w:r>
      <w:r w:rsidR="00F76A91">
        <w:t xml:space="preserve">For </w:t>
      </w:r>
      <w:r w:rsidR="00F76A91" w:rsidRPr="00413C4C">
        <w:rPr>
          <w:szCs w:val="20"/>
        </w:rPr>
        <w:t>fresh</w:t>
      </w:r>
      <w:r w:rsidR="00F76A91">
        <w:t xml:space="preserve"> fruit</w:t>
      </w:r>
      <w:r>
        <w:t xml:space="preserve"> and vegetables</w:t>
      </w:r>
      <w:r w:rsidR="00F76A91">
        <w:t>, desired year</w:t>
      </w:r>
      <w:r>
        <w:t>-r</w:t>
      </w:r>
      <w:r w:rsidR="00F76A91">
        <w:t>ound availability is realised by sourcing globally</w:t>
      </w:r>
      <w:r>
        <w:t>.</w:t>
      </w:r>
    </w:p>
    <w:p w:rsidR="00F76A91" w:rsidRPr="00413C4C" w:rsidRDefault="00F76A91" w:rsidP="00413C4C">
      <w:pPr>
        <w:pStyle w:val="BulletsL1"/>
      </w:pPr>
      <w:r w:rsidRPr="00413C4C">
        <w:t>Fragmented industry</w:t>
      </w:r>
    </w:p>
    <w:p w:rsidR="00F76A91" w:rsidRDefault="00413C4C" w:rsidP="00413C4C">
      <w:pPr>
        <w:widowControl w:val="0"/>
        <w:autoSpaceDE w:val="0"/>
        <w:autoSpaceDN w:val="0"/>
        <w:adjustRightInd w:val="0"/>
        <w:ind w:left="720"/>
      </w:pPr>
      <w:r>
        <w:t>The s</w:t>
      </w:r>
      <w:r w:rsidR="00F76A91">
        <w:t>upply side is fragmented, with thousands horticult</w:t>
      </w:r>
      <w:r>
        <w:t>ural entrepreneurs active in EU. The r</w:t>
      </w:r>
      <w:r w:rsidR="00F76A91">
        <w:t xml:space="preserve">est of </w:t>
      </w:r>
      <w:r>
        <w:t xml:space="preserve">the </w:t>
      </w:r>
      <w:r w:rsidR="00F76A91">
        <w:t>supply chain is</w:t>
      </w:r>
      <w:r w:rsidR="00291D2F">
        <w:t>, although</w:t>
      </w:r>
      <w:r w:rsidR="00F76A91">
        <w:t xml:space="preserve"> still fragmented</w:t>
      </w:r>
      <w:r w:rsidR="00291D2F">
        <w:t xml:space="preserve">, </w:t>
      </w:r>
      <w:r w:rsidR="00F76A91">
        <w:t>consolida</w:t>
      </w:r>
      <w:r>
        <w:t>ting as entry barriers to the industry increase.</w:t>
      </w:r>
    </w:p>
    <w:p w:rsidR="00F76A91" w:rsidRPr="00413C4C" w:rsidRDefault="00F76A91" w:rsidP="00413C4C">
      <w:pPr>
        <w:pStyle w:val="BulletsL1"/>
      </w:pPr>
      <w:r w:rsidRPr="00413C4C">
        <w:t>Seasonal</w:t>
      </w:r>
    </w:p>
    <w:p w:rsidR="00F76A91" w:rsidRDefault="00413C4C" w:rsidP="00413C4C">
      <w:pPr>
        <w:widowControl w:val="0"/>
        <w:autoSpaceDE w:val="0"/>
        <w:autoSpaceDN w:val="0"/>
        <w:adjustRightInd w:val="0"/>
        <w:ind w:left="720"/>
      </w:pPr>
      <w:r>
        <w:t xml:space="preserve">The </w:t>
      </w:r>
      <w:r w:rsidR="00F76A91">
        <w:t>fruit and vegetables production is seasonal</w:t>
      </w:r>
      <w:r>
        <w:t>,</w:t>
      </w:r>
      <w:r w:rsidR="00F76A91">
        <w:t xml:space="preserve"> with the exception of tropical products and some </w:t>
      </w:r>
      <w:r w:rsidR="00F76A91" w:rsidRPr="00413C4C">
        <w:rPr>
          <w:szCs w:val="20"/>
        </w:rPr>
        <w:t>greenhouse</w:t>
      </w:r>
      <w:r>
        <w:t xml:space="preserve"> production. The </w:t>
      </w:r>
      <w:r w:rsidR="00F33B98">
        <w:t>Univeg Group</w:t>
      </w:r>
      <w:r w:rsidR="00F76A91">
        <w:t xml:space="preserve"> </w:t>
      </w:r>
      <w:r>
        <w:t>realises</w:t>
      </w:r>
      <w:r w:rsidR="00F76A91">
        <w:t xml:space="preserve"> </w:t>
      </w:r>
      <w:r>
        <w:t>the highest results</w:t>
      </w:r>
      <w:r w:rsidR="00F76A91">
        <w:t xml:space="preserve"> in the first half of the calendar year</w:t>
      </w:r>
      <w:r>
        <w:t xml:space="preserve">. </w:t>
      </w:r>
      <w:r w:rsidR="009365CE">
        <w:rPr>
          <w:szCs w:val="20"/>
        </w:rPr>
        <w:t xml:space="preserve">The </w:t>
      </w:r>
      <w:r w:rsidR="00F33B98">
        <w:rPr>
          <w:szCs w:val="20"/>
        </w:rPr>
        <w:t>Frozen Division</w:t>
      </w:r>
      <w:r w:rsidR="00F76A91">
        <w:t xml:space="preserve"> </w:t>
      </w:r>
      <w:r w:rsidR="009365CE" w:rsidRPr="009365CE">
        <w:t xml:space="preserve">realises the highest results in the </w:t>
      </w:r>
      <w:r w:rsidR="009365CE">
        <w:t>second half of the calendar year</w:t>
      </w:r>
      <w:r w:rsidR="009365CE" w:rsidRPr="009365CE">
        <w:t xml:space="preserve">. The results of the </w:t>
      </w:r>
      <w:r w:rsidR="00F33B98">
        <w:t>Canned Division</w:t>
      </w:r>
      <w:r w:rsidR="009365CE" w:rsidRPr="009365CE">
        <w:t xml:space="preserve"> are less sensitive to seasonality because the production is more spread over the year due to the higher importance of the convenience products and the processing of winter vegetables.</w:t>
      </w:r>
    </w:p>
    <w:p w:rsidR="00F76A91" w:rsidRPr="00413C4C" w:rsidRDefault="00F76A91" w:rsidP="00413C4C">
      <w:pPr>
        <w:pStyle w:val="BulletsL1"/>
      </w:pPr>
      <w:r w:rsidRPr="00413C4C">
        <w:t>Consolidated retail landscape</w:t>
      </w:r>
    </w:p>
    <w:p w:rsidR="00F76A91" w:rsidRDefault="00F76A91" w:rsidP="00413C4C">
      <w:pPr>
        <w:widowControl w:val="0"/>
        <w:autoSpaceDE w:val="0"/>
        <w:autoSpaceDN w:val="0"/>
        <w:adjustRightInd w:val="0"/>
        <w:ind w:left="720"/>
        <w:rPr>
          <w:rFonts w:ascii="Arial" w:hAnsi="Arial" w:cs="Arial"/>
          <w:szCs w:val="20"/>
          <w:lang w:eastAsia="en-GB"/>
        </w:rPr>
      </w:pPr>
      <w:r>
        <w:t xml:space="preserve">In most EU countries, </w:t>
      </w:r>
      <w:r w:rsidR="009365CE">
        <w:t xml:space="preserve">the </w:t>
      </w:r>
      <w:r>
        <w:t xml:space="preserve">food retail market is </w:t>
      </w:r>
      <w:r w:rsidR="009365CE">
        <w:t>rather</w:t>
      </w:r>
      <w:r>
        <w:t xml:space="preserve"> consolidated, with powerful leading players</w:t>
      </w:r>
      <w:r w:rsidR="009365CE">
        <w:t xml:space="preserve">, </w:t>
      </w:r>
      <w:r w:rsidR="00184321">
        <w:t>of which most</w:t>
      </w:r>
      <w:r>
        <w:t xml:space="preserve"> are credit-worthy</w:t>
      </w:r>
      <w:r w:rsidR="009365CE">
        <w:t xml:space="preserve">, </w:t>
      </w:r>
      <w:r w:rsidR="00291D2F">
        <w:t>making</w:t>
      </w:r>
      <w:r>
        <w:t xml:space="preserve"> obtaining credit insurance eas</w:t>
      </w:r>
      <w:r w:rsidR="009365CE">
        <w:t>ier. F</w:t>
      </w:r>
      <w:r>
        <w:t xml:space="preserve">ruit and vegetables </w:t>
      </w:r>
      <w:r w:rsidR="009365CE">
        <w:t>are</w:t>
      </w:r>
      <w:r>
        <w:t xml:space="preserve"> an important and differentiating category for food retailers (representing </w:t>
      </w:r>
      <w:r w:rsidR="009365CE">
        <w:t>approximately 10% of total food sales), but t</w:t>
      </w:r>
      <w:r w:rsidRPr="00413C4C">
        <w:rPr>
          <w:szCs w:val="20"/>
        </w:rPr>
        <w:t>raditional</w:t>
      </w:r>
      <w:r>
        <w:t xml:space="preserve"> food retailers are challenged by discounters upgrading their fruit and vegetables </w:t>
      </w:r>
      <w:r w:rsidR="005F5D47">
        <w:t>section</w:t>
      </w:r>
      <w:r w:rsidR="00C14169">
        <w:t>.</w:t>
      </w:r>
      <w:r>
        <w:t xml:space="preserve"> </w:t>
      </w:r>
    </w:p>
    <w:p w:rsidR="003F0BC5" w:rsidRPr="00992199" w:rsidRDefault="003F0BC5" w:rsidP="00353B80">
      <w:pPr>
        <w:pStyle w:val="Firm5L2"/>
        <w:keepNext/>
      </w:pPr>
      <w:bookmarkStart w:id="7" w:name="_Toc420593833"/>
      <w:r w:rsidRPr="00992199">
        <w:t>Business rationale of the Transactions</w:t>
      </w:r>
      <w:bookmarkEnd w:id="7"/>
    </w:p>
    <w:p w:rsidR="009365CE" w:rsidRPr="00992199" w:rsidRDefault="009365CE" w:rsidP="009365CE">
      <w:pPr>
        <w:rPr>
          <w:szCs w:val="20"/>
        </w:rPr>
      </w:pPr>
      <w:r w:rsidRPr="00992199">
        <w:rPr>
          <w:szCs w:val="20"/>
        </w:rPr>
        <w:t xml:space="preserve">On 13 April 2015, the </w:t>
      </w:r>
      <w:r>
        <w:rPr>
          <w:szCs w:val="20"/>
        </w:rPr>
        <w:t>Company</w:t>
      </w:r>
      <w:r w:rsidRPr="00992199">
        <w:rPr>
          <w:szCs w:val="20"/>
        </w:rPr>
        <w:t xml:space="preserve"> announced that a letter of intent had been signed with respect to a business combination between the </w:t>
      </w:r>
      <w:r>
        <w:rPr>
          <w:szCs w:val="20"/>
        </w:rPr>
        <w:t>Greenyard Foods</w:t>
      </w:r>
      <w:r w:rsidRPr="00992199">
        <w:rPr>
          <w:szCs w:val="20"/>
        </w:rPr>
        <w:t xml:space="preserve"> Group, the Univeg Group and the Peatinvest Group to create a global leader in fruit and vegetables. The </w:t>
      </w:r>
      <w:r w:rsidR="002D3771">
        <w:rPr>
          <w:szCs w:val="20"/>
        </w:rPr>
        <w:t>Transactions have</w:t>
      </w:r>
      <w:r w:rsidRPr="00992199">
        <w:rPr>
          <w:szCs w:val="20"/>
        </w:rPr>
        <w:t xml:space="preserve"> the potential to create a unique global player in the </w:t>
      </w:r>
      <w:r w:rsidRPr="00F76A91">
        <w:t>fruit</w:t>
      </w:r>
      <w:r w:rsidRPr="00992199">
        <w:rPr>
          <w:szCs w:val="20"/>
        </w:rPr>
        <w:t xml:space="preserve"> and vegetables market capable of offering the full range of</w:t>
      </w:r>
      <w:r w:rsidR="00291D2F">
        <w:rPr>
          <w:szCs w:val="20"/>
        </w:rPr>
        <w:t xml:space="preserve"> frozen, </w:t>
      </w:r>
      <w:r w:rsidRPr="00992199">
        <w:rPr>
          <w:szCs w:val="20"/>
        </w:rPr>
        <w:t xml:space="preserve">canned </w:t>
      </w:r>
      <w:r w:rsidR="00291D2F">
        <w:rPr>
          <w:szCs w:val="20"/>
        </w:rPr>
        <w:t xml:space="preserve">and fresh </w:t>
      </w:r>
      <w:r w:rsidRPr="00992199">
        <w:rPr>
          <w:szCs w:val="20"/>
        </w:rPr>
        <w:t xml:space="preserve">products. The combination of the </w:t>
      </w:r>
      <w:r>
        <w:rPr>
          <w:szCs w:val="20"/>
        </w:rPr>
        <w:t>Greenyard Foods</w:t>
      </w:r>
      <w:r w:rsidRPr="00992199">
        <w:rPr>
          <w:szCs w:val="20"/>
        </w:rPr>
        <w:t xml:space="preserve"> Group, the Univeg Group and the Peatinvest Group create</w:t>
      </w:r>
      <w:r>
        <w:rPr>
          <w:szCs w:val="20"/>
        </w:rPr>
        <w:t>s</w:t>
      </w:r>
      <w:r w:rsidRPr="00992199">
        <w:rPr>
          <w:szCs w:val="20"/>
        </w:rPr>
        <w:t xml:space="preserve"> a global market leader with combine</w:t>
      </w:r>
      <w:r>
        <w:rPr>
          <w:szCs w:val="20"/>
        </w:rPr>
        <w:t xml:space="preserve">d sales in excess of </w:t>
      </w:r>
      <w:r w:rsidR="00E53641">
        <w:rPr>
          <w:szCs w:val="20"/>
        </w:rPr>
        <w:t>EUR </w:t>
      </w:r>
      <w:r>
        <w:rPr>
          <w:szCs w:val="20"/>
        </w:rPr>
        <w:t>3,9</w:t>
      </w:r>
      <w:r w:rsidRPr="00992199">
        <w:rPr>
          <w:szCs w:val="20"/>
        </w:rPr>
        <w:t>00,000,000</w:t>
      </w:r>
      <w:r>
        <w:rPr>
          <w:szCs w:val="20"/>
        </w:rPr>
        <w:t>,</w:t>
      </w:r>
      <w:r w:rsidRPr="008619B4">
        <w:t>000</w:t>
      </w:r>
      <w:r>
        <w:t>, based on combined pro-forma financial statements for the financial year ended 31 March 2015</w:t>
      </w:r>
      <w:r w:rsidRPr="00992199">
        <w:rPr>
          <w:szCs w:val="20"/>
        </w:rPr>
        <w:t>.</w:t>
      </w:r>
    </w:p>
    <w:p w:rsidR="009365CE" w:rsidRDefault="00184321" w:rsidP="009365CE">
      <w:pPr>
        <w:widowControl w:val="0"/>
        <w:autoSpaceDE w:val="0"/>
        <w:autoSpaceDN w:val="0"/>
        <w:adjustRightInd w:val="0"/>
        <w:spacing w:after="200"/>
        <w:rPr>
          <w:i/>
        </w:rPr>
      </w:pPr>
      <w:r>
        <w:t xml:space="preserve">Mr </w:t>
      </w:r>
      <w:r w:rsidR="009365CE">
        <w:t xml:space="preserve">Hein Deprez, Chairman of </w:t>
      </w:r>
      <w:r w:rsidR="003601EC" w:rsidRPr="003601EC">
        <w:t xml:space="preserve">of the Greenyard Foods Group, the Univeg Group and the Peatinvest Group </w:t>
      </w:r>
      <w:r w:rsidR="009365CE">
        <w:t>stated: “</w:t>
      </w:r>
      <w:r w:rsidR="009365CE">
        <w:rPr>
          <w:i/>
        </w:rPr>
        <w:t xml:space="preserve">Creating a combined group offering fresh, frozen and canned fruit and vegetables will be beneficial to growers, consumers, retailers, employees and shareholders. We believe societal trends call for a broader view on fruit and vegetable consumption.” </w:t>
      </w:r>
    </w:p>
    <w:p w:rsidR="009365CE" w:rsidRDefault="009365CE" w:rsidP="009365CE">
      <w:pPr>
        <w:widowControl w:val="0"/>
        <w:autoSpaceDE w:val="0"/>
        <w:autoSpaceDN w:val="0"/>
        <w:adjustRightInd w:val="0"/>
        <w:spacing w:after="200"/>
      </w:pPr>
      <w:r>
        <w:t xml:space="preserve">Mr Hein Deprez’s vision is based on </w:t>
      </w:r>
      <w:r w:rsidR="00184321">
        <w:t>a</w:t>
      </w:r>
      <w:r>
        <w:t xml:space="preserve"> 25 years track record in producing, sourcing and marketing fruit and vegetables. From humble beginnings, Mr Hein Deprez has successfully built a global market leader in this industry, by linking his business model very closely to that of his retail partners.</w:t>
      </w:r>
    </w:p>
    <w:p w:rsidR="009365CE" w:rsidRDefault="009365CE" w:rsidP="009365CE">
      <w:pPr>
        <w:widowControl w:val="0"/>
        <w:autoSpaceDE w:val="0"/>
        <w:autoSpaceDN w:val="0"/>
        <w:adjustRightInd w:val="0"/>
        <w:spacing w:after="200"/>
      </w:pPr>
      <w:r>
        <w:t>Today, based on market research conducted by the Combined Greenyard Foods Group, these are the market positions of the respective groups:</w:t>
      </w:r>
    </w:p>
    <w:p w:rsidR="002D3771" w:rsidRPr="002D3771" w:rsidRDefault="002D3771" w:rsidP="002D3771">
      <w:pPr>
        <w:pStyle w:val="BulletsL1"/>
      </w:pPr>
      <w:r w:rsidRPr="002D3771">
        <w:t xml:space="preserve">The Greenyard Foods Group is #2 in frozen en #5 in canned fruit and vegetables in </w:t>
      </w:r>
      <w:smartTag w:uri="urn:schemas-microsoft-com:office:smarttags" w:element="place">
        <w:r w:rsidRPr="002D3771">
          <w:t>Europe</w:t>
        </w:r>
      </w:smartTag>
      <w:r w:rsidR="00291D2F">
        <w:t>.</w:t>
      </w:r>
    </w:p>
    <w:p w:rsidR="009365CE" w:rsidRDefault="009365CE" w:rsidP="002D3771">
      <w:pPr>
        <w:pStyle w:val="BulletsL1"/>
      </w:pPr>
      <w:r>
        <w:t>The Univeg Group is #3 in fresh fruit and vegetables globally</w:t>
      </w:r>
      <w:r w:rsidR="00291D2F">
        <w:t>.</w:t>
      </w:r>
    </w:p>
    <w:p w:rsidR="009365CE" w:rsidRDefault="009365CE" w:rsidP="002D3771">
      <w:pPr>
        <w:pStyle w:val="BulletsL1"/>
      </w:pPr>
      <w:r>
        <w:t xml:space="preserve">Peatinvest is #3 in soil improvers and growing media in </w:t>
      </w:r>
      <w:smartTag w:uri="urn:schemas-microsoft-com:office:smarttags" w:element="place">
        <w:r>
          <w:t>Europe</w:t>
        </w:r>
      </w:smartTag>
      <w:r w:rsidR="00184321">
        <w:t>.</w:t>
      </w:r>
    </w:p>
    <w:p w:rsidR="009365CE" w:rsidRDefault="003601EC" w:rsidP="009365CE">
      <w:r>
        <w:t>Together</w:t>
      </w:r>
      <w:r w:rsidR="009365CE">
        <w:t xml:space="preserve">, the </w:t>
      </w:r>
      <w:r w:rsidRPr="003601EC">
        <w:t xml:space="preserve">Combined Greenyard Foods Group </w:t>
      </w:r>
      <w:r>
        <w:t xml:space="preserve">believes it </w:t>
      </w:r>
      <w:r w:rsidR="009365CE">
        <w:t xml:space="preserve">will become </w:t>
      </w:r>
      <w:r w:rsidR="00C14169">
        <w:t>one of the worldwide leaders</w:t>
      </w:r>
      <w:r w:rsidR="009365CE">
        <w:t xml:space="preserve"> active in all </w:t>
      </w:r>
      <w:r w:rsidR="002D3771">
        <w:t>these</w:t>
      </w:r>
      <w:r w:rsidR="009365CE">
        <w:t xml:space="preserve"> segments, serving 28 of the top 30 European ret</w:t>
      </w:r>
      <w:r>
        <w:t>ailers with more than 8,000 FTE</w:t>
      </w:r>
      <w:r w:rsidR="009365CE">
        <w:t xml:space="preserve">s in </w:t>
      </w:r>
      <w:r>
        <w:t>three</w:t>
      </w:r>
      <w:r w:rsidR="009365CE">
        <w:t xml:space="preserve"> divisions:</w:t>
      </w:r>
    </w:p>
    <w:p w:rsidR="002D3771" w:rsidRPr="002D3771" w:rsidRDefault="002D3771" w:rsidP="002D3771">
      <w:pPr>
        <w:pStyle w:val="BulletsL1"/>
      </w:pPr>
      <w:r w:rsidRPr="002D3771">
        <w:t>Frozen and canned fruit and vegetables</w:t>
      </w:r>
      <w:r>
        <w:t xml:space="preserve"> and vegetable based preparations</w:t>
      </w:r>
    </w:p>
    <w:p w:rsidR="009365CE" w:rsidRDefault="009365CE" w:rsidP="002D3771">
      <w:pPr>
        <w:pStyle w:val="BulletsL1"/>
      </w:pPr>
      <w:r>
        <w:t>Fresh fruit and vegetables</w:t>
      </w:r>
    </w:p>
    <w:p w:rsidR="009365CE" w:rsidRDefault="009365CE" w:rsidP="002D3771">
      <w:pPr>
        <w:pStyle w:val="BulletsL1"/>
      </w:pPr>
      <w:r>
        <w:t xml:space="preserve">Soil improvers </w:t>
      </w:r>
      <w:r w:rsidR="002D3771">
        <w:t>and</w:t>
      </w:r>
      <w:r>
        <w:t xml:space="preserve"> growing media</w:t>
      </w:r>
    </w:p>
    <w:p w:rsidR="009365CE" w:rsidRDefault="002D3771" w:rsidP="009365CE">
      <w:r w:rsidRPr="002D3771">
        <w:t xml:space="preserve">The Greenyard Foods Group operates 11 state-of-the-art production facilities in </w:t>
      </w:r>
      <w:smartTag w:uri="urn:schemas-microsoft-com:office:smarttags" w:element="country-region">
        <w:r w:rsidRPr="002D3771">
          <w:t>Belgium</w:t>
        </w:r>
      </w:smartTag>
      <w:r w:rsidRPr="002D3771">
        <w:t xml:space="preserve">, </w:t>
      </w:r>
      <w:smartTag w:uri="urn:schemas-microsoft-com:office:smarttags" w:element="country-region">
        <w:r w:rsidRPr="002D3771">
          <w:t>France</w:t>
        </w:r>
      </w:smartTag>
      <w:r w:rsidRPr="002D3771">
        <w:t xml:space="preserve">, </w:t>
      </w:r>
      <w:smartTag w:uri="urn:schemas-microsoft-com:office:smarttags" w:element="country-region">
        <w:r w:rsidRPr="002D3771">
          <w:t>UK</w:t>
        </w:r>
      </w:smartTag>
      <w:r w:rsidRPr="002D3771">
        <w:t xml:space="preserve">, </w:t>
      </w:r>
      <w:smartTag w:uri="urn:schemas-microsoft-com:office:smarttags" w:element="country-region">
        <w:r w:rsidRPr="002D3771">
          <w:t>Poland</w:t>
        </w:r>
      </w:smartTag>
      <w:r w:rsidRPr="002D3771">
        <w:t xml:space="preserve"> and </w:t>
      </w:r>
      <w:smartTag w:uri="urn:schemas-microsoft-com:office:smarttags" w:element="country-region">
        <w:smartTag w:uri="urn:schemas-microsoft-com:office:smarttags" w:element="place">
          <w:r w:rsidRPr="002D3771">
            <w:t>Germany</w:t>
          </w:r>
        </w:smartTag>
      </w:smartTag>
      <w:r>
        <w:t xml:space="preserve">. </w:t>
      </w:r>
      <w:r w:rsidR="009365CE">
        <w:t xml:space="preserve">The </w:t>
      </w:r>
      <w:r>
        <w:t>Univeg</w:t>
      </w:r>
      <w:r w:rsidR="003601EC" w:rsidRPr="003601EC">
        <w:t xml:space="preserve"> Group </w:t>
      </w:r>
      <w:r w:rsidR="009365CE">
        <w:t>sources globally through 32 ripening, packing and service centres for year-round offering and focused sales in the best markets for fresh produce.</w:t>
      </w:r>
      <w:r>
        <w:t xml:space="preserve"> T</w:t>
      </w:r>
      <w:r w:rsidR="009365CE">
        <w:t xml:space="preserve">he </w:t>
      </w:r>
      <w:r>
        <w:t>Peatinvest Group</w:t>
      </w:r>
      <w:r w:rsidR="009365CE">
        <w:t xml:space="preserve"> operates </w:t>
      </w:r>
      <w:r w:rsidR="003601EC">
        <w:t>nine</w:t>
      </w:r>
      <w:r w:rsidR="009365CE">
        <w:t xml:space="preserve"> facilities spread over </w:t>
      </w:r>
      <w:smartTag w:uri="urn:schemas-microsoft-com:office:smarttags" w:element="country-region">
        <w:r w:rsidR="009365CE">
          <w:t>Belgium</w:t>
        </w:r>
      </w:smartTag>
      <w:r w:rsidR="009365CE">
        <w:t xml:space="preserve">, </w:t>
      </w:r>
      <w:smartTag w:uri="urn:schemas-microsoft-com:office:smarttags" w:element="country-region">
        <w:r w:rsidR="009365CE">
          <w:t>France</w:t>
        </w:r>
      </w:smartTag>
      <w:r w:rsidR="009365CE">
        <w:t xml:space="preserve">, </w:t>
      </w:r>
      <w:smartTag w:uri="urn:schemas-microsoft-com:office:smarttags" w:element="country-region">
        <w:r w:rsidR="009365CE">
          <w:t>Poland</w:t>
        </w:r>
      </w:smartTag>
      <w:r w:rsidR="009365CE">
        <w:t xml:space="preserve"> and </w:t>
      </w:r>
      <w:smartTag w:uri="urn:schemas-microsoft-com:office:smarttags" w:element="country-region">
        <w:smartTag w:uri="urn:schemas-microsoft-com:office:smarttags" w:element="place">
          <w:r w:rsidR="009365CE">
            <w:t>Latvia</w:t>
          </w:r>
        </w:smartTag>
      </w:smartTag>
      <w:r w:rsidR="009365CE">
        <w:t>.</w:t>
      </w:r>
    </w:p>
    <w:p w:rsidR="009365CE" w:rsidRDefault="009365CE" w:rsidP="009365CE">
      <w:pPr>
        <w:widowControl w:val="0"/>
        <w:autoSpaceDE w:val="0"/>
        <w:autoSpaceDN w:val="0"/>
        <w:adjustRightInd w:val="0"/>
        <w:spacing w:after="200"/>
      </w:pPr>
      <w:r>
        <w:t xml:space="preserve">The three </w:t>
      </w:r>
      <w:r w:rsidR="00F80050">
        <w:t>groups</w:t>
      </w:r>
      <w:r>
        <w:t xml:space="preserve"> complement each other for a full range offering towards the retailer and consumer. The </w:t>
      </w:r>
      <w:r>
        <w:lastRenderedPageBreak/>
        <w:t xml:space="preserve">business rationale for the </w:t>
      </w:r>
      <w:r w:rsidR="002D3771">
        <w:t>Transactions focuses on three</w:t>
      </w:r>
      <w:r>
        <w:t xml:space="preserve"> axes:</w:t>
      </w:r>
    </w:p>
    <w:p w:rsidR="009365CE" w:rsidRPr="003601EC" w:rsidRDefault="009365CE" w:rsidP="003601EC">
      <w:pPr>
        <w:pStyle w:val="BulletsL1"/>
      </w:pPr>
      <w:r w:rsidRPr="003601EC">
        <w:t>Have a meaningful impact on the market</w:t>
      </w:r>
    </w:p>
    <w:p w:rsidR="009365CE" w:rsidRDefault="003601EC" w:rsidP="003601EC">
      <w:pPr>
        <w:widowControl w:val="0"/>
        <w:autoSpaceDE w:val="0"/>
        <w:autoSpaceDN w:val="0"/>
        <w:adjustRightInd w:val="0"/>
        <w:ind w:left="720"/>
      </w:pPr>
      <w:r>
        <w:t>T</w:t>
      </w:r>
      <w:r w:rsidR="009365CE">
        <w:t>he</w:t>
      </w:r>
      <w:r>
        <w:t xml:space="preserve"> </w:t>
      </w:r>
      <w:r w:rsidRPr="003601EC">
        <w:t>Combined Greenyard Foods Group</w:t>
      </w:r>
      <w:r w:rsidR="009365CE">
        <w:t xml:space="preserve"> will be better positioned to catalyse and affect market</w:t>
      </w:r>
      <w:r>
        <w:t xml:space="preserve"> changes and consumption patterns.</w:t>
      </w:r>
    </w:p>
    <w:p w:rsidR="009365CE" w:rsidRPr="003601EC" w:rsidRDefault="009365CE" w:rsidP="003601EC">
      <w:pPr>
        <w:pStyle w:val="BulletsL1"/>
      </w:pPr>
      <w:r w:rsidRPr="003601EC">
        <w:t>Grow market share</w:t>
      </w:r>
    </w:p>
    <w:p w:rsidR="009365CE" w:rsidRDefault="003601EC" w:rsidP="003601EC">
      <w:pPr>
        <w:widowControl w:val="0"/>
        <w:autoSpaceDE w:val="0"/>
        <w:autoSpaceDN w:val="0"/>
        <w:adjustRightInd w:val="0"/>
        <w:ind w:left="720"/>
      </w:pPr>
      <w:r>
        <w:t xml:space="preserve">The </w:t>
      </w:r>
      <w:r w:rsidRPr="003601EC">
        <w:t>Combined Greenyard Foods Group</w:t>
      </w:r>
      <w:r w:rsidR="009365CE">
        <w:t xml:space="preserve"> will be better positioned to grow market share via consumer based innovations and category management, in clo</w:t>
      </w:r>
      <w:r>
        <w:t>se cooperation with its retail customers.</w:t>
      </w:r>
    </w:p>
    <w:p w:rsidR="009365CE" w:rsidRPr="003601EC" w:rsidRDefault="003601EC" w:rsidP="003601EC">
      <w:pPr>
        <w:pStyle w:val="BulletsL1"/>
      </w:pPr>
      <w:r>
        <w:t>Create cross-fertilis</w:t>
      </w:r>
      <w:r w:rsidR="009365CE" w:rsidRPr="003601EC">
        <w:t>ation and synergies</w:t>
      </w:r>
    </w:p>
    <w:p w:rsidR="009365CE" w:rsidRDefault="003601EC" w:rsidP="003601EC">
      <w:pPr>
        <w:widowControl w:val="0"/>
        <w:autoSpaceDE w:val="0"/>
        <w:autoSpaceDN w:val="0"/>
        <w:adjustRightInd w:val="0"/>
        <w:ind w:left="720"/>
      </w:pPr>
      <w:r>
        <w:t>A</w:t>
      </w:r>
      <w:r w:rsidR="009365CE">
        <w:t xml:space="preserve"> number of commercial and operational synergies will enable the </w:t>
      </w:r>
      <w:r w:rsidRPr="003601EC">
        <w:t xml:space="preserve">Combined Greenyard Foods Group </w:t>
      </w:r>
      <w:r w:rsidR="009365CE">
        <w:t xml:space="preserve">to grow revenues faster than the individual </w:t>
      </w:r>
      <w:r>
        <w:t>groups</w:t>
      </w:r>
      <w:r w:rsidR="009365CE">
        <w:t xml:space="preserve">. </w:t>
      </w:r>
    </w:p>
    <w:p w:rsidR="009365CE" w:rsidRDefault="009365CE" w:rsidP="003601EC">
      <w:pPr>
        <w:widowControl w:val="0"/>
        <w:autoSpaceDE w:val="0"/>
        <w:autoSpaceDN w:val="0"/>
        <w:adjustRightInd w:val="0"/>
      </w:pPr>
      <w:r>
        <w:t xml:space="preserve">The </w:t>
      </w:r>
      <w:r w:rsidR="003601EC" w:rsidRPr="003601EC">
        <w:t xml:space="preserve">Combined Greenyard Foods Group </w:t>
      </w:r>
      <w:r>
        <w:t>plans to seize key opportunities to revitalise consumption of fruit and vegetables by taking a number of initiatives:</w:t>
      </w:r>
    </w:p>
    <w:p w:rsidR="009365CE" w:rsidRPr="003601EC" w:rsidRDefault="009365CE" w:rsidP="003601EC">
      <w:pPr>
        <w:pStyle w:val="BulletsL1"/>
      </w:pPr>
      <w:r w:rsidRPr="003601EC">
        <w:t>Consumer focused initiatives</w:t>
      </w:r>
    </w:p>
    <w:p w:rsidR="009365CE" w:rsidRDefault="003601EC" w:rsidP="003601EC">
      <w:pPr>
        <w:widowControl w:val="0"/>
        <w:autoSpaceDE w:val="0"/>
        <w:autoSpaceDN w:val="0"/>
        <w:adjustRightInd w:val="0"/>
        <w:ind w:left="720"/>
      </w:pPr>
      <w:r>
        <w:t xml:space="preserve">The </w:t>
      </w:r>
      <w:r w:rsidRPr="003601EC">
        <w:t xml:space="preserve">Combined Greenyard Foods Group </w:t>
      </w:r>
      <w:r>
        <w:t xml:space="preserve">aims to further </w:t>
      </w:r>
      <w:r w:rsidR="009365CE">
        <w:t>improve convenience by offering semi-prepared fruit and vegetables and respond better to new cooking moments</w:t>
      </w:r>
      <w:r>
        <w:t>. It will f</w:t>
      </w:r>
      <w:r w:rsidR="009365CE">
        <w:t>ocus resources on informing consumers about convenience, taste, enjoyment and versatility through social media</w:t>
      </w:r>
      <w:r>
        <w:t xml:space="preserve"> and will p</w:t>
      </w:r>
      <w:r w:rsidR="009365CE">
        <w:t>rovide preparation advice and better cooking methods, with a focus on educating consumers</w:t>
      </w:r>
      <w:r>
        <w:t>.</w:t>
      </w:r>
    </w:p>
    <w:p w:rsidR="009365CE" w:rsidRPr="003601EC" w:rsidRDefault="009365CE" w:rsidP="003601EC">
      <w:pPr>
        <w:pStyle w:val="BulletsL1"/>
      </w:pPr>
      <w:r w:rsidRPr="003601EC">
        <w:t>Product-centric tactics</w:t>
      </w:r>
    </w:p>
    <w:p w:rsidR="009365CE" w:rsidRDefault="003601EC" w:rsidP="003601EC">
      <w:pPr>
        <w:widowControl w:val="0"/>
        <w:autoSpaceDE w:val="0"/>
        <w:autoSpaceDN w:val="0"/>
        <w:adjustRightInd w:val="0"/>
        <w:ind w:left="720"/>
      </w:pPr>
      <w:r w:rsidRPr="003601EC">
        <w:t xml:space="preserve">The Combined Greenyard Foods Group </w:t>
      </w:r>
      <w:r>
        <w:t>aims to e</w:t>
      </w:r>
      <w:r w:rsidR="009365CE">
        <w:t>xpand consumption moments, offering new products for on-the-go and in-between consumption</w:t>
      </w:r>
      <w:r>
        <w:t xml:space="preserve"> and </w:t>
      </w:r>
      <w:r w:rsidR="002D3771">
        <w:t>will</w:t>
      </w:r>
      <w:r>
        <w:t xml:space="preserve"> o</w:t>
      </w:r>
      <w:r w:rsidR="009365CE">
        <w:t>ffer variety and new, exotic vegetables</w:t>
      </w:r>
      <w:r>
        <w:t xml:space="preserve">. It </w:t>
      </w:r>
      <w:r w:rsidR="002D3771">
        <w:t>aims to</w:t>
      </w:r>
      <w:r>
        <w:t xml:space="preserve"> s</w:t>
      </w:r>
      <w:r w:rsidR="009365CE">
        <w:t>upport retailers’ category management to make point of sales more inspiring</w:t>
      </w:r>
      <w:r>
        <w:t>.</w:t>
      </w:r>
    </w:p>
    <w:p w:rsidR="009365CE" w:rsidRPr="003601EC" w:rsidRDefault="009365CE" w:rsidP="003601EC">
      <w:pPr>
        <w:pStyle w:val="BulletsL1"/>
      </w:pPr>
      <w:r w:rsidRPr="003601EC">
        <w:t>Industry based initiatives</w:t>
      </w:r>
    </w:p>
    <w:p w:rsidR="009365CE" w:rsidRDefault="003601EC" w:rsidP="003601EC">
      <w:pPr>
        <w:widowControl w:val="0"/>
        <w:autoSpaceDE w:val="0"/>
        <w:autoSpaceDN w:val="0"/>
        <w:adjustRightInd w:val="0"/>
        <w:ind w:left="720"/>
      </w:pPr>
      <w:r>
        <w:t xml:space="preserve">The </w:t>
      </w:r>
      <w:r w:rsidRPr="003601EC">
        <w:t xml:space="preserve">Combined Greenyard Foods Group </w:t>
      </w:r>
      <w:r>
        <w:t>will lobby for increased fruit and</w:t>
      </w:r>
      <w:r w:rsidR="009365CE">
        <w:t xml:space="preserve"> vegetable consumption</w:t>
      </w:r>
      <w:r>
        <w:t>. It aims to r</w:t>
      </w:r>
      <w:r w:rsidR="009365CE">
        <w:t>each consistent high taste and quality level through supply chain control</w:t>
      </w:r>
      <w:r>
        <w:t xml:space="preserve"> and to e</w:t>
      </w:r>
      <w:r w:rsidR="009365CE">
        <w:t>nhance reputation by demonstrating the sustainability of fruit and vegetables</w:t>
      </w:r>
      <w:r>
        <w:t>.</w:t>
      </w:r>
    </w:p>
    <w:p w:rsidR="00EE44FC" w:rsidRDefault="00EE44FC" w:rsidP="003A6D08">
      <w:pPr>
        <w:pStyle w:val="BulletsL1"/>
        <w:numPr>
          <w:ilvl w:val="0"/>
          <w:numId w:val="0"/>
        </w:numPr>
      </w:pPr>
      <w:r w:rsidRPr="00EE44FC">
        <w:t xml:space="preserve">On </w:t>
      </w:r>
      <w:r w:rsidR="005B28E9">
        <w:t>8</w:t>
      </w:r>
      <w:r w:rsidRPr="00EE44FC">
        <w:t xml:space="preserve"> May, DWB, Univeg, Greenyard Foods, </w:t>
      </w:r>
      <w:r>
        <w:t xml:space="preserve">Peatinvest, Deprez Holding, Mr Hein Deprez, Good Company civil </w:t>
      </w:r>
      <w:r w:rsidR="003A6D08">
        <w:t>partnership (</w:t>
      </w:r>
      <w:r w:rsidR="00BF553B">
        <w:t>“</w:t>
      </w:r>
      <w:r w:rsidR="003A6D08">
        <w:rPr>
          <w:i/>
        </w:rPr>
        <w:t>burgerlijke maatschap</w:t>
      </w:r>
      <w:r w:rsidR="00BF553B">
        <w:t>”</w:t>
      </w:r>
      <w:r w:rsidR="003A6D08">
        <w:t>),</w:t>
      </w:r>
      <w:r w:rsidR="00900687">
        <w:t xml:space="preserve"> </w:t>
      </w:r>
      <w:r w:rsidR="003A6D08">
        <w:t xml:space="preserve">Green Valley </w:t>
      </w:r>
      <w:r>
        <w:t>S.A.</w:t>
      </w:r>
      <w:r w:rsidR="003A6D08">
        <w:t xml:space="preserve">, Sujajo Investments </w:t>
      </w:r>
      <w:r>
        <w:t>S.A.</w:t>
      </w:r>
      <w:r w:rsidR="003A6D08">
        <w:t xml:space="preserve">, Mr Johan Vanovenberghe, STAK FieldLink, Intal </w:t>
      </w:r>
      <w:r>
        <w:t>BVBA</w:t>
      </w:r>
      <w:r w:rsidR="003A6D08">
        <w:t xml:space="preserve">, Sticker Consulting </w:t>
      </w:r>
      <w:r>
        <w:t>BVBA</w:t>
      </w:r>
      <w:r w:rsidR="003A6D08">
        <w:t xml:space="preserve">, Argalix </w:t>
      </w:r>
      <w:r>
        <w:t>BVBA</w:t>
      </w:r>
      <w:r w:rsidR="003A6D08">
        <w:t>, certain managers of Peatinvest, Food Invest Internati</w:t>
      </w:r>
      <w:r w:rsidR="00045AB1">
        <w:t>onal, 2D NV, Gimv-XL and AIF en</w:t>
      </w:r>
      <w:r w:rsidR="003A6D08">
        <w:t>t</w:t>
      </w:r>
      <w:r w:rsidR="00045AB1">
        <w:t>e</w:t>
      </w:r>
      <w:r w:rsidR="003A6D08">
        <w:t xml:space="preserve">red into a Partial Demerger </w:t>
      </w:r>
      <w:r w:rsidR="003A6D08" w:rsidRPr="003A6D08">
        <w:t>and Contribution Agreement</w:t>
      </w:r>
      <w:r w:rsidR="003A6D08">
        <w:t xml:space="preserve"> reflecting and implementing the terms of the letter of intent.</w:t>
      </w:r>
    </w:p>
    <w:p w:rsidR="003F0BC5" w:rsidRPr="00992199" w:rsidRDefault="003F0BC5" w:rsidP="006B35E5">
      <w:pPr>
        <w:pStyle w:val="Firm5L2"/>
      </w:pPr>
      <w:bookmarkStart w:id="8" w:name="_Toc420593834"/>
      <w:r w:rsidRPr="00992199">
        <w:t xml:space="preserve">Strategy and key strengths of the combined </w:t>
      </w:r>
      <w:r w:rsidR="006B35E5" w:rsidRPr="006B35E5">
        <w:t>Combined Greenyard Foods Group</w:t>
      </w:r>
      <w:bookmarkEnd w:id="8"/>
    </w:p>
    <w:p w:rsidR="000F59DA" w:rsidRPr="000F59DA" w:rsidRDefault="000F59DA" w:rsidP="00914185">
      <w:r w:rsidRPr="000F59DA">
        <w:t xml:space="preserve">The joint mission of the Combined Greenyard Foods Group is to make lives healthier by helping people to enjoy </w:t>
      </w:r>
      <w:r>
        <w:t>fruit and vegetables</w:t>
      </w:r>
      <w:r w:rsidRPr="000F59DA">
        <w:t xml:space="preserve"> at any moment of the day in an easy, fast and pleasurable wa</w:t>
      </w:r>
      <w:r>
        <w:t>y</w:t>
      </w:r>
      <w:r w:rsidRPr="000F59DA">
        <w:t>.</w:t>
      </w:r>
    </w:p>
    <w:p w:rsidR="000F59DA" w:rsidRPr="000F59DA" w:rsidRDefault="000F59DA" w:rsidP="00EC0415">
      <w:r w:rsidRPr="000F59DA">
        <w:t xml:space="preserve">The </w:t>
      </w:r>
      <w:r>
        <w:t xml:space="preserve">Combined Greenyard Foods Group’s </w:t>
      </w:r>
      <w:r w:rsidRPr="000F59DA">
        <w:t>strategy aims at creating a platform of know-how (nutritional value, pricing, best practices</w:t>
      </w:r>
      <w:r>
        <w:t>,</w:t>
      </w:r>
      <w:r w:rsidRPr="000F59DA">
        <w:t xml:space="preserve"> etc.) and potential for category management beyond the boundaries of fresh and prepared fruit </w:t>
      </w:r>
      <w:r>
        <w:t>and</w:t>
      </w:r>
      <w:r w:rsidR="00EC0415">
        <w:t xml:space="preserve"> vegetables</w:t>
      </w:r>
      <w:r w:rsidRPr="000F59DA">
        <w:t xml:space="preserve"> along the following axes:</w:t>
      </w:r>
    </w:p>
    <w:p w:rsidR="000F59DA" w:rsidRPr="000F59DA" w:rsidRDefault="000F59DA" w:rsidP="000F59DA">
      <w:pPr>
        <w:pStyle w:val="BulletsL1"/>
      </w:pPr>
      <w:r w:rsidRPr="000F59DA">
        <w:t>Leading the industry in nu</w:t>
      </w:r>
      <w:r>
        <w:t xml:space="preserve">tritional thinking and education: The </w:t>
      </w:r>
      <w:r w:rsidRPr="000F59DA">
        <w:t xml:space="preserve">Combined Greenyard Foods Group </w:t>
      </w:r>
      <w:r>
        <w:t>aims to l</w:t>
      </w:r>
      <w:r w:rsidRPr="000F59DA">
        <w:t>everage on a unique credibility and thought leadership</w:t>
      </w:r>
      <w:r>
        <w:t>.</w:t>
      </w:r>
    </w:p>
    <w:p w:rsidR="000F59DA" w:rsidRDefault="000F59DA" w:rsidP="000F59DA">
      <w:pPr>
        <w:pStyle w:val="BulletsL1"/>
      </w:pPr>
      <w:r w:rsidRPr="000F59DA">
        <w:t xml:space="preserve">Transcend </w:t>
      </w:r>
      <w:r w:rsidR="00864882">
        <w:t>the boundaries</w:t>
      </w:r>
      <w:r w:rsidR="00864882" w:rsidRPr="000F59DA">
        <w:t xml:space="preserve"> </w:t>
      </w:r>
      <w:r w:rsidRPr="000F59DA">
        <w:t xml:space="preserve">between fresh and prepared fruit </w:t>
      </w:r>
      <w:r>
        <w:t>and</w:t>
      </w:r>
      <w:r w:rsidRPr="000F59DA">
        <w:t xml:space="preserve"> vegetables: The Combined Greenyard Foods Group aims to leverage the complementarity of the combined </w:t>
      </w:r>
      <w:r w:rsidR="006B35E5">
        <w:t>groups.</w:t>
      </w:r>
    </w:p>
    <w:p w:rsidR="00184321" w:rsidRPr="00184321" w:rsidRDefault="00184321" w:rsidP="00300361">
      <w:pPr>
        <w:pStyle w:val="BulletsL1"/>
        <w:rPr>
          <w:u w:color="0000FF"/>
          <w:shd w:val="clear" w:color="auto" w:fill="FFFFFF"/>
        </w:rPr>
      </w:pPr>
      <w:bookmarkStart w:id="9" w:name="_cp_text_1_6"/>
      <w:bookmarkStart w:id="10" w:name="_cp_blt_1_5"/>
      <w:bookmarkEnd w:id="9"/>
      <w:r w:rsidRPr="00184321">
        <w:rPr>
          <w:u w:color="0000FF"/>
          <w:shd w:val="clear" w:color="auto" w:fill="FFFFFF"/>
        </w:rPr>
        <w:t>P</w:t>
      </w:r>
      <w:bookmarkEnd w:id="10"/>
      <w:r w:rsidRPr="00184321">
        <w:rPr>
          <w:u w:color="0000FF"/>
          <w:shd w:val="clear" w:color="auto" w:fill="FFFFFF"/>
        </w:rPr>
        <w:t xml:space="preserve">ut the consumer at the heart of </w:t>
      </w:r>
      <w:r>
        <w:rPr>
          <w:u w:color="0000FF"/>
          <w:shd w:val="clear" w:color="auto" w:fill="FFFFFF"/>
        </w:rPr>
        <w:t>the Combined Greenyard Foods Group’s</w:t>
      </w:r>
      <w:r w:rsidRPr="00184321">
        <w:rPr>
          <w:u w:color="0000FF"/>
          <w:shd w:val="clear" w:color="auto" w:fill="FFFFFF"/>
        </w:rPr>
        <w:t xml:space="preserve"> activities, especially in product innovation: </w:t>
      </w:r>
      <w:r w:rsidR="00300361" w:rsidRPr="00300361">
        <w:rPr>
          <w:u w:color="0000FF"/>
          <w:shd w:val="clear" w:color="auto" w:fill="FFFFFF"/>
        </w:rPr>
        <w:t xml:space="preserve">The Combined Greenyard Foods Group aims to </w:t>
      </w:r>
      <w:r w:rsidR="00300361">
        <w:rPr>
          <w:u w:color="0000FF"/>
          <w:shd w:val="clear" w:color="auto" w:fill="FFFFFF"/>
        </w:rPr>
        <w:t>e</w:t>
      </w:r>
      <w:r w:rsidRPr="00184321">
        <w:rPr>
          <w:u w:color="0000FF"/>
          <w:shd w:val="clear" w:color="auto" w:fill="FFFFFF"/>
        </w:rPr>
        <w:t>ngage in a constructive dialogue</w:t>
      </w:r>
      <w:r w:rsidR="00300361">
        <w:rPr>
          <w:u w:color="0000FF"/>
          <w:shd w:val="clear" w:color="auto" w:fill="FFFFFF"/>
        </w:rPr>
        <w:t xml:space="preserve"> with the consumers</w:t>
      </w:r>
      <w:r w:rsidR="00EC0415">
        <w:rPr>
          <w:u w:color="0000FF"/>
          <w:shd w:val="clear" w:color="auto" w:fill="FFFFFF"/>
        </w:rPr>
        <w:t xml:space="preserve"> </w:t>
      </w:r>
      <w:r w:rsidR="00EC0415">
        <w:t>to raise awareness around fruit and vegetables to increase fruit and vegetable consumption, to the benefit of consumers, growers, retailers, shareholders and employees</w:t>
      </w:r>
      <w:r w:rsidR="00300361">
        <w:rPr>
          <w:u w:color="0000FF"/>
          <w:shd w:val="clear" w:color="auto" w:fill="FFFFFF"/>
        </w:rPr>
        <w:t>.</w:t>
      </w:r>
    </w:p>
    <w:p w:rsidR="000F59DA" w:rsidRPr="000F59DA" w:rsidRDefault="000F59DA" w:rsidP="006B35E5">
      <w:pPr>
        <w:pStyle w:val="BulletsL1"/>
      </w:pPr>
      <w:r w:rsidRPr="006B35E5">
        <w:t>Establish partnerships with retailers</w:t>
      </w:r>
      <w:r w:rsidRPr="000F59DA">
        <w:t xml:space="preserve">: </w:t>
      </w:r>
      <w:r w:rsidR="006B35E5" w:rsidRPr="006B35E5">
        <w:t xml:space="preserve">The Combined Greenyard Foods Group aims to leverage </w:t>
      </w:r>
      <w:r w:rsidR="006B35E5">
        <w:t>its</w:t>
      </w:r>
      <w:r w:rsidRPr="000F59DA">
        <w:t xml:space="preserve"> experience in consumer-based category management and efficiencies</w:t>
      </w:r>
      <w:r w:rsidR="006B35E5">
        <w:t>.</w:t>
      </w:r>
    </w:p>
    <w:p w:rsidR="000F59DA" w:rsidRPr="000F59DA" w:rsidRDefault="000F59DA" w:rsidP="006B35E5">
      <w:pPr>
        <w:pStyle w:val="BulletsL1"/>
      </w:pPr>
      <w:r w:rsidRPr="006B35E5">
        <w:t>Create an inspirational platform</w:t>
      </w:r>
      <w:r w:rsidRPr="000F59DA">
        <w:t xml:space="preserve">: </w:t>
      </w:r>
      <w:r w:rsidR="006B35E5" w:rsidRPr="006B35E5">
        <w:t>The Combined Greeny</w:t>
      </w:r>
      <w:r w:rsidR="006B35E5">
        <w:t xml:space="preserve">ard Foods Group aims to consistently </w:t>
      </w:r>
      <w:r w:rsidRPr="000F59DA">
        <w:t xml:space="preserve">engage and activate consumers on their fruit </w:t>
      </w:r>
      <w:r w:rsidR="006B35E5">
        <w:t>and</w:t>
      </w:r>
      <w:r w:rsidRPr="000F59DA">
        <w:t xml:space="preserve"> vegetables consumption</w:t>
      </w:r>
      <w:r w:rsidR="006B35E5">
        <w:t>.</w:t>
      </w:r>
    </w:p>
    <w:p w:rsidR="00300361" w:rsidRPr="00300361" w:rsidRDefault="000F59DA" w:rsidP="00300361">
      <w:r w:rsidRPr="000F59DA">
        <w:lastRenderedPageBreak/>
        <w:t xml:space="preserve">The </w:t>
      </w:r>
      <w:r w:rsidR="006B35E5" w:rsidRPr="006B35E5">
        <w:t xml:space="preserve">business combination between the Greenyard Foods Group, the Univeg Group and the Peatinvest Group </w:t>
      </w:r>
      <w:r w:rsidRPr="000F59DA">
        <w:t xml:space="preserve">will continue to develop the strategic roadmap which was </w:t>
      </w:r>
      <w:r w:rsidR="00300361">
        <w:t xml:space="preserve">first </w:t>
      </w:r>
      <w:r w:rsidRPr="000F59DA">
        <w:t>drafted by</w:t>
      </w:r>
      <w:r w:rsidR="006B35E5">
        <w:t xml:space="preserve"> their</w:t>
      </w:r>
      <w:r w:rsidRPr="000F59DA">
        <w:t xml:space="preserve"> founder and chairman </w:t>
      </w:r>
      <w:r w:rsidR="006B35E5">
        <w:t xml:space="preserve">Mr </w:t>
      </w:r>
      <w:r w:rsidRPr="000F59DA">
        <w:t xml:space="preserve">Hein Deprez. This roadmap is referred to as the logistics funnel, through which the Combined Greenyard Foods Group sources and adds value to fruit </w:t>
      </w:r>
      <w:r w:rsidR="006B35E5">
        <w:t>and</w:t>
      </w:r>
      <w:r w:rsidRPr="000F59DA">
        <w:t xml:space="preserve"> vegetables for leading retailers. By bringing together into one single platform a full assortment of high quality products with innovative service and quality control concepts, </w:t>
      </w:r>
      <w:r w:rsidR="006B35E5">
        <w:t xml:space="preserve">each of </w:t>
      </w:r>
      <w:r w:rsidR="006B35E5" w:rsidRPr="006B35E5">
        <w:t>the Greenyard Foods Group, the Univeg Group and the Peatinvest Group</w:t>
      </w:r>
      <w:r w:rsidRPr="000F59DA">
        <w:t xml:space="preserve"> has been able to build long-term strategic partnerships with leading retailers.</w:t>
      </w:r>
      <w:r w:rsidR="00300361">
        <w:t xml:space="preserve"> </w:t>
      </w:r>
      <w:r w:rsidR="00300361" w:rsidRPr="00300361">
        <w:t>Working closely together, retailer and logistic platform can provide the ideal assortment to the end</w:t>
      </w:r>
      <w:r w:rsidR="00300361">
        <w:t>-customer, the</w:t>
      </w:r>
      <w:r w:rsidR="00300361" w:rsidRPr="00300361">
        <w:t xml:space="preserve"> consumer, building customer loyalty.</w:t>
      </w:r>
    </w:p>
    <w:p w:rsidR="00300361" w:rsidRDefault="00300361" w:rsidP="00914185">
      <w:r w:rsidRPr="00300361">
        <w:t xml:space="preserve">This vision has become an integral part of the </w:t>
      </w:r>
      <w:r>
        <w:t>Combined Greenyard Foods Group’s</w:t>
      </w:r>
      <w:r w:rsidRPr="00300361">
        <w:t xml:space="preserve"> strategy. The partnership with retailers allows the </w:t>
      </w:r>
      <w:r>
        <w:t xml:space="preserve">Combined Greenyard Foods Group </w:t>
      </w:r>
      <w:r w:rsidRPr="00300361">
        <w:t xml:space="preserve">to move closer to the consumer. </w:t>
      </w:r>
    </w:p>
    <w:p w:rsidR="00300361" w:rsidRDefault="00300361" w:rsidP="00914185">
      <w:r>
        <w:t xml:space="preserve">The Greenyard Foods Group’s vision has been to build a broad assortment in frozen and canned fruit and vegetables, convenience meals, sauces and soups. New products such as vegetable juices are being developed. The production facilities at the heart of the growing areas in </w:t>
      </w:r>
      <w:smartTag w:uri="urn:schemas-microsoft-com:office:smarttags" w:element="place">
        <w:r>
          <w:t>Europe</w:t>
        </w:r>
      </w:smartTag>
      <w:r>
        <w:t xml:space="preserve"> are state-of-the-art, allowing to harvest when the vegetables are at their best and deliver the highest quality at the best conversion cost. </w:t>
      </w:r>
    </w:p>
    <w:p w:rsidR="00300361" w:rsidRDefault="00300361" w:rsidP="00864882">
      <w:r>
        <w:t>By its innovative offering, the Greenyard Foods Group has been able to build a broad assortment and optimal logistics funnel towards retailers.</w:t>
      </w:r>
    </w:p>
    <w:p w:rsidR="00300361" w:rsidRPr="00300361" w:rsidRDefault="00300361" w:rsidP="00914185">
      <w:r>
        <w:t>The Univeg</w:t>
      </w:r>
      <w:r w:rsidRPr="00300361">
        <w:t xml:space="preserve"> Group has transformed a supply driven business model to a model driven by demand. This move from push to pull was the start of a vertically integrated model, </w:t>
      </w:r>
      <w:r>
        <w:t xml:space="preserve">which is </w:t>
      </w:r>
      <w:r w:rsidRPr="00300361">
        <w:t>in stark contrast with the prevailing horizontal approach whereby suppliers aim to increase volumes of a single product, thus aiming to build a product dominance.</w:t>
      </w:r>
    </w:p>
    <w:p w:rsidR="00300361" w:rsidRPr="00300361" w:rsidRDefault="00300361" w:rsidP="00914185">
      <w:r w:rsidRPr="00300361">
        <w:t xml:space="preserve">By tailoring this logistics funnel to the specific needs of a retailer, </w:t>
      </w:r>
      <w:r>
        <w:t>the Univeg</w:t>
      </w:r>
      <w:r w:rsidRPr="00300361">
        <w:t xml:space="preserve"> Group </w:t>
      </w:r>
      <w:r>
        <w:t xml:space="preserve">believes it </w:t>
      </w:r>
      <w:r w:rsidRPr="00300361">
        <w:t>has been able to better address the needs of the end-customer, the consumer. This</w:t>
      </w:r>
      <w:r>
        <w:t xml:space="preserve"> has lead to an optimis</w:t>
      </w:r>
      <w:r w:rsidRPr="00300361">
        <w:t>ed assortment, with fewer suppliers and fewer stock keeping</w:t>
      </w:r>
      <w:r>
        <w:t xml:space="preserve"> units</w:t>
      </w:r>
      <w:r w:rsidRPr="00300361">
        <w:t>, in line with consumer needs. The Univeg Group has therefore focused on offering:</w:t>
      </w:r>
    </w:p>
    <w:p w:rsidR="00300361" w:rsidRPr="00300361" w:rsidRDefault="00300361" w:rsidP="00300361">
      <w:pPr>
        <w:pStyle w:val="BulletsL1"/>
        <w:rPr>
          <w:u w:color="0000FF"/>
          <w:shd w:val="clear" w:color="auto" w:fill="FFFFFF"/>
        </w:rPr>
      </w:pPr>
      <w:r w:rsidRPr="00300361">
        <w:rPr>
          <w:szCs w:val="20"/>
          <w:lang w:val="en-US"/>
        </w:rPr>
        <w:t xml:space="preserve">a </w:t>
      </w:r>
      <w:r w:rsidRPr="00300361">
        <w:rPr>
          <w:u w:color="0000FF"/>
          <w:shd w:val="clear" w:color="auto" w:fill="FFFFFF"/>
        </w:rPr>
        <w:t>full assortment, year-round, sourced across the globe</w:t>
      </w:r>
    </w:p>
    <w:p w:rsidR="00300361" w:rsidRPr="00300361" w:rsidRDefault="00300361" w:rsidP="00300361">
      <w:pPr>
        <w:pStyle w:val="BulletsL1"/>
        <w:rPr>
          <w:u w:color="0000FF"/>
          <w:shd w:val="clear" w:color="auto" w:fill="FFFFFF"/>
        </w:rPr>
      </w:pPr>
      <w:r w:rsidRPr="00300361">
        <w:rPr>
          <w:u w:color="0000FF"/>
          <w:shd w:val="clear" w:color="auto" w:fill="FFFFFF"/>
        </w:rPr>
        <w:t>top performance in logistics in fresh produce, every day of the year</w:t>
      </w:r>
    </w:p>
    <w:p w:rsidR="00300361" w:rsidRPr="00300361" w:rsidRDefault="00300361" w:rsidP="00300361">
      <w:pPr>
        <w:pStyle w:val="BulletsL1"/>
        <w:rPr>
          <w:u w:color="0000FF"/>
          <w:shd w:val="clear" w:color="auto" w:fill="FFFFFF"/>
        </w:rPr>
      </w:pPr>
      <w:r w:rsidRPr="00300361">
        <w:rPr>
          <w:u w:color="0000FF"/>
          <w:shd w:val="clear" w:color="auto" w:fill="FFFFFF"/>
        </w:rPr>
        <w:t>innovation in packaging, to ensure the quality, freshness and shelf life of the product.</w:t>
      </w:r>
    </w:p>
    <w:p w:rsidR="00300361" w:rsidRPr="00300361" w:rsidRDefault="00300361" w:rsidP="00300361">
      <w:pPr>
        <w:pStyle w:val="BulletsL1"/>
        <w:rPr>
          <w:u w:color="0000FF"/>
          <w:shd w:val="clear" w:color="auto" w:fill="FFFFFF"/>
        </w:rPr>
      </w:pPr>
      <w:r w:rsidRPr="00300361">
        <w:rPr>
          <w:u w:color="0000FF"/>
          <w:shd w:val="clear" w:color="auto" w:fill="FFFFFF"/>
        </w:rPr>
        <w:t xml:space="preserve">expertise in ripening, ensuring a high quality consumer experience </w:t>
      </w:r>
    </w:p>
    <w:p w:rsidR="00300361" w:rsidRPr="00300361" w:rsidRDefault="00300361" w:rsidP="00300361">
      <w:pPr>
        <w:pStyle w:val="BulletsL1"/>
        <w:rPr>
          <w:u w:color="0000FF"/>
          <w:shd w:val="clear" w:color="auto" w:fill="FFFFFF"/>
        </w:rPr>
      </w:pPr>
      <w:r w:rsidRPr="00300361">
        <w:rPr>
          <w:u w:color="0000FF"/>
          <w:shd w:val="clear" w:color="auto" w:fill="FFFFFF"/>
        </w:rPr>
        <w:t>quality systems leading to higher product reliability</w:t>
      </w:r>
    </w:p>
    <w:p w:rsidR="00300361" w:rsidRPr="00300361" w:rsidRDefault="00300361" w:rsidP="00914185">
      <w:r w:rsidRPr="00300361">
        <w:t xml:space="preserve">The Peatinvest Group helps growers </w:t>
      </w:r>
      <w:r>
        <w:t xml:space="preserve">to </w:t>
      </w:r>
      <w:r w:rsidRPr="00300361">
        <w:t xml:space="preserve">produce quality products in </w:t>
      </w:r>
      <w:r>
        <w:t>a</w:t>
      </w:r>
      <w:r w:rsidRPr="00300361">
        <w:t xml:space="preserve"> sustainable way. </w:t>
      </w:r>
      <w:r>
        <w:t>It believes that intensive</w:t>
      </w:r>
      <w:r w:rsidRPr="00300361">
        <w:t xml:space="preserve"> agriculture and horticulture is the only way to feed a growing world population at </w:t>
      </w:r>
      <w:r>
        <w:t xml:space="preserve">an </w:t>
      </w:r>
      <w:r w:rsidRPr="00300361">
        <w:t xml:space="preserve">affordable cost. For consumers, it facilitates the trend towards </w:t>
      </w:r>
      <w:r w:rsidRPr="00300361">
        <w:rPr>
          <w:i/>
        </w:rPr>
        <w:t>urban farming</w:t>
      </w:r>
      <w:r w:rsidRPr="00300361">
        <w:t xml:space="preserve"> and </w:t>
      </w:r>
      <w:r w:rsidRPr="00300361">
        <w:rPr>
          <w:i/>
        </w:rPr>
        <w:t>grow your own</w:t>
      </w:r>
      <w:r w:rsidRPr="00300361">
        <w:t>, which is gaining traction.</w:t>
      </w:r>
      <w:r>
        <w:t xml:space="preserve"> </w:t>
      </w:r>
      <w:r w:rsidRPr="00300361">
        <w:t xml:space="preserve">The Peatinvest Group helps </w:t>
      </w:r>
      <w:r>
        <w:t>reducing</w:t>
      </w:r>
      <w:r w:rsidRPr="00300361">
        <w:t xml:space="preserve"> greenhouse gas emissions, and stimulates social and ethical entrepreneurship by offering products which are both safe, healthy and affordable. The </w:t>
      </w:r>
      <w:r>
        <w:t xml:space="preserve">Peatinvest Group is of the opinion that </w:t>
      </w:r>
      <w:r w:rsidRPr="00914185">
        <w:t>s</w:t>
      </w:r>
      <w:r w:rsidRPr="00300361">
        <w:t xml:space="preserve">uppliers of innovation become the traders of fruit </w:t>
      </w:r>
      <w:r w:rsidRPr="00914185">
        <w:t>and</w:t>
      </w:r>
      <w:r w:rsidRPr="00300361">
        <w:t xml:space="preserve"> vegetables in the future.</w:t>
      </w:r>
    </w:p>
    <w:p w:rsidR="00300361" w:rsidRPr="00300361" w:rsidRDefault="00300361" w:rsidP="00914185">
      <w:r w:rsidRPr="00300361">
        <w:t xml:space="preserve">It is key for the </w:t>
      </w:r>
      <w:r w:rsidR="00914185">
        <w:t>Combined Greenyard Foods Group</w:t>
      </w:r>
      <w:r w:rsidRPr="00300361">
        <w:t xml:space="preserve"> to address the discrepancy between health insights and consumer behaviour, as described in </w:t>
      </w:r>
      <w:r w:rsidR="00914185">
        <w:t>Section 1.1 above</w:t>
      </w:r>
      <w:r w:rsidRPr="00300361">
        <w:t>.</w:t>
      </w:r>
    </w:p>
    <w:p w:rsidR="00300361" w:rsidRPr="00300361" w:rsidRDefault="00300361" w:rsidP="00914185">
      <w:r w:rsidRPr="00300361">
        <w:t xml:space="preserve">Although </w:t>
      </w:r>
      <w:r w:rsidR="00914185">
        <w:t>it has</w:t>
      </w:r>
      <w:r w:rsidRPr="00300361">
        <w:t xml:space="preserve"> been able to steadily grow in a stable market, </w:t>
      </w:r>
      <w:r w:rsidR="00914185" w:rsidRPr="00914185">
        <w:t xml:space="preserve">the Combined Greenyard Foods Group </w:t>
      </w:r>
      <w:r w:rsidRPr="00300361">
        <w:t>feel</w:t>
      </w:r>
      <w:r w:rsidR="00914185">
        <w:t>s</w:t>
      </w:r>
      <w:r w:rsidRPr="00300361">
        <w:t xml:space="preserve"> that the momentum is there to merit the health claim. Science, governments and consumers alike understand that fruit </w:t>
      </w:r>
      <w:r w:rsidR="00914185">
        <w:t>and</w:t>
      </w:r>
      <w:r w:rsidRPr="00300361">
        <w:t xml:space="preserve"> vegetables are key ingredients in a health</w:t>
      </w:r>
      <w:r w:rsidR="00914185">
        <w:t xml:space="preserve">y diet. The diversity of fruit and vegetables offers </w:t>
      </w:r>
      <w:r w:rsidRPr="00300361">
        <w:t xml:space="preserve">building blocks for any individual, at any age: vitamins, minerals and fibres. </w:t>
      </w:r>
    </w:p>
    <w:p w:rsidR="00300361" w:rsidRPr="00300361" w:rsidRDefault="00914185" w:rsidP="00914185">
      <w:r>
        <w:t>The fruit and</w:t>
      </w:r>
      <w:r w:rsidR="00300361" w:rsidRPr="00300361">
        <w:t xml:space="preserve"> vegetables industry as a whole, however, has not been able to claim health as its core brand value, because of its lack of communication and interaction with consumers. Brands are built on the basis of trust and expectations. This </w:t>
      </w:r>
      <w:r>
        <w:t>calls for standardis</w:t>
      </w:r>
      <w:r w:rsidR="00300361" w:rsidRPr="00300361">
        <w:t xml:space="preserve">ation, while fruit </w:t>
      </w:r>
      <w:r>
        <w:t>and</w:t>
      </w:r>
      <w:r w:rsidR="00300361" w:rsidRPr="00300361">
        <w:t xml:space="preserve"> vegetables are typically non-branded and highly diverse, which may lead to disappointment. Moreover </w:t>
      </w:r>
      <w:r>
        <w:t>categorisation may be</w:t>
      </w:r>
      <w:r w:rsidR="00300361" w:rsidRPr="00300361">
        <w:t xml:space="preserve"> confusing for consumers, especially when the same </w:t>
      </w:r>
      <w:r>
        <w:t xml:space="preserve">fruit and </w:t>
      </w:r>
      <w:r w:rsidR="00300361" w:rsidRPr="00300361">
        <w:t xml:space="preserve">vegetables are available in </w:t>
      </w:r>
      <w:r>
        <w:t>frozen, canned and fresh products</w:t>
      </w:r>
      <w:r w:rsidR="00300361" w:rsidRPr="00300361">
        <w:t xml:space="preserve">. The new perspective for </w:t>
      </w:r>
      <w:r>
        <w:t xml:space="preserve">the Combined </w:t>
      </w:r>
      <w:r w:rsidR="00300361" w:rsidRPr="00300361">
        <w:t>Greenyard Foods Group is to transcend this ambiguity, by guiding consumers through complementary offerings.</w:t>
      </w:r>
    </w:p>
    <w:p w:rsidR="00300361" w:rsidRPr="00300361" w:rsidRDefault="00300361" w:rsidP="00914185">
      <w:r w:rsidRPr="00300361">
        <w:t xml:space="preserve">Across the categories </w:t>
      </w:r>
      <w:r w:rsidR="00914185">
        <w:t xml:space="preserve">the </w:t>
      </w:r>
      <w:r w:rsidR="00914185" w:rsidRPr="00914185">
        <w:t>Combined Greenyard Foods Group</w:t>
      </w:r>
      <w:r w:rsidR="00914185">
        <w:t xml:space="preserve"> aims</w:t>
      </w:r>
      <w:r w:rsidRPr="00300361">
        <w:t xml:space="preserve"> to bring an objective message to consumers: in any season, what </w:t>
      </w:r>
      <w:r w:rsidR="00914185">
        <w:t>matters most is to put fruit and</w:t>
      </w:r>
      <w:r w:rsidRPr="00300361">
        <w:t xml:space="preserve"> vegetables on the menu, in whatever form. </w:t>
      </w:r>
      <w:r w:rsidR="00914185">
        <w:t xml:space="preserve">The Combined </w:t>
      </w:r>
      <w:r w:rsidRPr="00300361">
        <w:t xml:space="preserve">Greenyard Foods Group is active across seasons and categories, and is therefore ideally placed to educate and advise customers. The complementarity of the </w:t>
      </w:r>
      <w:r w:rsidR="00914185" w:rsidRPr="00914185">
        <w:t xml:space="preserve">Combined Greenyard Foods Group </w:t>
      </w:r>
      <w:r w:rsidRPr="00300361">
        <w:t xml:space="preserve">will allow </w:t>
      </w:r>
      <w:r w:rsidR="00914185">
        <w:t>it</w:t>
      </w:r>
      <w:r w:rsidRPr="00300361">
        <w:t xml:space="preserve"> to better service </w:t>
      </w:r>
      <w:r w:rsidR="00914185">
        <w:lastRenderedPageBreak/>
        <w:t>its</w:t>
      </w:r>
      <w:r w:rsidRPr="00300361">
        <w:t xml:space="preserve"> customers, and help consumers make informed purchasing decisions. </w:t>
      </w:r>
      <w:r w:rsidR="00914185">
        <w:t xml:space="preserve">The </w:t>
      </w:r>
      <w:r w:rsidR="00914185" w:rsidRPr="00914185">
        <w:t>Combined Greenyard Foods Group</w:t>
      </w:r>
      <w:r w:rsidR="00914185">
        <w:t xml:space="preserve"> believes it will be</w:t>
      </w:r>
      <w:r w:rsidRPr="00300361">
        <w:t xml:space="preserve"> able to cater to the needs of any consumer, whether he is seeking convenience, health, pleasure, economy or waste reduction.</w:t>
      </w:r>
    </w:p>
    <w:p w:rsidR="00300361" w:rsidRPr="00300361" w:rsidRDefault="00300361" w:rsidP="00914185">
      <w:r w:rsidRPr="00300361">
        <w:t xml:space="preserve">It is the ambition of the </w:t>
      </w:r>
      <w:r w:rsidR="00914185" w:rsidRPr="00914185">
        <w:t xml:space="preserve">Combined Greenyard Foods Group </w:t>
      </w:r>
      <w:r w:rsidRPr="00300361">
        <w:t>to extend the successful logistics funnel with a virtual funnel aimed at consumers, engaging with them directly on innovation, health, quality and con</w:t>
      </w:r>
      <w:r w:rsidR="00914185">
        <w:t>venience. Social media and the i</w:t>
      </w:r>
      <w:r w:rsidRPr="00300361">
        <w:t>nternet allow for communication initiatives which were unaffordable or even impossible</w:t>
      </w:r>
      <w:r w:rsidR="00914185">
        <w:t xml:space="preserve"> 25 years ago. The </w:t>
      </w:r>
      <w:r w:rsidR="00914185" w:rsidRPr="00914185">
        <w:t xml:space="preserve">Combined Greenyard Foods Group </w:t>
      </w:r>
      <w:r w:rsidR="00914185">
        <w:t>believes that s</w:t>
      </w:r>
      <w:r w:rsidRPr="00300361">
        <w:t xml:space="preserve">tarting an educational dialogue with consumers may revolutionise the way fruit </w:t>
      </w:r>
      <w:r w:rsidR="00914185">
        <w:t>and</w:t>
      </w:r>
      <w:r w:rsidRPr="00300361">
        <w:t xml:space="preserve"> vegetables are marketed, and may ultimately lead to changing consumption patterns. A deliberate choice in full confidence </w:t>
      </w:r>
      <w:r w:rsidR="00914185">
        <w:t>should</w:t>
      </w:r>
      <w:r w:rsidRPr="00300361">
        <w:t xml:space="preserve"> replace the ambiguity of </w:t>
      </w:r>
      <w:r w:rsidR="00914185">
        <w:t>frozen and canned versus fresh. Knowledge about health and</w:t>
      </w:r>
      <w:r w:rsidRPr="00300361">
        <w:t xml:space="preserve"> nutrition </w:t>
      </w:r>
      <w:r w:rsidR="00914185">
        <w:t>should</w:t>
      </w:r>
      <w:r w:rsidRPr="00300361">
        <w:t xml:space="preserve"> become an integral part of </w:t>
      </w:r>
      <w:r w:rsidR="00914185">
        <w:t>the</w:t>
      </w:r>
      <w:r w:rsidRPr="00300361">
        <w:t xml:space="preserve"> go-to-market model. As a global market leader operating beyond the boundaries of substrate, </w:t>
      </w:r>
      <w:r w:rsidR="00914185" w:rsidRPr="00914185">
        <w:t>frozen, canned and fresh fruit and vegetables</w:t>
      </w:r>
      <w:r w:rsidRPr="00300361">
        <w:t xml:space="preserve">, </w:t>
      </w:r>
      <w:r w:rsidR="00914185">
        <w:t xml:space="preserve">the </w:t>
      </w:r>
      <w:r w:rsidR="00914185" w:rsidRPr="00914185">
        <w:t xml:space="preserve">Combined Greenyard Foods Group </w:t>
      </w:r>
      <w:r w:rsidR="00914185">
        <w:t xml:space="preserve">aims </w:t>
      </w:r>
      <w:r w:rsidRPr="00300361">
        <w:t xml:space="preserve">play a key role in this trend. </w:t>
      </w:r>
      <w:r w:rsidR="00914185">
        <w:t>It has</w:t>
      </w:r>
      <w:r w:rsidRPr="00300361">
        <w:t xml:space="preserve"> the knowledge in house. It has been built over the years by </w:t>
      </w:r>
      <w:r w:rsidR="00914185">
        <w:t>its</w:t>
      </w:r>
      <w:r w:rsidRPr="00300361">
        <w:t xml:space="preserve"> engineers, quality specialists, food experts and product developers.</w:t>
      </w:r>
      <w:r w:rsidR="00C14169">
        <w:t xml:space="preserve"> </w:t>
      </w:r>
      <w:r w:rsidRPr="00300361">
        <w:t xml:space="preserve">The added value of this virtual funnel is the knowledge and information for the consumer. This content will be developed at marginal cost, as all knowledge is already available in the </w:t>
      </w:r>
      <w:r w:rsidR="00914185" w:rsidRPr="00914185">
        <w:t xml:space="preserve">Combined Greenyard Foods Group </w:t>
      </w:r>
      <w:r w:rsidRPr="00300361">
        <w:t xml:space="preserve">today. The power of this communication will help </w:t>
      </w:r>
      <w:r w:rsidR="00914185">
        <w:t xml:space="preserve">the </w:t>
      </w:r>
      <w:r w:rsidR="00914185" w:rsidRPr="00914185">
        <w:t>Combined Greenyard Foods Group</w:t>
      </w:r>
      <w:r w:rsidRPr="00300361">
        <w:t xml:space="preserve"> to further build </w:t>
      </w:r>
      <w:r w:rsidR="00914185">
        <w:t>its</w:t>
      </w:r>
      <w:r w:rsidRPr="00300361">
        <w:t xml:space="preserve"> market position. Moreover</w:t>
      </w:r>
      <w:r w:rsidR="00914185">
        <w:t xml:space="preserve"> the </w:t>
      </w:r>
      <w:r w:rsidR="00914185" w:rsidRPr="00914185">
        <w:t>Combined Greenyard Foods Group</w:t>
      </w:r>
      <w:r w:rsidR="00864882">
        <w:t xml:space="preserve"> </w:t>
      </w:r>
      <w:r w:rsidR="00914185">
        <w:t>believes</w:t>
      </w:r>
      <w:r w:rsidRPr="00300361">
        <w:t xml:space="preserve"> it will lead to increased consumption of vegetables </w:t>
      </w:r>
      <w:r w:rsidR="00914185">
        <w:t>and</w:t>
      </w:r>
      <w:r w:rsidRPr="00300361">
        <w:t xml:space="preserve"> fruit. This </w:t>
      </w:r>
      <w:r w:rsidR="00914185">
        <w:t>would</w:t>
      </w:r>
      <w:r w:rsidRPr="00300361">
        <w:t xml:space="preserve"> stimulate the market as a whole and </w:t>
      </w:r>
      <w:r w:rsidR="00914185">
        <w:t>would</w:t>
      </w:r>
      <w:r w:rsidRPr="00300361">
        <w:t xml:space="preserve"> enable </w:t>
      </w:r>
      <w:r w:rsidR="00864882">
        <w:t xml:space="preserve">the </w:t>
      </w:r>
      <w:r w:rsidR="00914185">
        <w:t xml:space="preserve">Combined </w:t>
      </w:r>
      <w:r w:rsidRPr="00300361">
        <w:t xml:space="preserve">Greenyard Foods Group to continue to grow. </w:t>
      </w:r>
    </w:p>
    <w:p w:rsidR="00300361" w:rsidRPr="00300361" w:rsidRDefault="00300361" w:rsidP="00914185">
      <w:r w:rsidRPr="00300361">
        <w:t>This platform will be buil</w:t>
      </w:r>
      <w:r w:rsidR="00864882">
        <w:t>t</w:t>
      </w:r>
      <w:r w:rsidRPr="00300361">
        <w:t xml:space="preserve"> on top of the three </w:t>
      </w:r>
      <w:r w:rsidR="00914185">
        <w:t>groups</w:t>
      </w:r>
      <w:r w:rsidRPr="00300361">
        <w:t xml:space="preserve">. They all have critical mass and can operate in an efficient way to deliver the right quality, assortment and services. The </w:t>
      </w:r>
      <w:r w:rsidR="00914185">
        <w:t>cross-fertilis</w:t>
      </w:r>
      <w:r w:rsidRPr="00300361">
        <w:t xml:space="preserve">ation within the group lies in the communication with consumers. Positioning </w:t>
      </w:r>
      <w:r w:rsidR="00914185">
        <w:t>fruit and vegetables</w:t>
      </w:r>
      <w:r w:rsidRPr="00300361">
        <w:t xml:space="preserve"> across categories will help consumers understand the best solution at the best moment.</w:t>
      </w:r>
    </w:p>
    <w:p w:rsidR="00300361" w:rsidRPr="00300361" w:rsidRDefault="00300361" w:rsidP="00914185">
      <w:r w:rsidRPr="00300361">
        <w:t xml:space="preserve">In conclusion, the key investment highlights for the </w:t>
      </w:r>
      <w:r w:rsidR="00914185">
        <w:t xml:space="preserve">Combined </w:t>
      </w:r>
      <w:r w:rsidRPr="00300361">
        <w:t>Greenyard Foods Group are:</w:t>
      </w:r>
    </w:p>
    <w:p w:rsidR="000F59DA" w:rsidRPr="000F59DA" w:rsidRDefault="000F59DA" w:rsidP="000F59DA">
      <w:pPr>
        <w:pStyle w:val="BulletsL1"/>
      </w:pPr>
      <w:r w:rsidRPr="000F59DA">
        <w:t>Unique global player in fresh and prepared fruit &amp; vegetables and growing media</w:t>
      </w:r>
    </w:p>
    <w:p w:rsidR="000F59DA" w:rsidRPr="000F59DA" w:rsidRDefault="000F59DA" w:rsidP="000F59DA">
      <w:pPr>
        <w:pStyle w:val="BulletsL1"/>
      </w:pPr>
      <w:r w:rsidRPr="000F59DA">
        <w:t>Proven trac</w:t>
      </w:r>
      <w:r w:rsidR="00EF373B">
        <w:t>k record in successful mergers and</w:t>
      </w:r>
      <w:r w:rsidRPr="000F59DA">
        <w:t xml:space="preserve"> acquisitions</w:t>
      </w:r>
    </w:p>
    <w:p w:rsidR="000F59DA" w:rsidRPr="000F59DA" w:rsidRDefault="000F59DA" w:rsidP="000F59DA">
      <w:pPr>
        <w:pStyle w:val="BulletsL1"/>
      </w:pPr>
      <w:r w:rsidRPr="000F59DA">
        <w:t>Excellent sourcing capabilities</w:t>
      </w:r>
    </w:p>
    <w:p w:rsidR="000F59DA" w:rsidRPr="000F59DA" w:rsidRDefault="000F59DA" w:rsidP="000F59DA">
      <w:pPr>
        <w:pStyle w:val="BulletsL1"/>
      </w:pPr>
      <w:r w:rsidRPr="000F59DA">
        <w:t>Control of the supply chain</w:t>
      </w:r>
      <w:r w:rsidR="00EC0415">
        <w:t>s for frozen, canned and fres</w:t>
      </w:r>
      <w:r w:rsidR="00864882">
        <w:t>h</w:t>
      </w:r>
      <w:r w:rsidR="00EC0415">
        <w:t xml:space="preserve"> fruit and vegetables</w:t>
      </w:r>
      <w:r w:rsidR="00EC0415" w:rsidRPr="00EC0415">
        <w:t xml:space="preserve"> </w:t>
      </w:r>
      <w:r w:rsidR="00EC0415">
        <w:t>between the independent growers and the retailers</w:t>
      </w:r>
    </w:p>
    <w:p w:rsidR="000F59DA" w:rsidRPr="000F59DA" w:rsidRDefault="000F59DA" w:rsidP="000F59DA">
      <w:pPr>
        <w:pStyle w:val="BulletsL1"/>
      </w:pPr>
      <w:r w:rsidRPr="000F59DA">
        <w:t>Long standing relationships with blue chip retailers</w:t>
      </w:r>
    </w:p>
    <w:p w:rsidR="000F59DA" w:rsidRPr="000F59DA" w:rsidRDefault="000F59DA" w:rsidP="000F59DA">
      <w:pPr>
        <w:pStyle w:val="BulletsL1"/>
      </w:pPr>
      <w:r w:rsidRPr="000F59DA">
        <w:t>Unique logistics and distribution capabilities</w:t>
      </w:r>
    </w:p>
    <w:p w:rsidR="000F59DA" w:rsidRPr="000F59DA" w:rsidRDefault="00EC0415" w:rsidP="000F59DA">
      <w:pPr>
        <w:pStyle w:val="BulletsL1"/>
      </w:pPr>
      <w:r>
        <w:t>Cross-fertilisation</w:t>
      </w:r>
    </w:p>
    <w:p w:rsidR="000F59DA" w:rsidRPr="000F59DA" w:rsidRDefault="000F59DA" w:rsidP="000F59DA">
      <w:pPr>
        <w:pStyle w:val="BulletsL1"/>
      </w:pPr>
      <w:r w:rsidRPr="000F59DA">
        <w:t>Leadership in food safety and corporate social responsibility</w:t>
      </w:r>
    </w:p>
    <w:p w:rsidR="000F59DA" w:rsidRPr="000F59DA" w:rsidRDefault="000F59DA" w:rsidP="000F59DA">
      <w:pPr>
        <w:pStyle w:val="BulletsL1"/>
      </w:pPr>
      <w:r w:rsidRPr="000F59DA">
        <w:t>Strong management team and deeply engaged shareholders</w:t>
      </w:r>
    </w:p>
    <w:p w:rsidR="003F0BC5" w:rsidRPr="00992199" w:rsidRDefault="003F0BC5" w:rsidP="00353B80">
      <w:pPr>
        <w:pStyle w:val="Firm5L2"/>
        <w:keepNext/>
      </w:pPr>
      <w:bookmarkStart w:id="11" w:name="_Toc420593835"/>
      <w:r w:rsidRPr="00992199">
        <w:t>Structure of the Transactions</w:t>
      </w:r>
      <w:bookmarkEnd w:id="11"/>
    </w:p>
    <w:p w:rsidR="003F0BC5" w:rsidRPr="00992199" w:rsidRDefault="003F0BC5" w:rsidP="00353B80">
      <w:pPr>
        <w:pStyle w:val="Firm5L3"/>
        <w:keepNext/>
        <w:rPr>
          <w:b w:val="0"/>
        </w:rPr>
      </w:pPr>
      <w:r w:rsidRPr="00992199">
        <w:rPr>
          <w:b w:val="0"/>
        </w:rPr>
        <w:t>Sequence of events</w:t>
      </w:r>
    </w:p>
    <w:p w:rsidR="003F0BC5" w:rsidRPr="00992199" w:rsidRDefault="003F0BC5" w:rsidP="007B5305">
      <w:r w:rsidRPr="00992199">
        <w:t xml:space="preserve">The contemplated combination between the </w:t>
      </w:r>
      <w:r w:rsidR="002A1AB1">
        <w:t>Greenyard Foods</w:t>
      </w:r>
      <w:r w:rsidRPr="00992199">
        <w:t xml:space="preserve"> Group, the Univeg Group and the Peatinvest Group will be the result of the </w:t>
      </w:r>
      <w:r w:rsidR="0082672E">
        <w:t>Univeg</w:t>
      </w:r>
      <w:r w:rsidRPr="00992199">
        <w:t xml:space="preserve"> Contribution, the Peatinvest Contribution and the DWB Demerger. The Contributions will be preceded by the Gimv Warrants Exercise. All of these Transactions will take place only when all conditions precedent set out in the Partial Demerger and Contribution Agreement will be satisfied. Such Transactions are conditional upon each other.</w:t>
      </w:r>
      <w:r w:rsidR="003A6D08">
        <w:t xml:space="preserve"> See also Section 1.4.</w:t>
      </w:r>
      <w:r w:rsidR="005F5D47">
        <w:t>2</w:t>
      </w:r>
      <w:r w:rsidR="003A6D08">
        <w:t xml:space="preserve"> below.</w:t>
      </w:r>
    </w:p>
    <w:p w:rsidR="003F0BC5" w:rsidRPr="00992199" w:rsidRDefault="003F0BC5" w:rsidP="000F6E97">
      <w:pPr>
        <w:pStyle w:val="BulletsL1"/>
      </w:pPr>
      <w:r w:rsidRPr="00992199">
        <w:t>Gimv Warrants Exercise</w:t>
      </w:r>
    </w:p>
    <w:p w:rsidR="003F0BC5" w:rsidRPr="00992199" w:rsidRDefault="003F0BC5" w:rsidP="00F35405">
      <w:pPr>
        <w:widowControl w:val="0"/>
        <w:autoSpaceDE w:val="0"/>
        <w:autoSpaceDN w:val="0"/>
        <w:adjustRightInd w:val="0"/>
        <w:ind w:left="720"/>
        <w:rPr>
          <w:szCs w:val="20"/>
        </w:rPr>
      </w:pPr>
      <w:r w:rsidRPr="00992199">
        <w:rPr>
          <w:szCs w:val="20"/>
        </w:rPr>
        <w:t xml:space="preserve">As a fist step, Gimv-XL Partners will exercise the 2,400,000 warrants it holds in the Company. Such exercise will be funded by Gimv-XL Partners after receiving full repayment of all amounts due by the Company under the subordinated loan of 19 July 2011 entered into between the Company and Gimv-XL (the </w:t>
      </w:r>
      <w:r w:rsidR="000508AB" w:rsidRPr="000508AB">
        <w:rPr>
          <w:b/>
          <w:i/>
          <w:szCs w:val="20"/>
        </w:rPr>
        <w:t xml:space="preserve">Gimv </w:t>
      </w:r>
      <w:r w:rsidRPr="00992199">
        <w:rPr>
          <w:b/>
          <w:i/>
          <w:szCs w:val="20"/>
        </w:rPr>
        <w:t>Subordinated Loan</w:t>
      </w:r>
      <w:r w:rsidRPr="00992199">
        <w:rPr>
          <w:szCs w:val="20"/>
        </w:rPr>
        <w:t xml:space="preserve">). Upon the Gimv Warrants Exercise, the capital of the Company will </w:t>
      </w:r>
      <w:r w:rsidR="00184321">
        <w:rPr>
          <w:szCs w:val="20"/>
        </w:rPr>
        <w:t xml:space="preserve">be </w:t>
      </w:r>
      <w:r w:rsidR="003A6D08">
        <w:rPr>
          <w:szCs w:val="20"/>
        </w:rPr>
        <w:t>increased</w:t>
      </w:r>
      <w:r w:rsidRPr="00992199">
        <w:rPr>
          <w:szCs w:val="20"/>
        </w:rPr>
        <w:t xml:space="preserve"> from </w:t>
      </w:r>
      <w:r w:rsidR="00E53641">
        <w:rPr>
          <w:szCs w:val="20"/>
        </w:rPr>
        <w:t>EUR </w:t>
      </w:r>
      <w:r w:rsidRPr="00992199">
        <w:rPr>
          <w:szCs w:val="20"/>
        </w:rPr>
        <w:t xml:space="preserve">101,010,971.69 to </w:t>
      </w:r>
      <w:r w:rsidR="00E53641">
        <w:rPr>
          <w:szCs w:val="20"/>
        </w:rPr>
        <w:t>EUR </w:t>
      </w:r>
      <w:r w:rsidRPr="00992199">
        <w:rPr>
          <w:szCs w:val="20"/>
        </w:rPr>
        <w:t>[115,739,610.92] and 2,400,000 New Shares will be issued, resulting in a total number of Shares of 18,859,520.</w:t>
      </w:r>
      <w:r w:rsidR="00C14169">
        <w:rPr>
          <w:szCs w:val="20"/>
        </w:rPr>
        <w:t xml:space="preserve"> </w:t>
      </w:r>
      <w:r w:rsidR="00EC0415">
        <w:rPr>
          <w:szCs w:val="20"/>
        </w:rPr>
        <w:t>The Company will fund the repayment of the Gimv Subordinated Loan by drawing under an ad hoc credit facility which it will reimburse upon receipt of the proceeds of the Gimv Warrants Exercise.</w:t>
      </w:r>
    </w:p>
    <w:p w:rsidR="003F0BC5" w:rsidRPr="00992199" w:rsidRDefault="0082672E" w:rsidP="007B5305">
      <w:pPr>
        <w:pStyle w:val="BulletsL1"/>
        <w:keepNext/>
        <w:keepLines/>
      </w:pPr>
      <w:r>
        <w:lastRenderedPageBreak/>
        <w:t>Univeg</w:t>
      </w:r>
      <w:r w:rsidR="003F0BC5" w:rsidRPr="00992199">
        <w:t xml:space="preserve"> Contribution</w:t>
      </w:r>
    </w:p>
    <w:p w:rsidR="003F0BC5" w:rsidRPr="00992199" w:rsidRDefault="003F0BC5" w:rsidP="00F35405">
      <w:pPr>
        <w:widowControl w:val="0"/>
        <w:autoSpaceDE w:val="0"/>
        <w:autoSpaceDN w:val="0"/>
        <w:adjustRightInd w:val="0"/>
        <w:ind w:left="720"/>
        <w:rPr>
          <w:szCs w:val="20"/>
        </w:rPr>
      </w:pPr>
      <w:r w:rsidRPr="00992199">
        <w:rPr>
          <w:szCs w:val="20"/>
        </w:rPr>
        <w:t xml:space="preserve">Secondly, the Company will acquire </w:t>
      </w:r>
      <w:r w:rsidR="0082672E">
        <w:rPr>
          <w:szCs w:val="20"/>
        </w:rPr>
        <w:t>Univeg</w:t>
      </w:r>
      <w:r w:rsidRPr="00992199">
        <w:rPr>
          <w:szCs w:val="20"/>
        </w:rPr>
        <w:t xml:space="preserve"> shares from the </w:t>
      </w:r>
      <w:r w:rsidR="00C87D8C">
        <w:rPr>
          <w:szCs w:val="20"/>
        </w:rPr>
        <w:t>STAK FieldLink</w:t>
      </w:r>
      <w:r w:rsidRPr="00992199">
        <w:rPr>
          <w:szCs w:val="20"/>
        </w:rPr>
        <w:t xml:space="preserve">. The </w:t>
      </w:r>
      <w:r w:rsidR="0082672E">
        <w:rPr>
          <w:szCs w:val="20"/>
        </w:rPr>
        <w:t>Univeg</w:t>
      </w:r>
      <w:r w:rsidRPr="00992199">
        <w:rPr>
          <w:szCs w:val="20"/>
        </w:rPr>
        <w:t xml:space="preserve"> Contribution will occur by way of a contribution in kind of 1,207,118 shares of </w:t>
      </w:r>
      <w:r w:rsidR="0082672E">
        <w:rPr>
          <w:szCs w:val="20"/>
        </w:rPr>
        <w:t>Univeg</w:t>
      </w:r>
      <w:r w:rsidRPr="00992199">
        <w:rPr>
          <w:szCs w:val="20"/>
        </w:rPr>
        <w:t xml:space="preserve"> (</w:t>
      </w:r>
      <w:r w:rsidR="003A6D08" w:rsidRPr="003A6D08">
        <w:rPr>
          <w:i/>
          <w:szCs w:val="20"/>
        </w:rPr>
        <w:t>i.e.</w:t>
      </w:r>
      <w:r w:rsidR="003A6D08">
        <w:rPr>
          <w:szCs w:val="20"/>
        </w:rPr>
        <w:t xml:space="preserve">, </w:t>
      </w:r>
      <w:r w:rsidRPr="00992199">
        <w:rPr>
          <w:szCs w:val="20"/>
        </w:rPr>
        <w:t xml:space="preserve">4.6% of the shares of </w:t>
      </w:r>
      <w:r w:rsidR="0082672E">
        <w:rPr>
          <w:szCs w:val="20"/>
        </w:rPr>
        <w:t>Univeg</w:t>
      </w:r>
      <w:r w:rsidRPr="00992199">
        <w:rPr>
          <w:szCs w:val="20"/>
        </w:rPr>
        <w:t xml:space="preserve">) into </w:t>
      </w:r>
      <w:r w:rsidR="002A1AB1">
        <w:rPr>
          <w:szCs w:val="20"/>
        </w:rPr>
        <w:t>Greenyard Foods</w:t>
      </w:r>
      <w:r w:rsidRPr="00992199">
        <w:rPr>
          <w:szCs w:val="20"/>
        </w:rPr>
        <w:t xml:space="preserve"> at the occasion of a share capital increase of </w:t>
      </w:r>
      <w:r w:rsidR="002A1AB1">
        <w:rPr>
          <w:szCs w:val="20"/>
        </w:rPr>
        <w:t>Greenyard Foods</w:t>
      </w:r>
      <w:r w:rsidRPr="00992199">
        <w:rPr>
          <w:szCs w:val="20"/>
        </w:rPr>
        <w:t xml:space="preserve"> against the issuance of 1,019,757 New Shares to </w:t>
      </w:r>
      <w:r w:rsidR="00C87D8C">
        <w:rPr>
          <w:szCs w:val="20"/>
        </w:rPr>
        <w:t>STAK FieldLink</w:t>
      </w:r>
      <w:r w:rsidRPr="00992199">
        <w:rPr>
          <w:szCs w:val="20"/>
        </w:rPr>
        <w:t xml:space="preserve">. Such New Shares will be certified. Upon completion of the </w:t>
      </w:r>
      <w:r w:rsidR="0082672E">
        <w:rPr>
          <w:szCs w:val="20"/>
        </w:rPr>
        <w:t>Univeg</w:t>
      </w:r>
      <w:r w:rsidRPr="00992199">
        <w:rPr>
          <w:szCs w:val="20"/>
        </w:rPr>
        <w:t xml:space="preserve"> Contribution, the capital of the Company will be brought to </w:t>
      </w:r>
      <w:r w:rsidR="00E53641">
        <w:rPr>
          <w:szCs w:val="20"/>
        </w:rPr>
        <w:t>EUR </w:t>
      </w:r>
      <w:r w:rsidRPr="00992199">
        <w:rPr>
          <w:szCs w:val="20"/>
        </w:rPr>
        <w:t>[121,997,791.32] and the total number of Shares to 19,879,277.</w:t>
      </w:r>
    </w:p>
    <w:p w:rsidR="003F0BC5" w:rsidRPr="00992199" w:rsidRDefault="003F0BC5" w:rsidP="000F6E97">
      <w:pPr>
        <w:pStyle w:val="BulletsL1"/>
      </w:pPr>
      <w:r w:rsidRPr="00992199">
        <w:t xml:space="preserve">Peatinvest </w:t>
      </w:r>
      <w:r w:rsidRPr="00992199">
        <w:rPr>
          <w:lang w:bidi="as-IN"/>
        </w:rPr>
        <w:t>Contribution</w:t>
      </w:r>
    </w:p>
    <w:p w:rsidR="003F0BC5" w:rsidRPr="00992199" w:rsidRDefault="003F0BC5" w:rsidP="00F35405">
      <w:pPr>
        <w:widowControl w:val="0"/>
        <w:autoSpaceDE w:val="0"/>
        <w:autoSpaceDN w:val="0"/>
        <w:adjustRightInd w:val="0"/>
        <w:ind w:left="720"/>
        <w:rPr>
          <w:szCs w:val="20"/>
        </w:rPr>
      </w:pPr>
      <w:r w:rsidRPr="00992199">
        <w:rPr>
          <w:szCs w:val="20"/>
        </w:rPr>
        <w:t>Thirdly, the Company will acquire the entire share capital of Peatinvest from the current shareholders of Peatinvest. The Peatinvest Contribution will occur by way of a contribution in kind of 15,570 shares of Peatinvest (</w:t>
      </w:r>
      <w:r w:rsidR="003A6D08" w:rsidRPr="003A6D08">
        <w:rPr>
          <w:i/>
          <w:szCs w:val="20"/>
        </w:rPr>
        <w:t>i.e.</w:t>
      </w:r>
      <w:r w:rsidR="003A6D08">
        <w:rPr>
          <w:szCs w:val="20"/>
        </w:rPr>
        <w:t xml:space="preserve">, </w:t>
      </w:r>
      <w:r w:rsidRPr="00992199">
        <w:rPr>
          <w:szCs w:val="20"/>
        </w:rPr>
        <w:t xml:space="preserve">100% of the shares of Peatinvest) into </w:t>
      </w:r>
      <w:r w:rsidR="002A1AB1">
        <w:rPr>
          <w:szCs w:val="20"/>
        </w:rPr>
        <w:t>Greenyard Foods</w:t>
      </w:r>
      <w:r w:rsidRPr="00992199">
        <w:rPr>
          <w:szCs w:val="20"/>
        </w:rPr>
        <w:t xml:space="preserve"> at the occasion of a share capital increase of </w:t>
      </w:r>
      <w:r w:rsidR="002A1AB1">
        <w:rPr>
          <w:szCs w:val="20"/>
        </w:rPr>
        <w:t>Greenyard Foods</w:t>
      </w:r>
      <w:r w:rsidRPr="00992199">
        <w:rPr>
          <w:szCs w:val="20"/>
        </w:rPr>
        <w:t xml:space="preserve"> against the issuance of 3,514,196 New Shares to the shareholders of Peatinvest. Upon completion of the Peatinvest Contribution, the capital of the Company will be brought to </w:t>
      </w:r>
      <w:r w:rsidR="00E53641">
        <w:rPr>
          <w:szCs w:val="20"/>
        </w:rPr>
        <w:t>EUR </w:t>
      </w:r>
      <w:r w:rsidRPr="00992199">
        <w:rPr>
          <w:szCs w:val="20"/>
        </w:rPr>
        <w:t>[143,564,176.78] and the total number of Shares to 23,393,473.</w:t>
      </w:r>
    </w:p>
    <w:p w:rsidR="003F0BC5" w:rsidRPr="00992199" w:rsidRDefault="003F0BC5" w:rsidP="000F6E97">
      <w:pPr>
        <w:pStyle w:val="BulletsL1"/>
      </w:pPr>
      <w:r w:rsidRPr="00992199">
        <w:t xml:space="preserve">DWB </w:t>
      </w:r>
      <w:r w:rsidRPr="00992199">
        <w:rPr>
          <w:lang w:bidi="as-IN"/>
        </w:rPr>
        <w:t>Demerger</w:t>
      </w:r>
    </w:p>
    <w:p w:rsidR="003F0BC5" w:rsidRDefault="003F0BC5" w:rsidP="00F35405">
      <w:pPr>
        <w:widowControl w:val="0"/>
        <w:autoSpaceDE w:val="0"/>
        <w:autoSpaceDN w:val="0"/>
        <w:adjustRightInd w:val="0"/>
        <w:ind w:left="720"/>
        <w:rPr>
          <w:szCs w:val="20"/>
        </w:rPr>
      </w:pPr>
      <w:r w:rsidRPr="00992199">
        <w:rPr>
          <w:szCs w:val="20"/>
        </w:rPr>
        <w:t xml:space="preserve">Finally, the Company will acquire </w:t>
      </w:r>
      <w:r w:rsidR="0082672E">
        <w:rPr>
          <w:szCs w:val="20"/>
        </w:rPr>
        <w:t>Univeg</w:t>
      </w:r>
      <w:r w:rsidRPr="00992199">
        <w:rPr>
          <w:szCs w:val="20"/>
        </w:rPr>
        <w:t xml:space="preserve"> shares from DWB so as to hold the entire share capital of </w:t>
      </w:r>
      <w:r w:rsidR="0082672E">
        <w:rPr>
          <w:szCs w:val="20"/>
        </w:rPr>
        <w:t>Univeg</w:t>
      </w:r>
      <w:r w:rsidRPr="00992199">
        <w:rPr>
          <w:szCs w:val="20"/>
        </w:rPr>
        <w:t xml:space="preserve">. Under the DWB Demerger, DWB will be partially demerged into </w:t>
      </w:r>
      <w:r w:rsidR="002A1AB1">
        <w:rPr>
          <w:szCs w:val="20"/>
        </w:rPr>
        <w:t>Greenyard Foods</w:t>
      </w:r>
      <w:r w:rsidRPr="00992199">
        <w:rPr>
          <w:szCs w:val="20"/>
        </w:rPr>
        <w:t xml:space="preserve"> in accordance with articles 677 and 728 </w:t>
      </w:r>
      <w:r w:rsidR="0055687C">
        <w:rPr>
          <w:szCs w:val="20"/>
        </w:rPr>
        <w:t>BCC</w:t>
      </w:r>
      <w:r w:rsidRPr="00992199">
        <w:rPr>
          <w:szCs w:val="20"/>
        </w:rPr>
        <w:t xml:space="preserve">. As a result of the DWB Demerger, the 25,000,000 shares of </w:t>
      </w:r>
      <w:r w:rsidR="0082672E">
        <w:rPr>
          <w:szCs w:val="20"/>
        </w:rPr>
        <w:t>Univeg</w:t>
      </w:r>
      <w:r w:rsidRPr="00992199">
        <w:rPr>
          <w:szCs w:val="20"/>
        </w:rPr>
        <w:t xml:space="preserve"> held by DWB (</w:t>
      </w:r>
      <w:r w:rsidR="003A6D08" w:rsidRPr="003A6D08">
        <w:rPr>
          <w:i/>
          <w:szCs w:val="20"/>
        </w:rPr>
        <w:t>i.e.</w:t>
      </w:r>
      <w:r w:rsidR="003A6D08">
        <w:rPr>
          <w:szCs w:val="20"/>
        </w:rPr>
        <w:t xml:space="preserve">, </w:t>
      </w:r>
      <w:r w:rsidRPr="00992199">
        <w:rPr>
          <w:szCs w:val="20"/>
        </w:rPr>
        <w:t xml:space="preserve">95.4% of the shares in </w:t>
      </w:r>
      <w:r w:rsidR="0082672E">
        <w:rPr>
          <w:szCs w:val="20"/>
        </w:rPr>
        <w:t>Univeg</w:t>
      </w:r>
      <w:r w:rsidRPr="00992199">
        <w:rPr>
          <w:szCs w:val="20"/>
        </w:rPr>
        <w:t xml:space="preserve">) and a debt of DWB against </w:t>
      </w:r>
      <w:r w:rsidR="0082672E">
        <w:rPr>
          <w:szCs w:val="20"/>
        </w:rPr>
        <w:t>Univeg</w:t>
      </w:r>
      <w:r w:rsidRPr="00992199">
        <w:rPr>
          <w:szCs w:val="20"/>
        </w:rPr>
        <w:t xml:space="preserve"> for an amount of </w:t>
      </w:r>
      <w:r w:rsidR="00E53641">
        <w:rPr>
          <w:szCs w:val="20"/>
        </w:rPr>
        <w:t>EUR </w:t>
      </w:r>
      <w:r w:rsidRPr="00992199">
        <w:rPr>
          <w:szCs w:val="20"/>
        </w:rPr>
        <w:t xml:space="preserve">2,436,901 will be transferred to </w:t>
      </w:r>
      <w:r w:rsidR="002A1AB1">
        <w:rPr>
          <w:szCs w:val="20"/>
        </w:rPr>
        <w:t>Greenyard Foods</w:t>
      </w:r>
      <w:r w:rsidRPr="00992199">
        <w:rPr>
          <w:szCs w:val="20"/>
        </w:rPr>
        <w:t xml:space="preserve"> against the issuance of 20,979,112 New Shares to the shareholders of DWB. Upon completion of the DWB Demerger, the capital of the Company will be brought to </w:t>
      </w:r>
      <w:r w:rsidR="00E53641">
        <w:rPr>
          <w:szCs w:val="20"/>
        </w:rPr>
        <w:t>EUR </w:t>
      </w:r>
      <w:r w:rsidRPr="00992199">
        <w:rPr>
          <w:szCs w:val="20"/>
        </w:rPr>
        <w:t>[222,033,563.32] and the total number of Shares to 44,372,585.</w:t>
      </w:r>
    </w:p>
    <w:p w:rsidR="00C14674" w:rsidRPr="00992199" w:rsidRDefault="00C14674" w:rsidP="00F35405">
      <w:pPr>
        <w:widowControl w:val="0"/>
        <w:autoSpaceDE w:val="0"/>
        <w:autoSpaceDN w:val="0"/>
        <w:adjustRightInd w:val="0"/>
        <w:ind w:left="720"/>
        <w:rPr>
          <w:szCs w:val="20"/>
        </w:rPr>
      </w:pPr>
      <w:r w:rsidRPr="003D1D9A">
        <w:rPr>
          <w:rFonts w:eastAsia="Calibri"/>
          <w:szCs w:val="20"/>
        </w:rPr>
        <w:t>The approval of the DWB demerger will trigger a creditors’ protection procedure under the BCC. Creditors of the Company or DWB whose receivables came into existence prior to, and that have not yet matured on the date of publication of the shareholders’ resolution in respect of the DWB Demerger</w:t>
      </w:r>
      <w:r w:rsidR="00C14169" w:rsidRPr="003D1D9A">
        <w:rPr>
          <w:rFonts w:eastAsia="Calibri"/>
          <w:szCs w:val="20"/>
        </w:rPr>
        <w:t xml:space="preserve"> </w:t>
      </w:r>
      <w:r w:rsidRPr="003D1D9A">
        <w:rPr>
          <w:rFonts w:eastAsia="Calibri"/>
          <w:szCs w:val="20"/>
        </w:rPr>
        <w:t xml:space="preserve">in the annexes to the </w:t>
      </w:r>
      <w:r w:rsidR="00D47467" w:rsidRPr="003D1D9A">
        <w:rPr>
          <w:rFonts w:eastAsia="Calibri"/>
          <w:szCs w:val="20"/>
        </w:rPr>
        <w:t>Belgian State Gazette</w:t>
      </w:r>
      <w:r w:rsidRPr="003D1D9A">
        <w:rPr>
          <w:rFonts w:eastAsia="Calibri"/>
          <w:szCs w:val="20"/>
        </w:rPr>
        <w:t xml:space="preserve"> (</w:t>
      </w:r>
      <w:r w:rsidRPr="003D1D9A">
        <w:rPr>
          <w:rFonts w:eastAsia="Calibri"/>
          <w:i/>
          <w:iCs/>
          <w:szCs w:val="20"/>
        </w:rPr>
        <w:t>Belgisch Staatsblad / Moniteur Belge</w:t>
      </w:r>
      <w:r w:rsidRPr="003D1D9A">
        <w:rPr>
          <w:rFonts w:eastAsia="Calibri"/>
          <w:szCs w:val="20"/>
        </w:rPr>
        <w:t xml:space="preserve">)) or for which proceedings have been initiated in a court of law or an arbitral tribunal before the date of the </w:t>
      </w:r>
      <w:r w:rsidR="00AA3763" w:rsidRPr="003D1D9A">
        <w:rPr>
          <w:rFonts w:eastAsia="Calibri"/>
          <w:szCs w:val="20"/>
        </w:rPr>
        <w:t>general shareholders’ meeting</w:t>
      </w:r>
      <w:r w:rsidRPr="003D1D9A">
        <w:rPr>
          <w:rFonts w:eastAsia="Calibri"/>
          <w:szCs w:val="20"/>
        </w:rPr>
        <w:t>s of</w:t>
      </w:r>
      <w:r w:rsidRPr="0030457A">
        <w:t xml:space="preserve"> </w:t>
      </w:r>
      <w:r w:rsidRPr="003D1D9A">
        <w:rPr>
          <w:rFonts w:eastAsia="Calibri"/>
          <w:szCs w:val="20"/>
        </w:rPr>
        <w:t xml:space="preserve">the Company and DWB resolving upon the DWB Demerger, may request (additional) collateral in respect of such receivables. Such creditors are entitled to request (additional) collateral for a period of two months following the publication of the resolution in the </w:t>
      </w:r>
      <w:r w:rsidR="00D47467" w:rsidRPr="003D1D9A">
        <w:rPr>
          <w:rFonts w:eastAsia="Calibri"/>
          <w:szCs w:val="20"/>
        </w:rPr>
        <w:t>Belgian State Gazette</w:t>
      </w:r>
      <w:r w:rsidRPr="003D1D9A">
        <w:rPr>
          <w:rFonts w:eastAsia="Calibri"/>
          <w:szCs w:val="20"/>
        </w:rPr>
        <w:t xml:space="preserve"> (</w:t>
      </w:r>
      <w:r w:rsidRPr="003D1D9A">
        <w:rPr>
          <w:rFonts w:eastAsia="Calibri"/>
          <w:i/>
          <w:iCs/>
          <w:szCs w:val="20"/>
        </w:rPr>
        <w:t>Belgisch Staatsblad / Moniteur Belge</w:t>
      </w:r>
      <w:r w:rsidRPr="003D1D9A">
        <w:rPr>
          <w:rFonts w:eastAsia="Calibri"/>
          <w:szCs w:val="20"/>
        </w:rPr>
        <w:t>). The Company and/or DWB may also discharge any such creditor’s request by paying the receivable at its value less a discount for early payment. If no agreement has been reached or if the creditor has not been satisfied, the president of the commercial court, ruling in the form of summary proceedings, is to resolve upon the collateral to be provided, unless it has denied the creditor’s request for collateral on the ground that the creditor benefits from sufficient existing collateral or that the solvency profile of the Company does not justify a request for collateral. If the Company were required to provide (additional) collateral or repay any receivables, this could have a material adverse effect on its business, financial conditions, results of operations and prospects</w:t>
      </w:r>
    </w:p>
    <w:p w:rsidR="003F0BC5" w:rsidRPr="00992199" w:rsidRDefault="003F0BC5" w:rsidP="00353B80">
      <w:pPr>
        <w:pStyle w:val="Firm5L3"/>
        <w:keepNext/>
      </w:pPr>
      <w:r w:rsidRPr="00992199">
        <w:t>Terms of the Contributions</w:t>
      </w:r>
    </w:p>
    <w:p w:rsidR="003F0BC5" w:rsidRPr="00992199" w:rsidRDefault="003F0BC5" w:rsidP="00353B80">
      <w:pPr>
        <w:pStyle w:val="Firm5L4"/>
        <w:keepNext/>
      </w:pPr>
      <w:r w:rsidRPr="00992199">
        <w:rPr>
          <w:lang w:bidi="as-IN"/>
        </w:rPr>
        <w:t>Conditions</w:t>
      </w:r>
      <w:r w:rsidRPr="00992199">
        <w:t xml:space="preserve"> precedent, undertakings and warranties</w:t>
      </w:r>
    </w:p>
    <w:p w:rsidR="003F0BC5" w:rsidRPr="00992199" w:rsidRDefault="003F0BC5" w:rsidP="003F0BC5">
      <w:pPr>
        <w:rPr>
          <w:szCs w:val="20"/>
        </w:rPr>
      </w:pPr>
      <w:r w:rsidRPr="00992199">
        <w:rPr>
          <w:szCs w:val="20"/>
        </w:rPr>
        <w:t>The Contributions are subject to a number of conditions precedents set out in the Partial Demerger and Contribution Agreement. Such conditions include among others:</w:t>
      </w:r>
    </w:p>
    <w:p w:rsidR="003F0BC5" w:rsidRPr="00992199" w:rsidRDefault="003F0BC5" w:rsidP="000F6E97">
      <w:pPr>
        <w:pStyle w:val="BulletsL1"/>
      </w:pPr>
      <w:r w:rsidRPr="00992199">
        <w:t>the obtaining of the required merger clearance from the European Commission</w:t>
      </w:r>
      <w:r w:rsidR="003A6D08">
        <w:t xml:space="preserve">, which was obtained on </w:t>
      </w:r>
      <w:r w:rsidR="00C14169">
        <w:t>22 May</w:t>
      </w:r>
      <w:r w:rsidR="003A6D08">
        <w:t xml:space="preserve"> 2015</w:t>
      </w:r>
      <w:r w:rsidRPr="00992199">
        <w:t>;</w:t>
      </w:r>
    </w:p>
    <w:p w:rsidR="003F0BC5" w:rsidRPr="00992199" w:rsidRDefault="003F0BC5" w:rsidP="003A6D08">
      <w:pPr>
        <w:pStyle w:val="BulletsL1"/>
      </w:pPr>
      <w:r w:rsidRPr="00992199">
        <w:t>the approval of this Prospectus by the FSMA</w:t>
      </w:r>
      <w:r w:rsidR="003A6D08" w:rsidRPr="003A6D08">
        <w:t>, which was obtained on [</w:t>
      </w:r>
      <w:r w:rsidR="003A6D08">
        <w:t>16</w:t>
      </w:r>
      <w:r w:rsidR="003A6D08" w:rsidRPr="003A6D08">
        <w:t>] June 2015</w:t>
      </w:r>
      <w:r w:rsidRPr="00992199">
        <w:t>;</w:t>
      </w:r>
    </w:p>
    <w:p w:rsidR="003F0BC5" w:rsidRPr="00992199" w:rsidRDefault="003F0BC5" w:rsidP="00EF373B">
      <w:pPr>
        <w:pStyle w:val="BulletsL1"/>
      </w:pPr>
      <w:r w:rsidRPr="00992199">
        <w:t xml:space="preserve">the approval or obtaining of the relevant waivers from </w:t>
      </w:r>
      <w:r w:rsidR="00077367">
        <w:t xml:space="preserve">the </w:t>
      </w:r>
      <w:r w:rsidRPr="00992199">
        <w:t xml:space="preserve">bank consortium in relation with </w:t>
      </w:r>
      <w:r w:rsidR="00077367">
        <w:t xml:space="preserve">the </w:t>
      </w:r>
      <w:r w:rsidRPr="00992199">
        <w:t xml:space="preserve">financing agreements entered into by </w:t>
      </w:r>
      <w:r w:rsidR="00E13084">
        <w:t xml:space="preserve">the </w:t>
      </w:r>
      <w:r w:rsidR="002A1AB1">
        <w:t>Greenyard Foods</w:t>
      </w:r>
      <w:r w:rsidR="00E13084">
        <w:t xml:space="preserve"> Group</w:t>
      </w:r>
      <w:r w:rsidRPr="00992199">
        <w:t xml:space="preserve">, </w:t>
      </w:r>
      <w:r w:rsidR="00E13084">
        <w:t>the Univeg Group</w:t>
      </w:r>
      <w:r w:rsidRPr="00992199">
        <w:t xml:space="preserve"> and </w:t>
      </w:r>
      <w:r w:rsidR="00E13084">
        <w:t xml:space="preserve">the </w:t>
      </w:r>
      <w:r w:rsidRPr="00992199">
        <w:t>Peatinvest</w:t>
      </w:r>
      <w:r w:rsidR="00E13084">
        <w:t xml:space="preserve"> Group</w:t>
      </w:r>
      <w:r w:rsidR="003A6D08">
        <w:t xml:space="preserve">, which were </w:t>
      </w:r>
      <w:r w:rsidR="005530FB">
        <w:t xml:space="preserve">all </w:t>
      </w:r>
      <w:r w:rsidR="003A6D08">
        <w:t xml:space="preserve">obtained on </w:t>
      </w:r>
      <w:r w:rsidR="0049238D">
        <w:t>30 April 2015</w:t>
      </w:r>
      <w:r w:rsidRPr="00992199">
        <w:t>; and</w:t>
      </w:r>
    </w:p>
    <w:p w:rsidR="003F0BC5" w:rsidRPr="00992199" w:rsidRDefault="003F0BC5" w:rsidP="0049238D">
      <w:pPr>
        <w:pStyle w:val="BulletsL1"/>
      </w:pPr>
      <w:r w:rsidRPr="00992199">
        <w:t xml:space="preserve">the release of the pledges on 24,999,999 of the 25,000,000 shares of </w:t>
      </w:r>
      <w:r w:rsidR="0082672E">
        <w:t>Univeg</w:t>
      </w:r>
      <w:r w:rsidRPr="00992199">
        <w:t xml:space="preserve"> held by DWB and of the 14,770 of the 14,810 shares of Peatinvest held by Deprez Holding</w:t>
      </w:r>
      <w:r w:rsidR="0049238D" w:rsidRPr="0049238D">
        <w:t xml:space="preserve">, which was obtained on </w:t>
      </w:r>
      <w:r w:rsidR="0049238D">
        <w:t>[•]</w:t>
      </w:r>
      <w:r w:rsidR="0049238D" w:rsidRPr="0049238D">
        <w:t xml:space="preserve"> 2015</w:t>
      </w:r>
      <w:r w:rsidRPr="00992199">
        <w:t>.</w:t>
      </w:r>
    </w:p>
    <w:p w:rsidR="003F0BC5" w:rsidRPr="0049238D" w:rsidRDefault="003F0BC5" w:rsidP="003F0BC5">
      <w:pPr>
        <w:rPr>
          <w:szCs w:val="20"/>
        </w:rPr>
      </w:pPr>
      <w:r w:rsidRPr="00992199">
        <w:rPr>
          <w:szCs w:val="20"/>
        </w:rPr>
        <w:lastRenderedPageBreak/>
        <w:t xml:space="preserve">The Partial Demerger and Contribution Agreement also provides for specific undertakings from the DWB shareholders, the </w:t>
      </w:r>
      <w:r w:rsidR="00C87D8C">
        <w:rPr>
          <w:szCs w:val="20"/>
        </w:rPr>
        <w:t>STAK FieldLink</w:t>
      </w:r>
      <w:r w:rsidRPr="00992199">
        <w:rPr>
          <w:szCs w:val="20"/>
        </w:rPr>
        <w:t xml:space="preserve"> and the Peatinvest shareholders. Among others, the DWB shareholders and the </w:t>
      </w:r>
      <w:r w:rsidR="00C87D8C">
        <w:rPr>
          <w:szCs w:val="20"/>
        </w:rPr>
        <w:t>STAK FieldLink</w:t>
      </w:r>
      <w:r w:rsidRPr="00992199">
        <w:rPr>
          <w:szCs w:val="20"/>
        </w:rPr>
        <w:t xml:space="preserve"> undertake to complete contemplated divestments from the Univeg Group to DWB.</w:t>
      </w:r>
      <w:r w:rsidR="0049238D">
        <w:rPr>
          <w:szCs w:val="20"/>
        </w:rPr>
        <w:t xml:space="preserve"> See also Section </w:t>
      </w:r>
      <w:r w:rsidR="00532FBB">
        <w:rPr>
          <w:szCs w:val="20"/>
        </w:rPr>
        <w:t>3.2.5</w:t>
      </w:r>
      <w:r w:rsidR="0049238D">
        <w:rPr>
          <w:szCs w:val="20"/>
        </w:rPr>
        <w:t xml:space="preserve"> of Part VIII (</w:t>
      </w:r>
      <w:r w:rsidR="0049238D">
        <w:rPr>
          <w:i/>
          <w:szCs w:val="20"/>
        </w:rPr>
        <w:t>Related party transactions</w:t>
      </w:r>
      <w:r w:rsidR="0049238D">
        <w:rPr>
          <w:szCs w:val="20"/>
        </w:rPr>
        <w:t>).</w:t>
      </w:r>
    </w:p>
    <w:p w:rsidR="003F0BC5" w:rsidRPr="00992199" w:rsidRDefault="003F0BC5" w:rsidP="003F0BC5">
      <w:pPr>
        <w:rPr>
          <w:szCs w:val="20"/>
        </w:rPr>
      </w:pPr>
      <w:r w:rsidRPr="00992199">
        <w:rPr>
          <w:szCs w:val="20"/>
        </w:rPr>
        <w:t xml:space="preserve">Finally, a number of customary warranties have been given by some of the </w:t>
      </w:r>
      <w:r w:rsidR="00AE437F">
        <w:rPr>
          <w:szCs w:val="20"/>
        </w:rPr>
        <w:t>Univeg Group</w:t>
      </w:r>
      <w:r w:rsidRPr="00992199">
        <w:rPr>
          <w:szCs w:val="20"/>
        </w:rPr>
        <w:t xml:space="preserve"> direct and indirect shareholders and some of the Peatinvest shareholders </w:t>
      </w:r>
      <w:r w:rsidR="0049238D" w:rsidRPr="0049238D">
        <w:rPr>
          <w:szCs w:val="20"/>
        </w:rPr>
        <w:t>prior to completion of the Transactions</w:t>
      </w:r>
      <w:r w:rsidR="00C8137D">
        <w:rPr>
          <w:szCs w:val="20"/>
        </w:rPr>
        <w:t>,</w:t>
      </w:r>
      <w:r w:rsidR="0049238D" w:rsidRPr="0049238D">
        <w:rPr>
          <w:szCs w:val="20"/>
        </w:rPr>
        <w:t xml:space="preserve"> </w:t>
      </w:r>
      <w:r w:rsidRPr="00992199">
        <w:rPr>
          <w:szCs w:val="20"/>
        </w:rPr>
        <w:t xml:space="preserve">to the benefit of </w:t>
      </w:r>
      <w:r w:rsidR="002A1AB1">
        <w:rPr>
          <w:szCs w:val="20"/>
        </w:rPr>
        <w:t>Greenyard Foods</w:t>
      </w:r>
      <w:r w:rsidRPr="00992199">
        <w:rPr>
          <w:szCs w:val="20"/>
        </w:rPr>
        <w:t>.</w:t>
      </w:r>
      <w:r w:rsidR="00C8137D">
        <w:rPr>
          <w:szCs w:val="20"/>
        </w:rPr>
        <w:t xml:space="preserve"> Indemnification in case of breach of these warranties is subject to limits as to the amounts and the time period to claim.</w:t>
      </w:r>
    </w:p>
    <w:p w:rsidR="003F0BC5" w:rsidRPr="00992199" w:rsidRDefault="003F0BC5" w:rsidP="00353B80">
      <w:pPr>
        <w:pStyle w:val="Firm5L4"/>
        <w:keepNext/>
      </w:pPr>
      <w:bookmarkStart w:id="12" w:name="_Ref418401709"/>
      <w:r w:rsidRPr="00992199">
        <w:rPr>
          <w:lang w:bidi="as-IN"/>
        </w:rPr>
        <w:t>Lock</w:t>
      </w:r>
      <w:r w:rsidRPr="00992199">
        <w:t>-up</w:t>
      </w:r>
      <w:bookmarkEnd w:id="12"/>
    </w:p>
    <w:p w:rsidR="003F0BC5" w:rsidRPr="00992199" w:rsidRDefault="003F0BC5" w:rsidP="003F0BC5">
      <w:pPr>
        <w:rPr>
          <w:szCs w:val="20"/>
        </w:rPr>
      </w:pPr>
      <w:r w:rsidRPr="00992199">
        <w:rPr>
          <w:szCs w:val="20"/>
        </w:rPr>
        <w:t xml:space="preserve">The Partial Demerger and Contribution Agreement provides for a lock-up undertaking by the </w:t>
      </w:r>
      <w:r w:rsidR="00C87D8C">
        <w:rPr>
          <w:szCs w:val="20"/>
        </w:rPr>
        <w:t>STAK FieldLink</w:t>
      </w:r>
      <w:r w:rsidRPr="00992199">
        <w:rPr>
          <w:szCs w:val="20"/>
        </w:rPr>
        <w:t xml:space="preserve"> not to sell or transfer any of the 1,019,757 New Shares to which the </w:t>
      </w:r>
      <w:r w:rsidR="00C87D8C">
        <w:rPr>
          <w:szCs w:val="20"/>
        </w:rPr>
        <w:t>STAK FieldLink</w:t>
      </w:r>
      <w:r w:rsidRPr="00992199">
        <w:rPr>
          <w:szCs w:val="20"/>
        </w:rPr>
        <w:t xml:space="preserve"> shall subscribe upon completion of the </w:t>
      </w:r>
      <w:r w:rsidR="0082672E">
        <w:rPr>
          <w:szCs w:val="20"/>
        </w:rPr>
        <w:t>Univeg</w:t>
      </w:r>
      <w:r w:rsidRPr="00992199">
        <w:rPr>
          <w:szCs w:val="20"/>
        </w:rPr>
        <w:t xml:space="preserve"> Contribution until the end of the period of six months following the completion of the Secondary Sale (see below).</w:t>
      </w:r>
    </w:p>
    <w:p w:rsidR="00805147" w:rsidRDefault="00805147" w:rsidP="00805147">
      <w:pPr>
        <w:rPr>
          <w:szCs w:val="20"/>
        </w:rPr>
      </w:pPr>
      <w:bookmarkStart w:id="13" w:name="_Ref418401665"/>
      <w:r w:rsidRPr="00992199">
        <w:t xml:space="preserve">The </w:t>
      </w:r>
      <w:r w:rsidR="00BC18A5">
        <w:t>shareholders’ agreement</w:t>
      </w:r>
      <w:r w:rsidRPr="00992199">
        <w:t xml:space="preserve"> to be entered into between Deprez Holding, </w:t>
      </w:r>
      <w:r w:rsidR="00334BBC">
        <w:t>Mr Hein Deprez</w:t>
      </w:r>
      <w:r w:rsidRPr="00992199">
        <w:t xml:space="preserve">, Food Invest International, Gimv-XL AIF and </w:t>
      </w:r>
      <w:r w:rsidR="002A1AB1">
        <w:rPr>
          <w:szCs w:val="20"/>
        </w:rPr>
        <w:t>Greenyard Foods</w:t>
      </w:r>
      <w:r>
        <w:t xml:space="preserve"> </w:t>
      </w:r>
      <w:r w:rsidRPr="00992199">
        <w:t xml:space="preserve">with respect to </w:t>
      </w:r>
      <w:r w:rsidR="002A1AB1">
        <w:t>Greenyard Foods</w:t>
      </w:r>
      <w:r w:rsidRPr="00992199">
        <w:t xml:space="preserve"> (the </w:t>
      </w:r>
      <w:r w:rsidRPr="00992199">
        <w:rPr>
          <w:b/>
          <w:i/>
        </w:rPr>
        <w:t xml:space="preserve">New </w:t>
      </w:r>
      <w:r w:rsidR="00BC18A5">
        <w:rPr>
          <w:b/>
          <w:i/>
        </w:rPr>
        <w:t>Shareholders’ agreement</w:t>
      </w:r>
      <w:r w:rsidRPr="00992199">
        <w:t>) provides for a</w:t>
      </w:r>
      <w:r>
        <w:t xml:space="preserve"> lock-up</w:t>
      </w:r>
      <w:r w:rsidRPr="00992199">
        <w:t xml:space="preserve"> undertaking from Deprez Holding towards Gimv-XL </w:t>
      </w:r>
      <w:r>
        <w:t>not</w:t>
      </w:r>
      <w:r w:rsidRPr="00992199">
        <w:rPr>
          <w:szCs w:val="20"/>
        </w:rPr>
        <w:t xml:space="preserve"> to sell Shares in such a number that it would hold less than 30% of the Shares.</w:t>
      </w:r>
      <w:r>
        <w:rPr>
          <w:szCs w:val="20"/>
        </w:rPr>
        <w:t xml:space="preserve"> Deprez Holding is further entitled to sell a maximum of 1% of the total Shares over rolling periods of one year as long as it holds at least 30% of the Shares. </w:t>
      </w:r>
      <w:r w:rsidRPr="00992199">
        <w:t xml:space="preserve">Such </w:t>
      </w:r>
      <w:r>
        <w:t>lock-up</w:t>
      </w:r>
      <w:r w:rsidRPr="00992199">
        <w:t xml:space="preserve"> undertaking shall</w:t>
      </w:r>
      <w:r>
        <w:t xml:space="preserve"> however</w:t>
      </w:r>
      <w:r w:rsidRPr="00992199">
        <w:t xml:space="preserve"> not apply (i) when the transfer leads to an obligation of the transferee to launch a mandatory public offer on the Shares or (ii) takes place within the framework of a voluntary or mandatory public offer on the Shares by a third party.</w:t>
      </w:r>
    </w:p>
    <w:p w:rsidR="00805147" w:rsidRPr="00992199" w:rsidRDefault="00805147" w:rsidP="00805147">
      <w:pPr>
        <w:rPr>
          <w:szCs w:val="20"/>
        </w:rPr>
      </w:pPr>
      <w:r w:rsidRPr="00992199">
        <w:rPr>
          <w:szCs w:val="20"/>
        </w:rPr>
        <w:t xml:space="preserve">This lock-up undertaking shall terminate on the earliest of (i) 31 December 2016 or (ii) the day on which Gimv-XL holds less than 10% of the share capital of </w:t>
      </w:r>
      <w:r w:rsidR="002A1AB1">
        <w:rPr>
          <w:szCs w:val="20"/>
        </w:rPr>
        <w:t>Greenyard Foods</w:t>
      </w:r>
      <w:r>
        <w:rPr>
          <w:szCs w:val="20"/>
        </w:rPr>
        <w:t>.</w:t>
      </w:r>
    </w:p>
    <w:p w:rsidR="003F0BC5" w:rsidRPr="00992199" w:rsidRDefault="003F0BC5" w:rsidP="00353B80">
      <w:pPr>
        <w:pStyle w:val="Firm5L2"/>
        <w:keepNext/>
      </w:pPr>
      <w:bookmarkStart w:id="14" w:name="_Toc420593836"/>
      <w:r w:rsidRPr="00992199">
        <w:t xml:space="preserve">Secondary </w:t>
      </w:r>
      <w:smartTag w:uri="urn:schemas-microsoft-com:office:smarttags" w:element="City">
        <w:smartTag w:uri="urn:schemas-microsoft-com:office:smarttags" w:element="place">
          <w:r w:rsidRPr="00992199">
            <w:t>Sale</w:t>
          </w:r>
        </w:smartTag>
      </w:smartTag>
      <w:bookmarkEnd w:id="13"/>
      <w:bookmarkEnd w:id="14"/>
    </w:p>
    <w:p w:rsidR="003F0BC5" w:rsidRPr="00992199" w:rsidRDefault="00A76464" w:rsidP="007B5305">
      <w:r>
        <w:t>Following</w:t>
      </w:r>
      <w:r w:rsidR="003F0BC5" w:rsidRPr="00992199">
        <w:t xml:space="preserve"> the Transactions, it is the intention of Gimv-XL and Deprez Holding to proceed to a secondary sale of certain Shares held by them, with a view to ensuring an appropriate free float following the business combination and providing a partial exit possibility for certain shareholders (the </w:t>
      </w:r>
      <w:r w:rsidR="003F0BC5" w:rsidRPr="00992199">
        <w:rPr>
          <w:b/>
          <w:i/>
        </w:rPr>
        <w:t>Secondary Sale</w:t>
      </w:r>
      <w:r w:rsidR="003F0BC5" w:rsidRPr="00992199">
        <w:t>). Such Secondary Sale will in principle take place through a private placement to qualified investors in the EEA. However, Gimv-XL and Deprez Holding may also examine other structuring options for the envisaged Secondary Sale and decide to proceed by way of a secondary public offer or a block trade.</w:t>
      </w:r>
      <w:r w:rsidR="00C14169">
        <w:t xml:space="preserve"> </w:t>
      </w:r>
      <w:r>
        <w:t xml:space="preserve">The Secondary Sale may take place shortly following the Transactions, in the discretion of </w:t>
      </w:r>
      <w:r w:rsidRPr="00992199">
        <w:t>Gimv-XL and Deprez Holding</w:t>
      </w:r>
      <w:r>
        <w:t>.</w:t>
      </w:r>
    </w:p>
    <w:p w:rsidR="003F0BC5" w:rsidRPr="00992199" w:rsidRDefault="003F0BC5" w:rsidP="007B5305">
      <w:r w:rsidRPr="00992199">
        <w:t xml:space="preserve">The Secondary Sale will aim at a sale of existing Shares for an aggregate amount of </w:t>
      </w:r>
      <w:r w:rsidR="00E53641">
        <w:t>EUR </w:t>
      </w:r>
      <w:r w:rsidRPr="00992199">
        <w:t xml:space="preserve">150,000,000 allocated between Gimv-XL and Deprez Holding. Such amount will be decreased if the demand is insufficient and can be increased if the demand is such that an amount higher than </w:t>
      </w:r>
      <w:r w:rsidR="00E53641">
        <w:t>EUR </w:t>
      </w:r>
      <w:r w:rsidRPr="00992199">
        <w:t>150,000,000 can be placed.</w:t>
      </w:r>
    </w:p>
    <w:p w:rsidR="003F0BC5" w:rsidRPr="00992199" w:rsidRDefault="003F0BC5" w:rsidP="007B5305">
      <w:r w:rsidRPr="00992199">
        <w:t>As long as the Secondary Sale is not effected in full:</w:t>
      </w:r>
    </w:p>
    <w:p w:rsidR="003F0BC5" w:rsidRPr="00992199" w:rsidRDefault="003F0BC5" w:rsidP="000F6E97">
      <w:pPr>
        <w:pStyle w:val="BulletsL1"/>
      </w:pPr>
      <w:r w:rsidRPr="00992199">
        <w:t xml:space="preserve">Gimv-XL may require </w:t>
      </w:r>
      <w:r w:rsidR="002A1AB1">
        <w:t>Greenyard Foods</w:t>
      </w:r>
      <w:r w:rsidRPr="00992199">
        <w:t xml:space="preserve"> and Deprez Holding to organise one or more additional placements until the amount of the sale allocated to Gimv-XL is placed in full</w:t>
      </w:r>
      <w:r w:rsidR="00805147">
        <w:t xml:space="preserve"> by Gimv-XL</w:t>
      </w:r>
      <w:r w:rsidRPr="00992199">
        <w:t>;</w:t>
      </w:r>
    </w:p>
    <w:p w:rsidR="003F0BC5" w:rsidRPr="00992199" w:rsidRDefault="003F0BC5" w:rsidP="000F6E97">
      <w:pPr>
        <w:pStyle w:val="BulletsL1"/>
      </w:pPr>
      <w:r w:rsidRPr="00992199">
        <w:t xml:space="preserve">Gimv-XL will </w:t>
      </w:r>
      <w:r w:rsidR="00A76464">
        <w:t xml:space="preserve">as a rule </w:t>
      </w:r>
      <w:r w:rsidRPr="00992199">
        <w:t xml:space="preserve">be entitled to a tag-along right proportional to the amount of the Secondary Sale allocated to it in the event of any direct or indirect transfer </w:t>
      </w:r>
      <w:r w:rsidR="00805147">
        <w:t xml:space="preserve">of Shares </w:t>
      </w:r>
      <w:r w:rsidRPr="00992199">
        <w:t xml:space="preserve">by Deprez Holding or any Deprez entity holding Shares in </w:t>
      </w:r>
      <w:r w:rsidR="002A1AB1">
        <w:t>Greenyard Foods</w:t>
      </w:r>
      <w:r w:rsidRPr="00992199">
        <w:t xml:space="preserve"> to a person other than Deprez Holding, a Deprez related entity holding Shares in </w:t>
      </w:r>
      <w:r w:rsidR="002A1AB1">
        <w:t>Greenyard Foods</w:t>
      </w:r>
      <w:r w:rsidRPr="00992199">
        <w:t xml:space="preserve"> or Gimv-XL; and</w:t>
      </w:r>
    </w:p>
    <w:p w:rsidR="003F0BC5" w:rsidRPr="00992199" w:rsidRDefault="003F0BC5" w:rsidP="000F6E97">
      <w:pPr>
        <w:pStyle w:val="BulletsL1"/>
      </w:pPr>
      <w:r w:rsidRPr="00992199">
        <w:t xml:space="preserve">Deprez Holding and the Deprez related entities holding Shares in </w:t>
      </w:r>
      <w:r w:rsidR="002A1AB1">
        <w:t>Greenyard Foods</w:t>
      </w:r>
      <w:r w:rsidRPr="00992199">
        <w:t xml:space="preserve"> shall not engage and shall cause </w:t>
      </w:r>
      <w:r w:rsidR="002A1AB1">
        <w:t>Greenyard Foods</w:t>
      </w:r>
      <w:r w:rsidRPr="00992199">
        <w:t xml:space="preserve"> not to engage in any form of secondary public or private offering before completion of the Secondary Sale, it being understood that this undertaking relates only to any secondary offering as opposed to any issue or placement of new </w:t>
      </w:r>
      <w:r w:rsidR="00BC18A5">
        <w:t>S</w:t>
      </w:r>
      <w:r w:rsidRPr="00992199">
        <w:t xml:space="preserve">hares or equity securities by </w:t>
      </w:r>
      <w:r w:rsidR="002A1AB1">
        <w:t>Greenyard Foods</w:t>
      </w:r>
      <w:r w:rsidRPr="00992199">
        <w:t>.</w:t>
      </w:r>
    </w:p>
    <w:p w:rsidR="00805147" w:rsidRDefault="00805147" w:rsidP="00805147">
      <w:r>
        <w:t xml:space="preserve">Once the Secondary Sale is effected in full, Gimv-XL shall have priority over Deprez Holding and the Deprez Holding related entities holding Shares to sell any of the Shares it holds on the date of the New </w:t>
      </w:r>
      <w:r w:rsidR="00BC18A5">
        <w:rPr>
          <w:szCs w:val="20"/>
        </w:rPr>
        <w:t>Shareholders’ agreement</w:t>
      </w:r>
      <w:r>
        <w:t xml:space="preserve"> or to which it subscribed for in the framework of the Gimv Warrants Exercise and which it still holds after completion of the Secondary Sale.</w:t>
      </w:r>
    </w:p>
    <w:p w:rsidR="003F0BC5" w:rsidRPr="00992199" w:rsidRDefault="003F0BC5" w:rsidP="00805147">
      <w:pPr>
        <w:rPr>
          <w:i/>
          <w:szCs w:val="20"/>
        </w:rPr>
      </w:pPr>
      <w:r w:rsidRPr="00992199">
        <w:rPr>
          <w:szCs w:val="20"/>
        </w:rPr>
        <w:t xml:space="preserve">As long as Gimv-XL holds </w:t>
      </w:r>
      <w:r w:rsidR="00805147">
        <w:rPr>
          <w:szCs w:val="20"/>
        </w:rPr>
        <w:t>[2]</w:t>
      </w:r>
      <w:r w:rsidRPr="00992199">
        <w:rPr>
          <w:szCs w:val="20"/>
        </w:rPr>
        <w:t>% of the Shares,</w:t>
      </w:r>
      <w:r w:rsidR="00805147" w:rsidRPr="00805147">
        <w:rPr>
          <w:szCs w:val="20"/>
        </w:rPr>
        <w:t xml:space="preserve"> </w:t>
      </w:r>
      <w:r w:rsidR="00805147" w:rsidRPr="00992199">
        <w:rPr>
          <w:szCs w:val="20"/>
        </w:rPr>
        <w:t>Deprez Holding</w:t>
      </w:r>
      <w:r w:rsidR="00805147">
        <w:rPr>
          <w:szCs w:val="20"/>
        </w:rPr>
        <w:t>, the Deprez Holding related entities holding Shares and</w:t>
      </w:r>
      <w:r w:rsidRPr="00992199">
        <w:rPr>
          <w:szCs w:val="20"/>
        </w:rPr>
        <w:t xml:space="preserve"> the shareholders of Deprez Holding and of the Deprez related entities </w:t>
      </w:r>
      <w:r w:rsidRPr="00805147">
        <w:t>holding</w:t>
      </w:r>
      <w:r w:rsidRPr="00992199">
        <w:rPr>
          <w:szCs w:val="20"/>
        </w:rPr>
        <w:t xml:space="preserve"> </w:t>
      </w:r>
      <w:r w:rsidR="00805147">
        <w:rPr>
          <w:szCs w:val="20"/>
        </w:rPr>
        <w:t>S</w:t>
      </w:r>
      <w:r w:rsidRPr="00992199">
        <w:rPr>
          <w:szCs w:val="20"/>
        </w:rPr>
        <w:t xml:space="preserve">hares may not cause the listing, offer or placement of any shares of a subsidiary of </w:t>
      </w:r>
      <w:r w:rsidR="002A1AB1">
        <w:rPr>
          <w:szCs w:val="20"/>
        </w:rPr>
        <w:t>Greenyard Foods</w:t>
      </w:r>
      <w:r w:rsidRPr="00992199">
        <w:rPr>
          <w:szCs w:val="20"/>
        </w:rPr>
        <w:t>.</w:t>
      </w:r>
    </w:p>
    <w:p w:rsidR="003F0BC5" w:rsidRPr="00992199" w:rsidRDefault="003F0BC5" w:rsidP="00353B80">
      <w:pPr>
        <w:pStyle w:val="Firm5L1"/>
        <w:keepNext/>
      </w:pPr>
      <w:bookmarkStart w:id="15" w:name="_Toc420593837"/>
      <w:r w:rsidRPr="00992199">
        <w:lastRenderedPageBreak/>
        <w:t xml:space="preserve">Overview of </w:t>
      </w:r>
      <w:r w:rsidR="002A1AB1">
        <w:t>Greenyard Foods</w:t>
      </w:r>
      <w:r w:rsidRPr="00992199">
        <w:t xml:space="preserve">, </w:t>
      </w:r>
      <w:r w:rsidR="0082672E">
        <w:t>Univeg</w:t>
      </w:r>
      <w:r w:rsidRPr="00992199">
        <w:t xml:space="preserve"> and Peatinvest prior to the Contributions</w:t>
      </w:r>
      <w:bookmarkEnd w:id="15"/>
    </w:p>
    <w:p w:rsidR="003F0BC5" w:rsidRPr="00992199" w:rsidRDefault="002A1AB1" w:rsidP="00353B80">
      <w:pPr>
        <w:pStyle w:val="Firm5L2"/>
        <w:keepNext/>
      </w:pPr>
      <w:bookmarkStart w:id="16" w:name="_Toc420593838"/>
      <w:r>
        <w:t>Greenyard Foods</w:t>
      </w:r>
      <w:bookmarkEnd w:id="16"/>
    </w:p>
    <w:p w:rsidR="003F0BC5" w:rsidRPr="00992199" w:rsidRDefault="003F0BC5" w:rsidP="00353B80">
      <w:pPr>
        <w:pStyle w:val="Firm5L3"/>
        <w:keepNext/>
      </w:pPr>
      <w:r w:rsidRPr="00992199">
        <w:t>History</w:t>
      </w:r>
    </w:p>
    <w:p w:rsidR="003F0BC5" w:rsidRPr="00992199" w:rsidRDefault="002A1AB1" w:rsidP="003F0BC5">
      <w:pPr>
        <w:rPr>
          <w:szCs w:val="20"/>
          <w:lang w:bidi="as-IN"/>
        </w:rPr>
      </w:pPr>
      <w:r>
        <w:rPr>
          <w:szCs w:val="20"/>
          <w:lang w:bidi="as-IN"/>
        </w:rPr>
        <w:t>Greenyard Foods</w:t>
      </w:r>
      <w:r w:rsidR="003F0BC5" w:rsidRPr="00992199">
        <w:rPr>
          <w:szCs w:val="20"/>
          <w:lang w:bidi="as-IN"/>
        </w:rPr>
        <w:t xml:space="preserve"> has been founded in 1968 in Westrozebeke under the name </w:t>
      </w:r>
      <w:r w:rsidR="00BF553B">
        <w:rPr>
          <w:szCs w:val="20"/>
          <w:lang w:bidi="as-IN"/>
        </w:rPr>
        <w:t>“</w:t>
      </w:r>
      <w:r w:rsidR="003F0BC5" w:rsidRPr="00992199">
        <w:rPr>
          <w:szCs w:val="20"/>
          <w:lang w:bidi="as-IN"/>
        </w:rPr>
        <w:t>Pinguin</w:t>
      </w:r>
      <w:r w:rsidR="00BF553B">
        <w:rPr>
          <w:szCs w:val="20"/>
          <w:lang w:bidi="as-IN"/>
        </w:rPr>
        <w:t>”</w:t>
      </w:r>
      <w:r w:rsidR="003F0BC5" w:rsidRPr="00992199">
        <w:rPr>
          <w:szCs w:val="20"/>
          <w:lang w:bidi="as-IN"/>
        </w:rPr>
        <w:t>. Its history is marked by the following key events:</w:t>
      </w:r>
    </w:p>
    <w:p w:rsidR="003F0BC5" w:rsidRPr="00992199" w:rsidRDefault="003F0BC5" w:rsidP="003F0BC5">
      <w:pPr>
        <w:rPr>
          <w:szCs w:val="20"/>
          <w:lang w:bidi="as-IN"/>
        </w:rPr>
      </w:pPr>
      <w:r w:rsidRPr="00992199">
        <w:rPr>
          <w:szCs w:val="20"/>
          <w:lang w:bidi="as-IN"/>
        </w:rPr>
        <w:t xml:space="preserve">In 1996, the first steps have been taken towards internationalisation of the production. The first production outside the Belgian home territory started in southern France (Ychoux), in a joint venture with the British company Fisher Frozen Foods and the French company Agralco. In 2003, the southern </w:t>
      </w:r>
      <w:smartTag w:uri="urn:schemas-microsoft-com:office:smarttags" w:element="country-region">
        <w:smartTag w:uri="urn:schemas-microsoft-com:office:smarttags" w:element="place">
          <w:r w:rsidRPr="00992199">
            <w:rPr>
              <w:szCs w:val="20"/>
              <w:lang w:bidi="as-IN"/>
            </w:rPr>
            <w:t>Fra</w:t>
          </w:r>
          <w:r w:rsidR="00A07615">
            <w:rPr>
              <w:szCs w:val="20"/>
              <w:lang w:bidi="as-IN"/>
            </w:rPr>
            <w:t>nce</w:t>
          </w:r>
        </w:smartTag>
      </w:smartTag>
      <w:r w:rsidR="00A07615">
        <w:rPr>
          <w:szCs w:val="20"/>
          <w:lang w:bidi="as-IN"/>
        </w:rPr>
        <w:t xml:space="preserve"> agricultural cooperative Luc</w:t>
      </w:r>
      <w:r w:rsidRPr="00992199">
        <w:rPr>
          <w:szCs w:val="20"/>
          <w:lang w:bidi="as-IN"/>
        </w:rPr>
        <w:t xml:space="preserve"> Berri began to invest and </w:t>
      </w:r>
      <w:r w:rsidR="002A1AB1">
        <w:rPr>
          <w:szCs w:val="20"/>
          <w:lang w:bidi="as-IN"/>
        </w:rPr>
        <w:t>Greenyard Foods</w:t>
      </w:r>
      <w:r w:rsidRPr="00992199">
        <w:rPr>
          <w:szCs w:val="20"/>
          <w:lang w:bidi="as-IN"/>
        </w:rPr>
        <w:t xml:space="preserve"> took over Fisher’s interest which gave </w:t>
      </w:r>
      <w:r w:rsidR="002A1AB1">
        <w:rPr>
          <w:szCs w:val="20"/>
          <w:lang w:bidi="as-IN"/>
        </w:rPr>
        <w:t>Greenyard Foods</w:t>
      </w:r>
      <w:r w:rsidRPr="00992199">
        <w:rPr>
          <w:szCs w:val="20"/>
          <w:lang w:bidi="as-IN"/>
        </w:rPr>
        <w:t xml:space="preserve"> a controlling interest of 52%. In 2003 the French joint venture was renamed Pinguin </w:t>
      </w:r>
      <w:smartTag w:uri="urn:schemas-microsoft-com:office:smarttags" w:element="State">
        <w:smartTag w:uri="urn:schemas-microsoft-com:office:smarttags" w:element="place">
          <w:r w:rsidRPr="00992199">
            <w:rPr>
              <w:szCs w:val="20"/>
              <w:lang w:bidi="as-IN"/>
            </w:rPr>
            <w:t>Aquitaine</w:t>
          </w:r>
        </w:smartTag>
      </w:smartTag>
      <w:r w:rsidRPr="00992199">
        <w:rPr>
          <w:szCs w:val="20"/>
          <w:lang w:bidi="as-IN"/>
        </w:rPr>
        <w:t>.</w:t>
      </w:r>
    </w:p>
    <w:p w:rsidR="003F0BC5" w:rsidRPr="00992199" w:rsidRDefault="003F0BC5" w:rsidP="003F0BC5">
      <w:pPr>
        <w:rPr>
          <w:szCs w:val="20"/>
          <w:lang w:bidi="as-IN"/>
        </w:rPr>
      </w:pPr>
      <w:r w:rsidRPr="00992199">
        <w:rPr>
          <w:szCs w:val="20"/>
          <w:lang w:bidi="as-IN"/>
        </w:rPr>
        <w:t xml:space="preserve">In order to respond to new takeover opportunities, </w:t>
      </w:r>
      <w:r w:rsidR="002A1AB1">
        <w:rPr>
          <w:szCs w:val="20"/>
          <w:lang w:bidi="as-IN"/>
        </w:rPr>
        <w:t>Greenyard Foods</w:t>
      </w:r>
      <w:r w:rsidRPr="00992199">
        <w:rPr>
          <w:szCs w:val="20"/>
          <w:lang w:bidi="as-IN"/>
        </w:rPr>
        <w:t xml:space="preserve"> proceeded with an IPO and listing of its shares on Euronext Brussels </w:t>
      </w:r>
      <w:r w:rsidR="00E0533C">
        <w:rPr>
          <w:szCs w:val="20"/>
          <w:lang w:bidi="as-IN"/>
        </w:rPr>
        <w:t>i</w:t>
      </w:r>
      <w:r w:rsidRPr="00992199">
        <w:rPr>
          <w:szCs w:val="20"/>
          <w:lang w:bidi="as-IN"/>
        </w:rPr>
        <w:t xml:space="preserve">n </w:t>
      </w:r>
      <w:r w:rsidR="005B6FDE">
        <w:rPr>
          <w:szCs w:val="20"/>
          <w:lang w:bidi="as-IN"/>
        </w:rPr>
        <w:t>1999</w:t>
      </w:r>
      <w:r w:rsidRPr="00992199">
        <w:rPr>
          <w:szCs w:val="20"/>
          <w:lang w:bidi="as-IN"/>
        </w:rPr>
        <w:t>.</w:t>
      </w:r>
    </w:p>
    <w:p w:rsidR="003F0BC5" w:rsidRPr="00992199" w:rsidRDefault="003F0BC5" w:rsidP="003F0BC5">
      <w:pPr>
        <w:rPr>
          <w:szCs w:val="20"/>
          <w:lang w:bidi="as-IN"/>
        </w:rPr>
      </w:pPr>
      <w:r w:rsidRPr="00992199">
        <w:rPr>
          <w:szCs w:val="20"/>
          <w:lang w:bidi="as-IN"/>
        </w:rPr>
        <w:t xml:space="preserve">The next step in </w:t>
      </w:r>
      <w:r w:rsidR="00BC18A5">
        <w:rPr>
          <w:szCs w:val="20"/>
          <w:lang w:bidi="as-IN"/>
        </w:rPr>
        <w:t>the</w:t>
      </w:r>
      <w:r w:rsidRPr="00992199">
        <w:rPr>
          <w:szCs w:val="20"/>
          <w:lang w:bidi="as-IN"/>
        </w:rPr>
        <w:t xml:space="preserve"> internationalisation came when Albert Fisher Ltd was d</w:t>
      </w:r>
      <w:r w:rsidR="00AE437F">
        <w:rPr>
          <w:szCs w:val="20"/>
          <w:lang w:bidi="as-IN"/>
        </w:rPr>
        <w:t>eclared bankrupt in May of 2002</w:t>
      </w:r>
      <w:r w:rsidRPr="00992199">
        <w:rPr>
          <w:szCs w:val="20"/>
          <w:lang w:bidi="as-IN"/>
        </w:rPr>
        <w:t xml:space="preserve"> and </w:t>
      </w:r>
      <w:r w:rsidR="002A1AB1">
        <w:rPr>
          <w:szCs w:val="20"/>
          <w:lang w:bidi="as-IN"/>
        </w:rPr>
        <w:t>Greenyard Foods</w:t>
      </w:r>
      <w:r w:rsidRPr="00992199">
        <w:rPr>
          <w:szCs w:val="20"/>
          <w:lang w:bidi="as-IN"/>
        </w:rPr>
        <w:t xml:space="preserve"> took over the assets of the Fisher Frozen Foods unit. </w:t>
      </w:r>
      <w:r w:rsidR="00EF0DC5">
        <w:rPr>
          <w:szCs w:val="20"/>
          <w:lang w:bidi="as-IN"/>
        </w:rPr>
        <w:t>The</w:t>
      </w:r>
      <w:r w:rsidRPr="00992199">
        <w:rPr>
          <w:szCs w:val="20"/>
          <w:lang w:bidi="as-IN"/>
        </w:rPr>
        <w:t xml:space="preserve"> production unit in Kings Lynn (</w:t>
      </w:r>
      <w:smartTag w:uri="urn:schemas-microsoft-com:office:smarttags" w:element="country-region">
        <w:smartTag w:uri="urn:schemas-microsoft-com:office:smarttags" w:element="place">
          <w:r w:rsidRPr="00992199">
            <w:rPr>
              <w:szCs w:val="20"/>
              <w:lang w:bidi="as-IN"/>
            </w:rPr>
            <w:t>United Kingdom</w:t>
          </w:r>
        </w:smartTag>
      </w:smartTag>
      <w:r w:rsidRPr="00992199">
        <w:rPr>
          <w:szCs w:val="20"/>
          <w:lang w:bidi="as-IN"/>
        </w:rPr>
        <w:t>) became the registered office of Pinguin Foods UK.</w:t>
      </w:r>
    </w:p>
    <w:p w:rsidR="003F0BC5" w:rsidRPr="00992199" w:rsidRDefault="003F0BC5" w:rsidP="003F0BC5">
      <w:pPr>
        <w:rPr>
          <w:szCs w:val="20"/>
          <w:lang w:bidi="as-IN"/>
        </w:rPr>
      </w:pPr>
      <w:r w:rsidRPr="00992199">
        <w:rPr>
          <w:szCs w:val="20"/>
          <w:lang w:bidi="as-IN"/>
        </w:rPr>
        <w:t xml:space="preserve">In 2007 capacity in the </w:t>
      </w:r>
      <w:smartTag w:uri="urn:schemas-microsoft-com:office:smarttags" w:element="place">
        <w:smartTag w:uri="urn:schemas-microsoft-com:office:smarttags" w:element="country-region">
          <w:r w:rsidRPr="00992199">
            <w:rPr>
              <w:szCs w:val="20"/>
              <w:lang w:bidi="as-IN"/>
            </w:rPr>
            <w:t>United Kingdom</w:t>
          </w:r>
        </w:smartTag>
      </w:smartTag>
      <w:r w:rsidRPr="00992199">
        <w:rPr>
          <w:szCs w:val="20"/>
          <w:lang w:bidi="as-IN"/>
        </w:rPr>
        <w:t xml:space="preserve"> was expanded by the acquisition of certain activities and assets of Padley Vegetables and of Christian Salvesen Foods, a segment of Christian Salvesen plc., comprising storage facilities, machinery, employees, stock and contracts.</w:t>
      </w:r>
    </w:p>
    <w:p w:rsidR="003F0BC5" w:rsidRPr="00992199" w:rsidRDefault="003F0BC5" w:rsidP="003F0BC5">
      <w:pPr>
        <w:rPr>
          <w:szCs w:val="20"/>
          <w:lang w:bidi="as-IN"/>
        </w:rPr>
      </w:pPr>
      <w:r w:rsidRPr="00992199">
        <w:rPr>
          <w:szCs w:val="20"/>
          <w:lang w:bidi="as-IN"/>
        </w:rPr>
        <w:t>On 28 September 2007, all shares of Lutosa were purchased from the Van den Broeke Family, followed by a name change</w:t>
      </w:r>
      <w:r w:rsidR="00864882">
        <w:rPr>
          <w:szCs w:val="20"/>
          <w:lang w:bidi="as-IN"/>
        </w:rPr>
        <w:t xml:space="preserve"> </w:t>
      </w:r>
      <w:r w:rsidR="00E0533C">
        <w:rPr>
          <w:szCs w:val="20"/>
          <w:lang w:bidi="as-IN"/>
        </w:rPr>
        <w:t>of the Company</w:t>
      </w:r>
      <w:r w:rsidR="00C14169">
        <w:rPr>
          <w:szCs w:val="20"/>
          <w:lang w:bidi="as-IN"/>
        </w:rPr>
        <w:t xml:space="preserve"> </w:t>
      </w:r>
      <w:r w:rsidRPr="00992199">
        <w:rPr>
          <w:szCs w:val="20"/>
          <w:lang w:bidi="as-IN"/>
        </w:rPr>
        <w:t xml:space="preserve">into </w:t>
      </w:r>
      <w:r w:rsidR="00BF553B">
        <w:rPr>
          <w:szCs w:val="20"/>
          <w:lang w:bidi="as-IN"/>
        </w:rPr>
        <w:t>“</w:t>
      </w:r>
      <w:r w:rsidRPr="00992199">
        <w:rPr>
          <w:szCs w:val="20"/>
          <w:lang w:bidi="as-IN"/>
        </w:rPr>
        <w:t>PinguinLutosa</w:t>
      </w:r>
      <w:r w:rsidR="00BF553B">
        <w:rPr>
          <w:szCs w:val="20"/>
          <w:lang w:bidi="as-IN"/>
        </w:rPr>
        <w:t>”</w:t>
      </w:r>
      <w:r w:rsidRPr="00992199">
        <w:rPr>
          <w:szCs w:val="20"/>
          <w:lang w:bidi="as-IN"/>
        </w:rPr>
        <w:t>.</w:t>
      </w:r>
    </w:p>
    <w:p w:rsidR="003F0BC5" w:rsidRPr="00992199" w:rsidRDefault="003F0BC5" w:rsidP="003F0BC5">
      <w:pPr>
        <w:rPr>
          <w:szCs w:val="20"/>
          <w:lang w:bidi="as-IN"/>
        </w:rPr>
      </w:pPr>
      <w:r w:rsidRPr="00992199">
        <w:rPr>
          <w:szCs w:val="20"/>
          <w:lang w:bidi="as-IN"/>
        </w:rPr>
        <w:t xml:space="preserve">As per 19 July 2011, </w:t>
      </w:r>
      <w:r w:rsidR="002A1AB1">
        <w:rPr>
          <w:szCs w:val="20"/>
          <w:lang w:bidi="as-IN"/>
        </w:rPr>
        <w:t>Greenyard Foods</w:t>
      </w:r>
      <w:r w:rsidR="00AE437F">
        <w:rPr>
          <w:szCs w:val="20"/>
          <w:lang w:bidi="as-IN"/>
        </w:rPr>
        <w:t xml:space="preserve"> </w:t>
      </w:r>
      <w:r w:rsidRPr="00992199">
        <w:rPr>
          <w:szCs w:val="20"/>
          <w:lang w:bidi="as-IN"/>
        </w:rPr>
        <w:t>acquired all shares of the Scana Noliko group.</w:t>
      </w:r>
    </w:p>
    <w:p w:rsidR="003F0BC5" w:rsidRPr="00992199" w:rsidRDefault="003F0BC5" w:rsidP="003F0BC5">
      <w:pPr>
        <w:rPr>
          <w:szCs w:val="20"/>
          <w:lang w:bidi="as-IN"/>
        </w:rPr>
      </w:pPr>
      <w:r w:rsidRPr="00992199">
        <w:rPr>
          <w:szCs w:val="20"/>
          <w:lang w:bidi="as-IN"/>
        </w:rPr>
        <w:t xml:space="preserve">On 1 September 2011, the frozen vegetable activities in </w:t>
      </w:r>
      <w:smartTag w:uri="urn:schemas-microsoft-com:office:smarttags" w:element="country-region">
        <w:r w:rsidRPr="00992199">
          <w:rPr>
            <w:szCs w:val="20"/>
            <w:lang w:bidi="as-IN"/>
          </w:rPr>
          <w:t>France</w:t>
        </w:r>
      </w:smartTag>
      <w:r w:rsidRPr="00992199">
        <w:rPr>
          <w:szCs w:val="20"/>
          <w:lang w:bidi="as-IN"/>
        </w:rPr>
        <w:t xml:space="preserve">, </w:t>
      </w:r>
      <w:smartTag w:uri="urn:schemas-microsoft-com:office:smarttags" w:element="country-region">
        <w:r w:rsidRPr="00992199">
          <w:rPr>
            <w:szCs w:val="20"/>
            <w:lang w:bidi="as-IN"/>
          </w:rPr>
          <w:t>Poland</w:t>
        </w:r>
      </w:smartTag>
      <w:r w:rsidRPr="00992199">
        <w:rPr>
          <w:szCs w:val="20"/>
          <w:lang w:bidi="as-IN"/>
        </w:rPr>
        <w:t xml:space="preserve"> and </w:t>
      </w:r>
      <w:smartTag w:uri="urn:schemas-microsoft-com:office:smarttags" w:element="country-region">
        <w:smartTag w:uri="urn:schemas-microsoft-com:office:smarttags" w:element="place">
          <w:r w:rsidRPr="00992199">
            <w:rPr>
              <w:szCs w:val="20"/>
              <w:lang w:bidi="as-IN"/>
            </w:rPr>
            <w:t>Hungary</w:t>
          </w:r>
        </w:smartTag>
      </w:smartTag>
      <w:r w:rsidRPr="00992199">
        <w:rPr>
          <w:szCs w:val="20"/>
          <w:lang w:bidi="as-IN"/>
        </w:rPr>
        <w:t xml:space="preserve"> have been acquired from Union Fermière Morbihannaise SCA (</w:t>
      </w:r>
      <w:r w:rsidRPr="00992199">
        <w:rPr>
          <w:b/>
          <w:i/>
          <w:szCs w:val="20"/>
          <w:lang w:bidi="as-IN"/>
        </w:rPr>
        <w:t>UFM</w:t>
      </w:r>
      <w:r w:rsidRPr="00992199">
        <w:rPr>
          <w:szCs w:val="20"/>
          <w:lang w:bidi="as-IN"/>
        </w:rPr>
        <w:t xml:space="preserve">), part of the CECAB group. The acquisition of these activities took place through the purchase of 100% of the shares of the sales companies of the </w:t>
      </w:r>
      <w:r w:rsidR="00E0533C" w:rsidRPr="00992199">
        <w:rPr>
          <w:szCs w:val="20"/>
          <w:lang w:bidi="as-IN"/>
        </w:rPr>
        <w:t xml:space="preserve">frozen division </w:t>
      </w:r>
      <w:r w:rsidRPr="00992199">
        <w:rPr>
          <w:szCs w:val="20"/>
          <w:lang w:bidi="as-IN"/>
        </w:rPr>
        <w:t xml:space="preserve">in </w:t>
      </w:r>
      <w:smartTag w:uri="urn:schemas-microsoft-com:office:smarttags" w:element="country-region">
        <w:r w:rsidRPr="00992199">
          <w:rPr>
            <w:szCs w:val="20"/>
            <w:lang w:bidi="as-IN"/>
          </w:rPr>
          <w:t>France</w:t>
        </w:r>
      </w:smartTag>
      <w:r w:rsidRPr="00992199">
        <w:rPr>
          <w:szCs w:val="20"/>
          <w:lang w:bidi="as-IN"/>
        </w:rPr>
        <w:t xml:space="preserve"> and </w:t>
      </w:r>
      <w:smartTag w:uri="urn:schemas-microsoft-com:office:smarttags" w:element="country-region">
        <w:smartTag w:uri="urn:schemas-microsoft-com:office:smarttags" w:element="place">
          <w:r w:rsidRPr="00992199">
            <w:rPr>
              <w:szCs w:val="20"/>
              <w:lang w:bidi="as-IN"/>
            </w:rPr>
            <w:t>Brazil</w:t>
          </w:r>
        </w:smartTag>
      </w:smartTag>
      <w:r w:rsidRPr="00992199">
        <w:rPr>
          <w:szCs w:val="20"/>
          <w:lang w:bidi="as-IN"/>
        </w:rPr>
        <w:t xml:space="preserve"> and a number of minority participations in the real estate companies of the CECAB group that initially retained and leased the production facilities and infrastructure to </w:t>
      </w:r>
      <w:r w:rsidR="00E13084" w:rsidRPr="00E13084">
        <w:rPr>
          <w:szCs w:val="20"/>
          <w:lang w:bidi="as-IN"/>
        </w:rPr>
        <w:t>the Greenyard Foods Group</w:t>
      </w:r>
      <w:r w:rsidRPr="00992199">
        <w:rPr>
          <w:szCs w:val="20"/>
          <w:lang w:bidi="as-IN"/>
        </w:rPr>
        <w:t>.</w:t>
      </w:r>
    </w:p>
    <w:p w:rsidR="003F0BC5" w:rsidRPr="00992199" w:rsidRDefault="003F0BC5" w:rsidP="003F0BC5">
      <w:pPr>
        <w:rPr>
          <w:szCs w:val="20"/>
          <w:lang w:bidi="as-IN"/>
        </w:rPr>
      </w:pPr>
      <w:r w:rsidRPr="00992199">
        <w:rPr>
          <w:szCs w:val="20"/>
          <w:lang w:bidi="as-IN"/>
        </w:rPr>
        <w:t xml:space="preserve">On 19 October 2012, </w:t>
      </w:r>
      <w:r w:rsidR="002A1AB1">
        <w:rPr>
          <w:szCs w:val="20"/>
          <w:lang w:bidi="as-IN"/>
        </w:rPr>
        <w:t>Greenyard Foods</w:t>
      </w:r>
      <w:r w:rsidRPr="00992199">
        <w:rPr>
          <w:szCs w:val="20"/>
          <w:lang w:bidi="as-IN"/>
        </w:rPr>
        <w:t xml:space="preserve"> and McCain Foods concluded an agreement for the acquisition of the potato division Lutosa. The </w:t>
      </w:r>
      <w:r w:rsidR="00E0533C">
        <w:rPr>
          <w:szCs w:val="20"/>
          <w:lang w:bidi="as-IN"/>
        </w:rPr>
        <w:t>transaction</w:t>
      </w:r>
      <w:r w:rsidRPr="00992199">
        <w:rPr>
          <w:szCs w:val="20"/>
          <w:lang w:bidi="as-IN"/>
        </w:rPr>
        <w:t xml:space="preserve"> consisted of the sale by </w:t>
      </w:r>
      <w:r w:rsidR="002A1AB1">
        <w:rPr>
          <w:szCs w:val="20"/>
          <w:lang w:bidi="as-IN"/>
        </w:rPr>
        <w:t>Greenyard Foods</w:t>
      </w:r>
      <w:r w:rsidRPr="00992199">
        <w:rPr>
          <w:szCs w:val="20"/>
          <w:lang w:bidi="as-IN"/>
        </w:rPr>
        <w:t xml:space="preserve"> to McCain Foods of all shares in the companies Vanelo NV, G&amp;L Van den Broeke-Olsene NV, </w:t>
      </w:r>
      <w:r w:rsidR="00BC18A5">
        <w:rPr>
          <w:szCs w:val="20"/>
          <w:lang w:bidi="as-IN"/>
        </w:rPr>
        <w:t>Pinguin</w:t>
      </w:r>
      <w:r w:rsidRPr="00992199">
        <w:rPr>
          <w:szCs w:val="20"/>
          <w:lang w:bidi="as-IN"/>
        </w:rPr>
        <w:t>Lutosa Foods SA, Lutosa France SA and their respective subsidiaries</w:t>
      </w:r>
      <w:r w:rsidR="00BC18A5">
        <w:rPr>
          <w:szCs w:val="20"/>
          <w:lang w:bidi="as-IN"/>
        </w:rPr>
        <w:t>.</w:t>
      </w:r>
      <w:r w:rsidRPr="00992199">
        <w:rPr>
          <w:szCs w:val="20"/>
          <w:lang w:bidi="as-IN"/>
        </w:rPr>
        <w:t xml:space="preserve"> </w:t>
      </w:r>
      <w:r w:rsidR="00BC18A5">
        <w:rPr>
          <w:szCs w:val="20"/>
          <w:lang w:bidi="as-IN"/>
        </w:rPr>
        <w:t>The</w:t>
      </w:r>
      <w:r w:rsidRPr="00992199">
        <w:rPr>
          <w:szCs w:val="20"/>
          <w:lang w:bidi="as-IN"/>
        </w:rPr>
        <w:t xml:space="preserve"> transaction was completed on 31 May 2013.</w:t>
      </w:r>
    </w:p>
    <w:p w:rsidR="003F0BC5" w:rsidRPr="00992199" w:rsidRDefault="003F0BC5" w:rsidP="003F0BC5">
      <w:pPr>
        <w:rPr>
          <w:szCs w:val="20"/>
          <w:lang w:bidi="as-IN"/>
        </w:rPr>
      </w:pPr>
      <w:r w:rsidRPr="00992199">
        <w:rPr>
          <w:szCs w:val="20"/>
          <w:lang w:bidi="as-IN"/>
        </w:rPr>
        <w:t xml:space="preserve">In the framework of the sale of Lutosa, </w:t>
      </w:r>
      <w:r w:rsidR="002A1AB1">
        <w:rPr>
          <w:szCs w:val="20"/>
          <w:lang w:bidi="as-IN"/>
        </w:rPr>
        <w:t>Greenyard Foods</w:t>
      </w:r>
      <w:r w:rsidRPr="00992199">
        <w:rPr>
          <w:szCs w:val="20"/>
          <w:lang w:bidi="as-IN"/>
        </w:rPr>
        <w:t xml:space="preserve"> completely repaid its outstanding credit facilities with its syndicate of banks on 31 May 2013 and terminated these facilities.</w:t>
      </w:r>
    </w:p>
    <w:p w:rsidR="003F0BC5" w:rsidRPr="00992199" w:rsidRDefault="003F0BC5" w:rsidP="003F0BC5">
      <w:pPr>
        <w:rPr>
          <w:szCs w:val="20"/>
          <w:lang w:bidi="as-IN"/>
        </w:rPr>
      </w:pPr>
      <w:r w:rsidRPr="00992199">
        <w:rPr>
          <w:szCs w:val="20"/>
          <w:lang w:bidi="as-IN"/>
        </w:rPr>
        <w:t xml:space="preserve">In June 2013, </w:t>
      </w:r>
      <w:r w:rsidR="002A1AB1">
        <w:rPr>
          <w:szCs w:val="20"/>
          <w:lang w:bidi="as-IN"/>
        </w:rPr>
        <w:t>Greenyard Foods</w:t>
      </w:r>
      <w:r w:rsidRPr="00992199">
        <w:rPr>
          <w:szCs w:val="20"/>
          <w:lang w:bidi="as-IN"/>
        </w:rPr>
        <w:t xml:space="preserve"> issued retail bonds for a total amount of </w:t>
      </w:r>
      <w:r w:rsidR="00E53641">
        <w:rPr>
          <w:szCs w:val="20"/>
          <w:lang w:bidi="as-IN"/>
        </w:rPr>
        <w:t>EUR </w:t>
      </w:r>
      <w:r w:rsidRPr="00992199">
        <w:rPr>
          <w:szCs w:val="20"/>
          <w:lang w:bidi="as-IN"/>
        </w:rPr>
        <w:t xml:space="preserve">150,000,000 (the </w:t>
      </w:r>
      <w:r w:rsidRPr="00992199">
        <w:rPr>
          <w:b/>
          <w:i/>
          <w:szCs w:val="20"/>
          <w:lang w:bidi="as-IN"/>
        </w:rPr>
        <w:t>Bonds</w:t>
      </w:r>
      <w:r w:rsidRPr="00992199">
        <w:rPr>
          <w:szCs w:val="20"/>
          <w:lang w:bidi="as-IN"/>
        </w:rPr>
        <w:t>).</w:t>
      </w:r>
    </w:p>
    <w:p w:rsidR="003F0BC5" w:rsidRPr="00992199" w:rsidRDefault="003F0BC5" w:rsidP="003F0BC5">
      <w:pPr>
        <w:rPr>
          <w:szCs w:val="20"/>
          <w:lang w:bidi="as-IN"/>
        </w:rPr>
      </w:pPr>
      <w:r w:rsidRPr="00992199">
        <w:rPr>
          <w:szCs w:val="20"/>
          <w:lang w:bidi="as-IN"/>
        </w:rPr>
        <w:t xml:space="preserve">On 18 July 2013, the </w:t>
      </w:r>
      <w:r w:rsidR="00AA3763">
        <w:rPr>
          <w:szCs w:val="20"/>
          <w:lang w:bidi="as-IN"/>
        </w:rPr>
        <w:t>general shareholders’ meeting</w:t>
      </w:r>
      <w:r w:rsidRPr="00992199">
        <w:rPr>
          <w:szCs w:val="20"/>
          <w:lang w:bidi="as-IN"/>
        </w:rPr>
        <w:t xml:space="preserve"> of </w:t>
      </w:r>
      <w:r w:rsidR="002A1AB1">
        <w:rPr>
          <w:szCs w:val="20"/>
          <w:lang w:bidi="as-IN"/>
        </w:rPr>
        <w:t>Greenyard Foods</w:t>
      </w:r>
      <w:r w:rsidRPr="00992199">
        <w:rPr>
          <w:szCs w:val="20"/>
          <w:lang w:bidi="as-IN"/>
        </w:rPr>
        <w:t xml:space="preserve"> resolved to change the name of the Company in</w:t>
      </w:r>
      <w:r w:rsidR="00E0533C">
        <w:rPr>
          <w:szCs w:val="20"/>
          <w:lang w:bidi="as-IN"/>
        </w:rPr>
        <w:t>to</w:t>
      </w:r>
      <w:r w:rsidRPr="00992199">
        <w:rPr>
          <w:szCs w:val="20"/>
          <w:lang w:bidi="as-IN"/>
        </w:rPr>
        <w:t xml:space="preserve"> </w:t>
      </w:r>
      <w:r w:rsidR="00BF553B">
        <w:rPr>
          <w:szCs w:val="20"/>
          <w:lang w:bidi="as-IN"/>
        </w:rPr>
        <w:t>“</w:t>
      </w:r>
      <w:r w:rsidR="002A1AB1">
        <w:rPr>
          <w:szCs w:val="20"/>
          <w:lang w:bidi="as-IN"/>
        </w:rPr>
        <w:t>Greenyard Foods</w:t>
      </w:r>
      <w:r w:rsidR="00BF553B">
        <w:rPr>
          <w:szCs w:val="20"/>
          <w:lang w:bidi="as-IN"/>
        </w:rPr>
        <w:t>”</w:t>
      </w:r>
      <w:r w:rsidRPr="00992199">
        <w:rPr>
          <w:szCs w:val="20"/>
          <w:lang w:bidi="as-IN"/>
        </w:rPr>
        <w:t xml:space="preserve"> </w:t>
      </w:r>
      <w:r w:rsidR="00BC18A5">
        <w:rPr>
          <w:szCs w:val="20"/>
          <w:lang w:bidi="as-IN"/>
        </w:rPr>
        <w:t xml:space="preserve">effective </w:t>
      </w:r>
      <w:r w:rsidRPr="00992199">
        <w:rPr>
          <w:szCs w:val="20"/>
          <w:lang w:bidi="as-IN"/>
        </w:rPr>
        <w:t xml:space="preserve">as of 1 September 2013. In addition, it was decided to reduce the share capital with </w:t>
      </w:r>
      <w:r w:rsidR="00E53641">
        <w:rPr>
          <w:szCs w:val="20"/>
          <w:lang w:bidi="as-IN"/>
        </w:rPr>
        <w:t>EUR </w:t>
      </w:r>
      <w:r w:rsidRPr="00992199">
        <w:rPr>
          <w:szCs w:val="20"/>
          <w:lang w:bidi="as-IN"/>
        </w:rPr>
        <w:t xml:space="preserve">16,986,180.31 in order to compensate the losses suffered and to reduce the share capital with </w:t>
      </w:r>
      <w:r w:rsidR="00E53641">
        <w:rPr>
          <w:szCs w:val="20"/>
          <w:lang w:bidi="as-IN"/>
        </w:rPr>
        <w:t>EUR </w:t>
      </w:r>
      <w:r w:rsidRPr="00992199">
        <w:rPr>
          <w:szCs w:val="20"/>
          <w:lang w:bidi="as-IN"/>
        </w:rPr>
        <w:t xml:space="preserve">39,502,848 by repayment of the amount of the real capital reduction to the shareholders pro rata their shareholding. As a result of both capital reductions, the share capital was reduced to </w:t>
      </w:r>
      <w:r w:rsidR="00E53641">
        <w:rPr>
          <w:szCs w:val="20"/>
          <w:lang w:bidi="as-IN"/>
        </w:rPr>
        <w:t>EUR </w:t>
      </w:r>
      <w:r w:rsidRPr="00992199">
        <w:rPr>
          <w:szCs w:val="20"/>
          <w:lang w:bidi="as-IN"/>
        </w:rPr>
        <w:t>101,010,971.69.</w:t>
      </w:r>
    </w:p>
    <w:p w:rsidR="003F0BC5" w:rsidRPr="00992199" w:rsidRDefault="003F0BC5" w:rsidP="003F0BC5">
      <w:pPr>
        <w:rPr>
          <w:szCs w:val="20"/>
          <w:lang w:bidi="as-IN"/>
        </w:rPr>
      </w:pPr>
      <w:r w:rsidRPr="00992199">
        <w:rPr>
          <w:szCs w:val="20"/>
          <w:lang w:bidi="as-IN"/>
        </w:rPr>
        <w:t xml:space="preserve">In July 2013, </w:t>
      </w:r>
      <w:r w:rsidR="00C95087">
        <w:rPr>
          <w:szCs w:val="20"/>
          <w:lang w:bidi="as-IN"/>
        </w:rPr>
        <w:t>Greenyard Foods</w:t>
      </w:r>
      <w:r w:rsidR="00C95087" w:rsidRPr="00992199">
        <w:rPr>
          <w:szCs w:val="20"/>
          <w:lang w:bidi="as-IN"/>
        </w:rPr>
        <w:t xml:space="preserve"> </w:t>
      </w:r>
      <w:r w:rsidRPr="00992199">
        <w:rPr>
          <w:szCs w:val="20"/>
          <w:lang w:bidi="as-IN"/>
        </w:rPr>
        <w:t xml:space="preserve">acquired the leased production site in Boston (UK) from GW Padley Vegetables Limited, in the context of the </w:t>
      </w:r>
      <w:r w:rsidR="002A1AB1">
        <w:rPr>
          <w:szCs w:val="20"/>
          <w:lang w:bidi="as-IN"/>
        </w:rPr>
        <w:t>Greenyard Foods</w:t>
      </w:r>
      <w:r w:rsidRPr="00992199">
        <w:rPr>
          <w:szCs w:val="20"/>
          <w:lang w:bidi="as-IN"/>
        </w:rPr>
        <w:t xml:space="preserve"> Group’s strategy to obtain control over its production facilities.</w:t>
      </w:r>
    </w:p>
    <w:p w:rsidR="003F0BC5" w:rsidRPr="00992199" w:rsidRDefault="003F0BC5" w:rsidP="003F0BC5">
      <w:pPr>
        <w:rPr>
          <w:szCs w:val="20"/>
          <w:lang w:bidi="as-IN"/>
        </w:rPr>
      </w:pPr>
      <w:r w:rsidRPr="00992199">
        <w:rPr>
          <w:szCs w:val="20"/>
          <w:lang w:bidi="as-IN"/>
        </w:rPr>
        <w:t xml:space="preserve">On 30 August 2013, </w:t>
      </w:r>
      <w:r w:rsidR="00C95087" w:rsidRPr="00992199">
        <w:rPr>
          <w:szCs w:val="20"/>
          <w:lang w:bidi="as-IN"/>
        </w:rPr>
        <w:t xml:space="preserve">the </w:t>
      </w:r>
      <w:r w:rsidR="00C95087">
        <w:rPr>
          <w:szCs w:val="20"/>
          <w:lang w:bidi="as-IN"/>
        </w:rPr>
        <w:t>Greenyard Foods</w:t>
      </w:r>
      <w:r w:rsidR="00C95087" w:rsidRPr="00992199">
        <w:rPr>
          <w:szCs w:val="20"/>
          <w:lang w:bidi="as-IN"/>
        </w:rPr>
        <w:t xml:space="preserve"> Group </w:t>
      </w:r>
      <w:r w:rsidRPr="00992199">
        <w:rPr>
          <w:szCs w:val="20"/>
          <w:lang w:bidi="as-IN"/>
        </w:rPr>
        <w:t xml:space="preserve">acquired from UFM 100% of the shares of </w:t>
      </w:r>
      <w:r w:rsidR="00E0533C">
        <w:rPr>
          <w:szCs w:val="20"/>
          <w:lang w:bidi="as-IN"/>
        </w:rPr>
        <w:t xml:space="preserve">the </w:t>
      </w:r>
      <w:r w:rsidRPr="00992199">
        <w:rPr>
          <w:szCs w:val="20"/>
          <w:lang w:bidi="as-IN"/>
        </w:rPr>
        <w:t xml:space="preserve">real estate companies in </w:t>
      </w:r>
      <w:smartTag w:uri="urn:schemas-microsoft-com:office:smarttags" w:element="country-region">
        <w:r w:rsidRPr="00992199">
          <w:rPr>
            <w:szCs w:val="20"/>
            <w:lang w:bidi="as-IN"/>
          </w:rPr>
          <w:t>Poland</w:t>
        </w:r>
      </w:smartTag>
      <w:r w:rsidRPr="00992199">
        <w:rPr>
          <w:szCs w:val="20"/>
          <w:lang w:bidi="as-IN"/>
        </w:rPr>
        <w:t xml:space="preserve"> and </w:t>
      </w:r>
      <w:smartTag w:uri="urn:schemas-microsoft-com:office:smarttags" w:element="country-region">
        <w:smartTag w:uri="urn:schemas-microsoft-com:office:smarttags" w:element="place">
          <w:r w:rsidRPr="00992199">
            <w:rPr>
              <w:szCs w:val="20"/>
              <w:lang w:bidi="as-IN"/>
            </w:rPr>
            <w:t>Hungary</w:t>
          </w:r>
        </w:smartTag>
      </w:smartTag>
      <w:r w:rsidRPr="00992199">
        <w:rPr>
          <w:szCs w:val="20"/>
          <w:lang w:bidi="as-IN"/>
        </w:rPr>
        <w:t xml:space="preserve"> and 66% of the shares of</w:t>
      </w:r>
      <w:r w:rsidR="00E0533C">
        <w:rPr>
          <w:szCs w:val="20"/>
          <w:lang w:bidi="as-IN"/>
        </w:rPr>
        <w:t xml:space="preserve"> the</w:t>
      </w:r>
      <w:r w:rsidRPr="00992199">
        <w:rPr>
          <w:szCs w:val="20"/>
          <w:lang w:bidi="as-IN"/>
        </w:rPr>
        <w:t xml:space="preserve"> real estate companies in France (CECAB group). On the same date, </w:t>
      </w:r>
      <w:r w:rsidR="00C95087">
        <w:rPr>
          <w:szCs w:val="20"/>
          <w:lang w:bidi="as-IN"/>
        </w:rPr>
        <w:t>Greenyard Foods</w:t>
      </w:r>
      <w:r w:rsidR="00C95087" w:rsidRPr="00992199">
        <w:rPr>
          <w:szCs w:val="20"/>
          <w:lang w:bidi="as-IN"/>
        </w:rPr>
        <w:t xml:space="preserve"> </w:t>
      </w:r>
      <w:r w:rsidRPr="00992199">
        <w:rPr>
          <w:szCs w:val="20"/>
          <w:lang w:bidi="as-IN"/>
        </w:rPr>
        <w:t xml:space="preserve">also acquired 100% of the real estate companies that would become part of its Canning Division in </w:t>
      </w:r>
      <w:smartTag w:uri="urn:schemas-microsoft-com:office:smarttags" w:element="country-region">
        <w:smartTag w:uri="urn:schemas-microsoft-com:office:smarttags" w:element="place">
          <w:r w:rsidRPr="00992199">
            <w:rPr>
              <w:szCs w:val="20"/>
              <w:lang w:bidi="as-IN"/>
            </w:rPr>
            <w:t>Belgium</w:t>
          </w:r>
        </w:smartTag>
      </w:smartTag>
      <w:r w:rsidRPr="00992199">
        <w:rPr>
          <w:szCs w:val="20"/>
          <w:lang w:bidi="as-IN"/>
        </w:rPr>
        <w:t xml:space="preserve">. </w:t>
      </w:r>
    </w:p>
    <w:p w:rsidR="003F0BC5" w:rsidRPr="00992199" w:rsidRDefault="003F0BC5" w:rsidP="003F0BC5">
      <w:pPr>
        <w:rPr>
          <w:szCs w:val="20"/>
          <w:lang w:bidi="as-IN"/>
        </w:rPr>
      </w:pPr>
      <w:r w:rsidRPr="00992199">
        <w:rPr>
          <w:szCs w:val="20"/>
          <w:lang w:bidi="as-IN"/>
        </w:rPr>
        <w:t xml:space="preserve">On 7 July 2014, </w:t>
      </w:r>
      <w:r w:rsidR="00C95087">
        <w:rPr>
          <w:szCs w:val="20"/>
          <w:lang w:bidi="as-IN"/>
        </w:rPr>
        <w:t>Greenyard Foods</w:t>
      </w:r>
      <w:r w:rsidR="00C95087" w:rsidRPr="00992199">
        <w:rPr>
          <w:szCs w:val="20"/>
          <w:lang w:bidi="as-IN"/>
        </w:rPr>
        <w:t xml:space="preserve"> </w:t>
      </w:r>
      <w:r w:rsidRPr="00992199">
        <w:rPr>
          <w:szCs w:val="20"/>
          <w:lang w:bidi="as-IN"/>
        </w:rPr>
        <w:t>acquired the real estate company of the production site in King’s Lynn (</w:t>
      </w:r>
      <w:smartTag w:uri="urn:schemas-microsoft-com:office:smarttags" w:element="country-region">
        <w:smartTag w:uri="urn:schemas-microsoft-com:office:smarttags" w:element="place">
          <w:r w:rsidRPr="00992199">
            <w:rPr>
              <w:szCs w:val="20"/>
              <w:lang w:bidi="as-IN"/>
            </w:rPr>
            <w:t>United Kingdom</w:t>
          </w:r>
        </w:smartTag>
      </w:smartTag>
      <w:r w:rsidRPr="00992199">
        <w:rPr>
          <w:szCs w:val="20"/>
          <w:lang w:bidi="as-IN"/>
        </w:rPr>
        <w:t>).</w:t>
      </w:r>
    </w:p>
    <w:p w:rsidR="003F0BC5" w:rsidRPr="00992199" w:rsidRDefault="003F0BC5" w:rsidP="003F0BC5">
      <w:pPr>
        <w:rPr>
          <w:szCs w:val="20"/>
          <w:lang w:bidi="as-IN"/>
        </w:rPr>
      </w:pPr>
      <w:r w:rsidRPr="00992199">
        <w:rPr>
          <w:szCs w:val="20"/>
          <w:lang w:bidi="as-IN"/>
        </w:rPr>
        <w:t xml:space="preserve">On 18 December 2014, </w:t>
      </w:r>
      <w:r w:rsidR="00C95087" w:rsidRPr="00992199">
        <w:rPr>
          <w:szCs w:val="20"/>
          <w:lang w:bidi="as-IN"/>
        </w:rPr>
        <w:t xml:space="preserve">the </w:t>
      </w:r>
      <w:r w:rsidR="00C95087">
        <w:rPr>
          <w:szCs w:val="20"/>
          <w:lang w:bidi="as-IN"/>
        </w:rPr>
        <w:t>Greenyard Foods</w:t>
      </w:r>
      <w:r w:rsidR="00C95087" w:rsidRPr="00992199">
        <w:rPr>
          <w:szCs w:val="20"/>
          <w:lang w:bidi="as-IN"/>
        </w:rPr>
        <w:t xml:space="preserve"> Group </w:t>
      </w:r>
      <w:r w:rsidRPr="00992199">
        <w:rPr>
          <w:szCs w:val="20"/>
          <w:lang w:bidi="as-IN"/>
        </w:rPr>
        <w:t xml:space="preserve">sold all of its shares in Pinguin Aquitaine SAS to </w:t>
      </w:r>
      <w:smartTag w:uri="urn:schemas-microsoft-com:office:smarttags" w:element="place">
        <w:smartTag w:uri="urn:schemas-microsoft-com:office:smarttags" w:element="City">
          <w:r w:rsidRPr="00992199">
            <w:rPr>
              <w:szCs w:val="20"/>
              <w:lang w:bidi="as-IN"/>
            </w:rPr>
            <w:t>Vijverbos</w:t>
          </w:r>
        </w:smartTag>
        <w:r w:rsidR="00BC18A5">
          <w:rPr>
            <w:szCs w:val="20"/>
            <w:lang w:bidi="as-IN"/>
          </w:rPr>
          <w:t xml:space="preserve"> </w:t>
        </w:r>
        <w:smartTag w:uri="urn:schemas-microsoft-com:office:smarttags" w:element="State">
          <w:r w:rsidR="00BC18A5">
            <w:rPr>
              <w:szCs w:val="20"/>
              <w:lang w:bidi="as-IN"/>
            </w:rPr>
            <w:t>NV</w:t>
          </w:r>
        </w:smartTag>
      </w:smartTag>
      <w:r w:rsidRPr="00992199">
        <w:rPr>
          <w:szCs w:val="20"/>
          <w:lang w:bidi="as-IN"/>
        </w:rPr>
        <w:t xml:space="preserve">. In March 2015, </w:t>
      </w:r>
      <w:r w:rsidR="002A1AB1">
        <w:rPr>
          <w:szCs w:val="20"/>
          <w:lang w:bidi="as-IN"/>
        </w:rPr>
        <w:t>Greenyard Foods</w:t>
      </w:r>
      <w:r w:rsidRPr="00992199">
        <w:rPr>
          <w:szCs w:val="20"/>
          <w:lang w:bidi="as-IN"/>
        </w:rPr>
        <w:t xml:space="preserve"> decided on an investment program in </w:t>
      </w:r>
      <w:smartTag w:uri="urn:schemas-microsoft-com:office:smarttags" w:element="country-region">
        <w:smartTag w:uri="urn:schemas-microsoft-com:office:smarttags" w:element="place">
          <w:r w:rsidRPr="00992199">
            <w:rPr>
              <w:szCs w:val="20"/>
              <w:lang w:bidi="as-IN"/>
            </w:rPr>
            <w:t>Poland</w:t>
          </w:r>
        </w:smartTag>
      </w:smartTag>
      <w:r w:rsidRPr="00992199">
        <w:rPr>
          <w:szCs w:val="20"/>
          <w:lang w:bidi="as-IN"/>
        </w:rPr>
        <w:t>. With this investment program, the production capacity will be relocated over the different sites of the Polish production facilities and the packaging activities will be centralised. The reorganisation will contribute to efficiency improvements in the Frozen Division.</w:t>
      </w:r>
    </w:p>
    <w:p w:rsidR="003F0BC5" w:rsidRPr="00992199" w:rsidRDefault="003F0BC5" w:rsidP="003F0BC5">
      <w:pPr>
        <w:rPr>
          <w:szCs w:val="20"/>
          <w:lang w:bidi="as-IN"/>
        </w:rPr>
      </w:pPr>
      <w:r w:rsidRPr="00992199">
        <w:rPr>
          <w:szCs w:val="20"/>
          <w:lang w:bidi="as-IN"/>
        </w:rPr>
        <w:lastRenderedPageBreak/>
        <w:t xml:space="preserve">Today, </w:t>
      </w:r>
      <w:r w:rsidR="00E13084" w:rsidRPr="00E13084">
        <w:rPr>
          <w:szCs w:val="20"/>
          <w:lang w:bidi="as-IN"/>
        </w:rPr>
        <w:t xml:space="preserve">the </w:t>
      </w:r>
      <w:r w:rsidR="00C95087" w:rsidRPr="00C95087">
        <w:rPr>
          <w:szCs w:val="20"/>
          <w:lang w:bidi="as-IN"/>
        </w:rPr>
        <w:t xml:space="preserve">Greenyard Foods Group </w:t>
      </w:r>
      <w:r w:rsidRPr="00992199">
        <w:rPr>
          <w:szCs w:val="20"/>
          <w:lang w:bidi="as-IN"/>
        </w:rPr>
        <w:t>holds 13 production sites in five different countries (</w:t>
      </w:r>
      <w:smartTag w:uri="urn:schemas-microsoft-com:office:smarttags" w:element="country-region">
        <w:r w:rsidRPr="00992199">
          <w:rPr>
            <w:szCs w:val="20"/>
            <w:lang w:bidi="as-IN"/>
          </w:rPr>
          <w:t>Belgium</w:t>
        </w:r>
      </w:smartTag>
      <w:r w:rsidRPr="00992199">
        <w:rPr>
          <w:szCs w:val="20"/>
          <w:lang w:bidi="as-IN"/>
        </w:rPr>
        <w:t xml:space="preserve">, </w:t>
      </w:r>
      <w:smartTag w:uri="urn:schemas-microsoft-com:office:smarttags" w:element="country-region">
        <w:r w:rsidRPr="00992199">
          <w:rPr>
            <w:szCs w:val="20"/>
            <w:lang w:bidi="as-IN"/>
          </w:rPr>
          <w:t>France</w:t>
        </w:r>
      </w:smartTag>
      <w:r w:rsidRPr="00992199">
        <w:rPr>
          <w:szCs w:val="20"/>
          <w:lang w:bidi="as-IN"/>
        </w:rPr>
        <w:t xml:space="preserve">, the </w:t>
      </w:r>
      <w:smartTag w:uri="urn:schemas-microsoft-com:office:smarttags" w:element="country-region">
        <w:r w:rsidRPr="00992199">
          <w:rPr>
            <w:szCs w:val="20"/>
            <w:lang w:bidi="as-IN"/>
          </w:rPr>
          <w:t>United Kingdom</w:t>
        </w:r>
      </w:smartTag>
      <w:r w:rsidRPr="00992199">
        <w:rPr>
          <w:szCs w:val="20"/>
          <w:lang w:bidi="as-IN"/>
        </w:rPr>
        <w:t xml:space="preserve">, </w:t>
      </w:r>
      <w:smartTag w:uri="urn:schemas-microsoft-com:office:smarttags" w:element="country-region">
        <w:r w:rsidRPr="00992199">
          <w:rPr>
            <w:szCs w:val="20"/>
            <w:lang w:bidi="as-IN"/>
          </w:rPr>
          <w:t>Poland</w:t>
        </w:r>
      </w:smartTag>
      <w:r w:rsidRPr="00992199">
        <w:rPr>
          <w:szCs w:val="20"/>
          <w:lang w:bidi="as-IN"/>
        </w:rPr>
        <w:t xml:space="preserve"> and </w:t>
      </w:r>
      <w:smartTag w:uri="urn:schemas-microsoft-com:office:smarttags" w:element="country-region">
        <w:smartTag w:uri="urn:schemas-microsoft-com:office:smarttags" w:element="place">
          <w:r w:rsidRPr="00992199">
            <w:rPr>
              <w:szCs w:val="20"/>
              <w:lang w:bidi="as-IN"/>
            </w:rPr>
            <w:t>Hungary</w:t>
          </w:r>
        </w:smartTag>
      </w:smartTag>
      <w:r w:rsidRPr="00992199">
        <w:rPr>
          <w:szCs w:val="20"/>
          <w:lang w:bidi="as-IN"/>
        </w:rPr>
        <w:t>) and sales offices spread over five continents.</w:t>
      </w:r>
    </w:p>
    <w:p w:rsidR="003F0BC5" w:rsidRPr="00992199" w:rsidRDefault="003F0BC5" w:rsidP="003F0BC5">
      <w:pPr>
        <w:rPr>
          <w:szCs w:val="20"/>
          <w:lang w:bidi="as-IN"/>
        </w:rPr>
      </w:pPr>
      <w:r w:rsidRPr="00992199">
        <w:rPr>
          <w:szCs w:val="20"/>
          <w:lang w:bidi="as-IN"/>
        </w:rPr>
        <w:t xml:space="preserve">On [19 June] 2015, </w:t>
      </w:r>
      <w:r w:rsidR="00A07615" w:rsidRPr="00992199">
        <w:rPr>
          <w:szCs w:val="20"/>
          <w:lang w:bidi="as-IN"/>
        </w:rPr>
        <w:t>an</w:t>
      </w:r>
      <w:r w:rsidRPr="00992199">
        <w:rPr>
          <w:szCs w:val="20"/>
          <w:lang w:bidi="as-IN"/>
        </w:rPr>
        <w:t xml:space="preserve"> extraordinary general meeting of shareholders of </w:t>
      </w:r>
      <w:r w:rsidR="002A1AB1">
        <w:rPr>
          <w:szCs w:val="20"/>
          <w:lang w:bidi="as-IN"/>
        </w:rPr>
        <w:t xml:space="preserve">Greenyard Foods </w:t>
      </w:r>
      <w:r w:rsidRPr="00992199">
        <w:rPr>
          <w:szCs w:val="20"/>
          <w:lang w:bidi="as-IN"/>
        </w:rPr>
        <w:t xml:space="preserve">has been convened to decide on the Contributions. The </w:t>
      </w:r>
      <w:r w:rsidR="002A1AB1">
        <w:rPr>
          <w:szCs w:val="20"/>
          <w:lang w:bidi="as-IN"/>
        </w:rPr>
        <w:t>Greenyard Foods</w:t>
      </w:r>
      <w:r w:rsidRPr="00992199">
        <w:rPr>
          <w:szCs w:val="20"/>
          <w:lang w:bidi="as-IN"/>
        </w:rPr>
        <w:t xml:space="preserve"> Group’s strategy is to combine t</w:t>
      </w:r>
      <w:r w:rsidR="00A07615">
        <w:rPr>
          <w:szCs w:val="20"/>
          <w:lang w:bidi="as-IN"/>
        </w:rPr>
        <w:t xml:space="preserve">he business of </w:t>
      </w:r>
      <w:r w:rsidR="00AE437F">
        <w:rPr>
          <w:szCs w:val="20"/>
          <w:lang w:bidi="as-IN"/>
        </w:rPr>
        <w:t xml:space="preserve">the </w:t>
      </w:r>
      <w:r w:rsidR="002A1AB1">
        <w:rPr>
          <w:szCs w:val="20"/>
          <w:lang w:bidi="as-IN"/>
        </w:rPr>
        <w:t>Greenyard Foods</w:t>
      </w:r>
      <w:r w:rsidR="00AE437F">
        <w:rPr>
          <w:szCs w:val="20"/>
          <w:lang w:bidi="as-IN"/>
        </w:rPr>
        <w:t xml:space="preserve"> Group</w:t>
      </w:r>
      <w:r w:rsidR="00A07615">
        <w:rPr>
          <w:szCs w:val="20"/>
          <w:lang w:bidi="as-IN"/>
        </w:rPr>
        <w:t xml:space="preserve">, </w:t>
      </w:r>
      <w:r w:rsidR="00AE437F">
        <w:rPr>
          <w:szCs w:val="20"/>
          <w:lang w:bidi="as-IN"/>
        </w:rPr>
        <w:t>the Univeg Group</w:t>
      </w:r>
      <w:r w:rsidRPr="00992199">
        <w:rPr>
          <w:szCs w:val="20"/>
          <w:lang w:bidi="as-IN"/>
        </w:rPr>
        <w:t xml:space="preserve"> and</w:t>
      </w:r>
      <w:r w:rsidR="00AE437F">
        <w:rPr>
          <w:szCs w:val="20"/>
          <w:lang w:bidi="as-IN"/>
        </w:rPr>
        <w:t xml:space="preserve"> the</w:t>
      </w:r>
      <w:r w:rsidRPr="00992199">
        <w:rPr>
          <w:szCs w:val="20"/>
          <w:lang w:bidi="as-IN"/>
        </w:rPr>
        <w:t xml:space="preserve"> Peatinvest</w:t>
      </w:r>
      <w:r w:rsidR="00AE437F">
        <w:rPr>
          <w:szCs w:val="20"/>
          <w:lang w:bidi="as-IN"/>
        </w:rPr>
        <w:t xml:space="preserve"> Group</w:t>
      </w:r>
      <w:r w:rsidRPr="00992199">
        <w:rPr>
          <w:szCs w:val="20"/>
          <w:lang w:bidi="as-IN"/>
        </w:rPr>
        <w:t xml:space="preserve"> in order to create a global player in the fruit and vegetables market capable of offering the full range of fresh, frozen and canned products</w:t>
      </w:r>
      <w:r w:rsidR="00E0533C">
        <w:rPr>
          <w:szCs w:val="20"/>
          <w:lang w:bidi="as-IN"/>
        </w:rPr>
        <w:t>, as well as in growing media</w:t>
      </w:r>
      <w:r w:rsidRPr="00992199">
        <w:rPr>
          <w:szCs w:val="20"/>
          <w:lang w:bidi="as-IN"/>
        </w:rPr>
        <w:t>.</w:t>
      </w:r>
    </w:p>
    <w:p w:rsidR="003F0BC5" w:rsidRPr="00992199" w:rsidRDefault="003F0BC5" w:rsidP="00353B80">
      <w:pPr>
        <w:pStyle w:val="Firm5L3"/>
        <w:keepNext/>
      </w:pPr>
      <w:r w:rsidRPr="00992199">
        <w:t>Pre-transactional share capital and main shareholders</w:t>
      </w:r>
    </w:p>
    <w:p w:rsidR="003F0BC5" w:rsidRPr="00992199" w:rsidRDefault="003F0BC5" w:rsidP="00353B80">
      <w:pPr>
        <w:pStyle w:val="Firm5L4"/>
        <w:keepNext/>
      </w:pPr>
      <w:r w:rsidRPr="00992199">
        <w:rPr>
          <w:lang w:bidi="as-IN"/>
        </w:rPr>
        <w:t>Share capital and Shares</w:t>
      </w:r>
    </w:p>
    <w:p w:rsidR="003F0BC5" w:rsidRPr="00992199" w:rsidRDefault="003F0BC5" w:rsidP="003F0BC5">
      <w:pPr>
        <w:rPr>
          <w:szCs w:val="20"/>
          <w:lang w:bidi="as-IN"/>
        </w:rPr>
      </w:pPr>
      <w:r w:rsidRPr="00992199">
        <w:rPr>
          <w:szCs w:val="20"/>
          <w:lang w:bidi="as-IN"/>
        </w:rPr>
        <w:t xml:space="preserve">On the date of this Prospectus, the share capital of </w:t>
      </w:r>
      <w:r w:rsidR="002A1AB1">
        <w:rPr>
          <w:szCs w:val="20"/>
          <w:lang w:bidi="as-IN"/>
        </w:rPr>
        <w:t>Greenyard Foods</w:t>
      </w:r>
      <w:r w:rsidRPr="00992199">
        <w:rPr>
          <w:szCs w:val="20"/>
          <w:lang w:bidi="as-IN"/>
        </w:rPr>
        <w:t xml:space="preserve"> amounts to </w:t>
      </w:r>
      <w:r w:rsidR="00E53641">
        <w:rPr>
          <w:szCs w:val="20"/>
          <w:lang w:bidi="as-IN"/>
        </w:rPr>
        <w:t>EUR </w:t>
      </w:r>
      <w:r w:rsidRPr="00992199">
        <w:rPr>
          <w:szCs w:val="20"/>
          <w:lang w:bidi="as-IN"/>
        </w:rPr>
        <w:t>100,010,971.69 and is fully paid-up. It is represented by 16,459,520 Shares, without nominal value and each Share entitles its holder to one vote.</w:t>
      </w:r>
    </w:p>
    <w:p w:rsidR="003F0BC5" w:rsidRPr="00992199" w:rsidRDefault="003F0BC5" w:rsidP="00353B80">
      <w:pPr>
        <w:pStyle w:val="Firm5L4"/>
        <w:keepNext/>
        <w:keepLines/>
        <w:rPr>
          <w:lang w:bidi="as-IN"/>
        </w:rPr>
      </w:pPr>
      <w:r w:rsidRPr="00992199">
        <w:rPr>
          <w:lang w:bidi="as-IN"/>
        </w:rPr>
        <w:t>Warrants</w:t>
      </w:r>
    </w:p>
    <w:p w:rsidR="003F0BC5" w:rsidRPr="00992199" w:rsidRDefault="003F0BC5" w:rsidP="007B5305">
      <w:pPr>
        <w:keepNext/>
        <w:keepLines/>
        <w:rPr>
          <w:szCs w:val="20"/>
          <w:lang w:bidi="as-IN"/>
        </w:rPr>
      </w:pPr>
      <w:r w:rsidRPr="00992199">
        <w:rPr>
          <w:szCs w:val="20"/>
          <w:lang w:bidi="as-IN"/>
        </w:rPr>
        <w:t xml:space="preserve">The </w:t>
      </w:r>
      <w:r w:rsidR="00AA3763">
        <w:rPr>
          <w:szCs w:val="20"/>
          <w:lang w:bidi="as-IN"/>
        </w:rPr>
        <w:t>general shareholders’ meeting</w:t>
      </w:r>
      <w:r w:rsidRPr="00992199">
        <w:rPr>
          <w:szCs w:val="20"/>
          <w:lang w:bidi="as-IN"/>
        </w:rPr>
        <w:t xml:space="preserve"> of </w:t>
      </w:r>
      <w:r w:rsidR="002A1AB1">
        <w:rPr>
          <w:szCs w:val="20"/>
          <w:lang w:bidi="as-IN"/>
        </w:rPr>
        <w:t>Greenyard Foods</w:t>
      </w:r>
      <w:r w:rsidRPr="00992199">
        <w:rPr>
          <w:szCs w:val="20"/>
          <w:lang w:bidi="as-IN"/>
        </w:rPr>
        <w:t xml:space="preserve"> of 2 December 2011 has issued 2,400,000 warrants for a total amount of </w:t>
      </w:r>
      <w:r w:rsidR="00E53641">
        <w:rPr>
          <w:szCs w:val="20"/>
          <w:lang w:bidi="as-IN"/>
        </w:rPr>
        <w:t>EUR </w:t>
      </w:r>
      <w:r w:rsidRPr="00992199">
        <w:rPr>
          <w:szCs w:val="20"/>
          <w:lang w:bidi="as-IN"/>
        </w:rPr>
        <w:t xml:space="preserve">30,600,000 (85% of the amount of the </w:t>
      </w:r>
      <w:r w:rsidR="000508AB">
        <w:rPr>
          <w:szCs w:val="20"/>
          <w:lang w:bidi="as-IN"/>
        </w:rPr>
        <w:t xml:space="preserve">Gimv </w:t>
      </w:r>
      <w:r w:rsidRPr="00992199">
        <w:rPr>
          <w:szCs w:val="20"/>
          <w:lang w:bidi="as-IN"/>
        </w:rPr>
        <w:t xml:space="preserve">Subordinated Loan) with an initial exercise price of </w:t>
      </w:r>
      <w:r w:rsidR="00E53641">
        <w:rPr>
          <w:szCs w:val="20"/>
          <w:lang w:bidi="as-IN"/>
        </w:rPr>
        <w:t>EUR </w:t>
      </w:r>
      <w:r w:rsidRPr="00992199">
        <w:rPr>
          <w:szCs w:val="20"/>
          <w:lang w:bidi="as-IN"/>
        </w:rPr>
        <w:t xml:space="preserve">12.75 subscribed by </w:t>
      </w:r>
      <w:r w:rsidRPr="00992199">
        <w:rPr>
          <w:szCs w:val="20"/>
        </w:rPr>
        <w:t>Gimv-XL</w:t>
      </w:r>
      <w:r w:rsidRPr="00992199">
        <w:rPr>
          <w:szCs w:val="20"/>
          <w:lang w:bidi="as-IN"/>
        </w:rPr>
        <w:t>.</w:t>
      </w:r>
      <w:r w:rsidR="00BC18A5">
        <w:rPr>
          <w:szCs w:val="20"/>
          <w:lang w:bidi="as-IN"/>
        </w:rPr>
        <w:t xml:space="preserve"> </w:t>
      </w:r>
    </w:p>
    <w:p w:rsidR="003F0BC5" w:rsidRPr="00992199" w:rsidRDefault="003F0BC5" w:rsidP="003F0BC5">
      <w:pPr>
        <w:rPr>
          <w:szCs w:val="20"/>
          <w:lang w:bidi="as-IN"/>
        </w:rPr>
      </w:pPr>
      <w:r w:rsidRPr="00992199">
        <w:rPr>
          <w:szCs w:val="20"/>
          <w:lang w:bidi="as-IN"/>
        </w:rPr>
        <w:t>Each warrant initially gives right to the subscription of one share against payment of the exercise price. However, various anti-dilution mechanisms have been provided for, through which the ex</w:t>
      </w:r>
      <w:r w:rsidR="00E0533C">
        <w:rPr>
          <w:szCs w:val="20"/>
          <w:lang w:bidi="as-IN"/>
        </w:rPr>
        <w:t>ercise price and the number of S</w:t>
      </w:r>
      <w:r w:rsidRPr="00992199">
        <w:rPr>
          <w:szCs w:val="20"/>
          <w:lang w:bidi="as-IN"/>
        </w:rPr>
        <w:t xml:space="preserve">hares to which each warrant gives right, can be adapted in case of a change </w:t>
      </w:r>
      <w:r w:rsidR="00E0533C">
        <w:rPr>
          <w:szCs w:val="20"/>
          <w:lang w:bidi="as-IN"/>
        </w:rPr>
        <w:t>of the fractional value of the S</w:t>
      </w:r>
      <w:r w:rsidRPr="00992199">
        <w:rPr>
          <w:szCs w:val="20"/>
          <w:lang w:bidi="as-IN"/>
        </w:rPr>
        <w:t xml:space="preserve">hares due to a stock split, consolidation, requalification of categories of </w:t>
      </w:r>
      <w:r w:rsidR="00E0533C" w:rsidRPr="00992199">
        <w:rPr>
          <w:szCs w:val="20"/>
          <w:lang w:bidi="as-IN"/>
        </w:rPr>
        <w:t>Shares</w:t>
      </w:r>
      <w:r w:rsidRPr="00992199">
        <w:rPr>
          <w:szCs w:val="20"/>
          <w:lang w:bidi="as-IN"/>
        </w:rPr>
        <w:t xml:space="preserve">, etc. or at the occasion of a merger, demerger, purchase of own </w:t>
      </w:r>
      <w:r w:rsidR="00E0533C" w:rsidRPr="00992199">
        <w:rPr>
          <w:szCs w:val="20"/>
          <w:lang w:bidi="as-IN"/>
        </w:rPr>
        <w:t>Shares</w:t>
      </w:r>
      <w:r w:rsidRPr="00992199">
        <w:rPr>
          <w:szCs w:val="20"/>
          <w:lang w:bidi="as-IN"/>
        </w:rPr>
        <w:t>, capital reduction, dilutive issuance of shares, etc.</w:t>
      </w:r>
    </w:p>
    <w:p w:rsidR="003F0BC5" w:rsidRPr="00992199" w:rsidRDefault="003F0BC5" w:rsidP="003F0BC5">
      <w:pPr>
        <w:rPr>
          <w:szCs w:val="20"/>
          <w:lang w:bidi="as-IN"/>
        </w:rPr>
      </w:pPr>
      <w:r w:rsidRPr="00992199">
        <w:rPr>
          <w:szCs w:val="20"/>
          <w:lang w:bidi="as-IN"/>
        </w:rPr>
        <w:t xml:space="preserve">The warrants have a duration of five years as from the date of the issue onwards and can be exercised at each moment during this period of time. In case of a partial exercise, at least 25% of the warrants must be exercised simultaneously. </w:t>
      </w:r>
    </w:p>
    <w:p w:rsidR="003F0BC5" w:rsidRPr="00992199" w:rsidRDefault="00334BBC" w:rsidP="003F0BC5">
      <w:pPr>
        <w:rPr>
          <w:szCs w:val="20"/>
          <w:lang w:bidi="as-IN"/>
        </w:rPr>
      </w:pPr>
      <w:r>
        <w:rPr>
          <w:szCs w:val="20"/>
          <w:lang w:bidi="as-IN"/>
        </w:rPr>
        <w:t xml:space="preserve">On </w:t>
      </w:r>
      <w:r w:rsidR="00E0533C">
        <w:rPr>
          <w:szCs w:val="20"/>
          <w:lang w:bidi="as-IN"/>
        </w:rPr>
        <w:t>4</w:t>
      </w:r>
      <w:r>
        <w:rPr>
          <w:szCs w:val="20"/>
          <w:lang w:bidi="as-IN"/>
        </w:rPr>
        <w:t xml:space="preserve"> May 2015, the Company has repaid </w:t>
      </w:r>
      <w:r w:rsidR="00E53641">
        <w:rPr>
          <w:szCs w:val="20"/>
          <w:lang w:bidi="as-IN"/>
        </w:rPr>
        <w:t>EUR </w:t>
      </w:r>
      <w:r>
        <w:rPr>
          <w:szCs w:val="20"/>
          <w:lang w:bidi="as-IN"/>
        </w:rPr>
        <w:t xml:space="preserve">12,000,000 under the Gimv Subordinated Loan. </w:t>
      </w:r>
      <w:r w:rsidR="003F0BC5" w:rsidRPr="00992199">
        <w:rPr>
          <w:szCs w:val="20"/>
          <w:lang w:bidi="as-IN"/>
        </w:rPr>
        <w:t xml:space="preserve">As part of the Transactions, </w:t>
      </w:r>
      <w:r w:rsidR="003F0BC5" w:rsidRPr="00992199">
        <w:rPr>
          <w:szCs w:val="20"/>
        </w:rPr>
        <w:t>Gimv-XL</w:t>
      </w:r>
      <w:r w:rsidR="003F0BC5" w:rsidRPr="00992199">
        <w:rPr>
          <w:szCs w:val="20"/>
          <w:lang w:bidi="as-IN"/>
        </w:rPr>
        <w:t xml:space="preserve"> has undertaken to exercise its warrants at the latest on [19] June 2015</w:t>
      </w:r>
      <w:r w:rsidR="00F80050">
        <w:rPr>
          <w:szCs w:val="20"/>
          <w:lang w:bidi="as-IN"/>
        </w:rPr>
        <w:t xml:space="preserve"> (see Section 1.4.1)</w:t>
      </w:r>
      <w:r w:rsidR="003F0BC5" w:rsidRPr="00992199">
        <w:rPr>
          <w:szCs w:val="20"/>
          <w:lang w:bidi="as-IN"/>
        </w:rPr>
        <w:t>.</w:t>
      </w:r>
    </w:p>
    <w:p w:rsidR="003F0BC5" w:rsidRPr="00992199" w:rsidRDefault="003F0BC5" w:rsidP="00353B80">
      <w:pPr>
        <w:pStyle w:val="Firm5L4"/>
        <w:keepNext/>
        <w:rPr>
          <w:lang w:bidi="as-IN"/>
        </w:rPr>
      </w:pPr>
      <w:r w:rsidRPr="00992199">
        <w:rPr>
          <w:lang w:bidi="as-IN"/>
        </w:rPr>
        <w:t>Shareholder structure</w:t>
      </w:r>
    </w:p>
    <w:p w:rsidR="003F0BC5" w:rsidRPr="00992199" w:rsidRDefault="003F0BC5" w:rsidP="003F0BC5">
      <w:pPr>
        <w:rPr>
          <w:szCs w:val="20"/>
          <w:lang w:bidi="as-IN"/>
        </w:rPr>
      </w:pPr>
      <w:r w:rsidRPr="00992199">
        <w:rPr>
          <w:szCs w:val="20"/>
          <w:lang w:bidi="as-IN"/>
        </w:rPr>
        <w:t xml:space="preserve">In application of the Belgian law of 2 May 2007 on the disclosure of significant shareholdings in issuers whose securities are admitted to trading on a regulated market, important participations of which </w:t>
      </w:r>
      <w:r w:rsidR="002A1AB1">
        <w:rPr>
          <w:szCs w:val="20"/>
          <w:lang w:bidi="as-IN"/>
        </w:rPr>
        <w:t>Greenyard Foods</w:t>
      </w:r>
      <w:r w:rsidRPr="00992199">
        <w:rPr>
          <w:szCs w:val="20"/>
          <w:lang w:bidi="as-IN"/>
        </w:rPr>
        <w:t xml:space="preserve"> has been informed are made public on </w:t>
      </w:r>
      <w:r w:rsidR="00334BBC">
        <w:rPr>
          <w:szCs w:val="20"/>
          <w:lang w:bidi="as-IN"/>
        </w:rPr>
        <w:t>the Company’s website (</w:t>
      </w:r>
      <w:hyperlink r:id="rId14" w:history="1">
        <w:r w:rsidR="002A1AB1">
          <w:rPr>
            <w:szCs w:val="20"/>
            <w:lang w:bidi="as-IN"/>
          </w:rPr>
          <w:t>www.greenyardfoods.com</w:t>
        </w:r>
      </w:hyperlink>
      <w:r w:rsidR="00334BBC">
        <w:rPr>
          <w:szCs w:val="20"/>
          <w:lang w:bidi="as-IN"/>
        </w:rPr>
        <w:t>)</w:t>
      </w:r>
      <w:r w:rsidRPr="00992199">
        <w:rPr>
          <w:szCs w:val="20"/>
          <w:lang w:bidi="as-IN"/>
        </w:rPr>
        <w:t xml:space="preserve">. At the same time, </w:t>
      </w:r>
      <w:r w:rsidR="002A1AB1">
        <w:rPr>
          <w:szCs w:val="20"/>
          <w:lang w:bidi="as-IN"/>
        </w:rPr>
        <w:t>Greenyard Foods</w:t>
      </w:r>
      <w:r w:rsidRPr="00992199">
        <w:rPr>
          <w:szCs w:val="20"/>
          <w:lang w:bidi="as-IN"/>
        </w:rPr>
        <w:t xml:space="preserve"> publishes on its website the announcement(s) that it receives by application of article 74 of the </w:t>
      </w:r>
      <w:r w:rsidRPr="00992199">
        <w:rPr>
          <w:szCs w:val="20"/>
        </w:rPr>
        <w:t>Belgian Law of 1 April 2007 on public takeover bids (</w:t>
      </w:r>
      <w:r w:rsidRPr="00992199">
        <w:rPr>
          <w:i/>
          <w:szCs w:val="20"/>
        </w:rPr>
        <w:t>Wet op de openbare overnamebiedingen / Loi sur les offres publiques d’acquisition</w:t>
      </w:r>
      <w:r w:rsidRPr="00992199">
        <w:rPr>
          <w:szCs w:val="20"/>
        </w:rPr>
        <w:t xml:space="preserve">) </w:t>
      </w:r>
      <w:r w:rsidRPr="00992199">
        <w:rPr>
          <w:szCs w:val="20"/>
          <w:lang w:bidi="as-IN"/>
        </w:rPr>
        <w:t xml:space="preserve">(the </w:t>
      </w:r>
      <w:r w:rsidRPr="00992199">
        <w:rPr>
          <w:b/>
          <w:i/>
          <w:szCs w:val="20"/>
          <w:lang w:bidi="as-IN"/>
        </w:rPr>
        <w:t>Takeover Law</w:t>
      </w:r>
      <w:r w:rsidRPr="00992199">
        <w:rPr>
          <w:szCs w:val="20"/>
          <w:lang w:bidi="as-IN"/>
        </w:rPr>
        <w:t>).</w:t>
      </w:r>
    </w:p>
    <w:p w:rsidR="003F0BC5" w:rsidRPr="00992199" w:rsidRDefault="003F0BC5" w:rsidP="003F0BC5">
      <w:pPr>
        <w:rPr>
          <w:szCs w:val="20"/>
          <w:lang w:bidi="as-IN"/>
        </w:rPr>
      </w:pPr>
      <w:r w:rsidRPr="00992199">
        <w:rPr>
          <w:szCs w:val="20"/>
          <w:lang w:bidi="as-IN"/>
        </w:rPr>
        <w:t xml:space="preserve">Based on the transparency notifications received by </w:t>
      </w:r>
      <w:r w:rsidR="002A1AB1">
        <w:rPr>
          <w:szCs w:val="20"/>
          <w:lang w:bidi="as-IN"/>
        </w:rPr>
        <w:t>Greenyard Foods</w:t>
      </w:r>
      <w:r w:rsidRPr="00992199">
        <w:rPr>
          <w:szCs w:val="20"/>
          <w:lang w:bidi="as-IN"/>
        </w:rPr>
        <w:t xml:space="preserve">, the shareholding structure of </w:t>
      </w:r>
      <w:r w:rsidR="002A1AB1">
        <w:rPr>
          <w:szCs w:val="20"/>
          <w:lang w:bidi="as-IN"/>
        </w:rPr>
        <w:t>Greenyard Foods</w:t>
      </w:r>
      <w:r w:rsidRPr="00992199">
        <w:rPr>
          <w:szCs w:val="20"/>
          <w:lang w:bidi="as-IN"/>
        </w:rPr>
        <w:t xml:space="preserve"> </w:t>
      </w:r>
      <w:r w:rsidR="00334BBC">
        <w:rPr>
          <w:szCs w:val="20"/>
          <w:lang w:bidi="as-IN"/>
        </w:rPr>
        <w:t>after the Gimv Warrant Exercise</w:t>
      </w:r>
      <w:r w:rsidRPr="00992199">
        <w:rPr>
          <w:szCs w:val="20"/>
          <w:lang w:bidi="as-IN"/>
        </w:rPr>
        <w:t xml:space="preserve"> is as follows:</w:t>
      </w:r>
    </w:p>
    <w:tbl>
      <w:tblPr>
        <w:tblW w:w="4957" w:type="pct"/>
        <w:tblLayout w:type="fixed"/>
        <w:tblLook w:val="0000" w:firstRow="0" w:lastRow="0" w:firstColumn="0" w:lastColumn="0" w:noHBand="0" w:noVBand="0"/>
      </w:tblPr>
      <w:tblGrid>
        <w:gridCol w:w="5316"/>
        <w:gridCol w:w="2146"/>
        <w:gridCol w:w="1703"/>
      </w:tblGrid>
      <w:tr w:rsidR="003F0BC5" w:rsidRPr="007B5305" w:rsidTr="007B5305">
        <w:trPr>
          <w:trHeight w:val="270"/>
          <w:tblHeader/>
        </w:trPr>
        <w:tc>
          <w:tcPr>
            <w:tcW w:w="2900" w:type="pct"/>
            <w:shd w:val="clear" w:color="auto" w:fill="auto"/>
            <w:noWrap/>
            <w:vAlign w:val="bottom"/>
          </w:tcPr>
          <w:p w:rsidR="003F0BC5" w:rsidRPr="007B5305" w:rsidRDefault="003F0BC5" w:rsidP="00334BBC">
            <w:pPr>
              <w:pBdr>
                <w:bottom w:val="single" w:sz="4" w:space="1" w:color="auto"/>
              </w:pBdr>
              <w:spacing w:before="0" w:after="0"/>
              <w:rPr>
                <w:b/>
                <w:bCs/>
                <w:sz w:val="18"/>
                <w:szCs w:val="18"/>
              </w:rPr>
            </w:pPr>
            <w:r w:rsidRPr="007B5305">
              <w:rPr>
                <w:b/>
                <w:bCs/>
                <w:sz w:val="18"/>
                <w:szCs w:val="18"/>
              </w:rPr>
              <w:t xml:space="preserve">Shareholder structure </w:t>
            </w:r>
            <w:r w:rsidR="00334BBC">
              <w:rPr>
                <w:b/>
                <w:bCs/>
                <w:sz w:val="18"/>
                <w:szCs w:val="18"/>
              </w:rPr>
              <w:t>after Gimv Warrant Exercise</w:t>
            </w:r>
          </w:p>
        </w:tc>
        <w:tc>
          <w:tcPr>
            <w:tcW w:w="1171" w:type="pct"/>
            <w:shd w:val="clear" w:color="auto" w:fill="auto"/>
            <w:noWrap/>
            <w:vAlign w:val="bottom"/>
          </w:tcPr>
          <w:p w:rsidR="003F0BC5" w:rsidRPr="007B5305" w:rsidRDefault="003F0BC5" w:rsidP="000F6E97">
            <w:pPr>
              <w:pBdr>
                <w:bottom w:val="single" w:sz="4" w:space="1" w:color="auto"/>
              </w:pBdr>
              <w:spacing w:before="0" w:after="0"/>
              <w:jc w:val="center"/>
              <w:rPr>
                <w:b/>
                <w:bCs/>
                <w:sz w:val="18"/>
                <w:szCs w:val="18"/>
              </w:rPr>
            </w:pPr>
            <w:r w:rsidRPr="007B5305">
              <w:rPr>
                <w:b/>
                <w:bCs/>
                <w:sz w:val="18"/>
                <w:szCs w:val="18"/>
              </w:rPr>
              <w:t>Number of shares</w:t>
            </w:r>
          </w:p>
        </w:tc>
        <w:tc>
          <w:tcPr>
            <w:tcW w:w="929" w:type="pct"/>
            <w:shd w:val="clear" w:color="auto" w:fill="auto"/>
            <w:noWrap/>
            <w:vAlign w:val="bottom"/>
          </w:tcPr>
          <w:p w:rsidR="003F0BC5" w:rsidRPr="007B5305" w:rsidRDefault="003F0BC5" w:rsidP="000F6E97">
            <w:pPr>
              <w:pBdr>
                <w:bottom w:val="single" w:sz="4" w:space="1" w:color="auto"/>
              </w:pBdr>
              <w:spacing w:before="0" w:after="0"/>
              <w:jc w:val="center"/>
              <w:rPr>
                <w:b/>
                <w:bCs/>
                <w:sz w:val="18"/>
                <w:szCs w:val="18"/>
              </w:rPr>
            </w:pPr>
            <w:r w:rsidRPr="007B5305">
              <w:rPr>
                <w:b/>
                <w:bCs/>
                <w:sz w:val="18"/>
                <w:szCs w:val="18"/>
              </w:rPr>
              <w:t>%</w:t>
            </w:r>
            <w:r w:rsidR="00CD1029">
              <w:rPr>
                <w:b/>
                <w:bCs/>
                <w:sz w:val="18"/>
                <w:szCs w:val="18"/>
              </w:rPr>
              <w:t xml:space="preserve"> of total shares</w:t>
            </w:r>
          </w:p>
        </w:tc>
      </w:tr>
      <w:tr w:rsidR="003F0BC5" w:rsidRPr="007B5305" w:rsidTr="007B5305">
        <w:trPr>
          <w:trHeight w:val="270"/>
        </w:trPr>
        <w:tc>
          <w:tcPr>
            <w:tcW w:w="2900" w:type="pct"/>
            <w:shd w:val="clear" w:color="auto" w:fill="auto"/>
            <w:noWrap/>
            <w:vAlign w:val="bottom"/>
          </w:tcPr>
          <w:p w:rsidR="003F0BC5" w:rsidRPr="007B5305" w:rsidRDefault="003F0BC5" w:rsidP="007B5305">
            <w:pPr>
              <w:tabs>
                <w:tab w:val="right" w:leader="dot" w:pos="5100"/>
              </w:tabs>
              <w:spacing w:before="0" w:after="0"/>
              <w:rPr>
                <w:sz w:val="18"/>
                <w:szCs w:val="18"/>
              </w:rPr>
            </w:pPr>
            <w:r w:rsidRPr="007B5305">
              <w:rPr>
                <w:sz w:val="18"/>
                <w:szCs w:val="18"/>
              </w:rPr>
              <w:t>Food Invest International</w:t>
            </w:r>
            <w:r w:rsidR="007B5305">
              <w:rPr>
                <w:sz w:val="18"/>
                <w:szCs w:val="18"/>
              </w:rPr>
              <w:tab/>
            </w:r>
          </w:p>
        </w:tc>
        <w:tc>
          <w:tcPr>
            <w:tcW w:w="1171" w:type="pct"/>
            <w:shd w:val="clear" w:color="auto" w:fill="auto"/>
            <w:vAlign w:val="bottom"/>
          </w:tcPr>
          <w:p w:rsidR="003F0BC5" w:rsidRPr="007B5305" w:rsidRDefault="003F0BC5" w:rsidP="000F6E97">
            <w:pPr>
              <w:spacing w:before="0" w:after="0"/>
              <w:jc w:val="right"/>
              <w:rPr>
                <w:sz w:val="18"/>
                <w:szCs w:val="18"/>
              </w:rPr>
            </w:pPr>
            <w:r w:rsidRPr="007B5305">
              <w:rPr>
                <w:sz w:val="18"/>
                <w:szCs w:val="18"/>
              </w:rPr>
              <w:t>3,784,829</w:t>
            </w:r>
          </w:p>
        </w:tc>
        <w:tc>
          <w:tcPr>
            <w:tcW w:w="929" w:type="pct"/>
            <w:shd w:val="clear" w:color="auto" w:fill="auto"/>
            <w:noWrap/>
            <w:vAlign w:val="bottom"/>
          </w:tcPr>
          <w:p w:rsidR="003F0BC5" w:rsidRPr="007B5305" w:rsidRDefault="003F0BC5" w:rsidP="000F6E97">
            <w:pPr>
              <w:spacing w:before="0" w:after="0"/>
              <w:jc w:val="right"/>
              <w:rPr>
                <w:sz w:val="18"/>
                <w:szCs w:val="18"/>
              </w:rPr>
            </w:pPr>
            <w:r w:rsidRPr="007B5305">
              <w:rPr>
                <w:sz w:val="18"/>
                <w:szCs w:val="18"/>
              </w:rPr>
              <w:t>20.07%</w:t>
            </w:r>
          </w:p>
        </w:tc>
      </w:tr>
      <w:tr w:rsidR="003F0BC5" w:rsidRPr="007B5305" w:rsidTr="007B5305">
        <w:trPr>
          <w:trHeight w:val="270"/>
        </w:trPr>
        <w:tc>
          <w:tcPr>
            <w:tcW w:w="2900" w:type="pct"/>
            <w:shd w:val="clear" w:color="auto" w:fill="auto"/>
            <w:noWrap/>
            <w:vAlign w:val="bottom"/>
          </w:tcPr>
          <w:p w:rsidR="003F0BC5" w:rsidRPr="007B5305" w:rsidRDefault="003A6D08" w:rsidP="007B5305">
            <w:pPr>
              <w:tabs>
                <w:tab w:val="right" w:leader="dot" w:pos="5100"/>
              </w:tabs>
              <w:spacing w:before="0" w:after="0"/>
              <w:rPr>
                <w:sz w:val="18"/>
                <w:szCs w:val="18"/>
              </w:rPr>
            </w:pPr>
            <w:r>
              <w:rPr>
                <w:sz w:val="18"/>
                <w:szCs w:val="18"/>
              </w:rPr>
              <w:t>2D NV</w:t>
            </w:r>
            <w:r w:rsidR="007B5305">
              <w:rPr>
                <w:sz w:val="18"/>
                <w:szCs w:val="18"/>
              </w:rPr>
              <w:tab/>
            </w:r>
          </w:p>
        </w:tc>
        <w:tc>
          <w:tcPr>
            <w:tcW w:w="1171" w:type="pct"/>
            <w:shd w:val="clear" w:color="auto" w:fill="auto"/>
            <w:vAlign w:val="bottom"/>
          </w:tcPr>
          <w:p w:rsidR="003F0BC5" w:rsidRPr="007B5305" w:rsidRDefault="003F0BC5" w:rsidP="000F6E97">
            <w:pPr>
              <w:spacing w:before="0" w:after="0"/>
              <w:jc w:val="right"/>
              <w:rPr>
                <w:sz w:val="18"/>
                <w:szCs w:val="18"/>
              </w:rPr>
            </w:pPr>
            <w:r w:rsidRPr="007B5305">
              <w:rPr>
                <w:sz w:val="18"/>
                <w:szCs w:val="18"/>
              </w:rPr>
              <w:t>3,243,293</w:t>
            </w:r>
          </w:p>
        </w:tc>
        <w:tc>
          <w:tcPr>
            <w:tcW w:w="929" w:type="pct"/>
            <w:shd w:val="clear" w:color="auto" w:fill="auto"/>
            <w:noWrap/>
            <w:vAlign w:val="bottom"/>
          </w:tcPr>
          <w:p w:rsidR="003F0BC5" w:rsidRPr="007B5305" w:rsidRDefault="003F0BC5" w:rsidP="000F6E97">
            <w:pPr>
              <w:spacing w:before="0" w:after="0"/>
              <w:jc w:val="right"/>
              <w:rPr>
                <w:sz w:val="18"/>
                <w:szCs w:val="18"/>
              </w:rPr>
            </w:pPr>
            <w:r w:rsidRPr="007B5305">
              <w:rPr>
                <w:sz w:val="18"/>
                <w:szCs w:val="18"/>
              </w:rPr>
              <w:t>17.20%</w:t>
            </w:r>
          </w:p>
        </w:tc>
      </w:tr>
      <w:tr w:rsidR="003F0BC5" w:rsidRPr="007B5305" w:rsidTr="007B5305">
        <w:trPr>
          <w:trHeight w:val="270"/>
        </w:trPr>
        <w:tc>
          <w:tcPr>
            <w:tcW w:w="2900" w:type="pct"/>
            <w:shd w:val="clear" w:color="auto" w:fill="auto"/>
            <w:noWrap/>
            <w:vAlign w:val="bottom"/>
          </w:tcPr>
          <w:p w:rsidR="003F0BC5" w:rsidRPr="007B5305" w:rsidRDefault="003F0BC5" w:rsidP="007B5305">
            <w:pPr>
              <w:tabs>
                <w:tab w:val="right" w:leader="dot" w:pos="5100"/>
              </w:tabs>
              <w:spacing w:before="0" w:after="0"/>
              <w:rPr>
                <w:sz w:val="18"/>
                <w:szCs w:val="18"/>
              </w:rPr>
            </w:pPr>
            <w:r w:rsidRPr="007B5305">
              <w:rPr>
                <w:sz w:val="18"/>
                <w:szCs w:val="18"/>
              </w:rPr>
              <w:t>Gimv-XL (***)</w:t>
            </w:r>
            <w:r w:rsidR="007B5305">
              <w:rPr>
                <w:sz w:val="18"/>
                <w:szCs w:val="18"/>
              </w:rPr>
              <w:tab/>
            </w:r>
          </w:p>
        </w:tc>
        <w:tc>
          <w:tcPr>
            <w:tcW w:w="1171" w:type="pct"/>
            <w:shd w:val="clear" w:color="auto" w:fill="auto"/>
            <w:vAlign w:val="bottom"/>
          </w:tcPr>
          <w:p w:rsidR="003F0BC5" w:rsidRPr="007B5305" w:rsidRDefault="00C14674" w:rsidP="000F6E97">
            <w:pPr>
              <w:spacing w:before="0" w:after="0"/>
              <w:jc w:val="right"/>
              <w:rPr>
                <w:sz w:val="18"/>
                <w:szCs w:val="18"/>
              </w:rPr>
            </w:pPr>
            <w:r>
              <w:rPr>
                <w:sz w:val="18"/>
                <w:szCs w:val="18"/>
              </w:rPr>
              <w:t>5,</w:t>
            </w:r>
            <w:r w:rsidR="003F0BC5" w:rsidRPr="007B5305">
              <w:rPr>
                <w:sz w:val="18"/>
                <w:szCs w:val="18"/>
              </w:rPr>
              <w:t>242,228</w:t>
            </w:r>
          </w:p>
        </w:tc>
        <w:tc>
          <w:tcPr>
            <w:tcW w:w="929" w:type="pct"/>
            <w:shd w:val="clear" w:color="auto" w:fill="auto"/>
            <w:noWrap/>
            <w:vAlign w:val="bottom"/>
          </w:tcPr>
          <w:p w:rsidR="003F0BC5" w:rsidRPr="007B5305" w:rsidRDefault="003F0BC5" w:rsidP="000F6E97">
            <w:pPr>
              <w:spacing w:before="0" w:after="0"/>
              <w:jc w:val="right"/>
              <w:rPr>
                <w:sz w:val="18"/>
                <w:szCs w:val="18"/>
              </w:rPr>
            </w:pPr>
            <w:r w:rsidRPr="007B5305">
              <w:rPr>
                <w:sz w:val="18"/>
                <w:szCs w:val="18"/>
              </w:rPr>
              <w:t>27.80%</w:t>
            </w:r>
          </w:p>
        </w:tc>
      </w:tr>
      <w:tr w:rsidR="003F0BC5" w:rsidRPr="007B5305" w:rsidTr="007B5305">
        <w:trPr>
          <w:trHeight w:val="270"/>
        </w:trPr>
        <w:tc>
          <w:tcPr>
            <w:tcW w:w="2900" w:type="pct"/>
            <w:shd w:val="clear" w:color="auto" w:fill="auto"/>
            <w:noWrap/>
            <w:vAlign w:val="bottom"/>
          </w:tcPr>
          <w:p w:rsidR="003F0BC5" w:rsidRPr="007B5305" w:rsidRDefault="003F0BC5" w:rsidP="007B5305">
            <w:pPr>
              <w:tabs>
                <w:tab w:val="right" w:leader="dot" w:pos="5100"/>
              </w:tabs>
              <w:spacing w:before="0" w:after="0"/>
              <w:rPr>
                <w:sz w:val="18"/>
                <w:szCs w:val="18"/>
              </w:rPr>
            </w:pPr>
            <w:r w:rsidRPr="007B5305">
              <w:rPr>
                <w:sz w:val="18"/>
                <w:szCs w:val="18"/>
              </w:rPr>
              <w:t>AIF</w:t>
            </w:r>
            <w:r w:rsidR="007B5305">
              <w:rPr>
                <w:sz w:val="18"/>
                <w:szCs w:val="18"/>
              </w:rPr>
              <w:tab/>
            </w:r>
          </w:p>
        </w:tc>
        <w:tc>
          <w:tcPr>
            <w:tcW w:w="1171" w:type="pct"/>
            <w:shd w:val="clear" w:color="auto" w:fill="auto"/>
            <w:vAlign w:val="bottom"/>
          </w:tcPr>
          <w:p w:rsidR="003F0BC5" w:rsidRPr="007B5305" w:rsidRDefault="003F0BC5" w:rsidP="000F6E97">
            <w:pPr>
              <w:spacing w:before="0" w:after="0"/>
              <w:jc w:val="right"/>
              <w:rPr>
                <w:sz w:val="18"/>
                <w:szCs w:val="18"/>
              </w:rPr>
            </w:pPr>
            <w:r w:rsidRPr="007B5305">
              <w:rPr>
                <w:sz w:val="18"/>
                <w:szCs w:val="18"/>
              </w:rPr>
              <w:t>1,776,393</w:t>
            </w:r>
          </w:p>
        </w:tc>
        <w:tc>
          <w:tcPr>
            <w:tcW w:w="929" w:type="pct"/>
            <w:shd w:val="clear" w:color="auto" w:fill="auto"/>
            <w:noWrap/>
            <w:vAlign w:val="bottom"/>
          </w:tcPr>
          <w:p w:rsidR="003F0BC5" w:rsidRPr="007B5305" w:rsidRDefault="003F0BC5" w:rsidP="000F6E97">
            <w:pPr>
              <w:spacing w:before="0" w:after="0"/>
              <w:jc w:val="right"/>
              <w:rPr>
                <w:sz w:val="18"/>
                <w:szCs w:val="18"/>
              </w:rPr>
            </w:pPr>
            <w:r w:rsidRPr="007B5305">
              <w:rPr>
                <w:sz w:val="18"/>
                <w:szCs w:val="18"/>
              </w:rPr>
              <w:t>9.42%</w:t>
            </w:r>
          </w:p>
        </w:tc>
      </w:tr>
      <w:tr w:rsidR="003F0BC5" w:rsidRPr="007B5305" w:rsidTr="007B5305">
        <w:trPr>
          <w:trHeight w:val="270"/>
        </w:trPr>
        <w:tc>
          <w:tcPr>
            <w:tcW w:w="2900" w:type="pct"/>
            <w:shd w:val="clear" w:color="auto" w:fill="auto"/>
            <w:noWrap/>
            <w:vAlign w:val="bottom"/>
          </w:tcPr>
          <w:p w:rsidR="003F0BC5" w:rsidRPr="007B5305" w:rsidRDefault="003F0BC5" w:rsidP="007B5305">
            <w:pPr>
              <w:tabs>
                <w:tab w:val="right" w:leader="dot" w:pos="5100"/>
              </w:tabs>
              <w:spacing w:before="0" w:after="0"/>
              <w:rPr>
                <w:sz w:val="18"/>
                <w:szCs w:val="18"/>
              </w:rPr>
            </w:pPr>
            <w:r w:rsidRPr="007B5305">
              <w:rPr>
                <w:sz w:val="18"/>
                <w:szCs w:val="18"/>
              </w:rPr>
              <w:t>Familie Dejonghe**</w:t>
            </w:r>
            <w:r w:rsidR="007B5305">
              <w:rPr>
                <w:sz w:val="18"/>
                <w:szCs w:val="18"/>
              </w:rPr>
              <w:tab/>
            </w:r>
          </w:p>
        </w:tc>
        <w:tc>
          <w:tcPr>
            <w:tcW w:w="1171" w:type="pct"/>
            <w:shd w:val="clear" w:color="auto" w:fill="auto"/>
            <w:vAlign w:val="bottom"/>
          </w:tcPr>
          <w:p w:rsidR="003F0BC5" w:rsidRPr="007B5305" w:rsidRDefault="003F0BC5" w:rsidP="000F6E97">
            <w:pPr>
              <w:spacing w:before="0" w:after="0"/>
              <w:jc w:val="right"/>
              <w:rPr>
                <w:sz w:val="18"/>
                <w:szCs w:val="18"/>
              </w:rPr>
            </w:pPr>
            <w:r w:rsidRPr="007B5305">
              <w:rPr>
                <w:sz w:val="18"/>
                <w:szCs w:val="18"/>
              </w:rPr>
              <w:t>543,871</w:t>
            </w:r>
          </w:p>
        </w:tc>
        <w:tc>
          <w:tcPr>
            <w:tcW w:w="929" w:type="pct"/>
            <w:shd w:val="clear" w:color="auto" w:fill="auto"/>
            <w:noWrap/>
            <w:vAlign w:val="bottom"/>
          </w:tcPr>
          <w:p w:rsidR="003F0BC5" w:rsidRPr="007B5305" w:rsidRDefault="003F0BC5" w:rsidP="000F6E97">
            <w:pPr>
              <w:spacing w:before="0" w:after="0"/>
              <w:jc w:val="right"/>
              <w:rPr>
                <w:sz w:val="18"/>
                <w:szCs w:val="18"/>
              </w:rPr>
            </w:pPr>
            <w:r w:rsidRPr="007B5305">
              <w:rPr>
                <w:sz w:val="18"/>
                <w:szCs w:val="18"/>
              </w:rPr>
              <w:t>2.88%</w:t>
            </w:r>
          </w:p>
        </w:tc>
      </w:tr>
      <w:tr w:rsidR="003F0BC5" w:rsidRPr="007B5305" w:rsidTr="007B5305">
        <w:trPr>
          <w:trHeight w:val="270"/>
        </w:trPr>
        <w:tc>
          <w:tcPr>
            <w:tcW w:w="2900" w:type="pct"/>
            <w:shd w:val="clear" w:color="auto" w:fill="auto"/>
            <w:noWrap/>
            <w:vAlign w:val="bottom"/>
          </w:tcPr>
          <w:p w:rsidR="003F0BC5" w:rsidRPr="007B5305" w:rsidRDefault="003F0BC5" w:rsidP="007B5305">
            <w:pPr>
              <w:tabs>
                <w:tab w:val="right" w:leader="dot" w:pos="5100"/>
              </w:tabs>
              <w:spacing w:before="0" w:after="0"/>
              <w:rPr>
                <w:sz w:val="18"/>
                <w:szCs w:val="18"/>
              </w:rPr>
            </w:pPr>
            <w:r w:rsidRPr="007B5305">
              <w:rPr>
                <w:sz w:val="18"/>
                <w:szCs w:val="18"/>
              </w:rPr>
              <w:t>Union Fermière Morbihannaise SCA</w:t>
            </w:r>
            <w:r w:rsidR="007B5305">
              <w:rPr>
                <w:sz w:val="18"/>
                <w:szCs w:val="18"/>
              </w:rPr>
              <w:tab/>
            </w:r>
          </w:p>
        </w:tc>
        <w:tc>
          <w:tcPr>
            <w:tcW w:w="1171" w:type="pct"/>
            <w:shd w:val="clear" w:color="auto" w:fill="auto"/>
            <w:vAlign w:val="bottom"/>
          </w:tcPr>
          <w:p w:rsidR="003F0BC5" w:rsidRPr="007B5305" w:rsidRDefault="003F0BC5" w:rsidP="000F6E97">
            <w:pPr>
              <w:spacing w:before="0" w:after="0"/>
              <w:jc w:val="right"/>
              <w:rPr>
                <w:sz w:val="18"/>
                <w:szCs w:val="18"/>
              </w:rPr>
            </w:pPr>
            <w:r w:rsidRPr="007B5305">
              <w:rPr>
                <w:sz w:val="18"/>
                <w:szCs w:val="18"/>
              </w:rPr>
              <w:t>642,441</w:t>
            </w:r>
          </w:p>
        </w:tc>
        <w:tc>
          <w:tcPr>
            <w:tcW w:w="929" w:type="pct"/>
            <w:shd w:val="clear" w:color="auto" w:fill="auto"/>
            <w:noWrap/>
            <w:vAlign w:val="bottom"/>
          </w:tcPr>
          <w:p w:rsidR="003F0BC5" w:rsidRPr="007B5305" w:rsidRDefault="003F0BC5" w:rsidP="000F6E97">
            <w:pPr>
              <w:spacing w:before="0" w:after="0"/>
              <w:jc w:val="right"/>
              <w:rPr>
                <w:sz w:val="18"/>
                <w:szCs w:val="18"/>
              </w:rPr>
            </w:pPr>
            <w:r w:rsidRPr="007B5305">
              <w:rPr>
                <w:sz w:val="18"/>
                <w:szCs w:val="18"/>
              </w:rPr>
              <w:t>3.41%</w:t>
            </w:r>
          </w:p>
        </w:tc>
      </w:tr>
      <w:tr w:rsidR="003F0BC5" w:rsidRPr="007B5305" w:rsidTr="007B5305">
        <w:trPr>
          <w:trHeight w:val="270"/>
        </w:trPr>
        <w:tc>
          <w:tcPr>
            <w:tcW w:w="2900" w:type="pct"/>
            <w:shd w:val="clear" w:color="auto" w:fill="auto"/>
            <w:noWrap/>
            <w:vAlign w:val="bottom"/>
          </w:tcPr>
          <w:p w:rsidR="003F0BC5" w:rsidRPr="007B5305" w:rsidRDefault="003F0BC5" w:rsidP="007B5305">
            <w:pPr>
              <w:tabs>
                <w:tab w:val="right" w:leader="dot" w:pos="5100"/>
              </w:tabs>
              <w:spacing w:before="0" w:after="0"/>
              <w:rPr>
                <w:sz w:val="18"/>
                <w:szCs w:val="18"/>
              </w:rPr>
            </w:pPr>
            <w:r w:rsidRPr="007B5305">
              <w:rPr>
                <w:sz w:val="18"/>
                <w:szCs w:val="18"/>
              </w:rPr>
              <w:t>Deprez Holding NV</w:t>
            </w:r>
            <w:r w:rsidR="007B5305">
              <w:rPr>
                <w:sz w:val="18"/>
                <w:szCs w:val="18"/>
              </w:rPr>
              <w:tab/>
            </w:r>
          </w:p>
        </w:tc>
        <w:tc>
          <w:tcPr>
            <w:tcW w:w="1171" w:type="pct"/>
            <w:shd w:val="clear" w:color="auto" w:fill="auto"/>
            <w:vAlign w:val="bottom"/>
          </w:tcPr>
          <w:p w:rsidR="003F0BC5" w:rsidRPr="007B5305" w:rsidRDefault="003F0BC5" w:rsidP="000F6E97">
            <w:pPr>
              <w:spacing w:before="0" w:after="0"/>
              <w:jc w:val="right"/>
              <w:rPr>
                <w:sz w:val="18"/>
                <w:szCs w:val="18"/>
              </w:rPr>
            </w:pPr>
            <w:r w:rsidRPr="007B5305">
              <w:rPr>
                <w:sz w:val="18"/>
                <w:szCs w:val="18"/>
              </w:rPr>
              <w:t>567,848</w:t>
            </w:r>
          </w:p>
        </w:tc>
        <w:tc>
          <w:tcPr>
            <w:tcW w:w="929" w:type="pct"/>
            <w:shd w:val="clear" w:color="auto" w:fill="auto"/>
            <w:noWrap/>
            <w:vAlign w:val="bottom"/>
          </w:tcPr>
          <w:p w:rsidR="003F0BC5" w:rsidRPr="007B5305" w:rsidRDefault="003F0BC5" w:rsidP="000F6E97">
            <w:pPr>
              <w:spacing w:before="0" w:after="0"/>
              <w:jc w:val="right"/>
              <w:rPr>
                <w:sz w:val="18"/>
                <w:szCs w:val="18"/>
              </w:rPr>
            </w:pPr>
            <w:r w:rsidRPr="007B5305">
              <w:rPr>
                <w:sz w:val="18"/>
                <w:szCs w:val="18"/>
              </w:rPr>
              <w:t>3.01%</w:t>
            </w:r>
          </w:p>
        </w:tc>
      </w:tr>
      <w:tr w:rsidR="003F0BC5" w:rsidRPr="007B5305" w:rsidTr="007B5305">
        <w:trPr>
          <w:trHeight w:val="270"/>
        </w:trPr>
        <w:tc>
          <w:tcPr>
            <w:tcW w:w="2900" w:type="pct"/>
            <w:shd w:val="clear" w:color="auto" w:fill="auto"/>
            <w:noWrap/>
            <w:vAlign w:val="bottom"/>
          </w:tcPr>
          <w:p w:rsidR="003F0BC5" w:rsidRPr="007B5305" w:rsidRDefault="003F0BC5" w:rsidP="007B5305">
            <w:pPr>
              <w:tabs>
                <w:tab w:val="right" w:leader="dot" w:pos="5100"/>
              </w:tabs>
              <w:spacing w:before="0" w:after="0"/>
              <w:rPr>
                <w:sz w:val="18"/>
                <w:szCs w:val="18"/>
              </w:rPr>
            </w:pPr>
            <w:r w:rsidRPr="007B5305">
              <w:rPr>
                <w:sz w:val="18"/>
                <w:szCs w:val="18"/>
              </w:rPr>
              <w:t>Volys Star NV</w:t>
            </w:r>
            <w:r w:rsidR="007B5305">
              <w:rPr>
                <w:sz w:val="18"/>
                <w:szCs w:val="18"/>
              </w:rPr>
              <w:tab/>
            </w:r>
          </w:p>
        </w:tc>
        <w:tc>
          <w:tcPr>
            <w:tcW w:w="1171" w:type="pct"/>
            <w:shd w:val="clear" w:color="auto" w:fill="auto"/>
            <w:vAlign w:val="bottom"/>
          </w:tcPr>
          <w:p w:rsidR="003F0BC5" w:rsidRPr="007B5305" w:rsidRDefault="003F0BC5" w:rsidP="000F6E97">
            <w:pPr>
              <w:spacing w:before="0" w:after="0"/>
              <w:jc w:val="right"/>
              <w:rPr>
                <w:sz w:val="18"/>
                <w:szCs w:val="18"/>
              </w:rPr>
            </w:pPr>
            <w:r w:rsidRPr="007B5305">
              <w:rPr>
                <w:sz w:val="18"/>
                <w:szCs w:val="18"/>
              </w:rPr>
              <w:t>42,894</w:t>
            </w:r>
          </w:p>
        </w:tc>
        <w:tc>
          <w:tcPr>
            <w:tcW w:w="929" w:type="pct"/>
            <w:shd w:val="clear" w:color="auto" w:fill="auto"/>
            <w:noWrap/>
            <w:vAlign w:val="bottom"/>
          </w:tcPr>
          <w:p w:rsidR="003F0BC5" w:rsidRPr="007B5305" w:rsidRDefault="003F0BC5" w:rsidP="000F6E97">
            <w:pPr>
              <w:spacing w:before="0" w:after="0"/>
              <w:jc w:val="right"/>
              <w:rPr>
                <w:sz w:val="18"/>
                <w:szCs w:val="18"/>
              </w:rPr>
            </w:pPr>
            <w:r w:rsidRPr="007B5305">
              <w:rPr>
                <w:sz w:val="18"/>
                <w:szCs w:val="18"/>
              </w:rPr>
              <w:t>0.23%</w:t>
            </w:r>
          </w:p>
        </w:tc>
      </w:tr>
      <w:tr w:rsidR="003F0BC5" w:rsidRPr="007B5305" w:rsidTr="00CD1029">
        <w:trPr>
          <w:trHeight w:val="270"/>
        </w:trPr>
        <w:tc>
          <w:tcPr>
            <w:tcW w:w="2900" w:type="pct"/>
            <w:shd w:val="clear" w:color="auto" w:fill="auto"/>
            <w:noWrap/>
            <w:vAlign w:val="bottom"/>
          </w:tcPr>
          <w:p w:rsidR="003F0BC5" w:rsidRPr="007B5305" w:rsidRDefault="003F0BC5" w:rsidP="007B5305">
            <w:pPr>
              <w:tabs>
                <w:tab w:val="right" w:leader="dot" w:pos="5100"/>
              </w:tabs>
              <w:spacing w:before="0" w:after="0"/>
              <w:rPr>
                <w:sz w:val="18"/>
                <w:szCs w:val="18"/>
              </w:rPr>
            </w:pPr>
            <w:r w:rsidRPr="007B5305">
              <w:rPr>
                <w:sz w:val="18"/>
                <w:szCs w:val="18"/>
              </w:rPr>
              <w:t>Public*</w:t>
            </w:r>
            <w:r w:rsidR="007B5305">
              <w:rPr>
                <w:sz w:val="18"/>
                <w:szCs w:val="18"/>
              </w:rPr>
              <w:tab/>
            </w:r>
          </w:p>
        </w:tc>
        <w:tc>
          <w:tcPr>
            <w:tcW w:w="1171" w:type="pct"/>
            <w:shd w:val="clear" w:color="auto" w:fill="auto"/>
            <w:vAlign w:val="bottom"/>
          </w:tcPr>
          <w:p w:rsidR="003F0BC5" w:rsidRPr="007B5305" w:rsidRDefault="003F0BC5" w:rsidP="000F6E97">
            <w:pPr>
              <w:pBdr>
                <w:bottom w:val="single" w:sz="4" w:space="1" w:color="auto"/>
              </w:pBdr>
              <w:spacing w:before="0" w:after="0"/>
              <w:jc w:val="right"/>
              <w:rPr>
                <w:sz w:val="18"/>
                <w:szCs w:val="18"/>
              </w:rPr>
            </w:pPr>
            <w:r w:rsidRPr="007B5305">
              <w:rPr>
                <w:sz w:val="18"/>
                <w:szCs w:val="18"/>
              </w:rPr>
              <w:t>3,015,723</w:t>
            </w:r>
          </w:p>
        </w:tc>
        <w:tc>
          <w:tcPr>
            <w:tcW w:w="929" w:type="pct"/>
            <w:shd w:val="clear" w:color="auto" w:fill="auto"/>
            <w:noWrap/>
            <w:vAlign w:val="bottom"/>
          </w:tcPr>
          <w:p w:rsidR="003F0BC5" w:rsidRPr="007B5305" w:rsidRDefault="003F0BC5" w:rsidP="000F6E97">
            <w:pPr>
              <w:pBdr>
                <w:bottom w:val="single" w:sz="4" w:space="1" w:color="auto"/>
              </w:pBdr>
              <w:spacing w:before="0" w:after="0"/>
              <w:jc w:val="right"/>
              <w:rPr>
                <w:sz w:val="18"/>
                <w:szCs w:val="18"/>
              </w:rPr>
            </w:pPr>
            <w:r w:rsidRPr="007B5305">
              <w:rPr>
                <w:sz w:val="18"/>
                <w:szCs w:val="18"/>
              </w:rPr>
              <w:t>15.98%</w:t>
            </w:r>
          </w:p>
        </w:tc>
      </w:tr>
      <w:tr w:rsidR="003F0BC5" w:rsidRPr="007B5305" w:rsidTr="00CD1029">
        <w:trPr>
          <w:trHeight w:val="270"/>
        </w:trPr>
        <w:tc>
          <w:tcPr>
            <w:tcW w:w="2900" w:type="pct"/>
            <w:shd w:val="clear" w:color="auto" w:fill="auto"/>
            <w:noWrap/>
            <w:vAlign w:val="bottom"/>
          </w:tcPr>
          <w:p w:rsidR="003F0BC5" w:rsidRPr="007B5305" w:rsidRDefault="003F0BC5" w:rsidP="00CD1029">
            <w:pPr>
              <w:spacing w:before="0" w:after="0"/>
              <w:rPr>
                <w:b/>
                <w:bCs/>
                <w:sz w:val="18"/>
                <w:szCs w:val="18"/>
              </w:rPr>
            </w:pPr>
            <w:r w:rsidRPr="007B5305">
              <w:rPr>
                <w:b/>
                <w:bCs/>
                <w:sz w:val="18"/>
                <w:szCs w:val="18"/>
              </w:rPr>
              <w:t>T</w:t>
            </w:r>
            <w:r w:rsidR="00CD1029">
              <w:rPr>
                <w:b/>
                <w:bCs/>
                <w:sz w:val="18"/>
                <w:szCs w:val="18"/>
              </w:rPr>
              <w:t>otal</w:t>
            </w:r>
          </w:p>
        </w:tc>
        <w:tc>
          <w:tcPr>
            <w:tcW w:w="1171" w:type="pct"/>
            <w:tcBorders>
              <w:bottom w:val="double" w:sz="4" w:space="0" w:color="auto"/>
            </w:tcBorders>
            <w:shd w:val="clear" w:color="auto" w:fill="auto"/>
            <w:noWrap/>
            <w:vAlign w:val="bottom"/>
          </w:tcPr>
          <w:p w:rsidR="003F0BC5" w:rsidRPr="007B5305" w:rsidRDefault="00C14674" w:rsidP="000F6E97">
            <w:pPr>
              <w:spacing w:before="0" w:after="0"/>
              <w:jc w:val="right"/>
              <w:rPr>
                <w:b/>
                <w:bCs/>
                <w:sz w:val="18"/>
                <w:szCs w:val="18"/>
              </w:rPr>
            </w:pPr>
            <w:r>
              <w:rPr>
                <w:b/>
                <w:bCs/>
                <w:sz w:val="18"/>
                <w:szCs w:val="18"/>
              </w:rPr>
              <w:t>18,</w:t>
            </w:r>
            <w:r w:rsidR="003F0BC5" w:rsidRPr="007B5305">
              <w:rPr>
                <w:b/>
                <w:bCs/>
                <w:sz w:val="18"/>
                <w:szCs w:val="18"/>
              </w:rPr>
              <w:t>859,520</w:t>
            </w:r>
          </w:p>
        </w:tc>
        <w:tc>
          <w:tcPr>
            <w:tcW w:w="929" w:type="pct"/>
            <w:tcBorders>
              <w:bottom w:val="double" w:sz="4" w:space="0" w:color="auto"/>
            </w:tcBorders>
            <w:shd w:val="clear" w:color="auto" w:fill="auto"/>
            <w:noWrap/>
            <w:vAlign w:val="bottom"/>
          </w:tcPr>
          <w:p w:rsidR="003F0BC5" w:rsidRPr="007B5305" w:rsidRDefault="003F0BC5" w:rsidP="000F6E97">
            <w:pPr>
              <w:spacing w:before="0" w:after="0"/>
              <w:jc w:val="right"/>
              <w:rPr>
                <w:b/>
                <w:bCs/>
                <w:sz w:val="18"/>
                <w:szCs w:val="18"/>
              </w:rPr>
            </w:pPr>
            <w:r w:rsidRPr="007B5305">
              <w:rPr>
                <w:b/>
                <w:bCs/>
                <w:sz w:val="18"/>
                <w:szCs w:val="18"/>
              </w:rPr>
              <w:t>100.00%</w:t>
            </w:r>
          </w:p>
        </w:tc>
      </w:tr>
      <w:tr w:rsidR="00CD1029" w:rsidRPr="007B5305" w:rsidTr="007B5305">
        <w:trPr>
          <w:trHeight w:val="270"/>
        </w:trPr>
        <w:tc>
          <w:tcPr>
            <w:tcW w:w="4071" w:type="pct"/>
            <w:gridSpan w:val="2"/>
            <w:shd w:val="clear" w:color="auto" w:fill="auto"/>
            <w:noWrap/>
            <w:vAlign w:val="bottom"/>
          </w:tcPr>
          <w:p w:rsidR="00CD1029" w:rsidRPr="007B5305" w:rsidRDefault="00CD1029" w:rsidP="000F6E97">
            <w:pPr>
              <w:spacing w:before="0" w:after="0"/>
              <w:ind w:left="459" w:hanging="459"/>
              <w:rPr>
                <w:sz w:val="18"/>
                <w:szCs w:val="18"/>
              </w:rPr>
            </w:pPr>
          </w:p>
        </w:tc>
        <w:tc>
          <w:tcPr>
            <w:tcW w:w="929" w:type="pct"/>
            <w:shd w:val="clear" w:color="auto" w:fill="auto"/>
            <w:noWrap/>
            <w:vAlign w:val="bottom"/>
          </w:tcPr>
          <w:p w:rsidR="00CD1029" w:rsidRPr="007B5305" w:rsidRDefault="00CD1029" w:rsidP="000F6E97">
            <w:pPr>
              <w:spacing w:before="0" w:after="0"/>
              <w:ind w:left="459" w:hanging="459"/>
              <w:rPr>
                <w:sz w:val="18"/>
                <w:szCs w:val="18"/>
              </w:rPr>
            </w:pPr>
          </w:p>
        </w:tc>
      </w:tr>
      <w:tr w:rsidR="007B5305" w:rsidRPr="007B5305" w:rsidTr="007B5305">
        <w:trPr>
          <w:trHeight w:val="270"/>
        </w:trPr>
        <w:tc>
          <w:tcPr>
            <w:tcW w:w="4071" w:type="pct"/>
            <w:gridSpan w:val="2"/>
            <w:shd w:val="clear" w:color="auto" w:fill="auto"/>
            <w:noWrap/>
            <w:vAlign w:val="bottom"/>
          </w:tcPr>
          <w:p w:rsidR="007B5305" w:rsidRPr="007B5305" w:rsidRDefault="007B5305" w:rsidP="000F6E97">
            <w:pPr>
              <w:spacing w:before="0" w:after="0"/>
              <w:ind w:left="459" w:hanging="459"/>
              <w:rPr>
                <w:sz w:val="18"/>
                <w:szCs w:val="18"/>
              </w:rPr>
            </w:pPr>
            <w:r w:rsidRPr="007B5305">
              <w:rPr>
                <w:sz w:val="18"/>
                <w:szCs w:val="18"/>
              </w:rPr>
              <w:t xml:space="preserve">* </w:t>
            </w:r>
            <w:r w:rsidRPr="007B5305">
              <w:rPr>
                <w:sz w:val="18"/>
                <w:szCs w:val="18"/>
              </w:rPr>
              <w:tab/>
              <w:t xml:space="preserve">including shares at Koramic Holding NV, </w:t>
            </w:r>
            <w:smartTag w:uri="urn:schemas-microsoft-com:office:smarttags" w:element="place">
              <w:smartTag w:uri="urn:schemas-microsoft-com:office:smarttags" w:element="City">
                <w:r w:rsidRPr="007B5305">
                  <w:rPr>
                    <w:sz w:val="18"/>
                    <w:szCs w:val="18"/>
                  </w:rPr>
                  <w:t>Tosalu</w:t>
                </w:r>
              </w:smartTag>
              <w:r w:rsidRPr="007B5305">
                <w:rPr>
                  <w:sz w:val="18"/>
                  <w:szCs w:val="18"/>
                </w:rPr>
                <w:t xml:space="preserve"> </w:t>
              </w:r>
              <w:smartTag w:uri="urn:schemas-microsoft-com:office:smarttags" w:element="State">
                <w:r w:rsidRPr="007B5305">
                  <w:rPr>
                    <w:sz w:val="18"/>
                    <w:szCs w:val="18"/>
                  </w:rPr>
                  <w:t>NV</w:t>
                </w:r>
              </w:smartTag>
            </w:smartTag>
            <w:r w:rsidRPr="007B5305">
              <w:rPr>
                <w:sz w:val="18"/>
                <w:szCs w:val="18"/>
              </w:rPr>
              <w:t>, Degroof Corporate Finance and employees</w:t>
            </w:r>
          </w:p>
        </w:tc>
        <w:tc>
          <w:tcPr>
            <w:tcW w:w="929" w:type="pct"/>
            <w:shd w:val="clear" w:color="auto" w:fill="auto"/>
            <w:noWrap/>
            <w:vAlign w:val="bottom"/>
          </w:tcPr>
          <w:p w:rsidR="007B5305" w:rsidRPr="007B5305" w:rsidRDefault="007B5305" w:rsidP="000F6E97">
            <w:pPr>
              <w:spacing w:before="0" w:after="0"/>
              <w:ind w:left="459" w:hanging="459"/>
              <w:rPr>
                <w:sz w:val="18"/>
                <w:szCs w:val="18"/>
              </w:rPr>
            </w:pPr>
          </w:p>
        </w:tc>
      </w:tr>
      <w:tr w:rsidR="003F0BC5" w:rsidRPr="007B5305" w:rsidTr="007B5305">
        <w:trPr>
          <w:trHeight w:val="270"/>
        </w:trPr>
        <w:tc>
          <w:tcPr>
            <w:tcW w:w="5000" w:type="pct"/>
            <w:gridSpan w:val="3"/>
            <w:shd w:val="clear" w:color="auto" w:fill="auto"/>
            <w:noWrap/>
            <w:vAlign w:val="bottom"/>
          </w:tcPr>
          <w:p w:rsidR="003F0BC5" w:rsidRPr="007B5305" w:rsidRDefault="003F0BC5" w:rsidP="000F6E97">
            <w:pPr>
              <w:spacing w:before="0" w:after="0"/>
              <w:ind w:left="459" w:hanging="459"/>
              <w:rPr>
                <w:sz w:val="18"/>
                <w:szCs w:val="18"/>
              </w:rPr>
            </w:pPr>
            <w:r w:rsidRPr="007B5305">
              <w:rPr>
                <w:sz w:val="18"/>
                <w:szCs w:val="18"/>
              </w:rPr>
              <w:t xml:space="preserve">** </w:t>
            </w:r>
            <w:r w:rsidRPr="007B5305">
              <w:rPr>
                <w:sz w:val="18"/>
                <w:szCs w:val="18"/>
              </w:rPr>
              <w:tab/>
              <w:t>includes following shareholders: Kofa BVBA, Koen Dejonghe and Burgerlijke Maatschap Dejonghe-Bertrand</w:t>
            </w:r>
          </w:p>
        </w:tc>
      </w:tr>
      <w:tr w:rsidR="003F0BC5" w:rsidRPr="007B5305" w:rsidTr="007B5305">
        <w:trPr>
          <w:trHeight w:val="270"/>
        </w:trPr>
        <w:tc>
          <w:tcPr>
            <w:tcW w:w="5000" w:type="pct"/>
            <w:gridSpan w:val="3"/>
            <w:shd w:val="clear" w:color="auto" w:fill="auto"/>
            <w:noWrap/>
            <w:vAlign w:val="bottom"/>
          </w:tcPr>
          <w:p w:rsidR="003F0BC5" w:rsidRPr="007B5305" w:rsidRDefault="003F0BC5" w:rsidP="00334BBC">
            <w:pPr>
              <w:spacing w:before="0" w:after="0"/>
              <w:ind w:left="459" w:hanging="459"/>
              <w:rPr>
                <w:sz w:val="18"/>
                <w:szCs w:val="18"/>
              </w:rPr>
            </w:pPr>
            <w:r w:rsidRPr="007B5305">
              <w:rPr>
                <w:sz w:val="18"/>
                <w:szCs w:val="18"/>
              </w:rPr>
              <w:lastRenderedPageBreak/>
              <w:t xml:space="preserve">*** </w:t>
            </w:r>
            <w:r w:rsidRPr="007B5305">
              <w:rPr>
                <w:sz w:val="18"/>
                <w:szCs w:val="18"/>
              </w:rPr>
              <w:tab/>
              <w:t>includes following shareholder</w:t>
            </w:r>
            <w:r w:rsidR="00334BBC">
              <w:rPr>
                <w:sz w:val="18"/>
                <w:szCs w:val="18"/>
              </w:rPr>
              <w:t>s: Gimv-XL Partners Invest Comm. V.</w:t>
            </w:r>
            <w:r w:rsidRPr="007B5305">
              <w:rPr>
                <w:sz w:val="18"/>
                <w:szCs w:val="18"/>
              </w:rPr>
              <w:t xml:space="preserve">, </w:t>
            </w:r>
            <w:smartTag w:uri="urn:schemas-microsoft-com:office:smarttags" w:element="place">
              <w:smartTag w:uri="urn:schemas-microsoft-com:office:smarttags" w:element="City">
                <w:r w:rsidRPr="007B5305">
                  <w:rPr>
                    <w:sz w:val="18"/>
                    <w:szCs w:val="18"/>
                  </w:rPr>
                  <w:t>Gimv</w:t>
                </w:r>
              </w:smartTag>
              <w:r w:rsidRPr="007B5305">
                <w:rPr>
                  <w:sz w:val="18"/>
                  <w:szCs w:val="18"/>
                </w:rPr>
                <w:t xml:space="preserve"> </w:t>
              </w:r>
              <w:smartTag w:uri="urn:schemas-microsoft-com:office:smarttags" w:element="State">
                <w:r w:rsidRPr="007B5305">
                  <w:rPr>
                    <w:sz w:val="18"/>
                    <w:szCs w:val="18"/>
                  </w:rPr>
                  <w:t>NV</w:t>
                </w:r>
              </w:smartTag>
            </w:smartTag>
            <w:r w:rsidRPr="007B5305">
              <w:rPr>
                <w:sz w:val="18"/>
                <w:szCs w:val="18"/>
              </w:rPr>
              <w:t xml:space="preserve"> and Adviesbeheer Gimv-XL NV</w:t>
            </w:r>
          </w:p>
        </w:tc>
      </w:tr>
    </w:tbl>
    <w:p w:rsidR="003F0BC5" w:rsidRPr="00992199" w:rsidRDefault="003F0BC5" w:rsidP="003F0BC5">
      <w:pPr>
        <w:rPr>
          <w:szCs w:val="20"/>
          <w:lang w:bidi="as-IN"/>
        </w:rPr>
      </w:pPr>
      <w:r w:rsidRPr="00992199">
        <w:rPr>
          <w:szCs w:val="20"/>
          <w:lang w:bidi="as-IN"/>
        </w:rPr>
        <w:t xml:space="preserve">Out of the previous scheme, the reference shareholders </w:t>
      </w:r>
      <w:r w:rsidR="00A76464">
        <w:rPr>
          <w:szCs w:val="20"/>
          <w:lang w:bidi="as-IN"/>
        </w:rPr>
        <w:t xml:space="preserve">on the date of this Prospectus </w:t>
      </w:r>
      <w:r w:rsidRPr="00992199">
        <w:rPr>
          <w:szCs w:val="20"/>
          <w:lang w:bidi="as-IN"/>
        </w:rPr>
        <w:t>appear to be:</w:t>
      </w:r>
    </w:p>
    <w:p w:rsidR="003F0BC5" w:rsidRPr="00F35405" w:rsidRDefault="003F0BC5" w:rsidP="000F6E97">
      <w:pPr>
        <w:pStyle w:val="BulletsL1"/>
        <w:rPr>
          <w:lang w:bidi="as-IN"/>
        </w:rPr>
      </w:pPr>
      <w:r w:rsidRPr="00F35405">
        <w:rPr>
          <w:lang w:bidi="as-IN"/>
        </w:rPr>
        <w:t>Food Invest International</w:t>
      </w:r>
    </w:p>
    <w:p w:rsidR="003F0BC5" w:rsidRPr="00F35405" w:rsidRDefault="003F0BC5" w:rsidP="00F35405">
      <w:pPr>
        <w:widowControl w:val="0"/>
        <w:autoSpaceDE w:val="0"/>
        <w:autoSpaceDN w:val="0"/>
        <w:adjustRightInd w:val="0"/>
        <w:ind w:left="720"/>
        <w:rPr>
          <w:szCs w:val="20"/>
          <w:lang w:bidi="as-IN"/>
        </w:rPr>
      </w:pPr>
      <w:r w:rsidRPr="00992199">
        <w:rPr>
          <w:szCs w:val="20"/>
          <w:lang w:bidi="as-IN"/>
        </w:rPr>
        <w:t xml:space="preserve">Food Invest International is the holding company that is directly and indirectly via 2D NV the reference </w:t>
      </w:r>
      <w:r w:rsidRPr="00992199">
        <w:rPr>
          <w:szCs w:val="20"/>
        </w:rPr>
        <w:t>shareholder</w:t>
      </w:r>
      <w:r w:rsidRPr="00992199">
        <w:rPr>
          <w:szCs w:val="20"/>
          <w:lang w:bidi="as-IN"/>
        </w:rPr>
        <w:t xml:space="preserve"> of </w:t>
      </w:r>
      <w:r w:rsidR="002A1AB1">
        <w:rPr>
          <w:szCs w:val="20"/>
          <w:lang w:bidi="as-IN"/>
        </w:rPr>
        <w:t>Greenyard Foods</w:t>
      </w:r>
      <w:r w:rsidRPr="00992199">
        <w:rPr>
          <w:szCs w:val="20"/>
          <w:lang w:bidi="as-IN"/>
        </w:rPr>
        <w:t xml:space="preserve"> and that is in turn controlled by Deprez Holding that is in turn </w:t>
      </w:r>
      <w:r w:rsidRPr="00F35405">
        <w:rPr>
          <w:szCs w:val="20"/>
          <w:lang w:bidi="as-IN"/>
        </w:rPr>
        <w:t xml:space="preserve">controlled by </w:t>
      </w:r>
      <w:r w:rsidR="00334BBC" w:rsidRPr="00F35405">
        <w:rPr>
          <w:szCs w:val="20"/>
          <w:lang w:bidi="as-IN"/>
        </w:rPr>
        <w:t>Mr Hein Deprez</w:t>
      </w:r>
      <w:r w:rsidRPr="00F35405">
        <w:rPr>
          <w:szCs w:val="20"/>
          <w:lang w:bidi="as-IN"/>
        </w:rPr>
        <w:t>.</w:t>
      </w:r>
    </w:p>
    <w:p w:rsidR="003F0BC5" w:rsidRPr="00F35405" w:rsidRDefault="003F0BC5" w:rsidP="000F6E97">
      <w:pPr>
        <w:pStyle w:val="BulletsL1"/>
        <w:rPr>
          <w:lang w:bidi="as-IN"/>
        </w:rPr>
      </w:pPr>
      <w:r w:rsidRPr="00F35405">
        <w:rPr>
          <w:lang w:bidi="as-IN"/>
        </w:rPr>
        <w:t>2D NV</w:t>
      </w:r>
    </w:p>
    <w:p w:rsidR="003F0BC5" w:rsidRPr="00992199" w:rsidRDefault="003F0BC5" w:rsidP="00F35405">
      <w:pPr>
        <w:widowControl w:val="0"/>
        <w:autoSpaceDE w:val="0"/>
        <w:autoSpaceDN w:val="0"/>
        <w:adjustRightInd w:val="0"/>
        <w:ind w:left="720"/>
        <w:rPr>
          <w:szCs w:val="20"/>
          <w:lang w:bidi="as-IN"/>
        </w:rPr>
      </w:pPr>
      <w:r w:rsidRPr="00992199">
        <w:rPr>
          <w:szCs w:val="20"/>
          <w:lang w:bidi="as-IN"/>
        </w:rPr>
        <w:t>2D NV is a holding company that is directly controlled by Food Invest International NV (</w:t>
      </w:r>
      <w:r w:rsidRPr="00992199">
        <w:rPr>
          <w:b/>
          <w:i/>
          <w:szCs w:val="20"/>
          <w:lang w:bidi="as-IN"/>
        </w:rPr>
        <w:t xml:space="preserve">Food Invest </w:t>
      </w:r>
      <w:r w:rsidRPr="00F35405">
        <w:rPr>
          <w:szCs w:val="20"/>
        </w:rPr>
        <w:t>International</w:t>
      </w:r>
      <w:r w:rsidRPr="00992199">
        <w:rPr>
          <w:szCs w:val="20"/>
          <w:lang w:bidi="as-IN"/>
        </w:rPr>
        <w:t xml:space="preserve">). The 405,969 shares representing the share capital of 2D NV, are held by (i) Food Invest International (in turn controlled by </w:t>
      </w:r>
      <w:r w:rsidR="00334BBC">
        <w:rPr>
          <w:szCs w:val="20"/>
          <w:lang w:bidi="as-IN"/>
        </w:rPr>
        <w:t>Mr Hein Deprez</w:t>
      </w:r>
      <w:r w:rsidRPr="00992199">
        <w:rPr>
          <w:szCs w:val="20"/>
          <w:lang w:bidi="as-IN"/>
        </w:rPr>
        <w:t xml:space="preserve"> indirectly via Deprez Holding) for a number of 358,606 shares, and (ii) Tosalu NV (controlled by the Luc Desimpel family) for a number of 47,363 shares.</w:t>
      </w:r>
    </w:p>
    <w:p w:rsidR="003F0BC5" w:rsidRPr="00F35405" w:rsidRDefault="003F0BC5" w:rsidP="007B5305">
      <w:pPr>
        <w:pStyle w:val="BulletsL1"/>
        <w:keepNext/>
        <w:keepLines/>
        <w:rPr>
          <w:lang w:bidi="as-IN"/>
        </w:rPr>
      </w:pPr>
      <w:r w:rsidRPr="00F35405">
        <w:rPr>
          <w:lang w:bidi="as-IN"/>
        </w:rPr>
        <w:t>Gimv-XL</w:t>
      </w:r>
    </w:p>
    <w:p w:rsidR="003F0BC5" w:rsidRPr="00992199" w:rsidRDefault="003F0BC5" w:rsidP="00F35405">
      <w:pPr>
        <w:widowControl w:val="0"/>
        <w:autoSpaceDE w:val="0"/>
        <w:autoSpaceDN w:val="0"/>
        <w:adjustRightInd w:val="0"/>
        <w:ind w:left="720"/>
        <w:rPr>
          <w:szCs w:val="20"/>
          <w:lang w:bidi="as-IN"/>
        </w:rPr>
      </w:pPr>
      <w:r w:rsidRPr="00992199">
        <w:rPr>
          <w:szCs w:val="20"/>
        </w:rPr>
        <w:t>Gimv-XL</w:t>
      </w:r>
      <w:r w:rsidRPr="00992199">
        <w:rPr>
          <w:szCs w:val="20"/>
          <w:lang w:bidi="as-IN"/>
        </w:rPr>
        <w:t xml:space="preserve"> holds 27.8% of the Shares.</w:t>
      </w:r>
    </w:p>
    <w:p w:rsidR="003F0BC5" w:rsidRPr="00F35405" w:rsidRDefault="003F0BC5" w:rsidP="000F6E97">
      <w:pPr>
        <w:pStyle w:val="BulletsL1"/>
        <w:rPr>
          <w:lang w:bidi="as-IN"/>
        </w:rPr>
      </w:pPr>
      <w:r w:rsidRPr="00F35405">
        <w:rPr>
          <w:lang w:bidi="as-IN"/>
        </w:rPr>
        <w:t>AIF</w:t>
      </w:r>
    </w:p>
    <w:p w:rsidR="003F0BC5" w:rsidRPr="00992199" w:rsidRDefault="003F0BC5" w:rsidP="00F35405">
      <w:pPr>
        <w:widowControl w:val="0"/>
        <w:autoSpaceDE w:val="0"/>
        <w:autoSpaceDN w:val="0"/>
        <w:adjustRightInd w:val="0"/>
        <w:ind w:left="720"/>
        <w:rPr>
          <w:szCs w:val="20"/>
          <w:lang w:bidi="as-IN"/>
        </w:rPr>
      </w:pPr>
      <w:r w:rsidRPr="00992199">
        <w:rPr>
          <w:szCs w:val="20"/>
          <w:lang w:bidi="as-IN"/>
        </w:rPr>
        <w:t>Agri Investment Fund CVBA (</w:t>
      </w:r>
      <w:r w:rsidRPr="00992199">
        <w:rPr>
          <w:b/>
          <w:i/>
          <w:szCs w:val="20"/>
          <w:lang w:bidi="as-IN"/>
        </w:rPr>
        <w:t>AIF</w:t>
      </w:r>
      <w:r w:rsidRPr="00992199">
        <w:rPr>
          <w:szCs w:val="20"/>
          <w:lang w:bidi="as-IN"/>
        </w:rPr>
        <w:t xml:space="preserve">) is the subsidiary of the ‘Maatschappij voor Roerend Bezit’ or ‘de </w:t>
      </w:r>
      <w:r w:rsidRPr="00992199">
        <w:rPr>
          <w:szCs w:val="20"/>
        </w:rPr>
        <w:t>Boerenbond’</w:t>
      </w:r>
      <w:r w:rsidRPr="00992199">
        <w:rPr>
          <w:szCs w:val="20"/>
          <w:lang w:bidi="as-IN"/>
        </w:rPr>
        <w:t xml:space="preserve"> who </w:t>
      </w:r>
      <w:r w:rsidR="00334BBC">
        <w:rPr>
          <w:szCs w:val="20"/>
          <w:lang w:bidi="as-IN"/>
        </w:rPr>
        <w:t xml:space="preserve">acquired </w:t>
      </w:r>
      <w:r w:rsidRPr="00992199">
        <w:rPr>
          <w:szCs w:val="20"/>
          <w:lang w:bidi="as-IN"/>
        </w:rPr>
        <w:t xml:space="preserve">the participation in </w:t>
      </w:r>
      <w:r w:rsidR="002A1AB1">
        <w:rPr>
          <w:szCs w:val="20"/>
          <w:lang w:bidi="as-IN"/>
        </w:rPr>
        <w:t>Greenyard Foods</w:t>
      </w:r>
      <w:r w:rsidRPr="00992199">
        <w:rPr>
          <w:szCs w:val="20"/>
          <w:lang w:bidi="as-IN"/>
        </w:rPr>
        <w:t xml:space="preserve"> (1,057,983 Shares) </w:t>
      </w:r>
      <w:r w:rsidR="00334BBC">
        <w:rPr>
          <w:szCs w:val="20"/>
          <w:lang w:bidi="as-IN"/>
        </w:rPr>
        <w:t xml:space="preserve">from KBC Private Equity NV </w:t>
      </w:r>
      <w:r w:rsidRPr="00992199">
        <w:rPr>
          <w:szCs w:val="20"/>
          <w:lang w:bidi="as-IN"/>
        </w:rPr>
        <w:t xml:space="preserve">on 7 October 2011 and who subscribed on 15 February 2012 to </w:t>
      </w:r>
      <w:r w:rsidR="00E0533C">
        <w:rPr>
          <w:szCs w:val="20"/>
          <w:lang w:bidi="as-IN"/>
        </w:rPr>
        <w:t>a</w:t>
      </w:r>
      <w:r w:rsidRPr="00992199">
        <w:rPr>
          <w:szCs w:val="20"/>
          <w:lang w:bidi="as-IN"/>
        </w:rPr>
        <w:t xml:space="preserve"> capital increase for 718,410 Shares.</w:t>
      </w:r>
    </w:p>
    <w:p w:rsidR="003F0BC5" w:rsidRPr="00992199" w:rsidRDefault="003F0BC5" w:rsidP="00353B80">
      <w:pPr>
        <w:pStyle w:val="Firm5L4"/>
        <w:keepNext/>
        <w:rPr>
          <w:lang w:bidi="as-IN"/>
        </w:rPr>
      </w:pPr>
      <w:r w:rsidRPr="00992199">
        <w:rPr>
          <w:lang w:bidi="as-IN"/>
        </w:rPr>
        <w:t xml:space="preserve">Description of the most important elements of the shareholders’ agreements known to </w:t>
      </w:r>
      <w:r w:rsidR="002A1AB1">
        <w:rPr>
          <w:lang w:bidi="as-IN"/>
        </w:rPr>
        <w:t>Greenyard Foods</w:t>
      </w:r>
    </w:p>
    <w:p w:rsidR="003F0BC5" w:rsidRPr="00992199" w:rsidRDefault="002A1AB1" w:rsidP="003F0BC5">
      <w:pPr>
        <w:rPr>
          <w:szCs w:val="20"/>
          <w:lang w:bidi="as-IN"/>
        </w:rPr>
      </w:pPr>
      <w:r>
        <w:rPr>
          <w:szCs w:val="20"/>
          <w:lang w:bidi="as-IN"/>
        </w:rPr>
        <w:t>Greenyard Foods</w:t>
      </w:r>
      <w:r w:rsidR="003F0BC5" w:rsidRPr="00992199">
        <w:rPr>
          <w:szCs w:val="20"/>
          <w:lang w:bidi="as-IN"/>
        </w:rPr>
        <w:t xml:space="preserve"> is aware of a number of shareholders’ agreements concluded between Food Invest International and other shareholders.</w:t>
      </w:r>
    </w:p>
    <w:p w:rsidR="00CB5F7C" w:rsidRPr="00992199" w:rsidRDefault="00CB5F7C" w:rsidP="00CB5F7C">
      <w:pPr>
        <w:rPr>
          <w:i/>
          <w:szCs w:val="20"/>
          <w:lang w:bidi="as-IN"/>
        </w:rPr>
      </w:pPr>
      <w:r>
        <w:rPr>
          <w:i/>
          <w:szCs w:val="20"/>
          <w:lang w:bidi="as-IN"/>
        </w:rPr>
        <w:t xml:space="preserve">Coordinated Investment and Shareholders’ </w:t>
      </w:r>
      <w:r w:rsidRPr="00992199">
        <w:rPr>
          <w:i/>
          <w:szCs w:val="20"/>
          <w:lang w:bidi="as-IN"/>
        </w:rPr>
        <w:t xml:space="preserve">Agreement of 15 February 2012 between </w:t>
      </w:r>
      <w:r>
        <w:rPr>
          <w:i/>
          <w:szCs w:val="20"/>
          <w:lang w:bidi="as-IN"/>
        </w:rPr>
        <w:t>Gimv-</w:t>
      </w:r>
      <w:r w:rsidRPr="00992199">
        <w:rPr>
          <w:i/>
          <w:szCs w:val="20"/>
          <w:lang w:bidi="as-IN"/>
        </w:rPr>
        <w:t xml:space="preserve">XL, Food Invest International, </w:t>
      </w:r>
      <w:r w:rsidR="002A1AB1">
        <w:rPr>
          <w:i/>
          <w:szCs w:val="20"/>
          <w:lang w:bidi="as-IN"/>
        </w:rPr>
        <w:t>Greenyard Foods</w:t>
      </w:r>
      <w:r w:rsidRPr="00992199">
        <w:rPr>
          <w:i/>
          <w:szCs w:val="20"/>
          <w:lang w:bidi="as-IN"/>
        </w:rPr>
        <w:t xml:space="preserve">, </w:t>
      </w:r>
      <w:r w:rsidR="00334BBC">
        <w:rPr>
          <w:i/>
          <w:szCs w:val="20"/>
          <w:lang w:bidi="as-IN"/>
        </w:rPr>
        <w:t>Mr Hein Deprez</w:t>
      </w:r>
      <w:r>
        <w:rPr>
          <w:i/>
          <w:szCs w:val="20"/>
          <w:lang w:bidi="as-IN"/>
        </w:rPr>
        <w:t xml:space="preserve"> and </w:t>
      </w:r>
      <w:r w:rsidR="002A1AB1">
        <w:rPr>
          <w:i/>
          <w:szCs w:val="20"/>
          <w:lang w:bidi="as-IN"/>
        </w:rPr>
        <w:t>Greenyard Foods</w:t>
      </w:r>
      <w:r>
        <w:rPr>
          <w:i/>
          <w:szCs w:val="20"/>
          <w:lang w:bidi="as-IN"/>
        </w:rPr>
        <w:t xml:space="preserve"> as amended on 27 November 2013 and 7 April 2014</w:t>
      </w:r>
      <w:r w:rsidRPr="00992199">
        <w:rPr>
          <w:i/>
          <w:szCs w:val="20"/>
          <w:lang w:bidi="as-IN"/>
        </w:rPr>
        <w:t>.</w:t>
      </w:r>
    </w:p>
    <w:p w:rsidR="00CB5F7C" w:rsidRPr="0006304C" w:rsidRDefault="00CB5F7C" w:rsidP="00CB5F7C">
      <w:pPr>
        <w:rPr>
          <w:szCs w:val="20"/>
          <w:lang w:bidi="as-IN"/>
        </w:rPr>
      </w:pPr>
      <w:r>
        <w:rPr>
          <w:szCs w:val="20"/>
          <w:lang w:bidi="as-IN"/>
        </w:rPr>
        <w:t xml:space="preserve">On </w:t>
      </w:r>
      <w:r w:rsidRPr="00AE7ABF">
        <w:rPr>
          <w:szCs w:val="20"/>
          <w:lang w:bidi="as-IN"/>
        </w:rPr>
        <w:t>15</w:t>
      </w:r>
      <w:r>
        <w:rPr>
          <w:szCs w:val="20"/>
          <w:lang w:bidi="as-IN"/>
        </w:rPr>
        <w:t xml:space="preserve"> </w:t>
      </w:r>
      <w:r w:rsidRPr="00AE7ABF">
        <w:rPr>
          <w:szCs w:val="20"/>
          <w:lang w:bidi="as-IN"/>
        </w:rPr>
        <w:t>February 2012</w:t>
      </w:r>
      <w:r>
        <w:rPr>
          <w:szCs w:val="20"/>
          <w:lang w:bidi="as-IN"/>
        </w:rPr>
        <w:t>,</w:t>
      </w:r>
      <w:r w:rsidRPr="00AE7ABF">
        <w:rPr>
          <w:szCs w:val="20"/>
          <w:lang w:bidi="as-IN"/>
        </w:rPr>
        <w:t xml:space="preserve"> </w:t>
      </w:r>
      <w:r w:rsidRPr="0006304C">
        <w:rPr>
          <w:szCs w:val="20"/>
          <w:lang w:bidi="as-IN"/>
        </w:rPr>
        <w:t>Gimv</w:t>
      </w:r>
      <w:r>
        <w:rPr>
          <w:szCs w:val="20"/>
          <w:lang w:bidi="as-IN"/>
        </w:rPr>
        <w:t>-</w:t>
      </w:r>
      <w:r w:rsidRPr="0006304C">
        <w:rPr>
          <w:szCs w:val="20"/>
          <w:lang w:bidi="as-IN"/>
        </w:rPr>
        <w:t xml:space="preserve">XL, Food Invest </w:t>
      </w:r>
      <w:r w:rsidRPr="00537B71">
        <w:rPr>
          <w:szCs w:val="20"/>
          <w:lang w:bidi="as-IN"/>
        </w:rPr>
        <w:t xml:space="preserve">International, </w:t>
      </w:r>
      <w:r w:rsidR="00334BBC">
        <w:rPr>
          <w:szCs w:val="20"/>
          <w:lang w:bidi="as-IN"/>
        </w:rPr>
        <w:t>Mr Hein Deprez</w:t>
      </w:r>
      <w:r>
        <w:rPr>
          <w:szCs w:val="20"/>
          <w:lang w:bidi="as-IN"/>
        </w:rPr>
        <w:t xml:space="preserve"> and </w:t>
      </w:r>
      <w:r w:rsidR="002A1AB1">
        <w:rPr>
          <w:szCs w:val="20"/>
          <w:lang w:bidi="as-IN"/>
        </w:rPr>
        <w:t>Greenyard Foods</w:t>
      </w:r>
      <w:r>
        <w:rPr>
          <w:szCs w:val="20"/>
          <w:lang w:bidi="as-IN"/>
        </w:rPr>
        <w:t xml:space="preserve"> entered into a coordinated investment and shareholders’ agreement with respect to </w:t>
      </w:r>
      <w:r w:rsidR="002A1AB1">
        <w:rPr>
          <w:szCs w:val="20"/>
          <w:lang w:bidi="as-IN"/>
        </w:rPr>
        <w:t>Greenyard Foods</w:t>
      </w:r>
      <w:r>
        <w:rPr>
          <w:szCs w:val="20"/>
          <w:lang w:bidi="as-IN"/>
        </w:rPr>
        <w:t>. This agreement has been amended on</w:t>
      </w:r>
      <w:r w:rsidRPr="0006304C">
        <w:rPr>
          <w:szCs w:val="20"/>
          <w:lang w:bidi="as-IN"/>
        </w:rPr>
        <w:t xml:space="preserve"> 27 November 2013 and </w:t>
      </w:r>
      <w:r w:rsidR="00E0533C">
        <w:rPr>
          <w:szCs w:val="20"/>
          <w:lang w:bidi="as-IN"/>
        </w:rPr>
        <w:t xml:space="preserve">on </w:t>
      </w:r>
      <w:r w:rsidRPr="0006304C">
        <w:rPr>
          <w:szCs w:val="20"/>
          <w:lang w:bidi="as-IN"/>
        </w:rPr>
        <w:t>7 April 2014.</w:t>
      </w:r>
      <w:r>
        <w:rPr>
          <w:szCs w:val="20"/>
          <w:lang w:bidi="as-IN"/>
        </w:rPr>
        <w:t xml:space="preserve"> It entered into force on 15 February 2012 for a duration of ten years. This agreement shall however be terminated before its term on the earliest of the date of (i) the Gimv Warrants Exercise or (ii) completion of the Contributions by virtue of the Partial Demerger and Contribution Agreement. The parties to this agreement waived any right they may have under that agreement in connection with any of the Transactions in the Partial Demerger and Contribution Agreement.</w:t>
      </w:r>
    </w:p>
    <w:p w:rsidR="00CB5F7C" w:rsidRDefault="00CB5F7C" w:rsidP="00CB5F7C">
      <w:pPr>
        <w:rPr>
          <w:szCs w:val="20"/>
          <w:lang w:bidi="as-IN"/>
        </w:rPr>
      </w:pPr>
      <w:r w:rsidRPr="00992199">
        <w:rPr>
          <w:szCs w:val="20"/>
          <w:lang w:bidi="as-IN"/>
        </w:rPr>
        <w:t>This agreement does not</w:t>
      </w:r>
      <w:r>
        <w:rPr>
          <w:szCs w:val="20"/>
          <w:lang w:bidi="as-IN"/>
        </w:rPr>
        <w:t xml:space="preserve"> provide for any special control</w:t>
      </w:r>
      <w:r w:rsidRPr="00992199">
        <w:rPr>
          <w:szCs w:val="20"/>
          <w:lang w:bidi="as-IN"/>
        </w:rPr>
        <w:t xml:space="preserve"> rights for the parties. </w:t>
      </w:r>
      <w:r>
        <w:rPr>
          <w:szCs w:val="20"/>
          <w:lang w:bidi="as-IN"/>
        </w:rPr>
        <w:t>This shareholders’ agreement provides that the Board of Directors shall be composed of minimum three directors and maximum eleven directors. Shareholders holding a certain percentage of Shares are entitled to make a binding proposal for the appointment of board members.</w:t>
      </w:r>
    </w:p>
    <w:p w:rsidR="00CB5F7C" w:rsidRPr="00992199" w:rsidRDefault="00CB5F7C" w:rsidP="00CB5F7C">
      <w:pPr>
        <w:rPr>
          <w:szCs w:val="20"/>
          <w:lang w:bidi="as-IN"/>
        </w:rPr>
      </w:pPr>
      <w:r>
        <w:rPr>
          <w:szCs w:val="20"/>
          <w:lang w:bidi="as-IN"/>
        </w:rPr>
        <w:t xml:space="preserve">The directors appointed by Gimv-XL are entitled to the same remuneration as the other non-executive directors. At least one director appointed by Gimv-XL and one director appointed by the reference shareholders shall be appointed at each committee of the Board, except for the committees of the Board of Directors constituted in accordance with article 524 </w:t>
      </w:r>
      <w:r w:rsidR="0055687C">
        <w:rPr>
          <w:szCs w:val="20"/>
          <w:lang w:bidi="as-IN"/>
        </w:rPr>
        <w:t>BCC</w:t>
      </w:r>
      <w:r>
        <w:rPr>
          <w:szCs w:val="20"/>
          <w:lang w:bidi="as-IN"/>
        </w:rPr>
        <w:t>.</w:t>
      </w:r>
      <w:r w:rsidR="00F13D58">
        <w:rPr>
          <w:szCs w:val="20"/>
          <w:lang w:bidi="as-IN"/>
        </w:rPr>
        <w:t xml:space="preserve"> </w:t>
      </w:r>
    </w:p>
    <w:p w:rsidR="00CB5F7C" w:rsidRPr="00992199" w:rsidRDefault="00CB5F7C" w:rsidP="00CB5F7C">
      <w:pPr>
        <w:rPr>
          <w:szCs w:val="20"/>
          <w:lang w:bidi="as-IN"/>
        </w:rPr>
      </w:pPr>
      <w:r w:rsidRPr="00992199">
        <w:rPr>
          <w:szCs w:val="20"/>
          <w:lang w:bidi="as-IN"/>
        </w:rPr>
        <w:t xml:space="preserve">The shareholders’ agreement </w:t>
      </w:r>
      <w:r>
        <w:rPr>
          <w:szCs w:val="20"/>
          <w:lang w:bidi="as-IN"/>
        </w:rPr>
        <w:t>provides for</w:t>
      </w:r>
      <w:r w:rsidRPr="00992199">
        <w:rPr>
          <w:szCs w:val="20"/>
          <w:lang w:bidi="as-IN"/>
        </w:rPr>
        <w:t xml:space="preserve"> a preemption right in favour of Food Invest International and a tag-along right in favour of Gimv-XL. The following rules apply</w:t>
      </w:r>
      <w:r>
        <w:rPr>
          <w:szCs w:val="20"/>
          <w:lang w:bidi="as-IN"/>
        </w:rPr>
        <w:t xml:space="preserve"> to these rights:</w:t>
      </w:r>
    </w:p>
    <w:p w:rsidR="00CB5F7C" w:rsidRPr="00992199" w:rsidRDefault="00CB5F7C" w:rsidP="00CB5F7C">
      <w:pPr>
        <w:pStyle w:val="BulletsL1"/>
        <w:rPr>
          <w:szCs w:val="20"/>
          <w:lang w:bidi="as-IN"/>
        </w:rPr>
      </w:pPr>
      <w:r>
        <w:rPr>
          <w:szCs w:val="20"/>
          <w:lang w:bidi="as-IN"/>
        </w:rPr>
        <w:t>o</w:t>
      </w:r>
      <w:r w:rsidRPr="00992199">
        <w:rPr>
          <w:szCs w:val="20"/>
          <w:lang w:bidi="as-IN"/>
        </w:rPr>
        <w:t xml:space="preserve">n the basis of the preemption right, Gimv-XL commits itself, if it wishes to transfer at least 5% of the Shares </w:t>
      </w:r>
      <w:r>
        <w:rPr>
          <w:szCs w:val="20"/>
          <w:lang w:bidi="as-IN"/>
        </w:rPr>
        <w:t xml:space="preserve">in </w:t>
      </w:r>
      <w:r w:rsidR="002A1AB1">
        <w:rPr>
          <w:szCs w:val="20"/>
          <w:lang w:bidi="as-IN"/>
        </w:rPr>
        <w:t>Greenyard Foods</w:t>
      </w:r>
      <w:r>
        <w:rPr>
          <w:szCs w:val="20"/>
          <w:lang w:bidi="as-IN"/>
        </w:rPr>
        <w:t xml:space="preserve"> </w:t>
      </w:r>
      <w:r w:rsidRPr="00992199">
        <w:rPr>
          <w:szCs w:val="20"/>
          <w:lang w:bidi="as-IN"/>
        </w:rPr>
        <w:t>and to the extent that Food Invest International directly or indirectly still holds at least 30% of the Shares, to offer these</w:t>
      </w:r>
      <w:r>
        <w:rPr>
          <w:szCs w:val="20"/>
          <w:lang w:bidi="as-IN"/>
        </w:rPr>
        <w:t xml:space="preserve"> Shares</w:t>
      </w:r>
      <w:r w:rsidRPr="00992199">
        <w:rPr>
          <w:szCs w:val="20"/>
          <w:lang w:bidi="as-IN"/>
        </w:rPr>
        <w:t xml:space="preserve"> </w:t>
      </w:r>
      <w:r>
        <w:rPr>
          <w:szCs w:val="20"/>
          <w:lang w:bidi="as-IN"/>
        </w:rPr>
        <w:t xml:space="preserve">for sale </w:t>
      </w:r>
      <w:r w:rsidRPr="00992199">
        <w:rPr>
          <w:szCs w:val="20"/>
          <w:lang w:bidi="as-IN"/>
        </w:rPr>
        <w:t>first to Food Invest International</w:t>
      </w:r>
      <w:r>
        <w:rPr>
          <w:szCs w:val="20"/>
          <w:lang w:bidi="as-IN"/>
        </w:rPr>
        <w:t>; t</w:t>
      </w:r>
      <w:r w:rsidRPr="00992199">
        <w:rPr>
          <w:szCs w:val="20"/>
          <w:lang w:bidi="as-IN"/>
        </w:rPr>
        <w:t xml:space="preserve">he price </w:t>
      </w:r>
      <w:r>
        <w:rPr>
          <w:szCs w:val="20"/>
          <w:lang w:bidi="as-IN"/>
        </w:rPr>
        <w:t>at</w:t>
      </w:r>
      <w:r w:rsidRPr="00992199">
        <w:rPr>
          <w:szCs w:val="20"/>
          <w:lang w:bidi="as-IN"/>
        </w:rPr>
        <w:t xml:space="preserve"> which the preemption right can be exercised equals the price offered by the candidate-purchaser to the candidate-seller</w:t>
      </w:r>
      <w:r>
        <w:rPr>
          <w:szCs w:val="20"/>
          <w:lang w:bidi="as-IN"/>
        </w:rPr>
        <w:t>; t</w:t>
      </w:r>
      <w:r w:rsidRPr="00992199">
        <w:rPr>
          <w:szCs w:val="20"/>
          <w:lang w:bidi="as-IN"/>
        </w:rPr>
        <w:t>h</w:t>
      </w:r>
      <w:r>
        <w:rPr>
          <w:szCs w:val="20"/>
          <w:lang w:bidi="as-IN"/>
        </w:rPr>
        <w:t>is</w:t>
      </w:r>
      <w:r w:rsidRPr="00992199">
        <w:rPr>
          <w:szCs w:val="20"/>
          <w:lang w:bidi="as-IN"/>
        </w:rPr>
        <w:t xml:space="preserve"> preemption right </w:t>
      </w:r>
      <w:r>
        <w:rPr>
          <w:szCs w:val="20"/>
          <w:lang w:bidi="as-IN"/>
        </w:rPr>
        <w:t xml:space="preserve">originally </w:t>
      </w:r>
      <w:r w:rsidRPr="00992199">
        <w:rPr>
          <w:szCs w:val="20"/>
          <w:lang w:bidi="as-IN"/>
        </w:rPr>
        <w:t>expire</w:t>
      </w:r>
      <w:r>
        <w:rPr>
          <w:szCs w:val="20"/>
          <w:lang w:bidi="as-IN"/>
        </w:rPr>
        <w:t>d</w:t>
      </w:r>
      <w:r w:rsidRPr="00992199">
        <w:rPr>
          <w:szCs w:val="20"/>
          <w:lang w:bidi="as-IN"/>
        </w:rPr>
        <w:t xml:space="preserve"> on 15 February 2022</w:t>
      </w:r>
      <w:r>
        <w:rPr>
          <w:szCs w:val="20"/>
          <w:lang w:bidi="as-IN"/>
        </w:rPr>
        <w:t>;</w:t>
      </w:r>
    </w:p>
    <w:p w:rsidR="00CB5F7C" w:rsidRPr="00992199" w:rsidRDefault="00CB5F7C" w:rsidP="00CB5F7C">
      <w:pPr>
        <w:pStyle w:val="BulletsL1"/>
        <w:rPr>
          <w:szCs w:val="20"/>
          <w:lang w:bidi="as-IN"/>
        </w:rPr>
      </w:pPr>
      <w:r>
        <w:rPr>
          <w:szCs w:val="20"/>
          <w:lang w:bidi="as-IN"/>
        </w:rPr>
        <w:t>i</w:t>
      </w:r>
      <w:r w:rsidRPr="00992199">
        <w:rPr>
          <w:szCs w:val="20"/>
          <w:lang w:bidi="as-IN"/>
        </w:rPr>
        <w:t xml:space="preserve">n case Food Invest International proceeds to the transfer of Shares to a third party, Gimv-XL </w:t>
      </w:r>
      <w:r>
        <w:rPr>
          <w:szCs w:val="20"/>
          <w:lang w:bidi="as-IN"/>
        </w:rPr>
        <w:t>is granted</w:t>
      </w:r>
      <w:r w:rsidRPr="00992199">
        <w:rPr>
          <w:szCs w:val="20"/>
          <w:lang w:bidi="as-IN"/>
        </w:rPr>
        <w:t xml:space="preserve"> a </w:t>
      </w:r>
      <w:r>
        <w:rPr>
          <w:szCs w:val="20"/>
          <w:lang w:bidi="as-IN"/>
        </w:rPr>
        <w:t xml:space="preserve">proportional </w:t>
      </w:r>
      <w:r w:rsidRPr="00992199">
        <w:rPr>
          <w:szCs w:val="20"/>
          <w:lang w:bidi="as-IN"/>
        </w:rPr>
        <w:t xml:space="preserve">tag-along right </w:t>
      </w:r>
      <w:r>
        <w:rPr>
          <w:szCs w:val="20"/>
          <w:lang w:bidi="as-IN"/>
        </w:rPr>
        <w:t>on</w:t>
      </w:r>
      <w:r w:rsidRPr="00992199">
        <w:rPr>
          <w:szCs w:val="20"/>
          <w:lang w:bidi="as-IN"/>
        </w:rPr>
        <w:t xml:space="preserve"> its</w:t>
      </w:r>
      <w:r>
        <w:rPr>
          <w:szCs w:val="20"/>
          <w:lang w:bidi="as-IN"/>
        </w:rPr>
        <w:t xml:space="preserve"> Shares </w:t>
      </w:r>
      <w:r w:rsidRPr="00992199">
        <w:rPr>
          <w:szCs w:val="20"/>
          <w:lang w:bidi="as-IN"/>
        </w:rPr>
        <w:t xml:space="preserve">and </w:t>
      </w:r>
      <w:r>
        <w:rPr>
          <w:szCs w:val="20"/>
          <w:lang w:bidi="as-IN"/>
        </w:rPr>
        <w:t xml:space="preserve">its </w:t>
      </w:r>
      <w:r w:rsidRPr="00992199">
        <w:rPr>
          <w:szCs w:val="20"/>
          <w:lang w:bidi="as-IN"/>
        </w:rPr>
        <w:t>warrants</w:t>
      </w:r>
      <w:r>
        <w:rPr>
          <w:szCs w:val="20"/>
          <w:lang w:bidi="as-IN"/>
        </w:rPr>
        <w:t>; t</w:t>
      </w:r>
      <w:r w:rsidRPr="00992199">
        <w:rPr>
          <w:szCs w:val="20"/>
          <w:lang w:bidi="as-IN"/>
        </w:rPr>
        <w:t>h</w:t>
      </w:r>
      <w:r>
        <w:rPr>
          <w:szCs w:val="20"/>
          <w:lang w:bidi="as-IN"/>
        </w:rPr>
        <w:t>is</w:t>
      </w:r>
      <w:r w:rsidRPr="00992199">
        <w:rPr>
          <w:szCs w:val="20"/>
          <w:lang w:bidi="as-IN"/>
        </w:rPr>
        <w:t xml:space="preserve"> tag-along right can be exercised </w:t>
      </w:r>
      <w:r>
        <w:rPr>
          <w:szCs w:val="20"/>
          <w:lang w:bidi="as-IN"/>
        </w:rPr>
        <w:t>at</w:t>
      </w:r>
      <w:r w:rsidRPr="00992199">
        <w:rPr>
          <w:szCs w:val="20"/>
          <w:lang w:bidi="as-IN"/>
        </w:rPr>
        <w:t xml:space="preserve"> the </w:t>
      </w:r>
      <w:r w:rsidRPr="00992199">
        <w:rPr>
          <w:szCs w:val="20"/>
          <w:lang w:bidi="as-IN"/>
        </w:rPr>
        <w:lastRenderedPageBreak/>
        <w:t>same price and terms and conditions as these offered by the third party</w:t>
      </w:r>
      <w:r>
        <w:rPr>
          <w:szCs w:val="20"/>
          <w:lang w:bidi="as-IN"/>
        </w:rPr>
        <w:t>; t</w:t>
      </w:r>
      <w:r w:rsidRPr="00992199">
        <w:rPr>
          <w:szCs w:val="20"/>
          <w:lang w:bidi="as-IN"/>
        </w:rPr>
        <w:t>h</w:t>
      </w:r>
      <w:r>
        <w:rPr>
          <w:szCs w:val="20"/>
          <w:lang w:bidi="as-IN"/>
        </w:rPr>
        <w:t>is</w:t>
      </w:r>
      <w:r w:rsidRPr="00992199">
        <w:rPr>
          <w:szCs w:val="20"/>
          <w:lang w:bidi="as-IN"/>
        </w:rPr>
        <w:t xml:space="preserve"> tag-along right</w:t>
      </w:r>
      <w:r>
        <w:rPr>
          <w:szCs w:val="20"/>
          <w:lang w:bidi="as-IN"/>
        </w:rPr>
        <w:t xml:space="preserve"> originally</w:t>
      </w:r>
      <w:r w:rsidRPr="00992199">
        <w:rPr>
          <w:szCs w:val="20"/>
          <w:lang w:bidi="as-IN"/>
        </w:rPr>
        <w:t xml:space="preserve"> expire</w:t>
      </w:r>
      <w:r>
        <w:rPr>
          <w:szCs w:val="20"/>
          <w:lang w:bidi="as-IN"/>
        </w:rPr>
        <w:t>d</w:t>
      </w:r>
      <w:r w:rsidRPr="00992199">
        <w:rPr>
          <w:szCs w:val="20"/>
          <w:lang w:bidi="as-IN"/>
        </w:rPr>
        <w:t xml:space="preserve"> on 15 December 2022.</w:t>
      </w:r>
    </w:p>
    <w:p w:rsidR="00E0533C" w:rsidRDefault="00E0533C" w:rsidP="00E0533C">
      <w:pPr>
        <w:rPr>
          <w:szCs w:val="20"/>
          <w:lang w:bidi="as-IN"/>
        </w:rPr>
      </w:pPr>
      <w:r>
        <w:rPr>
          <w:szCs w:val="20"/>
          <w:lang w:bidi="as-IN"/>
        </w:rPr>
        <w:t xml:space="preserve">Subject to completion of the Transactions, this agreement will be terminated and replaced by the New Shareholders Agreement. </w:t>
      </w:r>
    </w:p>
    <w:p w:rsidR="00CB5F7C" w:rsidRPr="00992199" w:rsidRDefault="00CB5F7C" w:rsidP="00CB5F7C">
      <w:pPr>
        <w:rPr>
          <w:i/>
          <w:szCs w:val="20"/>
          <w:lang w:bidi="as-IN"/>
        </w:rPr>
      </w:pPr>
      <w:r w:rsidRPr="00992199">
        <w:rPr>
          <w:i/>
          <w:szCs w:val="20"/>
          <w:lang w:bidi="as-IN"/>
        </w:rPr>
        <w:t xml:space="preserve">Agreement of 15 February 2012 between Food Invest International, AIF and </w:t>
      </w:r>
      <w:r w:rsidR="002A1AB1">
        <w:rPr>
          <w:i/>
          <w:szCs w:val="20"/>
          <w:lang w:bidi="as-IN"/>
        </w:rPr>
        <w:t>Greenyard Foods</w:t>
      </w:r>
      <w:r w:rsidR="0011360E">
        <w:rPr>
          <w:i/>
          <w:szCs w:val="20"/>
          <w:lang w:bidi="as-IN"/>
        </w:rPr>
        <w:t>.</w:t>
      </w:r>
    </w:p>
    <w:p w:rsidR="00CB5F7C" w:rsidRPr="003B61D6" w:rsidRDefault="00CB5F7C" w:rsidP="00CB5F7C">
      <w:pPr>
        <w:rPr>
          <w:szCs w:val="20"/>
          <w:lang w:bidi="as-IN"/>
        </w:rPr>
      </w:pPr>
      <w:r>
        <w:rPr>
          <w:szCs w:val="20"/>
          <w:lang w:bidi="as-IN"/>
        </w:rPr>
        <w:t xml:space="preserve">On </w:t>
      </w:r>
      <w:r w:rsidRPr="00AE7ABF">
        <w:rPr>
          <w:szCs w:val="20"/>
          <w:lang w:bidi="as-IN"/>
        </w:rPr>
        <w:t>15</w:t>
      </w:r>
      <w:r>
        <w:rPr>
          <w:szCs w:val="20"/>
          <w:lang w:bidi="as-IN"/>
        </w:rPr>
        <w:t xml:space="preserve"> </w:t>
      </w:r>
      <w:r w:rsidRPr="00AE7ABF">
        <w:rPr>
          <w:szCs w:val="20"/>
          <w:lang w:bidi="as-IN"/>
        </w:rPr>
        <w:t xml:space="preserve">February 2012 </w:t>
      </w:r>
      <w:r w:rsidRPr="003B61D6">
        <w:rPr>
          <w:szCs w:val="20"/>
          <w:lang w:bidi="as-IN"/>
        </w:rPr>
        <w:t xml:space="preserve">Food Invest </w:t>
      </w:r>
      <w:r w:rsidRPr="00537B71">
        <w:rPr>
          <w:szCs w:val="20"/>
          <w:lang w:bidi="as-IN"/>
        </w:rPr>
        <w:t xml:space="preserve">International, </w:t>
      </w:r>
      <w:r>
        <w:rPr>
          <w:szCs w:val="20"/>
          <w:lang w:bidi="as-IN"/>
        </w:rPr>
        <w:t xml:space="preserve">AIF and </w:t>
      </w:r>
      <w:r w:rsidR="002A1AB1">
        <w:rPr>
          <w:szCs w:val="20"/>
          <w:lang w:bidi="as-IN"/>
        </w:rPr>
        <w:t>Greenyard Foods</w:t>
      </w:r>
      <w:r>
        <w:rPr>
          <w:szCs w:val="20"/>
          <w:lang w:bidi="as-IN"/>
        </w:rPr>
        <w:t xml:space="preserve"> entered into a shareholders’ agreement with respect to </w:t>
      </w:r>
      <w:r w:rsidR="002A1AB1">
        <w:rPr>
          <w:szCs w:val="20"/>
          <w:lang w:bidi="as-IN"/>
        </w:rPr>
        <w:t>Greenyard Foods</w:t>
      </w:r>
      <w:r>
        <w:rPr>
          <w:szCs w:val="20"/>
          <w:lang w:bidi="as-IN"/>
        </w:rPr>
        <w:t>. This agreement entered into force on 15 February 2012 for a duration of ten years. This agreement shall however be terminated before its term on the date of completion of the Contributions by virtue of the Partial Demerger and Contribution Agreement. The parties to this agreement waived any right they may have under that agreement in connection with any of the Transactions in the Partial Demerger and Contribution Agreement.</w:t>
      </w:r>
    </w:p>
    <w:p w:rsidR="00CB5F7C" w:rsidRDefault="00CB5F7C" w:rsidP="00CB5F7C">
      <w:pPr>
        <w:rPr>
          <w:szCs w:val="20"/>
          <w:lang w:bidi="as-IN"/>
        </w:rPr>
      </w:pPr>
      <w:r>
        <w:rPr>
          <w:szCs w:val="20"/>
          <w:lang w:bidi="as-IN"/>
        </w:rPr>
        <w:t xml:space="preserve">This agreement provides that AIF has the right to make a binding proposal for the appointment of a board member for so long as it holds at least 5% of the Shares. This board member shall be entitled to be appointed in the Strategic Committee of </w:t>
      </w:r>
      <w:r w:rsidR="002A1AB1">
        <w:rPr>
          <w:szCs w:val="20"/>
          <w:lang w:bidi="as-IN"/>
        </w:rPr>
        <w:t>Greenyard Foods</w:t>
      </w:r>
      <w:r>
        <w:rPr>
          <w:szCs w:val="20"/>
          <w:lang w:bidi="as-IN"/>
        </w:rPr>
        <w:t xml:space="preserve">. </w:t>
      </w:r>
    </w:p>
    <w:p w:rsidR="00CB5F7C" w:rsidRPr="00992199" w:rsidRDefault="00CB5F7C" w:rsidP="00CB5F7C">
      <w:pPr>
        <w:rPr>
          <w:szCs w:val="20"/>
          <w:lang w:bidi="as-IN"/>
        </w:rPr>
      </w:pPr>
      <w:r w:rsidRPr="00992199">
        <w:rPr>
          <w:szCs w:val="20"/>
          <w:lang w:bidi="as-IN"/>
        </w:rPr>
        <w:t>This agreement does not</w:t>
      </w:r>
      <w:r>
        <w:rPr>
          <w:szCs w:val="20"/>
          <w:lang w:bidi="as-IN"/>
        </w:rPr>
        <w:t xml:space="preserve"> provide for any special control</w:t>
      </w:r>
      <w:r w:rsidRPr="00992199">
        <w:rPr>
          <w:szCs w:val="20"/>
          <w:lang w:bidi="as-IN"/>
        </w:rPr>
        <w:t xml:space="preserve"> rights for the parties. The shareholders’ agreement </w:t>
      </w:r>
      <w:r>
        <w:rPr>
          <w:szCs w:val="20"/>
          <w:lang w:bidi="as-IN"/>
        </w:rPr>
        <w:t>provides for</w:t>
      </w:r>
      <w:r w:rsidRPr="00992199">
        <w:rPr>
          <w:szCs w:val="20"/>
          <w:lang w:bidi="as-IN"/>
        </w:rPr>
        <w:t xml:space="preserve"> both a preemption right in favour of Food Invest International and AIF and a tag-along right in favour of AIF:</w:t>
      </w:r>
    </w:p>
    <w:p w:rsidR="00CB5F7C" w:rsidRPr="00992199" w:rsidRDefault="00CB5F7C" w:rsidP="00CB5F7C">
      <w:pPr>
        <w:pStyle w:val="BulletsL1"/>
        <w:rPr>
          <w:szCs w:val="20"/>
          <w:lang w:bidi="as-IN"/>
        </w:rPr>
      </w:pPr>
      <w:r>
        <w:rPr>
          <w:szCs w:val="20"/>
          <w:lang w:bidi="as-IN"/>
        </w:rPr>
        <w:t>b</w:t>
      </w:r>
      <w:r w:rsidRPr="00992199">
        <w:rPr>
          <w:szCs w:val="20"/>
          <w:lang w:bidi="as-IN"/>
        </w:rPr>
        <w:t xml:space="preserve">ased on the preemption right, Food Invest International and AIF commit to first offer its Shares in </w:t>
      </w:r>
      <w:r w:rsidR="002A1AB1">
        <w:rPr>
          <w:szCs w:val="20"/>
          <w:lang w:bidi="as-IN"/>
        </w:rPr>
        <w:t>Greenyard Foods</w:t>
      </w:r>
      <w:r w:rsidRPr="00992199">
        <w:rPr>
          <w:szCs w:val="20"/>
          <w:lang w:bidi="as-IN"/>
        </w:rPr>
        <w:t xml:space="preserve"> to each other in case they w</w:t>
      </w:r>
      <w:r>
        <w:rPr>
          <w:szCs w:val="20"/>
          <w:lang w:bidi="as-IN"/>
        </w:rPr>
        <w:t xml:space="preserve">ish to transfer all their </w:t>
      </w:r>
      <w:r w:rsidRPr="00992199">
        <w:rPr>
          <w:szCs w:val="20"/>
          <w:lang w:bidi="as-IN"/>
        </w:rPr>
        <w:t>Shares to a candidate purchaser</w:t>
      </w:r>
      <w:r>
        <w:rPr>
          <w:szCs w:val="20"/>
          <w:lang w:bidi="as-IN"/>
        </w:rPr>
        <w:t>; t</w:t>
      </w:r>
      <w:r w:rsidRPr="00992199">
        <w:rPr>
          <w:szCs w:val="20"/>
          <w:lang w:bidi="as-IN"/>
        </w:rPr>
        <w:t>he price against which the preemption right can be exercised equals the price offered by the candidate-purchaser to the candidate-seller.</w:t>
      </w:r>
      <w:r w:rsidRPr="00F60F4E">
        <w:rPr>
          <w:szCs w:val="20"/>
          <w:lang w:bidi="as-IN"/>
        </w:rPr>
        <w:t xml:space="preserve"> </w:t>
      </w:r>
      <w:r w:rsidRPr="00992199">
        <w:rPr>
          <w:szCs w:val="20"/>
          <w:lang w:bidi="as-IN"/>
        </w:rPr>
        <w:t xml:space="preserve">The preemption right </w:t>
      </w:r>
      <w:r>
        <w:rPr>
          <w:szCs w:val="20"/>
          <w:lang w:bidi="as-IN"/>
        </w:rPr>
        <w:t xml:space="preserve">originally </w:t>
      </w:r>
      <w:r w:rsidRPr="00992199">
        <w:rPr>
          <w:szCs w:val="20"/>
          <w:lang w:bidi="as-IN"/>
        </w:rPr>
        <w:t>expire</w:t>
      </w:r>
      <w:r>
        <w:rPr>
          <w:szCs w:val="20"/>
          <w:lang w:bidi="as-IN"/>
        </w:rPr>
        <w:t>d</w:t>
      </w:r>
      <w:r w:rsidRPr="00992199">
        <w:rPr>
          <w:szCs w:val="20"/>
          <w:lang w:bidi="as-IN"/>
        </w:rPr>
        <w:t xml:space="preserve"> on 15</w:t>
      </w:r>
      <w:r>
        <w:rPr>
          <w:szCs w:val="20"/>
          <w:lang w:bidi="as-IN"/>
        </w:rPr>
        <w:t xml:space="preserve"> </w:t>
      </w:r>
      <w:r w:rsidRPr="00992199">
        <w:rPr>
          <w:szCs w:val="20"/>
          <w:lang w:bidi="as-IN"/>
        </w:rPr>
        <w:t>February 2022.</w:t>
      </w:r>
    </w:p>
    <w:p w:rsidR="00CB5F7C" w:rsidRPr="00992199" w:rsidRDefault="00CB5F7C" w:rsidP="00CB5F7C">
      <w:pPr>
        <w:pStyle w:val="BulletsL1"/>
        <w:rPr>
          <w:szCs w:val="20"/>
          <w:lang w:bidi="as-IN"/>
        </w:rPr>
      </w:pPr>
      <w:r>
        <w:rPr>
          <w:szCs w:val="20"/>
          <w:lang w:bidi="as-IN"/>
        </w:rPr>
        <w:t>b</w:t>
      </w:r>
      <w:r w:rsidRPr="00992199">
        <w:rPr>
          <w:szCs w:val="20"/>
          <w:lang w:bidi="as-IN"/>
        </w:rPr>
        <w:t xml:space="preserve">ased on the tag-along right, AIF has, to the extent it does not exercise its preemption right, the right to sell along its Shares to the third party acquiring all or the majority of the Shares </w:t>
      </w:r>
      <w:r>
        <w:rPr>
          <w:szCs w:val="20"/>
          <w:lang w:bidi="as-IN"/>
        </w:rPr>
        <w:t xml:space="preserve">held by </w:t>
      </w:r>
      <w:r w:rsidRPr="00992199">
        <w:rPr>
          <w:szCs w:val="20"/>
          <w:lang w:bidi="as-IN"/>
        </w:rPr>
        <w:t xml:space="preserve">Food Invest </w:t>
      </w:r>
      <w:r>
        <w:rPr>
          <w:szCs w:val="20"/>
          <w:lang w:bidi="as-IN"/>
        </w:rPr>
        <w:t xml:space="preserve">International </w:t>
      </w:r>
      <w:r w:rsidRPr="00992199">
        <w:rPr>
          <w:szCs w:val="20"/>
          <w:lang w:bidi="as-IN"/>
        </w:rPr>
        <w:t xml:space="preserve">in </w:t>
      </w:r>
      <w:r w:rsidR="002A1AB1">
        <w:rPr>
          <w:szCs w:val="20"/>
          <w:lang w:bidi="as-IN"/>
        </w:rPr>
        <w:t>Greenyard Foods</w:t>
      </w:r>
      <w:r>
        <w:rPr>
          <w:szCs w:val="20"/>
          <w:lang w:bidi="as-IN"/>
        </w:rPr>
        <w:t>; t</w:t>
      </w:r>
      <w:r w:rsidRPr="00992199">
        <w:rPr>
          <w:szCs w:val="20"/>
          <w:lang w:bidi="as-IN"/>
        </w:rPr>
        <w:t>h</w:t>
      </w:r>
      <w:r>
        <w:rPr>
          <w:szCs w:val="20"/>
          <w:lang w:bidi="as-IN"/>
        </w:rPr>
        <w:t>is</w:t>
      </w:r>
      <w:r w:rsidRPr="00992199">
        <w:rPr>
          <w:szCs w:val="20"/>
          <w:lang w:bidi="as-IN"/>
        </w:rPr>
        <w:t xml:space="preserve"> tag-along right can be exercised against the same price and terms and conditions as these offered by the third party</w:t>
      </w:r>
      <w:r>
        <w:rPr>
          <w:szCs w:val="20"/>
          <w:lang w:bidi="as-IN"/>
        </w:rPr>
        <w:t>; t</w:t>
      </w:r>
      <w:r w:rsidRPr="00992199">
        <w:rPr>
          <w:szCs w:val="20"/>
          <w:lang w:bidi="as-IN"/>
        </w:rPr>
        <w:t xml:space="preserve">he tag along right </w:t>
      </w:r>
      <w:r>
        <w:rPr>
          <w:szCs w:val="20"/>
          <w:lang w:bidi="as-IN"/>
        </w:rPr>
        <w:t xml:space="preserve">originally </w:t>
      </w:r>
      <w:r w:rsidRPr="00992199">
        <w:rPr>
          <w:szCs w:val="20"/>
          <w:lang w:bidi="as-IN"/>
        </w:rPr>
        <w:t>expire</w:t>
      </w:r>
      <w:r>
        <w:rPr>
          <w:szCs w:val="20"/>
          <w:lang w:bidi="as-IN"/>
        </w:rPr>
        <w:t>d</w:t>
      </w:r>
      <w:r w:rsidRPr="00992199">
        <w:rPr>
          <w:szCs w:val="20"/>
          <w:lang w:bidi="as-IN"/>
        </w:rPr>
        <w:t xml:space="preserve"> on 15 February 2022.</w:t>
      </w:r>
    </w:p>
    <w:p w:rsidR="00CB5F7C" w:rsidRDefault="00CB5F7C" w:rsidP="00CB5F7C">
      <w:pPr>
        <w:rPr>
          <w:szCs w:val="20"/>
          <w:lang w:bidi="as-IN"/>
        </w:rPr>
      </w:pPr>
      <w:r w:rsidRPr="00992199">
        <w:rPr>
          <w:szCs w:val="20"/>
          <w:lang w:bidi="as-IN"/>
        </w:rPr>
        <w:t xml:space="preserve">The shareholders’ agreement provides for a </w:t>
      </w:r>
      <w:r>
        <w:rPr>
          <w:szCs w:val="20"/>
          <w:lang w:bidi="as-IN"/>
        </w:rPr>
        <w:t>lock-up undertaking by</w:t>
      </w:r>
      <w:r w:rsidRPr="00992199">
        <w:rPr>
          <w:szCs w:val="20"/>
          <w:lang w:bidi="as-IN"/>
        </w:rPr>
        <w:t xml:space="preserve"> AIF expiring on 1 December 2017.</w:t>
      </w:r>
    </w:p>
    <w:p w:rsidR="00E0533C" w:rsidRPr="00992199" w:rsidRDefault="00E0533C" w:rsidP="00E0533C">
      <w:pPr>
        <w:rPr>
          <w:szCs w:val="20"/>
          <w:lang w:bidi="as-IN"/>
        </w:rPr>
      </w:pPr>
      <w:r>
        <w:rPr>
          <w:szCs w:val="20"/>
          <w:lang w:bidi="as-IN"/>
        </w:rPr>
        <w:t xml:space="preserve">Subject to completion of the Transaction, this agreement will be terminated and replaced by the New Shareholders Agreement. </w:t>
      </w:r>
    </w:p>
    <w:p w:rsidR="00CB5F7C" w:rsidRPr="00992199" w:rsidRDefault="00CB5F7C" w:rsidP="00CB5F7C">
      <w:pPr>
        <w:rPr>
          <w:i/>
          <w:szCs w:val="20"/>
          <w:lang w:bidi="as-IN"/>
        </w:rPr>
      </w:pPr>
      <w:r w:rsidRPr="00992199">
        <w:rPr>
          <w:i/>
          <w:szCs w:val="20"/>
          <w:lang w:bidi="as-IN"/>
        </w:rPr>
        <w:t xml:space="preserve">Agreements of 30 August 2013 between Food Invest International, Deprez Holding, 2D NV and </w:t>
      </w:r>
      <w:r w:rsidR="00334BBC">
        <w:rPr>
          <w:i/>
          <w:szCs w:val="20"/>
          <w:lang w:bidi="as-IN"/>
        </w:rPr>
        <w:t>Mr Hein Deprez</w:t>
      </w:r>
      <w:r w:rsidRPr="00992199">
        <w:rPr>
          <w:i/>
          <w:szCs w:val="20"/>
          <w:lang w:bidi="as-IN"/>
        </w:rPr>
        <w:t xml:space="preserve"> on the one hand and UFM on the other hand.</w:t>
      </w:r>
    </w:p>
    <w:p w:rsidR="00CB5F7C" w:rsidRPr="00992199" w:rsidRDefault="00CB5F7C" w:rsidP="00CB5F7C">
      <w:pPr>
        <w:rPr>
          <w:szCs w:val="20"/>
          <w:lang w:bidi="as-IN"/>
        </w:rPr>
      </w:pPr>
      <w:r w:rsidRPr="00992199">
        <w:rPr>
          <w:szCs w:val="20"/>
          <w:lang w:bidi="as-IN"/>
        </w:rPr>
        <w:t>These agreements do not provide for any special</w:t>
      </w:r>
      <w:r w:rsidR="00334BBC">
        <w:rPr>
          <w:szCs w:val="20"/>
          <w:lang w:bidi="as-IN"/>
        </w:rPr>
        <w:t xml:space="preserve"> control</w:t>
      </w:r>
      <w:r w:rsidRPr="00992199">
        <w:rPr>
          <w:szCs w:val="20"/>
          <w:lang w:bidi="as-IN"/>
        </w:rPr>
        <w:t xml:space="preserve"> rights for the parties.</w:t>
      </w:r>
    </w:p>
    <w:p w:rsidR="00CB5F7C" w:rsidRPr="00992199" w:rsidRDefault="00CB5F7C" w:rsidP="00CB5F7C">
      <w:pPr>
        <w:rPr>
          <w:szCs w:val="20"/>
          <w:lang w:bidi="as-IN"/>
        </w:rPr>
      </w:pPr>
      <w:r w:rsidRPr="00992199">
        <w:rPr>
          <w:szCs w:val="20"/>
          <w:lang w:bidi="as-IN"/>
        </w:rPr>
        <w:t>The agreements comprise a call option in favour of Deprez Holding / Food Invest International and a put option in favour of UFM for the 642,441 Shares it holds.</w:t>
      </w:r>
    </w:p>
    <w:p w:rsidR="00CB5F7C" w:rsidRPr="00992199" w:rsidRDefault="00CB5F7C" w:rsidP="00CB5F7C">
      <w:pPr>
        <w:ind w:left="720" w:hanging="720"/>
        <w:rPr>
          <w:szCs w:val="20"/>
          <w:lang w:bidi="as-IN"/>
        </w:rPr>
      </w:pPr>
      <w:r w:rsidRPr="00992199">
        <w:rPr>
          <w:szCs w:val="20"/>
          <w:lang w:bidi="as-IN"/>
        </w:rPr>
        <w:t>(a)</w:t>
      </w:r>
      <w:r w:rsidRPr="00992199">
        <w:rPr>
          <w:rFonts w:eastAsia="Calibri"/>
          <w:szCs w:val="20"/>
          <w:lang w:bidi="as-IN"/>
        </w:rPr>
        <w:tab/>
      </w:r>
      <w:r w:rsidRPr="00992199">
        <w:rPr>
          <w:szCs w:val="20"/>
          <w:lang w:bidi="as-IN"/>
        </w:rPr>
        <w:t>UFM commits itself to sell its 642,441 Shares to Deprez Holding / Food Invest International upon exercise by Deprez Holding / Food Invest International of their call option. The call option can be exercised from 1 August 2013 until 31 July 2017.</w:t>
      </w:r>
    </w:p>
    <w:p w:rsidR="00CB5F7C" w:rsidRPr="00992199" w:rsidRDefault="00CB5F7C" w:rsidP="00CB5F7C">
      <w:pPr>
        <w:ind w:left="720" w:hanging="720"/>
        <w:rPr>
          <w:szCs w:val="20"/>
          <w:lang w:bidi="as-IN"/>
        </w:rPr>
      </w:pPr>
      <w:r w:rsidRPr="00992199">
        <w:rPr>
          <w:szCs w:val="20"/>
          <w:lang w:bidi="as-IN"/>
        </w:rPr>
        <w:t>(b)</w:t>
      </w:r>
      <w:r w:rsidRPr="00992199">
        <w:rPr>
          <w:szCs w:val="20"/>
          <w:lang w:bidi="as-IN"/>
        </w:rPr>
        <w:tab/>
        <w:t>Deprez Holding / Food Invest International commit themselves to buy the 642,441 Shares held by UFM upon exercise by UFM of its put option. The put option can be exercised from 1 August 2017 until 1 August 2018.</w:t>
      </w:r>
    </w:p>
    <w:p w:rsidR="003F0BC5" w:rsidRPr="00992199" w:rsidRDefault="003F0BC5" w:rsidP="00353B80">
      <w:pPr>
        <w:pStyle w:val="Firm5L3"/>
        <w:keepNext/>
      </w:pPr>
      <w:r w:rsidRPr="00992199">
        <w:t>Corporate purpose</w:t>
      </w:r>
    </w:p>
    <w:p w:rsidR="003F0BC5" w:rsidRPr="00992199" w:rsidRDefault="003F0BC5" w:rsidP="003F0BC5">
      <w:pPr>
        <w:rPr>
          <w:szCs w:val="20"/>
        </w:rPr>
      </w:pPr>
      <w:r w:rsidRPr="00992199">
        <w:rPr>
          <w:szCs w:val="20"/>
          <w:lang w:eastAsia="en-GB"/>
        </w:rPr>
        <w:t xml:space="preserve">Article 3 of the </w:t>
      </w:r>
      <w:r w:rsidR="005926B8" w:rsidRPr="00992199">
        <w:rPr>
          <w:szCs w:val="20"/>
          <w:lang w:eastAsia="en-GB"/>
        </w:rPr>
        <w:t xml:space="preserve">Articles </w:t>
      </w:r>
      <w:r w:rsidRPr="00992199">
        <w:rPr>
          <w:szCs w:val="20"/>
          <w:lang w:eastAsia="en-GB"/>
        </w:rPr>
        <w:t xml:space="preserve">of </w:t>
      </w:r>
      <w:r w:rsidR="005926B8" w:rsidRPr="00992199">
        <w:rPr>
          <w:szCs w:val="20"/>
          <w:lang w:eastAsia="en-GB"/>
        </w:rPr>
        <w:t xml:space="preserve">Association </w:t>
      </w:r>
      <w:r w:rsidRPr="00992199">
        <w:rPr>
          <w:szCs w:val="20"/>
          <w:lang w:eastAsia="en-GB"/>
        </w:rPr>
        <w:t xml:space="preserve">of </w:t>
      </w:r>
      <w:r w:rsidR="002A1AB1">
        <w:rPr>
          <w:szCs w:val="20"/>
          <w:lang w:eastAsia="en-GB"/>
        </w:rPr>
        <w:t>Greenyard Foods</w:t>
      </w:r>
      <w:r w:rsidRPr="00992199">
        <w:rPr>
          <w:szCs w:val="20"/>
          <w:lang w:eastAsia="en-GB"/>
        </w:rPr>
        <w:t xml:space="preserve"> provides that:</w:t>
      </w:r>
    </w:p>
    <w:p w:rsidR="003F0BC5" w:rsidRPr="00992199" w:rsidRDefault="00BF553B" w:rsidP="003F0BC5">
      <w:pPr>
        <w:rPr>
          <w:i/>
          <w:szCs w:val="20"/>
        </w:rPr>
      </w:pPr>
      <w:r>
        <w:rPr>
          <w:i/>
          <w:szCs w:val="20"/>
          <w:lang w:eastAsia="en-GB"/>
        </w:rPr>
        <w:t>“</w:t>
      </w:r>
      <w:r w:rsidR="002A1AB1">
        <w:rPr>
          <w:i/>
          <w:szCs w:val="20"/>
          <w:lang w:eastAsia="en-GB"/>
        </w:rPr>
        <w:t>Greenyard Foods</w:t>
      </w:r>
      <w:r w:rsidR="003F0BC5" w:rsidRPr="00992199">
        <w:rPr>
          <w:i/>
          <w:szCs w:val="20"/>
          <w:lang w:eastAsia="en-GB"/>
        </w:rPr>
        <w:t xml:space="preserve"> has as its purpose, in Belgium and abroad, the purchase, sale, wholesale and retail and manufacture of any type of food product, household products including the freezing, canning, and treatment for storage of these goods and products, as well as the renting of deep freezers to third parties.</w:t>
      </w:r>
    </w:p>
    <w:p w:rsidR="003F0BC5" w:rsidRPr="00992199" w:rsidRDefault="003F0BC5" w:rsidP="003F0BC5">
      <w:pPr>
        <w:rPr>
          <w:i/>
          <w:szCs w:val="20"/>
        </w:rPr>
      </w:pPr>
      <w:r w:rsidRPr="00992199">
        <w:rPr>
          <w:i/>
          <w:szCs w:val="20"/>
          <w:lang w:eastAsia="en-GB"/>
        </w:rPr>
        <w:t>The purchase, sale, wholesale and retail, import and export of all seeds and the performance of agricultural work for third parties.</w:t>
      </w:r>
    </w:p>
    <w:p w:rsidR="003F0BC5" w:rsidRPr="00992199" w:rsidRDefault="002A1AB1" w:rsidP="003F0BC5">
      <w:pPr>
        <w:rPr>
          <w:i/>
          <w:szCs w:val="20"/>
        </w:rPr>
      </w:pPr>
      <w:r>
        <w:rPr>
          <w:i/>
          <w:szCs w:val="20"/>
          <w:lang w:eastAsia="en-GB"/>
        </w:rPr>
        <w:t>Greenyard Foods</w:t>
      </w:r>
      <w:r w:rsidR="003F0BC5" w:rsidRPr="00992199">
        <w:rPr>
          <w:i/>
          <w:szCs w:val="20"/>
          <w:lang w:eastAsia="en-GB"/>
        </w:rPr>
        <w:t xml:space="preserve"> may acquire, lease or let for lease, manufacture, transfer or trade in all moveable or real property, equipment and required materials, and in general conduct all commercial industrial or financial transactions related directly or indirectly to its purpose, including subcontracting in general and the </w:t>
      </w:r>
      <w:r w:rsidR="003F0BC5" w:rsidRPr="00992199">
        <w:rPr>
          <w:i/>
          <w:szCs w:val="20"/>
          <w:lang w:eastAsia="en-GB"/>
        </w:rPr>
        <w:lastRenderedPageBreak/>
        <w:t>exploitation of all intellectual rights and industrial or commercial possessions related thereunto. It may acquire any moveable property as investments, even if these are neither directly nor indirectly related to its purpose.</w:t>
      </w:r>
    </w:p>
    <w:p w:rsidR="003F0BC5" w:rsidRPr="00992199" w:rsidRDefault="002A1AB1" w:rsidP="003F0BC5">
      <w:pPr>
        <w:rPr>
          <w:szCs w:val="20"/>
        </w:rPr>
      </w:pPr>
      <w:r>
        <w:rPr>
          <w:i/>
          <w:szCs w:val="20"/>
          <w:lang w:eastAsia="en-GB"/>
        </w:rPr>
        <w:t>Greenyard Foods</w:t>
      </w:r>
      <w:r w:rsidR="003F0BC5" w:rsidRPr="00992199">
        <w:rPr>
          <w:i/>
          <w:szCs w:val="20"/>
          <w:lang w:eastAsia="en-GB"/>
        </w:rPr>
        <w:t xml:space="preserve"> may exercise the management and supervision and control of all related companies with which there exists some association through investment, and may make loans of any form and term to the latter. It may take a participation in all present or future corporations or companies in Belgium and abroad, the corporate purpose of which is identical, similar, or related to its own or is of such a nature as to promote its own purpose, whether through contribution in cash or kind, merger, subscription, participation, financial mediation, or in some other manner. This list is exemplary and non-exhaustive. </w:t>
      </w:r>
      <w:r>
        <w:rPr>
          <w:i/>
          <w:szCs w:val="20"/>
          <w:lang w:eastAsia="en-GB"/>
        </w:rPr>
        <w:t>Greenyard Foods</w:t>
      </w:r>
      <w:r w:rsidR="003F0BC5" w:rsidRPr="00992199">
        <w:rPr>
          <w:i/>
          <w:szCs w:val="20"/>
          <w:lang w:eastAsia="en-GB"/>
        </w:rPr>
        <w:t xml:space="preserve"> can, furthermore, undertake everything that directly or indirectly can contribute to the realisation of its purposes in the broadest sense.</w:t>
      </w:r>
      <w:r w:rsidR="00BF553B">
        <w:rPr>
          <w:i/>
          <w:szCs w:val="20"/>
          <w:lang w:eastAsia="en-GB"/>
        </w:rPr>
        <w:t>”</w:t>
      </w:r>
    </w:p>
    <w:p w:rsidR="003F0BC5" w:rsidRPr="00992199" w:rsidRDefault="003F0BC5" w:rsidP="00353B80">
      <w:pPr>
        <w:pStyle w:val="Firm5L3"/>
        <w:keepNext/>
      </w:pPr>
      <w:r w:rsidRPr="00992199">
        <w:t>Business overview and principal activities and markets</w:t>
      </w:r>
    </w:p>
    <w:p w:rsidR="003F0BC5" w:rsidRPr="00992199" w:rsidRDefault="00C95087" w:rsidP="003F0BC5">
      <w:pPr>
        <w:rPr>
          <w:szCs w:val="20"/>
        </w:rPr>
      </w:pPr>
      <w:r>
        <w:rPr>
          <w:szCs w:val="20"/>
        </w:rPr>
        <w:t>T</w:t>
      </w:r>
      <w:r w:rsidRPr="00C95087">
        <w:rPr>
          <w:szCs w:val="20"/>
        </w:rPr>
        <w:t xml:space="preserve">he Greenyard Foods Group </w:t>
      </w:r>
      <w:r w:rsidR="003F0BC5" w:rsidRPr="00992199">
        <w:rPr>
          <w:szCs w:val="20"/>
        </w:rPr>
        <w:t xml:space="preserve">is a leading processor of harvest-fresh </w:t>
      </w:r>
      <w:r w:rsidR="00FE467C">
        <w:rPr>
          <w:szCs w:val="20"/>
        </w:rPr>
        <w:t>fruit</w:t>
      </w:r>
      <w:r w:rsidR="00FE467C" w:rsidRPr="00FE467C">
        <w:rPr>
          <w:szCs w:val="20"/>
        </w:rPr>
        <w:t xml:space="preserve"> and vegetables</w:t>
      </w:r>
      <w:r w:rsidR="003F0BC5" w:rsidRPr="00992199">
        <w:rPr>
          <w:szCs w:val="20"/>
        </w:rPr>
        <w:t xml:space="preserve"> with a long shelf life, being </w:t>
      </w:r>
      <w:r w:rsidR="00BF553B">
        <w:rPr>
          <w:szCs w:val="20"/>
        </w:rPr>
        <w:t>“</w:t>
      </w:r>
      <w:r w:rsidR="003F0BC5" w:rsidRPr="00992199">
        <w:rPr>
          <w:szCs w:val="20"/>
        </w:rPr>
        <w:t xml:space="preserve">prepared </w:t>
      </w:r>
      <w:r w:rsidR="00FE467C">
        <w:rPr>
          <w:szCs w:val="20"/>
        </w:rPr>
        <w:t>fruit</w:t>
      </w:r>
      <w:r w:rsidR="00FE467C" w:rsidRPr="00FE467C">
        <w:rPr>
          <w:szCs w:val="20"/>
        </w:rPr>
        <w:t xml:space="preserve"> and vegetables</w:t>
      </w:r>
      <w:r w:rsidR="00BF553B">
        <w:rPr>
          <w:szCs w:val="20"/>
        </w:rPr>
        <w:t>”</w:t>
      </w:r>
      <w:r w:rsidR="003F0BC5" w:rsidRPr="00992199">
        <w:rPr>
          <w:szCs w:val="20"/>
        </w:rPr>
        <w:t xml:space="preserve">. These are produced and commercialised on the one hand by (i) the </w:t>
      </w:r>
      <w:r w:rsidRPr="00992199">
        <w:rPr>
          <w:szCs w:val="20"/>
        </w:rPr>
        <w:t xml:space="preserve">Frozen Division </w:t>
      </w:r>
      <w:r w:rsidR="003F0BC5" w:rsidRPr="00992199">
        <w:rPr>
          <w:szCs w:val="20"/>
        </w:rPr>
        <w:t xml:space="preserve">of </w:t>
      </w:r>
      <w:r w:rsidRPr="00992199">
        <w:rPr>
          <w:szCs w:val="20"/>
          <w:lang w:bidi="as-IN"/>
        </w:rPr>
        <w:t xml:space="preserve">the </w:t>
      </w:r>
      <w:r>
        <w:rPr>
          <w:szCs w:val="20"/>
          <w:lang w:bidi="as-IN"/>
        </w:rPr>
        <w:t>Greenyard Foods</w:t>
      </w:r>
      <w:r w:rsidRPr="00992199">
        <w:rPr>
          <w:szCs w:val="20"/>
          <w:lang w:bidi="as-IN"/>
        </w:rPr>
        <w:t xml:space="preserve"> Group</w:t>
      </w:r>
      <w:r w:rsidR="00E0533C">
        <w:rPr>
          <w:szCs w:val="20"/>
          <w:lang w:bidi="as-IN"/>
        </w:rPr>
        <w:t>,</w:t>
      </w:r>
      <w:r w:rsidR="003F0BC5" w:rsidRPr="00992199">
        <w:rPr>
          <w:szCs w:val="20"/>
        </w:rPr>
        <w:t xml:space="preserve"> also known as </w:t>
      </w:r>
      <w:r w:rsidR="00BF553B">
        <w:rPr>
          <w:szCs w:val="20"/>
        </w:rPr>
        <w:t>“</w:t>
      </w:r>
      <w:r w:rsidR="003F0BC5" w:rsidRPr="00992199">
        <w:rPr>
          <w:szCs w:val="20"/>
        </w:rPr>
        <w:t>Pinguin</w:t>
      </w:r>
      <w:r w:rsidR="00BF553B">
        <w:rPr>
          <w:szCs w:val="20"/>
        </w:rPr>
        <w:t>”</w:t>
      </w:r>
      <w:r w:rsidR="003F0BC5" w:rsidRPr="00992199">
        <w:rPr>
          <w:szCs w:val="20"/>
        </w:rPr>
        <w:t xml:space="preserve">, specialised in the production of frozen vegetables and ready-to-use vegetable preparations, and on the other hand by (ii) the </w:t>
      </w:r>
      <w:r w:rsidRPr="00992199">
        <w:rPr>
          <w:szCs w:val="20"/>
        </w:rPr>
        <w:t xml:space="preserve">Canning Division </w:t>
      </w:r>
      <w:r w:rsidR="003F0BC5" w:rsidRPr="00992199">
        <w:rPr>
          <w:szCs w:val="20"/>
        </w:rPr>
        <w:t xml:space="preserve">of </w:t>
      </w:r>
      <w:r w:rsidRPr="00992199">
        <w:rPr>
          <w:szCs w:val="20"/>
          <w:lang w:bidi="as-IN"/>
        </w:rPr>
        <w:t xml:space="preserve">the </w:t>
      </w:r>
      <w:r>
        <w:rPr>
          <w:szCs w:val="20"/>
          <w:lang w:bidi="as-IN"/>
        </w:rPr>
        <w:t>Greenyard Foods</w:t>
      </w:r>
      <w:r w:rsidR="00E0533C">
        <w:rPr>
          <w:szCs w:val="20"/>
          <w:lang w:bidi="as-IN"/>
        </w:rPr>
        <w:t xml:space="preserve"> Group</w:t>
      </w:r>
      <w:r w:rsidR="003F0BC5" w:rsidRPr="00992199">
        <w:rPr>
          <w:szCs w:val="20"/>
        </w:rPr>
        <w:t xml:space="preserve">, also known as </w:t>
      </w:r>
      <w:r w:rsidR="00BF553B">
        <w:rPr>
          <w:szCs w:val="20"/>
        </w:rPr>
        <w:t>“</w:t>
      </w:r>
      <w:r w:rsidR="003F0BC5" w:rsidRPr="00992199">
        <w:rPr>
          <w:szCs w:val="20"/>
        </w:rPr>
        <w:t>Noliko</w:t>
      </w:r>
      <w:r w:rsidR="00BF553B">
        <w:rPr>
          <w:szCs w:val="20"/>
        </w:rPr>
        <w:t>”</w:t>
      </w:r>
      <w:r w:rsidR="003F0BC5" w:rsidRPr="00992199">
        <w:rPr>
          <w:szCs w:val="20"/>
        </w:rPr>
        <w:t xml:space="preserve">, specialised in the production of vegetables, ready-meals such as soups, sauces, dips and pasta dishes in jars and tins. Both activities include production of prepared </w:t>
      </w:r>
      <w:r w:rsidR="00FE467C">
        <w:rPr>
          <w:szCs w:val="20"/>
        </w:rPr>
        <w:t>fruit</w:t>
      </w:r>
      <w:r w:rsidR="00FE467C" w:rsidRPr="00FE467C">
        <w:rPr>
          <w:szCs w:val="20"/>
        </w:rPr>
        <w:t xml:space="preserve"> and vegetables</w:t>
      </w:r>
      <w:r w:rsidR="003F0BC5" w:rsidRPr="00992199">
        <w:rPr>
          <w:szCs w:val="20"/>
        </w:rPr>
        <w:t xml:space="preserve">, but the production technique is different in each division, </w:t>
      </w:r>
      <w:r w:rsidR="003F0BC5" w:rsidRPr="005926B8">
        <w:rPr>
          <w:i/>
          <w:szCs w:val="20"/>
        </w:rPr>
        <w:t>i.e</w:t>
      </w:r>
      <w:r w:rsidR="003F0BC5" w:rsidRPr="00992199">
        <w:rPr>
          <w:szCs w:val="20"/>
        </w:rPr>
        <w:t>.</w:t>
      </w:r>
      <w:r w:rsidR="005926B8">
        <w:rPr>
          <w:szCs w:val="20"/>
        </w:rPr>
        <w:t>,</w:t>
      </w:r>
      <w:r w:rsidR="003F0BC5" w:rsidRPr="00992199">
        <w:rPr>
          <w:szCs w:val="20"/>
        </w:rPr>
        <w:t xml:space="preserve"> cold treatment process in the Frozen Division and heat treatment in the Canning Division.</w:t>
      </w:r>
    </w:p>
    <w:p w:rsidR="003F0BC5" w:rsidRPr="00992199" w:rsidRDefault="00C95087" w:rsidP="003F0BC5">
      <w:pPr>
        <w:rPr>
          <w:szCs w:val="20"/>
        </w:rPr>
      </w:pPr>
      <w:r>
        <w:rPr>
          <w:szCs w:val="20"/>
        </w:rPr>
        <w:t xml:space="preserve">The </w:t>
      </w:r>
      <w:r w:rsidRPr="00C95087">
        <w:rPr>
          <w:szCs w:val="20"/>
        </w:rPr>
        <w:t>Greenyard Foods Group</w:t>
      </w:r>
      <w:r w:rsidR="003F0BC5" w:rsidRPr="00992199">
        <w:rPr>
          <w:szCs w:val="20"/>
        </w:rPr>
        <w:t xml:space="preserve"> generated total sales of </w:t>
      </w:r>
      <w:r w:rsidR="00E53641">
        <w:rPr>
          <w:szCs w:val="20"/>
        </w:rPr>
        <w:t>EUR </w:t>
      </w:r>
      <w:r w:rsidR="003F0BC5" w:rsidRPr="00992199">
        <w:rPr>
          <w:szCs w:val="20"/>
        </w:rPr>
        <w:t xml:space="preserve">635,370,000 during the financial year </w:t>
      </w:r>
      <w:r w:rsidR="00A76464">
        <w:rPr>
          <w:szCs w:val="20"/>
        </w:rPr>
        <w:t>ended on 31 March 2015</w:t>
      </w:r>
      <w:r w:rsidR="003F0BC5" w:rsidRPr="00992199">
        <w:rPr>
          <w:szCs w:val="20"/>
        </w:rPr>
        <w:t xml:space="preserve">. </w:t>
      </w:r>
      <w:r>
        <w:rPr>
          <w:szCs w:val="20"/>
        </w:rPr>
        <w:t>T</w:t>
      </w:r>
      <w:r w:rsidRPr="00C95087">
        <w:rPr>
          <w:szCs w:val="20"/>
        </w:rPr>
        <w:t xml:space="preserve">he Greenyard Foods Group </w:t>
      </w:r>
      <w:r w:rsidR="003F0BC5" w:rsidRPr="00992199">
        <w:rPr>
          <w:szCs w:val="20"/>
        </w:rPr>
        <w:t xml:space="preserve">owns to date 13 production sites and several sales offices spread across the five continents, through which </w:t>
      </w:r>
      <w:r w:rsidRPr="00C95087">
        <w:rPr>
          <w:szCs w:val="20"/>
        </w:rPr>
        <w:t xml:space="preserve">the Greenyard Foods Group </w:t>
      </w:r>
      <w:r w:rsidR="003F0BC5" w:rsidRPr="00992199">
        <w:rPr>
          <w:szCs w:val="20"/>
        </w:rPr>
        <w:t xml:space="preserve">supplies companies from various client segments: foodservice, retail and food industry. </w:t>
      </w:r>
    </w:p>
    <w:p w:rsidR="0084538F" w:rsidRPr="0084538F" w:rsidRDefault="0084538F" w:rsidP="00353B80">
      <w:pPr>
        <w:pStyle w:val="Firm5L4"/>
        <w:keepNext/>
      </w:pPr>
      <w:r w:rsidRPr="0084538F">
        <w:t>Strategy</w:t>
      </w:r>
    </w:p>
    <w:p w:rsidR="0084538F" w:rsidRPr="0084538F" w:rsidRDefault="0084538F" w:rsidP="0084538F">
      <w:pPr>
        <w:tabs>
          <w:tab w:val="num" w:pos="720"/>
        </w:tabs>
        <w:rPr>
          <w:i/>
          <w:szCs w:val="20"/>
        </w:rPr>
      </w:pPr>
      <w:smartTag w:uri="urn:schemas-microsoft-com:office:smarttags" w:element="City">
        <w:smartTag w:uri="urn:schemas-microsoft-com:office:smarttags" w:element="place">
          <w:r w:rsidRPr="0084538F">
            <w:rPr>
              <w:i/>
              <w:szCs w:val="20"/>
            </w:rPr>
            <w:t>Mission</w:t>
          </w:r>
        </w:smartTag>
      </w:smartTag>
      <w:r w:rsidRPr="0084538F">
        <w:rPr>
          <w:i/>
          <w:szCs w:val="20"/>
        </w:rPr>
        <w:t xml:space="preserve"> and</w:t>
      </w:r>
      <w:r>
        <w:rPr>
          <w:i/>
          <w:szCs w:val="20"/>
        </w:rPr>
        <w:t xml:space="preserve"> v</w:t>
      </w:r>
      <w:r w:rsidRPr="0084538F">
        <w:rPr>
          <w:i/>
          <w:szCs w:val="20"/>
        </w:rPr>
        <w:t>ision</w:t>
      </w:r>
    </w:p>
    <w:p w:rsidR="0084538F" w:rsidRPr="0084538F" w:rsidRDefault="00C95087" w:rsidP="0084538F">
      <w:pPr>
        <w:rPr>
          <w:szCs w:val="20"/>
        </w:rPr>
      </w:pPr>
      <w:r>
        <w:rPr>
          <w:szCs w:val="20"/>
        </w:rPr>
        <w:t>T</w:t>
      </w:r>
      <w:r w:rsidRPr="00C95087">
        <w:rPr>
          <w:szCs w:val="20"/>
        </w:rPr>
        <w:t xml:space="preserve">he Greenyard Foods Group </w:t>
      </w:r>
      <w:r w:rsidR="0084538F" w:rsidRPr="0084538F">
        <w:rPr>
          <w:szCs w:val="20"/>
        </w:rPr>
        <w:t xml:space="preserve">is a leading, international processor of harvest-fresh fruit and vegetables into long-lasting and healthy food products. </w:t>
      </w:r>
      <w:r w:rsidR="00C51705">
        <w:rPr>
          <w:szCs w:val="20"/>
        </w:rPr>
        <w:t>Its</w:t>
      </w:r>
      <w:r w:rsidR="0084538F" w:rsidRPr="0084538F">
        <w:rPr>
          <w:szCs w:val="20"/>
        </w:rPr>
        <w:t xml:space="preserve"> focus </w:t>
      </w:r>
      <w:r w:rsidR="00C51705">
        <w:rPr>
          <w:szCs w:val="20"/>
        </w:rPr>
        <w:t xml:space="preserve">is </w:t>
      </w:r>
      <w:r w:rsidR="0084538F" w:rsidRPr="0084538F">
        <w:rPr>
          <w:szCs w:val="20"/>
        </w:rPr>
        <w:t xml:space="preserve">on </w:t>
      </w:r>
      <w:r w:rsidR="00C51705">
        <w:rPr>
          <w:szCs w:val="20"/>
        </w:rPr>
        <w:t xml:space="preserve">innovation, </w:t>
      </w:r>
      <w:r w:rsidR="0084538F" w:rsidRPr="0084538F">
        <w:rPr>
          <w:szCs w:val="20"/>
        </w:rPr>
        <w:t xml:space="preserve">quality, cost and service. In the total chain from farmer to consumer, the </w:t>
      </w:r>
      <w:r w:rsidR="002A1AB1">
        <w:rPr>
          <w:szCs w:val="20"/>
        </w:rPr>
        <w:t>Greenyard Foods</w:t>
      </w:r>
      <w:r w:rsidR="0084538F" w:rsidRPr="0084538F">
        <w:rPr>
          <w:szCs w:val="20"/>
        </w:rPr>
        <w:t xml:space="preserve"> Group strives towards sustainability and long-lasting relations, with respect for people and environment.</w:t>
      </w:r>
    </w:p>
    <w:p w:rsidR="0084538F" w:rsidRPr="0084538F" w:rsidRDefault="0084538F" w:rsidP="0084538F">
      <w:pPr>
        <w:rPr>
          <w:szCs w:val="20"/>
        </w:rPr>
      </w:pPr>
      <w:r w:rsidRPr="0084538F">
        <w:rPr>
          <w:szCs w:val="20"/>
        </w:rPr>
        <w:t xml:space="preserve">The </w:t>
      </w:r>
      <w:r w:rsidR="002A1AB1">
        <w:rPr>
          <w:szCs w:val="20"/>
        </w:rPr>
        <w:t>Greenyard Foods</w:t>
      </w:r>
      <w:r w:rsidRPr="0084538F">
        <w:rPr>
          <w:szCs w:val="20"/>
        </w:rPr>
        <w:t xml:space="preserve"> Group has developed the following vision: </w:t>
      </w:r>
      <w:r w:rsidR="00BF553B">
        <w:rPr>
          <w:szCs w:val="20"/>
        </w:rPr>
        <w:t>“</w:t>
      </w:r>
      <w:r w:rsidRPr="0084538F">
        <w:rPr>
          <w:szCs w:val="20"/>
        </w:rPr>
        <w:t>We offer a unique variety of affordable and sustainable vegetable based food solutions with a long shelf life, recognised as everyday’s most tasty and healthy experience.</w:t>
      </w:r>
      <w:r w:rsidR="00BF553B">
        <w:rPr>
          <w:szCs w:val="20"/>
        </w:rPr>
        <w:t>”</w:t>
      </w:r>
    </w:p>
    <w:p w:rsidR="0084538F" w:rsidRPr="0084538F" w:rsidRDefault="0084538F" w:rsidP="00E0533C">
      <w:pPr>
        <w:pStyle w:val="BulletsL1"/>
        <w:numPr>
          <w:ilvl w:val="0"/>
          <w:numId w:val="0"/>
        </w:numPr>
        <w:ind w:left="720" w:hanging="720"/>
        <w:rPr>
          <w:szCs w:val="20"/>
        </w:rPr>
      </w:pPr>
      <w:r w:rsidRPr="0084538F">
        <w:rPr>
          <w:szCs w:val="20"/>
        </w:rPr>
        <w:t xml:space="preserve">This </w:t>
      </w:r>
      <w:r w:rsidRPr="0084538F">
        <w:t>vision</w:t>
      </w:r>
      <w:r w:rsidRPr="0084538F">
        <w:rPr>
          <w:szCs w:val="20"/>
        </w:rPr>
        <w:t xml:space="preserve"> considers the following key factors to success:</w:t>
      </w:r>
    </w:p>
    <w:p w:rsidR="0084538F" w:rsidRPr="0084538F" w:rsidRDefault="0084538F" w:rsidP="0084538F">
      <w:pPr>
        <w:pStyle w:val="BulletsL1"/>
      </w:pPr>
      <w:r w:rsidRPr="0084538F">
        <w:t xml:space="preserve">Unique variety: </w:t>
      </w:r>
      <w:r w:rsidR="00E0533C">
        <w:t xml:space="preserve">the Greenyard Foods Group offers </w:t>
      </w:r>
      <w:r w:rsidRPr="0084538F">
        <w:t>a wide and varied assortment to address the needs of consumers and customers</w:t>
      </w:r>
    </w:p>
    <w:p w:rsidR="0084538F" w:rsidRPr="0084538F" w:rsidRDefault="0084538F" w:rsidP="0084538F">
      <w:pPr>
        <w:pStyle w:val="BulletsL1"/>
      </w:pPr>
      <w:r w:rsidRPr="0084538F">
        <w:t xml:space="preserve">Preservable: </w:t>
      </w:r>
      <w:r w:rsidR="00E0533C">
        <w:t xml:space="preserve">the Greenyard Foods Group </w:t>
      </w:r>
      <w:r w:rsidRPr="0084538F">
        <w:t>maintain</w:t>
      </w:r>
      <w:r w:rsidR="00E0533C">
        <w:t>s</w:t>
      </w:r>
      <w:r w:rsidRPr="0084538F">
        <w:t xml:space="preserve"> quality from harvest-fresh produce</w:t>
      </w:r>
    </w:p>
    <w:p w:rsidR="0084538F" w:rsidRPr="0084538F" w:rsidRDefault="0084538F" w:rsidP="0084538F">
      <w:pPr>
        <w:pStyle w:val="BulletsL1"/>
      </w:pPr>
      <w:r w:rsidRPr="0084538F">
        <w:t xml:space="preserve">Affordable: the </w:t>
      </w:r>
      <w:r w:rsidR="002A1AB1">
        <w:t>Greenyard Foods</w:t>
      </w:r>
      <w:r w:rsidRPr="0084538F">
        <w:t xml:space="preserve"> Group </w:t>
      </w:r>
      <w:r w:rsidR="00C51705">
        <w:t>seeks to be</w:t>
      </w:r>
      <w:r w:rsidRPr="0084538F">
        <w:t xml:space="preserve"> competitive to offer the best price</w:t>
      </w:r>
    </w:p>
    <w:p w:rsidR="0084538F" w:rsidRPr="0084538F" w:rsidRDefault="0084538F" w:rsidP="0084538F">
      <w:pPr>
        <w:pStyle w:val="BulletsL1"/>
      </w:pPr>
      <w:r w:rsidRPr="0084538F">
        <w:t xml:space="preserve">Sustainable: the </w:t>
      </w:r>
      <w:r w:rsidR="002A1AB1">
        <w:t>Greenyard Foods</w:t>
      </w:r>
      <w:r w:rsidRPr="0084538F">
        <w:t xml:space="preserve"> Group works in partnership with agro </w:t>
      </w:r>
      <w:r w:rsidR="00C51705">
        <w:t>seekting to</w:t>
      </w:r>
      <w:r w:rsidRPr="0084538F">
        <w:t xml:space="preserve"> respect nature</w:t>
      </w:r>
    </w:p>
    <w:p w:rsidR="0084538F" w:rsidRPr="0084538F" w:rsidRDefault="0084538F" w:rsidP="0084538F">
      <w:pPr>
        <w:pStyle w:val="BulletsL1"/>
      </w:pPr>
      <w:r w:rsidRPr="0084538F">
        <w:t>Vegetable</w:t>
      </w:r>
      <w:r w:rsidR="00C51705">
        <w:t>-</w:t>
      </w:r>
      <w:r w:rsidRPr="0084538F">
        <w:t xml:space="preserve">based food products: </w:t>
      </w:r>
      <w:r w:rsidR="00E0533C" w:rsidRPr="0084538F">
        <w:t xml:space="preserve">the </w:t>
      </w:r>
      <w:r w:rsidR="00E0533C">
        <w:t>Greenyard Foods</w:t>
      </w:r>
      <w:r w:rsidR="00E0533C" w:rsidRPr="0084538F">
        <w:t xml:space="preserve"> Group </w:t>
      </w:r>
      <w:r w:rsidRPr="0084538F">
        <w:t>focuse</w:t>
      </w:r>
      <w:r w:rsidR="00E0533C">
        <w:t>s</w:t>
      </w:r>
      <w:r w:rsidRPr="0084538F">
        <w:t xml:space="preserve"> on its core product vegetables from basic products to complex convenience solutions</w:t>
      </w:r>
    </w:p>
    <w:p w:rsidR="0084538F" w:rsidRPr="0084538F" w:rsidRDefault="0084538F" w:rsidP="0084538F">
      <w:pPr>
        <w:pStyle w:val="BulletsL1"/>
      </w:pPr>
      <w:r w:rsidRPr="0084538F">
        <w:t xml:space="preserve">Every single day: </w:t>
      </w:r>
      <w:r w:rsidR="00C257BA">
        <w:t>the Greenyard Foods Group seeks to be</w:t>
      </w:r>
      <w:r w:rsidRPr="0084538F">
        <w:t xml:space="preserve"> on the menu of its consumer</w:t>
      </w:r>
      <w:r w:rsidR="00C257BA">
        <w:t>s</w:t>
      </w:r>
      <w:r w:rsidRPr="0084538F">
        <w:t xml:space="preserve"> every day</w:t>
      </w:r>
    </w:p>
    <w:p w:rsidR="0084538F" w:rsidRPr="0084538F" w:rsidRDefault="0084538F" w:rsidP="0084538F">
      <w:pPr>
        <w:tabs>
          <w:tab w:val="num" w:pos="720"/>
        </w:tabs>
        <w:rPr>
          <w:i/>
          <w:szCs w:val="20"/>
        </w:rPr>
      </w:pPr>
      <w:r>
        <w:rPr>
          <w:i/>
          <w:szCs w:val="20"/>
        </w:rPr>
        <w:t>Strategic p</w:t>
      </w:r>
      <w:r w:rsidRPr="0084538F">
        <w:rPr>
          <w:i/>
          <w:szCs w:val="20"/>
        </w:rPr>
        <w:t>riorities</w:t>
      </w:r>
    </w:p>
    <w:p w:rsidR="0084538F" w:rsidRPr="0084538F" w:rsidRDefault="00C95087" w:rsidP="0084538F">
      <w:pPr>
        <w:rPr>
          <w:szCs w:val="20"/>
        </w:rPr>
      </w:pPr>
      <w:r w:rsidRPr="0084538F">
        <w:rPr>
          <w:szCs w:val="20"/>
        </w:rPr>
        <w:t xml:space="preserve">The </w:t>
      </w:r>
      <w:r>
        <w:rPr>
          <w:szCs w:val="20"/>
        </w:rPr>
        <w:t>Greenyard Foods</w:t>
      </w:r>
      <w:r w:rsidRPr="0084538F">
        <w:rPr>
          <w:szCs w:val="20"/>
        </w:rPr>
        <w:t xml:space="preserve"> Group </w:t>
      </w:r>
      <w:r w:rsidR="0084538F" w:rsidRPr="0084538F">
        <w:rPr>
          <w:szCs w:val="20"/>
        </w:rPr>
        <w:t>has set four strategic priorities:</w:t>
      </w:r>
    </w:p>
    <w:p w:rsidR="0084538F" w:rsidRPr="0084538F" w:rsidRDefault="0084538F" w:rsidP="0084538F">
      <w:pPr>
        <w:pStyle w:val="BulletsL1"/>
      </w:pPr>
      <w:r w:rsidRPr="0084538F">
        <w:t>Profitable growth via custo</w:t>
      </w:r>
      <w:r w:rsidR="00E0533C">
        <w:t>mer intimacy and consumer focus</w:t>
      </w:r>
    </w:p>
    <w:p w:rsidR="0084538F" w:rsidRPr="0084538F" w:rsidRDefault="00C95087" w:rsidP="00F35405">
      <w:pPr>
        <w:widowControl w:val="0"/>
        <w:autoSpaceDE w:val="0"/>
        <w:autoSpaceDN w:val="0"/>
        <w:adjustRightInd w:val="0"/>
        <w:ind w:left="720"/>
        <w:rPr>
          <w:szCs w:val="20"/>
        </w:rPr>
      </w:pPr>
      <w:r w:rsidRPr="0084538F">
        <w:rPr>
          <w:szCs w:val="20"/>
        </w:rPr>
        <w:t xml:space="preserve">The </w:t>
      </w:r>
      <w:r>
        <w:rPr>
          <w:szCs w:val="20"/>
        </w:rPr>
        <w:t>Greenyard Foods</w:t>
      </w:r>
      <w:r w:rsidRPr="0084538F">
        <w:rPr>
          <w:szCs w:val="20"/>
        </w:rPr>
        <w:t xml:space="preserve"> Group </w:t>
      </w:r>
      <w:r w:rsidR="0084538F" w:rsidRPr="0084538F">
        <w:rPr>
          <w:szCs w:val="20"/>
        </w:rPr>
        <w:t xml:space="preserve">produces products that offer a response to major consumer trends, such as striving towards a healthy lifestyle and healthy food. They also offer </w:t>
      </w:r>
      <w:r w:rsidR="00C257BA">
        <w:rPr>
          <w:szCs w:val="20"/>
        </w:rPr>
        <w:t>timesaving, culinary solutions. The Greenyard Foods Group increasingly focuses on innovation and customer preferences</w:t>
      </w:r>
      <w:r w:rsidR="00CD3BB2">
        <w:rPr>
          <w:szCs w:val="20"/>
        </w:rPr>
        <w:t>.</w:t>
      </w:r>
    </w:p>
    <w:p w:rsidR="0084538F" w:rsidRPr="0084538F" w:rsidRDefault="0084538F" w:rsidP="00F35405">
      <w:pPr>
        <w:widowControl w:val="0"/>
        <w:autoSpaceDE w:val="0"/>
        <w:autoSpaceDN w:val="0"/>
        <w:adjustRightInd w:val="0"/>
        <w:ind w:left="720"/>
        <w:rPr>
          <w:szCs w:val="20"/>
          <w:lang w:eastAsia="en-GB"/>
        </w:rPr>
      </w:pPr>
      <w:r w:rsidRPr="0084538F">
        <w:rPr>
          <w:szCs w:val="20"/>
        </w:rPr>
        <w:t xml:space="preserve">The </w:t>
      </w:r>
      <w:r w:rsidRPr="0084538F">
        <w:rPr>
          <w:szCs w:val="20"/>
          <w:lang w:bidi="as-IN"/>
        </w:rPr>
        <w:t>Group</w:t>
      </w:r>
      <w:r w:rsidRPr="0084538F">
        <w:rPr>
          <w:szCs w:val="20"/>
        </w:rPr>
        <w:t xml:space="preserve"> also intends to continue to build the long-term relationships by</w:t>
      </w:r>
      <w:r w:rsidRPr="0084538F">
        <w:rPr>
          <w:szCs w:val="20"/>
          <w:lang w:eastAsia="en-GB"/>
        </w:rPr>
        <w:t xml:space="preserve"> meeting customer needs through innovative solutions in several areas such as logistics and product ranges.</w:t>
      </w:r>
    </w:p>
    <w:p w:rsidR="0084538F" w:rsidRPr="0084538F" w:rsidRDefault="0084538F" w:rsidP="00F35405">
      <w:pPr>
        <w:widowControl w:val="0"/>
        <w:autoSpaceDE w:val="0"/>
        <w:autoSpaceDN w:val="0"/>
        <w:adjustRightInd w:val="0"/>
        <w:ind w:left="720"/>
        <w:rPr>
          <w:szCs w:val="20"/>
        </w:rPr>
      </w:pPr>
      <w:r w:rsidRPr="0084538F">
        <w:rPr>
          <w:lang w:eastAsia="en-GB"/>
        </w:rPr>
        <w:lastRenderedPageBreak/>
        <w:t xml:space="preserve">In this context, the </w:t>
      </w:r>
      <w:r w:rsidR="002A1AB1">
        <w:rPr>
          <w:lang w:eastAsia="en-GB"/>
        </w:rPr>
        <w:t>Greenyard Foods</w:t>
      </w:r>
      <w:r w:rsidRPr="0084538F">
        <w:rPr>
          <w:lang w:eastAsia="en-GB"/>
        </w:rPr>
        <w:t xml:space="preserve"> Group has focused on customer and portfolio management during previous years </w:t>
      </w:r>
      <w:r w:rsidRPr="00F35405">
        <w:rPr>
          <w:szCs w:val="20"/>
          <w:lang w:bidi="as-IN"/>
        </w:rPr>
        <w:t>in</w:t>
      </w:r>
      <w:r w:rsidRPr="0084538F">
        <w:rPr>
          <w:lang w:eastAsia="en-GB"/>
        </w:rPr>
        <w:t xml:space="preserve"> order to realise the profitable growth. This portfolio management includes a strong focus on countries, customers and products.</w:t>
      </w:r>
    </w:p>
    <w:p w:rsidR="0084538F" w:rsidRPr="0084538F" w:rsidRDefault="0084538F" w:rsidP="0084538F">
      <w:pPr>
        <w:pStyle w:val="BulletsL1"/>
      </w:pPr>
      <w:r w:rsidRPr="0084538F">
        <w:t>Further improve operational efficiencies</w:t>
      </w:r>
    </w:p>
    <w:p w:rsidR="0084538F" w:rsidRPr="0084538F" w:rsidRDefault="00C95087" w:rsidP="00F35405">
      <w:pPr>
        <w:widowControl w:val="0"/>
        <w:autoSpaceDE w:val="0"/>
        <w:autoSpaceDN w:val="0"/>
        <w:adjustRightInd w:val="0"/>
        <w:ind w:left="720"/>
        <w:rPr>
          <w:szCs w:val="20"/>
        </w:rPr>
      </w:pPr>
      <w:r w:rsidRPr="0084538F">
        <w:rPr>
          <w:szCs w:val="20"/>
        </w:rPr>
        <w:t xml:space="preserve">The </w:t>
      </w:r>
      <w:r>
        <w:rPr>
          <w:szCs w:val="20"/>
        </w:rPr>
        <w:t>Greenyard Foods</w:t>
      </w:r>
      <w:r w:rsidRPr="0084538F">
        <w:rPr>
          <w:szCs w:val="20"/>
        </w:rPr>
        <w:t xml:space="preserve"> Group </w:t>
      </w:r>
      <w:r w:rsidR="0084538F" w:rsidRPr="0084538F">
        <w:rPr>
          <w:szCs w:val="20"/>
        </w:rPr>
        <w:t xml:space="preserve">will continue to strive towards the further improvement of operational efficiency by </w:t>
      </w:r>
      <w:r w:rsidR="0084538F" w:rsidRPr="0084538F">
        <w:rPr>
          <w:szCs w:val="20"/>
          <w:lang w:bidi="as-IN"/>
        </w:rPr>
        <w:t>means</w:t>
      </w:r>
      <w:r w:rsidR="0084538F" w:rsidRPr="0084538F">
        <w:rPr>
          <w:szCs w:val="20"/>
        </w:rPr>
        <w:t xml:space="preserve"> of continuous focus and investments in its production facilities.</w:t>
      </w:r>
    </w:p>
    <w:p w:rsidR="0084538F" w:rsidRPr="0084538F" w:rsidRDefault="0084538F" w:rsidP="00F35405">
      <w:pPr>
        <w:widowControl w:val="0"/>
        <w:autoSpaceDE w:val="0"/>
        <w:autoSpaceDN w:val="0"/>
        <w:adjustRightInd w:val="0"/>
        <w:ind w:left="720"/>
        <w:rPr>
          <w:szCs w:val="20"/>
        </w:rPr>
      </w:pPr>
      <w:r w:rsidRPr="0084538F">
        <w:rPr>
          <w:szCs w:val="20"/>
        </w:rPr>
        <w:t xml:space="preserve">In 2013, the </w:t>
      </w:r>
      <w:r w:rsidR="002A1AB1">
        <w:rPr>
          <w:szCs w:val="20"/>
        </w:rPr>
        <w:t>Greenyard Foods</w:t>
      </w:r>
      <w:r w:rsidRPr="0084538F">
        <w:rPr>
          <w:szCs w:val="20"/>
        </w:rPr>
        <w:t xml:space="preserve"> Group started its plan to acquire all production facilities. The ownership of the </w:t>
      </w:r>
      <w:r w:rsidRPr="0084538F">
        <w:rPr>
          <w:szCs w:val="20"/>
          <w:lang w:bidi="as-IN"/>
        </w:rPr>
        <w:t>production</w:t>
      </w:r>
      <w:r w:rsidRPr="0084538F">
        <w:rPr>
          <w:szCs w:val="20"/>
        </w:rPr>
        <w:t xml:space="preserve"> plants increases the flexibility within the production facilities </w:t>
      </w:r>
      <w:r w:rsidR="00E0533C">
        <w:rPr>
          <w:szCs w:val="20"/>
        </w:rPr>
        <w:t xml:space="preserve">and improves the </w:t>
      </w:r>
      <w:r w:rsidRPr="0084538F">
        <w:rPr>
          <w:szCs w:val="20"/>
        </w:rPr>
        <w:t xml:space="preserve">efficiency. The strategy to purchase all production facilities was completed in 2014 with the acquisition of the Kings’ </w:t>
      </w:r>
      <w:smartTag w:uri="urn:schemas-microsoft-com:office:smarttags" w:element="City">
        <w:smartTag w:uri="urn:schemas-microsoft-com:office:smarttags" w:element="place">
          <w:r w:rsidRPr="0084538F">
            <w:rPr>
              <w:szCs w:val="20"/>
            </w:rPr>
            <w:t>Lynn</w:t>
          </w:r>
        </w:smartTag>
      </w:smartTag>
      <w:r w:rsidRPr="0084538F">
        <w:rPr>
          <w:szCs w:val="20"/>
        </w:rPr>
        <w:t xml:space="preserve"> real estate. At the date of this Prospectus, the </w:t>
      </w:r>
      <w:r w:rsidR="002A1AB1">
        <w:rPr>
          <w:szCs w:val="20"/>
        </w:rPr>
        <w:t>Greenyard Foods</w:t>
      </w:r>
      <w:r w:rsidRPr="0084538F">
        <w:rPr>
          <w:szCs w:val="20"/>
        </w:rPr>
        <w:t xml:space="preserve"> Group owns all it</w:t>
      </w:r>
      <w:r w:rsidR="00E0533C">
        <w:rPr>
          <w:szCs w:val="20"/>
        </w:rPr>
        <w:t>s</w:t>
      </w:r>
      <w:r w:rsidRPr="0084538F">
        <w:rPr>
          <w:szCs w:val="20"/>
        </w:rPr>
        <w:t xml:space="preserve"> production facilities.</w:t>
      </w:r>
    </w:p>
    <w:p w:rsidR="0084538F" w:rsidRPr="0084538F" w:rsidRDefault="0084538F" w:rsidP="00F35405">
      <w:pPr>
        <w:widowControl w:val="0"/>
        <w:autoSpaceDE w:val="0"/>
        <w:autoSpaceDN w:val="0"/>
        <w:adjustRightInd w:val="0"/>
        <w:ind w:left="720"/>
        <w:rPr>
          <w:szCs w:val="20"/>
        </w:rPr>
      </w:pPr>
      <w:r w:rsidRPr="0084538F">
        <w:rPr>
          <w:szCs w:val="20"/>
        </w:rPr>
        <w:t xml:space="preserve">During past years, the </w:t>
      </w:r>
      <w:r w:rsidR="002A1AB1">
        <w:rPr>
          <w:szCs w:val="20"/>
        </w:rPr>
        <w:t>Greenyard Foods</w:t>
      </w:r>
      <w:r w:rsidRPr="0084538F">
        <w:rPr>
          <w:szCs w:val="20"/>
        </w:rPr>
        <w:t xml:space="preserve"> Group has grown, next to the organic growth, by several acquisitions. </w:t>
      </w:r>
      <w:r w:rsidRPr="0084538F">
        <w:rPr>
          <w:szCs w:val="20"/>
          <w:lang w:bidi="as-IN"/>
        </w:rPr>
        <w:t>International</w:t>
      </w:r>
      <w:r w:rsidRPr="0084538F">
        <w:rPr>
          <w:szCs w:val="20"/>
        </w:rPr>
        <w:t xml:space="preserve"> process integration of the acquired activities, mainly in the Frozen Division, is leading to improvement of operational efficiencies. In addition to the international process integration, the centralisation of the Polish processing activities was recently announced and the German assets </w:t>
      </w:r>
      <w:r w:rsidR="00E0533C">
        <w:rPr>
          <w:szCs w:val="20"/>
        </w:rPr>
        <w:t>as well as</w:t>
      </w:r>
      <w:r w:rsidRPr="0084538F">
        <w:rPr>
          <w:szCs w:val="20"/>
        </w:rPr>
        <w:t xml:space="preserve"> Pinguin </w:t>
      </w:r>
      <w:smartTag w:uri="urn:schemas-microsoft-com:office:smarttags" w:element="State">
        <w:smartTag w:uri="urn:schemas-microsoft-com:office:smarttags" w:element="place">
          <w:r w:rsidRPr="0084538F">
            <w:rPr>
              <w:szCs w:val="20"/>
            </w:rPr>
            <w:t>Aquitaine</w:t>
          </w:r>
        </w:smartTag>
      </w:smartTag>
      <w:r w:rsidRPr="0084538F">
        <w:rPr>
          <w:szCs w:val="20"/>
        </w:rPr>
        <w:t xml:space="preserve"> were sold. These reorganisations also fit in the operational excellence program.</w:t>
      </w:r>
    </w:p>
    <w:p w:rsidR="0084538F" w:rsidRPr="0084538F" w:rsidRDefault="0084538F" w:rsidP="00F35405">
      <w:pPr>
        <w:widowControl w:val="0"/>
        <w:autoSpaceDE w:val="0"/>
        <w:autoSpaceDN w:val="0"/>
        <w:adjustRightInd w:val="0"/>
        <w:ind w:left="720"/>
        <w:rPr>
          <w:szCs w:val="20"/>
        </w:rPr>
      </w:pPr>
      <w:r w:rsidRPr="0084538F">
        <w:rPr>
          <w:szCs w:val="20"/>
        </w:rPr>
        <w:t xml:space="preserve">The </w:t>
      </w:r>
      <w:r w:rsidRPr="0084538F">
        <w:rPr>
          <w:szCs w:val="20"/>
          <w:lang w:bidi="as-IN"/>
        </w:rPr>
        <w:t>shift</w:t>
      </w:r>
      <w:r w:rsidRPr="0084538F">
        <w:rPr>
          <w:szCs w:val="20"/>
        </w:rPr>
        <w:t xml:space="preserve"> from replacement capex towards efficiency improving capex is increasing as well for the Frozen as for the Canning Division. During past years, capex was more focused on replacements, also resulting from acquisitions done during past years. These efforts to move towards efficiency increasing capex do have an immediate effect on the margin improvements in both divisions.</w:t>
      </w:r>
    </w:p>
    <w:p w:rsidR="0084538F" w:rsidRPr="0084538F" w:rsidRDefault="0084538F" w:rsidP="0084538F">
      <w:pPr>
        <w:pStyle w:val="BulletsL1"/>
      </w:pPr>
      <w:r w:rsidRPr="0084538F">
        <w:t>Optimise net free cash flow by reducing financial costs</w:t>
      </w:r>
    </w:p>
    <w:p w:rsidR="0084538F" w:rsidRPr="0084538F" w:rsidRDefault="0084538F" w:rsidP="00F35405">
      <w:pPr>
        <w:widowControl w:val="0"/>
        <w:autoSpaceDE w:val="0"/>
        <w:autoSpaceDN w:val="0"/>
        <w:adjustRightInd w:val="0"/>
        <w:ind w:left="720"/>
        <w:rPr>
          <w:szCs w:val="20"/>
        </w:rPr>
      </w:pPr>
      <w:r w:rsidRPr="0084538F">
        <w:rPr>
          <w:szCs w:val="20"/>
        </w:rPr>
        <w:t xml:space="preserve">A third important pillar is the management of working capital. This is appropriate given the capital-intensive nature of the fruit and vegetable processing sector. </w:t>
      </w:r>
      <w:r w:rsidR="00C95087" w:rsidRPr="00C95087">
        <w:rPr>
          <w:szCs w:val="20"/>
        </w:rPr>
        <w:t xml:space="preserve">The Greenyard Foods Group </w:t>
      </w:r>
      <w:r w:rsidRPr="0084538F">
        <w:rPr>
          <w:szCs w:val="20"/>
        </w:rPr>
        <w:t xml:space="preserve">has launched a number of </w:t>
      </w:r>
      <w:r w:rsidRPr="0084538F">
        <w:rPr>
          <w:szCs w:val="20"/>
          <w:lang w:bidi="as-IN"/>
        </w:rPr>
        <w:t>programs</w:t>
      </w:r>
      <w:r w:rsidRPr="0084538F">
        <w:rPr>
          <w:szCs w:val="20"/>
        </w:rPr>
        <w:t xml:space="preserve"> to further optimise its working capital. The acquisition of production sites also has a positive impact on the cash flows, given the fact that the termination of the rental charges has a positive impact on the free cash flow.</w:t>
      </w:r>
    </w:p>
    <w:p w:rsidR="0084538F" w:rsidRPr="0084538F" w:rsidRDefault="0084538F" w:rsidP="00F35405">
      <w:pPr>
        <w:widowControl w:val="0"/>
        <w:autoSpaceDE w:val="0"/>
        <w:autoSpaceDN w:val="0"/>
        <w:adjustRightInd w:val="0"/>
        <w:ind w:left="720"/>
      </w:pPr>
      <w:r w:rsidRPr="0084538F">
        <w:t xml:space="preserve">As working capital is important for the activities of the </w:t>
      </w:r>
      <w:r w:rsidR="002A1AB1">
        <w:t>Greenyard Foods</w:t>
      </w:r>
      <w:r w:rsidRPr="0084538F">
        <w:t xml:space="preserve"> Group, all possible measures were </w:t>
      </w:r>
      <w:r w:rsidRPr="00F35405">
        <w:rPr>
          <w:szCs w:val="20"/>
          <w:lang w:bidi="as-IN"/>
        </w:rPr>
        <w:t>taken</w:t>
      </w:r>
      <w:r w:rsidRPr="0084538F">
        <w:t xml:space="preserve"> to optimise working capital: strict focus on inventory levels and DSO monitoring are important in order to achieve the working capital targets.</w:t>
      </w:r>
    </w:p>
    <w:p w:rsidR="0084538F" w:rsidRPr="0084538F" w:rsidRDefault="0084538F" w:rsidP="00F35405">
      <w:pPr>
        <w:widowControl w:val="0"/>
        <w:autoSpaceDE w:val="0"/>
        <w:autoSpaceDN w:val="0"/>
        <w:adjustRightInd w:val="0"/>
        <w:ind w:left="720"/>
      </w:pPr>
      <w:r w:rsidRPr="0084538F">
        <w:t xml:space="preserve">Also </w:t>
      </w:r>
      <w:r w:rsidRPr="00F35405">
        <w:rPr>
          <w:szCs w:val="20"/>
          <w:lang w:bidi="as-IN"/>
        </w:rPr>
        <w:t>initiatives</w:t>
      </w:r>
      <w:r w:rsidRPr="0084538F">
        <w:t xml:space="preserve"> were taken to simplify the group structure, which has a positive effect on the free cash flow and actions were performed to reduce the interest / financial costs for the operations.</w:t>
      </w:r>
    </w:p>
    <w:p w:rsidR="0084538F" w:rsidRPr="0084538F" w:rsidRDefault="0084538F" w:rsidP="0084538F">
      <w:pPr>
        <w:pStyle w:val="BulletsL1"/>
      </w:pPr>
      <w:r w:rsidRPr="0084538F">
        <w:t>Improve organisational effectiveness</w:t>
      </w:r>
    </w:p>
    <w:p w:rsidR="0084538F" w:rsidRPr="0084538F" w:rsidRDefault="0084538F" w:rsidP="00F35405">
      <w:pPr>
        <w:widowControl w:val="0"/>
        <w:autoSpaceDE w:val="0"/>
        <w:autoSpaceDN w:val="0"/>
        <w:adjustRightInd w:val="0"/>
        <w:ind w:left="720"/>
        <w:rPr>
          <w:szCs w:val="20"/>
        </w:rPr>
      </w:pPr>
      <w:r w:rsidRPr="0084538F">
        <w:rPr>
          <w:szCs w:val="20"/>
        </w:rPr>
        <w:t xml:space="preserve">A fourth pillar is the further strengthening and improvement of the organisation and its organisational </w:t>
      </w:r>
      <w:r w:rsidRPr="0084538F">
        <w:rPr>
          <w:szCs w:val="20"/>
          <w:lang w:bidi="as-IN"/>
        </w:rPr>
        <w:t>efficiency</w:t>
      </w:r>
      <w:r w:rsidRPr="0084538F">
        <w:rPr>
          <w:szCs w:val="20"/>
        </w:rPr>
        <w:t xml:space="preserve">. Therefore the </w:t>
      </w:r>
      <w:r w:rsidR="002A1AB1">
        <w:rPr>
          <w:szCs w:val="20"/>
        </w:rPr>
        <w:t>Greenyard Foods</w:t>
      </w:r>
      <w:r w:rsidRPr="0084538F">
        <w:rPr>
          <w:szCs w:val="20"/>
        </w:rPr>
        <w:t xml:space="preserve"> Group is continuously investing in its employees. The last ten years, the </w:t>
      </w:r>
      <w:r w:rsidR="002A1AB1">
        <w:rPr>
          <w:szCs w:val="20"/>
        </w:rPr>
        <w:t>Greenyard Foods</w:t>
      </w:r>
      <w:r w:rsidRPr="0084538F">
        <w:rPr>
          <w:szCs w:val="20"/>
        </w:rPr>
        <w:t xml:space="preserve"> Group has grown rapidly, partly due to external growth. A further consolidation and standardisation of business processes is being carried out.</w:t>
      </w:r>
    </w:p>
    <w:p w:rsidR="0084538F" w:rsidRPr="0084538F" w:rsidRDefault="0084538F" w:rsidP="00F35405">
      <w:pPr>
        <w:widowControl w:val="0"/>
        <w:autoSpaceDE w:val="0"/>
        <w:autoSpaceDN w:val="0"/>
        <w:adjustRightInd w:val="0"/>
        <w:ind w:left="720"/>
      </w:pPr>
      <w:r w:rsidRPr="0084538F">
        <w:t xml:space="preserve">The group objectives are cascaded over the whole </w:t>
      </w:r>
      <w:r w:rsidR="002A1AB1">
        <w:t>Greenyard Foods</w:t>
      </w:r>
      <w:r w:rsidRPr="0084538F">
        <w:t xml:space="preserve"> Group. This implies that the whole </w:t>
      </w:r>
      <w:r w:rsidR="002A1AB1" w:rsidRPr="00F35405">
        <w:rPr>
          <w:szCs w:val="20"/>
          <w:lang w:bidi="as-IN"/>
        </w:rPr>
        <w:t>Greenyard</w:t>
      </w:r>
      <w:r w:rsidR="002A1AB1">
        <w:t xml:space="preserve"> Foods</w:t>
      </w:r>
      <w:r w:rsidRPr="0084538F">
        <w:t xml:space="preserve"> Group has the same targets,</w:t>
      </w:r>
      <w:r w:rsidR="00E0533C">
        <w:t xml:space="preserve"> </w:t>
      </w:r>
      <w:r w:rsidRPr="0084538F">
        <w:t>which improves the organisational effectiveness. All employees are working to achieve the same targets, for each one within his own function.</w:t>
      </w:r>
    </w:p>
    <w:p w:rsidR="0084538F" w:rsidRDefault="0084538F" w:rsidP="00F35405">
      <w:pPr>
        <w:widowControl w:val="0"/>
        <w:autoSpaceDE w:val="0"/>
        <w:autoSpaceDN w:val="0"/>
        <w:adjustRightInd w:val="0"/>
        <w:ind w:left="720"/>
      </w:pPr>
      <w:r w:rsidRPr="00105E1E">
        <w:t xml:space="preserve">The </w:t>
      </w:r>
      <w:r w:rsidR="002A1AB1" w:rsidRPr="00F35405">
        <w:rPr>
          <w:szCs w:val="20"/>
          <w:lang w:bidi="as-IN"/>
        </w:rPr>
        <w:t>Greenyard</w:t>
      </w:r>
      <w:r w:rsidR="002A1AB1">
        <w:t xml:space="preserve"> Foods</w:t>
      </w:r>
      <w:r w:rsidRPr="00105E1E">
        <w:t xml:space="preserve"> Group is also investing in training for its employees, which also contributes to the improvement of the organisational effectiveness.</w:t>
      </w:r>
    </w:p>
    <w:p w:rsidR="003F0BC5" w:rsidRPr="00992199" w:rsidRDefault="003F0BC5" w:rsidP="00353B80">
      <w:pPr>
        <w:pStyle w:val="Firm5L4"/>
        <w:keepNext/>
      </w:pPr>
      <w:r w:rsidRPr="00992199">
        <w:t>Products</w:t>
      </w:r>
    </w:p>
    <w:p w:rsidR="003F0BC5" w:rsidRPr="00992199" w:rsidRDefault="00C95087" w:rsidP="003F0BC5">
      <w:pPr>
        <w:rPr>
          <w:szCs w:val="20"/>
        </w:rPr>
      </w:pPr>
      <w:r w:rsidRPr="00C95087">
        <w:rPr>
          <w:szCs w:val="20"/>
        </w:rPr>
        <w:t xml:space="preserve">The Greenyard Foods Group </w:t>
      </w:r>
      <w:r w:rsidR="003F0BC5" w:rsidRPr="00992199">
        <w:rPr>
          <w:szCs w:val="20"/>
        </w:rPr>
        <w:t>sells its wide range of vegetable solutions ranging from fresh basic vegetables in all possible forms to culinary, ready-to-use vegetable preparations in more than 100 countries.</w:t>
      </w:r>
    </w:p>
    <w:p w:rsidR="003F0BC5" w:rsidRPr="00992199" w:rsidRDefault="003F0BC5" w:rsidP="008E7774">
      <w:pPr>
        <w:pStyle w:val="BulletsL1"/>
      </w:pPr>
      <w:r w:rsidRPr="00992199">
        <w:t>Classic basic vegetables</w:t>
      </w:r>
    </w:p>
    <w:p w:rsidR="003F0BC5" w:rsidRPr="00992199" w:rsidRDefault="003F0BC5" w:rsidP="00F35405">
      <w:pPr>
        <w:widowControl w:val="0"/>
        <w:autoSpaceDE w:val="0"/>
        <w:autoSpaceDN w:val="0"/>
        <w:adjustRightInd w:val="0"/>
        <w:ind w:left="720"/>
        <w:rPr>
          <w:szCs w:val="20"/>
        </w:rPr>
      </w:pPr>
      <w:r w:rsidRPr="00992199">
        <w:rPr>
          <w:szCs w:val="20"/>
        </w:rPr>
        <w:t xml:space="preserve">Both the Frozen Division and the Canning Division offer a very extensive range of products. The traditional vegetables </w:t>
      </w:r>
      <w:r w:rsidRPr="00992199">
        <w:rPr>
          <w:szCs w:val="20"/>
          <w:lang w:bidi="as-IN"/>
        </w:rPr>
        <w:t>such</w:t>
      </w:r>
      <w:r w:rsidRPr="00992199">
        <w:rPr>
          <w:szCs w:val="20"/>
        </w:rPr>
        <w:t xml:space="preserve"> as peas, carrots, beans and all types of cabbages continue to make up the bulk of business. The Frozen Division also prepares </w:t>
      </w:r>
      <w:r w:rsidR="00BF553B">
        <w:rPr>
          <w:szCs w:val="20"/>
        </w:rPr>
        <w:t>“</w:t>
      </w:r>
      <w:r w:rsidRPr="00992199">
        <w:rPr>
          <w:szCs w:val="20"/>
        </w:rPr>
        <w:t>mixes</w:t>
      </w:r>
      <w:r w:rsidR="00BF553B">
        <w:rPr>
          <w:szCs w:val="20"/>
        </w:rPr>
        <w:t>”</w:t>
      </w:r>
      <w:r w:rsidRPr="00992199">
        <w:rPr>
          <w:szCs w:val="20"/>
        </w:rPr>
        <w:t xml:space="preserve"> that can be used for specific dishes, such as soup vegetables, couscous vegetables, vegetables for mussel dishes and a wok mix. In both divisions, freshness is paramount.</w:t>
      </w:r>
    </w:p>
    <w:p w:rsidR="003F0BC5" w:rsidRPr="00992199" w:rsidRDefault="00816A67" w:rsidP="008E7774">
      <w:pPr>
        <w:pStyle w:val="BulletsL1"/>
        <w:rPr>
          <w:i/>
        </w:rPr>
      </w:pPr>
      <w:r>
        <w:rPr>
          <w:noProof/>
        </w:rPr>
        <w:lastRenderedPageBreak/>
        <mc:AlternateContent>
          <mc:Choice Requires="wpg">
            <w:drawing>
              <wp:anchor distT="0" distB="0" distL="114300" distR="114300" simplePos="0" relativeHeight="251657728" behindDoc="1" locked="0" layoutInCell="1" allowOverlap="1">
                <wp:simplePos x="0" y="0"/>
                <wp:positionH relativeFrom="page">
                  <wp:posOffset>0</wp:posOffset>
                </wp:positionH>
                <wp:positionV relativeFrom="page">
                  <wp:posOffset>0</wp:posOffset>
                </wp:positionV>
                <wp:extent cx="36195" cy="36195"/>
                <wp:effectExtent l="0" t="19050" r="1905"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5" cy="36195"/>
                          <a:chOff x="0" y="0"/>
                          <a:chExt cx="57" cy="57"/>
                        </a:xfrm>
                      </wpg:grpSpPr>
                      <wps:wsp>
                        <wps:cNvPr id="42" name="Freeform 3"/>
                        <wps:cNvSpPr>
                          <a:spLocks/>
                        </wps:cNvSpPr>
                        <wps:spPr bwMode="auto">
                          <a:xfrm>
                            <a:off x="0" y="0"/>
                            <a:ext cx="57" cy="57"/>
                          </a:xfrm>
                          <a:custGeom>
                            <a:avLst/>
                            <a:gdLst>
                              <a:gd name="T0" fmla="*/ 0 w 57"/>
                              <a:gd name="T1" fmla="*/ 28 h 57"/>
                              <a:gd name="T2" fmla="*/ 57 w 57"/>
                              <a:gd name="T3" fmla="*/ 28 h 57"/>
                            </a:gdLst>
                            <a:ahLst/>
                            <a:cxnLst>
                              <a:cxn ang="0">
                                <a:pos x="T0" y="T1"/>
                              </a:cxn>
                              <a:cxn ang="0">
                                <a:pos x="T2" y="T3"/>
                              </a:cxn>
                            </a:cxnLst>
                            <a:rect l="0" t="0" r="r" b="b"/>
                            <a:pathLst>
                              <a:path w="57" h="57">
                                <a:moveTo>
                                  <a:pt x="0" y="28"/>
                                </a:moveTo>
                                <a:lnTo>
                                  <a:pt x="57" y="28"/>
                                </a:lnTo>
                              </a:path>
                            </a:pathLst>
                          </a:custGeom>
                          <a:noFill/>
                          <a:ln w="37274">
                            <a:solidFill>
                              <a:srgbClr val="FAFDF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4CB3E9" id="Group 41" o:spid="_x0000_s1026" style="position:absolute;margin-left:0;margin-top:0;width:2.85pt;height:2.85pt;z-index:-251658752;mso-position-horizontal-relative:page;mso-position-vertical-relative:page"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">
                <v:shape id="Freeform 3" o:spid="_x0000_s1027" style="position:absolute;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" path="m,28r57,e" filled="f" strokecolor="#fafdfa" strokeweight="1.0354mm">
                  <v:path arrowok="t" o:connecttype="custom" o:connectlocs="0,28;57,28" o:connectangles="0,0"/>
                </v:shape>
                <w10:wrap anchorx="page" anchory="page"/>
              </v:group>
            </w:pict>
          </mc:Fallback>
        </mc:AlternateContent>
      </w:r>
      <w:r w:rsidR="003F0BC5" w:rsidRPr="00992199">
        <w:t>Fruit</w:t>
      </w:r>
    </w:p>
    <w:p w:rsidR="003F0BC5" w:rsidRPr="00992199" w:rsidRDefault="003F0BC5" w:rsidP="00F35405">
      <w:pPr>
        <w:widowControl w:val="0"/>
        <w:autoSpaceDE w:val="0"/>
        <w:autoSpaceDN w:val="0"/>
        <w:adjustRightInd w:val="0"/>
        <w:ind w:left="720"/>
        <w:rPr>
          <w:szCs w:val="20"/>
        </w:rPr>
      </w:pPr>
      <w:r w:rsidRPr="00992199">
        <w:rPr>
          <w:szCs w:val="20"/>
        </w:rPr>
        <w:t xml:space="preserve">A broad selection of fruits is offered in both divisions. For the Canning Division, apple compote is an important product. The </w:t>
      </w:r>
      <w:r w:rsidR="00E0533C" w:rsidRPr="00992199">
        <w:rPr>
          <w:szCs w:val="20"/>
        </w:rPr>
        <w:t>C</w:t>
      </w:r>
      <w:r w:rsidR="00E0533C">
        <w:rPr>
          <w:szCs w:val="20"/>
        </w:rPr>
        <w:t xml:space="preserve">anning Division’s main production </w:t>
      </w:r>
      <w:r w:rsidR="00EF0DC5">
        <w:rPr>
          <w:szCs w:val="20"/>
        </w:rPr>
        <w:t>site</w:t>
      </w:r>
      <w:r w:rsidRPr="00992199">
        <w:rPr>
          <w:szCs w:val="20"/>
        </w:rPr>
        <w:t xml:space="preserve"> is located close to Haspengouw, one of the best fruit-growing regions in Europe, offering a broad selection of apples and cherries</w:t>
      </w:r>
      <w:r w:rsidR="00EF0DC5">
        <w:rPr>
          <w:szCs w:val="20"/>
        </w:rPr>
        <w:t xml:space="preserve"> f</w:t>
      </w:r>
      <w:r w:rsidRPr="00992199">
        <w:rPr>
          <w:szCs w:val="20"/>
        </w:rPr>
        <w:t>or fruit compotes and fruit compote varieties apples</w:t>
      </w:r>
      <w:r w:rsidR="00E0533C">
        <w:rPr>
          <w:szCs w:val="20"/>
        </w:rPr>
        <w:t>, which</w:t>
      </w:r>
      <w:r w:rsidRPr="00992199">
        <w:rPr>
          <w:szCs w:val="20"/>
        </w:rPr>
        <w:t xml:space="preserve"> constitute the base, possibly supplemen</w:t>
      </w:r>
      <w:r w:rsidR="00EF0DC5">
        <w:rPr>
          <w:szCs w:val="20"/>
        </w:rPr>
        <w:t>ted with other types of fruit. Brined c</w:t>
      </w:r>
      <w:r w:rsidRPr="00992199">
        <w:rPr>
          <w:szCs w:val="20"/>
        </w:rPr>
        <w:t>herries and a variety of exotic fruit complete the product line.</w:t>
      </w:r>
    </w:p>
    <w:p w:rsidR="003F0BC5" w:rsidRPr="00992199" w:rsidRDefault="00816A67" w:rsidP="008E7774">
      <w:pPr>
        <w:pStyle w:val="BulletsL1"/>
      </w:pPr>
      <w:r>
        <w:rPr>
          <w:noProof/>
        </w:rPr>
        <mc:AlternateContent>
          <mc:Choice Requires="wpg">
            <w:drawing>
              <wp:anchor distT="0" distB="0" distL="114300" distR="114300" simplePos="0" relativeHeight="251654656" behindDoc="1" locked="0" layoutInCell="1" allowOverlap="1">
                <wp:simplePos x="0" y="0"/>
                <wp:positionH relativeFrom="page">
                  <wp:posOffset>0</wp:posOffset>
                </wp:positionH>
                <wp:positionV relativeFrom="page">
                  <wp:posOffset>0</wp:posOffset>
                </wp:positionV>
                <wp:extent cx="36195" cy="36195"/>
                <wp:effectExtent l="0" t="19050" r="1905"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5" cy="36195"/>
                          <a:chOff x="0" y="0"/>
                          <a:chExt cx="57" cy="57"/>
                        </a:xfrm>
                      </wpg:grpSpPr>
                      <wps:wsp>
                        <wps:cNvPr id="40" name="Freeform 3"/>
                        <wps:cNvSpPr>
                          <a:spLocks/>
                        </wps:cNvSpPr>
                        <wps:spPr bwMode="auto">
                          <a:xfrm>
                            <a:off x="0" y="0"/>
                            <a:ext cx="57" cy="57"/>
                          </a:xfrm>
                          <a:custGeom>
                            <a:avLst/>
                            <a:gdLst>
                              <a:gd name="T0" fmla="*/ 0 w 57"/>
                              <a:gd name="T1" fmla="*/ 28 h 57"/>
                              <a:gd name="T2" fmla="*/ 57 w 57"/>
                              <a:gd name="T3" fmla="*/ 28 h 57"/>
                            </a:gdLst>
                            <a:ahLst/>
                            <a:cxnLst>
                              <a:cxn ang="0">
                                <a:pos x="T0" y="T1"/>
                              </a:cxn>
                              <a:cxn ang="0">
                                <a:pos x="T2" y="T3"/>
                              </a:cxn>
                            </a:cxnLst>
                            <a:rect l="0" t="0" r="r" b="b"/>
                            <a:pathLst>
                              <a:path w="57" h="57">
                                <a:moveTo>
                                  <a:pt x="0" y="28"/>
                                </a:moveTo>
                                <a:lnTo>
                                  <a:pt x="57" y="28"/>
                                </a:lnTo>
                              </a:path>
                            </a:pathLst>
                          </a:custGeom>
                          <a:noFill/>
                          <a:ln w="37274">
                            <a:solidFill>
                              <a:srgbClr val="FAFDF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EE9E9E" id="Group 39" o:spid="_x0000_s1026" style="position:absolute;margin-left:0;margin-top:0;width:2.85pt;height:2.85pt;z-index:-251661824;mso-position-horizontal-relative:page;mso-position-vertical-relative:page"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">
                <v:shape id="Freeform 3" o:spid="_x0000_s1027" style="position:absolute;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" path="m,28r57,e" filled="f" strokecolor="#fafdfa" strokeweight="1.0354mm">
                  <v:path arrowok="t" o:connecttype="custom" o:connectlocs="0,28;57,28" o:connectangles="0,0"/>
                </v:shape>
                <w10:wrap anchorx="page" anchory="page"/>
              </v:group>
            </w:pict>
          </mc:Fallback>
        </mc:AlternateContent>
      </w:r>
      <w:r w:rsidR="003F0BC5" w:rsidRPr="00992199">
        <w:t>Convenience products</w:t>
      </w:r>
    </w:p>
    <w:p w:rsidR="003F0BC5" w:rsidRPr="00992199" w:rsidRDefault="003F0BC5" w:rsidP="00F35405">
      <w:pPr>
        <w:widowControl w:val="0"/>
        <w:autoSpaceDE w:val="0"/>
        <w:autoSpaceDN w:val="0"/>
        <w:adjustRightInd w:val="0"/>
        <w:ind w:left="720"/>
        <w:rPr>
          <w:szCs w:val="20"/>
        </w:rPr>
      </w:pPr>
      <w:r w:rsidRPr="00992199">
        <w:rPr>
          <w:szCs w:val="20"/>
        </w:rPr>
        <w:t xml:space="preserve">An extensive range of convenience products are produced in both the Frozen Division and in the Canning Division. These </w:t>
      </w:r>
      <w:r w:rsidR="00EF0DC5">
        <w:rPr>
          <w:szCs w:val="20"/>
        </w:rPr>
        <w:t>range from</w:t>
      </w:r>
      <w:r w:rsidRPr="00992199">
        <w:rPr>
          <w:szCs w:val="20"/>
        </w:rPr>
        <w:t xml:space="preserve"> ready-to-eat vegetable dishes, soups, sauces and past</w:t>
      </w:r>
      <w:r w:rsidR="00864882">
        <w:rPr>
          <w:szCs w:val="20"/>
        </w:rPr>
        <w:t>a</w:t>
      </w:r>
      <w:r w:rsidRPr="00992199">
        <w:rPr>
          <w:szCs w:val="20"/>
        </w:rPr>
        <w:t xml:space="preserve">s </w:t>
      </w:r>
      <w:r w:rsidR="00EF0DC5">
        <w:rPr>
          <w:szCs w:val="20"/>
        </w:rPr>
        <w:t>to</w:t>
      </w:r>
      <w:r w:rsidRPr="00992199">
        <w:rPr>
          <w:szCs w:val="20"/>
        </w:rPr>
        <w:t xml:space="preserve"> the more complete dishes that include other food products such as rice, meat and fish. Within the Canning Division, soups and sauces are important products.</w:t>
      </w:r>
    </w:p>
    <w:p w:rsidR="003F0BC5" w:rsidRPr="00992199" w:rsidRDefault="003F0BC5" w:rsidP="008E7774">
      <w:pPr>
        <w:pStyle w:val="BulletsL1"/>
      </w:pPr>
      <w:r w:rsidRPr="00992199">
        <w:t>Organic vegetables</w:t>
      </w:r>
    </w:p>
    <w:p w:rsidR="003F0BC5" w:rsidRPr="00992199" w:rsidRDefault="003F0BC5" w:rsidP="00F35405">
      <w:pPr>
        <w:widowControl w:val="0"/>
        <w:autoSpaceDE w:val="0"/>
        <w:autoSpaceDN w:val="0"/>
        <w:adjustRightInd w:val="0"/>
        <w:ind w:left="720"/>
        <w:rPr>
          <w:szCs w:val="20"/>
        </w:rPr>
      </w:pPr>
      <w:r w:rsidRPr="00992199">
        <w:rPr>
          <w:szCs w:val="20"/>
        </w:rPr>
        <w:t xml:space="preserve">Most of the range of </w:t>
      </w:r>
      <w:r w:rsidR="00FE467C">
        <w:rPr>
          <w:szCs w:val="20"/>
        </w:rPr>
        <w:t>fruit</w:t>
      </w:r>
      <w:r w:rsidR="00FE467C" w:rsidRPr="00FE467C">
        <w:rPr>
          <w:szCs w:val="20"/>
        </w:rPr>
        <w:t xml:space="preserve"> and vegetables </w:t>
      </w:r>
      <w:r w:rsidRPr="00992199">
        <w:rPr>
          <w:szCs w:val="20"/>
        </w:rPr>
        <w:t xml:space="preserve">are also offered in an organic variant in both divisions. Separate storage </w:t>
      </w:r>
      <w:r w:rsidRPr="00992199">
        <w:rPr>
          <w:szCs w:val="20"/>
          <w:lang w:bidi="as-IN"/>
        </w:rPr>
        <w:t>of</w:t>
      </w:r>
      <w:r w:rsidRPr="00992199">
        <w:rPr>
          <w:szCs w:val="20"/>
        </w:rPr>
        <w:t xml:space="preserve"> organic ingredients, processing without chemical processes, and continuous and unannounced inspections from Certisys guarantee high quality products for the customers of the Company.</w:t>
      </w:r>
    </w:p>
    <w:p w:rsidR="003F0BC5" w:rsidRPr="00992199" w:rsidRDefault="003F0BC5" w:rsidP="008E7774">
      <w:pPr>
        <w:pStyle w:val="BulletsL1"/>
      </w:pPr>
      <w:r w:rsidRPr="00992199">
        <w:t>Potatoes</w:t>
      </w:r>
    </w:p>
    <w:p w:rsidR="003F0BC5" w:rsidRPr="00992199" w:rsidRDefault="003F0BC5" w:rsidP="00F35405">
      <w:pPr>
        <w:widowControl w:val="0"/>
        <w:autoSpaceDE w:val="0"/>
        <w:autoSpaceDN w:val="0"/>
        <w:adjustRightInd w:val="0"/>
        <w:ind w:left="720"/>
        <w:rPr>
          <w:szCs w:val="20"/>
        </w:rPr>
      </w:pPr>
      <w:r w:rsidRPr="00992199">
        <w:rPr>
          <w:szCs w:val="20"/>
        </w:rPr>
        <w:t xml:space="preserve">The Canning Division processes and sells small firm potatoes, in glass and cans carefully selected </w:t>
      </w:r>
      <w:r w:rsidR="00EF0DC5">
        <w:rPr>
          <w:szCs w:val="20"/>
        </w:rPr>
        <w:t>on</w:t>
      </w:r>
      <w:r w:rsidRPr="00992199">
        <w:rPr>
          <w:szCs w:val="20"/>
        </w:rPr>
        <w:t xml:space="preserve"> quality. A diversified supply ensures a constant supply of fresh potatoes all year round. Virtually all conceivable combinations are possible: peeled or unpeeled, sliced, diced or whole potatoes. This is offered in various packaging options and various sizes.</w:t>
      </w:r>
    </w:p>
    <w:p w:rsidR="003F0BC5" w:rsidRPr="00992199" w:rsidRDefault="003F0BC5" w:rsidP="00353B80">
      <w:pPr>
        <w:pStyle w:val="Firm5L4"/>
        <w:keepNext/>
      </w:pPr>
      <w:r w:rsidRPr="00992199">
        <w:t>Customers</w:t>
      </w:r>
    </w:p>
    <w:p w:rsidR="003F0BC5" w:rsidRPr="00992199" w:rsidRDefault="003F0BC5" w:rsidP="003F0BC5">
      <w:pPr>
        <w:rPr>
          <w:szCs w:val="20"/>
        </w:rPr>
      </w:pPr>
      <w:r w:rsidRPr="00992199">
        <w:rPr>
          <w:szCs w:val="20"/>
        </w:rPr>
        <w:t xml:space="preserve">Over the years, </w:t>
      </w:r>
      <w:r w:rsidR="002A1AB1">
        <w:rPr>
          <w:szCs w:val="20"/>
        </w:rPr>
        <w:t>Greenyard Foods</w:t>
      </w:r>
      <w:r w:rsidRPr="00992199">
        <w:rPr>
          <w:szCs w:val="20"/>
        </w:rPr>
        <w:t xml:space="preserve"> has developed a broad and diversified client base, both in terms of customer type and geographical scope.</w:t>
      </w:r>
    </w:p>
    <w:p w:rsidR="003F0BC5" w:rsidRPr="00992199" w:rsidRDefault="003F0BC5" w:rsidP="003F0BC5">
      <w:pPr>
        <w:rPr>
          <w:i/>
          <w:szCs w:val="20"/>
        </w:rPr>
      </w:pPr>
      <w:r w:rsidRPr="00992199">
        <w:rPr>
          <w:i/>
          <w:szCs w:val="20"/>
        </w:rPr>
        <w:t>Segments</w:t>
      </w:r>
    </w:p>
    <w:p w:rsidR="003F0BC5" w:rsidRPr="00992199" w:rsidRDefault="003F0BC5" w:rsidP="003F0BC5">
      <w:pPr>
        <w:rPr>
          <w:szCs w:val="20"/>
        </w:rPr>
      </w:pPr>
      <w:r w:rsidRPr="00992199">
        <w:rPr>
          <w:szCs w:val="20"/>
        </w:rPr>
        <w:t>The client base of the Company is composed of three segments.</w:t>
      </w:r>
    </w:p>
    <w:p w:rsidR="003F0BC5" w:rsidRPr="00992199" w:rsidRDefault="00EF0DC5" w:rsidP="008E7774">
      <w:pPr>
        <w:pStyle w:val="BulletsL1"/>
      </w:pPr>
      <w:r>
        <w:t>Food retail</w:t>
      </w:r>
    </w:p>
    <w:p w:rsidR="003F0BC5" w:rsidRPr="00992199" w:rsidRDefault="005926B8" w:rsidP="00F35405">
      <w:pPr>
        <w:widowControl w:val="0"/>
        <w:autoSpaceDE w:val="0"/>
        <w:autoSpaceDN w:val="0"/>
        <w:adjustRightInd w:val="0"/>
        <w:ind w:left="720"/>
        <w:rPr>
          <w:szCs w:val="20"/>
        </w:rPr>
      </w:pPr>
      <w:r>
        <w:rPr>
          <w:szCs w:val="20"/>
        </w:rPr>
        <w:t>The f</w:t>
      </w:r>
      <w:r w:rsidR="003F0BC5" w:rsidRPr="00992199">
        <w:rPr>
          <w:szCs w:val="20"/>
        </w:rPr>
        <w:t xml:space="preserve">ood retail segment is mainly composed of hyper/supermarkets, hard discounters and mid-sized distributors that are selling the </w:t>
      </w:r>
      <w:r w:rsidR="002A1AB1">
        <w:rPr>
          <w:szCs w:val="20"/>
        </w:rPr>
        <w:t>Greenyard Foods</w:t>
      </w:r>
      <w:r w:rsidR="003F0BC5" w:rsidRPr="00992199">
        <w:rPr>
          <w:szCs w:val="20"/>
        </w:rPr>
        <w:t xml:space="preserve"> </w:t>
      </w:r>
      <w:r w:rsidR="00AE437F">
        <w:rPr>
          <w:szCs w:val="20"/>
        </w:rPr>
        <w:t xml:space="preserve">Group’s </w:t>
      </w:r>
      <w:r w:rsidR="003F0BC5" w:rsidRPr="00992199">
        <w:rPr>
          <w:szCs w:val="20"/>
        </w:rPr>
        <w:t xml:space="preserve">products to households (mainly </w:t>
      </w:r>
      <w:r w:rsidR="00EF0DC5">
        <w:rPr>
          <w:szCs w:val="20"/>
        </w:rPr>
        <w:t>through</w:t>
      </w:r>
      <w:r w:rsidR="003F0BC5" w:rsidRPr="00992199">
        <w:rPr>
          <w:szCs w:val="20"/>
        </w:rPr>
        <w:t xml:space="preserve"> private label).</w:t>
      </w:r>
    </w:p>
    <w:p w:rsidR="003F0BC5" w:rsidRPr="00992199" w:rsidRDefault="00EF0DC5" w:rsidP="008E7774">
      <w:pPr>
        <w:pStyle w:val="BulletsL1"/>
      </w:pPr>
      <w:r>
        <w:t>Food service</w:t>
      </w:r>
    </w:p>
    <w:p w:rsidR="003F0BC5" w:rsidRPr="00992199" w:rsidRDefault="003F0BC5" w:rsidP="00F35405">
      <w:pPr>
        <w:widowControl w:val="0"/>
        <w:autoSpaceDE w:val="0"/>
        <w:autoSpaceDN w:val="0"/>
        <w:adjustRightInd w:val="0"/>
        <w:ind w:left="720"/>
        <w:rPr>
          <w:szCs w:val="20"/>
        </w:rPr>
      </w:pPr>
      <w:r w:rsidRPr="00992199">
        <w:rPr>
          <w:szCs w:val="20"/>
        </w:rPr>
        <w:t xml:space="preserve">The food service segment includes commercial catering customers and industrial kitchens (amongst others hospitals, </w:t>
      </w:r>
      <w:r w:rsidRPr="00992199">
        <w:rPr>
          <w:szCs w:val="20"/>
          <w:lang w:bidi="as-IN"/>
        </w:rPr>
        <w:t>schools</w:t>
      </w:r>
      <w:r w:rsidRPr="00992199">
        <w:rPr>
          <w:szCs w:val="20"/>
        </w:rPr>
        <w:t xml:space="preserve"> and universities, company restaurants and hotels, restaurants and cafés).</w:t>
      </w:r>
    </w:p>
    <w:p w:rsidR="003F0BC5" w:rsidRPr="00992199" w:rsidRDefault="00EF0DC5" w:rsidP="008E7774">
      <w:pPr>
        <w:pStyle w:val="BulletsL1"/>
      </w:pPr>
      <w:r>
        <w:t>Food industry</w:t>
      </w:r>
    </w:p>
    <w:p w:rsidR="003F0BC5" w:rsidRPr="00992199" w:rsidRDefault="003F0BC5" w:rsidP="00F35405">
      <w:pPr>
        <w:widowControl w:val="0"/>
        <w:autoSpaceDE w:val="0"/>
        <w:autoSpaceDN w:val="0"/>
        <w:adjustRightInd w:val="0"/>
        <w:ind w:left="720"/>
        <w:rPr>
          <w:szCs w:val="20"/>
        </w:rPr>
      </w:pPr>
      <w:r w:rsidRPr="00992199">
        <w:rPr>
          <w:szCs w:val="20"/>
        </w:rPr>
        <w:t xml:space="preserve">The food industry segment includes both manufacturers of ready-made meals, soups, pasta products, bakery </w:t>
      </w:r>
      <w:r w:rsidRPr="00992199">
        <w:rPr>
          <w:szCs w:val="20"/>
          <w:lang w:bidi="as-IN"/>
        </w:rPr>
        <w:t>products</w:t>
      </w:r>
      <w:r w:rsidRPr="00992199">
        <w:rPr>
          <w:szCs w:val="20"/>
        </w:rPr>
        <w:t xml:space="preserve"> etc.</w:t>
      </w:r>
    </w:p>
    <w:p w:rsidR="003F0BC5" w:rsidRPr="00992199" w:rsidRDefault="003F0BC5" w:rsidP="003F0BC5">
      <w:pPr>
        <w:rPr>
          <w:szCs w:val="20"/>
        </w:rPr>
      </w:pPr>
      <w:r w:rsidRPr="00992199">
        <w:rPr>
          <w:szCs w:val="20"/>
        </w:rPr>
        <w:t xml:space="preserve">Below is an overview per segment of the consolidated sales of </w:t>
      </w:r>
      <w:r w:rsidR="002A1AB1">
        <w:rPr>
          <w:szCs w:val="20"/>
        </w:rPr>
        <w:t>Greenyard Foods</w:t>
      </w:r>
      <w:r w:rsidRPr="00992199">
        <w:rPr>
          <w:szCs w:val="20"/>
        </w:rPr>
        <w:t xml:space="preserve"> for </w:t>
      </w:r>
      <w:r w:rsidR="00C95087">
        <w:rPr>
          <w:szCs w:val="20"/>
        </w:rPr>
        <w:t>the financial year ended 31 March 2015</w:t>
      </w:r>
      <w:r w:rsidRPr="00992199">
        <w:rPr>
          <w:szCs w:val="20"/>
        </w:rPr>
        <w:t>:</w:t>
      </w:r>
    </w:p>
    <w:tbl>
      <w:tblPr>
        <w:tblW w:w="0" w:type="auto"/>
        <w:tblLayout w:type="fixed"/>
        <w:tblLook w:val="04A0" w:firstRow="1" w:lastRow="0" w:firstColumn="1" w:lastColumn="0" w:noHBand="0" w:noVBand="1"/>
      </w:tblPr>
      <w:tblGrid>
        <w:gridCol w:w="7479"/>
        <w:gridCol w:w="1766"/>
      </w:tblGrid>
      <w:tr w:rsidR="00CD1029" w:rsidRPr="00CD1029" w:rsidTr="00CD1029">
        <w:tc>
          <w:tcPr>
            <w:tcW w:w="7479" w:type="dxa"/>
            <w:shd w:val="clear" w:color="auto" w:fill="auto"/>
          </w:tcPr>
          <w:p w:rsidR="00CD1029" w:rsidRPr="00CD1029" w:rsidRDefault="00CD1029" w:rsidP="00CD1029">
            <w:pPr>
              <w:pBdr>
                <w:bottom w:val="single" w:sz="4" w:space="1" w:color="auto"/>
              </w:pBdr>
              <w:spacing w:before="0" w:after="0"/>
              <w:rPr>
                <w:b/>
                <w:sz w:val="18"/>
                <w:szCs w:val="18"/>
              </w:rPr>
            </w:pPr>
            <w:r w:rsidRPr="00CD1029">
              <w:rPr>
                <w:b/>
                <w:sz w:val="18"/>
                <w:szCs w:val="18"/>
              </w:rPr>
              <w:t>Segment</w:t>
            </w:r>
          </w:p>
          <w:p w:rsidR="00CD1029" w:rsidRPr="00CD1029" w:rsidRDefault="00CD1029" w:rsidP="00CD1029">
            <w:pPr>
              <w:pBdr>
                <w:bottom w:val="single" w:sz="4" w:space="1" w:color="auto"/>
              </w:pBdr>
              <w:spacing w:before="0" w:after="0"/>
              <w:rPr>
                <w:b/>
                <w:sz w:val="18"/>
                <w:szCs w:val="18"/>
              </w:rPr>
            </w:pPr>
          </w:p>
          <w:p w:rsidR="00CD1029" w:rsidRPr="00CD1029" w:rsidRDefault="00CD1029" w:rsidP="00CD1029">
            <w:pPr>
              <w:pBdr>
                <w:bottom w:val="single" w:sz="4" w:space="1" w:color="auto"/>
              </w:pBdr>
              <w:spacing w:before="0" w:after="0"/>
              <w:rPr>
                <w:b/>
                <w:sz w:val="18"/>
                <w:szCs w:val="18"/>
              </w:rPr>
            </w:pPr>
          </w:p>
        </w:tc>
        <w:tc>
          <w:tcPr>
            <w:tcW w:w="1766" w:type="dxa"/>
            <w:shd w:val="clear" w:color="auto" w:fill="auto"/>
          </w:tcPr>
          <w:p w:rsidR="00CD1029" w:rsidRPr="00CD1029" w:rsidRDefault="00CD1029" w:rsidP="00CD1029">
            <w:pPr>
              <w:pBdr>
                <w:bottom w:val="single" w:sz="4" w:space="1" w:color="auto"/>
              </w:pBdr>
              <w:spacing w:before="0" w:after="0"/>
              <w:jc w:val="right"/>
              <w:rPr>
                <w:b/>
                <w:sz w:val="18"/>
                <w:szCs w:val="20"/>
              </w:rPr>
            </w:pPr>
            <w:r w:rsidRPr="00CD1029">
              <w:rPr>
                <w:b/>
                <w:sz w:val="18"/>
                <w:szCs w:val="20"/>
              </w:rPr>
              <w:t xml:space="preserve">% of total sales for year ended </w:t>
            </w:r>
          </w:p>
          <w:p w:rsidR="00CD1029" w:rsidRPr="00CD1029" w:rsidRDefault="00CD1029" w:rsidP="00CD1029">
            <w:pPr>
              <w:pBdr>
                <w:bottom w:val="single" w:sz="4" w:space="1" w:color="auto"/>
              </w:pBdr>
              <w:spacing w:before="0" w:after="0"/>
              <w:jc w:val="right"/>
              <w:rPr>
                <w:b/>
                <w:sz w:val="18"/>
                <w:szCs w:val="18"/>
              </w:rPr>
            </w:pPr>
            <w:r w:rsidRPr="00CD1029">
              <w:rPr>
                <w:b/>
                <w:sz w:val="18"/>
                <w:szCs w:val="20"/>
              </w:rPr>
              <w:t>31 March 2015</w:t>
            </w:r>
          </w:p>
        </w:tc>
      </w:tr>
      <w:tr w:rsidR="00CD1029" w:rsidRPr="00CD1029" w:rsidTr="00CD1029">
        <w:tc>
          <w:tcPr>
            <w:tcW w:w="7479" w:type="dxa"/>
            <w:shd w:val="clear" w:color="auto" w:fill="auto"/>
          </w:tcPr>
          <w:p w:rsidR="00CD1029" w:rsidRPr="00CD1029" w:rsidRDefault="00CD1029" w:rsidP="00CD1029">
            <w:pPr>
              <w:tabs>
                <w:tab w:val="right" w:leader="dot" w:pos="7230"/>
              </w:tabs>
              <w:spacing w:before="0" w:after="0"/>
              <w:rPr>
                <w:sz w:val="18"/>
                <w:szCs w:val="18"/>
              </w:rPr>
            </w:pPr>
            <w:r w:rsidRPr="00CD1029">
              <w:rPr>
                <w:sz w:val="18"/>
                <w:szCs w:val="18"/>
              </w:rPr>
              <w:t>Food Retail</w:t>
            </w:r>
            <w:r w:rsidRPr="00CD1029">
              <w:rPr>
                <w:sz w:val="18"/>
                <w:szCs w:val="18"/>
              </w:rPr>
              <w:tab/>
            </w:r>
          </w:p>
        </w:tc>
        <w:tc>
          <w:tcPr>
            <w:tcW w:w="1766" w:type="dxa"/>
            <w:shd w:val="clear" w:color="auto" w:fill="auto"/>
          </w:tcPr>
          <w:p w:rsidR="00CD1029" w:rsidRPr="00CD1029" w:rsidRDefault="00CD1029" w:rsidP="00CD1029">
            <w:pPr>
              <w:spacing w:before="0" w:after="0"/>
              <w:jc w:val="right"/>
              <w:rPr>
                <w:sz w:val="18"/>
                <w:szCs w:val="18"/>
              </w:rPr>
            </w:pPr>
            <w:r w:rsidRPr="00CD1029">
              <w:rPr>
                <w:sz w:val="18"/>
                <w:szCs w:val="18"/>
              </w:rPr>
              <w:t>63.8%</w:t>
            </w:r>
          </w:p>
        </w:tc>
      </w:tr>
      <w:tr w:rsidR="00CD1029" w:rsidRPr="00CD1029" w:rsidTr="00CD1029">
        <w:tc>
          <w:tcPr>
            <w:tcW w:w="7479" w:type="dxa"/>
            <w:shd w:val="clear" w:color="auto" w:fill="auto"/>
          </w:tcPr>
          <w:p w:rsidR="00CD1029" w:rsidRPr="00CD1029" w:rsidRDefault="00CD1029" w:rsidP="00CD1029">
            <w:pPr>
              <w:tabs>
                <w:tab w:val="right" w:leader="dot" w:pos="7230"/>
              </w:tabs>
              <w:spacing w:before="0" w:after="0"/>
              <w:rPr>
                <w:sz w:val="18"/>
                <w:szCs w:val="18"/>
              </w:rPr>
            </w:pPr>
            <w:r w:rsidRPr="00CD1029">
              <w:rPr>
                <w:sz w:val="18"/>
                <w:szCs w:val="18"/>
              </w:rPr>
              <w:t>Food Service</w:t>
            </w:r>
            <w:r w:rsidRPr="00CD1029">
              <w:rPr>
                <w:sz w:val="18"/>
                <w:szCs w:val="18"/>
              </w:rPr>
              <w:tab/>
            </w:r>
          </w:p>
        </w:tc>
        <w:tc>
          <w:tcPr>
            <w:tcW w:w="1766" w:type="dxa"/>
            <w:shd w:val="clear" w:color="auto" w:fill="auto"/>
          </w:tcPr>
          <w:p w:rsidR="00CD1029" w:rsidRPr="00CD1029" w:rsidRDefault="00CD1029" w:rsidP="00CD1029">
            <w:pPr>
              <w:spacing w:before="0" w:after="0"/>
              <w:jc w:val="right"/>
              <w:rPr>
                <w:sz w:val="18"/>
                <w:szCs w:val="18"/>
              </w:rPr>
            </w:pPr>
            <w:r w:rsidRPr="00CD1029">
              <w:rPr>
                <w:sz w:val="18"/>
                <w:szCs w:val="18"/>
              </w:rPr>
              <w:t>20.7%</w:t>
            </w:r>
          </w:p>
        </w:tc>
      </w:tr>
      <w:tr w:rsidR="00CD1029" w:rsidRPr="007B5305" w:rsidTr="00CD1029">
        <w:tc>
          <w:tcPr>
            <w:tcW w:w="7479" w:type="dxa"/>
            <w:shd w:val="clear" w:color="auto" w:fill="auto"/>
          </w:tcPr>
          <w:p w:rsidR="00CD1029" w:rsidRPr="00CD1029" w:rsidRDefault="00CD1029" w:rsidP="00CD1029">
            <w:pPr>
              <w:tabs>
                <w:tab w:val="right" w:leader="dot" w:pos="7230"/>
              </w:tabs>
              <w:spacing w:before="0" w:after="0"/>
              <w:rPr>
                <w:sz w:val="18"/>
                <w:szCs w:val="18"/>
              </w:rPr>
            </w:pPr>
            <w:r w:rsidRPr="00CD1029">
              <w:rPr>
                <w:sz w:val="18"/>
                <w:szCs w:val="18"/>
              </w:rPr>
              <w:t>Food Industry</w:t>
            </w:r>
            <w:r w:rsidRPr="00CD1029">
              <w:rPr>
                <w:sz w:val="18"/>
                <w:szCs w:val="18"/>
              </w:rPr>
              <w:tab/>
            </w:r>
          </w:p>
        </w:tc>
        <w:tc>
          <w:tcPr>
            <w:tcW w:w="1766" w:type="dxa"/>
            <w:shd w:val="clear" w:color="auto" w:fill="auto"/>
          </w:tcPr>
          <w:p w:rsidR="00CD1029" w:rsidRPr="00CD1029" w:rsidRDefault="00CD1029" w:rsidP="00CD1029">
            <w:pPr>
              <w:spacing w:before="0" w:after="0"/>
              <w:jc w:val="right"/>
              <w:rPr>
                <w:sz w:val="18"/>
                <w:szCs w:val="18"/>
              </w:rPr>
            </w:pPr>
            <w:r w:rsidRPr="00CD1029">
              <w:rPr>
                <w:sz w:val="18"/>
                <w:szCs w:val="18"/>
              </w:rPr>
              <w:t>15.5%</w:t>
            </w:r>
          </w:p>
        </w:tc>
      </w:tr>
    </w:tbl>
    <w:p w:rsidR="003F0BC5" w:rsidRPr="00992199" w:rsidRDefault="009310EA" w:rsidP="003F0BC5">
      <w:pPr>
        <w:rPr>
          <w:i/>
          <w:szCs w:val="20"/>
        </w:rPr>
      </w:pPr>
      <w:r>
        <w:rPr>
          <w:i/>
          <w:szCs w:val="20"/>
        </w:rPr>
        <w:t>Major</w:t>
      </w:r>
      <w:r w:rsidR="003F0BC5" w:rsidRPr="00992199">
        <w:rPr>
          <w:i/>
          <w:szCs w:val="20"/>
        </w:rPr>
        <w:t xml:space="preserve"> customers</w:t>
      </w:r>
    </w:p>
    <w:p w:rsidR="003F0BC5" w:rsidRPr="00992199" w:rsidRDefault="00C95087" w:rsidP="003F0BC5">
      <w:pPr>
        <w:rPr>
          <w:szCs w:val="20"/>
        </w:rPr>
      </w:pPr>
      <w:r w:rsidRPr="00C95087">
        <w:rPr>
          <w:szCs w:val="20"/>
        </w:rPr>
        <w:t xml:space="preserve">The Greenyard Foods Group </w:t>
      </w:r>
      <w:r w:rsidR="003F0BC5" w:rsidRPr="00992199">
        <w:rPr>
          <w:szCs w:val="20"/>
        </w:rPr>
        <w:t>has a very loyal customer base with most customers already being customers for many years. The number of customers has remained quite stable or has increased over the past years.</w:t>
      </w:r>
    </w:p>
    <w:p w:rsidR="003F0BC5" w:rsidRPr="00992199" w:rsidRDefault="00C95087" w:rsidP="003F0BC5">
      <w:pPr>
        <w:rPr>
          <w:szCs w:val="20"/>
        </w:rPr>
      </w:pPr>
      <w:r>
        <w:rPr>
          <w:szCs w:val="20"/>
        </w:rPr>
        <w:lastRenderedPageBreak/>
        <w:t xml:space="preserve">The Greenyard Foods Group </w:t>
      </w:r>
      <w:r w:rsidR="003F0BC5" w:rsidRPr="00992199">
        <w:rPr>
          <w:szCs w:val="20"/>
        </w:rPr>
        <w:t xml:space="preserve">owns the </w:t>
      </w:r>
      <w:r w:rsidR="00EF0DC5">
        <w:rPr>
          <w:szCs w:val="20"/>
        </w:rPr>
        <w:t>‘</w:t>
      </w:r>
      <w:r w:rsidR="003F0BC5" w:rsidRPr="00992199">
        <w:rPr>
          <w:szCs w:val="20"/>
        </w:rPr>
        <w:t>Pinguin</w:t>
      </w:r>
      <w:r w:rsidR="00EF0DC5">
        <w:rPr>
          <w:szCs w:val="20"/>
        </w:rPr>
        <w:t>’</w:t>
      </w:r>
      <w:r w:rsidR="003F0BC5" w:rsidRPr="00992199">
        <w:rPr>
          <w:szCs w:val="20"/>
        </w:rPr>
        <w:t xml:space="preserve"> brand name used primarily for supplies to the food service and the food industry. The Pinguin brand is less well-known to retail customers as products supplied to the retail sector are sold under a private label or a house brand.</w:t>
      </w:r>
    </w:p>
    <w:p w:rsidR="003F0BC5" w:rsidRPr="00992199" w:rsidRDefault="005926B8" w:rsidP="003F0BC5">
      <w:pPr>
        <w:rPr>
          <w:szCs w:val="20"/>
        </w:rPr>
      </w:pPr>
      <w:r>
        <w:rPr>
          <w:szCs w:val="20"/>
        </w:rPr>
        <w:t>T</w:t>
      </w:r>
      <w:r w:rsidR="003F0BC5" w:rsidRPr="00992199">
        <w:rPr>
          <w:szCs w:val="20"/>
        </w:rPr>
        <w:t xml:space="preserve">he </w:t>
      </w:r>
      <w:r w:rsidR="002A1AB1">
        <w:rPr>
          <w:szCs w:val="20"/>
        </w:rPr>
        <w:t>Greenyard Foods</w:t>
      </w:r>
      <w:r w:rsidR="003F0BC5" w:rsidRPr="00992199">
        <w:rPr>
          <w:szCs w:val="20"/>
        </w:rPr>
        <w:t xml:space="preserve"> Group </w:t>
      </w:r>
      <w:r>
        <w:rPr>
          <w:szCs w:val="20"/>
        </w:rPr>
        <w:t xml:space="preserve">generated 38% of its revenues </w:t>
      </w:r>
      <w:r w:rsidR="003F0BC5" w:rsidRPr="00992199">
        <w:rPr>
          <w:szCs w:val="20"/>
        </w:rPr>
        <w:t xml:space="preserve">from its </w:t>
      </w:r>
      <w:r w:rsidR="006042CC">
        <w:rPr>
          <w:szCs w:val="20"/>
        </w:rPr>
        <w:t>ten</w:t>
      </w:r>
      <w:r w:rsidR="003F0BC5" w:rsidRPr="00992199">
        <w:rPr>
          <w:szCs w:val="20"/>
        </w:rPr>
        <w:t xml:space="preserve"> largest customers as of and for the </w:t>
      </w:r>
      <w:r w:rsidR="00ED1BE9">
        <w:rPr>
          <w:szCs w:val="20"/>
        </w:rPr>
        <w:t xml:space="preserve">financial </w:t>
      </w:r>
      <w:r w:rsidR="003F0BC5" w:rsidRPr="00992199">
        <w:rPr>
          <w:szCs w:val="20"/>
        </w:rPr>
        <w:t>year ended 31 March 2015.</w:t>
      </w:r>
    </w:p>
    <w:p w:rsidR="003F0BC5" w:rsidRPr="00992199" w:rsidRDefault="003F0BC5" w:rsidP="003F0BC5">
      <w:pPr>
        <w:rPr>
          <w:i/>
          <w:szCs w:val="20"/>
        </w:rPr>
      </w:pPr>
      <w:r w:rsidRPr="00992199">
        <w:rPr>
          <w:i/>
          <w:szCs w:val="20"/>
        </w:rPr>
        <w:t>Geographical presence</w:t>
      </w:r>
    </w:p>
    <w:p w:rsidR="003F0BC5" w:rsidRPr="00992199" w:rsidRDefault="00C95087" w:rsidP="003F0BC5">
      <w:pPr>
        <w:rPr>
          <w:szCs w:val="20"/>
        </w:rPr>
      </w:pPr>
      <w:r>
        <w:rPr>
          <w:szCs w:val="20"/>
        </w:rPr>
        <w:t xml:space="preserve">The Greenyard Foods Group </w:t>
      </w:r>
      <w:r w:rsidR="003F0BC5" w:rsidRPr="00992199">
        <w:rPr>
          <w:szCs w:val="20"/>
        </w:rPr>
        <w:t xml:space="preserve">has customers in 106 countries. The most important markets are the </w:t>
      </w:r>
      <w:smartTag w:uri="urn:schemas-microsoft-com:office:smarttags" w:element="country-region">
        <w:r w:rsidR="003F0BC5" w:rsidRPr="00992199">
          <w:rPr>
            <w:szCs w:val="20"/>
          </w:rPr>
          <w:t>United Kingdom</w:t>
        </w:r>
      </w:smartTag>
      <w:r w:rsidR="003F0BC5" w:rsidRPr="00992199">
        <w:rPr>
          <w:szCs w:val="20"/>
        </w:rPr>
        <w:t xml:space="preserve"> </w:t>
      </w:r>
      <w:r w:rsidR="005926B8">
        <w:rPr>
          <w:szCs w:val="20"/>
        </w:rPr>
        <w:t>(23.</w:t>
      </w:r>
      <w:r w:rsidR="00C14674">
        <w:rPr>
          <w:szCs w:val="20"/>
        </w:rPr>
        <w:t>3</w:t>
      </w:r>
      <w:r w:rsidR="005926B8">
        <w:rPr>
          <w:szCs w:val="20"/>
        </w:rPr>
        <w:t xml:space="preserve">%) </w:t>
      </w:r>
      <w:r w:rsidR="003F0BC5" w:rsidRPr="00992199">
        <w:rPr>
          <w:szCs w:val="20"/>
        </w:rPr>
        <w:t xml:space="preserve">and </w:t>
      </w:r>
      <w:smartTag w:uri="urn:schemas-microsoft-com:office:smarttags" w:element="country-region">
        <w:smartTag w:uri="urn:schemas-microsoft-com:office:smarttags" w:element="place">
          <w:r w:rsidR="003F0BC5" w:rsidRPr="00992199">
            <w:rPr>
              <w:szCs w:val="20"/>
            </w:rPr>
            <w:t>France</w:t>
          </w:r>
        </w:smartTag>
      </w:smartTag>
      <w:r w:rsidR="005926B8">
        <w:rPr>
          <w:szCs w:val="20"/>
        </w:rPr>
        <w:t xml:space="preserve"> (21.8%)</w:t>
      </w:r>
      <w:r w:rsidR="00864882">
        <w:rPr>
          <w:szCs w:val="20"/>
        </w:rPr>
        <w:t xml:space="preserve"> in the financial year ended 31 March 2015</w:t>
      </w:r>
      <w:r w:rsidR="003F0BC5" w:rsidRPr="00992199">
        <w:rPr>
          <w:szCs w:val="20"/>
        </w:rPr>
        <w:t xml:space="preserve">. In addition, </w:t>
      </w:r>
      <w:r w:rsidR="00864882">
        <w:rPr>
          <w:szCs w:val="20"/>
        </w:rPr>
        <w:t xml:space="preserve">in the financial year ended 31 March 2015, </w:t>
      </w:r>
      <w:r w:rsidR="003F0BC5" w:rsidRPr="00992199">
        <w:rPr>
          <w:szCs w:val="20"/>
        </w:rPr>
        <w:t>12</w:t>
      </w:r>
      <w:r w:rsidR="005926B8">
        <w:rPr>
          <w:szCs w:val="20"/>
        </w:rPr>
        <w:t>.6</w:t>
      </w:r>
      <w:r w:rsidR="003F0BC5" w:rsidRPr="00992199">
        <w:rPr>
          <w:szCs w:val="20"/>
        </w:rPr>
        <w:t>% of s</w:t>
      </w:r>
      <w:r w:rsidR="005926B8">
        <w:rPr>
          <w:szCs w:val="20"/>
        </w:rPr>
        <w:t xml:space="preserve">ales were generated in </w:t>
      </w:r>
      <w:smartTag w:uri="urn:schemas-microsoft-com:office:smarttags" w:element="country-region">
        <w:r w:rsidR="005926B8">
          <w:rPr>
            <w:szCs w:val="20"/>
          </w:rPr>
          <w:t>Germany</w:t>
        </w:r>
      </w:smartTag>
      <w:r w:rsidR="005926B8">
        <w:rPr>
          <w:szCs w:val="20"/>
        </w:rPr>
        <w:t>,</w:t>
      </w:r>
      <w:r w:rsidR="003F0BC5" w:rsidRPr="00992199">
        <w:rPr>
          <w:szCs w:val="20"/>
        </w:rPr>
        <w:t xml:space="preserve"> 10</w:t>
      </w:r>
      <w:r w:rsidR="005926B8">
        <w:rPr>
          <w:szCs w:val="20"/>
        </w:rPr>
        <w:t>.</w:t>
      </w:r>
      <w:r w:rsidR="003F0BC5" w:rsidRPr="00992199">
        <w:rPr>
          <w:szCs w:val="20"/>
        </w:rPr>
        <w:t xml:space="preserve">8% in </w:t>
      </w:r>
      <w:smartTag w:uri="urn:schemas-microsoft-com:office:smarttags" w:element="country-region">
        <w:r w:rsidR="003F0BC5" w:rsidRPr="00992199">
          <w:rPr>
            <w:szCs w:val="20"/>
          </w:rPr>
          <w:t>Belgium</w:t>
        </w:r>
      </w:smartTag>
      <w:r w:rsidR="005926B8">
        <w:rPr>
          <w:szCs w:val="20"/>
        </w:rPr>
        <w:t xml:space="preserve"> and 3.7% in </w:t>
      </w:r>
      <w:smartTag w:uri="urn:schemas-microsoft-com:office:smarttags" w:element="country-region">
        <w:smartTag w:uri="urn:schemas-microsoft-com:office:smarttags" w:element="place">
          <w:r w:rsidR="005926B8">
            <w:rPr>
              <w:szCs w:val="20"/>
            </w:rPr>
            <w:t>Italy</w:t>
          </w:r>
        </w:smartTag>
      </w:smartTag>
      <w:r w:rsidR="003F0BC5" w:rsidRPr="00992199">
        <w:rPr>
          <w:szCs w:val="20"/>
        </w:rPr>
        <w:t>.</w:t>
      </w:r>
    </w:p>
    <w:p w:rsidR="00737172" w:rsidRDefault="00737172" w:rsidP="00353B80">
      <w:pPr>
        <w:pStyle w:val="Firm5L4"/>
        <w:keepNext/>
      </w:pPr>
      <w:r>
        <w:t>Contractual framework</w:t>
      </w:r>
    </w:p>
    <w:p w:rsidR="00737172" w:rsidRDefault="00737172" w:rsidP="00737172">
      <w:r>
        <w:t xml:space="preserve">It is common practice in both the </w:t>
      </w:r>
      <w:r w:rsidR="00E0533C">
        <w:t xml:space="preserve">Frozen </w:t>
      </w:r>
      <w:r>
        <w:t xml:space="preserve">Division and the </w:t>
      </w:r>
      <w:r w:rsidR="00E0533C" w:rsidRPr="00E0533C">
        <w:t xml:space="preserve">Canning </w:t>
      </w:r>
      <w:r>
        <w:t xml:space="preserve">Division that a limited number of contracts </w:t>
      </w:r>
      <w:r w:rsidR="00E0533C">
        <w:t>are</w:t>
      </w:r>
      <w:r>
        <w:t xml:space="preserve"> put in place with customers. Agreements are made on prices but the volumes sold are mostly ordered based. Contracts with growers are generally made in January and contracts with customers are generally made starting from September or October each year. This means that a timing difference exists between contracts with growers and commercial negotiations with customers.</w:t>
      </w:r>
    </w:p>
    <w:p w:rsidR="003F0BC5" w:rsidRPr="00992199" w:rsidRDefault="003F0BC5" w:rsidP="00353B80">
      <w:pPr>
        <w:pStyle w:val="Firm5L4"/>
        <w:keepNext/>
      </w:pPr>
      <w:r w:rsidRPr="00992199">
        <w:t>Sourcing</w:t>
      </w:r>
    </w:p>
    <w:p w:rsidR="003F0BC5" w:rsidRPr="00992199" w:rsidRDefault="003F0BC5" w:rsidP="003F0BC5">
      <w:pPr>
        <w:rPr>
          <w:szCs w:val="20"/>
        </w:rPr>
      </w:pPr>
      <w:r w:rsidRPr="00992199">
        <w:rPr>
          <w:szCs w:val="20"/>
        </w:rPr>
        <w:t xml:space="preserve">The Belgian activities of the Frozen Division are supplied with fresh vegetables by some 800 farmers in West Flanders and northern </w:t>
      </w:r>
      <w:smartTag w:uri="urn:schemas-microsoft-com:office:smarttags" w:element="country-region">
        <w:smartTag w:uri="urn:schemas-microsoft-com:office:smarttags" w:element="place">
          <w:r w:rsidRPr="00992199">
            <w:rPr>
              <w:szCs w:val="20"/>
            </w:rPr>
            <w:t>France</w:t>
          </w:r>
        </w:smartTag>
      </w:smartTag>
      <w:r w:rsidRPr="00992199">
        <w:rPr>
          <w:szCs w:val="20"/>
        </w:rPr>
        <w:t xml:space="preserve">. The frozen activities in the </w:t>
      </w:r>
      <w:smartTag w:uri="urn:schemas-microsoft-com:office:smarttags" w:element="country-region">
        <w:r w:rsidRPr="00992199">
          <w:rPr>
            <w:szCs w:val="20"/>
          </w:rPr>
          <w:t>United Kingdom</w:t>
        </w:r>
      </w:smartTag>
      <w:r w:rsidRPr="00992199">
        <w:rPr>
          <w:szCs w:val="20"/>
        </w:rPr>
        <w:t xml:space="preserve">, </w:t>
      </w:r>
      <w:smartTag w:uri="urn:schemas-microsoft-com:office:smarttags" w:element="country-region">
        <w:r w:rsidRPr="00992199">
          <w:rPr>
            <w:szCs w:val="20"/>
          </w:rPr>
          <w:t>France</w:t>
        </w:r>
      </w:smartTag>
      <w:r w:rsidRPr="00992199">
        <w:rPr>
          <w:szCs w:val="20"/>
        </w:rPr>
        <w:t xml:space="preserve">, </w:t>
      </w:r>
      <w:smartTag w:uri="urn:schemas-microsoft-com:office:smarttags" w:element="country-region">
        <w:r w:rsidRPr="00992199">
          <w:rPr>
            <w:szCs w:val="20"/>
          </w:rPr>
          <w:t>Poland</w:t>
        </w:r>
      </w:smartTag>
      <w:r w:rsidRPr="00992199">
        <w:rPr>
          <w:szCs w:val="20"/>
        </w:rPr>
        <w:t xml:space="preserve"> and </w:t>
      </w:r>
      <w:smartTag w:uri="urn:schemas-microsoft-com:office:smarttags" w:element="country-region">
        <w:smartTag w:uri="urn:schemas-microsoft-com:office:smarttags" w:element="place">
          <w:r w:rsidRPr="00992199">
            <w:rPr>
              <w:szCs w:val="20"/>
            </w:rPr>
            <w:t>Hungary</w:t>
          </w:r>
        </w:smartTag>
      </w:smartTag>
      <w:r w:rsidRPr="00992199">
        <w:rPr>
          <w:szCs w:val="20"/>
        </w:rPr>
        <w:t xml:space="preserve"> are supplied by a limited number of agricultural cooperatives and a variety of dealers.</w:t>
      </w:r>
      <w:r w:rsidR="009E74F8">
        <w:rPr>
          <w:szCs w:val="20"/>
        </w:rPr>
        <w:t xml:space="preserve"> </w:t>
      </w:r>
      <w:r w:rsidRPr="00992199">
        <w:rPr>
          <w:szCs w:val="20"/>
        </w:rPr>
        <w:t xml:space="preserve">The Canning Division sources its fresh vegetables from growers, mainly located in a radius of 100 km around Bree, mainly in the region </w:t>
      </w:r>
      <w:r w:rsidR="00B645EF">
        <w:rPr>
          <w:szCs w:val="20"/>
        </w:rPr>
        <w:t>north east</w:t>
      </w:r>
      <w:r w:rsidRPr="00992199">
        <w:rPr>
          <w:szCs w:val="20"/>
        </w:rPr>
        <w:t xml:space="preserve"> Limburg, </w:t>
      </w:r>
      <w:r w:rsidR="00B645EF">
        <w:rPr>
          <w:szCs w:val="20"/>
        </w:rPr>
        <w:t xml:space="preserve">south </w:t>
      </w:r>
      <w:r w:rsidRPr="00992199">
        <w:rPr>
          <w:szCs w:val="20"/>
        </w:rPr>
        <w:t>Limburg</w:t>
      </w:r>
      <w:r w:rsidR="00B645EF">
        <w:rPr>
          <w:szCs w:val="20"/>
        </w:rPr>
        <w:t xml:space="preserve"> </w:t>
      </w:r>
      <w:r w:rsidRPr="00992199">
        <w:rPr>
          <w:szCs w:val="20"/>
        </w:rPr>
        <w:t xml:space="preserve">/ Haspengouw and </w:t>
      </w:r>
      <w:r w:rsidR="00B645EF">
        <w:rPr>
          <w:szCs w:val="20"/>
        </w:rPr>
        <w:t>south east</w:t>
      </w:r>
      <w:r w:rsidRPr="00992199">
        <w:rPr>
          <w:szCs w:val="20"/>
        </w:rPr>
        <w:t xml:space="preserve"> Netherlands, for all vegetables, and the region West side Germany, specially for beans.</w:t>
      </w:r>
    </w:p>
    <w:p w:rsidR="003F0BC5" w:rsidRPr="00992199" w:rsidRDefault="003F0BC5" w:rsidP="003F0BC5">
      <w:pPr>
        <w:rPr>
          <w:szCs w:val="20"/>
        </w:rPr>
      </w:pPr>
      <w:r w:rsidRPr="00992199">
        <w:rPr>
          <w:szCs w:val="20"/>
        </w:rPr>
        <w:t xml:space="preserve">The geographical spread of the purchases changes from year to year depending on the price and the availability. Thanks to cooperative agreements with a number of vegetable groups to deal with surpluses or shortages, both divisions have spread their supply risk in guaranteeing delivery of the quantities demanded by </w:t>
      </w:r>
      <w:r w:rsidR="00997C55">
        <w:rPr>
          <w:szCs w:val="20"/>
        </w:rPr>
        <w:t>the Greenyard Foods Group’s</w:t>
      </w:r>
      <w:r w:rsidR="00997C55" w:rsidRPr="00992199">
        <w:rPr>
          <w:szCs w:val="20"/>
        </w:rPr>
        <w:t xml:space="preserve"> </w:t>
      </w:r>
      <w:r w:rsidRPr="00992199">
        <w:rPr>
          <w:szCs w:val="20"/>
        </w:rPr>
        <w:t>customers.</w:t>
      </w:r>
    </w:p>
    <w:p w:rsidR="003F0BC5" w:rsidRPr="00992199" w:rsidRDefault="003F0BC5" w:rsidP="003F0BC5">
      <w:pPr>
        <w:rPr>
          <w:szCs w:val="20"/>
        </w:rPr>
      </w:pPr>
      <w:r w:rsidRPr="00992199">
        <w:rPr>
          <w:szCs w:val="20"/>
        </w:rPr>
        <w:t>A large part of the purchasing of fresh vegetables is subject to annual contracts that are negotiated with the farmers. These contracts set the quantity and price for fresh vegetables for the coming season and are usually concluded in January. The terms of these contracts are set in accordance with existing sector practice.</w:t>
      </w:r>
    </w:p>
    <w:p w:rsidR="003F0BC5" w:rsidRPr="00992199" w:rsidRDefault="003F0BC5" w:rsidP="00353B80">
      <w:pPr>
        <w:pStyle w:val="Firm5L4"/>
        <w:keepNext/>
      </w:pPr>
      <w:r w:rsidRPr="00992199">
        <w:t>Production process</w:t>
      </w:r>
    </w:p>
    <w:p w:rsidR="003F0BC5" w:rsidRPr="00992199" w:rsidRDefault="003F0BC5" w:rsidP="003F0BC5">
      <w:pPr>
        <w:rPr>
          <w:szCs w:val="20"/>
        </w:rPr>
      </w:pPr>
      <w:r w:rsidRPr="00992199">
        <w:rPr>
          <w:szCs w:val="20"/>
        </w:rPr>
        <w:t>Vegetables are processed within a few hours of being harvested. This preserves their original colour, flavour, and vitamin content. The preparation of vegetables at high quality standards also guarantee</w:t>
      </w:r>
      <w:r w:rsidR="00EF0DC5">
        <w:rPr>
          <w:szCs w:val="20"/>
        </w:rPr>
        <w:t>s</w:t>
      </w:r>
      <w:r w:rsidRPr="00992199">
        <w:rPr>
          <w:szCs w:val="20"/>
        </w:rPr>
        <w:t xml:space="preserve"> a stable quality over </w:t>
      </w:r>
      <w:r w:rsidR="00AE437F">
        <w:rPr>
          <w:szCs w:val="20"/>
        </w:rPr>
        <w:t xml:space="preserve">all </w:t>
      </w:r>
      <w:r w:rsidRPr="00992199">
        <w:rPr>
          <w:szCs w:val="20"/>
        </w:rPr>
        <w:t>products</w:t>
      </w:r>
      <w:r w:rsidR="00EF0DC5">
        <w:rPr>
          <w:szCs w:val="20"/>
        </w:rPr>
        <w:t xml:space="preserve"> lines</w:t>
      </w:r>
      <w:r w:rsidRPr="00992199">
        <w:rPr>
          <w:szCs w:val="20"/>
        </w:rPr>
        <w:t>.</w:t>
      </w:r>
    </w:p>
    <w:p w:rsidR="003F0BC5" w:rsidRPr="00992199" w:rsidRDefault="003F0BC5" w:rsidP="00BB0F52">
      <w:pPr>
        <w:pStyle w:val="BulletsL1"/>
      </w:pPr>
      <w:r w:rsidRPr="00992199">
        <w:t>Preparatory processing</w:t>
      </w:r>
    </w:p>
    <w:p w:rsidR="003F0BC5" w:rsidRPr="00992199" w:rsidRDefault="003F0BC5" w:rsidP="00F35405">
      <w:pPr>
        <w:widowControl w:val="0"/>
        <w:autoSpaceDE w:val="0"/>
        <w:autoSpaceDN w:val="0"/>
        <w:adjustRightInd w:val="0"/>
        <w:ind w:left="720"/>
        <w:rPr>
          <w:szCs w:val="20"/>
        </w:rPr>
      </w:pPr>
      <w:r w:rsidRPr="00992199">
        <w:rPr>
          <w:szCs w:val="20"/>
        </w:rPr>
        <w:t xml:space="preserve">When </w:t>
      </w:r>
      <w:r w:rsidRPr="00992199">
        <w:rPr>
          <w:szCs w:val="20"/>
          <w:lang w:bidi="as-IN"/>
        </w:rPr>
        <w:t>vegetables</w:t>
      </w:r>
      <w:r w:rsidRPr="00992199">
        <w:rPr>
          <w:szCs w:val="20"/>
        </w:rPr>
        <w:t xml:space="preserve"> arrive a few hours after being harvested, the delivery is weighed and assigned a lot number, so that throughout the production process the delivered vegetables can be tracked all the way back to the farmer.</w:t>
      </w:r>
    </w:p>
    <w:p w:rsidR="003F0BC5" w:rsidRPr="00992199" w:rsidRDefault="003F0BC5" w:rsidP="00F35405">
      <w:pPr>
        <w:widowControl w:val="0"/>
        <w:autoSpaceDE w:val="0"/>
        <w:autoSpaceDN w:val="0"/>
        <w:adjustRightInd w:val="0"/>
        <w:ind w:left="720"/>
        <w:rPr>
          <w:szCs w:val="20"/>
        </w:rPr>
      </w:pPr>
      <w:r w:rsidRPr="00992199">
        <w:rPr>
          <w:szCs w:val="20"/>
        </w:rPr>
        <w:t xml:space="preserve">All vegetables that enter the factory are first cleaned. Dirt and foreign objects are removed from the vegetables </w:t>
      </w:r>
      <w:r w:rsidR="00EF0DC5">
        <w:rPr>
          <w:szCs w:val="20"/>
        </w:rPr>
        <w:t xml:space="preserve">which are </w:t>
      </w:r>
      <w:r w:rsidR="00EF0DC5">
        <w:rPr>
          <w:szCs w:val="20"/>
          <w:lang w:bidi="as-IN"/>
        </w:rPr>
        <w:t>thereafter</w:t>
      </w:r>
      <w:r w:rsidR="00EF0DC5">
        <w:rPr>
          <w:szCs w:val="20"/>
        </w:rPr>
        <w:t xml:space="preserve"> washed</w:t>
      </w:r>
      <w:r w:rsidRPr="00992199">
        <w:rPr>
          <w:szCs w:val="20"/>
        </w:rPr>
        <w:t>. In this preparatory phase, all vegetables not match</w:t>
      </w:r>
      <w:r w:rsidR="00EF0DC5">
        <w:rPr>
          <w:szCs w:val="20"/>
        </w:rPr>
        <w:t>ing</w:t>
      </w:r>
      <w:r w:rsidRPr="00992199">
        <w:rPr>
          <w:szCs w:val="20"/>
        </w:rPr>
        <w:t xml:space="preserve"> the reception standard in terms of shape, colour and/or size, are removed.</w:t>
      </w:r>
    </w:p>
    <w:p w:rsidR="003F0BC5" w:rsidRPr="00992199" w:rsidRDefault="003F0BC5" w:rsidP="00F35405">
      <w:pPr>
        <w:widowControl w:val="0"/>
        <w:autoSpaceDE w:val="0"/>
        <w:autoSpaceDN w:val="0"/>
        <w:adjustRightInd w:val="0"/>
        <w:ind w:left="720"/>
        <w:rPr>
          <w:szCs w:val="20"/>
        </w:rPr>
      </w:pPr>
      <w:r w:rsidRPr="00992199">
        <w:rPr>
          <w:szCs w:val="20"/>
        </w:rPr>
        <w:t xml:space="preserve">Some vegetables (such as carrots, black salsify, onions) must then be peeled. This can be done in three ways: </w:t>
      </w:r>
      <w:r w:rsidRPr="00992199">
        <w:rPr>
          <w:szCs w:val="20"/>
          <w:lang w:bidi="as-IN"/>
        </w:rPr>
        <w:t>mechanically</w:t>
      </w:r>
      <w:r w:rsidRPr="00992199">
        <w:rPr>
          <w:szCs w:val="20"/>
        </w:rPr>
        <w:t>, chemically, or with steam. The steam process is used more frequently as it is environmentally friendly.</w:t>
      </w:r>
    </w:p>
    <w:p w:rsidR="003F0BC5" w:rsidRPr="00992199" w:rsidRDefault="003F0BC5" w:rsidP="00F35405">
      <w:pPr>
        <w:widowControl w:val="0"/>
        <w:autoSpaceDE w:val="0"/>
        <w:autoSpaceDN w:val="0"/>
        <w:adjustRightInd w:val="0"/>
        <w:ind w:left="720"/>
        <w:rPr>
          <w:szCs w:val="20"/>
        </w:rPr>
      </w:pPr>
      <w:r w:rsidRPr="00992199">
        <w:rPr>
          <w:szCs w:val="20"/>
        </w:rPr>
        <w:t xml:space="preserve">In </w:t>
      </w:r>
      <w:r w:rsidRPr="00992199">
        <w:rPr>
          <w:szCs w:val="20"/>
          <w:lang w:bidi="as-IN"/>
        </w:rPr>
        <w:t>order</w:t>
      </w:r>
      <w:r w:rsidRPr="00992199">
        <w:rPr>
          <w:szCs w:val="20"/>
        </w:rPr>
        <w:t xml:space="preserve"> to make the vegetables commercially more attractive and increase the convenience aspect, they are often cut into pieces, strips, slices or cubes.</w:t>
      </w:r>
    </w:p>
    <w:p w:rsidR="003F0BC5" w:rsidRPr="00992199" w:rsidRDefault="003F0BC5" w:rsidP="00F35405">
      <w:pPr>
        <w:widowControl w:val="0"/>
        <w:autoSpaceDE w:val="0"/>
        <w:autoSpaceDN w:val="0"/>
        <w:adjustRightInd w:val="0"/>
        <w:ind w:left="720"/>
        <w:rPr>
          <w:szCs w:val="20"/>
        </w:rPr>
      </w:pPr>
      <w:r w:rsidRPr="00992199">
        <w:rPr>
          <w:szCs w:val="20"/>
        </w:rPr>
        <w:t>At the final processing stage prior to freezing or filling and sterilising, the vegetables usually are blanched, preserving their natural flavour and colour and allowing them to be stored longer.</w:t>
      </w:r>
    </w:p>
    <w:p w:rsidR="003F0BC5" w:rsidRPr="00992199" w:rsidRDefault="003F0BC5" w:rsidP="00BB0F52">
      <w:pPr>
        <w:pStyle w:val="BulletsL1"/>
      </w:pPr>
      <w:r w:rsidRPr="00992199">
        <w:t>Processing Frozen Division: quick freezing</w:t>
      </w:r>
    </w:p>
    <w:p w:rsidR="003F0BC5" w:rsidRPr="00992199" w:rsidRDefault="003F0BC5" w:rsidP="00F35405">
      <w:pPr>
        <w:widowControl w:val="0"/>
        <w:autoSpaceDE w:val="0"/>
        <w:autoSpaceDN w:val="0"/>
        <w:adjustRightInd w:val="0"/>
        <w:ind w:left="720"/>
        <w:rPr>
          <w:szCs w:val="20"/>
        </w:rPr>
      </w:pPr>
      <w:r w:rsidRPr="00992199">
        <w:rPr>
          <w:szCs w:val="20"/>
        </w:rPr>
        <w:t xml:space="preserve">In the Frozen Division, vegetables are frozen after being blanched. Freezing is </w:t>
      </w:r>
      <w:r w:rsidR="00A76464">
        <w:rPr>
          <w:szCs w:val="20"/>
        </w:rPr>
        <w:t>a highly effective</w:t>
      </w:r>
      <w:r w:rsidRPr="00992199">
        <w:rPr>
          <w:szCs w:val="20"/>
        </w:rPr>
        <w:t xml:space="preserve"> way to preserve </w:t>
      </w:r>
      <w:r w:rsidRPr="00992199">
        <w:rPr>
          <w:szCs w:val="20"/>
          <w:lang w:bidi="as-IN"/>
        </w:rPr>
        <w:t>vegetables</w:t>
      </w:r>
      <w:r w:rsidRPr="00992199">
        <w:rPr>
          <w:szCs w:val="20"/>
        </w:rPr>
        <w:t>. However, the speed at which food is frozen has a great influence on</w:t>
      </w:r>
      <w:r w:rsidR="00997C55">
        <w:rPr>
          <w:szCs w:val="20"/>
        </w:rPr>
        <w:t xml:space="preserve"> the</w:t>
      </w:r>
      <w:r w:rsidRPr="00992199">
        <w:rPr>
          <w:szCs w:val="20"/>
        </w:rPr>
        <w:t xml:space="preserve"> quality of </w:t>
      </w:r>
      <w:r w:rsidRPr="00992199">
        <w:rPr>
          <w:szCs w:val="20"/>
        </w:rPr>
        <w:lastRenderedPageBreak/>
        <w:t>the product. It is particularly important that the product remains in the critical ice formation zone as briefly as possible.</w:t>
      </w:r>
    </w:p>
    <w:p w:rsidR="003F0BC5" w:rsidRPr="00992199" w:rsidRDefault="003F0BC5" w:rsidP="00F35405">
      <w:pPr>
        <w:widowControl w:val="0"/>
        <w:autoSpaceDE w:val="0"/>
        <w:autoSpaceDN w:val="0"/>
        <w:adjustRightInd w:val="0"/>
        <w:ind w:left="720"/>
        <w:rPr>
          <w:szCs w:val="20"/>
        </w:rPr>
      </w:pPr>
      <w:r w:rsidRPr="00992199">
        <w:rPr>
          <w:szCs w:val="20"/>
        </w:rPr>
        <w:t xml:space="preserve">Most </w:t>
      </w:r>
      <w:r w:rsidRPr="00992199">
        <w:rPr>
          <w:szCs w:val="20"/>
          <w:lang w:bidi="as-IN"/>
        </w:rPr>
        <w:t>vegetables</w:t>
      </w:r>
      <w:r w:rsidRPr="00992199">
        <w:rPr>
          <w:szCs w:val="20"/>
        </w:rPr>
        <w:t xml:space="preserve"> (such as carrots, peas, Brussels sprouts, cauliflower, etc.) are frozen individually. However, other vegetables (such as spinach, endives, kale, but </w:t>
      </w:r>
      <w:r w:rsidR="00A07615" w:rsidRPr="00992199">
        <w:rPr>
          <w:szCs w:val="20"/>
        </w:rPr>
        <w:t>also puree</w:t>
      </w:r>
      <w:r w:rsidRPr="00992199">
        <w:rPr>
          <w:szCs w:val="20"/>
        </w:rPr>
        <w:t>, etc.) are ‘static</w:t>
      </w:r>
      <w:r w:rsidR="00EF0DC5">
        <w:rPr>
          <w:szCs w:val="20"/>
        </w:rPr>
        <w:t>ly</w:t>
      </w:r>
      <w:r w:rsidRPr="00992199">
        <w:rPr>
          <w:szCs w:val="20"/>
        </w:rPr>
        <w:t>’ frozen, in pre-made portions, using ‘portion or pello-freezers’.</w:t>
      </w:r>
    </w:p>
    <w:p w:rsidR="003F0BC5" w:rsidRPr="00992199" w:rsidRDefault="003F0BC5" w:rsidP="00BB0F52">
      <w:pPr>
        <w:pStyle w:val="BulletsL1"/>
      </w:pPr>
      <w:r w:rsidRPr="00992199">
        <w:t>Processing Canning Division: sterilisation/ pasteurisation</w:t>
      </w:r>
    </w:p>
    <w:p w:rsidR="003F0BC5" w:rsidRPr="00992199" w:rsidRDefault="003F0BC5" w:rsidP="00F35405">
      <w:pPr>
        <w:widowControl w:val="0"/>
        <w:autoSpaceDE w:val="0"/>
        <w:autoSpaceDN w:val="0"/>
        <w:adjustRightInd w:val="0"/>
        <w:ind w:left="720"/>
        <w:rPr>
          <w:szCs w:val="20"/>
        </w:rPr>
      </w:pPr>
      <w:r w:rsidRPr="00992199">
        <w:rPr>
          <w:szCs w:val="20"/>
        </w:rPr>
        <w:t xml:space="preserve">The processing method for preserving food products within the Canning Division is sterilisation. Again, the temperature-time combinations are of vital importance for ensuring the final quality. Insufficient sterilisation leads to decay and too much sterilisation leads to loss of consistency and </w:t>
      </w:r>
      <w:r w:rsidR="00A07615" w:rsidRPr="00992199">
        <w:rPr>
          <w:szCs w:val="20"/>
        </w:rPr>
        <w:t>flavour</w:t>
      </w:r>
      <w:r w:rsidRPr="00992199">
        <w:rPr>
          <w:szCs w:val="20"/>
        </w:rPr>
        <w:t xml:space="preserve"> deviation. The optimal underlying parameters have therefore been thoroughly investigated and validated in collaboration with several university research labs. The process is electronically controlled and all measurement results are digitally </w:t>
      </w:r>
      <w:r w:rsidRPr="00992199">
        <w:rPr>
          <w:szCs w:val="20"/>
          <w:lang w:bidi="as-IN"/>
        </w:rPr>
        <w:t>archived</w:t>
      </w:r>
      <w:r w:rsidRPr="00992199">
        <w:rPr>
          <w:szCs w:val="20"/>
        </w:rPr>
        <w:t xml:space="preserve">. A typical sterilisation process brings the vegetables at the core of each package at least 20 minutes to a temperature of 124°C, after which the package is rapidly cooled. For each combination of vegetable type/packaging an appropriate process has been </w:t>
      </w:r>
      <w:r w:rsidR="00A07615" w:rsidRPr="00992199">
        <w:rPr>
          <w:szCs w:val="20"/>
        </w:rPr>
        <w:t>determined. For</w:t>
      </w:r>
      <w:r w:rsidRPr="00992199">
        <w:rPr>
          <w:szCs w:val="20"/>
        </w:rPr>
        <w:t xml:space="preserve"> a number of products containing a higher degree of acidity a temperature treatment at 95 ° C is sufficient in order to obtain the necessary durability. This process is called pasteurisation.</w:t>
      </w:r>
    </w:p>
    <w:p w:rsidR="003F0BC5" w:rsidRPr="00992199" w:rsidRDefault="003F0BC5" w:rsidP="00BB0F52">
      <w:pPr>
        <w:pStyle w:val="BulletsL1"/>
      </w:pPr>
      <w:r w:rsidRPr="00992199">
        <w:t>Convenience products : preparation</w:t>
      </w:r>
    </w:p>
    <w:p w:rsidR="003F0BC5" w:rsidRPr="00992199" w:rsidRDefault="003F0BC5" w:rsidP="00F35405">
      <w:pPr>
        <w:widowControl w:val="0"/>
        <w:autoSpaceDE w:val="0"/>
        <w:autoSpaceDN w:val="0"/>
        <w:adjustRightInd w:val="0"/>
        <w:ind w:left="720"/>
        <w:rPr>
          <w:szCs w:val="20"/>
        </w:rPr>
      </w:pPr>
      <w:r w:rsidRPr="00992199">
        <w:rPr>
          <w:szCs w:val="20"/>
        </w:rPr>
        <w:t xml:space="preserve">This concerns in particular the production process in the convenience department </w:t>
      </w:r>
      <w:r w:rsidR="00997C55">
        <w:rPr>
          <w:szCs w:val="20"/>
        </w:rPr>
        <w:t>both</w:t>
      </w:r>
      <w:r w:rsidRPr="00992199">
        <w:rPr>
          <w:szCs w:val="20"/>
        </w:rPr>
        <w:t xml:space="preserve"> the Frozen Division and Canning Division, where sauces, meals and soups are produced. In the preparation of sauces and </w:t>
      </w:r>
      <w:r w:rsidRPr="00992199">
        <w:rPr>
          <w:szCs w:val="20"/>
          <w:lang w:bidi="as-IN"/>
        </w:rPr>
        <w:t>meals</w:t>
      </w:r>
      <w:r w:rsidRPr="00992199">
        <w:rPr>
          <w:szCs w:val="20"/>
        </w:rPr>
        <w:t xml:space="preserve"> the raw materials and the process used are closely monitored, ensuring a quality and tasteful end product.</w:t>
      </w:r>
    </w:p>
    <w:p w:rsidR="003F0BC5" w:rsidRPr="00992199" w:rsidRDefault="003F0BC5" w:rsidP="00F35405">
      <w:pPr>
        <w:widowControl w:val="0"/>
        <w:autoSpaceDE w:val="0"/>
        <w:autoSpaceDN w:val="0"/>
        <w:adjustRightInd w:val="0"/>
        <w:ind w:left="720"/>
        <w:rPr>
          <w:szCs w:val="20"/>
        </w:rPr>
      </w:pPr>
      <w:r w:rsidRPr="00992199">
        <w:rPr>
          <w:szCs w:val="20"/>
        </w:rPr>
        <w:t xml:space="preserve">During a first phase, the </w:t>
      </w:r>
      <w:r w:rsidR="00EF0DC5">
        <w:rPr>
          <w:szCs w:val="20"/>
        </w:rPr>
        <w:t xml:space="preserve">different </w:t>
      </w:r>
      <w:r w:rsidRPr="00992199">
        <w:rPr>
          <w:szCs w:val="20"/>
        </w:rPr>
        <w:t xml:space="preserve">ingredients are prepared. Dry spices, seasoning mixes and binders are weighed and put together per batch. Frozen raw materials are weighed in a separate department and when necessary </w:t>
      </w:r>
      <w:r w:rsidRPr="00992199">
        <w:rPr>
          <w:szCs w:val="20"/>
          <w:lang w:bidi="as-IN"/>
        </w:rPr>
        <w:t>miniaturised</w:t>
      </w:r>
      <w:r w:rsidRPr="00992199">
        <w:rPr>
          <w:szCs w:val="20"/>
        </w:rPr>
        <w:t>. In this regard it is sometimes necessary to cut and grind meat. In addition, onions or other vegetables are weighed and miniaturised if necessary. Sliced ​​tomatoes, tomato concentrate and other liquid ingredients are pumped into tanks or stored in order for them to be properly dosed.</w:t>
      </w:r>
    </w:p>
    <w:p w:rsidR="003F0BC5" w:rsidRPr="00992199" w:rsidRDefault="003F0BC5" w:rsidP="00F35405">
      <w:pPr>
        <w:widowControl w:val="0"/>
        <w:autoSpaceDE w:val="0"/>
        <w:autoSpaceDN w:val="0"/>
        <w:adjustRightInd w:val="0"/>
        <w:ind w:left="720"/>
        <w:rPr>
          <w:szCs w:val="20"/>
        </w:rPr>
      </w:pPr>
      <w:r w:rsidRPr="00992199">
        <w:rPr>
          <w:szCs w:val="20"/>
        </w:rPr>
        <w:t xml:space="preserve">For </w:t>
      </w:r>
      <w:r w:rsidRPr="00992199">
        <w:rPr>
          <w:szCs w:val="20"/>
          <w:lang w:bidi="as-IN"/>
        </w:rPr>
        <w:t>the</w:t>
      </w:r>
      <w:r w:rsidRPr="00992199">
        <w:rPr>
          <w:szCs w:val="20"/>
        </w:rPr>
        <w:t xml:space="preserve"> sauces and soups prepared in the Canning Division, the filling process can begin and the finished sauce is put into containers or led via pipes into a filling line after preparation took place. Waiting times are always kept to a minimum. The filling can be done in glass, cans, cups, plastic bottles or bags.</w:t>
      </w:r>
    </w:p>
    <w:p w:rsidR="003F0BC5" w:rsidRPr="00992199" w:rsidRDefault="003F0BC5" w:rsidP="00F35405">
      <w:pPr>
        <w:widowControl w:val="0"/>
        <w:autoSpaceDE w:val="0"/>
        <w:autoSpaceDN w:val="0"/>
        <w:adjustRightInd w:val="0"/>
        <w:ind w:left="720"/>
        <w:rPr>
          <w:szCs w:val="20"/>
        </w:rPr>
      </w:pPr>
      <w:r w:rsidRPr="00992199">
        <w:rPr>
          <w:szCs w:val="20"/>
        </w:rPr>
        <w:t xml:space="preserve">Frozen soups are prepared with the </w:t>
      </w:r>
      <w:r w:rsidR="00BF553B">
        <w:rPr>
          <w:szCs w:val="20"/>
        </w:rPr>
        <w:t>“</w:t>
      </w:r>
      <w:r w:rsidRPr="00992199">
        <w:rPr>
          <w:szCs w:val="20"/>
        </w:rPr>
        <w:t>pello freez</w:t>
      </w:r>
      <w:r w:rsidR="00BF553B">
        <w:rPr>
          <w:szCs w:val="20"/>
        </w:rPr>
        <w:t>”</w:t>
      </w:r>
      <w:r w:rsidRPr="00992199">
        <w:rPr>
          <w:szCs w:val="20"/>
        </w:rPr>
        <w:t xml:space="preserve"> technique, which means that small pallets are made of frozen soups.</w:t>
      </w:r>
    </w:p>
    <w:p w:rsidR="003F0BC5" w:rsidRPr="00992199" w:rsidRDefault="003F0BC5" w:rsidP="00BB0F52">
      <w:pPr>
        <w:pStyle w:val="BulletsL1"/>
      </w:pPr>
      <w:r w:rsidRPr="00992199">
        <w:t>Packaging</w:t>
      </w:r>
    </w:p>
    <w:p w:rsidR="003F0BC5" w:rsidRPr="00992199" w:rsidRDefault="003F0BC5" w:rsidP="00F35405">
      <w:pPr>
        <w:widowControl w:val="0"/>
        <w:autoSpaceDE w:val="0"/>
        <w:autoSpaceDN w:val="0"/>
        <w:adjustRightInd w:val="0"/>
        <w:ind w:left="720"/>
        <w:rPr>
          <w:szCs w:val="20"/>
        </w:rPr>
      </w:pPr>
      <w:r w:rsidRPr="00992199">
        <w:rPr>
          <w:szCs w:val="20"/>
        </w:rPr>
        <w:t xml:space="preserve">In the Frozen Division, mono vegetables and convenience products are immediately stored after the freezing process. The vegetables are either packaged in their final packaging, or they are stored in bulk packaging in large freeze rooms while awaiting final packaging upon delivery to the customer, mixing with sauces, meat or other vegetables, or additional processing. It is the aim of the Frozen Division to perform the packaging activity at the </w:t>
      </w:r>
      <w:r w:rsidRPr="00992199">
        <w:rPr>
          <w:szCs w:val="20"/>
          <w:lang w:bidi="as-IN"/>
        </w:rPr>
        <w:t>latest</w:t>
      </w:r>
      <w:r w:rsidRPr="00992199">
        <w:rPr>
          <w:szCs w:val="20"/>
        </w:rPr>
        <w:t xml:space="preserve"> moment as possible before final delivery to customers.</w:t>
      </w:r>
    </w:p>
    <w:p w:rsidR="003F0BC5" w:rsidRPr="00992199" w:rsidRDefault="003F0BC5" w:rsidP="00F35405">
      <w:pPr>
        <w:widowControl w:val="0"/>
        <w:autoSpaceDE w:val="0"/>
        <w:autoSpaceDN w:val="0"/>
        <w:adjustRightInd w:val="0"/>
        <w:ind w:left="720"/>
        <w:rPr>
          <w:szCs w:val="20"/>
        </w:rPr>
      </w:pPr>
      <w:r w:rsidRPr="00992199">
        <w:rPr>
          <w:szCs w:val="20"/>
        </w:rPr>
        <w:t>In the Canning Division, blank products (without label) are stored in the warehouse and are removed upon receipt of a customer order. At that moment, it is provided with an appropriate, usually customer specific label. Then the products are put into boxes or trays and palletised.</w:t>
      </w:r>
    </w:p>
    <w:p w:rsidR="003F0BC5" w:rsidRPr="00992199" w:rsidRDefault="003F0BC5" w:rsidP="00BB0F52">
      <w:pPr>
        <w:pStyle w:val="BulletsL1"/>
      </w:pPr>
      <w:r w:rsidRPr="00992199">
        <w:t>Storage</w:t>
      </w:r>
    </w:p>
    <w:p w:rsidR="003F0BC5" w:rsidRPr="00992199" w:rsidRDefault="003F0BC5" w:rsidP="00F35405">
      <w:pPr>
        <w:widowControl w:val="0"/>
        <w:autoSpaceDE w:val="0"/>
        <w:autoSpaceDN w:val="0"/>
        <w:adjustRightInd w:val="0"/>
        <w:ind w:left="720"/>
        <w:rPr>
          <w:szCs w:val="20"/>
        </w:rPr>
      </w:pPr>
      <w:r w:rsidRPr="00992199">
        <w:rPr>
          <w:szCs w:val="20"/>
        </w:rPr>
        <w:t>The shelf life of frozen vegetables depends on the type of vegetable, the way the vegetables were processed, and the qual</w:t>
      </w:r>
      <w:r w:rsidRPr="00992199">
        <w:rPr>
          <w:szCs w:val="20"/>
          <w:lang w:bidi="as-IN"/>
        </w:rPr>
        <w:t>ity of the raw materials</w:t>
      </w:r>
      <w:r w:rsidR="00946756">
        <w:rPr>
          <w:szCs w:val="20"/>
          <w:lang w:bidi="as-IN"/>
        </w:rPr>
        <w:t>; in this respect p</w:t>
      </w:r>
      <w:r w:rsidRPr="00992199">
        <w:rPr>
          <w:szCs w:val="20"/>
          <w:lang w:bidi="as-IN"/>
        </w:rPr>
        <w:t>ackaging and storage are very important. The temperature in the large warehouses</w:t>
      </w:r>
      <w:r w:rsidRPr="00992199">
        <w:rPr>
          <w:szCs w:val="20"/>
        </w:rPr>
        <w:t xml:space="preserve"> is approximately -20°C and temperature variations during storage must be kept to a minimum.</w:t>
      </w:r>
    </w:p>
    <w:p w:rsidR="003F0BC5" w:rsidRPr="00992199" w:rsidRDefault="003F0BC5" w:rsidP="00F35405">
      <w:pPr>
        <w:widowControl w:val="0"/>
        <w:autoSpaceDE w:val="0"/>
        <w:autoSpaceDN w:val="0"/>
        <w:adjustRightInd w:val="0"/>
        <w:ind w:left="720"/>
        <w:rPr>
          <w:szCs w:val="20"/>
        </w:rPr>
      </w:pPr>
      <w:r w:rsidRPr="00992199">
        <w:rPr>
          <w:szCs w:val="20"/>
        </w:rPr>
        <w:t xml:space="preserve">A computer program is used that allows for an exact calculation of the location in the relevant facility of specific quantity/quality of product. Since the system uses EAN coding, it can even ensure that quantities/qualities prepared for a particular purpose for a particular customer are reserved. Products are also stored in mobile storage racks, </w:t>
      </w:r>
      <w:r w:rsidR="00946756">
        <w:rPr>
          <w:szCs w:val="20"/>
        </w:rPr>
        <w:t>meaning</w:t>
      </w:r>
      <w:r w:rsidRPr="00992199">
        <w:rPr>
          <w:szCs w:val="20"/>
        </w:rPr>
        <w:t xml:space="preserve"> that the FIFO (first in first out) system can be </w:t>
      </w:r>
      <w:r w:rsidR="00946756">
        <w:rPr>
          <w:szCs w:val="20"/>
        </w:rPr>
        <w:t>ensured</w:t>
      </w:r>
      <w:r w:rsidRPr="00992199">
        <w:rPr>
          <w:szCs w:val="20"/>
        </w:rPr>
        <w:t xml:space="preserve">. In the </w:t>
      </w:r>
      <w:smartTag w:uri="urn:schemas-microsoft-com:office:smarttags" w:element="country-region">
        <w:r w:rsidRPr="00992199">
          <w:rPr>
            <w:szCs w:val="20"/>
          </w:rPr>
          <w:t>United Kingdom</w:t>
        </w:r>
      </w:smartTag>
      <w:r w:rsidRPr="00992199">
        <w:rPr>
          <w:szCs w:val="20"/>
        </w:rPr>
        <w:t xml:space="preserve">, as well as in </w:t>
      </w:r>
      <w:smartTag w:uri="urn:schemas-microsoft-com:office:smarttags" w:element="country-region">
        <w:smartTag w:uri="urn:schemas-microsoft-com:office:smarttags" w:element="place">
          <w:r w:rsidRPr="00992199">
            <w:rPr>
              <w:szCs w:val="20"/>
            </w:rPr>
            <w:t>Belgium</w:t>
          </w:r>
        </w:smartTag>
      </w:smartTag>
      <w:r w:rsidRPr="00992199">
        <w:rPr>
          <w:szCs w:val="20"/>
        </w:rPr>
        <w:t xml:space="preserve">, the Frozen Division uses a fully automatic freezing warehouse for packaged vegetables. In other countries, traditional freezing warehouses are </w:t>
      </w:r>
      <w:r w:rsidR="00946756">
        <w:rPr>
          <w:szCs w:val="20"/>
        </w:rPr>
        <w:t>in place</w:t>
      </w:r>
      <w:r w:rsidRPr="00992199">
        <w:rPr>
          <w:szCs w:val="20"/>
        </w:rPr>
        <w:t>.</w:t>
      </w:r>
    </w:p>
    <w:p w:rsidR="003F0BC5" w:rsidRPr="00992199" w:rsidRDefault="003F0BC5" w:rsidP="00F35405">
      <w:pPr>
        <w:widowControl w:val="0"/>
        <w:autoSpaceDE w:val="0"/>
        <w:autoSpaceDN w:val="0"/>
        <w:adjustRightInd w:val="0"/>
        <w:ind w:left="720"/>
        <w:rPr>
          <w:szCs w:val="20"/>
        </w:rPr>
      </w:pPr>
      <w:r w:rsidRPr="00992199">
        <w:rPr>
          <w:szCs w:val="20"/>
        </w:rPr>
        <w:lastRenderedPageBreak/>
        <w:t>The shelf life of canned vegetables depends on the nature of the packaging but can reach over four years. Plastic packaging with no additional barrier (</w:t>
      </w:r>
      <w:r w:rsidR="00A431F0" w:rsidRPr="00A431F0">
        <w:rPr>
          <w:i/>
          <w:szCs w:val="20"/>
        </w:rPr>
        <w:t>e.g.,</w:t>
      </w:r>
      <w:r w:rsidR="00A431F0">
        <w:rPr>
          <w:szCs w:val="20"/>
        </w:rPr>
        <w:t xml:space="preserve"> </w:t>
      </w:r>
      <w:r w:rsidRPr="00992199">
        <w:rPr>
          <w:szCs w:val="20"/>
        </w:rPr>
        <w:t xml:space="preserve">pure polyethylene without EVOH or </w:t>
      </w:r>
      <w:r w:rsidR="00A07615" w:rsidRPr="00992199">
        <w:rPr>
          <w:szCs w:val="20"/>
        </w:rPr>
        <w:t>aluminium</w:t>
      </w:r>
      <w:r w:rsidRPr="00992199">
        <w:rPr>
          <w:szCs w:val="20"/>
        </w:rPr>
        <w:t xml:space="preserve"> layer) has a significantly lower shelf life (</w:t>
      </w:r>
      <w:r w:rsidR="003A6D08" w:rsidRPr="003A6D08">
        <w:rPr>
          <w:i/>
          <w:szCs w:val="20"/>
        </w:rPr>
        <w:t>i.e.</w:t>
      </w:r>
      <w:r w:rsidR="003A6D08">
        <w:rPr>
          <w:szCs w:val="20"/>
        </w:rPr>
        <w:t xml:space="preserve">, </w:t>
      </w:r>
      <w:r w:rsidRPr="00992199">
        <w:rPr>
          <w:szCs w:val="20"/>
        </w:rPr>
        <w:t xml:space="preserve">months rather than years), but this can be extended by appropriate storage </w:t>
      </w:r>
      <w:r w:rsidRPr="00992199">
        <w:rPr>
          <w:szCs w:val="20"/>
          <w:lang w:bidi="as-IN"/>
        </w:rPr>
        <w:t>conditions</w:t>
      </w:r>
      <w:r w:rsidRPr="00992199">
        <w:rPr>
          <w:szCs w:val="20"/>
        </w:rPr>
        <w:t>, such as cold storage and protection against light. Hence, the packaging and the storage parameters are of great importance.</w:t>
      </w:r>
    </w:p>
    <w:p w:rsidR="003F0BC5" w:rsidRPr="00992199" w:rsidRDefault="003F0BC5" w:rsidP="00F35405">
      <w:pPr>
        <w:widowControl w:val="0"/>
        <w:autoSpaceDE w:val="0"/>
        <w:autoSpaceDN w:val="0"/>
        <w:adjustRightInd w:val="0"/>
        <w:ind w:left="720"/>
        <w:rPr>
          <w:szCs w:val="20"/>
        </w:rPr>
      </w:pPr>
      <w:r w:rsidRPr="00992199">
        <w:rPr>
          <w:szCs w:val="20"/>
        </w:rPr>
        <w:t xml:space="preserve">In the standard warehouses, the temperature and humidity are systematically monitored in order to prevent condensation and corrosion and to keep the product mechanically and qualitatively stable. The temperature in the </w:t>
      </w:r>
      <w:r w:rsidRPr="00992199">
        <w:rPr>
          <w:szCs w:val="20"/>
          <w:lang w:bidi="as-IN"/>
        </w:rPr>
        <w:t>large</w:t>
      </w:r>
      <w:r w:rsidRPr="00992199">
        <w:rPr>
          <w:szCs w:val="20"/>
        </w:rPr>
        <w:t xml:space="preserve"> storage halls is kept between 16 and 25 °C, and humidity below 65%.</w:t>
      </w:r>
    </w:p>
    <w:p w:rsidR="003F0BC5" w:rsidRPr="00992199" w:rsidRDefault="003F0BC5" w:rsidP="00F35405">
      <w:pPr>
        <w:widowControl w:val="0"/>
        <w:autoSpaceDE w:val="0"/>
        <w:autoSpaceDN w:val="0"/>
        <w:adjustRightInd w:val="0"/>
        <w:ind w:left="720"/>
        <w:rPr>
          <w:szCs w:val="20"/>
        </w:rPr>
      </w:pPr>
      <w:r w:rsidRPr="00992199">
        <w:rPr>
          <w:szCs w:val="20"/>
          <w:lang w:bidi="as-IN"/>
        </w:rPr>
        <w:t>Computer</w:t>
      </w:r>
      <w:r w:rsidRPr="00992199">
        <w:rPr>
          <w:szCs w:val="20"/>
        </w:rPr>
        <w:t xml:space="preserve"> applications are used, allowing </w:t>
      </w:r>
      <w:r w:rsidR="00CD3BB2">
        <w:rPr>
          <w:szCs w:val="20"/>
        </w:rPr>
        <w:t xml:space="preserve">to </w:t>
      </w:r>
      <w:r w:rsidR="00946756">
        <w:rPr>
          <w:szCs w:val="20"/>
        </w:rPr>
        <w:t>determin</w:t>
      </w:r>
      <w:r w:rsidR="00CD3BB2">
        <w:rPr>
          <w:szCs w:val="20"/>
        </w:rPr>
        <w:t>e</w:t>
      </w:r>
      <w:r w:rsidRPr="00992199">
        <w:rPr>
          <w:szCs w:val="20"/>
        </w:rPr>
        <w:t xml:space="preserve"> exactly where which quantity/quality is stored. The system uses bar coding, allowing </w:t>
      </w:r>
      <w:r w:rsidR="00CD3BB2">
        <w:rPr>
          <w:szCs w:val="20"/>
        </w:rPr>
        <w:t xml:space="preserve">to </w:t>
      </w:r>
      <w:r w:rsidR="00946756">
        <w:rPr>
          <w:szCs w:val="20"/>
        </w:rPr>
        <w:t>reserv</w:t>
      </w:r>
      <w:r w:rsidR="00CD3BB2">
        <w:rPr>
          <w:szCs w:val="20"/>
        </w:rPr>
        <w:t>e</w:t>
      </w:r>
      <w:r w:rsidRPr="00992199">
        <w:rPr>
          <w:szCs w:val="20"/>
        </w:rPr>
        <w:t xml:space="preserve"> badges which were produced with a specific purpose and for a specific customer. In addition, this is also used for implementing the </w:t>
      </w:r>
      <w:r w:rsidR="00BF553B">
        <w:rPr>
          <w:szCs w:val="20"/>
        </w:rPr>
        <w:t>“</w:t>
      </w:r>
      <w:r w:rsidRPr="00992199">
        <w:rPr>
          <w:szCs w:val="20"/>
        </w:rPr>
        <w:t>FIFO</w:t>
      </w:r>
      <w:r w:rsidR="00BF553B">
        <w:rPr>
          <w:szCs w:val="20"/>
        </w:rPr>
        <w:t>”</w:t>
      </w:r>
      <w:r w:rsidRPr="00992199">
        <w:rPr>
          <w:szCs w:val="20"/>
        </w:rPr>
        <w:t xml:space="preserve"> (first in first out) system.</w:t>
      </w:r>
    </w:p>
    <w:p w:rsidR="003F0BC5" w:rsidRPr="00992199" w:rsidRDefault="003F0BC5" w:rsidP="00BB0F52">
      <w:pPr>
        <w:pStyle w:val="BulletsL1"/>
        <w:rPr>
          <w:bCs/>
        </w:rPr>
      </w:pPr>
      <w:r w:rsidRPr="00992199">
        <w:t>Transport</w:t>
      </w:r>
    </w:p>
    <w:p w:rsidR="003F0BC5" w:rsidRPr="00992199" w:rsidRDefault="003F0BC5" w:rsidP="00F35405">
      <w:pPr>
        <w:widowControl w:val="0"/>
        <w:autoSpaceDE w:val="0"/>
        <w:autoSpaceDN w:val="0"/>
        <w:adjustRightInd w:val="0"/>
        <w:ind w:left="720"/>
        <w:rPr>
          <w:szCs w:val="20"/>
        </w:rPr>
      </w:pPr>
      <w:r w:rsidRPr="00992199">
        <w:rPr>
          <w:szCs w:val="20"/>
        </w:rPr>
        <w:t>The transport of finished products is contracted to external international transporters. All trucks are loaded at negative temperatures in the Frozen Division. Records are maintained of all the production codes that are loaded onto each vehicle, so it can be precisely known when the various lot numbers were loaded and to which customer they were destined.</w:t>
      </w:r>
    </w:p>
    <w:p w:rsidR="003F0BC5" w:rsidRPr="00992199" w:rsidRDefault="003F0BC5" w:rsidP="00353B80">
      <w:pPr>
        <w:pStyle w:val="Firm5L4"/>
        <w:keepNext/>
      </w:pPr>
      <w:r w:rsidRPr="00992199">
        <w:t>Quality</w:t>
      </w:r>
      <w:r w:rsidR="00816A67">
        <w:rPr>
          <w:noProof/>
        </w:rPr>
        <mc:AlternateContent>
          <mc:Choice Requires="wpg">
            <w:drawing>
              <wp:anchor distT="0" distB="0" distL="114300" distR="114300" simplePos="0" relativeHeight="251655680" behindDoc="1" locked="0" layoutInCell="1" allowOverlap="1">
                <wp:simplePos x="0" y="0"/>
                <wp:positionH relativeFrom="page">
                  <wp:posOffset>0</wp:posOffset>
                </wp:positionH>
                <wp:positionV relativeFrom="page">
                  <wp:posOffset>0</wp:posOffset>
                </wp:positionV>
                <wp:extent cx="36195" cy="36195"/>
                <wp:effectExtent l="0" t="19050" r="1905"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5" cy="36195"/>
                          <a:chOff x="0" y="0"/>
                          <a:chExt cx="57" cy="57"/>
                        </a:xfrm>
                      </wpg:grpSpPr>
                      <wps:wsp>
                        <wps:cNvPr id="38" name="Freeform 5"/>
                        <wps:cNvSpPr>
                          <a:spLocks/>
                        </wps:cNvSpPr>
                        <wps:spPr bwMode="auto">
                          <a:xfrm>
                            <a:off x="0" y="0"/>
                            <a:ext cx="57" cy="57"/>
                          </a:xfrm>
                          <a:custGeom>
                            <a:avLst/>
                            <a:gdLst>
                              <a:gd name="T0" fmla="*/ 0 w 57"/>
                              <a:gd name="T1" fmla="*/ 28 h 57"/>
                              <a:gd name="T2" fmla="*/ 57 w 57"/>
                              <a:gd name="T3" fmla="*/ 28 h 57"/>
                            </a:gdLst>
                            <a:ahLst/>
                            <a:cxnLst>
                              <a:cxn ang="0">
                                <a:pos x="T0" y="T1"/>
                              </a:cxn>
                              <a:cxn ang="0">
                                <a:pos x="T2" y="T3"/>
                              </a:cxn>
                            </a:cxnLst>
                            <a:rect l="0" t="0" r="r" b="b"/>
                            <a:pathLst>
                              <a:path w="57" h="57">
                                <a:moveTo>
                                  <a:pt x="0" y="28"/>
                                </a:moveTo>
                                <a:lnTo>
                                  <a:pt x="57" y="28"/>
                                </a:lnTo>
                              </a:path>
                            </a:pathLst>
                          </a:custGeom>
                          <a:noFill/>
                          <a:ln w="37274">
                            <a:solidFill>
                              <a:srgbClr val="FAFDF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4F8813" id="Group 37" o:spid="_x0000_s1026" style="position:absolute;margin-left:0;margin-top:0;width:2.85pt;height:2.85pt;z-index:-251660800;mso-position-horizontal-relative:page;mso-position-vertical-relative:page"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">
                <v:shape id="Freeform 5" o:spid="_x0000_s1027" style="position:absolute;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" path="m,28r57,e" filled="f" strokecolor="#fafdfa" strokeweight="1.0354mm">
                  <v:path arrowok="t" o:connecttype="custom" o:connectlocs="0,28;57,28" o:connectangles="0,0"/>
                </v:shape>
                <w10:wrap anchorx="page" anchory="page"/>
              </v:group>
            </w:pict>
          </mc:Fallback>
        </mc:AlternateContent>
      </w:r>
    </w:p>
    <w:p w:rsidR="003F0BC5" w:rsidRPr="00992199" w:rsidRDefault="003F0BC5" w:rsidP="003F0BC5">
      <w:pPr>
        <w:rPr>
          <w:szCs w:val="20"/>
        </w:rPr>
      </w:pPr>
      <w:r w:rsidRPr="00992199">
        <w:rPr>
          <w:szCs w:val="20"/>
        </w:rPr>
        <w:t xml:space="preserve">The </w:t>
      </w:r>
      <w:r w:rsidRPr="00F35405">
        <w:rPr>
          <w:spacing w:val="-1"/>
          <w:szCs w:val="20"/>
        </w:rPr>
        <w:t>top</w:t>
      </w:r>
      <w:r w:rsidRPr="00992199">
        <w:rPr>
          <w:szCs w:val="20"/>
        </w:rPr>
        <w:t xml:space="preserve"> priority of </w:t>
      </w:r>
      <w:r w:rsidR="00C95087">
        <w:rPr>
          <w:szCs w:val="20"/>
          <w:lang w:bidi="as-IN"/>
        </w:rPr>
        <w:t xml:space="preserve">the Greenyard Foods Group </w:t>
      </w:r>
      <w:r w:rsidRPr="00992199">
        <w:rPr>
          <w:szCs w:val="20"/>
        </w:rPr>
        <w:t xml:space="preserve">is </w:t>
      </w:r>
      <w:r w:rsidR="00946756">
        <w:rPr>
          <w:szCs w:val="20"/>
        </w:rPr>
        <w:t>continuous</w:t>
      </w:r>
      <w:r w:rsidRPr="00992199">
        <w:rPr>
          <w:szCs w:val="20"/>
        </w:rPr>
        <w:t xml:space="preserve"> and rigorous quality control. Customers appreciate the </w:t>
      </w:r>
      <w:r w:rsidR="00946756">
        <w:rPr>
          <w:szCs w:val="20"/>
        </w:rPr>
        <w:t>continued</w:t>
      </w:r>
      <w:r w:rsidRPr="00992199">
        <w:rPr>
          <w:szCs w:val="20"/>
        </w:rPr>
        <w:t xml:space="preserve"> focus on high-quality raw materials and finished products.</w:t>
      </w:r>
    </w:p>
    <w:p w:rsidR="003F0BC5" w:rsidRPr="00992199" w:rsidRDefault="003F0BC5" w:rsidP="00F35405">
      <w:pPr>
        <w:rPr>
          <w:spacing w:val="-1"/>
          <w:kern w:val="20"/>
          <w:szCs w:val="20"/>
        </w:rPr>
      </w:pPr>
      <w:r w:rsidRPr="00992199">
        <w:rPr>
          <w:spacing w:val="-1"/>
          <w:kern w:val="20"/>
          <w:szCs w:val="20"/>
        </w:rPr>
        <w:t xml:space="preserve">In the Frozen Division, the Belgian activities pioneered in the nineties with HACCP and also received the first </w:t>
      </w:r>
      <w:r w:rsidRPr="00F35405">
        <w:rPr>
          <w:spacing w:val="-1"/>
          <w:szCs w:val="20"/>
        </w:rPr>
        <w:t>Belgian</w:t>
      </w:r>
      <w:r w:rsidRPr="00992199">
        <w:rPr>
          <w:spacing w:val="-1"/>
          <w:kern w:val="20"/>
          <w:szCs w:val="20"/>
        </w:rPr>
        <w:t xml:space="preserve"> ISO-9002 certificate in its sector. Since </w:t>
      </w:r>
      <w:r w:rsidR="00C95087">
        <w:rPr>
          <w:szCs w:val="20"/>
          <w:lang w:bidi="as-IN"/>
        </w:rPr>
        <w:t>the Greenyard Foods Group’s</w:t>
      </w:r>
      <w:r w:rsidRPr="00992199">
        <w:rPr>
          <w:spacing w:val="-1"/>
          <w:kern w:val="20"/>
          <w:szCs w:val="20"/>
        </w:rPr>
        <w:t xml:space="preserve"> production sites hold various certificates:</w:t>
      </w:r>
    </w:p>
    <w:p w:rsidR="003F0BC5" w:rsidRPr="00992199" w:rsidRDefault="003F0BC5" w:rsidP="00BB0F52">
      <w:pPr>
        <w:pStyle w:val="BulletsL1"/>
      </w:pPr>
      <w:r w:rsidRPr="00992199">
        <w:t>BRC (British Retail Consortium)</w:t>
      </w:r>
    </w:p>
    <w:p w:rsidR="003F0BC5" w:rsidRPr="00992199" w:rsidRDefault="003F0BC5" w:rsidP="00F35405">
      <w:pPr>
        <w:widowControl w:val="0"/>
        <w:autoSpaceDE w:val="0"/>
        <w:autoSpaceDN w:val="0"/>
        <w:adjustRightInd w:val="0"/>
        <w:ind w:left="720"/>
        <w:rPr>
          <w:szCs w:val="20"/>
        </w:rPr>
      </w:pPr>
      <w:r w:rsidRPr="00992199">
        <w:rPr>
          <w:spacing w:val="-1"/>
          <w:szCs w:val="20"/>
        </w:rPr>
        <w:t>Today all sites hold a BRC</w:t>
      </w:r>
      <w:r w:rsidR="00946756">
        <w:rPr>
          <w:spacing w:val="-1"/>
          <w:szCs w:val="20"/>
        </w:rPr>
        <w:t>-</w:t>
      </w:r>
      <w:r w:rsidRPr="00992199">
        <w:rPr>
          <w:spacing w:val="-1"/>
          <w:szCs w:val="20"/>
        </w:rPr>
        <w:t xml:space="preserve">certificate obtained through independent third party </w:t>
      </w:r>
      <w:r w:rsidR="00A07615" w:rsidRPr="00992199">
        <w:rPr>
          <w:spacing w:val="-1"/>
          <w:szCs w:val="20"/>
        </w:rPr>
        <w:t>audits. The</w:t>
      </w:r>
      <w:r w:rsidRPr="00992199">
        <w:rPr>
          <w:spacing w:val="-1"/>
          <w:szCs w:val="20"/>
        </w:rPr>
        <w:t xml:space="preserve"> underlying standard sets the requirements for the supply of products under the </w:t>
      </w:r>
      <w:r w:rsidRPr="00992199">
        <w:rPr>
          <w:szCs w:val="20"/>
        </w:rPr>
        <w:t>house</w:t>
      </w:r>
      <w:r w:rsidRPr="00992199">
        <w:rPr>
          <w:spacing w:val="-1"/>
          <w:szCs w:val="20"/>
        </w:rPr>
        <w:t xml:space="preserve"> brand of distribution groups and for processed or prepared </w:t>
      </w:r>
      <w:r w:rsidRPr="00F35405">
        <w:rPr>
          <w:szCs w:val="20"/>
        </w:rPr>
        <w:t>foods</w:t>
      </w:r>
      <w:r w:rsidRPr="00992199">
        <w:rPr>
          <w:spacing w:val="-1"/>
          <w:szCs w:val="20"/>
        </w:rPr>
        <w:t xml:space="preserve"> or ingredients</w:t>
      </w:r>
      <w:r w:rsidRPr="00992199">
        <w:rPr>
          <w:szCs w:val="20"/>
        </w:rPr>
        <w:t xml:space="preserve"> </w:t>
      </w:r>
      <w:r w:rsidRPr="00992199">
        <w:rPr>
          <w:spacing w:val="-1"/>
          <w:szCs w:val="20"/>
        </w:rPr>
        <w:t>intended</w:t>
      </w:r>
      <w:r w:rsidRPr="00992199">
        <w:rPr>
          <w:szCs w:val="20"/>
        </w:rPr>
        <w:t xml:space="preserve"> for the</w:t>
      </w:r>
      <w:r w:rsidRPr="00992199">
        <w:rPr>
          <w:spacing w:val="-1"/>
          <w:szCs w:val="20"/>
        </w:rPr>
        <w:t xml:space="preserve"> </w:t>
      </w:r>
      <w:r w:rsidRPr="00992199">
        <w:rPr>
          <w:szCs w:val="20"/>
        </w:rPr>
        <w:t>food service</w:t>
      </w:r>
      <w:r w:rsidRPr="00992199">
        <w:rPr>
          <w:spacing w:val="-1"/>
          <w:szCs w:val="20"/>
        </w:rPr>
        <w:t xml:space="preserve"> </w:t>
      </w:r>
      <w:r w:rsidRPr="00992199">
        <w:rPr>
          <w:szCs w:val="20"/>
        </w:rPr>
        <w:t>and the</w:t>
      </w:r>
      <w:r w:rsidRPr="00992199">
        <w:rPr>
          <w:spacing w:val="45"/>
          <w:szCs w:val="20"/>
        </w:rPr>
        <w:t xml:space="preserve"> </w:t>
      </w:r>
      <w:r w:rsidRPr="00992199">
        <w:rPr>
          <w:spacing w:val="-1"/>
          <w:szCs w:val="20"/>
        </w:rPr>
        <w:t>food</w:t>
      </w:r>
      <w:r w:rsidRPr="00992199">
        <w:rPr>
          <w:spacing w:val="9"/>
          <w:szCs w:val="20"/>
        </w:rPr>
        <w:t xml:space="preserve"> </w:t>
      </w:r>
      <w:r w:rsidRPr="00992199">
        <w:rPr>
          <w:spacing w:val="-1"/>
          <w:szCs w:val="20"/>
        </w:rPr>
        <w:t>industry.</w:t>
      </w:r>
      <w:r w:rsidRPr="00992199">
        <w:rPr>
          <w:spacing w:val="7"/>
          <w:szCs w:val="20"/>
        </w:rPr>
        <w:t xml:space="preserve"> </w:t>
      </w:r>
      <w:r w:rsidRPr="00992199">
        <w:rPr>
          <w:spacing w:val="-1"/>
          <w:szCs w:val="20"/>
        </w:rPr>
        <w:t>This</w:t>
      </w:r>
      <w:r w:rsidRPr="00992199">
        <w:rPr>
          <w:spacing w:val="8"/>
          <w:szCs w:val="20"/>
        </w:rPr>
        <w:t xml:space="preserve"> </w:t>
      </w:r>
      <w:r w:rsidRPr="00992199">
        <w:rPr>
          <w:spacing w:val="-1"/>
          <w:szCs w:val="20"/>
        </w:rPr>
        <w:t>is</w:t>
      </w:r>
      <w:r w:rsidRPr="00992199">
        <w:rPr>
          <w:spacing w:val="8"/>
          <w:szCs w:val="20"/>
        </w:rPr>
        <w:t xml:space="preserve"> </w:t>
      </w:r>
      <w:r w:rsidRPr="00992199">
        <w:rPr>
          <w:spacing w:val="-1"/>
          <w:szCs w:val="20"/>
        </w:rPr>
        <w:t>the</w:t>
      </w:r>
      <w:r w:rsidRPr="00992199">
        <w:rPr>
          <w:spacing w:val="8"/>
          <w:szCs w:val="20"/>
        </w:rPr>
        <w:t xml:space="preserve"> </w:t>
      </w:r>
      <w:r w:rsidRPr="00992199">
        <w:rPr>
          <w:spacing w:val="-1"/>
          <w:szCs w:val="20"/>
        </w:rPr>
        <w:t>highest</w:t>
      </w:r>
      <w:r w:rsidRPr="00992199">
        <w:rPr>
          <w:spacing w:val="8"/>
          <w:szCs w:val="20"/>
        </w:rPr>
        <w:t xml:space="preserve"> </w:t>
      </w:r>
      <w:r w:rsidRPr="00992199">
        <w:rPr>
          <w:spacing w:val="-1"/>
          <w:szCs w:val="20"/>
        </w:rPr>
        <w:t>level</w:t>
      </w:r>
      <w:r w:rsidRPr="00992199">
        <w:rPr>
          <w:spacing w:val="8"/>
          <w:szCs w:val="20"/>
        </w:rPr>
        <w:t xml:space="preserve"> </w:t>
      </w:r>
      <w:r w:rsidRPr="00992199">
        <w:rPr>
          <w:spacing w:val="-1"/>
          <w:szCs w:val="20"/>
        </w:rPr>
        <w:t>of</w:t>
      </w:r>
      <w:r w:rsidRPr="00992199">
        <w:rPr>
          <w:spacing w:val="8"/>
          <w:szCs w:val="20"/>
        </w:rPr>
        <w:t xml:space="preserve"> </w:t>
      </w:r>
      <w:r w:rsidRPr="00992199">
        <w:rPr>
          <w:spacing w:val="-1"/>
          <w:szCs w:val="20"/>
        </w:rPr>
        <w:t>quality</w:t>
      </w:r>
      <w:r w:rsidRPr="00992199">
        <w:rPr>
          <w:spacing w:val="8"/>
          <w:szCs w:val="20"/>
        </w:rPr>
        <w:t xml:space="preserve"> </w:t>
      </w:r>
      <w:r w:rsidRPr="00992199">
        <w:rPr>
          <w:spacing w:val="-1"/>
          <w:szCs w:val="20"/>
        </w:rPr>
        <w:t>in</w:t>
      </w:r>
      <w:r w:rsidRPr="00992199">
        <w:rPr>
          <w:spacing w:val="9"/>
          <w:szCs w:val="20"/>
        </w:rPr>
        <w:t xml:space="preserve"> </w:t>
      </w:r>
      <w:r w:rsidRPr="00992199">
        <w:rPr>
          <w:spacing w:val="-1"/>
          <w:szCs w:val="20"/>
        </w:rPr>
        <w:t>the</w:t>
      </w:r>
      <w:r w:rsidRPr="00992199">
        <w:rPr>
          <w:spacing w:val="8"/>
          <w:szCs w:val="20"/>
        </w:rPr>
        <w:t xml:space="preserve"> </w:t>
      </w:r>
      <w:r w:rsidRPr="00992199">
        <w:rPr>
          <w:spacing w:val="-1"/>
          <w:szCs w:val="20"/>
        </w:rPr>
        <w:t>area</w:t>
      </w:r>
      <w:r w:rsidRPr="00992199">
        <w:rPr>
          <w:spacing w:val="8"/>
          <w:szCs w:val="20"/>
        </w:rPr>
        <w:t xml:space="preserve"> </w:t>
      </w:r>
      <w:r w:rsidRPr="00992199">
        <w:rPr>
          <w:spacing w:val="-1"/>
          <w:szCs w:val="20"/>
        </w:rPr>
        <w:t>of</w:t>
      </w:r>
      <w:r w:rsidRPr="00992199">
        <w:rPr>
          <w:spacing w:val="7"/>
          <w:szCs w:val="20"/>
        </w:rPr>
        <w:t xml:space="preserve"> </w:t>
      </w:r>
      <w:r w:rsidRPr="00992199">
        <w:rPr>
          <w:spacing w:val="-1"/>
          <w:szCs w:val="20"/>
        </w:rPr>
        <w:t>food</w:t>
      </w:r>
      <w:r w:rsidRPr="00992199">
        <w:rPr>
          <w:spacing w:val="8"/>
          <w:szCs w:val="20"/>
        </w:rPr>
        <w:t xml:space="preserve"> </w:t>
      </w:r>
      <w:r w:rsidRPr="00992199">
        <w:rPr>
          <w:spacing w:val="-1"/>
          <w:szCs w:val="20"/>
        </w:rPr>
        <w:t xml:space="preserve">safety, hygiene and traceability that can be attained in </w:t>
      </w:r>
      <w:smartTag w:uri="urn:schemas-microsoft-com:office:smarttags" w:element="place">
        <w:r w:rsidRPr="00992199">
          <w:rPr>
            <w:spacing w:val="-1"/>
            <w:szCs w:val="20"/>
          </w:rPr>
          <w:t>Europe</w:t>
        </w:r>
      </w:smartTag>
      <w:r w:rsidRPr="00992199">
        <w:rPr>
          <w:spacing w:val="-1"/>
          <w:szCs w:val="20"/>
        </w:rPr>
        <w:t>.</w:t>
      </w:r>
    </w:p>
    <w:p w:rsidR="003F0BC5" w:rsidRPr="00992199" w:rsidRDefault="003F0BC5" w:rsidP="00BB0F52">
      <w:pPr>
        <w:pStyle w:val="BulletsL1"/>
      </w:pPr>
      <w:r w:rsidRPr="00992199">
        <w:t>IFS (International Food Standard).</w:t>
      </w:r>
    </w:p>
    <w:p w:rsidR="003F0BC5" w:rsidRPr="00992199" w:rsidRDefault="003F0BC5" w:rsidP="00F35405">
      <w:pPr>
        <w:widowControl w:val="0"/>
        <w:autoSpaceDE w:val="0"/>
        <w:autoSpaceDN w:val="0"/>
        <w:adjustRightInd w:val="0"/>
        <w:ind w:left="720"/>
        <w:rPr>
          <w:szCs w:val="20"/>
        </w:rPr>
      </w:pPr>
      <w:r w:rsidRPr="00992199">
        <w:rPr>
          <w:spacing w:val="-1"/>
          <w:szCs w:val="20"/>
        </w:rPr>
        <w:t>This certificate is very similar to BRC but worked out historically by German/French retailers and audited next to BRC</w:t>
      </w:r>
      <w:r w:rsidR="00997C55">
        <w:rPr>
          <w:spacing w:val="-1"/>
          <w:szCs w:val="20"/>
        </w:rPr>
        <w:t>. I</w:t>
      </w:r>
      <w:r w:rsidRPr="00992199">
        <w:rPr>
          <w:spacing w:val="-1"/>
          <w:szCs w:val="20"/>
        </w:rPr>
        <w:t xml:space="preserve">t is used for </w:t>
      </w:r>
      <w:r w:rsidR="00C95087">
        <w:rPr>
          <w:szCs w:val="20"/>
          <w:lang w:bidi="as-IN"/>
        </w:rPr>
        <w:t xml:space="preserve">the Greenyard Foods </w:t>
      </w:r>
      <w:r w:rsidR="00C95087">
        <w:rPr>
          <w:szCs w:val="20"/>
        </w:rPr>
        <w:t>Group’s</w:t>
      </w:r>
      <w:r w:rsidRPr="00992199">
        <w:rPr>
          <w:spacing w:val="-1"/>
          <w:szCs w:val="20"/>
        </w:rPr>
        <w:t xml:space="preserve"> factories that expor</w:t>
      </w:r>
      <w:r w:rsidR="00997C55">
        <w:rPr>
          <w:spacing w:val="-1"/>
          <w:szCs w:val="20"/>
        </w:rPr>
        <w:t>t to Germany/France (where BRC i</w:t>
      </w:r>
      <w:r w:rsidRPr="00992199">
        <w:rPr>
          <w:spacing w:val="-1"/>
          <w:szCs w:val="20"/>
        </w:rPr>
        <w:t>s not exclusively accepted)</w:t>
      </w:r>
      <w:r w:rsidR="00997C55">
        <w:rPr>
          <w:spacing w:val="-1"/>
          <w:szCs w:val="20"/>
        </w:rPr>
        <w:t>.</w:t>
      </w:r>
    </w:p>
    <w:p w:rsidR="003F0BC5" w:rsidRPr="00992199" w:rsidRDefault="003F0BC5" w:rsidP="00BB0F52">
      <w:pPr>
        <w:pStyle w:val="BulletsL1"/>
      </w:pPr>
      <w:r w:rsidRPr="00992199">
        <w:t>Certificates for organic vegetables</w:t>
      </w:r>
    </w:p>
    <w:p w:rsidR="003F0BC5" w:rsidRPr="00992199" w:rsidRDefault="003F0BC5" w:rsidP="00F35405">
      <w:pPr>
        <w:widowControl w:val="0"/>
        <w:autoSpaceDE w:val="0"/>
        <w:autoSpaceDN w:val="0"/>
        <w:adjustRightInd w:val="0"/>
        <w:ind w:left="720"/>
        <w:rPr>
          <w:szCs w:val="20"/>
        </w:rPr>
      </w:pPr>
      <w:r w:rsidRPr="00992199">
        <w:rPr>
          <w:szCs w:val="20"/>
        </w:rPr>
        <w:t>All production sites producing organic vegetables have been awarded the organic certificate by their local EC recognised inspection authority for the production of organic vegetables.</w:t>
      </w:r>
    </w:p>
    <w:p w:rsidR="003F0BC5" w:rsidRPr="00992199" w:rsidRDefault="003F0BC5" w:rsidP="00864882">
      <w:pPr>
        <w:rPr>
          <w:szCs w:val="20"/>
        </w:rPr>
      </w:pPr>
      <w:r w:rsidRPr="00992199">
        <w:rPr>
          <w:szCs w:val="20"/>
        </w:rPr>
        <w:t>The Canning Division has several certificates including BRC, IFS, ISO 9001 and ISO 14001 Standard.</w:t>
      </w:r>
    </w:p>
    <w:p w:rsidR="003F0BC5" w:rsidRDefault="003F0BC5" w:rsidP="00864882">
      <w:pPr>
        <w:rPr>
          <w:szCs w:val="20"/>
        </w:rPr>
      </w:pPr>
      <w:r w:rsidRPr="00992199">
        <w:rPr>
          <w:szCs w:val="20"/>
        </w:rPr>
        <w:t>Each production site has its own quality laboratory. During manufacturing, product samples are regularly examined for their physical, chemical and bacteriological characteristics. In addition, the raw materials are subject to strict quality controls.</w:t>
      </w:r>
    </w:p>
    <w:p w:rsidR="005B6FDE" w:rsidRPr="005B6FDE" w:rsidRDefault="005B6FDE" w:rsidP="00864882">
      <w:r>
        <w:t xml:space="preserve">Next to quality centres organised by the Frozen </w:t>
      </w:r>
      <w:r w:rsidR="00997C55" w:rsidRPr="00997C55">
        <w:t xml:space="preserve">as well </w:t>
      </w:r>
      <w:r>
        <w:t xml:space="preserve">as </w:t>
      </w:r>
      <w:r w:rsidR="00997C55">
        <w:t xml:space="preserve">the </w:t>
      </w:r>
      <w:r>
        <w:t>Canning Division, a</w:t>
      </w:r>
      <w:r w:rsidRPr="00655220">
        <w:t xml:space="preserve">n R&amp;D-centre </w:t>
      </w:r>
      <w:r>
        <w:t xml:space="preserve">is also </w:t>
      </w:r>
      <w:r w:rsidRPr="00655220">
        <w:t xml:space="preserve">owned by each division of </w:t>
      </w:r>
      <w:r w:rsidR="00C95087">
        <w:rPr>
          <w:szCs w:val="20"/>
          <w:lang w:bidi="as-IN"/>
        </w:rPr>
        <w:t xml:space="preserve">the Greenyard Foods Group </w:t>
      </w:r>
      <w:r>
        <w:t>to ensure</w:t>
      </w:r>
      <w:r w:rsidRPr="00655220">
        <w:t xml:space="preserve"> innovation in terms of products and production </w:t>
      </w:r>
      <w:r w:rsidRPr="00864882">
        <w:rPr>
          <w:szCs w:val="20"/>
        </w:rPr>
        <w:t>processes</w:t>
      </w:r>
      <w:r w:rsidRPr="00655220">
        <w:t>.</w:t>
      </w:r>
      <w:r>
        <w:t xml:space="preserve"> The team </w:t>
      </w:r>
      <w:r w:rsidRPr="00F35405">
        <w:rPr>
          <w:szCs w:val="20"/>
        </w:rPr>
        <w:t>dealing</w:t>
      </w:r>
      <w:r>
        <w:t xml:space="preserve"> with product development comprises five employees in the Frozen Division and five employees in the Canning Division. Development of quality and the circularisation of information throughout the organisation are monitored throughout the process of the own group R&amp;D departments.</w:t>
      </w:r>
    </w:p>
    <w:p w:rsidR="003F0BC5" w:rsidRPr="00992199" w:rsidRDefault="00816A67" w:rsidP="00353B80">
      <w:pPr>
        <w:pStyle w:val="Firm5L4"/>
        <w:keepNext/>
      </w:pPr>
      <w:bookmarkStart w:id="17" w:name="_Ref418606606"/>
      <w:r>
        <w:rPr>
          <w:noProof/>
        </w:rPr>
        <mc:AlternateContent>
          <mc:Choice Requires="wpg">
            <w:drawing>
              <wp:anchor distT="0" distB="0" distL="114300" distR="114300" simplePos="0" relativeHeight="251658752" behindDoc="1" locked="0" layoutInCell="1" allowOverlap="1">
                <wp:simplePos x="0" y="0"/>
                <wp:positionH relativeFrom="page">
                  <wp:posOffset>0</wp:posOffset>
                </wp:positionH>
                <wp:positionV relativeFrom="page">
                  <wp:posOffset>0</wp:posOffset>
                </wp:positionV>
                <wp:extent cx="36195" cy="36195"/>
                <wp:effectExtent l="0" t="19050" r="1905"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5" cy="36195"/>
                          <a:chOff x="0" y="0"/>
                          <a:chExt cx="57" cy="57"/>
                        </a:xfrm>
                      </wpg:grpSpPr>
                      <wps:wsp>
                        <wps:cNvPr id="36" name="Freeform 5"/>
                        <wps:cNvSpPr>
                          <a:spLocks/>
                        </wps:cNvSpPr>
                        <wps:spPr bwMode="auto">
                          <a:xfrm>
                            <a:off x="0" y="0"/>
                            <a:ext cx="57" cy="57"/>
                          </a:xfrm>
                          <a:custGeom>
                            <a:avLst/>
                            <a:gdLst>
                              <a:gd name="T0" fmla="*/ 0 w 57"/>
                              <a:gd name="T1" fmla="*/ 28 h 57"/>
                              <a:gd name="T2" fmla="*/ 57 w 57"/>
                              <a:gd name="T3" fmla="*/ 28 h 57"/>
                            </a:gdLst>
                            <a:ahLst/>
                            <a:cxnLst>
                              <a:cxn ang="0">
                                <a:pos x="T0" y="T1"/>
                              </a:cxn>
                              <a:cxn ang="0">
                                <a:pos x="T2" y="T3"/>
                              </a:cxn>
                            </a:cxnLst>
                            <a:rect l="0" t="0" r="r" b="b"/>
                            <a:pathLst>
                              <a:path w="57" h="57">
                                <a:moveTo>
                                  <a:pt x="0" y="28"/>
                                </a:moveTo>
                                <a:lnTo>
                                  <a:pt x="57" y="28"/>
                                </a:lnTo>
                              </a:path>
                            </a:pathLst>
                          </a:custGeom>
                          <a:noFill/>
                          <a:ln w="37274">
                            <a:solidFill>
                              <a:srgbClr val="FAFDF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626073" id="Group 35" o:spid="_x0000_s1026" style="position:absolute;margin-left:0;margin-top:0;width:2.85pt;height:2.85pt;z-index:-251657728;mso-position-horizontal-relative:page;mso-position-vertical-relative:page"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">
                <v:shape id="Freeform 5" o:spid="_x0000_s1027" style="position:absolute;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" path="m,28r57,e" filled="f" strokecolor="#fafdfa" strokeweight="1.0354mm">
                  <v:path arrowok="t" o:connecttype="custom" o:connectlocs="0,28;57,28" o:connectangles="0,0"/>
                </v:shape>
                <w10:wrap anchorx="page" anchory="page"/>
              </v:group>
            </w:pict>
          </mc:Fallback>
        </mc:AlternateContent>
      </w:r>
      <w:r w:rsidR="003F0BC5" w:rsidRPr="00992199">
        <w:t>Competitors</w:t>
      </w:r>
      <w:bookmarkEnd w:id="17"/>
    </w:p>
    <w:p w:rsidR="003F0BC5" w:rsidRPr="00992199" w:rsidRDefault="003F0BC5" w:rsidP="003F0BC5">
      <w:pPr>
        <w:rPr>
          <w:i/>
          <w:szCs w:val="20"/>
        </w:rPr>
      </w:pPr>
      <w:r w:rsidRPr="00992199">
        <w:rPr>
          <w:i/>
          <w:szCs w:val="20"/>
        </w:rPr>
        <w:t>Key players in the E</w:t>
      </w:r>
      <w:r w:rsidR="00997C55">
        <w:rPr>
          <w:i/>
          <w:szCs w:val="20"/>
        </w:rPr>
        <w:t>uropean frozen vegetable market</w:t>
      </w:r>
    </w:p>
    <w:p w:rsidR="00997C55" w:rsidRDefault="00997C55" w:rsidP="003F0BC5">
      <w:pPr>
        <w:rPr>
          <w:szCs w:val="20"/>
        </w:rPr>
      </w:pPr>
      <w:r>
        <w:rPr>
          <w:szCs w:val="20"/>
        </w:rPr>
        <w:t>T</w:t>
      </w:r>
      <w:r w:rsidR="003F0BC5" w:rsidRPr="00992199">
        <w:rPr>
          <w:szCs w:val="20"/>
        </w:rPr>
        <w:t xml:space="preserve">here are two major groups on the supply side of the market. </w:t>
      </w:r>
    </w:p>
    <w:p w:rsidR="00997C55" w:rsidRPr="00992199" w:rsidRDefault="00997C55" w:rsidP="00997C55">
      <w:pPr>
        <w:rPr>
          <w:szCs w:val="20"/>
        </w:rPr>
      </w:pPr>
      <w:r>
        <w:rPr>
          <w:szCs w:val="20"/>
        </w:rPr>
        <w:lastRenderedPageBreak/>
        <w:t>Firstly, t</w:t>
      </w:r>
      <w:r w:rsidRPr="00992199">
        <w:rPr>
          <w:szCs w:val="20"/>
        </w:rPr>
        <w:t xml:space="preserve">here is a group of companies, mostly major multinationals, focused on marketing and distribution, at times in combination with in-house production, such as former Unilever with brands such as Iglo, Birds Eye, Findus, Bonduelle and Frosta. These companies focus on the family market with brands. These players are primarily customers of </w:t>
      </w:r>
      <w:r w:rsidRPr="00C95087">
        <w:rPr>
          <w:szCs w:val="20"/>
        </w:rPr>
        <w:t xml:space="preserve">the Greenyard Foods Group </w:t>
      </w:r>
      <w:r w:rsidRPr="00992199">
        <w:rPr>
          <w:szCs w:val="20"/>
        </w:rPr>
        <w:t>rather than competitors.</w:t>
      </w:r>
    </w:p>
    <w:p w:rsidR="00997C55" w:rsidRPr="00992199" w:rsidRDefault="00997C55" w:rsidP="00997C55">
      <w:pPr>
        <w:rPr>
          <w:szCs w:val="20"/>
        </w:rPr>
      </w:pPr>
      <w:r>
        <w:rPr>
          <w:szCs w:val="20"/>
        </w:rPr>
        <w:t>Secondly, t</w:t>
      </w:r>
      <w:r w:rsidRPr="00992199">
        <w:rPr>
          <w:szCs w:val="20"/>
        </w:rPr>
        <w:t xml:space="preserve">here is a group of companies that primarily present themselves as production companies. The Frozen Division seeks to position itself as one of the most important European players in </w:t>
      </w:r>
      <w:r>
        <w:rPr>
          <w:szCs w:val="20"/>
        </w:rPr>
        <w:t xml:space="preserve">the market of frozen </w:t>
      </w:r>
      <w:r w:rsidR="00115545">
        <w:rPr>
          <w:szCs w:val="20"/>
        </w:rPr>
        <w:t xml:space="preserve">fruit and </w:t>
      </w:r>
      <w:r>
        <w:rPr>
          <w:szCs w:val="20"/>
        </w:rPr>
        <w:t xml:space="preserve">vegetables’ production. The Frozen Division is therefore </w:t>
      </w:r>
      <w:r w:rsidR="00115545">
        <w:rPr>
          <w:szCs w:val="20"/>
        </w:rPr>
        <w:t xml:space="preserve">mainly </w:t>
      </w:r>
      <w:r>
        <w:rPr>
          <w:szCs w:val="20"/>
        </w:rPr>
        <w:t>competiting with the companies that are part of this second group.</w:t>
      </w:r>
      <w:r w:rsidR="00C14169">
        <w:rPr>
          <w:szCs w:val="20"/>
        </w:rPr>
        <w:t xml:space="preserve"> </w:t>
      </w:r>
    </w:p>
    <w:p w:rsidR="003F0BC5" w:rsidRPr="00992199" w:rsidRDefault="003F0BC5" w:rsidP="003F0BC5">
      <w:pPr>
        <w:rPr>
          <w:szCs w:val="20"/>
        </w:rPr>
      </w:pPr>
      <w:r w:rsidRPr="00992199">
        <w:rPr>
          <w:szCs w:val="20"/>
        </w:rPr>
        <w:t xml:space="preserve">The following key groups are active in the </w:t>
      </w:r>
      <w:r w:rsidR="00997C55">
        <w:rPr>
          <w:szCs w:val="20"/>
        </w:rPr>
        <w:t>w</w:t>
      </w:r>
      <w:r w:rsidRPr="00992199">
        <w:rPr>
          <w:szCs w:val="20"/>
        </w:rPr>
        <w:t xml:space="preserve">estern European </w:t>
      </w:r>
      <w:r w:rsidR="00115545" w:rsidRPr="00115545">
        <w:rPr>
          <w:szCs w:val="20"/>
        </w:rPr>
        <w:t xml:space="preserve">of frozen </w:t>
      </w:r>
      <w:r w:rsidR="00115545">
        <w:rPr>
          <w:szCs w:val="20"/>
        </w:rPr>
        <w:t xml:space="preserve">fruit and </w:t>
      </w:r>
      <w:r w:rsidR="00115545" w:rsidRPr="00115545">
        <w:rPr>
          <w:szCs w:val="20"/>
        </w:rPr>
        <w:t>vegetables’ production</w:t>
      </w:r>
      <w:r w:rsidRPr="00992199">
        <w:rPr>
          <w:szCs w:val="20"/>
        </w:rPr>
        <w:t>:</w:t>
      </w:r>
    </w:p>
    <w:p w:rsidR="003F0BC5" w:rsidRPr="00992199" w:rsidRDefault="001F67D5" w:rsidP="00BB0F52">
      <w:pPr>
        <w:pStyle w:val="BulletsL1"/>
      </w:pPr>
      <w:r>
        <w:t>Ardo-Dujardin (</w:t>
      </w:r>
      <w:smartTag w:uri="urn:schemas-microsoft-com:office:smarttags" w:element="country-region">
        <w:smartTag w:uri="urn:schemas-microsoft-com:office:smarttags" w:element="place">
          <w:r>
            <w:t>Belgium</w:t>
          </w:r>
        </w:smartTag>
      </w:smartTag>
      <w:r>
        <w:t>) -</w:t>
      </w:r>
      <w:r w:rsidR="003F0BC5" w:rsidRPr="00992199">
        <w:t xml:space="preserve"> This West Flanders group produces frozen vegetables, vegetable mixes to which sauces and seasoning may be added, fruit and snacks. Ardo has 20 production and packing sites in eight European countries. Ardo is the absolute market leader with an annual production estimated at 805,000 tons and sales of </w:t>
      </w:r>
      <w:r w:rsidR="00E53641">
        <w:t>EUR </w:t>
      </w:r>
      <w:r w:rsidR="003F0BC5" w:rsidRPr="00992199">
        <w:t>820,000,000.</w:t>
      </w:r>
    </w:p>
    <w:p w:rsidR="001F67D5" w:rsidRDefault="001F67D5" w:rsidP="00BB0F52">
      <w:pPr>
        <w:pStyle w:val="BulletsL1"/>
      </w:pPr>
      <w:r>
        <w:t>Bonduelle (France) -</w:t>
      </w:r>
      <w:r w:rsidR="003F0BC5" w:rsidRPr="00992199">
        <w:t xml:space="preserve"> This French group is in the first place a producer of</w:t>
      </w:r>
      <w:r>
        <w:t xml:space="preserve"> vegetables in cans and jars (53</w:t>
      </w:r>
      <w:r w:rsidR="003F0BC5" w:rsidRPr="00992199">
        <w:t xml:space="preserve">% of sales in </w:t>
      </w:r>
      <w:r>
        <w:t>AY 2013/2014</w:t>
      </w:r>
      <w:r w:rsidR="003F0BC5" w:rsidRPr="00992199">
        <w:t>);</w:t>
      </w:r>
      <w:r>
        <w:t xml:space="preserve"> the sale of frozen vegetables represents 28% of the </w:t>
      </w:r>
      <w:r w:rsidR="00997C55">
        <w:t xml:space="preserve">Bonduelle </w:t>
      </w:r>
      <w:r>
        <w:t xml:space="preserve">group’s sales. Its most important markets are </w:t>
      </w:r>
      <w:smartTag w:uri="urn:schemas-microsoft-com:office:smarttags" w:element="country-region">
        <w:r>
          <w:t>France</w:t>
        </w:r>
      </w:smartTag>
      <w:r>
        <w:t xml:space="preserve"> (33%), </w:t>
      </w:r>
      <w:smartTag w:uri="urn:schemas-microsoft-com:office:smarttags" w:element="country-region">
        <w:r>
          <w:t>Germany</w:t>
        </w:r>
      </w:smartTag>
      <w:r>
        <w:t xml:space="preserve"> (12%), </w:t>
      </w:r>
      <w:smartTag w:uri="urn:schemas-microsoft-com:office:smarttags" w:element="country-region">
        <w:r>
          <w:t>Canada</w:t>
        </w:r>
      </w:smartTag>
      <w:r>
        <w:t xml:space="preserve"> (11%) and </w:t>
      </w:r>
      <w:smartTag w:uri="urn:schemas-microsoft-com:office:smarttags" w:element="country-region">
        <w:smartTag w:uri="urn:schemas-microsoft-com:office:smarttags" w:element="place">
          <w:r>
            <w:t>USA</w:t>
          </w:r>
        </w:smartTag>
      </w:smartTag>
      <w:r>
        <w:t xml:space="preserve"> (11%). Sales of the group amounted to </w:t>
      </w:r>
      <w:r w:rsidR="00E53641">
        <w:t>EUR </w:t>
      </w:r>
      <w:r>
        <w:t>1,921,000</w:t>
      </w:r>
      <w:r w:rsidR="00864882">
        <w:t>,000</w:t>
      </w:r>
      <w:r>
        <w:t xml:space="preserve"> in AY 2013/2014.</w:t>
      </w:r>
    </w:p>
    <w:p w:rsidR="003F0BC5" w:rsidRPr="00992199" w:rsidRDefault="001F67D5" w:rsidP="00BB0F52">
      <w:pPr>
        <w:pStyle w:val="BulletsL1"/>
      </w:pPr>
      <w:r>
        <w:t>D’Arta (</w:t>
      </w:r>
      <w:smartTag w:uri="urn:schemas-microsoft-com:office:smarttags" w:element="country-region">
        <w:r>
          <w:t>Belgium</w:t>
        </w:r>
      </w:smartTag>
      <w:r>
        <w:t>) -</w:t>
      </w:r>
      <w:r w:rsidR="003F0BC5" w:rsidRPr="00992199">
        <w:t xml:space="preserve"> This West Flanders group produces frozen vegetables, vegetable mixes and ready made vegetable meals in two sites (Darta Ardooie and Dardico in </w:t>
      </w:r>
      <w:smartTag w:uri="urn:schemas-microsoft-com:office:smarttags" w:element="country-region">
        <w:smartTag w:uri="urn:schemas-microsoft-com:office:smarttags" w:element="place">
          <w:r w:rsidR="003F0BC5" w:rsidRPr="00992199">
            <w:t>Portugal</w:t>
          </w:r>
        </w:smartTag>
      </w:smartTag>
      <w:r w:rsidR="003F0BC5" w:rsidRPr="00992199">
        <w:t>)</w:t>
      </w:r>
      <w:r w:rsidR="00B645EF">
        <w:t>.</w:t>
      </w:r>
      <w:r w:rsidR="003F0BC5" w:rsidRPr="00992199">
        <w:t xml:space="preserve"> The </w:t>
      </w:r>
      <w:r w:rsidR="00997C55">
        <w:t>D’Arta group</w:t>
      </w:r>
      <w:r w:rsidR="003F0BC5" w:rsidRPr="00992199">
        <w:t xml:space="preserve"> has around 350 employees. Its annual sales are estimated at 140,000 ton</w:t>
      </w:r>
      <w:r w:rsidR="00997C55">
        <w:t>s</w:t>
      </w:r>
      <w:r w:rsidR="003F0BC5" w:rsidRPr="00992199">
        <w:t xml:space="preserve"> with a</w:t>
      </w:r>
      <w:r w:rsidR="00997C55">
        <w:t>n annual</w:t>
      </w:r>
      <w:r w:rsidR="003F0BC5" w:rsidRPr="00992199">
        <w:t xml:space="preserve"> turnover of </w:t>
      </w:r>
      <w:r w:rsidR="00E53641">
        <w:t>EUR </w:t>
      </w:r>
      <w:r w:rsidR="003F0BC5" w:rsidRPr="00992199">
        <w:t>150,000,000.</w:t>
      </w:r>
    </w:p>
    <w:p w:rsidR="003F0BC5" w:rsidRPr="00992199" w:rsidRDefault="001F67D5" w:rsidP="00BB0F52">
      <w:pPr>
        <w:pStyle w:val="BulletsL1"/>
      </w:pPr>
      <w:r>
        <w:t>Dicogel-Begro/Westfro (</w:t>
      </w:r>
      <w:smartTag w:uri="urn:schemas-microsoft-com:office:smarttags" w:element="country-region">
        <w:smartTag w:uri="urn:schemas-microsoft-com:office:smarttags" w:element="place">
          <w:r>
            <w:t>Belgium</w:t>
          </w:r>
        </w:smartTag>
      </w:smartTag>
      <w:r>
        <w:t>) -</w:t>
      </w:r>
      <w:r w:rsidR="003F0BC5" w:rsidRPr="00992199">
        <w:t xml:space="preserve"> This West Flanders producer of frozen vegetables is focused in particular on the French and German food service market and food industry. After the merger with Westfro, </w:t>
      </w:r>
      <w:r w:rsidR="00997C55">
        <w:t xml:space="preserve">its annual </w:t>
      </w:r>
      <w:r w:rsidR="003F0BC5" w:rsidRPr="00992199">
        <w:t xml:space="preserve">turnover is estimated at </w:t>
      </w:r>
      <w:r w:rsidR="00E53641">
        <w:t>EUR </w:t>
      </w:r>
      <w:r w:rsidR="003F0BC5" w:rsidRPr="00992199">
        <w:t>250,000,000.</w:t>
      </w:r>
    </w:p>
    <w:p w:rsidR="003F0BC5" w:rsidRPr="00992199" w:rsidRDefault="001F67D5" w:rsidP="00BB0F52">
      <w:pPr>
        <w:pStyle w:val="BulletsL1"/>
      </w:pPr>
      <w:r>
        <w:t>Virto (</w:t>
      </w:r>
      <w:smartTag w:uri="urn:schemas-microsoft-com:office:smarttags" w:element="country-region">
        <w:smartTag w:uri="urn:schemas-microsoft-com:office:smarttags" w:element="place">
          <w:r>
            <w:t>Spain</w:t>
          </w:r>
        </w:smartTag>
      </w:smartTag>
      <w:r>
        <w:t>) -</w:t>
      </w:r>
      <w:r w:rsidR="003F0BC5" w:rsidRPr="00992199">
        <w:t xml:space="preserve"> This Spanish producer is the </w:t>
      </w:r>
      <w:r w:rsidR="00BF553B">
        <w:t>“</w:t>
      </w:r>
      <w:r w:rsidR="003F0BC5" w:rsidRPr="00992199">
        <w:t>private label</w:t>
      </w:r>
      <w:r w:rsidR="00BF553B">
        <w:t>”</w:t>
      </w:r>
      <w:r w:rsidR="003F0BC5" w:rsidRPr="00992199">
        <w:t xml:space="preserve"> market leader in its home market. 90% of its sales are realised through its eight production sites in </w:t>
      </w:r>
      <w:smartTag w:uri="urn:schemas-microsoft-com:office:smarttags" w:element="country-region">
        <w:smartTag w:uri="urn:schemas-microsoft-com:office:smarttags" w:element="place">
          <w:r w:rsidR="003F0BC5" w:rsidRPr="00992199">
            <w:t>Spain</w:t>
          </w:r>
        </w:smartTag>
      </w:smartTag>
      <w:r w:rsidR="003F0BC5" w:rsidRPr="00992199">
        <w:t xml:space="preserve">. Outside of </w:t>
      </w:r>
      <w:smartTag w:uri="urn:schemas-microsoft-com:office:smarttags" w:element="country-region">
        <w:r w:rsidR="003F0BC5" w:rsidRPr="00992199">
          <w:t>Spain</w:t>
        </w:r>
      </w:smartTag>
      <w:r w:rsidR="003F0BC5" w:rsidRPr="00992199">
        <w:t xml:space="preserve">, it has production and storage sites in </w:t>
      </w:r>
      <w:smartTag w:uri="urn:schemas-microsoft-com:office:smarttags" w:element="country-region">
        <w:r w:rsidR="003F0BC5" w:rsidRPr="00992199">
          <w:t>France</w:t>
        </w:r>
      </w:smartTag>
      <w:r w:rsidR="003F0BC5" w:rsidRPr="00992199">
        <w:t xml:space="preserve">, </w:t>
      </w:r>
      <w:smartTag w:uri="urn:schemas-microsoft-com:office:smarttags" w:element="country-region">
        <w:r w:rsidR="003F0BC5" w:rsidRPr="00992199">
          <w:t>Portugal</w:t>
        </w:r>
      </w:smartTag>
      <w:r w:rsidR="003F0BC5" w:rsidRPr="00992199">
        <w:t xml:space="preserve">, the </w:t>
      </w:r>
      <w:smartTag w:uri="urn:schemas-microsoft-com:office:smarttags" w:element="country-region">
        <w:r w:rsidR="003F0BC5" w:rsidRPr="00992199">
          <w:t>United Kingdom</w:t>
        </w:r>
      </w:smartTag>
      <w:r w:rsidR="003F0BC5" w:rsidRPr="00992199">
        <w:t xml:space="preserve">, </w:t>
      </w:r>
      <w:smartTag w:uri="urn:schemas-microsoft-com:office:smarttags" w:element="country-region">
        <w:r w:rsidR="003F0BC5" w:rsidRPr="00992199">
          <w:t>Germany</w:t>
        </w:r>
      </w:smartTag>
      <w:r w:rsidR="003F0BC5" w:rsidRPr="00992199">
        <w:t xml:space="preserve"> and the </w:t>
      </w:r>
      <w:smartTag w:uri="urn:schemas-microsoft-com:office:smarttags" w:element="country-region">
        <w:smartTag w:uri="urn:schemas-microsoft-com:office:smarttags" w:element="place">
          <w:r w:rsidR="003F0BC5" w:rsidRPr="00992199">
            <w:t>United States</w:t>
          </w:r>
        </w:smartTag>
      </w:smartTag>
      <w:r w:rsidR="003F0BC5" w:rsidRPr="00992199">
        <w:t xml:space="preserve">. Its </w:t>
      </w:r>
      <w:r w:rsidR="00997C55">
        <w:t xml:space="preserve">annual </w:t>
      </w:r>
      <w:r w:rsidR="003F0BC5" w:rsidRPr="00992199">
        <w:t xml:space="preserve">turnover is estimated at </w:t>
      </w:r>
      <w:r w:rsidR="00E53641">
        <w:t>EUR </w:t>
      </w:r>
      <w:r w:rsidR="003F0BC5" w:rsidRPr="00992199">
        <w:t>240,000,000.</w:t>
      </w:r>
    </w:p>
    <w:p w:rsidR="003F0BC5" w:rsidRPr="00992199" w:rsidRDefault="00816A67" w:rsidP="003F0BC5">
      <w:pPr>
        <w:rPr>
          <w:szCs w:val="20"/>
        </w:rPr>
      </w:pPr>
      <w:r>
        <w:rPr>
          <w:noProof/>
        </w:rPr>
        <mc:AlternateContent>
          <mc:Choice Requires="wpg">
            <w:drawing>
              <wp:anchor distT="0" distB="0" distL="114300" distR="114300" simplePos="0" relativeHeight="251656704" behindDoc="1" locked="0" layoutInCell="1" allowOverlap="1">
                <wp:simplePos x="0" y="0"/>
                <wp:positionH relativeFrom="page">
                  <wp:posOffset>0</wp:posOffset>
                </wp:positionH>
                <wp:positionV relativeFrom="page">
                  <wp:posOffset>0</wp:posOffset>
                </wp:positionV>
                <wp:extent cx="36195" cy="36195"/>
                <wp:effectExtent l="0" t="19050" r="1905"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5" cy="36195"/>
                          <a:chOff x="0" y="0"/>
                          <a:chExt cx="57" cy="57"/>
                        </a:xfrm>
                      </wpg:grpSpPr>
                      <wps:wsp>
                        <wps:cNvPr id="34" name="Freeform 7"/>
                        <wps:cNvSpPr>
                          <a:spLocks/>
                        </wps:cNvSpPr>
                        <wps:spPr bwMode="auto">
                          <a:xfrm>
                            <a:off x="0" y="0"/>
                            <a:ext cx="57" cy="57"/>
                          </a:xfrm>
                          <a:custGeom>
                            <a:avLst/>
                            <a:gdLst>
                              <a:gd name="T0" fmla="*/ 0 w 57"/>
                              <a:gd name="T1" fmla="*/ 28 h 57"/>
                              <a:gd name="T2" fmla="*/ 57 w 57"/>
                              <a:gd name="T3" fmla="*/ 28 h 57"/>
                            </a:gdLst>
                            <a:ahLst/>
                            <a:cxnLst>
                              <a:cxn ang="0">
                                <a:pos x="T0" y="T1"/>
                              </a:cxn>
                              <a:cxn ang="0">
                                <a:pos x="T2" y="T3"/>
                              </a:cxn>
                            </a:cxnLst>
                            <a:rect l="0" t="0" r="r" b="b"/>
                            <a:pathLst>
                              <a:path w="57" h="57">
                                <a:moveTo>
                                  <a:pt x="0" y="28"/>
                                </a:moveTo>
                                <a:lnTo>
                                  <a:pt x="57" y="28"/>
                                </a:lnTo>
                              </a:path>
                            </a:pathLst>
                          </a:custGeom>
                          <a:noFill/>
                          <a:ln w="37274">
                            <a:solidFill>
                              <a:srgbClr val="FAFDF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7734ED" id="Group 33" o:spid="_x0000_s1026" style="position:absolute;margin-left:0;margin-top:0;width:2.85pt;height:2.85pt;z-index:-251659776;mso-position-horizontal-relative:page;mso-position-vertical-relative:page"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">
                <v:shape id="Freeform 7" o:spid="_x0000_s1027" style="position:absolute;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" path="m,28r57,e" filled="f" strokecolor="#fafdfa" strokeweight="1.0354mm">
                  <v:path arrowok="t" o:connecttype="custom" o:connectlocs="0,28;57,28" o:connectangles="0,0"/>
                </v:shape>
                <w10:wrap anchorx="page" anchory="page"/>
              </v:group>
            </w:pict>
          </mc:Fallback>
        </mc:AlternateContent>
      </w:r>
      <w:r w:rsidR="003F0BC5" w:rsidRPr="00992199">
        <w:rPr>
          <w:szCs w:val="20"/>
        </w:rPr>
        <w:t>In addition, there are some 15 smaller players with capacities ranging between 20,000 and 80,000 tons. Iglo Birds Eye (former Unilever) was not included in the above ranking. It produces almost exclusively for its own brand.</w:t>
      </w:r>
    </w:p>
    <w:p w:rsidR="003F0BC5" w:rsidRPr="00992199" w:rsidRDefault="003F0BC5" w:rsidP="003F0BC5">
      <w:pPr>
        <w:rPr>
          <w:szCs w:val="20"/>
        </w:rPr>
      </w:pPr>
      <w:r w:rsidRPr="00992199">
        <w:rPr>
          <w:szCs w:val="20"/>
        </w:rPr>
        <w:t xml:space="preserve">The Hungarian company Globus was the biggest player in the Central and Eastern European market. Globus produced circa 90,000 tons of frozen </w:t>
      </w:r>
      <w:r w:rsidR="00FE467C">
        <w:rPr>
          <w:szCs w:val="20"/>
        </w:rPr>
        <w:t>fruit</w:t>
      </w:r>
      <w:r w:rsidR="00FE467C" w:rsidRPr="00FE467C">
        <w:rPr>
          <w:szCs w:val="20"/>
        </w:rPr>
        <w:t xml:space="preserve"> and vegetables</w:t>
      </w:r>
      <w:r w:rsidRPr="00992199">
        <w:rPr>
          <w:szCs w:val="20"/>
        </w:rPr>
        <w:t xml:space="preserve">. After getting into financial difficulties, it was taken over by the French group CECAB in early 2006. Pursuant to the acquisition of the frozen vegetables activities of the CECAB group in 2011, the frozen foods activities of Globus are now part of the </w:t>
      </w:r>
      <w:r w:rsidR="002A1AB1">
        <w:rPr>
          <w:szCs w:val="20"/>
        </w:rPr>
        <w:t>Greenyard Foods</w:t>
      </w:r>
      <w:r w:rsidRPr="00992199">
        <w:rPr>
          <w:szCs w:val="20"/>
        </w:rPr>
        <w:t xml:space="preserve"> Group.</w:t>
      </w:r>
    </w:p>
    <w:p w:rsidR="003F0BC5" w:rsidRPr="00992199" w:rsidRDefault="003F0BC5" w:rsidP="003F0BC5">
      <w:pPr>
        <w:rPr>
          <w:szCs w:val="20"/>
        </w:rPr>
      </w:pPr>
      <w:r w:rsidRPr="00992199">
        <w:rPr>
          <w:szCs w:val="20"/>
        </w:rPr>
        <w:t xml:space="preserve">The second </w:t>
      </w:r>
      <w:r w:rsidR="00946756">
        <w:rPr>
          <w:szCs w:val="20"/>
        </w:rPr>
        <w:t>largest</w:t>
      </w:r>
      <w:r w:rsidRPr="00992199">
        <w:rPr>
          <w:szCs w:val="20"/>
        </w:rPr>
        <w:t xml:space="preserve"> Eastern European producer is the Polish company Hortex, which has an estimated production in </w:t>
      </w:r>
      <w:smartTag w:uri="urn:schemas-microsoft-com:office:smarttags" w:element="country-region">
        <w:smartTag w:uri="urn:schemas-microsoft-com:office:smarttags" w:element="place">
          <w:r w:rsidRPr="00992199">
            <w:rPr>
              <w:szCs w:val="20"/>
            </w:rPr>
            <w:t>Poland</w:t>
          </w:r>
        </w:smartTag>
      </w:smartTag>
      <w:r w:rsidRPr="00992199">
        <w:rPr>
          <w:szCs w:val="20"/>
        </w:rPr>
        <w:t xml:space="preserve"> of 70,000 </w:t>
      </w:r>
      <w:r w:rsidR="00A07615">
        <w:rPr>
          <w:szCs w:val="20"/>
        </w:rPr>
        <w:t>t</w:t>
      </w:r>
      <w:r w:rsidRPr="00992199">
        <w:rPr>
          <w:szCs w:val="20"/>
        </w:rPr>
        <w:t>ons. Hortex has</w:t>
      </w:r>
      <w:r w:rsidR="00FE0FEB">
        <w:rPr>
          <w:szCs w:val="20"/>
        </w:rPr>
        <w:t xml:space="preserve"> three </w:t>
      </w:r>
      <w:r w:rsidRPr="00992199">
        <w:rPr>
          <w:szCs w:val="20"/>
        </w:rPr>
        <w:t xml:space="preserve">production sites in </w:t>
      </w:r>
      <w:smartTag w:uri="urn:schemas-microsoft-com:office:smarttags" w:element="country-region">
        <w:smartTag w:uri="urn:schemas-microsoft-com:office:smarttags" w:element="place">
          <w:r w:rsidRPr="00992199">
            <w:rPr>
              <w:szCs w:val="20"/>
            </w:rPr>
            <w:t>Poland</w:t>
          </w:r>
        </w:smartTag>
      </w:smartTag>
      <w:r w:rsidRPr="00992199">
        <w:rPr>
          <w:szCs w:val="20"/>
        </w:rPr>
        <w:t>. There are also some 50 Polish and Hungarian players with smaller annual capacities.</w:t>
      </w:r>
    </w:p>
    <w:p w:rsidR="003F0BC5" w:rsidRPr="00992199" w:rsidRDefault="003F0BC5" w:rsidP="003F0BC5">
      <w:pPr>
        <w:rPr>
          <w:i/>
          <w:szCs w:val="20"/>
        </w:rPr>
      </w:pPr>
      <w:r w:rsidRPr="00992199">
        <w:rPr>
          <w:i/>
          <w:szCs w:val="20"/>
        </w:rPr>
        <w:t>Key players in the European market for canned vegetables</w:t>
      </w:r>
    </w:p>
    <w:p w:rsidR="003F0BC5" w:rsidRPr="00992199" w:rsidRDefault="003F0BC5" w:rsidP="003F0BC5">
      <w:pPr>
        <w:rPr>
          <w:szCs w:val="20"/>
        </w:rPr>
      </w:pPr>
      <w:r w:rsidRPr="00992199">
        <w:rPr>
          <w:szCs w:val="20"/>
        </w:rPr>
        <w:t>On the supply side of the market for canned food, two major groups can be distinguished. On the one hand</w:t>
      </w:r>
      <w:r w:rsidR="00997C55">
        <w:rPr>
          <w:szCs w:val="20"/>
        </w:rPr>
        <w:t>,</w:t>
      </w:r>
      <w:r w:rsidRPr="00992199">
        <w:rPr>
          <w:szCs w:val="20"/>
        </w:rPr>
        <w:t xml:space="preserve"> there is a group of companies focusing on marketing and distribution, as the case may be combined with own production (Bonduelle, Hak). These companies focus mainly through brands on the market for households. On the other hand, there is the </w:t>
      </w:r>
      <w:r w:rsidR="00997C55">
        <w:rPr>
          <w:szCs w:val="20"/>
        </w:rPr>
        <w:t>g</w:t>
      </w:r>
      <w:r w:rsidRPr="00992199">
        <w:rPr>
          <w:szCs w:val="20"/>
        </w:rPr>
        <w:t xml:space="preserve">roup of companies which primarily differentiate </w:t>
      </w:r>
      <w:r w:rsidR="00946756">
        <w:rPr>
          <w:szCs w:val="20"/>
        </w:rPr>
        <w:t>themselves</w:t>
      </w:r>
      <w:r w:rsidRPr="00992199">
        <w:rPr>
          <w:szCs w:val="20"/>
        </w:rPr>
        <w:t xml:space="preserve"> as </w:t>
      </w:r>
      <w:r w:rsidR="00115545">
        <w:rPr>
          <w:szCs w:val="20"/>
        </w:rPr>
        <w:t xml:space="preserve">production companies </w:t>
      </w:r>
      <w:r w:rsidRPr="00992199">
        <w:rPr>
          <w:szCs w:val="20"/>
        </w:rPr>
        <w:t xml:space="preserve">(private label producer). </w:t>
      </w:r>
      <w:r w:rsidR="00997C55">
        <w:rPr>
          <w:szCs w:val="20"/>
        </w:rPr>
        <w:t>The</w:t>
      </w:r>
      <w:r w:rsidRPr="00992199">
        <w:rPr>
          <w:szCs w:val="20"/>
        </w:rPr>
        <w:t xml:space="preserve"> Canning Division </w:t>
      </w:r>
      <w:r w:rsidR="00115545" w:rsidRPr="00115545">
        <w:rPr>
          <w:szCs w:val="20"/>
        </w:rPr>
        <w:t xml:space="preserve">seeks to position itself as one of the most important European players in the market of </w:t>
      </w:r>
      <w:r w:rsidR="00115545">
        <w:rPr>
          <w:szCs w:val="20"/>
        </w:rPr>
        <w:t>canned</w:t>
      </w:r>
      <w:r w:rsidR="00115545" w:rsidRPr="00115545">
        <w:rPr>
          <w:szCs w:val="20"/>
        </w:rPr>
        <w:t xml:space="preserve"> </w:t>
      </w:r>
      <w:r w:rsidR="00115545">
        <w:rPr>
          <w:szCs w:val="20"/>
        </w:rPr>
        <w:t xml:space="preserve">fruit and </w:t>
      </w:r>
      <w:r w:rsidR="00115545" w:rsidRPr="00115545">
        <w:rPr>
          <w:szCs w:val="20"/>
        </w:rPr>
        <w:t xml:space="preserve">vegetables’ production. The </w:t>
      </w:r>
      <w:r w:rsidR="00115545">
        <w:rPr>
          <w:szCs w:val="20"/>
        </w:rPr>
        <w:t>Canning</w:t>
      </w:r>
      <w:r w:rsidR="00115545" w:rsidRPr="00115545">
        <w:rPr>
          <w:szCs w:val="20"/>
        </w:rPr>
        <w:t xml:space="preserve"> Division is therefore </w:t>
      </w:r>
      <w:r w:rsidR="00115545">
        <w:rPr>
          <w:szCs w:val="20"/>
        </w:rPr>
        <w:t xml:space="preserve">mainly </w:t>
      </w:r>
      <w:r w:rsidR="00115545" w:rsidRPr="00115545">
        <w:rPr>
          <w:szCs w:val="20"/>
        </w:rPr>
        <w:t xml:space="preserve">competiting with the companies that </w:t>
      </w:r>
      <w:r w:rsidR="00115545">
        <w:rPr>
          <w:szCs w:val="20"/>
        </w:rPr>
        <w:t>are part of this second group.</w:t>
      </w:r>
    </w:p>
    <w:p w:rsidR="003F0BC5" w:rsidRPr="001E0C4D" w:rsidRDefault="003F0BC5" w:rsidP="003F0BC5">
      <w:pPr>
        <w:rPr>
          <w:szCs w:val="20"/>
        </w:rPr>
      </w:pPr>
      <w:r w:rsidRPr="00992199">
        <w:rPr>
          <w:szCs w:val="20"/>
        </w:rPr>
        <w:t xml:space="preserve">The </w:t>
      </w:r>
      <w:r w:rsidRPr="001E0C4D">
        <w:rPr>
          <w:szCs w:val="20"/>
        </w:rPr>
        <w:t>following key groups are active in the European market</w:t>
      </w:r>
      <w:r w:rsidR="00864882">
        <w:rPr>
          <w:szCs w:val="20"/>
        </w:rPr>
        <w:t xml:space="preserve"> </w:t>
      </w:r>
      <w:r w:rsidR="00115545">
        <w:rPr>
          <w:szCs w:val="20"/>
        </w:rPr>
        <w:t>of canned fruit and vegetables’ production</w:t>
      </w:r>
      <w:r w:rsidRPr="001E0C4D">
        <w:rPr>
          <w:szCs w:val="20"/>
        </w:rPr>
        <w:t xml:space="preserve"> (in order of importance):</w:t>
      </w:r>
    </w:p>
    <w:p w:rsidR="001F67D5" w:rsidRPr="001E0C4D" w:rsidRDefault="001F67D5" w:rsidP="001F67D5">
      <w:pPr>
        <w:pStyle w:val="BulletsL1"/>
      </w:pPr>
      <w:r w:rsidRPr="001E0C4D">
        <w:t>Bonduelle (France) - please see above.</w:t>
      </w:r>
    </w:p>
    <w:p w:rsidR="001F67D5" w:rsidRPr="001E0C4D" w:rsidRDefault="001F67D5" w:rsidP="00FE467C">
      <w:pPr>
        <w:pStyle w:val="BulletsL1"/>
      </w:pPr>
      <w:r w:rsidRPr="001E0C4D">
        <w:t xml:space="preserve">Coroos (The Netherlands) - Since 1957, the family business Coroos Conserven B.V. manufactures </w:t>
      </w:r>
      <w:r w:rsidR="00FE467C">
        <w:t>fruit</w:t>
      </w:r>
      <w:r w:rsidR="00FE467C" w:rsidRPr="00FE467C">
        <w:t xml:space="preserve"> and vegetables</w:t>
      </w:r>
      <w:r w:rsidRPr="001E0C4D">
        <w:t xml:space="preserve"> in cans, glass and plastic packaging. The key markets of this company are located in </w:t>
      </w:r>
      <w:smartTag w:uri="urn:schemas-microsoft-com:office:smarttags" w:element="place">
        <w:r w:rsidRPr="001E0C4D">
          <w:lastRenderedPageBreak/>
          <w:t>Europe</w:t>
        </w:r>
      </w:smartTag>
      <w:r w:rsidRPr="001E0C4D">
        <w:t xml:space="preserve">. Coroos Conserven B.V. realised sales of </w:t>
      </w:r>
      <w:r w:rsidR="00E53641">
        <w:t>EUR </w:t>
      </w:r>
      <w:r w:rsidRPr="001E0C4D">
        <w:t xml:space="preserve">174,000,000 in 2013 and employs 430 persons. It holds a strong position in the European retail food market as private label producer. </w:t>
      </w:r>
    </w:p>
    <w:p w:rsidR="001F67D5" w:rsidRPr="001E0C4D" w:rsidRDefault="001F67D5" w:rsidP="001F67D5">
      <w:pPr>
        <w:pStyle w:val="BulletsL1"/>
      </w:pPr>
      <w:r w:rsidRPr="001E0C4D">
        <w:t>CECAB (France)</w:t>
      </w:r>
      <w:r w:rsidR="001E0C4D" w:rsidRPr="001E0C4D">
        <w:t xml:space="preserve"> -</w:t>
      </w:r>
      <w:r w:rsidRPr="001E0C4D">
        <w:t xml:space="preserve"> CECAB was previously active in both the frozen as the canned vegetable segment, but divested </w:t>
      </w:r>
      <w:r w:rsidR="001E0C4D" w:rsidRPr="001E0C4D">
        <w:t xml:space="preserve">its </w:t>
      </w:r>
      <w:r w:rsidRPr="001E0C4D">
        <w:t>frozen vegetable activities</w:t>
      </w:r>
      <w:r w:rsidR="001E0C4D" w:rsidRPr="001E0C4D">
        <w:t xml:space="preserve"> in 2011</w:t>
      </w:r>
      <w:r w:rsidRPr="001E0C4D">
        <w:t xml:space="preserve">. The CECAB </w:t>
      </w:r>
      <w:r w:rsidR="001E0C4D" w:rsidRPr="001E0C4D">
        <w:t>g</w:t>
      </w:r>
      <w:r w:rsidRPr="001E0C4D">
        <w:t xml:space="preserve">roup </w:t>
      </w:r>
      <w:r w:rsidR="00115545">
        <w:t>annually sells approximately</w:t>
      </w:r>
      <w:r w:rsidRPr="001E0C4D">
        <w:t xml:space="preserve"> 450,000 tons </w:t>
      </w:r>
      <w:r w:rsidR="001E0C4D" w:rsidRPr="001E0C4D">
        <w:t xml:space="preserve">of </w:t>
      </w:r>
      <w:r w:rsidRPr="001E0C4D">
        <w:t xml:space="preserve">canned vegetables (glass, tin and others). </w:t>
      </w:r>
    </w:p>
    <w:p w:rsidR="001F67D5" w:rsidRPr="001E0C4D" w:rsidRDefault="001F67D5" w:rsidP="001F67D5">
      <w:pPr>
        <w:pStyle w:val="BulletsL1"/>
      </w:pPr>
      <w:r w:rsidRPr="001E0C4D">
        <w:t>Premier Foods (</w:t>
      </w:r>
      <w:smartTag w:uri="urn:schemas-microsoft-com:office:smarttags" w:element="country-region">
        <w:r w:rsidRPr="001E0C4D">
          <w:t>United Kingdom</w:t>
        </w:r>
      </w:smartTag>
      <w:r w:rsidRPr="001E0C4D">
        <w:t>)</w:t>
      </w:r>
      <w:r w:rsidR="001E0C4D" w:rsidRPr="001E0C4D">
        <w:t xml:space="preserve"> –</w:t>
      </w:r>
      <w:r w:rsidRPr="001E0C4D">
        <w:t xml:space="preserve"> </w:t>
      </w:r>
      <w:r w:rsidR="001E0C4D" w:rsidRPr="001E0C4D">
        <w:t xml:space="preserve">Premier Foods </w:t>
      </w:r>
      <w:r w:rsidRPr="001E0C4D">
        <w:t xml:space="preserve">is the main supplier in the </w:t>
      </w:r>
      <w:smartTag w:uri="urn:schemas-microsoft-com:office:smarttags" w:element="country-region">
        <w:smartTag w:uri="urn:schemas-microsoft-com:office:smarttags" w:element="place">
          <w:r w:rsidRPr="001E0C4D">
            <w:t>UK</w:t>
          </w:r>
        </w:smartTag>
      </w:smartTag>
      <w:r w:rsidRPr="001E0C4D">
        <w:t xml:space="preserve"> and offers a broad range of food products</w:t>
      </w:r>
      <w:r w:rsidR="001E0C4D" w:rsidRPr="001E0C4D">
        <w:t>.</w:t>
      </w:r>
      <w:r w:rsidRPr="001E0C4D">
        <w:t xml:space="preserve"> </w:t>
      </w:r>
      <w:r w:rsidR="001E0C4D" w:rsidRPr="001E0C4D">
        <w:t>It</w:t>
      </w:r>
      <w:r w:rsidRPr="001E0C4D">
        <w:t xml:space="preserve"> is entirely focused on the food service sector, offering both branded labels </w:t>
      </w:r>
      <w:r w:rsidR="001E0C4D" w:rsidRPr="001E0C4D">
        <w:t>and</w:t>
      </w:r>
      <w:r w:rsidRPr="001E0C4D">
        <w:t xml:space="preserve"> private labels. </w:t>
      </w:r>
    </w:p>
    <w:p w:rsidR="001F67D5" w:rsidRPr="001E0C4D" w:rsidRDefault="001F67D5" w:rsidP="001F67D5">
      <w:pPr>
        <w:pStyle w:val="BulletsL1"/>
      </w:pPr>
      <w:r w:rsidRPr="001E0C4D">
        <w:t>Hak (The Netherlands)</w:t>
      </w:r>
      <w:r w:rsidR="001E0C4D" w:rsidRPr="001E0C4D">
        <w:t xml:space="preserve"> -</w:t>
      </w:r>
      <w:r w:rsidRPr="001E0C4D">
        <w:t xml:space="preserve"> This manufacturer is part of the Ne</w:t>
      </w:r>
      <w:r w:rsidR="00A07615">
        <w:t>d</w:t>
      </w:r>
      <w:r w:rsidR="00FE0FEB">
        <w:t>erlands Glorie Group, focus</w:t>
      </w:r>
      <w:r w:rsidRPr="001E0C4D">
        <w:t xml:space="preserve">ing </w:t>
      </w:r>
      <w:r w:rsidR="00A07615" w:rsidRPr="001E0C4D">
        <w:t>primarily</w:t>
      </w:r>
      <w:r w:rsidRPr="001E0C4D">
        <w:t xml:space="preserve"> on increasing its market share in the </w:t>
      </w:r>
      <w:smartTag w:uri="urn:schemas-microsoft-com:office:smarttags" w:element="place">
        <w:r w:rsidRPr="001E0C4D">
          <w:t>Benelux</w:t>
        </w:r>
      </w:smartTag>
      <w:r w:rsidRPr="001E0C4D">
        <w:t xml:space="preserve">. Its sales amounted to </w:t>
      </w:r>
      <w:r w:rsidR="00E53641">
        <w:t>EUR </w:t>
      </w:r>
      <w:r w:rsidR="001E0C4D" w:rsidRPr="001E0C4D">
        <w:t xml:space="preserve">87,000,000 </w:t>
      </w:r>
      <w:r w:rsidRPr="001E0C4D">
        <w:t>in 2013 with 151 employees. In 2013</w:t>
      </w:r>
      <w:r w:rsidR="001E0C4D" w:rsidRPr="001E0C4D">
        <w:t>,</w:t>
      </w:r>
      <w:r w:rsidRPr="001E0C4D">
        <w:t xml:space="preserve"> HAK stopped producing as private label and started fo</w:t>
      </w:r>
      <w:r w:rsidR="00FE0FEB">
        <w:t>cu</w:t>
      </w:r>
      <w:r w:rsidR="001E0C4D" w:rsidRPr="001E0C4D">
        <w:t>sing exclusively on its Hak</w:t>
      </w:r>
      <w:r w:rsidRPr="001E0C4D">
        <w:t xml:space="preserve"> brand.</w:t>
      </w:r>
    </w:p>
    <w:p w:rsidR="003F0BC5" w:rsidRPr="00992199" w:rsidRDefault="003F0BC5" w:rsidP="00353B80">
      <w:pPr>
        <w:pStyle w:val="Firm5L3"/>
        <w:keepNext/>
      </w:pPr>
      <w:r w:rsidRPr="00992199">
        <w:t>Property, plants and equipment</w:t>
      </w:r>
    </w:p>
    <w:p w:rsidR="003F0BC5" w:rsidRPr="00992199" w:rsidRDefault="003F0BC5" w:rsidP="003F0BC5">
      <w:pPr>
        <w:rPr>
          <w:i/>
          <w:szCs w:val="20"/>
        </w:rPr>
      </w:pPr>
      <w:r w:rsidRPr="00992199">
        <w:rPr>
          <w:i/>
          <w:szCs w:val="20"/>
        </w:rPr>
        <w:t>Production sites</w:t>
      </w:r>
    </w:p>
    <w:p w:rsidR="003F0BC5" w:rsidRPr="00992199" w:rsidRDefault="003F0BC5" w:rsidP="00BB0F52">
      <w:pPr>
        <w:rPr>
          <w:szCs w:val="20"/>
        </w:rPr>
      </w:pPr>
      <w:r w:rsidRPr="00992199">
        <w:rPr>
          <w:szCs w:val="20"/>
        </w:rPr>
        <w:t>The Frozen Division has production sites active in vegetable processing and packaging. These sites are located in the most fertile region</w:t>
      </w:r>
      <w:r w:rsidR="00115545">
        <w:rPr>
          <w:szCs w:val="20"/>
        </w:rPr>
        <w:t>s</w:t>
      </w:r>
      <w:r w:rsidRPr="00992199">
        <w:rPr>
          <w:szCs w:val="20"/>
        </w:rPr>
        <w:t xml:space="preserve"> of </w:t>
      </w:r>
      <w:smartTag w:uri="urn:schemas-microsoft-com:office:smarttags" w:element="place">
        <w:r w:rsidRPr="00992199">
          <w:rPr>
            <w:szCs w:val="20"/>
          </w:rPr>
          <w:t>Europe</w:t>
        </w:r>
      </w:smartTag>
      <w:r w:rsidRPr="00992199">
        <w:rPr>
          <w:szCs w:val="20"/>
        </w:rPr>
        <w:t>:</w:t>
      </w:r>
    </w:p>
    <w:p w:rsidR="003F0BC5" w:rsidRPr="00992199" w:rsidRDefault="003F0BC5" w:rsidP="00BB0F52">
      <w:pPr>
        <w:pStyle w:val="BulletsL1"/>
        <w:rPr>
          <w:i/>
        </w:rPr>
      </w:pPr>
      <w:r w:rsidRPr="00992199">
        <w:t xml:space="preserve">West Flanders in </w:t>
      </w:r>
      <w:smartTag w:uri="urn:schemas-microsoft-com:office:smarttags" w:element="country-region">
        <w:smartTag w:uri="urn:schemas-microsoft-com:office:smarttags" w:element="place">
          <w:r w:rsidRPr="00992199">
            <w:t>Belgium</w:t>
          </w:r>
        </w:smartTag>
      </w:smartTag>
      <w:r w:rsidRPr="00992199">
        <w:t xml:space="preserve"> (Westrozebeke and Langemark),</w:t>
      </w:r>
    </w:p>
    <w:p w:rsidR="003F0BC5" w:rsidRPr="00992199" w:rsidRDefault="003F0BC5" w:rsidP="00BB0F52">
      <w:pPr>
        <w:pStyle w:val="BulletsL1"/>
        <w:rPr>
          <w:i/>
        </w:rPr>
      </w:pPr>
      <w:smartTag w:uri="urn:schemas-microsoft-com:office:smarttags" w:element="State">
        <w:r w:rsidRPr="00992199">
          <w:t>Bretagne</w:t>
        </w:r>
      </w:smartTag>
      <w:r w:rsidRPr="00992199">
        <w:t xml:space="preserve"> and French </w:t>
      </w:r>
      <w:smartTag w:uri="urn:schemas-microsoft-com:office:smarttags" w:element="place">
        <w:r w:rsidRPr="00992199">
          <w:t>Flanders</w:t>
        </w:r>
      </w:smartTag>
      <w:r w:rsidRPr="00992199">
        <w:t xml:space="preserve"> in France (Moréac, Comines and Ychoux),</w:t>
      </w:r>
    </w:p>
    <w:p w:rsidR="003F0BC5" w:rsidRPr="00992199" w:rsidRDefault="003F0BC5" w:rsidP="00BB0F52">
      <w:pPr>
        <w:pStyle w:val="BulletsL1"/>
        <w:rPr>
          <w:i/>
        </w:rPr>
      </w:pPr>
      <w:smartTag w:uri="urn:schemas-microsoft-com:office:smarttags" w:element="City">
        <w:r w:rsidRPr="00992199">
          <w:t>Norfolk</w:t>
        </w:r>
      </w:smartTag>
      <w:r w:rsidRPr="00992199">
        <w:t xml:space="preserve"> and </w:t>
      </w:r>
      <w:smartTag w:uri="urn:schemas-microsoft-com:office:smarttags" w:element="City">
        <w:r w:rsidRPr="00992199">
          <w:t>Lincolnshire</w:t>
        </w:r>
      </w:smartTag>
      <w:r w:rsidRPr="00992199">
        <w:t xml:space="preserve"> in the </w:t>
      </w:r>
      <w:smartTag w:uri="urn:schemas-microsoft-com:office:smarttags" w:element="country-region">
        <w:r w:rsidRPr="00992199">
          <w:t>United Kingdom</w:t>
        </w:r>
      </w:smartTag>
      <w:r w:rsidRPr="00992199">
        <w:t xml:space="preserve"> (King’s Lynn and </w:t>
      </w:r>
      <w:smartTag w:uri="urn:schemas-microsoft-com:office:smarttags" w:element="City">
        <w:smartTag w:uri="urn:schemas-microsoft-com:office:smarttags" w:element="place">
          <w:r w:rsidRPr="00992199">
            <w:t>Boston</w:t>
          </w:r>
        </w:smartTag>
      </w:smartTag>
      <w:r w:rsidRPr="00992199">
        <w:t>),</w:t>
      </w:r>
    </w:p>
    <w:p w:rsidR="003F0BC5" w:rsidRPr="00992199" w:rsidRDefault="003F0BC5" w:rsidP="00BB0F52">
      <w:pPr>
        <w:pStyle w:val="BulletsL1"/>
        <w:rPr>
          <w:i/>
        </w:rPr>
      </w:pPr>
      <w:smartTag w:uri="urn:schemas-microsoft-com:office:smarttags" w:element="country-region">
        <w:smartTag w:uri="urn:schemas-microsoft-com:office:smarttags" w:element="place">
          <w:r w:rsidRPr="00992199">
            <w:t>Poland</w:t>
          </w:r>
        </w:smartTag>
      </w:smartTag>
      <w:r w:rsidRPr="00992199">
        <w:t xml:space="preserve"> (Dabrowa, Elk, Lipno and Adamow),</w:t>
      </w:r>
    </w:p>
    <w:p w:rsidR="003F0BC5" w:rsidRPr="00992199" w:rsidRDefault="003F0BC5" w:rsidP="00BB0F52">
      <w:pPr>
        <w:pStyle w:val="BulletsL1"/>
        <w:rPr>
          <w:i/>
        </w:rPr>
      </w:pPr>
      <w:smartTag w:uri="urn:schemas-microsoft-com:office:smarttags" w:element="country-region">
        <w:smartTag w:uri="urn:schemas-microsoft-com:office:smarttags" w:element="place">
          <w:r w:rsidRPr="00992199">
            <w:t>Hungary</w:t>
          </w:r>
        </w:smartTag>
      </w:smartTag>
      <w:r w:rsidRPr="00992199">
        <w:t xml:space="preserve"> (Baja).</w:t>
      </w:r>
    </w:p>
    <w:p w:rsidR="003F0BC5" w:rsidRPr="00992199" w:rsidRDefault="003F0BC5" w:rsidP="003F0BC5">
      <w:pPr>
        <w:rPr>
          <w:i/>
          <w:szCs w:val="20"/>
        </w:rPr>
      </w:pPr>
      <w:r w:rsidRPr="00992199">
        <w:rPr>
          <w:szCs w:val="20"/>
        </w:rPr>
        <w:t xml:space="preserve">This proximity to the most important suppliers ensures that vegetables are frozen within a few hours of being harvested. The </w:t>
      </w:r>
      <w:r w:rsidR="002A1AB1">
        <w:rPr>
          <w:szCs w:val="20"/>
        </w:rPr>
        <w:t>Greenyard Foods</w:t>
      </w:r>
      <w:r w:rsidRPr="00992199">
        <w:rPr>
          <w:szCs w:val="20"/>
        </w:rPr>
        <w:t xml:space="preserve"> Group’s distribution and packaging centre is also nearby, avoiding unnecessary transport and contributing to profitability.</w:t>
      </w:r>
    </w:p>
    <w:p w:rsidR="00662D50" w:rsidRPr="00662D50" w:rsidRDefault="00662D50" w:rsidP="00662D50">
      <w:pPr>
        <w:rPr>
          <w:szCs w:val="20"/>
          <w:lang w:val="en-US"/>
        </w:rPr>
      </w:pPr>
      <w:r>
        <w:rPr>
          <w:szCs w:val="20"/>
          <w:lang w:val="en-US"/>
        </w:rPr>
        <w:t>The Canning D</w:t>
      </w:r>
      <w:r w:rsidRPr="00662D50">
        <w:rPr>
          <w:szCs w:val="20"/>
          <w:lang w:val="en-US"/>
        </w:rPr>
        <w:t>ivision has</w:t>
      </w:r>
      <w:r w:rsidRPr="00A07615">
        <w:rPr>
          <w:szCs w:val="20"/>
        </w:rPr>
        <w:t xml:space="preserve"> centralised</w:t>
      </w:r>
      <w:r w:rsidRPr="00662D50">
        <w:rPr>
          <w:szCs w:val="20"/>
          <w:lang w:val="en-US"/>
        </w:rPr>
        <w:t xml:space="preserve"> its production sites in </w:t>
      </w:r>
      <w:smartTag w:uri="urn:schemas-microsoft-com:office:smarttags" w:element="country-region">
        <w:smartTag w:uri="urn:schemas-microsoft-com:office:smarttags" w:element="place">
          <w:r w:rsidRPr="00662D50">
            <w:rPr>
              <w:szCs w:val="20"/>
              <w:lang w:val="en-US"/>
            </w:rPr>
            <w:t>Belgium</w:t>
          </w:r>
        </w:smartTag>
      </w:smartTag>
      <w:r>
        <w:rPr>
          <w:szCs w:val="20"/>
          <w:lang w:val="en-US"/>
        </w:rPr>
        <w:t>. Its</w:t>
      </w:r>
      <w:r w:rsidRPr="00662D50">
        <w:rPr>
          <w:szCs w:val="20"/>
          <w:lang w:val="en-US"/>
        </w:rPr>
        <w:t xml:space="preserve"> major production site </w:t>
      </w:r>
      <w:r>
        <w:rPr>
          <w:szCs w:val="20"/>
          <w:lang w:val="en-US"/>
        </w:rPr>
        <w:t xml:space="preserve">is </w:t>
      </w:r>
      <w:r w:rsidRPr="00662D50">
        <w:rPr>
          <w:szCs w:val="20"/>
          <w:lang w:val="en-US"/>
        </w:rPr>
        <w:t>located in Bree</w:t>
      </w:r>
      <w:r>
        <w:rPr>
          <w:szCs w:val="20"/>
          <w:lang w:val="en-US"/>
        </w:rPr>
        <w:t>. It also has</w:t>
      </w:r>
      <w:r w:rsidRPr="00662D50">
        <w:rPr>
          <w:szCs w:val="20"/>
          <w:lang w:val="en-US"/>
        </w:rPr>
        <w:t xml:space="preserve"> a production site</w:t>
      </w:r>
      <w:r w:rsidRPr="00A07615">
        <w:rPr>
          <w:szCs w:val="20"/>
        </w:rPr>
        <w:t xml:space="preserve"> specialised</w:t>
      </w:r>
      <w:r w:rsidRPr="00662D50">
        <w:rPr>
          <w:szCs w:val="20"/>
          <w:lang w:val="en-US"/>
        </w:rPr>
        <w:t xml:space="preserve"> in fruit processing </w:t>
      </w:r>
      <w:r>
        <w:rPr>
          <w:szCs w:val="20"/>
          <w:lang w:val="en-US"/>
        </w:rPr>
        <w:t xml:space="preserve">that is </w:t>
      </w:r>
      <w:r w:rsidRPr="00662D50">
        <w:rPr>
          <w:szCs w:val="20"/>
          <w:lang w:val="en-US"/>
        </w:rPr>
        <w:t xml:space="preserve">located in Rijkevorsel. In addition to fruit and vegetables, the Bree </w:t>
      </w:r>
      <w:r>
        <w:rPr>
          <w:szCs w:val="20"/>
          <w:lang w:val="en-US"/>
        </w:rPr>
        <w:t xml:space="preserve">site </w:t>
      </w:r>
      <w:r w:rsidRPr="00662D50">
        <w:rPr>
          <w:szCs w:val="20"/>
          <w:lang w:val="en-US"/>
        </w:rPr>
        <w:t>also processes the whole range of convenience products</w:t>
      </w:r>
      <w:r>
        <w:rPr>
          <w:szCs w:val="20"/>
          <w:lang w:val="en-US"/>
        </w:rPr>
        <w:t xml:space="preserve"> (soups, sauces, pastas and</w:t>
      </w:r>
      <w:r w:rsidRPr="00662D50">
        <w:rPr>
          <w:szCs w:val="20"/>
          <w:lang w:val="en-US"/>
        </w:rPr>
        <w:t xml:space="preserve"> meals). The Bree </w:t>
      </w:r>
      <w:r>
        <w:rPr>
          <w:szCs w:val="20"/>
          <w:lang w:val="en-US"/>
        </w:rPr>
        <w:t xml:space="preserve">site </w:t>
      </w:r>
      <w:r w:rsidRPr="00662D50">
        <w:rPr>
          <w:szCs w:val="20"/>
          <w:lang w:val="en-US"/>
        </w:rPr>
        <w:t>has three production halls and has a total area of 43.2 ha</w:t>
      </w:r>
      <w:r>
        <w:rPr>
          <w:szCs w:val="20"/>
          <w:lang w:val="en-US"/>
        </w:rPr>
        <w:t>,</w:t>
      </w:r>
      <w:r w:rsidRPr="00662D50">
        <w:rPr>
          <w:szCs w:val="20"/>
          <w:lang w:val="en-US"/>
        </w:rPr>
        <w:t xml:space="preserve"> of which </w:t>
      </w:r>
      <w:r>
        <w:rPr>
          <w:szCs w:val="20"/>
          <w:lang w:val="en-US"/>
        </w:rPr>
        <w:t xml:space="preserve">(i) </w:t>
      </w:r>
      <w:r w:rsidRPr="00662D50">
        <w:rPr>
          <w:szCs w:val="20"/>
          <w:lang w:val="en-US"/>
        </w:rPr>
        <w:t xml:space="preserve">approximately 14.4 ha </w:t>
      </w:r>
      <w:r>
        <w:rPr>
          <w:szCs w:val="20"/>
          <w:lang w:val="en-US"/>
        </w:rPr>
        <w:t>is built,</w:t>
      </w:r>
      <w:r w:rsidRPr="00662D50">
        <w:rPr>
          <w:szCs w:val="20"/>
          <w:lang w:val="en-US"/>
        </w:rPr>
        <w:t xml:space="preserve"> </w:t>
      </w:r>
      <w:r>
        <w:rPr>
          <w:szCs w:val="20"/>
          <w:lang w:val="en-US"/>
        </w:rPr>
        <w:t xml:space="preserve">(ii) </w:t>
      </w:r>
      <w:r w:rsidRPr="00662D50">
        <w:rPr>
          <w:szCs w:val="20"/>
          <w:lang w:val="en-US"/>
        </w:rPr>
        <w:t>5.1 ha is intended for the production</w:t>
      </w:r>
      <w:r>
        <w:rPr>
          <w:szCs w:val="20"/>
          <w:lang w:val="en-US"/>
        </w:rPr>
        <w:t>,</w:t>
      </w:r>
      <w:r w:rsidRPr="00662D50">
        <w:rPr>
          <w:szCs w:val="20"/>
          <w:lang w:val="en-US"/>
        </w:rPr>
        <w:t xml:space="preserve"> and </w:t>
      </w:r>
      <w:r>
        <w:rPr>
          <w:szCs w:val="20"/>
          <w:lang w:val="en-US"/>
        </w:rPr>
        <w:t xml:space="preserve">(iii) </w:t>
      </w:r>
      <w:r w:rsidRPr="00662D50">
        <w:rPr>
          <w:szCs w:val="20"/>
          <w:lang w:val="en-US"/>
        </w:rPr>
        <w:t xml:space="preserve">9.3 ha </w:t>
      </w:r>
      <w:r>
        <w:rPr>
          <w:szCs w:val="20"/>
          <w:lang w:val="en-US"/>
        </w:rPr>
        <w:t xml:space="preserve">is used </w:t>
      </w:r>
      <w:r w:rsidRPr="00662D50">
        <w:rPr>
          <w:szCs w:val="20"/>
          <w:lang w:val="en-US"/>
        </w:rPr>
        <w:t>for warehouses. The smaller site in Rijkevorsel focuses on the production of fruit and also has its own storage space.</w:t>
      </w:r>
      <w:r>
        <w:rPr>
          <w:szCs w:val="20"/>
          <w:lang w:val="en-US"/>
        </w:rPr>
        <w:t xml:space="preserve"> As is the case for the Frozen D</w:t>
      </w:r>
      <w:r w:rsidRPr="00662D50">
        <w:rPr>
          <w:szCs w:val="20"/>
          <w:lang w:val="en-US"/>
        </w:rPr>
        <w:t>ivision, proximity to the growers</w:t>
      </w:r>
      <w:r>
        <w:rPr>
          <w:szCs w:val="20"/>
          <w:lang w:val="en-US"/>
        </w:rPr>
        <w:t xml:space="preserve"> is key. The relative </w:t>
      </w:r>
      <w:r w:rsidRPr="00662D50">
        <w:rPr>
          <w:szCs w:val="20"/>
          <w:lang w:val="en-US"/>
        </w:rPr>
        <w:t xml:space="preserve">proximity to </w:t>
      </w:r>
      <w:r>
        <w:rPr>
          <w:szCs w:val="20"/>
          <w:lang w:val="en-US"/>
        </w:rPr>
        <w:t>the</w:t>
      </w:r>
      <w:r w:rsidRPr="00662D50">
        <w:rPr>
          <w:szCs w:val="20"/>
          <w:lang w:val="en-US"/>
        </w:rPr>
        <w:t xml:space="preserve"> major suppliers </w:t>
      </w:r>
      <w:r>
        <w:rPr>
          <w:szCs w:val="20"/>
          <w:lang w:val="en-US"/>
        </w:rPr>
        <w:t xml:space="preserve">of the sites </w:t>
      </w:r>
      <w:r w:rsidRPr="00662D50">
        <w:rPr>
          <w:szCs w:val="20"/>
          <w:lang w:val="en-US"/>
        </w:rPr>
        <w:t>ensures that all vegetables are processed within hours of harvest.</w:t>
      </w:r>
    </w:p>
    <w:p w:rsidR="003F0BC5" w:rsidRPr="00992199" w:rsidRDefault="003F0BC5" w:rsidP="003F0BC5">
      <w:pPr>
        <w:rPr>
          <w:szCs w:val="20"/>
        </w:rPr>
      </w:pPr>
      <w:r w:rsidRPr="00992199">
        <w:rPr>
          <w:szCs w:val="20"/>
        </w:rPr>
        <w:t>The site is easily accessible and has sufficient possibilities to expand allow</w:t>
      </w:r>
      <w:r w:rsidR="00946756">
        <w:rPr>
          <w:szCs w:val="20"/>
        </w:rPr>
        <w:t>ing</w:t>
      </w:r>
      <w:r w:rsidRPr="00992199">
        <w:rPr>
          <w:szCs w:val="20"/>
        </w:rPr>
        <w:t xml:space="preserve"> further growth.</w:t>
      </w:r>
    </w:p>
    <w:p w:rsidR="003F0BC5" w:rsidRPr="00992199" w:rsidRDefault="003F0BC5" w:rsidP="003F0BC5">
      <w:pPr>
        <w:rPr>
          <w:i/>
          <w:szCs w:val="20"/>
        </w:rPr>
      </w:pPr>
      <w:r w:rsidRPr="00992199">
        <w:rPr>
          <w:i/>
          <w:szCs w:val="20"/>
        </w:rPr>
        <w:t>Total Property, plants and equipment</w:t>
      </w:r>
    </w:p>
    <w:p w:rsidR="003F0BC5" w:rsidRPr="00992199" w:rsidRDefault="003F0BC5" w:rsidP="003F0BC5">
      <w:pPr>
        <w:rPr>
          <w:szCs w:val="20"/>
        </w:rPr>
      </w:pPr>
      <w:r w:rsidRPr="00992199">
        <w:rPr>
          <w:szCs w:val="20"/>
        </w:rPr>
        <w:t xml:space="preserve">The net book value of total tangible fixed assets of </w:t>
      </w:r>
      <w:r w:rsidR="002A1AB1">
        <w:rPr>
          <w:szCs w:val="20"/>
        </w:rPr>
        <w:t>Greenyard Foods</w:t>
      </w:r>
      <w:r w:rsidRPr="00992199">
        <w:rPr>
          <w:szCs w:val="20"/>
        </w:rPr>
        <w:t xml:space="preserve"> amounts </w:t>
      </w:r>
      <w:r w:rsidR="006B5475">
        <w:rPr>
          <w:szCs w:val="20"/>
        </w:rPr>
        <w:t>to</w:t>
      </w:r>
      <w:r w:rsidRPr="00992199">
        <w:rPr>
          <w:szCs w:val="20"/>
        </w:rPr>
        <w:t xml:space="preserve"> </w:t>
      </w:r>
      <w:r w:rsidR="00E53641">
        <w:rPr>
          <w:szCs w:val="20"/>
        </w:rPr>
        <w:t>EUR </w:t>
      </w:r>
      <w:r w:rsidRPr="00992199">
        <w:rPr>
          <w:szCs w:val="20"/>
        </w:rPr>
        <w:t>255,7</w:t>
      </w:r>
      <w:r w:rsidR="006B5475">
        <w:rPr>
          <w:szCs w:val="20"/>
        </w:rPr>
        <w:t>00</w:t>
      </w:r>
      <w:r w:rsidRPr="00992199">
        <w:rPr>
          <w:szCs w:val="20"/>
        </w:rPr>
        <w:t xml:space="preserve">,000 </w:t>
      </w:r>
      <w:r w:rsidR="006B5475">
        <w:rPr>
          <w:szCs w:val="20"/>
        </w:rPr>
        <w:t xml:space="preserve">as </w:t>
      </w:r>
      <w:r w:rsidRPr="00992199">
        <w:rPr>
          <w:szCs w:val="20"/>
        </w:rPr>
        <w:t>at 31 March 2015, and consists of:</w:t>
      </w:r>
    </w:p>
    <w:tbl>
      <w:tblPr>
        <w:tblW w:w="0" w:type="auto"/>
        <w:tblLook w:val="04A0" w:firstRow="1" w:lastRow="0" w:firstColumn="1" w:lastColumn="0" w:noHBand="0" w:noVBand="1"/>
      </w:tblPr>
      <w:tblGrid>
        <w:gridCol w:w="7620"/>
        <w:gridCol w:w="1539"/>
      </w:tblGrid>
      <w:tr w:rsidR="00CD1029" w:rsidRPr="00CD1029" w:rsidTr="00CD1029">
        <w:trPr>
          <w:trHeight w:val="493"/>
        </w:trPr>
        <w:tc>
          <w:tcPr>
            <w:tcW w:w="7620" w:type="dxa"/>
            <w:shd w:val="clear" w:color="auto" w:fill="auto"/>
            <w:vAlign w:val="center"/>
          </w:tcPr>
          <w:p w:rsidR="00CD1029" w:rsidRPr="00CD1029" w:rsidRDefault="00CD1029" w:rsidP="00CD1029">
            <w:pPr>
              <w:spacing w:before="0" w:after="0"/>
              <w:jc w:val="left"/>
              <w:rPr>
                <w:bCs/>
                <w:i/>
                <w:sz w:val="18"/>
                <w:szCs w:val="18"/>
              </w:rPr>
            </w:pPr>
            <w:r w:rsidRPr="00CD1029">
              <w:rPr>
                <w:bCs/>
                <w:i/>
                <w:sz w:val="18"/>
                <w:szCs w:val="18"/>
              </w:rPr>
              <w:t>(</w:t>
            </w:r>
            <w:r w:rsidR="00E53641">
              <w:rPr>
                <w:bCs/>
                <w:i/>
                <w:sz w:val="18"/>
                <w:szCs w:val="18"/>
              </w:rPr>
              <w:t>EUR </w:t>
            </w:r>
            <w:r w:rsidRPr="00CD1029">
              <w:rPr>
                <w:bCs/>
                <w:i/>
                <w:sz w:val="18"/>
                <w:szCs w:val="18"/>
              </w:rPr>
              <w:t>in millions)</w:t>
            </w:r>
          </w:p>
        </w:tc>
        <w:tc>
          <w:tcPr>
            <w:tcW w:w="1539" w:type="dxa"/>
            <w:shd w:val="clear" w:color="auto" w:fill="auto"/>
            <w:vAlign w:val="bottom"/>
          </w:tcPr>
          <w:p w:rsidR="00CD1029" w:rsidRPr="00CD1029" w:rsidRDefault="00CD1029" w:rsidP="00CD1029">
            <w:pPr>
              <w:pBdr>
                <w:bottom w:val="single" w:sz="4" w:space="1" w:color="auto"/>
              </w:pBdr>
              <w:spacing w:before="0" w:after="0"/>
              <w:rPr>
                <w:b/>
                <w:bCs/>
                <w:sz w:val="18"/>
                <w:szCs w:val="18"/>
              </w:rPr>
            </w:pPr>
            <w:r w:rsidRPr="00CD1029">
              <w:rPr>
                <w:b/>
                <w:bCs/>
                <w:sz w:val="18"/>
                <w:szCs w:val="18"/>
              </w:rPr>
              <w:br/>
              <w:t>31 March 2015</w:t>
            </w:r>
          </w:p>
        </w:tc>
      </w:tr>
      <w:tr w:rsidR="00C14674" w:rsidRPr="00CD1029" w:rsidTr="00CD1029">
        <w:trPr>
          <w:trHeight w:val="240"/>
        </w:trPr>
        <w:tc>
          <w:tcPr>
            <w:tcW w:w="7620" w:type="dxa"/>
            <w:shd w:val="clear" w:color="auto" w:fill="auto"/>
          </w:tcPr>
          <w:p w:rsidR="00C14674" w:rsidRPr="00CD1029" w:rsidRDefault="00C14674" w:rsidP="00CD1029">
            <w:pPr>
              <w:tabs>
                <w:tab w:val="right" w:leader="dot" w:pos="6555"/>
              </w:tabs>
              <w:spacing w:before="0" w:after="0"/>
              <w:rPr>
                <w:sz w:val="18"/>
                <w:szCs w:val="18"/>
              </w:rPr>
            </w:pPr>
            <w:r w:rsidRPr="00CD1029">
              <w:rPr>
                <w:sz w:val="18"/>
                <w:szCs w:val="18"/>
              </w:rPr>
              <w:t>Land and Buildings</w:t>
            </w:r>
            <w:r w:rsidRPr="00CD1029">
              <w:rPr>
                <w:sz w:val="18"/>
                <w:szCs w:val="18"/>
              </w:rPr>
              <w:tab/>
            </w:r>
          </w:p>
        </w:tc>
        <w:tc>
          <w:tcPr>
            <w:tcW w:w="1539" w:type="dxa"/>
            <w:shd w:val="clear" w:color="auto" w:fill="auto"/>
          </w:tcPr>
          <w:p w:rsidR="00C14674" w:rsidRPr="00C14674" w:rsidRDefault="00C14674" w:rsidP="00C14674">
            <w:pPr>
              <w:spacing w:before="0" w:after="0"/>
              <w:jc w:val="right"/>
              <w:rPr>
                <w:sz w:val="18"/>
                <w:szCs w:val="18"/>
              </w:rPr>
            </w:pPr>
            <w:r w:rsidRPr="00C14674">
              <w:rPr>
                <w:sz w:val="18"/>
                <w:szCs w:val="18"/>
              </w:rPr>
              <w:t>115.2</w:t>
            </w:r>
          </w:p>
        </w:tc>
      </w:tr>
      <w:tr w:rsidR="00C14674" w:rsidRPr="00CD1029" w:rsidTr="00CD1029">
        <w:trPr>
          <w:trHeight w:val="228"/>
        </w:trPr>
        <w:tc>
          <w:tcPr>
            <w:tcW w:w="7620" w:type="dxa"/>
            <w:shd w:val="clear" w:color="auto" w:fill="auto"/>
          </w:tcPr>
          <w:p w:rsidR="00C14674" w:rsidRPr="00CD1029" w:rsidRDefault="00C14674" w:rsidP="00CD1029">
            <w:pPr>
              <w:tabs>
                <w:tab w:val="right" w:leader="dot" w:pos="6555"/>
              </w:tabs>
              <w:spacing w:before="0" w:after="0"/>
              <w:rPr>
                <w:sz w:val="18"/>
                <w:szCs w:val="18"/>
              </w:rPr>
            </w:pPr>
            <w:r w:rsidRPr="00CD1029">
              <w:rPr>
                <w:sz w:val="18"/>
                <w:szCs w:val="18"/>
              </w:rPr>
              <w:t>Plant, Machinery and equipment</w:t>
            </w:r>
            <w:r w:rsidRPr="00CD1029">
              <w:rPr>
                <w:sz w:val="18"/>
                <w:szCs w:val="18"/>
              </w:rPr>
              <w:tab/>
            </w:r>
          </w:p>
        </w:tc>
        <w:tc>
          <w:tcPr>
            <w:tcW w:w="1539" w:type="dxa"/>
            <w:shd w:val="clear" w:color="auto" w:fill="auto"/>
          </w:tcPr>
          <w:p w:rsidR="00C14674" w:rsidRPr="00C14674" w:rsidRDefault="00C14674" w:rsidP="00C14674">
            <w:pPr>
              <w:spacing w:before="0" w:after="0"/>
              <w:jc w:val="right"/>
              <w:rPr>
                <w:sz w:val="18"/>
                <w:szCs w:val="18"/>
              </w:rPr>
            </w:pPr>
            <w:r w:rsidRPr="00C14674">
              <w:rPr>
                <w:sz w:val="18"/>
                <w:szCs w:val="18"/>
              </w:rPr>
              <w:t>133.0</w:t>
            </w:r>
          </w:p>
        </w:tc>
      </w:tr>
      <w:tr w:rsidR="00C14674" w:rsidRPr="00CD1029" w:rsidTr="00CD1029">
        <w:trPr>
          <w:trHeight w:val="228"/>
        </w:trPr>
        <w:tc>
          <w:tcPr>
            <w:tcW w:w="7620" w:type="dxa"/>
            <w:shd w:val="clear" w:color="auto" w:fill="auto"/>
          </w:tcPr>
          <w:p w:rsidR="00C14674" w:rsidRPr="00CD1029" w:rsidRDefault="00C14674" w:rsidP="00CD1029">
            <w:pPr>
              <w:tabs>
                <w:tab w:val="right" w:leader="dot" w:pos="6555"/>
              </w:tabs>
              <w:spacing w:before="0" w:after="0"/>
              <w:rPr>
                <w:sz w:val="18"/>
                <w:szCs w:val="18"/>
              </w:rPr>
            </w:pPr>
            <w:r w:rsidRPr="00CD1029">
              <w:rPr>
                <w:sz w:val="18"/>
                <w:szCs w:val="18"/>
              </w:rPr>
              <w:t>Furniture and Vehicle</w:t>
            </w:r>
            <w:r w:rsidRPr="00CD1029">
              <w:rPr>
                <w:sz w:val="18"/>
                <w:szCs w:val="18"/>
              </w:rPr>
              <w:tab/>
            </w:r>
            <w:r w:rsidRPr="00CD1029">
              <w:rPr>
                <w:sz w:val="18"/>
                <w:szCs w:val="18"/>
              </w:rPr>
              <w:tab/>
            </w:r>
          </w:p>
        </w:tc>
        <w:tc>
          <w:tcPr>
            <w:tcW w:w="1539" w:type="dxa"/>
            <w:shd w:val="clear" w:color="auto" w:fill="auto"/>
          </w:tcPr>
          <w:p w:rsidR="00C14674" w:rsidRPr="00C14674" w:rsidRDefault="00C14674" w:rsidP="00C14674">
            <w:pPr>
              <w:spacing w:before="0" w:after="0"/>
              <w:jc w:val="right"/>
              <w:rPr>
                <w:sz w:val="18"/>
                <w:szCs w:val="18"/>
              </w:rPr>
            </w:pPr>
            <w:r w:rsidRPr="00C14674">
              <w:rPr>
                <w:sz w:val="18"/>
                <w:szCs w:val="18"/>
              </w:rPr>
              <w:t>2.4</w:t>
            </w:r>
          </w:p>
        </w:tc>
      </w:tr>
      <w:tr w:rsidR="00C14674" w:rsidRPr="00CD1029" w:rsidTr="00CD1029">
        <w:trPr>
          <w:trHeight w:val="228"/>
        </w:trPr>
        <w:tc>
          <w:tcPr>
            <w:tcW w:w="7620" w:type="dxa"/>
            <w:shd w:val="clear" w:color="auto" w:fill="auto"/>
          </w:tcPr>
          <w:p w:rsidR="00C14674" w:rsidRPr="00CD1029" w:rsidRDefault="00C14674" w:rsidP="00CD1029">
            <w:pPr>
              <w:tabs>
                <w:tab w:val="right" w:leader="dot" w:pos="6555"/>
              </w:tabs>
              <w:spacing w:before="0" w:after="0"/>
              <w:rPr>
                <w:sz w:val="18"/>
                <w:szCs w:val="18"/>
              </w:rPr>
            </w:pPr>
            <w:r w:rsidRPr="00CD1029">
              <w:rPr>
                <w:sz w:val="18"/>
                <w:szCs w:val="18"/>
              </w:rPr>
              <w:t>Others</w:t>
            </w:r>
            <w:r w:rsidRPr="00CD1029">
              <w:rPr>
                <w:sz w:val="18"/>
                <w:szCs w:val="18"/>
              </w:rPr>
              <w:tab/>
            </w:r>
            <w:r w:rsidRPr="00CD1029">
              <w:rPr>
                <w:sz w:val="18"/>
                <w:szCs w:val="18"/>
              </w:rPr>
              <w:tab/>
            </w:r>
          </w:p>
        </w:tc>
        <w:tc>
          <w:tcPr>
            <w:tcW w:w="1539" w:type="dxa"/>
            <w:tcBorders>
              <w:bottom w:val="single" w:sz="4" w:space="0" w:color="auto"/>
            </w:tcBorders>
            <w:shd w:val="clear" w:color="auto" w:fill="auto"/>
          </w:tcPr>
          <w:p w:rsidR="00C14674" w:rsidRPr="00C14674" w:rsidRDefault="00C14674" w:rsidP="00C14674">
            <w:pPr>
              <w:tabs>
                <w:tab w:val="center" w:pos="612"/>
                <w:tab w:val="right" w:pos="1224"/>
              </w:tabs>
              <w:spacing w:before="0" w:after="0"/>
              <w:jc w:val="right"/>
              <w:rPr>
                <w:sz w:val="18"/>
                <w:szCs w:val="18"/>
              </w:rPr>
            </w:pPr>
            <w:r w:rsidRPr="00C14674">
              <w:rPr>
                <w:sz w:val="18"/>
                <w:szCs w:val="18"/>
              </w:rPr>
              <w:t>5.1</w:t>
            </w:r>
          </w:p>
        </w:tc>
      </w:tr>
      <w:tr w:rsidR="00C14674" w:rsidRPr="001466E4" w:rsidTr="00CD1029">
        <w:trPr>
          <w:trHeight w:val="228"/>
        </w:trPr>
        <w:tc>
          <w:tcPr>
            <w:tcW w:w="7620" w:type="dxa"/>
            <w:shd w:val="clear" w:color="auto" w:fill="auto"/>
          </w:tcPr>
          <w:p w:rsidR="00C14674" w:rsidRPr="00CD1029" w:rsidRDefault="00C14674" w:rsidP="00CD1029">
            <w:pPr>
              <w:tabs>
                <w:tab w:val="right" w:leader="dot" w:pos="6555"/>
              </w:tabs>
              <w:spacing w:before="0" w:after="0"/>
              <w:rPr>
                <w:sz w:val="18"/>
                <w:szCs w:val="18"/>
              </w:rPr>
            </w:pPr>
            <w:r w:rsidRPr="00CD1029">
              <w:rPr>
                <w:b/>
                <w:bCs/>
                <w:sz w:val="18"/>
                <w:szCs w:val="18"/>
              </w:rPr>
              <w:t>Tangible fixed assets</w:t>
            </w:r>
            <w:r w:rsidRPr="00CD1029">
              <w:rPr>
                <w:sz w:val="18"/>
                <w:szCs w:val="18"/>
              </w:rPr>
              <w:tab/>
            </w:r>
            <w:r w:rsidRPr="00CD1029">
              <w:rPr>
                <w:sz w:val="18"/>
                <w:szCs w:val="18"/>
              </w:rPr>
              <w:tab/>
            </w:r>
          </w:p>
        </w:tc>
        <w:tc>
          <w:tcPr>
            <w:tcW w:w="1539" w:type="dxa"/>
            <w:tcBorders>
              <w:top w:val="single" w:sz="4" w:space="0" w:color="auto"/>
            </w:tcBorders>
            <w:shd w:val="clear" w:color="auto" w:fill="auto"/>
          </w:tcPr>
          <w:p w:rsidR="00C14674" w:rsidRPr="00C14674" w:rsidRDefault="00C14674" w:rsidP="00C14674">
            <w:pPr>
              <w:pBdr>
                <w:bottom w:val="double" w:sz="4" w:space="1" w:color="auto"/>
              </w:pBdr>
              <w:spacing w:before="0" w:after="0"/>
              <w:jc w:val="right"/>
              <w:rPr>
                <w:b/>
                <w:sz w:val="18"/>
                <w:szCs w:val="18"/>
              </w:rPr>
            </w:pPr>
            <w:r w:rsidRPr="00C14674">
              <w:rPr>
                <w:b/>
                <w:sz w:val="18"/>
                <w:szCs w:val="18"/>
              </w:rPr>
              <w:t>225.7</w:t>
            </w:r>
          </w:p>
        </w:tc>
      </w:tr>
    </w:tbl>
    <w:p w:rsidR="006B5475" w:rsidRPr="006B5475" w:rsidRDefault="006B5475" w:rsidP="006B5475">
      <w:pPr>
        <w:rPr>
          <w:szCs w:val="20"/>
          <w:lang w:val="en-US"/>
        </w:rPr>
      </w:pPr>
      <w:r w:rsidRPr="006B5475">
        <w:rPr>
          <w:szCs w:val="20"/>
          <w:lang w:val="en-US"/>
        </w:rPr>
        <w:t>The</w:t>
      </w:r>
      <w:r w:rsidRPr="00A07615">
        <w:rPr>
          <w:szCs w:val="20"/>
        </w:rPr>
        <w:t xml:space="preserve"> </w:t>
      </w:r>
      <w:r w:rsidR="002A1AB1">
        <w:rPr>
          <w:szCs w:val="20"/>
        </w:rPr>
        <w:t>Greenyard Foods</w:t>
      </w:r>
      <w:r w:rsidR="00FA5570">
        <w:rPr>
          <w:szCs w:val="20"/>
          <w:lang w:val="en-US"/>
        </w:rPr>
        <w:t xml:space="preserve"> </w:t>
      </w:r>
      <w:r w:rsidRPr="006B5475">
        <w:rPr>
          <w:szCs w:val="20"/>
          <w:lang w:val="en-US"/>
        </w:rPr>
        <w:t>Group has the ownership over all its production plants</w:t>
      </w:r>
      <w:r w:rsidR="00FA5570">
        <w:rPr>
          <w:szCs w:val="20"/>
          <w:lang w:val="en-US"/>
        </w:rPr>
        <w:t xml:space="preserve">, </w:t>
      </w:r>
      <w:r w:rsidRPr="006B5475">
        <w:rPr>
          <w:szCs w:val="20"/>
          <w:lang w:val="en-US"/>
        </w:rPr>
        <w:t xml:space="preserve">resulting into a total net book value of </w:t>
      </w:r>
      <w:r w:rsidR="00E53641">
        <w:rPr>
          <w:szCs w:val="20"/>
          <w:lang w:val="en-US"/>
        </w:rPr>
        <w:t>EUR </w:t>
      </w:r>
      <w:r w:rsidR="00C14674">
        <w:rPr>
          <w:szCs w:val="20"/>
          <w:lang w:val="en-US"/>
        </w:rPr>
        <w:t>115</w:t>
      </w:r>
      <w:r w:rsidR="00FA5570">
        <w:rPr>
          <w:szCs w:val="20"/>
          <w:lang w:val="en-US"/>
        </w:rPr>
        <w:t>,200,000</w:t>
      </w:r>
      <w:r w:rsidRPr="006B5475">
        <w:rPr>
          <w:szCs w:val="20"/>
          <w:lang w:val="en-US"/>
        </w:rPr>
        <w:t xml:space="preserve">. The plant, </w:t>
      </w:r>
      <w:r w:rsidR="00FA5570">
        <w:rPr>
          <w:szCs w:val="20"/>
          <w:lang w:val="en-US"/>
        </w:rPr>
        <w:t>machinery and equipment heading contains</w:t>
      </w:r>
      <w:r w:rsidRPr="006B5475">
        <w:rPr>
          <w:szCs w:val="20"/>
          <w:lang w:val="en-US"/>
        </w:rPr>
        <w:t xml:space="preserve"> all machinery in the ow</w:t>
      </w:r>
      <w:r w:rsidR="00FA5570">
        <w:rPr>
          <w:szCs w:val="20"/>
          <w:lang w:val="en-US"/>
        </w:rPr>
        <w:t>ned production plants. F</w:t>
      </w:r>
      <w:r w:rsidRPr="006B5475">
        <w:rPr>
          <w:szCs w:val="20"/>
          <w:lang w:val="en-US"/>
        </w:rPr>
        <w:t>reezing tunnels are a major part o</w:t>
      </w:r>
      <w:r w:rsidR="00FA5570">
        <w:rPr>
          <w:szCs w:val="20"/>
          <w:lang w:val="en-US"/>
        </w:rPr>
        <w:t>f</w:t>
      </w:r>
      <w:r w:rsidRPr="006B5475">
        <w:rPr>
          <w:szCs w:val="20"/>
          <w:lang w:val="en-US"/>
        </w:rPr>
        <w:t xml:space="preserve"> the machinery </w:t>
      </w:r>
      <w:r w:rsidR="00FA5570">
        <w:rPr>
          <w:szCs w:val="20"/>
          <w:lang w:val="en-US"/>
        </w:rPr>
        <w:t>for the F</w:t>
      </w:r>
      <w:r w:rsidR="00FA5570" w:rsidRPr="006B5475">
        <w:rPr>
          <w:szCs w:val="20"/>
          <w:lang w:val="en-US"/>
        </w:rPr>
        <w:t xml:space="preserve">rozen </w:t>
      </w:r>
      <w:r w:rsidR="00FA5570">
        <w:rPr>
          <w:szCs w:val="20"/>
          <w:lang w:val="en-US"/>
        </w:rPr>
        <w:t>D</w:t>
      </w:r>
      <w:r w:rsidR="00FA5570" w:rsidRPr="006B5475">
        <w:rPr>
          <w:szCs w:val="20"/>
          <w:lang w:val="en-US"/>
        </w:rPr>
        <w:t>i</w:t>
      </w:r>
      <w:r w:rsidR="00FA5570">
        <w:rPr>
          <w:szCs w:val="20"/>
          <w:lang w:val="en-US"/>
        </w:rPr>
        <w:t>vision</w:t>
      </w:r>
      <w:r w:rsidR="00FA5570" w:rsidRPr="006B5475">
        <w:rPr>
          <w:szCs w:val="20"/>
          <w:lang w:val="en-US"/>
        </w:rPr>
        <w:t xml:space="preserve"> </w:t>
      </w:r>
      <w:r w:rsidRPr="006B5475">
        <w:rPr>
          <w:szCs w:val="20"/>
          <w:lang w:val="en-US"/>
        </w:rPr>
        <w:t>and</w:t>
      </w:r>
      <w:r w:rsidRPr="00A07615">
        <w:rPr>
          <w:szCs w:val="20"/>
        </w:rPr>
        <w:t xml:space="preserve"> sterili</w:t>
      </w:r>
      <w:r w:rsidR="00FA5570" w:rsidRPr="00A07615">
        <w:rPr>
          <w:szCs w:val="20"/>
        </w:rPr>
        <w:t>s</w:t>
      </w:r>
      <w:r w:rsidRPr="00A07615">
        <w:rPr>
          <w:szCs w:val="20"/>
        </w:rPr>
        <w:t>ers</w:t>
      </w:r>
      <w:r w:rsidRPr="006B5475">
        <w:rPr>
          <w:szCs w:val="20"/>
          <w:lang w:val="en-US"/>
        </w:rPr>
        <w:t xml:space="preserve"> and</w:t>
      </w:r>
      <w:r w:rsidRPr="00A07615">
        <w:rPr>
          <w:szCs w:val="20"/>
        </w:rPr>
        <w:t xml:space="preserve"> pasteuri</w:t>
      </w:r>
      <w:r w:rsidR="00FA5570" w:rsidRPr="00A07615">
        <w:rPr>
          <w:szCs w:val="20"/>
        </w:rPr>
        <w:t>sers</w:t>
      </w:r>
      <w:r w:rsidR="00FA5570">
        <w:rPr>
          <w:szCs w:val="20"/>
          <w:lang w:val="en-US"/>
        </w:rPr>
        <w:t xml:space="preserve"> </w:t>
      </w:r>
      <w:r w:rsidR="00FA5570" w:rsidRPr="006B5475">
        <w:rPr>
          <w:szCs w:val="20"/>
          <w:lang w:val="en-US"/>
        </w:rPr>
        <w:t>are a major part o</w:t>
      </w:r>
      <w:r w:rsidR="00FA5570">
        <w:rPr>
          <w:szCs w:val="20"/>
          <w:lang w:val="en-US"/>
        </w:rPr>
        <w:t>f</w:t>
      </w:r>
      <w:r w:rsidR="00FA5570" w:rsidRPr="006B5475">
        <w:rPr>
          <w:szCs w:val="20"/>
          <w:lang w:val="en-US"/>
        </w:rPr>
        <w:t xml:space="preserve"> the machinery </w:t>
      </w:r>
      <w:r w:rsidR="00FA5570">
        <w:rPr>
          <w:szCs w:val="20"/>
          <w:lang w:val="en-US"/>
        </w:rPr>
        <w:t>for the Canning D</w:t>
      </w:r>
      <w:r w:rsidRPr="006B5475">
        <w:rPr>
          <w:szCs w:val="20"/>
          <w:lang w:val="en-US"/>
        </w:rPr>
        <w:t>ivision. The filling and packing lines used for both activities are also included in the plant, machinery and equipment</w:t>
      </w:r>
      <w:r w:rsidR="00FA5570">
        <w:rPr>
          <w:szCs w:val="20"/>
          <w:lang w:val="en-US"/>
        </w:rPr>
        <w:t xml:space="preserve"> heading</w:t>
      </w:r>
      <w:r w:rsidRPr="006B5475">
        <w:rPr>
          <w:szCs w:val="20"/>
          <w:lang w:val="en-US"/>
        </w:rPr>
        <w:t>.</w:t>
      </w:r>
    </w:p>
    <w:p w:rsidR="003F0BC5" w:rsidRPr="00992199" w:rsidRDefault="003F0BC5" w:rsidP="003F0BC5">
      <w:pPr>
        <w:rPr>
          <w:szCs w:val="20"/>
        </w:rPr>
      </w:pPr>
      <w:r w:rsidRPr="00992199">
        <w:rPr>
          <w:szCs w:val="20"/>
        </w:rPr>
        <w:t xml:space="preserve">At 31 March 2015 the </w:t>
      </w:r>
      <w:r w:rsidR="002A1AB1">
        <w:rPr>
          <w:szCs w:val="20"/>
        </w:rPr>
        <w:t>Greenyard Foods</w:t>
      </w:r>
      <w:r w:rsidRPr="00992199">
        <w:rPr>
          <w:szCs w:val="20"/>
        </w:rPr>
        <w:t xml:space="preserve"> Group’s fixed assets were encumbered as follows:</w:t>
      </w:r>
    </w:p>
    <w:tbl>
      <w:tblPr>
        <w:tblW w:w="0" w:type="auto"/>
        <w:tblLook w:val="04A0" w:firstRow="1" w:lastRow="0" w:firstColumn="1" w:lastColumn="0" w:noHBand="0" w:noVBand="1"/>
      </w:tblPr>
      <w:tblGrid>
        <w:gridCol w:w="7128"/>
        <w:gridCol w:w="1440"/>
      </w:tblGrid>
      <w:tr w:rsidR="00CD1029" w:rsidRPr="00CD1029" w:rsidTr="00CD1029">
        <w:tc>
          <w:tcPr>
            <w:tcW w:w="7128" w:type="dxa"/>
            <w:shd w:val="clear" w:color="auto" w:fill="auto"/>
            <w:vAlign w:val="center"/>
          </w:tcPr>
          <w:p w:rsidR="00CD1029" w:rsidRPr="00CD1029" w:rsidRDefault="00CD1029" w:rsidP="00CD1029">
            <w:pPr>
              <w:spacing w:before="0" w:after="0"/>
              <w:jc w:val="left"/>
              <w:rPr>
                <w:bCs/>
                <w:i/>
                <w:sz w:val="18"/>
                <w:szCs w:val="18"/>
              </w:rPr>
            </w:pPr>
            <w:r w:rsidRPr="00CD1029">
              <w:rPr>
                <w:bCs/>
                <w:i/>
                <w:sz w:val="18"/>
                <w:szCs w:val="18"/>
              </w:rPr>
              <w:lastRenderedPageBreak/>
              <w:t>(</w:t>
            </w:r>
            <w:r w:rsidR="00E53641">
              <w:rPr>
                <w:bCs/>
                <w:i/>
                <w:sz w:val="18"/>
                <w:szCs w:val="18"/>
              </w:rPr>
              <w:t>EUR </w:t>
            </w:r>
            <w:r w:rsidRPr="00CD1029">
              <w:rPr>
                <w:bCs/>
                <w:i/>
                <w:sz w:val="18"/>
                <w:szCs w:val="18"/>
              </w:rPr>
              <w:t>in millions)</w:t>
            </w:r>
          </w:p>
        </w:tc>
        <w:tc>
          <w:tcPr>
            <w:tcW w:w="1440" w:type="dxa"/>
            <w:shd w:val="clear" w:color="auto" w:fill="auto"/>
            <w:vAlign w:val="bottom"/>
          </w:tcPr>
          <w:p w:rsidR="00CD1029" w:rsidRPr="00CD1029" w:rsidRDefault="00CD1029" w:rsidP="00CD1029">
            <w:pPr>
              <w:pBdr>
                <w:bottom w:val="single" w:sz="4" w:space="1" w:color="auto"/>
              </w:pBdr>
              <w:spacing w:before="0" w:after="0"/>
              <w:jc w:val="center"/>
              <w:rPr>
                <w:b/>
                <w:bCs/>
                <w:sz w:val="18"/>
                <w:szCs w:val="18"/>
              </w:rPr>
            </w:pPr>
            <w:r w:rsidRPr="00CD1029">
              <w:rPr>
                <w:b/>
                <w:bCs/>
                <w:sz w:val="18"/>
                <w:szCs w:val="18"/>
              </w:rPr>
              <w:br/>
              <w:t>31 March 2015</w:t>
            </w:r>
          </w:p>
        </w:tc>
      </w:tr>
      <w:tr w:rsidR="00CD1029" w:rsidRPr="00CD1029" w:rsidTr="00CD1029">
        <w:tc>
          <w:tcPr>
            <w:tcW w:w="7128" w:type="dxa"/>
            <w:shd w:val="clear" w:color="auto" w:fill="auto"/>
          </w:tcPr>
          <w:p w:rsidR="00CD1029" w:rsidRPr="00CD1029" w:rsidRDefault="00CD1029" w:rsidP="00CD1029">
            <w:pPr>
              <w:tabs>
                <w:tab w:val="right" w:leader="dot" w:pos="6912"/>
              </w:tabs>
              <w:spacing w:before="0" w:after="0"/>
              <w:rPr>
                <w:sz w:val="18"/>
                <w:szCs w:val="18"/>
              </w:rPr>
            </w:pPr>
            <w:r w:rsidRPr="00CD1029">
              <w:rPr>
                <w:bCs/>
                <w:sz w:val="18"/>
                <w:szCs w:val="18"/>
              </w:rPr>
              <w:t>Subscription on mortgages</w:t>
            </w:r>
            <w:r w:rsidRPr="00CD1029">
              <w:rPr>
                <w:bCs/>
                <w:sz w:val="18"/>
                <w:szCs w:val="18"/>
              </w:rPr>
              <w:tab/>
            </w:r>
          </w:p>
        </w:tc>
        <w:tc>
          <w:tcPr>
            <w:tcW w:w="1440" w:type="dxa"/>
            <w:shd w:val="clear" w:color="auto" w:fill="auto"/>
          </w:tcPr>
          <w:p w:rsidR="00CD1029" w:rsidRPr="00CD1029" w:rsidRDefault="00CD1029" w:rsidP="00CD1029">
            <w:pPr>
              <w:tabs>
                <w:tab w:val="left" w:pos="720"/>
              </w:tabs>
              <w:spacing w:before="0" w:after="0"/>
              <w:jc w:val="right"/>
              <w:rPr>
                <w:sz w:val="18"/>
                <w:szCs w:val="18"/>
              </w:rPr>
            </w:pPr>
            <w:r w:rsidRPr="00CD1029">
              <w:rPr>
                <w:sz w:val="18"/>
                <w:szCs w:val="18"/>
              </w:rPr>
              <w:t>10.7</w:t>
            </w:r>
          </w:p>
        </w:tc>
      </w:tr>
      <w:tr w:rsidR="00CD1029" w:rsidRPr="00DF2401" w:rsidTr="00CD1029">
        <w:tc>
          <w:tcPr>
            <w:tcW w:w="7128" w:type="dxa"/>
            <w:shd w:val="clear" w:color="auto" w:fill="auto"/>
          </w:tcPr>
          <w:p w:rsidR="00CD1029" w:rsidRPr="00CD1029" w:rsidRDefault="00CD1029" w:rsidP="00CD1029">
            <w:pPr>
              <w:tabs>
                <w:tab w:val="right" w:leader="dot" w:pos="6912"/>
              </w:tabs>
              <w:spacing w:before="0" w:after="0"/>
              <w:rPr>
                <w:bCs/>
                <w:sz w:val="18"/>
                <w:szCs w:val="18"/>
              </w:rPr>
            </w:pPr>
            <w:r w:rsidRPr="00CD1029">
              <w:rPr>
                <w:sz w:val="18"/>
                <w:szCs w:val="18"/>
              </w:rPr>
              <w:t>Mortgage mandates</w:t>
            </w:r>
            <w:r w:rsidRPr="00CD1029">
              <w:rPr>
                <w:sz w:val="18"/>
                <w:szCs w:val="18"/>
              </w:rPr>
              <w:tab/>
            </w:r>
          </w:p>
        </w:tc>
        <w:tc>
          <w:tcPr>
            <w:tcW w:w="1440" w:type="dxa"/>
            <w:shd w:val="clear" w:color="auto" w:fill="auto"/>
          </w:tcPr>
          <w:p w:rsidR="00CD1029" w:rsidRPr="00CD1029" w:rsidRDefault="00CD1029" w:rsidP="00CD1029">
            <w:pPr>
              <w:tabs>
                <w:tab w:val="left" w:pos="720"/>
              </w:tabs>
              <w:spacing w:before="0" w:after="0"/>
              <w:jc w:val="right"/>
              <w:rPr>
                <w:sz w:val="18"/>
                <w:szCs w:val="18"/>
              </w:rPr>
            </w:pPr>
            <w:r w:rsidRPr="00CD1029">
              <w:rPr>
                <w:sz w:val="18"/>
                <w:szCs w:val="18"/>
              </w:rPr>
              <w:t>65.0</w:t>
            </w:r>
          </w:p>
        </w:tc>
      </w:tr>
    </w:tbl>
    <w:p w:rsidR="003F0BC5" w:rsidRPr="00837AA6" w:rsidRDefault="003F0BC5" w:rsidP="00353B80">
      <w:pPr>
        <w:pStyle w:val="Firm5L3"/>
        <w:keepNext/>
      </w:pPr>
      <w:r w:rsidRPr="00837AA6">
        <w:t>Employees</w:t>
      </w:r>
    </w:p>
    <w:p w:rsidR="003F0BC5" w:rsidRPr="00837AA6" w:rsidRDefault="003F0BC5" w:rsidP="003F0BC5">
      <w:pPr>
        <w:rPr>
          <w:szCs w:val="20"/>
        </w:rPr>
      </w:pPr>
      <w:r w:rsidRPr="00837AA6">
        <w:rPr>
          <w:szCs w:val="20"/>
        </w:rPr>
        <w:t>At 31 March 2015, there were 2,</w:t>
      </w:r>
      <w:r w:rsidR="00FA5570" w:rsidRPr="00837AA6">
        <w:rPr>
          <w:szCs w:val="20"/>
        </w:rPr>
        <w:t>289</w:t>
      </w:r>
      <w:r w:rsidRPr="00837AA6">
        <w:rPr>
          <w:szCs w:val="20"/>
        </w:rPr>
        <w:t xml:space="preserve"> employees at the </w:t>
      </w:r>
      <w:r w:rsidR="002A1AB1">
        <w:rPr>
          <w:szCs w:val="20"/>
        </w:rPr>
        <w:t>Greenyard Foods</w:t>
      </w:r>
      <w:r w:rsidRPr="00837AA6">
        <w:rPr>
          <w:szCs w:val="20"/>
        </w:rPr>
        <w:t xml:space="preserve"> Group, of which 1,</w:t>
      </w:r>
      <w:r w:rsidR="00FA5570" w:rsidRPr="00837AA6">
        <w:rPr>
          <w:szCs w:val="20"/>
        </w:rPr>
        <w:t>597</w:t>
      </w:r>
      <w:r w:rsidRPr="00837AA6">
        <w:rPr>
          <w:szCs w:val="20"/>
        </w:rPr>
        <w:t xml:space="preserve"> </w:t>
      </w:r>
      <w:r w:rsidR="00FA5570" w:rsidRPr="00837AA6">
        <w:rPr>
          <w:szCs w:val="20"/>
        </w:rPr>
        <w:t>for</w:t>
      </w:r>
      <w:r w:rsidRPr="00837AA6">
        <w:rPr>
          <w:szCs w:val="20"/>
        </w:rPr>
        <w:t xml:space="preserve"> the Frozen Division and </w:t>
      </w:r>
      <w:r w:rsidR="00FA5570" w:rsidRPr="00837AA6">
        <w:rPr>
          <w:szCs w:val="20"/>
        </w:rPr>
        <w:t>692</w:t>
      </w:r>
      <w:r w:rsidRPr="00837AA6">
        <w:rPr>
          <w:szCs w:val="20"/>
        </w:rPr>
        <w:t xml:space="preserve"> </w:t>
      </w:r>
      <w:r w:rsidR="00FA5570" w:rsidRPr="00837AA6">
        <w:rPr>
          <w:szCs w:val="20"/>
        </w:rPr>
        <w:t>for</w:t>
      </w:r>
      <w:r w:rsidRPr="00837AA6">
        <w:rPr>
          <w:szCs w:val="20"/>
        </w:rPr>
        <w:t xml:space="preserve"> the Canning Division.</w:t>
      </w:r>
    </w:p>
    <w:p w:rsidR="003F0BC5" w:rsidRPr="00837AA6" w:rsidRDefault="00FA5570" w:rsidP="003F0BC5">
      <w:pPr>
        <w:rPr>
          <w:szCs w:val="20"/>
        </w:rPr>
      </w:pPr>
      <w:r w:rsidRPr="00837AA6">
        <w:rPr>
          <w:szCs w:val="20"/>
        </w:rPr>
        <w:t>An overview of t</w:t>
      </w:r>
      <w:r w:rsidR="003F0BC5" w:rsidRPr="00837AA6">
        <w:rPr>
          <w:szCs w:val="20"/>
        </w:rPr>
        <w:t xml:space="preserve">he number of </w:t>
      </w:r>
      <w:r w:rsidR="003601EC">
        <w:rPr>
          <w:szCs w:val="20"/>
        </w:rPr>
        <w:t>FTEs</w:t>
      </w:r>
      <w:r w:rsidR="003F0BC5" w:rsidRPr="00837AA6">
        <w:rPr>
          <w:szCs w:val="20"/>
        </w:rPr>
        <w:t xml:space="preserve"> </w:t>
      </w:r>
      <w:r w:rsidRPr="00837AA6">
        <w:rPr>
          <w:szCs w:val="20"/>
        </w:rPr>
        <w:t xml:space="preserve">for the </w:t>
      </w:r>
      <w:r w:rsidR="002A1AB1">
        <w:rPr>
          <w:szCs w:val="20"/>
        </w:rPr>
        <w:t>Greenyard Foods</w:t>
      </w:r>
      <w:r w:rsidRPr="00837AA6">
        <w:rPr>
          <w:szCs w:val="20"/>
        </w:rPr>
        <w:t xml:space="preserve"> Group </w:t>
      </w:r>
      <w:r w:rsidR="003F0BC5" w:rsidRPr="00837AA6">
        <w:rPr>
          <w:szCs w:val="20"/>
        </w:rPr>
        <w:t xml:space="preserve">per country </w:t>
      </w:r>
      <w:r w:rsidRPr="00837AA6">
        <w:rPr>
          <w:szCs w:val="20"/>
        </w:rPr>
        <w:t>as at the Closing Date are</w:t>
      </w:r>
      <w:r w:rsidR="003F0BC5" w:rsidRPr="00837AA6">
        <w:rPr>
          <w:szCs w:val="20"/>
        </w:rPr>
        <w:t xml:space="preserve"> presented in table below:</w:t>
      </w:r>
    </w:p>
    <w:tbl>
      <w:tblPr>
        <w:tblW w:w="0" w:type="auto"/>
        <w:tblLook w:val="04A0" w:firstRow="1" w:lastRow="0" w:firstColumn="1" w:lastColumn="0" w:noHBand="0" w:noVBand="1"/>
      </w:tblPr>
      <w:tblGrid>
        <w:gridCol w:w="6689"/>
        <w:gridCol w:w="776"/>
        <w:gridCol w:w="776"/>
        <w:gridCol w:w="1004"/>
      </w:tblGrid>
      <w:tr w:rsidR="00CD1029" w:rsidRPr="00CD1029" w:rsidTr="00CD1029">
        <w:tc>
          <w:tcPr>
            <w:tcW w:w="6689" w:type="dxa"/>
            <w:shd w:val="clear" w:color="auto" w:fill="auto"/>
            <w:vAlign w:val="center"/>
          </w:tcPr>
          <w:p w:rsidR="00CD1029" w:rsidRPr="00CD1029" w:rsidRDefault="00CD1029" w:rsidP="00CD1029">
            <w:pPr>
              <w:spacing w:before="0" w:after="0"/>
              <w:jc w:val="left"/>
              <w:rPr>
                <w:bCs/>
                <w:i/>
                <w:sz w:val="18"/>
                <w:szCs w:val="18"/>
              </w:rPr>
            </w:pPr>
            <w:r w:rsidRPr="00CD1029">
              <w:rPr>
                <w:bCs/>
                <w:i/>
                <w:sz w:val="18"/>
                <w:szCs w:val="18"/>
              </w:rPr>
              <w:t>(FTE)</w:t>
            </w:r>
          </w:p>
        </w:tc>
        <w:tc>
          <w:tcPr>
            <w:tcW w:w="776" w:type="dxa"/>
          </w:tcPr>
          <w:p w:rsidR="00CD1029" w:rsidRPr="00CD1029" w:rsidRDefault="00CD1029" w:rsidP="00CD1029">
            <w:pPr>
              <w:pBdr>
                <w:bottom w:val="single" w:sz="4" w:space="1" w:color="auto"/>
              </w:pBdr>
              <w:spacing w:before="0" w:after="0"/>
              <w:jc w:val="center"/>
              <w:rPr>
                <w:b/>
                <w:bCs/>
                <w:sz w:val="18"/>
                <w:szCs w:val="18"/>
              </w:rPr>
            </w:pPr>
          </w:p>
          <w:p w:rsidR="00CD1029" w:rsidRPr="00CD1029" w:rsidRDefault="00CD1029" w:rsidP="00CD1029">
            <w:pPr>
              <w:pBdr>
                <w:bottom w:val="single" w:sz="4" w:space="1" w:color="auto"/>
              </w:pBdr>
              <w:spacing w:before="0" w:after="0"/>
              <w:jc w:val="center"/>
              <w:rPr>
                <w:b/>
                <w:bCs/>
                <w:sz w:val="18"/>
                <w:szCs w:val="18"/>
              </w:rPr>
            </w:pPr>
            <w:r w:rsidRPr="00CD1029">
              <w:rPr>
                <w:b/>
                <w:bCs/>
                <w:sz w:val="18"/>
                <w:szCs w:val="18"/>
              </w:rPr>
              <w:t>White Collars</w:t>
            </w:r>
          </w:p>
        </w:tc>
        <w:tc>
          <w:tcPr>
            <w:tcW w:w="776" w:type="dxa"/>
          </w:tcPr>
          <w:p w:rsidR="00CD1029" w:rsidRPr="00CD1029" w:rsidRDefault="00CD1029" w:rsidP="00CD1029">
            <w:pPr>
              <w:pBdr>
                <w:bottom w:val="single" w:sz="4" w:space="1" w:color="auto"/>
              </w:pBdr>
              <w:spacing w:before="0" w:after="0"/>
              <w:jc w:val="center"/>
              <w:rPr>
                <w:b/>
                <w:bCs/>
                <w:sz w:val="18"/>
                <w:szCs w:val="18"/>
              </w:rPr>
            </w:pPr>
          </w:p>
          <w:p w:rsidR="00CD1029" w:rsidRPr="00CD1029" w:rsidRDefault="00CD1029" w:rsidP="00CD1029">
            <w:pPr>
              <w:pBdr>
                <w:bottom w:val="single" w:sz="4" w:space="1" w:color="auto"/>
              </w:pBdr>
              <w:spacing w:before="0" w:after="0"/>
              <w:jc w:val="center"/>
              <w:rPr>
                <w:b/>
                <w:bCs/>
                <w:sz w:val="18"/>
                <w:szCs w:val="18"/>
              </w:rPr>
            </w:pPr>
            <w:r w:rsidRPr="00CD1029">
              <w:rPr>
                <w:b/>
                <w:bCs/>
                <w:sz w:val="18"/>
                <w:szCs w:val="18"/>
              </w:rPr>
              <w:t>Blue Collars</w:t>
            </w:r>
          </w:p>
        </w:tc>
        <w:tc>
          <w:tcPr>
            <w:tcW w:w="1004" w:type="dxa"/>
            <w:shd w:val="clear" w:color="auto" w:fill="auto"/>
            <w:vAlign w:val="bottom"/>
          </w:tcPr>
          <w:p w:rsidR="00CD1029" w:rsidRPr="00CD1029" w:rsidRDefault="00CD1029" w:rsidP="00CD1029">
            <w:pPr>
              <w:pBdr>
                <w:bottom w:val="single" w:sz="4" w:space="1" w:color="auto"/>
              </w:pBdr>
              <w:spacing w:before="0" w:after="0"/>
              <w:jc w:val="center"/>
              <w:rPr>
                <w:b/>
                <w:bCs/>
                <w:sz w:val="18"/>
                <w:szCs w:val="18"/>
              </w:rPr>
            </w:pPr>
            <w:r w:rsidRPr="00CD1029">
              <w:rPr>
                <w:b/>
                <w:bCs/>
                <w:sz w:val="18"/>
                <w:szCs w:val="18"/>
              </w:rPr>
              <w:br/>
              <w:t>31 March 2015</w:t>
            </w:r>
          </w:p>
        </w:tc>
      </w:tr>
      <w:tr w:rsidR="00CD1029" w:rsidRPr="00CD1029" w:rsidTr="00CD1029">
        <w:tc>
          <w:tcPr>
            <w:tcW w:w="6689" w:type="dxa"/>
            <w:shd w:val="clear" w:color="auto" w:fill="auto"/>
            <w:vAlign w:val="bottom"/>
          </w:tcPr>
          <w:p w:rsidR="00CD1029" w:rsidRPr="00CD1029" w:rsidRDefault="00CD1029" w:rsidP="00CD1029">
            <w:pPr>
              <w:tabs>
                <w:tab w:val="right" w:leader="dot" w:pos="6555"/>
              </w:tabs>
              <w:spacing w:before="0" w:after="0"/>
              <w:jc w:val="left"/>
              <w:rPr>
                <w:sz w:val="18"/>
                <w:szCs w:val="18"/>
              </w:rPr>
            </w:pPr>
            <w:smartTag w:uri="urn:schemas-microsoft-com:office:smarttags" w:element="country-region">
              <w:smartTag w:uri="urn:schemas-microsoft-com:office:smarttags" w:element="place">
                <w:r w:rsidRPr="00CD1029">
                  <w:rPr>
                    <w:sz w:val="18"/>
                    <w:szCs w:val="18"/>
                  </w:rPr>
                  <w:t>Belgium</w:t>
                </w:r>
              </w:smartTag>
            </w:smartTag>
            <w:r w:rsidRPr="00CD1029">
              <w:rPr>
                <w:sz w:val="18"/>
                <w:szCs w:val="18"/>
              </w:rPr>
              <w:t xml:space="preserve"> (Frozen Division)</w:t>
            </w:r>
            <w:r w:rsidRPr="00CD1029">
              <w:rPr>
                <w:bCs/>
                <w:sz w:val="18"/>
                <w:szCs w:val="18"/>
              </w:rPr>
              <w:t xml:space="preserve"> </w:t>
            </w:r>
            <w:r w:rsidRPr="00CD1029">
              <w:rPr>
                <w:bCs/>
                <w:sz w:val="18"/>
                <w:szCs w:val="18"/>
              </w:rPr>
              <w:tab/>
            </w:r>
          </w:p>
        </w:tc>
        <w:tc>
          <w:tcPr>
            <w:tcW w:w="776" w:type="dxa"/>
            <w:vAlign w:val="bottom"/>
          </w:tcPr>
          <w:p w:rsidR="00CD1029" w:rsidRPr="00CD1029" w:rsidRDefault="00CD1029" w:rsidP="00CD1029">
            <w:pPr>
              <w:tabs>
                <w:tab w:val="right" w:leader="dot" w:pos="6555"/>
              </w:tabs>
              <w:spacing w:before="0" w:after="0"/>
              <w:jc w:val="right"/>
              <w:rPr>
                <w:sz w:val="18"/>
                <w:szCs w:val="18"/>
              </w:rPr>
            </w:pPr>
            <w:r w:rsidRPr="00CD1029">
              <w:rPr>
                <w:sz w:val="18"/>
                <w:szCs w:val="18"/>
              </w:rPr>
              <w:t>89</w:t>
            </w:r>
          </w:p>
        </w:tc>
        <w:tc>
          <w:tcPr>
            <w:tcW w:w="776" w:type="dxa"/>
            <w:vAlign w:val="bottom"/>
          </w:tcPr>
          <w:p w:rsidR="00CD1029" w:rsidRPr="00CD1029" w:rsidRDefault="00CD1029" w:rsidP="00CD1029">
            <w:pPr>
              <w:tabs>
                <w:tab w:val="right" w:leader="dot" w:pos="6555"/>
              </w:tabs>
              <w:spacing w:before="0" w:after="0"/>
              <w:jc w:val="right"/>
              <w:rPr>
                <w:sz w:val="18"/>
                <w:szCs w:val="18"/>
              </w:rPr>
            </w:pPr>
            <w:r w:rsidRPr="00CD1029">
              <w:rPr>
                <w:sz w:val="18"/>
                <w:szCs w:val="18"/>
              </w:rPr>
              <w:t>239</w:t>
            </w:r>
          </w:p>
        </w:tc>
        <w:tc>
          <w:tcPr>
            <w:tcW w:w="1004" w:type="dxa"/>
            <w:shd w:val="clear" w:color="auto" w:fill="auto"/>
            <w:vAlign w:val="bottom"/>
          </w:tcPr>
          <w:p w:rsidR="00CD1029" w:rsidRPr="00CD1029" w:rsidRDefault="00CD1029" w:rsidP="00CD1029">
            <w:pPr>
              <w:tabs>
                <w:tab w:val="right" w:leader="dot" w:pos="6555"/>
              </w:tabs>
              <w:spacing w:before="0" w:after="0"/>
              <w:jc w:val="right"/>
              <w:rPr>
                <w:sz w:val="18"/>
                <w:szCs w:val="18"/>
              </w:rPr>
            </w:pPr>
            <w:r w:rsidRPr="00CD1029">
              <w:rPr>
                <w:sz w:val="18"/>
                <w:szCs w:val="18"/>
              </w:rPr>
              <w:t>328</w:t>
            </w:r>
          </w:p>
        </w:tc>
      </w:tr>
      <w:tr w:rsidR="00CD1029" w:rsidRPr="00CD1029" w:rsidTr="00CD1029">
        <w:tc>
          <w:tcPr>
            <w:tcW w:w="6689" w:type="dxa"/>
            <w:shd w:val="clear" w:color="auto" w:fill="auto"/>
            <w:vAlign w:val="bottom"/>
          </w:tcPr>
          <w:p w:rsidR="00CD1029" w:rsidRPr="00CD1029" w:rsidRDefault="00CD1029" w:rsidP="00CD1029">
            <w:pPr>
              <w:tabs>
                <w:tab w:val="right" w:leader="dot" w:pos="6555"/>
              </w:tabs>
              <w:spacing w:before="0" w:after="0"/>
              <w:jc w:val="left"/>
              <w:rPr>
                <w:sz w:val="18"/>
                <w:szCs w:val="18"/>
              </w:rPr>
            </w:pPr>
            <w:smartTag w:uri="urn:schemas-microsoft-com:office:smarttags" w:element="country-region">
              <w:smartTag w:uri="urn:schemas-microsoft-com:office:smarttags" w:element="place">
                <w:r w:rsidRPr="00CD1029">
                  <w:rPr>
                    <w:sz w:val="18"/>
                    <w:szCs w:val="18"/>
                  </w:rPr>
                  <w:t>Belgium</w:t>
                </w:r>
              </w:smartTag>
            </w:smartTag>
            <w:r w:rsidRPr="00CD1029">
              <w:rPr>
                <w:sz w:val="18"/>
                <w:szCs w:val="18"/>
              </w:rPr>
              <w:t xml:space="preserve"> (Canning Division)</w:t>
            </w:r>
            <w:r w:rsidRPr="00CD1029">
              <w:rPr>
                <w:bCs/>
                <w:sz w:val="18"/>
                <w:szCs w:val="18"/>
              </w:rPr>
              <w:t xml:space="preserve"> </w:t>
            </w:r>
            <w:r w:rsidRPr="00CD1029">
              <w:rPr>
                <w:bCs/>
                <w:sz w:val="18"/>
                <w:szCs w:val="18"/>
              </w:rPr>
              <w:tab/>
            </w:r>
          </w:p>
        </w:tc>
        <w:tc>
          <w:tcPr>
            <w:tcW w:w="776" w:type="dxa"/>
            <w:vAlign w:val="bottom"/>
          </w:tcPr>
          <w:p w:rsidR="00CD1029" w:rsidRPr="00CD1029" w:rsidRDefault="00CD1029" w:rsidP="00CD1029">
            <w:pPr>
              <w:tabs>
                <w:tab w:val="right" w:leader="dot" w:pos="6555"/>
              </w:tabs>
              <w:spacing w:before="0" w:after="0"/>
              <w:jc w:val="right"/>
              <w:rPr>
                <w:sz w:val="18"/>
                <w:szCs w:val="18"/>
              </w:rPr>
            </w:pPr>
            <w:r w:rsidRPr="00CD1029">
              <w:rPr>
                <w:sz w:val="18"/>
                <w:szCs w:val="18"/>
              </w:rPr>
              <w:t>139</w:t>
            </w:r>
          </w:p>
        </w:tc>
        <w:tc>
          <w:tcPr>
            <w:tcW w:w="776" w:type="dxa"/>
            <w:vAlign w:val="bottom"/>
          </w:tcPr>
          <w:p w:rsidR="00CD1029" w:rsidRPr="00CD1029" w:rsidRDefault="00CD1029" w:rsidP="00CD1029">
            <w:pPr>
              <w:tabs>
                <w:tab w:val="right" w:leader="dot" w:pos="6555"/>
              </w:tabs>
              <w:spacing w:before="0" w:after="0"/>
              <w:jc w:val="right"/>
              <w:rPr>
                <w:sz w:val="18"/>
                <w:szCs w:val="18"/>
              </w:rPr>
            </w:pPr>
            <w:r w:rsidRPr="00CD1029">
              <w:rPr>
                <w:sz w:val="18"/>
                <w:szCs w:val="18"/>
              </w:rPr>
              <w:t>553</w:t>
            </w:r>
          </w:p>
        </w:tc>
        <w:tc>
          <w:tcPr>
            <w:tcW w:w="1004" w:type="dxa"/>
            <w:shd w:val="clear" w:color="auto" w:fill="auto"/>
            <w:vAlign w:val="bottom"/>
          </w:tcPr>
          <w:p w:rsidR="00CD1029" w:rsidRPr="00CD1029" w:rsidRDefault="00CD1029" w:rsidP="00CD1029">
            <w:pPr>
              <w:tabs>
                <w:tab w:val="right" w:leader="dot" w:pos="6555"/>
              </w:tabs>
              <w:spacing w:before="0" w:after="0"/>
              <w:jc w:val="right"/>
              <w:rPr>
                <w:sz w:val="18"/>
                <w:szCs w:val="18"/>
              </w:rPr>
            </w:pPr>
            <w:r w:rsidRPr="00CD1029">
              <w:rPr>
                <w:sz w:val="18"/>
                <w:szCs w:val="18"/>
              </w:rPr>
              <w:t>692</w:t>
            </w:r>
          </w:p>
        </w:tc>
      </w:tr>
      <w:tr w:rsidR="00CD1029" w:rsidRPr="00CD1029" w:rsidTr="00CD1029">
        <w:tc>
          <w:tcPr>
            <w:tcW w:w="6689" w:type="dxa"/>
            <w:shd w:val="clear" w:color="auto" w:fill="auto"/>
            <w:vAlign w:val="bottom"/>
          </w:tcPr>
          <w:p w:rsidR="00CD1029" w:rsidRPr="00CD1029" w:rsidRDefault="00CD1029" w:rsidP="00CD1029">
            <w:pPr>
              <w:tabs>
                <w:tab w:val="right" w:leader="dot" w:pos="6555"/>
              </w:tabs>
              <w:spacing w:before="0" w:after="0"/>
              <w:jc w:val="left"/>
              <w:rPr>
                <w:sz w:val="18"/>
                <w:szCs w:val="18"/>
              </w:rPr>
            </w:pPr>
            <w:smartTag w:uri="urn:schemas-microsoft-com:office:smarttags" w:element="country-region">
              <w:smartTag w:uri="urn:schemas-microsoft-com:office:smarttags" w:element="place">
                <w:r w:rsidRPr="00CD1029">
                  <w:rPr>
                    <w:sz w:val="18"/>
                    <w:szCs w:val="18"/>
                  </w:rPr>
                  <w:t>France</w:t>
                </w:r>
              </w:smartTag>
            </w:smartTag>
            <w:r w:rsidRPr="00CD1029">
              <w:rPr>
                <w:bCs/>
                <w:sz w:val="18"/>
                <w:szCs w:val="18"/>
              </w:rPr>
              <w:tab/>
            </w:r>
          </w:p>
        </w:tc>
        <w:tc>
          <w:tcPr>
            <w:tcW w:w="776" w:type="dxa"/>
            <w:vAlign w:val="bottom"/>
          </w:tcPr>
          <w:p w:rsidR="00CD1029" w:rsidRPr="00CD1029" w:rsidRDefault="00CD1029" w:rsidP="00CD1029">
            <w:pPr>
              <w:tabs>
                <w:tab w:val="right" w:leader="dot" w:pos="6555"/>
              </w:tabs>
              <w:spacing w:before="0" w:after="0"/>
              <w:jc w:val="right"/>
              <w:rPr>
                <w:sz w:val="18"/>
                <w:szCs w:val="18"/>
              </w:rPr>
            </w:pPr>
            <w:r w:rsidRPr="00CD1029">
              <w:rPr>
                <w:sz w:val="18"/>
                <w:szCs w:val="18"/>
              </w:rPr>
              <w:t>94</w:t>
            </w:r>
          </w:p>
        </w:tc>
        <w:tc>
          <w:tcPr>
            <w:tcW w:w="776" w:type="dxa"/>
            <w:vAlign w:val="bottom"/>
          </w:tcPr>
          <w:p w:rsidR="00CD1029" w:rsidRPr="00CD1029" w:rsidRDefault="00CD1029" w:rsidP="00CD1029">
            <w:pPr>
              <w:tabs>
                <w:tab w:val="right" w:leader="dot" w:pos="6555"/>
              </w:tabs>
              <w:spacing w:before="0" w:after="0"/>
              <w:jc w:val="right"/>
              <w:rPr>
                <w:sz w:val="18"/>
                <w:szCs w:val="18"/>
              </w:rPr>
            </w:pPr>
            <w:r w:rsidRPr="00CD1029">
              <w:rPr>
                <w:sz w:val="18"/>
                <w:szCs w:val="18"/>
              </w:rPr>
              <w:t>222</w:t>
            </w:r>
          </w:p>
        </w:tc>
        <w:tc>
          <w:tcPr>
            <w:tcW w:w="1004" w:type="dxa"/>
            <w:shd w:val="clear" w:color="auto" w:fill="auto"/>
            <w:vAlign w:val="bottom"/>
          </w:tcPr>
          <w:p w:rsidR="00CD1029" w:rsidRPr="00CD1029" w:rsidRDefault="00CD1029" w:rsidP="00CD1029">
            <w:pPr>
              <w:tabs>
                <w:tab w:val="right" w:leader="dot" w:pos="6555"/>
              </w:tabs>
              <w:spacing w:before="0" w:after="0"/>
              <w:jc w:val="right"/>
              <w:rPr>
                <w:sz w:val="18"/>
                <w:szCs w:val="18"/>
              </w:rPr>
            </w:pPr>
            <w:r w:rsidRPr="00CD1029">
              <w:rPr>
                <w:sz w:val="18"/>
                <w:szCs w:val="18"/>
              </w:rPr>
              <w:t>316</w:t>
            </w:r>
          </w:p>
        </w:tc>
      </w:tr>
      <w:tr w:rsidR="00CD1029" w:rsidRPr="00CD1029" w:rsidTr="00CD1029">
        <w:tc>
          <w:tcPr>
            <w:tcW w:w="6689" w:type="dxa"/>
            <w:shd w:val="clear" w:color="auto" w:fill="auto"/>
            <w:vAlign w:val="bottom"/>
          </w:tcPr>
          <w:p w:rsidR="00CD1029" w:rsidRPr="00CD1029" w:rsidRDefault="00CD1029" w:rsidP="00CD1029">
            <w:pPr>
              <w:tabs>
                <w:tab w:val="right" w:leader="dot" w:pos="6555"/>
              </w:tabs>
              <w:spacing w:before="0" w:after="0"/>
              <w:jc w:val="left"/>
              <w:rPr>
                <w:sz w:val="18"/>
                <w:szCs w:val="18"/>
              </w:rPr>
            </w:pPr>
            <w:smartTag w:uri="urn:schemas-microsoft-com:office:smarttags" w:element="country-region">
              <w:smartTag w:uri="urn:schemas-microsoft-com:office:smarttags" w:element="place">
                <w:r w:rsidRPr="00CD1029">
                  <w:rPr>
                    <w:sz w:val="18"/>
                    <w:szCs w:val="18"/>
                  </w:rPr>
                  <w:t>UK</w:t>
                </w:r>
              </w:smartTag>
            </w:smartTag>
            <w:r w:rsidRPr="00CD1029">
              <w:rPr>
                <w:bCs/>
                <w:sz w:val="18"/>
                <w:szCs w:val="18"/>
              </w:rPr>
              <w:tab/>
            </w:r>
          </w:p>
        </w:tc>
        <w:tc>
          <w:tcPr>
            <w:tcW w:w="776" w:type="dxa"/>
            <w:vAlign w:val="bottom"/>
          </w:tcPr>
          <w:p w:rsidR="00CD1029" w:rsidRPr="00CD1029" w:rsidRDefault="00CD1029" w:rsidP="00CD1029">
            <w:pPr>
              <w:tabs>
                <w:tab w:val="right" w:leader="dot" w:pos="6555"/>
              </w:tabs>
              <w:spacing w:before="0" w:after="0"/>
              <w:jc w:val="right"/>
              <w:rPr>
                <w:sz w:val="18"/>
                <w:szCs w:val="18"/>
              </w:rPr>
            </w:pPr>
            <w:r w:rsidRPr="00CD1029">
              <w:rPr>
                <w:sz w:val="18"/>
                <w:szCs w:val="18"/>
              </w:rPr>
              <w:t>54</w:t>
            </w:r>
          </w:p>
        </w:tc>
        <w:tc>
          <w:tcPr>
            <w:tcW w:w="776" w:type="dxa"/>
            <w:vAlign w:val="bottom"/>
          </w:tcPr>
          <w:p w:rsidR="00CD1029" w:rsidRPr="00CD1029" w:rsidRDefault="00CD1029" w:rsidP="00CD1029">
            <w:pPr>
              <w:tabs>
                <w:tab w:val="right" w:leader="dot" w:pos="6555"/>
              </w:tabs>
              <w:spacing w:before="0" w:after="0"/>
              <w:jc w:val="right"/>
              <w:rPr>
                <w:sz w:val="18"/>
                <w:szCs w:val="18"/>
              </w:rPr>
            </w:pPr>
            <w:r w:rsidRPr="00CD1029">
              <w:rPr>
                <w:sz w:val="18"/>
                <w:szCs w:val="18"/>
              </w:rPr>
              <w:t>187</w:t>
            </w:r>
          </w:p>
        </w:tc>
        <w:tc>
          <w:tcPr>
            <w:tcW w:w="1004" w:type="dxa"/>
            <w:shd w:val="clear" w:color="auto" w:fill="auto"/>
            <w:vAlign w:val="bottom"/>
          </w:tcPr>
          <w:p w:rsidR="00CD1029" w:rsidRPr="00CD1029" w:rsidRDefault="00CD1029" w:rsidP="00CD1029">
            <w:pPr>
              <w:tabs>
                <w:tab w:val="right" w:leader="dot" w:pos="6555"/>
              </w:tabs>
              <w:spacing w:before="0" w:after="0"/>
              <w:jc w:val="right"/>
              <w:rPr>
                <w:sz w:val="18"/>
                <w:szCs w:val="18"/>
              </w:rPr>
            </w:pPr>
            <w:r w:rsidRPr="00CD1029">
              <w:rPr>
                <w:sz w:val="18"/>
                <w:szCs w:val="18"/>
              </w:rPr>
              <w:t>241</w:t>
            </w:r>
          </w:p>
        </w:tc>
      </w:tr>
      <w:tr w:rsidR="00CD1029" w:rsidRPr="00CD1029" w:rsidTr="00CD1029">
        <w:tc>
          <w:tcPr>
            <w:tcW w:w="6689" w:type="dxa"/>
            <w:shd w:val="clear" w:color="auto" w:fill="auto"/>
            <w:vAlign w:val="bottom"/>
          </w:tcPr>
          <w:p w:rsidR="00CD1029" w:rsidRPr="00CD1029" w:rsidRDefault="00CD1029" w:rsidP="00CD1029">
            <w:pPr>
              <w:tabs>
                <w:tab w:val="right" w:leader="dot" w:pos="6555"/>
              </w:tabs>
              <w:spacing w:before="0" w:after="0"/>
              <w:jc w:val="left"/>
              <w:rPr>
                <w:sz w:val="18"/>
                <w:szCs w:val="18"/>
              </w:rPr>
            </w:pPr>
            <w:smartTag w:uri="urn:schemas-microsoft-com:office:smarttags" w:element="country-region">
              <w:smartTag w:uri="urn:schemas-microsoft-com:office:smarttags" w:element="place">
                <w:r w:rsidRPr="00CD1029">
                  <w:rPr>
                    <w:sz w:val="18"/>
                    <w:szCs w:val="18"/>
                  </w:rPr>
                  <w:t>Poland</w:t>
                </w:r>
              </w:smartTag>
            </w:smartTag>
            <w:r w:rsidRPr="00CD1029">
              <w:rPr>
                <w:bCs/>
                <w:sz w:val="18"/>
                <w:szCs w:val="18"/>
              </w:rPr>
              <w:tab/>
            </w:r>
          </w:p>
        </w:tc>
        <w:tc>
          <w:tcPr>
            <w:tcW w:w="776" w:type="dxa"/>
            <w:vAlign w:val="bottom"/>
          </w:tcPr>
          <w:p w:rsidR="00CD1029" w:rsidRPr="00CD1029" w:rsidRDefault="00CD1029" w:rsidP="00CD1029">
            <w:pPr>
              <w:tabs>
                <w:tab w:val="right" w:leader="dot" w:pos="6555"/>
              </w:tabs>
              <w:spacing w:before="0" w:after="0"/>
              <w:jc w:val="right"/>
              <w:rPr>
                <w:sz w:val="18"/>
                <w:szCs w:val="18"/>
              </w:rPr>
            </w:pPr>
            <w:r w:rsidRPr="00CD1029">
              <w:rPr>
                <w:sz w:val="18"/>
                <w:szCs w:val="18"/>
              </w:rPr>
              <w:t>75</w:t>
            </w:r>
          </w:p>
        </w:tc>
        <w:tc>
          <w:tcPr>
            <w:tcW w:w="776" w:type="dxa"/>
            <w:vAlign w:val="bottom"/>
          </w:tcPr>
          <w:p w:rsidR="00CD1029" w:rsidRPr="00CD1029" w:rsidRDefault="00CD1029" w:rsidP="00CD1029">
            <w:pPr>
              <w:tabs>
                <w:tab w:val="right" w:leader="dot" w:pos="6555"/>
              </w:tabs>
              <w:spacing w:before="0" w:after="0"/>
              <w:jc w:val="right"/>
              <w:rPr>
                <w:sz w:val="18"/>
                <w:szCs w:val="18"/>
              </w:rPr>
            </w:pPr>
            <w:r w:rsidRPr="00CD1029">
              <w:rPr>
                <w:sz w:val="18"/>
                <w:szCs w:val="18"/>
              </w:rPr>
              <w:t>460</w:t>
            </w:r>
          </w:p>
        </w:tc>
        <w:tc>
          <w:tcPr>
            <w:tcW w:w="1004" w:type="dxa"/>
            <w:shd w:val="clear" w:color="auto" w:fill="auto"/>
            <w:vAlign w:val="bottom"/>
          </w:tcPr>
          <w:p w:rsidR="00CD1029" w:rsidRPr="00CD1029" w:rsidRDefault="00CD1029" w:rsidP="00CD1029">
            <w:pPr>
              <w:tabs>
                <w:tab w:val="right" w:leader="dot" w:pos="6555"/>
              </w:tabs>
              <w:spacing w:before="0" w:after="0"/>
              <w:jc w:val="right"/>
              <w:rPr>
                <w:sz w:val="18"/>
                <w:szCs w:val="18"/>
              </w:rPr>
            </w:pPr>
            <w:r w:rsidRPr="00CD1029">
              <w:rPr>
                <w:sz w:val="18"/>
                <w:szCs w:val="18"/>
              </w:rPr>
              <w:t>535</w:t>
            </w:r>
          </w:p>
        </w:tc>
      </w:tr>
      <w:tr w:rsidR="00CD1029" w:rsidRPr="00CD1029" w:rsidTr="00CD1029">
        <w:tc>
          <w:tcPr>
            <w:tcW w:w="6689" w:type="dxa"/>
            <w:shd w:val="clear" w:color="auto" w:fill="auto"/>
            <w:vAlign w:val="bottom"/>
          </w:tcPr>
          <w:p w:rsidR="00CD1029" w:rsidRPr="00CD1029" w:rsidRDefault="00CD1029" w:rsidP="00CD1029">
            <w:pPr>
              <w:tabs>
                <w:tab w:val="right" w:leader="dot" w:pos="6555"/>
              </w:tabs>
              <w:spacing w:before="0" w:after="0"/>
              <w:jc w:val="left"/>
              <w:rPr>
                <w:sz w:val="18"/>
                <w:szCs w:val="18"/>
              </w:rPr>
            </w:pPr>
            <w:smartTag w:uri="urn:schemas-microsoft-com:office:smarttags" w:element="country-region">
              <w:smartTag w:uri="urn:schemas-microsoft-com:office:smarttags" w:element="place">
                <w:r w:rsidRPr="00CD1029">
                  <w:rPr>
                    <w:sz w:val="18"/>
                    <w:szCs w:val="18"/>
                  </w:rPr>
                  <w:t>Hungary</w:t>
                </w:r>
              </w:smartTag>
            </w:smartTag>
            <w:r w:rsidRPr="00CD1029">
              <w:rPr>
                <w:bCs/>
                <w:sz w:val="18"/>
                <w:szCs w:val="18"/>
              </w:rPr>
              <w:tab/>
            </w:r>
          </w:p>
        </w:tc>
        <w:tc>
          <w:tcPr>
            <w:tcW w:w="776" w:type="dxa"/>
            <w:tcBorders>
              <w:bottom w:val="single" w:sz="4" w:space="0" w:color="auto"/>
            </w:tcBorders>
            <w:vAlign w:val="bottom"/>
          </w:tcPr>
          <w:p w:rsidR="00CD1029" w:rsidRPr="00CD1029" w:rsidRDefault="00CD1029" w:rsidP="00CD1029">
            <w:pPr>
              <w:tabs>
                <w:tab w:val="right" w:leader="dot" w:pos="6555"/>
              </w:tabs>
              <w:spacing w:before="0" w:after="0"/>
              <w:jc w:val="right"/>
              <w:rPr>
                <w:sz w:val="18"/>
                <w:szCs w:val="18"/>
              </w:rPr>
            </w:pPr>
            <w:r w:rsidRPr="00CD1029">
              <w:rPr>
                <w:sz w:val="18"/>
                <w:szCs w:val="18"/>
              </w:rPr>
              <w:t>36</w:t>
            </w:r>
          </w:p>
        </w:tc>
        <w:tc>
          <w:tcPr>
            <w:tcW w:w="776" w:type="dxa"/>
            <w:tcBorders>
              <w:bottom w:val="single" w:sz="4" w:space="0" w:color="auto"/>
            </w:tcBorders>
            <w:vAlign w:val="bottom"/>
          </w:tcPr>
          <w:p w:rsidR="00CD1029" w:rsidRPr="00CD1029" w:rsidRDefault="00CD1029" w:rsidP="00CD1029">
            <w:pPr>
              <w:tabs>
                <w:tab w:val="right" w:leader="dot" w:pos="6555"/>
              </w:tabs>
              <w:spacing w:before="0" w:after="0"/>
              <w:jc w:val="right"/>
              <w:rPr>
                <w:sz w:val="18"/>
                <w:szCs w:val="18"/>
              </w:rPr>
            </w:pPr>
            <w:r w:rsidRPr="00CD1029">
              <w:rPr>
                <w:sz w:val="18"/>
                <w:szCs w:val="18"/>
              </w:rPr>
              <w:t>141</w:t>
            </w:r>
          </w:p>
        </w:tc>
        <w:tc>
          <w:tcPr>
            <w:tcW w:w="1004" w:type="dxa"/>
            <w:tcBorders>
              <w:bottom w:val="single" w:sz="4" w:space="0" w:color="auto"/>
            </w:tcBorders>
            <w:shd w:val="clear" w:color="auto" w:fill="auto"/>
            <w:vAlign w:val="bottom"/>
          </w:tcPr>
          <w:p w:rsidR="00CD1029" w:rsidRPr="00CD1029" w:rsidRDefault="00CD1029" w:rsidP="00CD1029">
            <w:pPr>
              <w:tabs>
                <w:tab w:val="right" w:leader="dot" w:pos="6555"/>
              </w:tabs>
              <w:spacing w:before="0" w:after="0"/>
              <w:jc w:val="right"/>
              <w:rPr>
                <w:sz w:val="18"/>
                <w:szCs w:val="18"/>
              </w:rPr>
            </w:pPr>
            <w:r w:rsidRPr="00CD1029">
              <w:rPr>
                <w:sz w:val="18"/>
                <w:szCs w:val="18"/>
              </w:rPr>
              <w:t>177</w:t>
            </w:r>
          </w:p>
        </w:tc>
      </w:tr>
      <w:tr w:rsidR="00CD1029" w:rsidRPr="000D3D24" w:rsidTr="00CD1029">
        <w:tc>
          <w:tcPr>
            <w:tcW w:w="6689" w:type="dxa"/>
            <w:shd w:val="clear" w:color="auto" w:fill="auto"/>
          </w:tcPr>
          <w:p w:rsidR="00CD1029" w:rsidRPr="00CD1029" w:rsidRDefault="00CD1029" w:rsidP="00CD1029">
            <w:pPr>
              <w:tabs>
                <w:tab w:val="right" w:leader="dot" w:pos="6912"/>
              </w:tabs>
              <w:spacing w:before="0" w:after="0"/>
              <w:rPr>
                <w:sz w:val="18"/>
                <w:szCs w:val="18"/>
              </w:rPr>
            </w:pPr>
            <w:r w:rsidRPr="00CD1029">
              <w:rPr>
                <w:b/>
                <w:bCs/>
                <w:sz w:val="18"/>
                <w:szCs w:val="18"/>
              </w:rPr>
              <w:t>Workforce</w:t>
            </w:r>
            <w:r w:rsidRPr="00CD1029">
              <w:rPr>
                <w:bCs/>
                <w:sz w:val="18"/>
                <w:szCs w:val="18"/>
              </w:rPr>
              <w:tab/>
            </w:r>
          </w:p>
        </w:tc>
        <w:tc>
          <w:tcPr>
            <w:tcW w:w="776" w:type="dxa"/>
            <w:tcBorders>
              <w:top w:val="single" w:sz="4" w:space="0" w:color="auto"/>
            </w:tcBorders>
          </w:tcPr>
          <w:p w:rsidR="00CD1029" w:rsidRPr="00CD1029" w:rsidRDefault="00CD1029" w:rsidP="00CD1029">
            <w:pPr>
              <w:pBdr>
                <w:bottom w:val="double" w:sz="4" w:space="1" w:color="auto"/>
              </w:pBdr>
              <w:spacing w:before="0" w:after="0"/>
              <w:jc w:val="right"/>
              <w:rPr>
                <w:b/>
                <w:bCs/>
                <w:sz w:val="18"/>
                <w:szCs w:val="18"/>
              </w:rPr>
            </w:pPr>
            <w:r w:rsidRPr="00CD1029">
              <w:rPr>
                <w:b/>
                <w:bCs/>
                <w:sz w:val="18"/>
                <w:szCs w:val="18"/>
              </w:rPr>
              <w:t>487</w:t>
            </w:r>
          </w:p>
        </w:tc>
        <w:tc>
          <w:tcPr>
            <w:tcW w:w="776" w:type="dxa"/>
            <w:tcBorders>
              <w:top w:val="single" w:sz="4" w:space="0" w:color="auto"/>
            </w:tcBorders>
          </w:tcPr>
          <w:p w:rsidR="00CD1029" w:rsidRPr="00CD1029" w:rsidRDefault="00CD1029" w:rsidP="00CD1029">
            <w:pPr>
              <w:pBdr>
                <w:bottom w:val="double" w:sz="4" w:space="1" w:color="auto"/>
              </w:pBdr>
              <w:spacing w:before="0" w:after="0"/>
              <w:jc w:val="right"/>
              <w:rPr>
                <w:b/>
                <w:bCs/>
                <w:sz w:val="18"/>
                <w:szCs w:val="18"/>
              </w:rPr>
            </w:pPr>
            <w:r w:rsidRPr="00CD1029">
              <w:rPr>
                <w:b/>
                <w:bCs/>
                <w:sz w:val="18"/>
                <w:szCs w:val="18"/>
              </w:rPr>
              <w:t>1,802</w:t>
            </w:r>
          </w:p>
        </w:tc>
        <w:tc>
          <w:tcPr>
            <w:tcW w:w="1004" w:type="dxa"/>
            <w:tcBorders>
              <w:top w:val="single" w:sz="4" w:space="0" w:color="auto"/>
            </w:tcBorders>
            <w:shd w:val="clear" w:color="auto" w:fill="auto"/>
          </w:tcPr>
          <w:p w:rsidR="00CD1029" w:rsidRPr="00CD1029" w:rsidRDefault="00CD1029" w:rsidP="00CD1029">
            <w:pPr>
              <w:pBdr>
                <w:bottom w:val="double" w:sz="4" w:space="1" w:color="auto"/>
              </w:pBdr>
              <w:spacing w:before="0" w:after="0"/>
              <w:jc w:val="right"/>
              <w:rPr>
                <w:sz w:val="18"/>
                <w:szCs w:val="18"/>
              </w:rPr>
            </w:pPr>
            <w:r w:rsidRPr="00CD1029">
              <w:rPr>
                <w:b/>
                <w:sz w:val="18"/>
                <w:szCs w:val="18"/>
              </w:rPr>
              <w:t>2,289</w:t>
            </w:r>
          </w:p>
        </w:tc>
      </w:tr>
    </w:tbl>
    <w:p w:rsidR="003F0BC5" w:rsidRPr="00837AA6" w:rsidRDefault="003F0BC5" w:rsidP="00353B80">
      <w:pPr>
        <w:pStyle w:val="Firm5L3"/>
        <w:keepNext/>
      </w:pPr>
      <w:r w:rsidRPr="00837AA6">
        <w:lastRenderedPageBreak/>
        <w:t>Organisational structure and chart</w:t>
      </w:r>
    </w:p>
    <w:p w:rsidR="003F0BC5" w:rsidRPr="00992199" w:rsidRDefault="003F0BC5" w:rsidP="00353B80">
      <w:pPr>
        <w:pStyle w:val="Firm5L4"/>
        <w:keepNext/>
      </w:pPr>
      <w:r w:rsidRPr="00992199">
        <w:t>Structure chart</w:t>
      </w:r>
    </w:p>
    <w:p w:rsidR="003F0BC5" w:rsidRPr="00992199" w:rsidRDefault="00816A67" w:rsidP="003F0BC5">
      <w:pPr>
        <w:rPr>
          <w:rFonts w:eastAsia="Calibri"/>
          <w:b/>
          <w:szCs w:val="20"/>
        </w:rPr>
      </w:pPr>
      <w:r w:rsidRPr="00146960">
        <w:rPr>
          <w:noProof/>
          <w:lang w:eastAsia="en-GB"/>
        </w:rPr>
        <w:drawing>
          <wp:inline distT="0" distB="0" distL="0" distR="0">
            <wp:extent cx="5123815" cy="6236970"/>
            <wp:effectExtent l="0" t="0" r="0" b="0"/>
            <wp:docPr id="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3815" cy="6236970"/>
                    </a:xfrm>
                    <a:prstGeom prst="rect">
                      <a:avLst/>
                    </a:prstGeom>
                    <a:noFill/>
                    <a:ln>
                      <a:noFill/>
                    </a:ln>
                  </pic:spPr>
                </pic:pic>
              </a:graphicData>
            </a:graphic>
          </wp:inline>
        </w:drawing>
      </w:r>
    </w:p>
    <w:p w:rsidR="003F0BC5" w:rsidRPr="00992199" w:rsidRDefault="003F0BC5" w:rsidP="00353B80">
      <w:pPr>
        <w:pStyle w:val="Firm5L4"/>
        <w:keepNext/>
      </w:pPr>
      <w:r w:rsidRPr="00992199">
        <w:t>Information on the subsidiaries</w:t>
      </w:r>
    </w:p>
    <w:p w:rsidR="003F0BC5" w:rsidRDefault="005B6FDE" w:rsidP="003F0BC5">
      <w:pPr>
        <w:rPr>
          <w:szCs w:val="20"/>
        </w:rPr>
      </w:pPr>
      <w:r>
        <w:rPr>
          <w:szCs w:val="20"/>
        </w:rPr>
        <w:t xml:space="preserve">The </w:t>
      </w:r>
      <w:r w:rsidR="003F0BC5" w:rsidRPr="00992199">
        <w:rPr>
          <w:szCs w:val="20"/>
        </w:rPr>
        <w:t xml:space="preserve">most important operating subsidiaries of </w:t>
      </w:r>
      <w:r w:rsidR="002A1AB1">
        <w:rPr>
          <w:szCs w:val="20"/>
        </w:rPr>
        <w:t>Greenyard Foods</w:t>
      </w:r>
      <w:r w:rsidR="003F0BC5" w:rsidRPr="00992199">
        <w:rPr>
          <w:szCs w:val="20"/>
        </w:rPr>
        <w:t xml:space="preserve"> are set out in the table below</w:t>
      </w:r>
      <w:r>
        <w:rPr>
          <w:szCs w:val="20"/>
        </w:rPr>
        <w:t>:</w:t>
      </w:r>
    </w:p>
    <w:tbl>
      <w:tblPr>
        <w:tblW w:w="5000" w:type="pct"/>
        <w:tblLook w:val="04A0" w:firstRow="1" w:lastRow="0" w:firstColumn="1" w:lastColumn="0" w:noHBand="0" w:noVBand="1"/>
      </w:tblPr>
      <w:tblGrid>
        <w:gridCol w:w="7339"/>
        <w:gridCol w:w="1906"/>
      </w:tblGrid>
      <w:tr w:rsidR="00CD1029" w:rsidRPr="00CD1029" w:rsidTr="00CD1029">
        <w:trPr>
          <w:tblHeader/>
        </w:trPr>
        <w:tc>
          <w:tcPr>
            <w:tcW w:w="3969" w:type="pct"/>
            <w:shd w:val="clear" w:color="auto" w:fill="auto"/>
            <w:vAlign w:val="bottom"/>
          </w:tcPr>
          <w:p w:rsidR="00CD1029" w:rsidRPr="00CD1029" w:rsidRDefault="00CD1029" w:rsidP="00CD1029">
            <w:pPr>
              <w:pBdr>
                <w:bottom w:val="single" w:sz="4" w:space="1" w:color="auto"/>
              </w:pBdr>
              <w:tabs>
                <w:tab w:val="left" w:pos="5010"/>
              </w:tabs>
              <w:spacing w:before="0" w:after="0"/>
              <w:rPr>
                <w:b/>
                <w:sz w:val="18"/>
                <w:szCs w:val="18"/>
              </w:rPr>
            </w:pPr>
            <w:r w:rsidRPr="00CD1029">
              <w:rPr>
                <w:b/>
                <w:sz w:val="18"/>
                <w:szCs w:val="18"/>
              </w:rPr>
              <w:t>Name of the subsidiary</w:t>
            </w:r>
          </w:p>
        </w:tc>
        <w:tc>
          <w:tcPr>
            <w:tcW w:w="1031" w:type="pct"/>
            <w:shd w:val="clear" w:color="auto" w:fill="auto"/>
            <w:vAlign w:val="bottom"/>
          </w:tcPr>
          <w:p w:rsidR="00CD1029" w:rsidRPr="00CD1029" w:rsidRDefault="00CD1029" w:rsidP="00CD1029">
            <w:pPr>
              <w:pBdr>
                <w:bottom w:val="single" w:sz="4" w:space="1" w:color="auto"/>
              </w:pBdr>
              <w:tabs>
                <w:tab w:val="left" w:pos="5010"/>
              </w:tabs>
              <w:spacing w:before="0" w:after="0"/>
              <w:jc w:val="right"/>
              <w:rPr>
                <w:b/>
                <w:sz w:val="18"/>
                <w:szCs w:val="18"/>
              </w:rPr>
            </w:pPr>
            <w:r w:rsidRPr="00CD1029">
              <w:rPr>
                <w:b/>
                <w:sz w:val="18"/>
                <w:szCs w:val="18"/>
              </w:rPr>
              <w:t>Shareholding (direct / indirect)</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Pinguin Langemark NV</w:t>
            </w:r>
            <w:r w:rsidRPr="00CD1029">
              <w:rPr>
                <w:sz w:val="18"/>
                <w:szCs w:val="18"/>
              </w:rPr>
              <w:tab/>
            </w:r>
          </w:p>
        </w:tc>
        <w:tc>
          <w:tcPr>
            <w:tcW w:w="1031" w:type="pct"/>
            <w:vAlign w:val="bottom"/>
          </w:tcPr>
          <w:p w:rsidR="00CD1029" w:rsidRPr="00CD1029" w:rsidRDefault="00CD1029" w:rsidP="00CD1029">
            <w:pPr>
              <w:spacing w:before="0" w:after="0"/>
              <w:jc w:val="right"/>
              <w:outlineLvl w:val="0"/>
              <w:rPr>
                <w:sz w:val="18"/>
                <w:szCs w:val="18"/>
              </w:rPr>
            </w:pPr>
            <w:r w:rsidRPr="00CD1029">
              <w:rPr>
                <w:sz w:val="18"/>
                <w:szCs w:val="18"/>
              </w:rPr>
              <w:t>99.997%</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Pinguin Foods UK LTD</w:t>
            </w:r>
            <w:r w:rsidRPr="00CD1029">
              <w:rPr>
                <w:sz w:val="18"/>
                <w:szCs w:val="18"/>
              </w:rPr>
              <w:tab/>
            </w:r>
          </w:p>
        </w:tc>
        <w:tc>
          <w:tcPr>
            <w:tcW w:w="1031" w:type="pct"/>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CGS S.A.S.</w:t>
            </w:r>
            <w:r w:rsidRPr="00CD1029">
              <w:rPr>
                <w:sz w:val="18"/>
                <w:szCs w:val="18"/>
              </w:rPr>
              <w:tab/>
            </w:r>
          </w:p>
        </w:tc>
        <w:tc>
          <w:tcPr>
            <w:tcW w:w="1031" w:type="pct"/>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Pinguin Comines S.A.S.</w:t>
            </w:r>
            <w:r w:rsidRPr="00CD1029">
              <w:rPr>
                <w:sz w:val="18"/>
                <w:szCs w:val="18"/>
              </w:rPr>
              <w:tab/>
            </w:r>
          </w:p>
        </w:tc>
        <w:tc>
          <w:tcPr>
            <w:tcW w:w="1031" w:type="pct"/>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Pinguin Foods Polska sp. Z.o.o.</w:t>
            </w:r>
            <w:r w:rsidRPr="00CD1029">
              <w:rPr>
                <w:sz w:val="18"/>
                <w:szCs w:val="18"/>
              </w:rPr>
              <w:tab/>
            </w:r>
          </w:p>
        </w:tc>
        <w:tc>
          <w:tcPr>
            <w:tcW w:w="1031" w:type="pct"/>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 xml:space="preserve">Pinguin Foods </w:t>
            </w:r>
            <w:smartTag w:uri="urn:schemas-microsoft-com:office:smarttags" w:element="place">
              <w:smartTag w:uri="urn:schemas-microsoft-com:office:smarttags" w:element="country-region">
                <w:r w:rsidRPr="00CD1029">
                  <w:rPr>
                    <w:sz w:val="18"/>
                    <w:szCs w:val="18"/>
                  </w:rPr>
                  <w:t>Hungary</w:t>
                </w:r>
              </w:smartTag>
            </w:smartTag>
            <w:r w:rsidRPr="00CD1029">
              <w:rPr>
                <w:sz w:val="18"/>
                <w:szCs w:val="18"/>
              </w:rPr>
              <w:t xml:space="preserve"> Kft</w:t>
            </w:r>
            <w:r w:rsidR="00AA3763">
              <w:rPr>
                <w:sz w:val="18"/>
                <w:szCs w:val="18"/>
              </w:rPr>
              <w:t>.</w:t>
            </w:r>
            <w:r w:rsidRPr="00CD1029">
              <w:rPr>
                <w:sz w:val="18"/>
                <w:szCs w:val="18"/>
              </w:rPr>
              <w:t xml:space="preserve"> .</w:t>
            </w:r>
            <w:r w:rsidRPr="00CD1029">
              <w:rPr>
                <w:sz w:val="18"/>
                <w:szCs w:val="18"/>
              </w:rPr>
              <w:tab/>
            </w:r>
          </w:p>
        </w:tc>
        <w:tc>
          <w:tcPr>
            <w:tcW w:w="1031" w:type="pct"/>
            <w:vAlign w:val="bottom"/>
          </w:tcPr>
          <w:p w:rsidR="00CD1029" w:rsidRPr="00CD1029" w:rsidRDefault="00C14674" w:rsidP="00CD1029">
            <w:pPr>
              <w:spacing w:before="0" w:after="0"/>
              <w:jc w:val="right"/>
              <w:outlineLvl w:val="0"/>
              <w:rPr>
                <w:sz w:val="18"/>
                <w:szCs w:val="18"/>
              </w:rPr>
            </w:pPr>
            <w:r>
              <w:rPr>
                <w:sz w:val="18"/>
                <w:szCs w:val="18"/>
              </w:rPr>
              <w:t>100</w:t>
            </w:r>
            <w:r w:rsidR="00CD1029" w:rsidRPr="00CD1029">
              <w:rPr>
                <w:sz w:val="18"/>
                <w:szCs w:val="18"/>
              </w:rPr>
              <w:t>%</w:t>
            </w:r>
          </w:p>
        </w:tc>
      </w:tr>
      <w:tr w:rsidR="00CD1029" w:rsidRPr="004C39E6"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smartTag w:uri="urn:schemas-microsoft-com:office:smarttags" w:element="place">
              <w:smartTag w:uri="urn:schemas-microsoft-com:office:smarttags" w:element="City">
                <w:r w:rsidRPr="00CD1029">
                  <w:rPr>
                    <w:sz w:val="18"/>
                    <w:szCs w:val="18"/>
                  </w:rPr>
                  <w:t>Noliko</w:t>
                </w:r>
              </w:smartTag>
              <w:r w:rsidRPr="00CD1029">
                <w:rPr>
                  <w:sz w:val="18"/>
                  <w:szCs w:val="18"/>
                </w:rPr>
                <w:t xml:space="preserve"> </w:t>
              </w:r>
              <w:smartTag w:uri="urn:schemas-microsoft-com:office:smarttags" w:element="State">
                <w:r w:rsidRPr="00CD1029">
                  <w:rPr>
                    <w:sz w:val="18"/>
                    <w:szCs w:val="18"/>
                  </w:rPr>
                  <w:t>NV</w:t>
                </w:r>
              </w:smartTag>
            </w:smartTag>
            <w:r w:rsidRPr="00CD1029">
              <w:rPr>
                <w:sz w:val="18"/>
                <w:szCs w:val="18"/>
              </w:rPr>
              <w:tab/>
            </w:r>
          </w:p>
        </w:tc>
        <w:tc>
          <w:tcPr>
            <w:tcW w:w="1031" w:type="pct"/>
            <w:vAlign w:val="bottom"/>
          </w:tcPr>
          <w:p w:rsidR="00CD1029" w:rsidRPr="004C39E6" w:rsidRDefault="00CD1029" w:rsidP="00CD1029">
            <w:pPr>
              <w:spacing w:before="0" w:after="0"/>
              <w:jc w:val="right"/>
              <w:outlineLvl w:val="0"/>
              <w:rPr>
                <w:sz w:val="18"/>
                <w:szCs w:val="18"/>
              </w:rPr>
            </w:pPr>
            <w:r w:rsidRPr="00CD1029">
              <w:rPr>
                <w:sz w:val="18"/>
                <w:szCs w:val="18"/>
              </w:rPr>
              <w:t>99.997%</w:t>
            </w:r>
          </w:p>
        </w:tc>
      </w:tr>
    </w:tbl>
    <w:p w:rsidR="003F0BC5" w:rsidRPr="00992199" w:rsidRDefault="003F0BC5" w:rsidP="00353B80">
      <w:pPr>
        <w:pStyle w:val="Firm5L2"/>
        <w:keepNext/>
      </w:pPr>
      <w:bookmarkStart w:id="18" w:name="_Toc420593839"/>
      <w:r w:rsidRPr="00992199">
        <w:lastRenderedPageBreak/>
        <w:t>The Univeg Group</w:t>
      </w:r>
      <w:bookmarkEnd w:id="18"/>
    </w:p>
    <w:p w:rsidR="003F0BC5" w:rsidRPr="00992199" w:rsidRDefault="003F0BC5" w:rsidP="00353B80">
      <w:pPr>
        <w:pStyle w:val="Firm5L3"/>
        <w:keepNext/>
      </w:pPr>
      <w:r w:rsidRPr="00992199">
        <w:t>History</w:t>
      </w:r>
    </w:p>
    <w:p w:rsidR="003F0BC5" w:rsidRPr="00992199" w:rsidRDefault="0082672E" w:rsidP="00353B80">
      <w:pPr>
        <w:pStyle w:val="Firm5L4"/>
        <w:keepNext/>
      </w:pPr>
      <w:r>
        <w:t>Univeg</w:t>
      </w:r>
    </w:p>
    <w:p w:rsidR="003F0BC5" w:rsidRPr="00992199" w:rsidRDefault="0082672E" w:rsidP="003F0BC5">
      <w:pPr>
        <w:rPr>
          <w:szCs w:val="20"/>
        </w:rPr>
      </w:pPr>
      <w:r>
        <w:rPr>
          <w:szCs w:val="20"/>
        </w:rPr>
        <w:t>Univeg</w:t>
      </w:r>
      <w:r w:rsidR="003F0BC5" w:rsidRPr="00992199">
        <w:rPr>
          <w:szCs w:val="20"/>
        </w:rPr>
        <w:t xml:space="preserve"> was incorporated on 23 July 2012 as the holding company of the former Univeg Group’s fruit and vegetables business, as well as the logistics and flowers activities of the Univeg Group. It has been incorporated for an unlimited period of time.</w:t>
      </w:r>
    </w:p>
    <w:p w:rsidR="003F0BC5" w:rsidRPr="00992199" w:rsidRDefault="0082672E" w:rsidP="003F0BC5">
      <w:pPr>
        <w:rPr>
          <w:szCs w:val="20"/>
        </w:rPr>
      </w:pPr>
      <w:r>
        <w:rPr>
          <w:szCs w:val="20"/>
        </w:rPr>
        <w:t>Univeg</w:t>
      </w:r>
      <w:r w:rsidR="003F0BC5" w:rsidRPr="00992199">
        <w:rPr>
          <w:szCs w:val="20"/>
        </w:rPr>
        <w:t xml:space="preserve"> is registered with the register of legal entities (</w:t>
      </w:r>
      <w:smartTag w:uri="urn:schemas-microsoft-com:office:smarttags" w:element="City">
        <w:smartTag w:uri="urn:schemas-microsoft-com:office:smarttags" w:element="place">
          <w:r w:rsidR="003F0BC5" w:rsidRPr="00992199">
            <w:rPr>
              <w:szCs w:val="20"/>
            </w:rPr>
            <w:t>Antwerp</w:t>
          </w:r>
        </w:smartTag>
      </w:smartTag>
      <w:r w:rsidR="003F0BC5" w:rsidRPr="00992199">
        <w:rPr>
          <w:szCs w:val="20"/>
        </w:rPr>
        <w:t>, division Mechelen) under number 0847.600.648. Its registered seat is situated at</w:t>
      </w:r>
      <w:r w:rsidR="006042CC">
        <w:rPr>
          <w:szCs w:val="20"/>
        </w:rPr>
        <w:t xml:space="preserve"> </w:t>
      </w:r>
      <w:r w:rsidR="003F0BC5" w:rsidRPr="00992199">
        <w:rPr>
          <w:szCs w:val="20"/>
        </w:rPr>
        <w:t>Strijbroek</w:t>
      </w:r>
      <w:r w:rsidR="006042CC" w:rsidRPr="006042CC">
        <w:rPr>
          <w:szCs w:val="20"/>
        </w:rPr>
        <w:t xml:space="preserve"> 10</w:t>
      </w:r>
      <w:r w:rsidR="003F0BC5" w:rsidRPr="00992199">
        <w:rPr>
          <w:szCs w:val="20"/>
        </w:rPr>
        <w:t xml:space="preserve">, 2860 Sint-Katelijne Waver, </w:t>
      </w:r>
      <w:smartTag w:uri="urn:schemas-microsoft-com:office:smarttags" w:element="place">
        <w:smartTag w:uri="urn:schemas-microsoft-com:office:smarttags" w:element="country-region">
          <w:r w:rsidR="003F0BC5" w:rsidRPr="00992199">
            <w:rPr>
              <w:szCs w:val="20"/>
            </w:rPr>
            <w:t>Belgium</w:t>
          </w:r>
        </w:smartTag>
      </w:smartTag>
      <w:r w:rsidR="003F0BC5" w:rsidRPr="00992199">
        <w:rPr>
          <w:szCs w:val="20"/>
        </w:rPr>
        <w:t>.</w:t>
      </w:r>
    </w:p>
    <w:p w:rsidR="003F0BC5" w:rsidRPr="00992199" w:rsidRDefault="003F0BC5" w:rsidP="00353B80">
      <w:pPr>
        <w:pStyle w:val="Firm5L4"/>
        <w:keepNext/>
      </w:pPr>
      <w:r w:rsidRPr="00992199">
        <w:t>Key milestones underpinning the Univeg Group’s global expansion</w:t>
      </w:r>
    </w:p>
    <w:p w:rsidR="003F0BC5" w:rsidRPr="00992199" w:rsidRDefault="003F0BC5" w:rsidP="003F0BC5">
      <w:pPr>
        <w:rPr>
          <w:szCs w:val="20"/>
        </w:rPr>
      </w:pPr>
      <w:r w:rsidRPr="00992199">
        <w:rPr>
          <w:szCs w:val="20"/>
        </w:rPr>
        <w:t>The Univeg Group was founded in 198</w:t>
      </w:r>
      <w:r w:rsidR="00CD3BB2">
        <w:rPr>
          <w:szCs w:val="20"/>
        </w:rPr>
        <w:t>7</w:t>
      </w:r>
      <w:r w:rsidRPr="00992199">
        <w:rPr>
          <w:szCs w:val="20"/>
        </w:rPr>
        <w:t xml:space="preserve"> by </w:t>
      </w:r>
      <w:r w:rsidR="00334BBC">
        <w:rPr>
          <w:szCs w:val="20"/>
        </w:rPr>
        <w:t>Mr Hein Deprez</w:t>
      </w:r>
      <w:r w:rsidRPr="00992199">
        <w:rPr>
          <w:szCs w:val="20"/>
        </w:rPr>
        <w:t xml:space="preserve">, the executive chairman of the Univeg Group. </w:t>
      </w:r>
      <w:r w:rsidR="00CD3BB2" w:rsidRPr="00CD3BB2">
        <w:rPr>
          <w:szCs w:val="20"/>
        </w:rPr>
        <w:t xml:space="preserve">In 1983 he started producing mushrooms, followed by washing, cutting and packing of vegetables. </w:t>
      </w:r>
      <w:r w:rsidRPr="00992199">
        <w:rPr>
          <w:szCs w:val="20"/>
        </w:rPr>
        <w:t>Prior to 2009, the Univeg Group underwent a period of global expansion, acquiring more than ten production, logistics and distribution companies, each with strong market positions and various export and agricultural operations around the world. The major acquisitions during this period were:</w:t>
      </w:r>
    </w:p>
    <w:p w:rsidR="003F0BC5" w:rsidRPr="00992199" w:rsidRDefault="003F0BC5" w:rsidP="00BB0F52">
      <w:pPr>
        <w:pStyle w:val="BulletsL1"/>
      </w:pPr>
      <w:r w:rsidRPr="00992199">
        <w:t>Bakker Barendrecht B</w:t>
      </w:r>
      <w:r w:rsidR="00785C19">
        <w:t>.</w:t>
      </w:r>
      <w:r w:rsidRPr="00992199">
        <w:t>V</w:t>
      </w:r>
      <w:r w:rsidR="00785C19">
        <w:t>.</w:t>
      </w:r>
      <w:r w:rsidRPr="00992199">
        <w:t xml:space="preserve"> in 2005, the largest f</w:t>
      </w:r>
      <w:r w:rsidR="00732BB5">
        <w:t>ruit and vegetables company in T</w:t>
      </w:r>
      <w:r w:rsidRPr="00992199">
        <w:t>he Netherlands and the exclusive supplier to a leading Dutch supermarket chain;</w:t>
      </w:r>
    </w:p>
    <w:p w:rsidR="003F0BC5" w:rsidRPr="00992199" w:rsidRDefault="003F0BC5" w:rsidP="00BB0F52">
      <w:pPr>
        <w:pStyle w:val="BulletsL1"/>
      </w:pPr>
      <w:r w:rsidRPr="00992199">
        <w:t>the Bocchi group in 2006, a leading fresh produce sourcing company focused on the German market, with strong sourcing capabilities in</w:t>
      </w:r>
      <w:r w:rsidR="00703C66">
        <w:t xml:space="preserve"> Spain, Italy, T</w:t>
      </w:r>
      <w:r w:rsidRPr="00992199">
        <w:t>he Netherlands, Argentina, Brazil and Peru;</w:t>
      </w:r>
    </w:p>
    <w:p w:rsidR="003F0BC5" w:rsidRPr="00992199" w:rsidRDefault="003F0BC5" w:rsidP="00BB0F52">
      <w:pPr>
        <w:pStyle w:val="BulletsL1"/>
      </w:pPr>
      <w:r w:rsidRPr="00992199">
        <w:t>the Katopé group in 2007, a French-based specialist producer of subtropical fruits such as avocadoes and mangoes, with a particular strength in the French and U.K. markets and strong sourcing capabilities in South Africa, Peru, Costa Rica, Suriname and various African countries;</w:t>
      </w:r>
    </w:p>
    <w:p w:rsidR="003F0BC5" w:rsidRPr="00992199" w:rsidRDefault="003F0BC5" w:rsidP="00BB0F52">
      <w:pPr>
        <w:pStyle w:val="BulletsL1"/>
      </w:pPr>
      <w:r w:rsidRPr="00992199">
        <w:t xml:space="preserve">Alara in 2008, the largest fresh fig exporter in the world and the largest cherry exporter in </w:t>
      </w:r>
      <w:smartTag w:uri="urn:schemas-microsoft-com:office:smarttags" w:element="place">
        <w:r w:rsidRPr="00992199">
          <w:t>Europe</w:t>
        </w:r>
      </w:smartTag>
      <w:r w:rsidRPr="00992199">
        <w:t>, supplying its Turkish products to major food retailers in 22 countries across five continents; and</w:t>
      </w:r>
    </w:p>
    <w:p w:rsidR="003F0BC5" w:rsidRPr="00992199" w:rsidRDefault="003F0BC5" w:rsidP="00BB0F52">
      <w:pPr>
        <w:pStyle w:val="BulletsL1"/>
      </w:pPr>
      <w:r w:rsidRPr="00992199">
        <w:t xml:space="preserve">Atlanta AG in 2008 (now Univeg Deutschland GmbH), the German distribution business of Chiquita, with a turnover at the time of acquisition in the region of </w:t>
      </w:r>
      <w:r w:rsidR="00E53641">
        <w:t>EUR </w:t>
      </w:r>
      <w:r w:rsidRPr="00992199">
        <w:t>1,000,000,000 and a network of service centres throughout Germany.</w:t>
      </w:r>
    </w:p>
    <w:p w:rsidR="003F0BC5" w:rsidRDefault="003F0BC5" w:rsidP="003F0BC5">
      <w:pPr>
        <w:rPr>
          <w:szCs w:val="20"/>
        </w:rPr>
      </w:pPr>
      <w:r w:rsidRPr="00992199">
        <w:rPr>
          <w:szCs w:val="20"/>
        </w:rPr>
        <w:t>Following this period of rapid expansion, the Univeg Group consolidated its operations, focusing on integrating the various businesses it had acquired by developing their sourcing capacities and making them available to the different sales units. At the same time, management also sought to streamline these newly-acquired businesses by merging operations in certain countries and closing down local head offices.</w:t>
      </w:r>
      <w:r w:rsidR="00AC63DF" w:rsidRPr="00AC63DF">
        <w:t xml:space="preserve"> </w:t>
      </w:r>
      <w:r w:rsidR="00AC63DF" w:rsidRPr="00AC63DF">
        <w:rPr>
          <w:szCs w:val="20"/>
        </w:rPr>
        <w:t>In addition,</w:t>
      </w:r>
      <w:r w:rsidR="00AC63DF">
        <w:rPr>
          <w:szCs w:val="20"/>
        </w:rPr>
        <w:t xml:space="preserve"> the Univeg Group undertook the following major divestments</w:t>
      </w:r>
      <w:r w:rsidR="00CD3BB2">
        <w:rPr>
          <w:szCs w:val="20"/>
        </w:rPr>
        <w:t>, which allowed it to increase its focus on its core activities of offering a full value chain logistical solution of supplying fruit and vegetables to its customers</w:t>
      </w:r>
      <w:r w:rsidR="00AC63DF">
        <w:rPr>
          <w:szCs w:val="20"/>
        </w:rPr>
        <w:t>:</w:t>
      </w:r>
    </w:p>
    <w:p w:rsidR="00AC63DF" w:rsidRDefault="00AC63DF" w:rsidP="00AC63DF">
      <w:pPr>
        <w:pStyle w:val="BulletsL1"/>
        <w:rPr>
          <w:szCs w:val="20"/>
        </w:rPr>
      </w:pPr>
      <w:r>
        <w:rPr>
          <w:szCs w:val="20"/>
        </w:rPr>
        <w:t>In November 2011, the Univeg Group began implementing Project Roots at the initiative of and in cooperation with its then existing bank syndicate. As part of the implementation of Project Roots, the Argentinean Operations were ring-fenced and moved outside the Univeg Group’s operations and became directly owned by DWB in July 2012. See also Section 2.2.2.4 of Part VI (</w:t>
      </w:r>
      <w:r>
        <w:rPr>
          <w:i/>
          <w:szCs w:val="20"/>
        </w:rPr>
        <w:t>Operating and financial review</w:t>
      </w:r>
      <w:r>
        <w:rPr>
          <w:szCs w:val="20"/>
        </w:rPr>
        <w:t>)</w:t>
      </w:r>
      <w:r w:rsidR="00CD3BB2">
        <w:rPr>
          <w:szCs w:val="20"/>
        </w:rPr>
        <w:t xml:space="preserve"> and Section </w:t>
      </w:r>
      <w:r w:rsidR="00532FBB">
        <w:rPr>
          <w:szCs w:val="20"/>
        </w:rPr>
        <w:t>3.2.1</w:t>
      </w:r>
      <w:r w:rsidR="00CD3BB2">
        <w:rPr>
          <w:szCs w:val="20"/>
        </w:rPr>
        <w:t xml:space="preserve"> of Part VIII (</w:t>
      </w:r>
      <w:r w:rsidR="00CD3BB2">
        <w:rPr>
          <w:i/>
          <w:szCs w:val="20"/>
        </w:rPr>
        <w:t>Related party transactions</w:t>
      </w:r>
      <w:r w:rsidR="00CD3BB2">
        <w:rPr>
          <w:szCs w:val="20"/>
        </w:rPr>
        <w:t>)</w:t>
      </w:r>
      <w:r>
        <w:rPr>
          <w:szCs w:val="20"/>
        </w:rPr>
        <w:t>.</w:t>
      </w:r>
    </w:p>
    <w:p w:rsidR="00AC63DF" w:rsidRDefault="000E0889" w:rsidP="00CD3BB2">
      <w:pPr>
        <w:pStyle w:val="BulletsL1"/>
      </w:pPr>
      <w:r w:rsidRPr="000E0889">
        <w:t xml:space="preserve">On 17 December 2014, the Univeg Group carved out </w:t>
      </w:r>
      <w:r w:rsidR="00DF68B8">
        <w:t xml:space="preserve">its principal fruit plantations held by </w:t>
      </w:r>
      <w:r w:rsidRPr="000E0889">
        <w:t xml:space="preserve">a number of Univeg Fruitpartners B.V.’s farming subsidiaries in </w:t>
      </w:r>
      <w:smartTag w:uri="urn:schemas-microsoft-com:office:smarttags" w:element="country-region">
        <w:r w:rsidRPr="000E0889">
          <w:t>Turkey</w:t>
        </w:r>
      </w:smartTag>
      <w:r w:rsidRPr="000E0889">
        <w:t xml:space="preserve">, </w:t>
      </w:r>
      <w:smartTag w:uri="urn:schemas-microsoft-com:office:smarttags" w:element="country-region">
        <w:r w:rsidRPr="000E0889">
          <w:t>South Africa</w:t>
        </w:r>
      </w:smartTag>
      <w:r w:rsidRPr="000E0889">
        <w:t xml:space="preserve">, </w:t>
      </w:r>
      <w:smartTag w:uri="urn:schemas-microsoft-com:office:smarttags" w:element="country-region">
        <w:r w:rsidRPr="000E0889">
          <w:t>Brazil</w:t>
        </w:r>
      </w:smartTag>
      <w:r w:rsidRPr="000E0889">
        <w:t xml:space="preserve">, </w:t>
      </w:r>
      <w:smartTag w:uri="urn:schemas-microsoft-com:office:smarttags" w:element="country-region">
        <w:r w:rsidRPr="000E0889">
          <w:t>Suriname</w:t>
        </w:r>
      </w:smartTag>
      <w:r w:rsidRPr="000E0889">
        <w:t xml:space="preserve">, </w:t>
      </w:r>
      <w:smartTag w:uri="urn:schemas-microsoft-com:office:smarttags" w:element="country-region">
        <w:r w:rsidRPr="000E0889">
          <w:t>Uruguay</w:t>
        </w:r>
      </w:smartTag>
      <w:r w:rsidRPr="000E0889">
        <w:t xml:space="preserve"> and </w:t>
      </w:r>
      <w:smartTag w:uri="urn:schemas-microsoft-com:office:smarttags" w:element="country-region">
        <w:smartTag w:uri="urn:schemas-microsoft-com:office:smarttags" w:element="place">
          <w:r w:rsidRPr="000E0889">
            <w:t>Costa Rica</w:t>
          </w:r>
        </w:smartTag>
      </w:smartTag>
      <w:r>
        <w:t xml:space="preserve">, resulting in the acquisition of these subsidiaries by TFFG. See also </w:t>
      </w:r>
      <w:r w:rsidR="00CD3BB2" w:rsidRPr="00CD3BB2">
        <w:rPr>
          <w:szCs w:val="20"/>
        </w:rPr>
        <w:t>Section 2.2.2.</w:t>
      </w:r>
      <w:r w:rsidR="00CD3BB2">
        <w:rPr>
          <w:szCs w:val="20"/>
        </w:rPr>
        <w:t>2</w:t>
      </w:r>
      <w:r w:rsidR="00CD3BB2" w:rsidRPr="00CD3BB2">
        <w:rPr>
          <w:szCs w:val="20"/>
        </w:rPr>
        <w:t xml:space="preserve"> of Part VI (</w:t>
      </w:r>
      <w:r w:rsidR="00CD3BB2" w:rsidRPr="005F5D47">
        <w:rPr>
          <w:i/>
          <w:szCs w:val="20"/>
        </w:rPr>
        <w:t>Operating and financial review</w:t>
      </w:r>
      <w:r w:rsidR="00CD3BB2" w:rsidRPr="00CD3BB2">
        <w:rPr>
          <w:szCs w:val="20"/>
        </w:rPr>
        <w:t xml:space="preserve">) and </w:t>
      </w:r>
      <w:r>
        <w:t xml:space="preserve">Section </w:t>
      </w:r>
      <w:r w:rsidR="00532FBB">
        <w:t>3.1.1</w:t>
      </w:r>
      <w:r>
        <w:t xml:space="preserve"> of Part VIII (</w:t>
      </w:r>
      <w:r>
        <w:rPr>
          <w:i/>
        </w:rPr>
        <w:t>Related party transactions</w:t>
      </w:r>
      <w:r>
        <w:t>).</w:t>
      </w:r>
    </w:p>
    <w:p w:rsidR="003F0BC5" w:rsidRPr="00992199" w:rsidRDefault="003F0BC5" w:rsidP="00353B80">
      <w:pPr>
        <w:pStyle w:val="Firm5L3"/>
        <w:keepNext/>
      </w:pPr>
      <w:r w:rsidRPr="00992199">
        <w:t>Pre-transactional share capital and main shareholders</w:t>
      </w:r>
    </w:p>
    <w:p w:rsidR="003F0BC5" w:rsidRPr="00992199" w:rsidRDefault="003F0BC5" w:rsidP="003F0BC5">
      <w:pPr>
        <w:rPr>
          <w:szCs w:val="20"/>
        </w:rPr>
      </w:pPr>
      <w:r w:rsidRPr="00992199">
        <w:rPr>
          <w:szCs w:val="20"/>
        </w:rPr>
        <w:t xml:space="preserve">Certain companies controlled by CVC Capital Partners acquired an interest in </w:t>
      </w:r>
      <w:r w:rsidR="0082672E">
        <w:rPr>
          <w:szCs w:val="20"/>
        </w:rPr>
        <w:t>Univeg</w:t>
      </w:r>
      <w:r w:rsidRPr="00992199">
        <w:rPr>
          <w:szCs w:val="20"/>
        </w:rPr>
        <w:t xml:space="preserve"> in 2006</w:t>
      </w:r>
      <w:r w:rsidR="00DF68B8">
        <w:rPr>
          <w:szCs w:val="20"/>
        </w:rPr>
        <w:t>, which they divested in</w:t>
      </w:r>
      <w:r w:rsidRPr="00992199">
        <w:rPr>
          <w:szCs w:val="20"/>
        </w:rPr>
        <w:t xml:space="preserve"> July 2013</w:t>
      </w:r>
      <w:r w:rsidR="00DF68B8">
        <w:rPr>
          <w:szCs w:val="20"/>
        </w:rPr>
        <w:t>.</w:t>
      </w:r>
      <w:r w:rsidRPr="00992199">
        <w:rPr>
          <w:szCs w:val="20"/>
        </w:rPr>
        <w:t xml:space="preserve"> </w:t>
      </w:r>
      <w:r w:rsidR="00DF68B8">
        <w:rPr>
          <w:szCs w:val="20"/>
        </w:rPr>
        <w:t>F</w:t>
      </w:r>
      <w:r w:rsidRPr="00992199">
        <w:rPr>
          <w:szCs w:val="20"/>
        </w:rPr>
        <w:t xml:space="preserve">ollowing the exit of CVC, all but one share in </w:t>
      </w:r>
      <w:r w:rsidR="0082672E">
        <w:rPr>
          <w:szCs w:val="20"/>
        </w:rPr>
        <w:t>Univeg</w:t>
      </w:r>
      <w:r w:rsidRPr="00992199">
        <w:rPr>
          <w:szCs w:val="20"/>
        </w:rPr>
        <w:t xml:space="preserve"> were acquired by </w:t>
      </w:r>
      <w:r w:rsidR="00334BBC">
        <w:rPr>
          <w:szCs w:val="20"/>
        </w:rPr>
        <w:t>Mr Hein Deprez</w:t>
      </w:r>
      <w:r w:rsidRPr="00992199">
        <w:rPr>
          <w:szCs w:val="20"/>
        </w:rPr>
        <w:t xml:space="preserve"> together with a group of investors</w:t>
      </w:r>
      <w:r w:rsidR="0002282E">
        <w:rPr>
          <w:szCs w:val="20"/>
        </w:rPr>
        <w:t xml:space="preserve"> and management</w:t>
      </w:r>
      <w:r w:rsidR="00DF68B8">
        <w:rPr>
          <w:szCs w:val="20"/>
        </w:rPr>
        <w:t xml:space="preserve"> through the STAK FieldLink</w:t>
      </w:r>
      <w:r w:rsidRPr="00992199">
        <w:rPr>
          <w:szCs w:val="20"/>
        </w:rPr>
        <w:t>.</w:t>
      </w:r>
    </w:p>
    <w:p w:rsidR="003F0BC5" w:rsidRPr="00992199" w:rsidRDefault="003F0BC5" w:rsidP="003F0BC5">
      <w:pPr>
        <w:rPr>
          <w:szCs w:val="20"/>
        </w:rPr>
      </w:pPr>
      <w:r w:rsidRPr="00992199">
        <w:rPr>
          <w:szCs w:val="20"/>
        </w:rPr>
        <w:t xml:space="preserve">On 18 September 2013, the </w:t>
      </w:r>
      <w:r w:rsidR="00C87D8C">
        <w:rPr>
          <w:szCs w:val="20"/>
        </w:rPr>
        <w:t>STAK FieldLink</w:t>
      </w:r>
      <w:r w:rsidRPr="00992199">
        <w:rPr>
          <w:szCs w:val="20"/>
        </w:rPr>
        <w:t xml:space="preserve"> was incorporated. Its purpose is to hold and manage shares in </w:t>
      </w:r>
      <w:r w:rsidR="0082672E">
        <w:rPr>
          <w:szCs w:val="20"/>
        </w:rPr>
        <w:t>Univeg</w:t>
      </w:r>
      <w:r w:rsidRPr="00992199">
        <w:rPr>
          <w:szCs w:val="20"/>
        </w:rPr>
        <w:t xml:space="preserve"> against the issue of depository certificates. Depository certificates have been issued by the </w:t>
      </w:r>
      <w:r w:rsidR="00C87D8C">
        <w:rPr>
          <w:szCs w:val="20"/>
        </w:rPr>
        <w:t>STAK FieldLink</w:t>
      </w:r>
      <w:r w:rsidRPr="00992199">
        <w:rPr>
          <w:szCs w:val="20"/>
        </w:rPr>
        <w:t xml:space="preserve"> to the directors and senior management of the Univeg Group and certain local managers of the operating entities.</w:t>
      </w:r>
      <w:r w:rsidR="00DF68B8">
        <w:rPr>
          <w:szCs w:val="20"/>
        </w:rPr>
        <w:t xml:space="preserve"> </w:t>
      </w:r>
    </w:p>
    <w:p w:rsidR="003F0BC5" w:rsidRPr="00992199" w:rsidRDefault="003F0BC5" w:rsidP="003F0BC5">
      <w:pPr>
        <w:rPr>
          <w:szCs w:val="20"/>
        </w:rPr>
      </w:pPr>
      <w:r w:rsidRPr="00992199">
        <w:rPr>
          <w:szCs w:val="20"/>
        </w:rPr>
        <w:lastRenderedPageBreak/>
        <w:t xml:space="preserve">At the date of this Prospectus, DWB holds 95.39% of the share capital of </w:t>
      </w:r>
      <w:r w:rsidR="0082672E">
        <w:rPr>
          <w:szCs w:val="20"/>
        </w:rPr>
        <w:t>Univeg</w:t>
      </w:r>
      <w:r w:rsidRPr="00992199">
        <w:rPr>
          <w:szCs w:val="20"/>
        </w:rPr>
        <w:t xml:space="preserve"> and the </w:t>
      </w:r>
      <w:r w:rsidR="00C87D8C">
        <w:rPr>
          <w:szCs w:val="20"/>
        </w:rPr>
        <w:t>STAK FieldLink</w:t>
      </w:r>
      <w:r w:rsidRPr="00992199">
        <w:rPr>
          <w:szCs w:val="20"/>
        </w:rPr>
        <w:t xml:space="preserve"> holds the remaining 4.61%.</w:t>
      </w:r>
    </w:p>
    <w:p w:rsidR="003F0BC5" w:rsidRPr="00992199" w:rsidRDefault="0082672E" w:rsidP="003F0BC5">
      <w:pPr>
        <w:rPr>
          <w:szCs w:val="20"/>
        </w:rPr>
      </w:pPr>
      <w:r>
        <w:rPr>
          <w:szCs w:val="20"/>
        </w:rPr>
        <w:t>Univeg</w:t>
      </w:r>
      <w:r w:rsidR="003F0BC5" w:rsidRPr="00992199">
        <w:rPr>
          <w:szCs w:val="20"/>
        </w:rPr>
        <w:t xml:space="preserve"> was incorporated with a capital of </w:t>
      </w:r>
      <w:r w:rsidR="00E53641">
        <w:rPr>
          <w:szCs w:val="20"/>
        </w:rPr>
        <w:t>EUR </w:t>
      </w:r>
      <w:r w:rsidR="003F0BC5" w:rsidRPr="00992199">
        <w:rPr>
          <w:szCs w:val="20"/>
        </w:rPr>
        <w:t xml:space="preserve">250,000. The capital was increased on two occasions. These capital increases were fully subscribed by the </w:t>
      </w:r>
      <w:r w:rsidR="00C87D8C">
        <w:rPr>
          <w:szCs w:val="20"/>
        </w:rPr>
        <w:t>STAK FieldLink</w:t>
      </w:r>
      <w:r w:rsidR="003F0BC5" w:rsidRPr="00992199">
        <w:rPr>
          <w:szCs w:val="20"/>
        </w:rPr>
        <w:t xml:space="preserve"> and the share premium provided by the </w:t>
      </w:r>
      <w:r w:rsidR="00C87D8C">
        <w:rPr>
          <w:szCs w:val="20"/>
        </w:rPr>
        <w:t>STAK FieldLink</w:t>
      </w:r>
      <w:r w:rsidR="003F0BC5" w:rsidRPr="00992199">
        <w:rPr>
          <w:szCs w:val="20"/>
        </w:rPr>
        <w:t xml:space="preserve"> at such times was immediately incorporated in the share capital. Further to the first capital increase, the capital of </w:t>
      </w:r>
      <w:r>
        <w:rPr>
          <w:szCs w:val="20"/>
        </w:rPr>
        <w:t>Univeg</w:t>
      </w:r>
      <w:r w:rsidR="003F0BC5" w:rsidRPr="00992199">
        <w:rPr>
          <w:szCs w:val="20"/>
        </w:rPr>
        <w:t xml:space="preserve"> amounted to </w:t>
      </w:r>
      <w:r w:rsidR="00E53641">
        <w:rPr>
          <w:szCs w:val="20"/>
        </w:rPr>
        <w:t>EUR </w:t>
      </w:r>
      <w:r w:rsidR="003F0BC5" w:rsidRPr="00992199">
        <w:rPr>
          <w:szCs w:val="20"/>
        </w:rPr>
        <w:t xml:space="preserve">6,937,709.60. Further to the second capital increase in 2014, the share capital of </w:t>
      </w:r>
      <w:r>
        <w:rPr>
          <w:szCs w:val="20"/>
        </w:rPr>
        <w:t>Univeg</w:t>
      </w:r>
      <w:r w:rsidR="003F0BC5" w:rsidRPr="00992199">
        <w:rPr>
          <w:szCs w:val="20"/>
        </w:rPr>
        <w:t xml:space="preserve"> currently amounts to </w:t>
      </w:r>
      <w:r w:rsidR="00E53641">
        <w:rPr>
          <w:szCs w:val="20"/>
        </w:rPr>
        <w:t>EUR </w:t>
      </w:r>
      <w:r w:rsidR="003F0BC5" w:rsidRPr="00992199">
        <w:rPr>
          <w:szCs w:val="20"/>
        </w:rPr>
        <w:t xml:space="preserve">9,399,683.38, divided into 26,207,118 registered shares without nominal value. The share capital of </w:t>
      </w:r>
      <w:r>
        <w:rPr>
          <w:szCs w:val="20"/>
        </w:rPr>
        <w:t>Univeg</w:t>
      </w:r>
      <w:r w:rsidR="003F0BC5" w:rsidRPr="00992199">
        <w:rPr>
          <w:szCs w:val="20"/>
        </w:rPr>
        <w:t xml:space="preserve"> is entirely paid-up.</w:t>
      </w:r>
    </w:p>
    <w:p w:rsidR="003F0BC5" w:rsidRPr="00992199" w:rsidRDefault="003F0BC5" w:rsidP="003F0BC5">
      <w:pPr>
        <w:rPr>
          <w:szCs w:val="20"/>
        </w:rPr>
      </w:pPr>
      <w:r w:rsidRPr="00992199">
        <w:rPr>
          <w:szCs w:val="20"/>
        </w:rPr>
        <w:t xml:space="preserve">The current articles of association of </w:t>
      </w:r>
      <w:r w:rsidR="0082672E">
        <w:rPr>
          <w:szCs w:val="20"/>
        </w:rPr>
        <w:t>Univeg</w:t>
      </w:r>
      <w:r w:rsidRPr="00992199">
        <w:rPr>
          <w:szCs w:val="20"/>
        </w:rPr>
        <w:t xml:space="preserve"> do not provide for categories of shares or for any restriction to the free transferability of shares.</w:t>
      </w:r>
    </w:p>
    <w:p w:rsidR="003F0BC5" w:rsidRPr="00992199" w:rsidRDefault="003F0BC5" w:rsidP="003F0BC5">
      <w:pPr>
        <w:rPr>
          <w:szCs w:val="20"/>
        </w:rPr>
      </w:pPr>
      <w:r w:rsidRPr="00992199">
        <w:rPr>
          <w:szCs w:val="20"/>
        </w:rPr>
        <w:t xml:space="preserve">There are no shareholders’ agreements in place at the level of </w:t>
      </w:r>
      <w:r w:rsidR="0082672E">
        <w:rPr>
          <w:szCs w:val="20"/>
        </w:rPr>
        <w:t>Univeg</w:t>
      </w:r>
      <w:r w:rsidRPr="00992199">
        <w:rPr>
          <w:szCs w:val="20"/>
        </w:rPr>
        <w:t xml:space="preserve"> except for an agreement for holder of depository receipts between the </w:t>
      </w:r>
      <w:r w:rsidR="00C87D8C">
        <w:rPr>
          <w:szCs w:val="20"/>
        </w:rPr>
        <w:t>STAK FieldLink</w:t>
      </w:r>
      <w:r w:rsidRPr="00992199">
        <w:rPr>
          <w:szCs w:val="20"/>
        </w:rPr>
        <w:t xml:space="preserve">, holders of depository receipts in the </w:t>
      </w:r>
      <w:r w:rsidR="00C87D8C">
        <w:rPr>
          <w:szCs w:val="20"/>
        </w:rPr>
        <w:t>STAK FieldLink</w:t>
      </w:r>
      <w:r w:rsidRPr="00992199">
        <w:rPr>
          <w:szCs w:val="20"/>
        </w:rPr>
        <w:t xml:space="preserve"> and </w:t>
      </w:r>
      <w:r w:rsidR="0082672E">
        <w:rPr>
          <w:szCs w:val="20"/>
        </w:rPr>
        <w:t>Univeg</w:t>
      </w:r>
      <w:r w:rsidRPr="00992199">
        <w:rPr>
          <w:szCs w:val="20"/>
        </w:rPr>
        <w:t xml:space="preserve">. This agreement mainly contains provisions relating to the issue of the depository receipts and the rights and obligations of the holders thereof, including a preferential subscription right in case </w:t>
      </w:r>
      <w:r w:rsidR="0082672E">
        <w:rPr>
          <w:szCs w:val="20"/>
        </w:rPr>
        <w:t>Univeg</w:t>
      </w:r>
      <w:r w:rsidRPr="00992199">
        <w:rPr>
          <w:szCs w:val="20"/>
        </w:rPr>
        <w:t xml:space="preserve"> issues new shares.</w:t>
      </w:r>
    </w:p>
    <w:p w:rsidR="003F0BC5" w:rsidRPr="00992199" w:rsidRDefault="003F0BC5" w:rsidP="00353B80">
      <w:pPr>
        <w:pStyle w:val="Firm5L3"/>
        <w:keepNext/>
      </w:pPr>
      <w:r w:rsidRPr="00992199">
        <w:t>Corporate purpose</w:t>
      </w:r>
    </w:p>
    <w:p w:rsidR="003F0BC5" w:rsidRPr="00992199" w:rsidRDefault="003F0BC5" w:rsidP="003F0BC5">
      <w:pPr>
        <w:rPr>
          <w:szCs w:val="20"/>
        </w:rPr>
      </w:pPr>
      <w:r w:rsidRPr="00992199">
        <w:rPr>
          <w:szCs w:val="20"/>
        </w:rPr>
        <w:t xml:space="preserve">The corporate purpose of </w:t>
      </w:r>
      <w:r w:rsidR="0082672E">
        <w:rPr>
          <w:szCs w:val="20"/>
        </w:rPr>
        <w:t>Univeg</w:t>
      </w:r>
      <w:r w:rsidRPr="00992199">
        <w:rPr>
          <w:szCs w:val="20"/>
        </w:rPr>
        <w:t xml:space="preserve"> is set out in article 2 of its </w:t>
      </w:r>
      <w:r w:rsidR="00C953E2">
        <w:rPr>
          <w:szCs w:val="20"/>
        </w:rPr>
        <w:t>articles of association</w:t>
      </w:r>
      <w:r w:rsidRPr="00992199">
        <w:rPr>
          <w:szCs w:val="20"/>
        </w:rPr>
        <w:t xml:space="preserve"> and reads as follows (in translation from the Dutch original):</w:t>
      </w:r>
    </w:p>
    <w:p w:rsidR="003F0BC5" w:rsidRPr="00992199" w:rsidRDefault="00BF553B" w:rsidP="003F0BC5">
      <w:pPr>
        <w:rPr>
          <w:i/>
          <w:szCs w:val="20"/>
        </w:rPr>
      </w:pPr>
      <w:r>
        <w:rPr>
          <w:i/>
          <w:szCs w:val="20"/>
        </w:rPr>
        <w:t>“</w:t>
      </w:r>
      <w:r w:rsidR="003F0BC5" w:rsidRPr="00992199">
        <w:rPr>
          <w:i/>
          <w:szCs w:val="20"/>
        </w:rPr>
        <w:t>The company’s purpose is, in Belgium and abroad: the holding of participating interests in Belgian and foreign companies, associations and enterprises, in any form whatsoever, the acquisition by way of purchase, subscription or in any other way, and the transfer by way of sale, exchange or in any other way of shares, bonds, debenture stocks, loan instruments or any other securities, and the management, development and administration of its portfolio.</w:t>
      </w:r>
    </w:p>
    <w:p w:rsidR="003F0BC5" w:rsidRPr="00992199" w:rsidRDefault="003F0BC5" w:rsidP="003F0BC5">
      <w:pPr>
        <w:rPr>
          <w:i/>
          <w:szCs w:val="20"/>
        </w:rPr>
      </w:pPr>
      <w:r w:rsidRPr="00992199">
        <w:rPr>
          <w:i/>
          <w:szCs w:val="20"/>
        </w:rPr>
        <w:t>The performance of all studies and operations concerning all immovable goods and rights such as the purchase, sale, lease and sub-lease, operation, direct or contracted, exchange, allotment and, in general, all operations relating directly or indirectly to the management or making productive, for its own or for others, of all developed or undeveloped immovable properties; this including project management, management, co-ordination and promotion of construction works, the study, trade and industry, import and export, and representation of all building materials, and all accessories and similar articles; entering into all undertakings of surety, guarantee, or any guarantees whatsoever and all actions of mandate, agency or commission in relation to the above-mentioned operations.</w:t>
      </w:r>
    </w:p>
    <w:p w:rsidR="003F0BC5" w:rsidRPr="00992199" w:rsidRDefault="003F0BC5" w:rsidP="003F0BC5">
      <w:pPr>
        <w:rPr>
          <w:i/>
          <w:szCs w:val="20"/>
        </w:rPr>
      </w:pPr>
      <w:r w:rsidRPr="00992199">
        <w:rPr>
          <w:i/>
          <w:szCs w:val="20"/>
        </w:rPr>
        <w:t>The company may carry out all actions directly or indirectly relating to its purpose or which are of a nature to facilitate the realisation thereof.</w:t>
      </w:r>
    </w:p>
    <w:p w:rsidR="003F0BC5" w:rsidRPr="00992199" w:rsidRDefault="003F0BC5" w:rsidP="003F0BC5">
      <w:pPr>
        <w:rPr>
          <w:i/>
          <w:szCs w:val="20"/>
        </w:rPr>
      </w:pPr>
      <w:r w:rsidRPr="00992199">
        <w:rPr>
          <w:i/>
          <w:szCs w:val="20"/>
        </w:rPr>
        <w:t>The company may acquire, lease or let, produce, transfer or exchange all movable or immovable goods, both tangible as intangible.</w:t>
      </w:r>
    </w:p>
    <w:p w:rsidR="003F0BC5" w:rsidRPr="00992199" w:rsidRDefault="003F0BC5" w:rsidP="003F0BC5">
      <w:pPr>
        <w:rPr>
          <w:i/>
          <w:szCs w:val="20"/>
        </w:rPr>
      </w:pPr>
      <w:r w:rsidRPr="00992199">
        <w:rPr>
          <w:i/>
          <w:szCs w:val="20"/>
        </w:rPr>
        <w:t>The company may grant loans, in any form and for any amount or duration whatsoever, and may proceed to the issue of bonds, debenture stocks and all other loan instruments.</w:t>
      </w:r>
    </w:p>
    <w:p w:rsidR="003F0BC5" w:rsidRPr="00992199" w:rsidRDefault="003F0BC5" w:rsidP="003F0BC5">
      <w:pPr>
        <w:rPr>
          <w:i/>
          <w:szCs w:val="20"/>
        </w:rPr>
      </w:pPr>
      <w:r w:rsidRPr="00992199">
        <w:rPr>
          <w:i/>
          <w:szCs w:val="20"/>
        </w:rPr>
        <w:t>The company may grant security for its own obligations or for obligations of third parties, inter alia by pledging movable goods, including its own business, or by mortgaging its immovable goods.</w:t>
      </w:r>
    </w:p>
    <w:p w:rsidR="003F0BC5" w:rsidRPr="00992199" w:rsidRDefault="003F0BC5" w:rsidP="003F0BC5">
      <w:pPr>
        <w:rPr>
          <w:i/>
          <w:szCs w:val="20"/>
        </w:rPr>
      </w:pPr>
      <w:r w:rsidRPr="00992199">
        <w:rPr>
          <w:i/>
          <w:szCs w:val="20"/>
        </w:rPr>
        <w:t>The company may co-operate with, participate or invest in, or in any way whatsoever, directly or indirectly, take participating interests in companies or associations already existing or to be incorporated.</w:t>
      </w:r>
    </w:p>
    <w:p w:rsidR="003F0BC5" w:rsidRPr="00992199" w:rsidRDefault="003F0BC5" w:rsidP="003F0BC5">
      <w:pPr>
        <w:rPr>
          <w:i/>
          <w:szCs w:val="20"/>
        </w:rPr>
      </w:pPr>
      <w:r w:rsidRPr="00992199">
        <w:rPr>
          <w:i/>
          <w:szCs w:val="20"/>
        </w:rPr>
        <w:t>The company may carry out the mandates of director, manager, member of a management committee or liquidator in, and exercise supervision or control over companies and associations.</w:t>
      </w:r>
    </w:p>
    <w:p w:rsidR="003F0BC5" w:rsidRPr="00992199" w:rsidRDefault="003F0BC5" w:rsidP="003F0BC5">
      <w:pPr>
        <w:rPr>
          <w:i/>
          <w:szCs w:val="20"/>
        </w:rPr>
      </w:pPr>
      <w:r w:rsidRPr="00992199">
        <w:rPr>
          <w:i/>
          <w:szCs w:val="20"/>
        </w:rPr>
        <w:t>This list is illustrative and not exhaustive.</w:t>
      </w:r>
      <w:r w:rsidR="00BF553B">
        <w:rPr>
          <w:i/>
          <w:szCs w:val="20"/>
        </w:rPr>
        <w:t>”</w:t>
      </w:r>
    </w:p>
    <w:p w:rsidR="003F0BC5" w:rsidRPr="00992199" w:rsidRDefault="003F0BC5" w:rsidP="00353B80">
      <w:pPr>
        <w:pStyle w:val="Firm5L3"/>
        <w:keepNext/>
      </w:pPr>
      <w:r w:rsidRPr="00992199">
        <w:t>Business overview</w:t>
      </w:r>
    </w:p>
    <w:p w:rsidR="003F0BC5" w:rsidRPr="00992199" w:rsidRDefault="003F0BC5" w:rsidP="00353B80">
      <w:pPr>
        <w:pStyle w:val="Firm5L4"/>
        <w:keepNext/>
      </w:pPr>
      <w:r w:rsidRPr="00992199">
        <w:t>Footprint</w:t>
      </w:r>
    </w:p>
    <w:p w:rsidR="003F0BC5" w:rsidRPr="00992199" w:rsidRDefault="003F0BC5" w:rsidP="003F0BC5">
      <w:pPr>
        <w:rPr>
          <w:szCs w:val="20"/>
        </w:rPr>
      </w:pPr>
      <w:r w:rsidRPr="00992199">
        <w:rPr>
          <w:szCs w:val="20"/>
        </w:rPr>
        <w:t>The Univeg Group is a vertically integrated world leader in the sourcing and supply of high quality fresh and fresh-cut fruit and vegetables, with a strong global presence in the fresh produce market and strategically complementary products and services.</w:t>
      </w:r>
    </w:p>
    <w:p w:rsidR="003F0BC5" w:rsidRPr="00992199" w:rsidRDefault="003F0BC5" w:rsidP="003F0BC5">
      <w:pPr>
        <w:rPr>
          <w:szCs w:val="20"/>
        </w:rPr>
      </w:pPr>
      <w:r w:rsidRPr="00992199">
        <w:rPr>
          <w:szCs w:val="20"/>
        </w:rPr>
        <w:t xml:space="preserve">The Univeg Group has particularly strong presence in </w:t>
      </w:r>
      <w:smartTag w:uri="urn:schemas-microsoft-com:office:smarttags" w:element="place">
        <w:r w:rsidRPr="00992199">
          <w:rPr>
            <w:szCs w:val="20"/>
          </w:rPr>
          <w:t>Europe</w:t>
        </w:r>
      </w:smartTag>
      <w:r w:rsidRPr="00992199">
        <w:rPr>
          <w:szCs w:val="20"/>
        </w:rPr>
        <w:t>, supplying the largest food retailers. The Univeg Group’s largest market shares by revenue ar</w:t>
      </w:r>
      <w:r w:rsidR="00732BB5">
        <w:rPr>
          <w:szCs w:val="20"/>
        </w:rPr>
        <w:t>e in T</w:t>
      </w:r>
      <w:r w:rsidRPr="00992199">
        <w:rPr>
          <w:szCs w:val="20"/>
        </w:rPr>
        <w:t xml:space="preserve">he Netherlands, </w:t>
      </w:r>
      <w:smartTag w:uri="urn:schemas-microsoft-com:office:smarttags" w:element="country-region">
        <w:r w:rsidRPr="00992199">
          <w:rPr>
            <w:szCs w:val="20"/>
          </w:rPr>
          <w:t>Belgium</w:t>
        </w:r>
      </w:smartTag>
      <w:r w:rsidRPr="00992199">
        <w:rPr>
          <w:szCs w:val="20"/>
        </w:rPr>
        <w:t xml:space="preserve"> and </w:t>
      </w:r>
      <w:smartTag w:uri="urn:schemas-microsoft-com:office:smarttags" w:element="country-region">
        <w:r w:rsidRPr="00992199">
          <w:rPr>
            <w:szCs w:val="20"/>
          </w:rPr>
          <w:t>Germany</w:t>
        </w:r>
      </w:smartTag>
      <w:r w:rsidRPr="00992199">
        <w:rPr>
          <w:szCs w:val="20"/>
        </w:rPr>
        <w:t xml:space="preserve"> and the strong </w:t>
      </w:r>
      <w:r w:rsidRPr="00992199">
        <w:rPr>
          <w:szCs w:val="20"/>
        </w:rPr>
        <w:lastRenderedPageBreak/>
        <w:t xml:space="preserve">generalist position in these countries is complemented by the broadening of an offering through an increasing presence in </w:t>
      </w:r>
      <w:smartTag w:uri="urn:schemas-microsoft-com:office:smarttags" w:element="country-region">
        <w:r w:rsidRPr="00992199">
          <w:rPr>
            <w:szCs w:val="20"/>
          </w:rPr>
          <w:t>France</w:t>
        </w:r>
      </w:smartTag>
      <w:r w:rsidRPr="00992199">
        <w:rPr>
          <w:szCs w:val="20"/>
        </w:rPr>
        <w:t xml:space="preserve">, the </w:t>
      </w:r>
      <w:smartTag w:uri="urn:schemas-microsoft-com:office:smarttags" w:element="country-region">
        <w:r w:rsidRPr="00992199">
          <w:rPr>
            <w:szCs w:val="20"/>
          </w:rPr>
          <w:t>United Kingdom</w:t>
        </w:r>
      </w:smartTag>
      <w:r w:rsidRPr="00992199">
        <w:rPr>
          <w:szCs w:val="20"/>
        </w:rPr>
        <w:t xml:space="preserve"> and the </w:t>
      </w:r>
      <w:smartTag w:uri="urn:schemas-microsoft-com:office:smarttags" w:element="country-region">
        <w:smartTag w:uri="urn:schemas-microsoft-com:office:smarttags" w:element="place">
          <w:r w:rsidRPr="00992199">
            <w:rPr>
              <w:szCs w:val="20"/>
            </w:rPr>
            <w:t>United States</w:t>
          </w:r>
        </w:smartTag>
      </w:smartTag>
      <w:r w:rsidRPr="00992199">
        <w:rPr>
          <w:szCs w:val="20"/>
        </w:rPr>
        <w:t xml:space="preserve">. In the </w:t>
      </w:r>
      <w:r w:rsidR="00ED1BE9">
        <w:rPr>
          <w:szCs w:val="20"/>
        </w:rPr>
        <w:t xml:space="preserve">financial </w:t>
      </w:r>
      <w:r w:rsidRPr="00992199">
        <w:rPr>
          <w:szCs w:val="20"/>
        </w:rPr>
        <w:t xml:space="preserve">year ended 31 December 2014, the Univeg Group </w:t>
      </w:r>
      <w:r w:rsidR="0002282E">
        <w:rPr>
          <w:szCs w:val="20"/>
        </w:rPr>
        <w:t>reported</w:t>
      </w:r>
      <w:r w:rsidRPr="00992199">
        <w:rPr>
          <w:szCs w:val="20"/>
        </w:rPr>
        <w:t xml:space="preserve"> revenues of </w:t>
      </w:r>
      <w:r w:rsidR="00E53641">
        <w:rPr>
          <w:szCs w:val="20"/>
        </w:rPr>
        <w:t>EUR </w:t>
      </w:r>
      <w:r w:rsidRPr="00992199">
        <w:rPr>
          <w:szCs w:val="20"/>
        </w:rPr>
        <w:t>3,300,000,000.</w:t>
      </w:r>
    </w:p>
    <w:p w:rsidR="003F0BC5" w:rsidRPr="00992199" w:rsidRDefault="003F0BC5" w:rsidP="003F0BC5">
      <w:pPr>
        <w:rPr>
          <w:szCs w:val="20"/>
        </w:rPr>
      </w:pPr>
      <w:r w:rsidRPr="00992199">
        <w:rPr>
          <w:szCs w:val="20"/>
        </w:rPr>
        <w:t>The sales operations are supported by strong sourcing capabilities in Europe’s most important horticultural count</w:t>
      </w:r>
      <w:r w:rsidR="00732BB5">
        <w:rPr>
          <w:szCs w:val="20"/>
        </w:rPr>
        <w:t xml:space="preserve">ries, such as </w:t>
      </w:r>
      <w:smartTag w:uri="urn:schemas-microsoft-com:office:smarttags" w:element="country-region">
        <w:r w:rsidR="00732BB5">
          <w:rPr>
            <w:szCs w:val="20"/>
          </w:rPr>
          <w:t>Spain</w:t>
        </w:r>
      </w:smartTag>
      <w:r w:rsidR="00732BB5">
        <w:rPr>
          <w:szCs w:val="20"/>
        </w:rPr>
        <w:t xml:space="preserve">, </w:t>
      </w:r>
      <w:smartTag w:uri="urn:schemas-microsoft-com:office:smarttags" w:element="country-region">
        <w:smartTag w:uri="urn:schemas-microsoft-com:office:smarttags" w:element="place">
          <w:r w:rsidR="00732BB5">
            <w:rPr>
              <w:szCs w:val="20"/>
            </w:rPr>
            <w:t>Italy</w:t>
          </w:r>
        </w:smartTag>
      </w:smartTag>
      <w:r w:rsidR="00732BB5">
        <w:rPr>
          <w:szCs w:val="20"/>
        </w:rPr>
        <w:t xml:space="preserve"> and T</w:t>
      </w:r>
      <w:r w:rsidRPr="00992199">
        <w:rPr>
          <w:szCs w:val="20"/>
        </w:rPr>
        <w:t xml:space="preserve">he Netherlands. Furthermore, in order to procure a year-round supply of fresh produce, the Univeg Group has developed strong sourcing capabilities in other key exporting regions around the world such as </w:t>
      </w:r>
      <w:smartTag w:uri="urn:schemas-microsoft-com:office:smarttags" w:element="country-region">
        <w:r w:rsidRPr="00992199">
          <w:rPr>
            <w:szCs w:val="20"/>
          </w:rPr>
          <w:t>South Africa</w:t>
        </w:r>
      </w:smartTag>
      <w:r w:rsidRPr="00992199">
        <w:rPr>
          <w:szCs w:val="20"/>
        </w:rPr>
        <w:t xml:space="preserve"> and </w:t>
      </w:r>
      <w:smartTag w:uri="urn:schemas-microsoft-com:office:smarttags" w:element="place">
        <w:r w:rsidRPr="00992199">
          <w:rPr>
            <w:szCs w:val="20"/>
          </w:rPr>
          <w:t>Latin America</w:t>
        </w:r>
      </w:smartTag>
      <w:r w:rsidRPr="00992199">
        <w:rPr>
          <w:szCs w:val="20"/>
        </w:rPr>
        <w:t xml:space="preserve">. This geographic diversity helps the Univeg Group to supply its customers with high-quality fresh </w:t>
      </w:r>
      <w:r w:rsidR="00864882" w:rsidRPr="00992199">
        <w:rPr>
          <w:szCs w:val="20"/>
        </w:rPr>
        <w:t>produc</w:t>
      </w:r>
      <w:r w:rsidR="00864882">
        <w:rPr>
          <w:szCs w:val="20"/>
        </w:rPr>
        <w:t>ts</w:t>
      </w:r>
      <w:r w:rsidR="00864882" w:rsidRPr="00992199">
        <w:rPr>
          <w:szCs w:val="20"/>
        </w:rPr>
        <w:t xml:space="preserve"> </w:t>
      </w:r>
      <w:r w:rsidRPr="00992199">
        <w:rPr>
          <w:szCs w:val="20"/>
        </w:rPr>
        <w:t>throughout the year.</w:t>
      </w:r>
    </w:p>
    <w:p w:rsidR="003F0BC5" w:rsidRPr="00992199" w:rsidRDefault="003F0BC5" w:rsidP="003F0BC5">
      <w:pPr>
        <w:rPr>
          <w:szCs w:val="20"/>
        </w:rPr>
      </w:pPr>
      <w:r w:rsidRPr="00992199">
        <w:rPr>
          <w:szCs w:val="20"/>
        </w:rPr>
        <w:t>The source markets and sales markets are connected by strategically located European logistics and distribution capabilities, helping to operate a vertically integrated business model over the entire value chain from production to delivery. The Univeg Group has facilities</w:t>
      </w:r>
      <w:r w:rsidR="00732BB5">
        <w:rPr>
          <w:szCs w:val="20"/>
        </w:rPr>
        <w:t xml:space="preserve"> located in key import hubs in T</w:t>
      </w:r>
      <w:r w:rsidRPr="00992199">
        <w:rPr>
          <w:szCs w:val="20"/>
        </w:rPr>
        <w:t xml:space="preserve">he Netherlands, </w:t>
      </w:r>
      <w:smartTag w:uri="urn:schemas-microsoft-com:office:smarttags" w:element="country-region">
        <w:r w:rsidRPr="00992199">
          <w:rPr>
            <w:szCs w:val="20"/>
          </w:rPr>
          <w:t>Belgium</w:t>
        </w:r>
      </w:smartTag>
      <w:r w:rsidRPr="00992199">
        <w:rPr>
          <w:szCs w:val="20"/>
        </w:rPr>
        <w:t xml:space="preserve">, </w:t>
      </w:r>
      <w:smartTag w:uri="urn:schemas-microsoft-com:office:smarttags" w:element="country-region">
        <w:r w:rsidRPr="00992199">
          <w:rPr>
            <w:szCs w:val="20"/>
          </w:rPr>
          <w:t>Germany</w:t>
        </w:r>
      </w:smartTag>
      <w:r w:rsidRPr="00992199">
        <w:rPr>
          <w:szCs w:val="20"/>
        </w:rPr>
        <w:t xml:space="preserve"> and </w:t>
      </w:r>
      <w:smartTag w:uri="urn:schemas-microsoft-com:office:smarttags" w:element="country-region">
        <w:smartTag w:uri="urn:schemas-microsoft-com:office:smarttags" w:element="place">
          <w:r w:rsidRPr="00992199">
            <w:rPr>
              <w:szCs w:val="20"/>
            </w:rPr>
            <w:t>Italy</w:t>
          </w:r>
        </w:smartTag>
      </w:smartTag>
      <w:r w:rsidRPr="00992199">
        <w:rPr>
          <w:szCs w:val="20"/>
        </w:rPr>
        <w:t>. The Univeg Group also operates a network of technologically advanced service and distribution centres, where value-added services, such as cold storage, ripening, order picking and customer label packaging, are provided before distributing produce to customers’ own distribution facilities or directly to their stores.</w:t>
      </w:r>
    </w:p>
    <w:p w:rsidR="003F0BC5" w:rsidRPr="00992199" w:rsidRDefault="003F0BC5" w:rsidP="00353B80">
      <w:pPr>
        <w:pStyle w:val="Firm5L4"/>
        <w:keepNext/>
      </w:pPr>
      <w:r w:rsidRPr="00992199">
        <w:t>Strategy</w:t>
      </w:r>
    </w:p>
    <w:p w:rsidR="003F0BC5" w:rsidRPr="00992199" w:rsidRDefault="003F0BC5" w:rsidP="003F0BC5">
      <w:pPr>
        <w:rPr>
          <w:szCs w:val="20"/>
        </w:rPr>
      </w:pPr>
      <w:r w:rsidRPr="00992199">
        <w:rPr>
          <w:szCs w:val="20"/>
        </w:rPr>
        <w:t xml:space="preserve">The Univeg Group’s primary strategy is to focus on the continued </w:t>
      </w:r>
      <w:r w:rsidR="00A07615">
        <w:rPr>
          <w:szCs w:val="20"/>
        </w:rPr>
        <w:t>profitable development of its</w:t>
      </w:r>
      <w:r w:rsidRPr="00992199">
        <w:rPr>
          <w:szCs w:val="20"/>
        </w:rPr>
        <w:t xml:space="preserve"> core fruit and vegetables business in its key markets in Europe and the </w:t>
      </w:r>
      <w:smartTag w:uri="urn:schemas-microsoft-com:office:smarttags" w:element="country-region">
        <w:smartTag w:uri="urn:schemas-microsoft-com:office:smarttags" w:element="place">
          <w:r w:rsidRPr="00992199">
            <w:rPr>
              <w:szCs w:val="20"/>
            </w:rPr>
            <w:t>United States</w:t>
          </w:r>
        </w:smartTag>
      </w:smartTag>
      <w:r w:rsidRPr="00992199">
        <w:rPr>
          <w:szCs w:val="20"/>
        </w:rPr>
        <w:t xml:space="preserve">. In this regard the Univeg Group is seeking to maintain its </w:t>
      </w:r>
      <w:r w:rsidR="00864882">
        <w:rPr>
          <w:szCs w:val="20"/>
        </w:rPr>
        <w:t>strong position</w:t>
      </w:r>
      <w:r w:rsidR="00864882" w:rsidRPr="00992199">
        <w:rPr>
          <w:szCs w:val="20"/>
        </w:rPr>
        <w:t xml:space="preserve"> </w:t>
      </w:r>
      <w:r w:rsidRPr="00992199">
        <w:rPr>
          <w:szCs w:val="20"/>
        </w:rPr>
        <w:t xml:space="preserve">in </w:t>
      </w:r>
      <w:r w:rsidR="00732BB5">
        <w:rPr>
          <w:szCs w:val="20"/>
        </w:rPr>
        <w:t>T</w:t>
      </w:r>
      <w:r w:rsidRPr="00992199">
        <w:rPr>
          <w:szCs w:val="20"/>
        </w:rPr>
        <w:t xml:space="preserve">he Netherlands, </w:t>
      </w:r>
      <w:smartTag w:uri="urn:schemas-microsoft-com:office:smarttags" w:element="country-region">
        <w:r w:rsidRPr="00992199">
          <w:rPr>
            <w:szCs w:val="20"/>
          </w:rPr>
          <w:t>Belgium</w:t>
        </w:r>
      </w:smartTag>
      <w:r w:rsidRPr="00992199">
        <w:rPr>
          <w:szCs w:val="20"/>
        </w:rPr>
        <w:t xml:space="preserve"> and </w:t>
      </w:r>
      <w:smartTag w:uri="urn:schemas-microsoft-com:office:smarttags" w:element="country-region">
        <w:r w:rsidRPr="00992199">
          <w:rPr>
            <w:szCs w:val="20"/>
          </w:rPr>
          <w:t>Germany</w:t>
        </w:r>
      </w:smartTag>
      <w:r w:rsidRPr="00992199">
        <w:rPr>
          <w:szCs w:val="20"/>
        </w:rPr>
        <w:t xml:space="preserve">, and to build stronger and more diversified positions in </w:t>
      </w:r>
      <w:smartTag w:uri="urn:schemas-microsoft-com:office:smarttags" w:element="country-region">
        <w:r w:rsidRPr="00992199">
          <w:rPr>
            <w:szCs w:val="20"/>
          </w:rPr>
          <w:t>France</w:t>
        </w:r>
      </w:smartTag>
      <w:r w:rsidRPr="00992199">
        <w:rPr>
          <w:szCs w:val="20"/>
        </w:rPr>
        <w:t xml:space="preserve">, the </w:t>
      </w:r>
      <w:smartTag w:uri="urn:schemas-microsoft-com:office:smarttags" w:element="country-region">
        <w:r w:rsidRPr="00992199">
          <w:rPr>
            <w:szCs w:val="20"/>
          </w:rPr>
          <w:t>United Kingdom</w:t>
        </w:r>
      </w:smartTag>
      <w:r w:rsidRPr="00992199">
        <w:rPr>
          <w:szCs w:val="20"/>
        </w:rPr>
        <w:t xml:space="preserve"> and the </w:t>
      </w:r>
      <w:smartTag w:uri="urn:schemas-microsoft-com:office:smarttags" w:element="country-region">
        <w:smartTag w:uri="urn:schemas-microsoft-com:office:smarttags" w:element="place">
          <w:r w:rsidRPr="00992199">
            <w:rPr>
              <w:szCs w:val="20"/>
            </w:rPr>
            <w:t>United States</w:t>
          </w:r>
        </w:smartTag>
      </w:smartTag>
      <w:r w:rsidRPr="00992199">
        <w:rPr>
          <w:szCs w:val="20"/>
        </w:rPr>
        <w:t xml:space="preserve">. The Univeg Group also stands ready to capitalise on potential future growth opportunities in emerging markets that may come about through changing global trading patterns. In addition, the Univeg Group will continue to consider acquisitions where the Univeg Group believes they will help it achieve its primary or secondary strategic goals. The acquisitions in the </w:t>
      </w:r>
      <w:smartTag w:uri="urn:schemas-microsoft-com:office:smarttags" w:element="country-region">
        <w:r w:rsidRPr="00992199">
          <w:rPr>
            <w:szCs w:val="20"/>
          </w:rPr>
          <w:t>UK</w:t>
        </w:r>
      </w:smartTag>
      <w:r w:rsidRPr="00992199">
        <w:rPr>
          <w:szCs w:val="20"/>
        </w:rPr>
        <w:t xml:space="preserve"> and start-up activities in </w:t>
      </w:r>
      <w:smartTag w:uri="urn:schemas-microsoft-com:office:smarttags" w:element="country-region">
        <w:smartTag w:uri="urn:schemas-microsoft-com:office:smarttags" w:element="place">
          <w:r w:rsidRPr="00992199">
            <w:rPr>
              <w:szCs w:val="20"/>
            </w:rPr>
            <w:t>Czech Republic</w:t>
          </w:r>
        </w:smartTag>
      </w:smartTag>
      <w:r w:rsidRPr="00992199">
        <w:rPr>
          <w:szCs w:val="20"/>
        </w:rPr>
        <w:t xml:space="preserve"> along with the disposal of non-core activities show further alignment with the defined strategy of the Univeg Group. Key aspects of its strategy include:</w:t>
      </w:r>
    </w:p>
    <w:p w:rsidR="003F0BC5" w:rsidRPr="00992199" w:rsidRDefault="003F0BC5" w:rsidP="00BB0F52">
      <w:pPr>
        <w:pStyle w:val="BulletsL1"/>
      </w:pPr>
      <w:r w:rsidRPr="00992199">
        <w:t>Further margin improvement and volume growth in existing markets</w:t>
      </w:r>
    </w:p>
    <w:p w:rsidR="003F0BC5" w:rsidRPr="00992199" w:rsidRDefault="003F0BC5" w:rsidP="00F35405">
      <w:pPr>
        <w:widowControl w:val="0"/>
        <w:autoSpaceDE w:val="0"/>
        <w:autoSpaceDN w:val="0"/>
        <w:adjustRightInd w:val="0"/>
        <w:ind w:left="720"/>
        <w:rPr>
          <w:szCs w:val="20"/>
        </w:rPr>
      </w:pPr>
      <w:r w:rsidRPr="00992199">
        <w:rPr>
          <w:szCs w:val="20"/>
        </w:rPr>
        <w:t xml:space="preserve">In recognition of the significant untapped potential for further margin improvement and volume growth in its existing markets, the Univeg Group is pursuing greater synergies and efficiencies within its decentralised model and continuing to develop customer relationships through its </w:t>
      </w:r>
      <w:r w:rsidR="00BF553B">
        <w:rPr>
          <w:szCs w:val="20"/>
        </w:rPr>
        <w:t>“</w:t>
      </w:r>
      <w:r w:rsidRPr="00992199">
        <w:rPr>
          <w:szCs w:val="20"/>
        </w:rPr>
        <w:t>customer intimacy</w:t>
      </w:r>
      <w:r w:rsidR="00BF553B">
        <w:rPr>
          <w:szCs w:val="20"/>
        </w:rPr>
        <w:t>”</w:t>
      </w:r>
      <w:r w:rsidRPr="00992199">
        <w:rPr>
          <w:szCs w:val="20"/>
        </w:rPr>
        <w:t xml:space="preserve"> service model.</w:t>
      </w:r>
    </w:p>
    <w:p w:rsidR="003F0BC5" w:rsidRPr="00992199" w:rsidRDefault="003F0BC5" w:rsidP="00BB0F52">
      <w:pPr>
        <w:pStyle w:val="BulletsL1"/>
      </w:pPr>
      <w:r w:rsidRPr="00992199">
        <w:t>Customer intimacy</w:t>
      </w:r>
    </w:p>
    <w:p w:rsidR="003F0BC5" w:rsidRPr="00992199" w:rsidRDefault="003F0BC5" w:rsidP="00F35405">
      <w:pPr>
        <w:widowControl w:val="0"/>
        <w:autoSpaceDE w:val="0"/>
        <w:autoSpaceDN w:val="0"/>
        <w:adjustRightInd w:val="0"/>
        <w:ind w:left="720"/>
        <w:rPr>
          <w:szCs w:val="20"/>
        </w:rPr>
      </w:pPr>
      <w:r w:rsidRPr="00992199">
        <w:rPr>
          <w:szCs w:val="20"/>
        </w:rPr>
        <w:t xml:space="preserve">The Univeg Group believes its customer intimacy strategy is key to the pursuit of margin and volume improvement and stability. The Univeg Group continues to develop customer relationships beyond the simple day-to-day trading of fruit and vegetables to become a full service provider, offering value-added services tailored to the customers’ particular strategy and specific needs and high quality fresh produce year-round as their </w:t>
      </w:r>
      <w:r w:rsidR="00BF553B">
        <w:rPr>
          <w:szCs w:val="20"/>
        </w:rPr>
        <w:t>“</w:t>
      </w:r>
      <w:r w:rsidR="00C953E2">
        <w:rPr>
          <w:szCs w:val="20"/>
        </w:rPr>
        <w:t>direct connection to the field</w:t>
      </w:r>
      <w:r w:rsidR="00BF553B">
        <w:rPr>
          <w:szCs w:val="20"/>
        </w:rPr>
        <w:t>”</w:t>
      </w:r>
      <w:r w:rsidR="00C953E2">
        <w:rPr>
          <w:szCs w:val="20"/>
        </w:rPr>
        <w:t>.</w:t>
      </w:r>
      <w:r w:rsidRPr="00992199">
        <w:rPr>
          <w:szCs w:val="20"/>
        </w:rPr>
        <w:t xml:space="preserve"> The Univeg Group currently operates as a full service provider to a number of customers and is pursuing the transition of other existing customer relationships away from a transactional model and towards a joint business planning model. In offering customers a more bespoke service, the Univeg Group believes it can increase turnover through the delivery of a wider range of products and services and increase profit margin through increases in the offer of value-added services. The Univeg Group believes in further improvement in the stability of its revenues in becoming more strategically important to the customer base. The Univeg Group states that customer intimacy strategy has been key to increasing the proportion of sales derived from value-added services. The Univeg Group believe</w:t>
      </w:r>
      <w:r w:rsidR="0002282E">
        <w:rPr>
          <w:szCs w:val="20"/>
        </w:rPr>
        <w:t>s</w:t>
      </w:r>
      <w:r w:rsidRPr="00992199">
        <w:rPr>
          <w:szCs w:val="20"/>
        </w:rPr>
        <w:t xml:space="preserve"> that there continues to be potential to increase this still further, this through pursuing the development of the existing customer relationships and, in doing so, enhance the reputation among food retailers as a leading full service provider.</w:t>
      </w:r>
    </w:p>
    <w:p w:rsidR="003F0BC5" w:rsidRPr="00992199" w:rsidRDefault="003F0BC5" w:rsidP="003F0BC5">
      <w:pPr>
        <w:rPr>
          <w:szCs w:val="20"/>
        </w:rPr>
      </w:pPr>
      <w:r w:rsidRPr="00992199">
        <w:rPr>
          <w:szCs w:val="20"/>
        </w:rPr>
        <w:t>The management team is instilled with a philosophy dedicated to excellence in production planning, cultivation, distribution, and sales</w:t>
      </w:r>
      <w:r w:rsidR="00FE467C">
        <w:rPr>
          <w:szCs w:val="20"/>
        </w:rPr>
        <w:t xml:space="preserve"> and </w:t>
      </w:r>
      <w:r w:rsidRPr="00992199">
        <w:rPr>
          <w:szCs w:val="20"/>
        </w:rPr>
        <w:t>marketing of fresh produce, as well as financial planning. This management team has helped develop key competitive strengths in the Univeg Group which includes the following:</w:t>
      </w:r>
    </w:p>
    <w:p w:rsidR="003F0BC5" w:rsidRPr="00992199" w:rsidRDefault="003F0BC5" w:rsidP="00BB0F52">
      <w:pPr>
        <w:pStyle w:val="BulletsL1"/>
      </w:pPr>
      <w:r w:rsidRPr="00992199">
        <w:t>Well positioned to respond to major trends in the global fresh produce market</w:t>
      </w:r>
    </w:p>
    <w:p w:rsidR="003F0BC5" w:rsidRPr="00992199" w:rsidRDefault="003F0BC5" w:rsidP="00F35405">
      <w:pPr>
        <w:widowControl w:val="0"/>
        <w:autoSpaceDE w:val="0"/>
        <w:autoSpaceDN w:val="0"/>
        <w:adjustRightInd w:val="0"/>
        <w:ind w:left="720"/>
        <w:rPr>
          <w:szCs w:val="20"/>
        </w:rPr>
      </w:pPr>
      <w:r w:rsidRPr="00992199">
        <w:rPr>
          <w:szCs w:val="20"/>
        </w:rPr>
        <w:t xml:space="preserve">The Univeg Group believes to be well positioned to respond to the major trends prevailing in the global fresh produce market as a result of the close relationships developed with customers, which are typically established and maintained by local key account managers. The Univeg Group believes in its ability to combine the dispersed geographical footprint with a decentralised and concentrated focus on </w:t>
      </w:r>
      <w:r w:rsidRPr="00992199">
        <w:rPr>
          <w:szCs w:val="20"/>
        </w:rPr>
        <w:lastRenderedPageBreak/>
        <w:t>customer relationships providing the agility to respond to the increasing complexity of the supply chain, particularly the demands of customers in relation to produce varieties, availability and volumes.</w:t>
      </w:r>
    </w:p>
    <w:p w:rsidR="003F0BC5" w:rsidRPr="00992199" w:rsidRDefault="003F0BC5" w:rsidP="00F35405">
      <w:pPr>
        <w:widowControl w:val="0"/>
        <w:autoSpaceDE w:val="0"/>
        <w:autoSpaceDN w:val="0"/>
        <w:adjustRightInd w:val="0"/>
        <w:ind w:left="720"/>
        <w:rPr>
          <w:szCs w:val="20"/>
        </w:rPr>
      </w:pPr>
      <w:r w:rsidRPr="00992199">
        <w:rPr>
          <w:szCs w:val="20"/>
        </w:rPr>
        <w:t>Furthermore, the Univeg Group believes that the strong global sourcing presence, combined with the strategically complementary services, offered through the extensive network of European service and distribution centres, enables responding to the increasing importance customers ascribe to value-added services. This degree of vertical integration also facilitates the monitoring of the entire value chain, helping to respond to the rising demands of customers in relation to traceability, quality and food safety. Moreover, the Univeg Group’s global reach equips the organisation to serve the rising interest in the origin and method of production of fresh produce, and to work closely with stakeholders to improve environmental, social and economic sustainability, particularly with growers in the development of sustainable agricultural practices.</w:t>
      </w:r>
    </w:p>
    <w:p w:rsidR="003F0BC5" w:rsidRPr="00992199" w:rsidRDefault="003F0BC5" w:rsidP="00BB0F52">
      <w:pPr>
        <w:pStyle w:val="BulletsL1"/>
      </w:pPr>
      <w:r w:rsidRPr="00992199">
        <w:t>Long-standing relationships with its customer base</w:t>
      </w:r>
    </w:p>
    <w:p w:rsidR="003F0BC5" w:rsidRPr="00992199" w:rsidRDefault="003F0BC5" w:rsidP="00F35405">
      <w:pPr>
        <w:widowControl w:val="0"/>
        <w:autoSpaceDE w:val="0"/>
        <w:autoSpaceDN w:val="0"/>
        <w:adjustRightInd w:val="0"/>
        <w:ind w:left="720"/>
        <w:rPr>
          <w:szCs w:val="20"/>
        </w:rPr>
      </w:pPr>
      <w:r w:rsidRPr="00992199">
        <w:rPr>
          <w:szCs w:val="20"/>
        </w:rPr>
        <w:t xml:space="preserve">The Univeg Group believes that one of the key competitive strengths is the long-standing relationships it enjoys with the clients, which have provided a stable base for its revenues. In 2014, for example, 73.2% of its total revenue came from the ten largest customers, all of whom have been customers for more than </w:t>
      </w:r>
      <w:r w:rsidR="00D70585">
        <w:rPr>
          <w:szCs w:val="20"/>
        </w:rPr>
        <w:t>20</w:t>
      </w:r>
      <w:r w:rsidRPr="00992199">
        <w:rPr>
          <w:szCs w:val="20"/>
        </w:rPr>
        <w:t xml:space="preserve"> years. The Univeg Group believe</w:t>
      </w:r>
      <w:r w:rsidR="0002282E">
        <w:rPr>
          <w:szCs w:val="20"/>
        </w:rPr>
        <w:t>s</w:t>
      </w:r>
      <w:r w:rsidRPr="00992199">
        <w:rPr>
          <w:szCs w:val="20"/>
        </w:rPr>
        <w:t xml:space="preserve"> that the key to its success in building sustainable relationships with customers lies in the customer intimacy business model whereby services are tailored to the specific needs of each customer based on dedicated key account management, its knowledge of each customer’s historical consumption patterns for all important product categories and the strong sourcing, logistics and distribution capabilities, which provide greater flexibility in the alignment of product supply with changing customer demand.</w:t>
      </w:r>
    </w:p>
    <w:p w:rsidR="003F0BC5" w:rsidRPr="00992199" w:rsidRDefault="003F0BC5" w:rsidP="00BB0F52">
      <w:pPr>
        <w:pStyle w:val="BulletsL1"/>
      </w:pPr>
      <w:r w:rsidRPr="00992199">
        <w:t>Significant logistics and distribution capabilities</w:t>
      </w:r>
    </w:p>
    <w:p w:rsidR="003F0BC5" w:rsidRPr="00992199" w:rsidRDefault="003F0BC5" w:rsidP="00F35405">
      <w:pPr>
        <w:widowControl w:val="0"/>
        <w:autoSpaceDE w:val="0"/>
        <w:autoSpaceDN w:val="0"/>
        <w:adjustRightInd w:val="0"/>
        <w:ind w:left="720"/>
        <w:rPr>
          <w:szCs w:val="20"/>
        </w:rPr>
      </w:pPr>
      <w:r w:rsidRPr="00992199">
        <w:rPr>
          <w:szCs w:val="20"/>
        </w:rPr>
        <w:t xml:space="preserve">Strong logistics and distribution capabilities in </w:t>
      </w:r>
      <w:smartTag w:uri="urn:schemas-microsoft-com:office:smarttags" w:element="place">
        <w:r w:rsidRPr="00992199">
          <w:rPr>
            <w:szCs w:val="20"/>
          </w:rPr>
          <w:t>Europe</w:t>
        </w:r>
      </w:smartTag>
      <w:r w:rsidRPr="00992199">
        <w:rPr>
          <w:szCs w:val="20"/>
        </w:rPr>
        <w:t xml:space="preserve"> enable the Univeg Group to operate a vertically integrated business model over the entire value chain from production to delivery. Here the operation uses technologically advanced infras</w:t>
      </w:r>
      <w:r w:rsidR="00732BB5">
        <w:rPr>
          <w:szCs w:val="20"/>
        </w:rPr>
        <w:t>tructure in key import hubs in T</w:t>
      </w:r>
      <w:r w:rsidRPr="00992199">
        <w:rPr>
          <w:szCs w:val="20"/>
        </w:rPr>
        <w:t xml:space="preserve">he Netherlands, </w:t>
      </w:r>
      <w:smartTag w:uri="urn:schemas-microsoft-com:office:smarttags" w:element="country-region">
        <w:r w:rsidRPr="00992199">
          <w:rPr>
            <w:szCs w:val="20"/>
          </w:rPr>
          <w:t>Belgium</w:t>
        </w:r>
      </w:smartTag>
      <w:r w:rsidRPr="00992199">
        <w:rPr>
          <w:szCs w:val="20"/>
        </w:rPr>
        <w:t xml:space="preserve">, </w:t>
      </w:r>
      <w:smartTag w:uri="urn:schemas-microsoft-com:office:smarttags" w:element="country-region">
        <w:r w:rsidRPr="00992199">
          <w:rPr>
            <w:szCs w:val="20"/>
          </w:rPr>
          <w:t>Germany</w:t>
        </w:r>
      </w:smartTag>
      <w:r w:rsidRPr="00992199">
        <w:rPr>
          <w:szCs w:val="20"/>
        </w:rPr>
        <w:t xml:space="preserve"> and </w:t>
      </w:r>
      <w:smartTag w:uri="urn:schemas-microsoft-com:office:smarttags" w:element="country-region">
        <w:smartTag w:uri="urn:schemas-microsoft-com:office:smarttags" w:element="place">
          <w:r w:rsidRPr="00992199">
            <w:rPr>
              <w:szCs w:val="20"/>
            </w:rPr>
            <w:t>Italy</w:t>
          </w:r>
        </w:smartTag>
      </w:smartTag>
      <w:r w:rsidRPr="00992199">
        <w:rPr>
          <w:szCs w:val="20"/>
        </w:rPr>
        <w:t xml:space="preserve">. The Univeg Group operates a network of 32 service and distribution centres, where </w:t>
      </w:r>
      <w:r w:rsidR="0002282E">
        <w:rPr>
          <w:szCs w:val="20"/>
        </w:rPr>
        <w:t>it</w:t>
      </w:r>
      <w:r w:rsidRPr="00992199">
        <w:rPr>
          <w:szCs w:val="20"/>
        </w:rPr>
        <w:t xml:space="preserve"> provides value-added services, such as storage, ripening, order picking and customer label packaging, before distributing produce to customers. Such infrastructure would be costly and time consuming for a new entrant to the market to establish.</w:t>
      </w:r>
    </w:p>
    <w:p w:rsidR="003F0BC5" w:rsidRPr="00992199" w:rsidRDefault="003F0BC5" w:rsidP="00F35405">
      <w:pPr>
        <w:widowControl w:val="0"/>
        <w:autoSpaceDE w:val="0"/>
        <w:autoSpaceDN w:val="0"/>
        <w:adjustRightInd w:val="0"/>
        <w:ind w:left="720"/>
        <w:rPr>
          <w:szCs w:val="20"/>
        </w:rPr>
      </w:pPr>
      <w:r w:rsidRPr="00992199">
        <w:rPr>
          <w:szCs w:val="20"/>
        </w:rPr>
        <w:t xml:space="preserve">The national and international transport and logistics operations in </w:t>
      </w:r>
      <w:smartTag w:uri="urn:schemas-microsoft-com:office:smarttags" w:element="country-region">
        <w:r w:rsidRPr="00992199">
          <w:rPr>
            <w:szCs w:val="20"/>
          </w:rPr>
          <w:t>Belgium</w:t>
        </w:r>
      </w:smartTag>
      <w:r w:rsidRPr="00992199">
        <w:rPr>
          <w:szCs w:val="20"/>
        </w:rPr>
        <w:t xml:space="preserve">, </w:t>
      </w:r>
      <w:smartTag w:uri="urn:schemas-microsoft-com:office:smarttags" w:element="country-region">
        <w:r w:rsidRPr="00992199">
          <w:rPr>
            <w:szCs w:val="20"/>
          </w:rPr>
          <w:t>Poland</w:t>
        </w:r>
      </w:smartTag>
      <w:r w:rsidRPr="00992199">
        <w:rPr>
          <w:szCs w:val="20"/>
        </w:rPr>
        <w:t xml:space="preserve">, </w:t>
      </w:r>
      <w:smartTag w:uri="urn:schemas-microsoft-com:office:smarttags" w:element="country-region">
        <w:r w:rsidRPr="00992199">
          <w:rPr>
            <w:szCs w:val="20"/>
          </w:rPr>
          <w:t>Portugal</w:t>
        </w:r>
      </w:smartTag>
      <w:r w:rsidRPr="00992199">
        <w:rPr>
          <w:szCs w:val="20"/>
        </w:rPr>
        <w:t xml:space="preserve"> and </w:t>
      </w:r>
      <w:smartTag w:uri="urn:schemas-microsoft-com:office:smarttags" w:element="country-region">
        <w:smartTag w:uri="urn:schemas-microsoft-com:office:smarttags" w:element="place">
          <w:r w:rsidRPr="00992199">
            <w:rPr>
              <w:szCs w:val="20"/>
            </w:rPr>
            <w:t>Bulgaria</w:t>
          </w:r>
        </w:smartTag>
      </w:smartTag>
      <w:r w:rsidRPr="00992199">
        <w:rPr>
          <w:szCs w:val="20"/>
        </w:rPr>
        <w:t xml:space="preserve"> deliver logistics services to food retailers for fresh, chilled and frozen food products. The Univeg Group transports a total of 10,000 pallets daily throughout </w:t>
      </w:r>
      <w:smartTag w:uri="urn:schemas-microsoft-com:office:smarttags" w:element="place">
        <w:r w:rsidRPr="00992199">
          <w:rPr>
            <w:szCs w:val="20"/>
          </w:rPr>
          <w:t>Europe</w:t>
        </w:r>
      </w:smartTag>
      <w:r w:rsidRPr="00992199">
        <w:rPr>
          <w:szCs w:val="20"/>
        </w:rPr>
        <w:t>, either using the own fleet of high-quality vehicles or through external service providers. In addition, these operations provide logistics services for other Univeg Group entities and third party customers, including storage, order picking, packing and repacking, packaging return and crate washing. Covering the entire value chain in this way helps to service, retain and attract large international food retailers by providing them with a bespoke offering of products and services. The logistics capability is often a catalyst for creating new or strengthening existing customer relationships as food retailers who typically seek out logistics solutions first when entering new markets.</w:t>
      </w:r>
    </w:p>
    <w:p w:rsidR="003F0BC5" w:rsidRPr="00992199" w:rsidRDefault="003F0BC5" w:rsidP="00353B80">
      <w:pPr>
        <w:pStyle w:val="Firm5L4"/>
        <w:keepNext/>
      </w:pPr>
      <w:r w:rsidRPr="00992199">
        <w:t>Value chain</w:t>
      </w:r>
    </w:p>
    <w:p w:rsidR="003F0BC5" w:rsidRPr="00992199" w:rsidRDefault="003F0BC5" w:rsidP="003F0BC5">
      <w:pPr>
        <w:rPr>
          <w:szCs w:val="20"/>
        </w:rPr>
      </w:pPr>
      <w:r w:rsidRPr="00992199">
        <w:rPr>
          <w:szCs w:val="20"/>
        </w:rPr>
        <w:t>The Univeg Group operates a vertically integrated business model over the entire value chain from production to delivery for both fruit and vegetables and flowers and plants.</w:t>
      </w:r>
    </w:p>
    <w:p w:rsidR="003F0BC5" w:rsidRPr="00992199" w:rsidRDefault="003F0BC5" w:rsidP="00BB0F52">
      <w:pPr>
        <w:pStyle w:val="BulletsL1"/>
      </w:pPr>
      <w:r w:rsidRPr="00992199">
        <w:t>Production</w:t>
      </w:r>
    </w:p>
    <w:p w:rsidR="003F0BC5" w:rsidRPr="00992199" w:rsidRDefault="003F0BC5" w:rsidP="00F35405">
      <w:pPr>
        <w:widowControl w:val="0"/>
        <w:autoSpaceDE w:val="0"/>
        <w:autoSpaceDN w:val="0"/>
        <w:adjustRightInd w:val="0"/>
        <w:ind w:left="720"/>
        <w:rPr>
          <w:szCs w:val="20"/>
        </w:rPr>
      </w:pPr>
      <w:r w:rsidRPr="00992199">
        <w:rPr>
          <w:szCs w:val="20"/>
        </w:rPr>
        <w:t>Strong sourcing presence is held in Europe’s most important horticultural count</w:t>
      </w:r>
      <w:r w:rsidR="00732BB5">
        <w:rPr>
          <w:szCs w:val="20"/>
        </w:rPr>
        <w:t xml:space="preserve">ries, such as </w:t>
      </w:r>
      <w:smartTag w:uri="urn:schemas-microsoft-com:office:smarttags" w:element="country-region">
        <w:r w:rsidR="00732BB5">
          <w:rPr>
            <w:szCs w:val="20"/>
          </w:rPr>
          <w:t>Spain</w:t>
        </w:r>
      </w:smartTag>
      <w:r w:rsidR="00732BB5">
        <w:rPr>
          <w:szCs w:val="20"/>
        </w:rPr>
        <w:t xml:space="preserve">, </w:t>
      </w:r>
      <w:smartTag w:uri="urn:schemas-microsoft-com:office:smarttags" w:element="country-region">
        <w:smartTag w:uri="urn:schemas-microsoft-com:office:smarttags" w:element="place">
          <w:r w:rsidR="00732BB5">
            <w:rPr>
              <w:szCs w:val="20"/>
            </w:rPr>
            <w:t>Italy</w:t>
          </w:r>
        </w:smartTag>
      </w:smartTag>
      <w:r w:rsidR="00732BB5">
        <w:rPr>
          <w:szCs w:val="20"/>
        </w:rPr>
        <w:t xml:space="preserve"> and T</w:t>
      </w:r>
      <w:r w:rsidRPr="00992199">
        <w:rPr>
          <w:szCs w:val="20"/>
        </w:rPr>
        <w:t xml:space="preserve">he Netherlands, where it works with growers and grower cooperatives to </w:t>
      </w:r>
      <w:r w:rsidR="00A07615" w:rsidRPr="00992199">
        <w:rPr>
          <w:szCs w:val="20"/>
        </w:rPr>
        <w:t>aggregate</w:t>
      </w:r>
      <w:r w:rsidRPr="00992199">
        <w:rPr>
          <w:szCs w:val="20"/>
        </w:rPr>
        <w:t xml:space="preserve"> pack and export fresh produce daily. Through </w:t>
      </w:r>
      <w:r w:rsidR="0002282E" w:rsidRPr="00655220">
        <w:t>relatio</w:t>
      </w:r>
      <w:r w:rsidR="0002282E">
        <w:t xml:space="preserve">nships with third-party growers, </w:t>
      </w:r>
      <w:r w:rsidRPr="00992199">
        <w:rPr>
          <w:szCs w:val="20"/>
        </w:rPr>
        <w:t>the fruit sales, marketing and d</w:t>
      </w:r>
      <w:r w:rsidR="0002282E">
        <w:rPr>
          <w:szCs w:val="20"/>
        </w:rPr>
        <w:t>istribution agreement with TFFG and</w:t>
      </w:r>
      <w:r w:rsidRPr="00992199">
        <w:rPr>
          <w:szCs w:val="20"/>
        </w:rPr>
        <w:t xml:space="preserve"> the fruit and vegetables marketing and agency agreement with </w:t>
      </w:r>
      <w:r w:rsidR="00D70585">
        <w:rPr>
          <w:szCs w:val="20"/>
        </w:rPr>
        <w:t xml:space="preserve">the </w:t>
      </w:r>
      <w:r w:rsidRPr="00992199">
        <w:rPr>
          <w:szCs w:val="20"/>
        </w:rPr>
        <w:t xml:space="preserve">Argentinean </w:t>
      </w:r>
      <w:r w:rsidR="0002282E">
        <w:rPr>
          <w:szCs w:val="20"/>
        </w:rPr>
        <w:t>Operations</w:t>
      </w:r>
      <w:r w:rsidRPr="00992199">
        <w:rPr>
          <w:szCs w:val="20"/>
        </w:rPr>
        <w:t xml:space="preserve">, the Univeg Group is able to complement the European sourcing capabilities with overseas products to ensure the delivery of high quality products all year round. The main </w:t>
      </w:r>
      <w:r w:rsidR="0002282E">
        <w:rPr>
          <w:szCs w:val="20"/>
        </w:rPr>
        <w:t xml:space="preserve">overseas </w:t>
      </w:r>
      <w:r w:rsidRPr="00992199">
        <w:rPr>
          <w:szCs w:val="20"/>
        </w:rPr>
        <w:t xml:space="preserve">production is located in </w:t>
      </w:r>
      <w:smartTag w:uri="urn:schemas-microsoft-com:office:smarttags" w:element="country-region">
        <w:r w:rsidRPr="00992199">
          <w:rPr>
            <w:szCs w:val="20"/>
          </w:rPr>
          <w:t>South Africa</w:t>
        </w:r>
      </w:smartTag>
      <w:r w:rsidRPr="00992199">
        <w:rPr>
          <w:szCs w:val="20"/>
        </w:rPr>
        <w:t xml:space="preserve"> and </w:t>
      </w:r>
      <w:r w:rsidR="0002282E">
        <w:rPr>
          <w:szCs w:val="20"/>
        </w:rPr>
        <w:t xml:space="preserve">South and </w:t>
      </w:r>
      <w:smartTag w:uri="urn:schemas-microsoft-com:office:smarttags" w:element="place">
        <w:r w:rsidR="0002282E">
          <w:rPr>
            <w:szCs w:val="20"/>
          </w:rPr>
          <w:t>Central</w:t>
        </w:r>
        <w:r w:rsidRPr="00992199">
          <w:rPr>
            <w:szCs w:val="20"/>
          </w:rPr>
          <w:t xml:space="preserve"> America</w:t>
        </w:r>
      </w:smartTag>
      <w:r w:rsidRPr="00992199">
        <w:rPr>
          <w:szCs w:val="20"/>
        </w:rPr>
        <w:t>. The Fruit Farm Group and Orchard Invest are both subsidiaries of DWB operating wholly or majority owned production and sourcing companies.</w:t>
      </w:r>
    </w:p>
    <w:p w:rsidR="003F0BC5" w:rsidRPr="00992199" w:rsidRDefault="003F0BC5" w:rsidP="00B1213A">
      <w:pPr>
        <w:pStyle w:val="BulletsL1"/>
      </w:pPr>
      <w:r w:rsidRPr="00992199">
        <w:t>Export logistics</w:t>
      </w:r>
    </w:p>
    <w:p w:rsidR="003F0BC5" w:rsidRPr="00992199" w:rsidRDefault="003F0BC5" w:rsidP="00F35405">
      <w:pPr>
        <w:widowControl w:val="0"/>
        <w:autoSpaceDE w:val="0"/>
        <w:autoSpaceDN w:val="0"/>
        <w:adjustRightInd w:val="0"/>
        <w:ind w:left="720"/>
        <w:rPr>
          <w:szCs w:val="20"/>
        </w:rPr>
      </w:pPr>
      <w:r w:rsidRPr="00992199">
        <w:rPr>
          <w:szCs w:val="20"/>
        </w:rPr>
        <w:t xml:space="preserve">The Univeg Group has an extensive logistical infrastructure for its exports involving transportation </w:t>
      </w:r>
      <w:r w:rsidRPr="00992199">
        <w:rPr>
          <w:szCs w:val="20"/>
        </w:rPr>
        <w:lastRenderedPageBreak/>
        <w:t xml:space="preserve">from local farms and production facilities to nearby ports for international shipping as long- or short-haul freight. Its fresh produce is shipped to third party importers or the </w:t>
      </w:r>
      <w:r w:rsidR="0002282E">
        <w:rPr>
          <w:szCs w:val="20"/>
        </w:rPr>
        <w:t>Univeg Group’s</w:t>
      </w:r>
      <w:r w:rsidRPr="00992199">
        <w:rPr>
          <w:szCs w:val="20"/>
        </w:rPr>
        <w:t xml:space="preserve"> own import hubs strategi</w:t>
      </w:r>
      <w:r w:rsidR="00732BB5">
        <w:rPr>
          <w:szCs w:val="20"/>
        </w:rPr>
        <w:t>cally located across Europe in T</w:t>
      </w:r>
      <w:r w:rsidRPr="00992199">
        <w:rPr>
          <w:szCs w:val="20"/>
        </w:rPr>
        <w:t xml:space="preserve">he Netherlands, </w:t>
      </w:r>
      <w:smartTag w:uri="urn:schemas-microsoft-com:office:smarttags" w:element="country-region">
        <w:r w:rsidRPr="00992199">
          <w:rPr>
            <w:szCs w:val="20"/>
          </w:rPr>
          <w:t>Belgium</w:t>
        </w:r>
      </w:smartTag>
      <w:r w:rsidRPr="00992199">
        <w:rPr>
          <w:szCs w:val="20"/>
        </w:rPr>
        <w:t xml:space="preserve">, </w:t>
      </w:r>
      <w:smartTag w:uri="urn:schemas-microsoft-com:office:smarttags" w:element="country-region">
        <w:r w:rsidRPr="00992199">
          <w:rPr>
            <w:szCs w:val="20"/>
          </w:rPr>
          <w:t>Germany</w:t>
        </w:r>
      </w:smartTag>
      <w:r w:rsidRPr="00992199">
        <w:rPr>
          <w:szCs w:val="20"/>
        </w:rPr>
        <w:t xml:space="preserve"> and </w:t>
      </w:r>
      <w:smartTag w:uri="urn:schemas-microsoft-com:office:smarttags" w:element="country-region">
        <w:smartTag w:uri="urn:schemas-microsoft-com:office:smarttags" w:element="place">
          <w:r w:rsidRPr="00992199">
            <w:rPr>
              <w:szCs w:val="20"/>
            </w:rPr>
            <w:t>Italy</w:t>
          </w:r>
        </w:smartTag>
      </w:smartTag>
      <w:r w:rsidRPr="00992199">
        <w:rPr>
          <w:szCs w:val="20"/>
        </w:rPr>
        <w:t>.</w:t>
      </w:r>
    </w:p>
    <w:p w:rsidR="003F0BC5" w:rsidRPr="00992199" w:rsidRDefault="003F0BC5" w:rsidP="00B1213A">
      <w:pPr>
        <w:pStyle w:val="BulletsL1"/>
      </w:pPr>
      <w:r w:rsidRPr="00992199">
        <w:t>Inbound logistics</w:t>
      </w:r>
    </w:p>
    <w:p w:rsidR="003F0BC5" w:rsidRPr="00992199" w:rsidRDefault="003F0BC5" w:rsidP="00F35405">
      <w:pPr>
        <w:widowControl w:val="0"/>
        <w:autoSpaceDE w:val="0"/>
        <w:autoSpaceDN w:val="0"/>
        <w:adjustRightInd w:val="0"/>
        <w:ind w:left="720"/>
        <w:rPr>
          <w:szCs w:val="20"/>
        </w:rPr>
      </w:pPr>
      <w:r w:rsidRPr="00992199">
        <w:rPr>
          <w:szCs w:val="20"/>
        </w:rPr>
        <w:t xml:space="preserve">Once fresh produce reaches Europe, it is either transferred to the Univeg Group’s distribution hubs, located close to all major European fruit ports, or directly shipped into its distribution network across </w:t>
      </w:r>
      <w:smartTag w:uri="urn:schemas-microsoft-com:office:smarttags" w:element="place">
        <w:r w:rsidRPr="00992199">
          <w:rPr>
            <w:szCs w:val="20"/>
          </w:rPr>
          <w:t>Europe</w:t>
        </w:r>
      </w:smartTag>
      <w:r w:rsidRPr="00992199">
        <w:rPr>
          <w:szCs w:val="20"/>
        </w:rPr>
        <w:t>.</w:t>
      </w:r>
    </w:p>
    <w:p w:rsidR="003F0BC5" w:rsidRPr="00992199" w:rsidRDefault="003F0BC5" w:rsidP="00B1213A">
      <w:pPr>
        <w:pStyle w:val="BulletsL1"/>
      </w:pPr>
      <w:r w:rsidRPr="00992199">
        <w:t>Distribution centres</w:t>
      </w:r>
    </w:p>
    <w:p w:rsidR="003F0BC5" w:rsidRPr="00992199" w:rsidRDefault="003F0BC5" w:rsidP="00F35405">
      <w:pPr>
        <w:widowControl w:val="0"/>
        <w:autoSpaceDE w:val="0"/>
        <w:autoSpaceDN w:val="0"/>
        <w:adjustRightInd w:val="0"/>
        <w:ind w:left="720"/>
        <w:rPr>
          <w:szCs w:val="20"/>
        </w:rPr>
      </w:pPr>
      <w:r w:rsidRPr="00992199">
        <w:rPr>
          <w:szCs w:val="20"/>
        </w:rPr>
        <w:t xml:space="preserve">The </w:t>
      </w:r>
      <w:r w:rsidR="0002282E">
        <w:rPr>
          <w:szCs w:val="20"/>
        </w:rPr>
        <w:t>Univeg Group</w:t>
      </w:r>
      <w:r w:rsidRPr="00992199">
        <w:rPr>
          <w:szCs w:val="20"/>
        </w:rPr>
        <w:t xml:space="preserve"> operates a network of service and distribution centres where it stores, ripens and packs produce, as well as performs quality assurance tests. Key account management and administration is handled by account managers and staff at these service and distribution centres or, in some cases, at its central office in that particular country, for example, its </w:t>
      </w:r>
      <w:smartTag w:uri="urn:schemas-microsoft-com:office:smarttags" w:element="State">
        <w:r w:rsidRPr="00992199">
          <w:rPr>
            <w:szCs w:val="20"/>
          </w:rPr>
          <w:t>Bremen</w:t>
        </w:r>
      </w:smartTag>
      <w:r w:rsidRPr="00992199">
        <w:rPr>
          <w:szCs w:val="20"/>
        </w:rPr>
        <w:t xml:space="preserve"> office in </w:t>
      </w:r>
      <w:smartTag w:uri="urn:schemas-microsoft-com:office:smarttags" w:element="country-region">
        <w:smartTag w:uri="urn:schemas-microsoft-com:office:smarttags" w:element="place">
          <w:r w:rsidRPr="00992199">
            <w:rPr>
              <w:szCs w:val="20"/>
            </w:rPr>
            <w:t>Germany</w:t>
          </w:r>
        </w:smartTag>
      </w:smartTag>
      <w:r w:rsidRPr="00992199">
        <w:rPr>
          <w:szCs w:val="20"/>
        </w:rPr>
        <w:t>.</w:t>
      </w:r>
    </w:p>
    <w:p w:rsidR="003F0BC5" w:rsidRPr="00992199" w:rsidRDefault="003F0BC5" w:rsidP="00B1213A">
      <w:pPr>
        <w:pStyle w:val="BulletsL1"/>
      </w:pPr>
      <w:r w:rsidRPr="00992199">
        <w:t>Outbound logistics</w:t>
      </w:r>
    </w:p>
    <w:p w:rsidR="003F0BC5" w:rsidRPr="00992199" w:rsidRDefault="003F0BC5" w:rsidP="00F35405">
      <w:pPr>
        <w:widowControl w:val="0"/>
        <w:autoSpaceDE w:val="0"/>
        <w:autoSpaceDN w:val="0"/>
        <w:adjustRightInd w:val="0"/>
        <w:ind w:left="720"/>
        <w:rPr>
          <w:szCs w:val="20"/>
        </w:rPr>
      </w:pPr>
      <w:r w:rsidRPr="00992199">
        <w:rPr>
          <w:szCs w:val="20"/>
        </w:rPr>
        <w:t>At the final stage of the value chain process, the Univeg Group delivers the products in a temperature-controlled environment directly to its customers’ stores or, in some cases, to their own distribution centre network. Such delivery occurs either by owned fleet of vehicles or external service providers.</w:t>
      </w:r>
    </w:p>
    <w:p w:rsidR="003F0BC5" w:rsidRPr="00992199" w:rsidRDefault="003F0BC5" w:rsidP="00353B80">
      <w:pPr>
        <w:pStyle w:val="Firm5L4"/>
        <w:keepNext/>
      </w:pPr>
      <w:bookmarkStart w:id="19" w:name="_Ref418401558"/>
      <w:r w:rsidRPr="00992199">
        <w:t>Contractual framework</w:t>
      </w:r>
      <w:bookmarkEnd w:id="19"/>
    </w:p>
    <w:p w:rsidR="003F0BC5" w:rsidRPr="00992199" w:rsidRDefault="003F0BC5" w:rsidP="003F0BC5">
      <w:pPr>
        <w:rPr>
          <w:i/>
          <w:szCs w:val="20"/>
        </w:rPr>
      </w:pPr>
      <w:r w:rsidRPr="00992199">
        <w:rPr>
          <w:i/>
          <w:szCs w:val="20"/>
        </w:rPr>
        <w:t>General</w:t>
      </w:r>
    </w:p>
    <w:p w:rsidR="003F0BC5" w:rsidRPr="00992199" w:rsidRDefault="003F0BC5" w:rsidP="003F0BC5">
      <w:pPr>
        <w:rPr>
          <w:szCs w:val="20"/>
        </w:rPr>
      </w:pPr>
      <w:r w:rsidRPr="00992199">
        <w:rPr>
          <w:szCs w:val="20"/>
        </w:rPr>
        <w:t>The Univeg Group has not entered into any framework agreements with and does not receive fixed advance orders from the vast majority of its customers, but instead relies on regular (often daily) orders and seasonal planning agreements in line with historical consumption patterns based on its long-standing experience with these customers. Changes in the strategies or purchasing patterns of the Univeg Group’s customers may adversely affect the Univeg Group’s sales as the Company may not be in a position to sell the surplus produce or otherwise hedge its position since it can have longer-term obligations towards the growers from whom it sources the produce. Such changes in strategies or purchasing patterns are made easier by the fact that the Univeg Group and substantially all of its largest customers do not operate on the basis of formal contractual arrangements, which allows these customers to terminate their relationship with the Univeg Group or a then-current supply order at will.</w:t>
      </w:r>
    </w:p>
    <w:p w:rsidR="003F0BC5" w:rsidRPr="00992199" w:rsidRDefault="003F0BC5" w:rsidP="003F0BC5">
      <w:pPr>
        <w:rPr>
          <w:szCs w:val="20"/>
        </w:rPr>
      </w:pPr>
      <w:r w:rsidRPr="00992199">
        <w:rPr>
          <w:szCs w:val="20"/>
        </w:rPr>
        <w:t xml:space="preserve">With certain of its wholesale and retail customers, the Univeg Group has entered into framework agreements. Under these agreements the Univeg Group supplies fresh produce, sourced from </w:t>
      </w:r>
      <w:r w:rsidR="0002282E">
        <w:rPr>
          <w:szCs w:val="20"/>
        </w:rPr>
        <w:t xml:space="preserve">third party growers, </w:t>
      </w:r>
      <w:r w:rsidRPr="00992199">
        <w:rPr>
          <w:szCs w:val="20"/>
        </w:rPr>
        <w:t>The Fruit Farm Group</w:t>
      </w:r>
      <w:r w:rsidR="0002282E">
        <w:rPr>
          <w:szCs w:val="20"/>
        </w:rPr>
        <w:t xml:space="preserve">, </w:t>
      </w:r>
      <w:r w:rsidRPr="00992199">
        <w:rPr>
          <w:szCs w:val="20"/>
        </w:rPr>
        <w:t xml:space="preserve">the </w:t>
      </w:r>
      <w:r w:rsidR="00B80FCE">
        <w:rPr>
          <w:szCs w:val="20"/>
        </w:rPr>
        <w:t>Argentinean Operations</w:t>
      </w:r>
      <w:r w:rsidRPr="00992199">
        <w:rPr>
          <w:szCs w:val="20"/>
        </w:rPr>
        <w:t xml:space="preserve"> or on the spot market, to its customers. The customers place orders with the Univeg Group during the term of the agreement. There are generally no minimum purchase obligations but, in certain cases, customers will commit, on a best efforts basis only, to a purchase volume on an annual basis. In some instances, the Univeg Group is the exclusive supplier of certain fruits and vegetables. The prices under the orders placed by the customers are generally aligned with the prevailing spot market prices at the time of confirmation of the order by the customer. The agreements are typically in effect for one- or two-year terms, though longer agreements of up to four or five years are not uncommon.</w:t>
      </w:r>
    </w:p>
    <w:p w:rsidR="003F0BC5" w:rsidRPr="00992199" w:rsidRDefault="003F0BC5" w:rsidP="003F0BC5">
      <w:pPr>
        <w:rPr>
          <w:szCs w:val="20"/>
        </w:rPr>
      </w:pPr>
      <w:r w:rsidRPr="00992199">
        <w:rPr>
          <w:szCs w:val="20"/>
        </w:rPr>
        <w:t>The Univeg Group has also entered into logistics agreements with certain customers. Under these agreements the customer’s fruits and vegetables suppliers deliver to the Univeg Group’s warehouse where the customer’s supplies are centralised. The Univeg Group is responsible for the warehouse management (unloading, storage (including frozen products), and loading) and the transport of the supplies to the customer’s premises. The customer typically remains owner of goods stored in the Univeg Group’s warehouses, but the Univeg Group is liable for damage or losses occurring while the goods are under its custody, until the time of delivery. The price is typically a combination of rent for the warehouse, a handling fee for the warehouse management of the products belonging to the customer and transportation cost. The agreements are generally in effect for a one-year term with tacit renewal, though longer agreements are not uncommon.</w:t>
      </w:r>
    </w:p>
    <w:p w:rsidR="003F0BC5" w:rsidRPr="00992199" w:rsidRDefault="003F0BC5" w:rsidP="003F0BC5">
      <w:pPr>
        <w:rPr>
          <w:szCs w:val="20"/>
        </w:rPr>
      </w:pPr>
      <w:r w:rsidRPr="00992199">
        <w:rPr>
          <w:szCs w:val="20"/>
        </w:rPr>
        <w:t xml:space="preserve">The Univeg Group’s activities concentrate mainly on sourcing of imported produce; the sourcing of products to be sold in the markets where they are produced (or </w:t>
      </w:r>
      <w:r w:rsidR="00BF553B">
        <w:rPr>
          <w:szCs w:val="20"/>
        </w:rPr>
        <w:t>“</w:t>
      </w:r>
      <w:r w:rsidRPr="00992199">
        <w:rPr>
          <w:szCs w:val="20"/>
        </w:rPr>
        <w:t>local to local sourcing</w:t>
      </w:r>
      <w:r w:rsidR="00BF553B">
        <w:rPr>
          <w:szCs w:val="20"/>
        </w:rPr>
        <w:t>”</w:t>
      </w:r>
      <w:r w:rsidRPr="00992199">
        <w:rPr>
          <w:szCs w:val="20"/>
        </w:rPr>
        <w:t>) is not a core activity of the Univeg Group. Since the price of produce is generally fairly consistent across the market at any given point in time, optimisation of logistics costs and other value-added services is often one of the variables that distinguishes the Univeg Group from its competitors and which customers (current or prospective) focus on. The Univeg Group contracts the vast majority of its transport activities through third parties.</w:t>
      </w:r>
    </w:p>
    <w:p w:rsidR="003F0BC5" w:rsidRPr="00992199" w:rsidRDefault="003F0BC5" w:rsidP="003F0BC5">
      <w:pPr>
        <w:rPr>
          <w:i/>
          <w:szCs w:val="20"/>
        </w:rPr>
      </w:pPr>
      <w:r w:rsidRPr="00992199">
        <w:rPr>
          <w:i/>
          <w:szCs w:val="20"/>
        </w:rPr>
        <w:t>Crop Financing (or seasonal advances)</w:t>
      </w:r>
    </w:p>
    <w:p w:rsidR="003F0BC5" w:rsidRPr="00992199" w:rsidRDefault="003F0BC5" w:rsidP="003F0BC5">
      <w:pPr>
        <w:rPr>
          <w:szCs w:val="20"/>
        </w:rPr>
      </w:pPr>
      <w:r w:rsidRPr="00992199">
        <w:rPr>
          <w:szCs w:val="20"/>
        </w:rPr>
        <w:lastRenderedPageBreak/>
        <w:t xml:space="preserve">In addition, the Univeg Group grants crop financing or pre-seasonal advances to its third-party growers, TFFG and Orchard Invest’s </w:t>
      </w:r>
      <w:r w:rsidR="00B80FCE">
        <w:rPr>
          <w:szCs w:val="20"/>
        </w:rPr>
        <w:t>Argentinean Operations</w:t>
      </w:r>
      <w:r w:rsidRPr="00992199">
        <w:rPr>
          <w:szCs w:val="20"/>
        </w:rPr>
        <w:t>.</w:t>
      </w:r>
      <w:r w:rsidR="00F13D58">
        <w:rPr>
          <w:szCs w:val="20"/>
        </w:rPr>
        <w:t xml:space="preserve"> </w:t>
      </w:r>
      <w:r w:rsidRPr="00992199">
        <w:rPr>
          <w:szCs w:val="20"/>
        </w:rPr>
        <w:t xml:space="preserve">In turn, TFFG and the </w:t>
      </w:r>
      <w:r w:rsidR="00B80FCE">
        <w:rPr>
          <w:szCs w:val="20"/>
        </w:rPr>
        <w:t>Argentinean Operations</w:t>
      </w:r>
      <w:r w:rsidRPr="00992199">
        <w:rPr>
          <w:szCs w:val="20"/>
        </w:rPr>
        <w:t xml:space="preserve"> also grant crop financing or pre-seasonal advances to their third-party grower relationships.</w:t>
      </w:r>
    </w:p>
    <w:p w:rsidR="003F0BC5" w:rsidRPr="00992199" w:rsidRDefault="003F0BC5" w:rsidP="003F0BC5">
      <w:pPr>
        <w:rPr>
          <w:szCs w:val="20"/>
        </w:rPr>
      </w:pPr>
      <w:r w:rsidRPr="00992199">
        <w:rPr>
          <w:szCs w:val="20"/>
        </w:rPr>
        <w:t xml:space="preserve">Under the crop financing agreements the supplier commits to supply part of its harvest to the Univeg Group (or to the </w:t>
      </w:r>
      <w:r w:rsidR="00B80FCE">
        <w:rPr>
          <w:szCs w:val="20"/>
        </w:rPr>
        <w:t>Argentinean Operations</w:t>
      </w:r>
      <w:r w:rsidRPr="00992199">
        <w:rPr>
          <w:szCs w:val="20"/>
        </w:rPr>
        <w:t xml:space="preserve"> or TFFG as the case may be) for marketing and on-sale. The advance of a certain portion of the price payable by the Univeg Group for that harvest is secured by a pledge in respect of the crop through the assignment to the creditor of the supplier’s claims against any exporting agents, fruit marketing agents and any other purchasers of its products, both present and future. The advanced amount is calculated based on the expected harvest of the supplier for that season, and is usually less than the value of the goods shipped to the Univeg Group.</w:t>
      </w:r>
    </w:p>
    <w:p w:rsidR="003F0BC5" w:rsidRPr="00992199" w:rsidRDefault="003F0BC5" w:rsidP="003F0BC5">
      <w:pPr>
        <w:rPr>
          <w:szCs w:val="20"/>
        </w:rPr>
      </w:pPr>
      <w:r w:rsidRPr="00992199">
        <w:rPr>
          <w:szCs w:val="20"/>
        </w:rPr>
        <w:t>Repayment of the advanced amount occurs by allowing the Univeg Group, prior to paying the balance to the supplier, to deduct from the net proceeds it receives for the marketed and on-sold harvest, a contractually agreed amount. If any part of the advanced amount is not repaid by the agreed time, the supplier is required to pay the balance in cash, although it is more common that the grower repays such financing in arrears, in the form of produce.</w:t>
      </w:r>
    </w:p>
    <w:p w:rsidR="003F0BC5" w:rsidRPr="00992199" w:rsidRDefault="003F0BC5" w:rsidP="003F0BC5">
      <w:pPr>
        <w:rPr>
          <w:szCs w:val="20"/>
        </w:rPr>
      </w:pPr>
      <w:r w:rsidRPr="00992199">
        <w:rPr>
          <w:szCs w:val="20"/>
        </w:rPr>
        <w:t xml:space="preserve">To improve risk and cash management, the Univeg Group has put in place guidelines on approval requirements with respect to advances provided to growers/suppliers (the </w:t>
      </w:r>
      <w:r w:rsidRPr="00992199">
        <w:rPr>
          <w:b/>
          <w:i/>
          <w:szCs w:val="20"/>
        </w:rPr>
        <w:t>Grower Advance Policy</w:t>
      </w:r>
      <w:r w:rsidRPr="00992199">
        <w:rPr>
          <w:szCs w:val="20"/>
        </w:rPr>
        <w:t>), which sets forth the criteria on the basis of which members of the Univeg Group are entitled to provide advances to suppliers (and includes guidelines as to when security interests have to be taken). Depending on the risk assessment (which is a function mainly of the aggregate exposure and the duration of the loan), local management can take this decision autonomously or, in some cases, are required to first obtain the approval of the Univeg Group’s central management.</w:t>
      </w:r>
    </w:p>
    <w:p w:rsidR="003F0BC5" w:rsidRPr="00992199" w:rsidRDefault="003F0BC5" w:rsidP="003F0BC5">
      <w:pPr>
        <w:rPr>
          <w:i/>
          <w:szCs w:val="20"/>
        </w:rPr>
      </w:pPr>
      <w:r w:rsidRPr="00992199">
        <w:rPr>
          <w:i/>
          <w:szCs w:val="20"/>
        </w:rPr>
        <w:t>Sourcing</w:t>
      </w:r>
    </w:p>
    <w:p w:rsidR="003F0BC5" w:rsidRPr="00992199" w:rsidRDefault="003F0BC5" w:rsidP="003F0BC5">
      <w:pPr>
        <w:rPr>
          <w:szCs w:val="20"/>
        </w:rPr>
      </w:pPr>
      <w:r w:rsidRPr="00992199">
        <w:rPr>
          <w:szCs w:val="20"/>
        </w:rPr>
        <w:t>The Univeg Group currently obtains most of its supply from outside sources, of which approximately a quarter is sourced from the spot market and the remainder from third party growers.</w:t>
      </w:r>
    </w:p>
    <w:p w:rsidR="003F0BC5" w:rsidRPr="00992199" w:rsidRDefault="00A76464" w:rsidP="003F0BC5">
      <w:pPr>
        <w:rPr>
          <w:szCs w:val="20"/>
        </w:rPr>
      </w:pPr>
      <w:r>
        <w:rPr>
          <w:szCs w:val="20"/>
        </w:rPr>
        <w:t>Except for its long-term supply agreements with the Argentinean Operations and The Fruit Farm Group, t</w:t>
      </w:r>
      <w:r w:rsidR="003F0BC5" w:rsidRPr="00992199">
        <w:rPr>
          <w:szCs w:val="20"/>
        </w:rPr>
        <w:t>he supplier base is highly fragmented. Accordingly, the Univeg Group has entered into a large number of supply agreements with suppliers from all over the world to be able to supply fresh fruits and vegetables on a year-round basis. Under the supply agreements, the Univeg Group typically sources its fresh produce directly from growers during a term which coincides with the season of the particular product. For overseas suppliers, different terms of delivery are used on the basis of the so-called International Commercial Terms or ‘Incoterms’ such as ‘Free on Board’ (FOB) and ‘Cost, Insurance and Freight’ (CIF).</w:t>
      </w:r>
    </w:p>
    <w:p w:rsidR="003F0BC5" w:rsidRDefault="003F0BC5" w:rsidP="003F0BC5">
      <w:pPr>
        <w:rPr>
          <w:szCs w:val="20"/>
        </w:rPr>
      </w:pPr>
      <w:r w:rsidRPr="00992199">
        <w:rPr>
          <w:szCs w:val="20"/>
        </w:rPr>
        <w:t xml:space="preserve">The Univeg Group’s supply is </w:t>
      </w:r>
      <w:r w:rsidR="00C953E2">
        <w:rPr>
          <w:szCs w:val="20"/>
        </w:rPr>
        <w:t>often</w:t>
      </w:r>
      <w:r w:rsidRPr="00992199">
        <w:rPr>
          <w:szCs w:val="20"/>
        </w:rPr>
        <w:t xml:space="preserve"> do</w:t>
      </w:r>
      <w:r w:rsidR="00C953E2">
        <w:rPr>
          <w:szCs w:val="20"/>
        </w:rPr>
        <w:t xml:space="preserve">ne on a </w:t>
      </w:r>
      <w:r w:rsidR="00BF553B">
        <w:rPr>
          <w:szCs w:val="20"/>
        </w:rPr>
        <w:t>“</w:t>
      </w:r>
      <w:r w:rsidR="00C953E2">
        <w:rPr>
          <w:szCs w:val="20"/>
        </w:rPr>
        <w:t>free consignment</w:t>
      </w:r>
      <w:r w:rsidR="00BF553B">
        <w:rPr>
          <w:szCs w:val="20"/>
        </w:rPr>
        <w:t>”</w:t>
      </w:r>
      <w:r w:rsidR="00C953E2">
        <w:rPr>
          <w:szCs w:val="20"/>
        </w:rPr>
        <w:t xml:space="preserve"> or a </w:t>
      </w:r>
      <w:r w:rsidR="00BF553B">
        <w:rPr>
          <w:szCs w:val="20"/>
        </w:rPr>
        <w:t>“</w:t>
      </w:r>
      <w:r w:rsidR="00C953E2">
        <w:rPr>
          <w:szCs w:val="20"/>
        </w:rPr>
        <w:t>minimum guaranteed price</w:t>
      </w:r>
      <w:r w:rsidR="00BF553B">
        <w:rPr>
          <w:szCs w:val="20"/>
        </w:rPr>
        <w:t>”</w:t>
      </w:r>
      <w:r w:rsidR="00C953E2">
        <w:rPr>
          <w:szCs w:val="20"/>
        </w:rPr>
        <w:t xml:space="preserve"> basis</w:t>
      </w:r>
      <w:r w:rsidRPr="00992199">
        <w:rPr>
          <w:szCs w:val="20"/>
        </w:rPr>
        <w:t>.</w:t>
      </w:r>
    </w:p>
    <w:p w:rsidR="00C953E2" w:rsidRPr="00992199" w:rsidRDefault="00C953E2" w:rsidP="00C953E2">
      <w:pPr>
        <w:rPr>
          <w:szCs w:val="20"/>
        </w:rPr>
      </w:pPr>
      <w:r w:rsidRPr="00992199">
        <w:rPr>
          <w:szCs w:val="20"/>
        </w:rPr>
        <w:t xml:space="preserve">Under </w:t>
      </w:r>
      <w:r w:rsidR="00115545">
        <w:rPr>
          <w:szCs w:val="20"/>
        </w:rPr>
        <w:t>the “free consignment”</w:t>
      </w:r>
      <w:r w:rsidRPr="00992199">
        <w:rPr>
          <w:szCs w:val="20"/>
        </w:rPr>
        <w:t xml:space="preserve"> model, the third-party grower transfers the fresh produce to the Univeg Group for sale by the Univeg Group to its customers. The Univeg Group (after having, in some limited cases, made certain cash advances to the grower (see </w:t>
      </w:r>
      <w:r w:rsidR="00BF553B">
        <w:rPr>
          <w:szCs w:val="20"/>
        </w:rPr>
        <w:t>“</w:t>
      </w:r>
      <w:r w:rsidRPr="00992199">
        <w:rPr>
          <w:szCs w:val="20"/>
        </w:rPr>
        <w:t>Crop Financing</w:t>
      </w:r>
      <w:r w:rsidR="00BF553B">
        <w:rPr>
          <w:szCs w:val="20"/>
        </w:rPr>
        <w:t>”</w:t>
      </w:r>
      <w:r w:rsidRPr="00992199">
        <w:rPr>
          <w:szCs w:val="20"/>
        </w:rPr>
        <w:t xml:space="preserve"> </w:t>
      </w:r>
      <w:r>
        <w:rPr>
          <w:szCs w:val="20"/>
        </w:rPr>
        <w:t>above</w:t>
      </w:r>
      <w:r w:rsidRPr="00992199">
        <w:rPr>
          <w:szCs w:val="20"/>
        </w:rPr>
        <w:t>) goes on to sell such produce to retailers on a reasonable efforts basis to sell it at the best price on the market. Upon sale, the Univeg Group transfers the proceeds for the sale of the produce (</w:t>
      </w:r>
      <w:r w:rsidRPr="00992199">
        <w:rPr>
          <w:i/>
          <w:szCs w:val="20"/>
        </w:rPr>
        <w:t>i.e.</w:t>
      </w:r>
      <w:r w:rsidRPr="00992199">
        <w:rPr>
          <w:szCs w:val="20"/>
        </w:rPr>
        <w:t>, net of the costs of any other services provided by the Univeg Group to the relevant retailer) to the grower after deduction of any prior advances made and a commission (typically around 8%).</w:t>
      </w:r>
    </w:p>
    <w:p w:rsidR="00C953E2" w:rsidRPr="00992199" w:rsidRDefault="00C953E2" w:rsidP="00C953E2">
      <w:pPr>
        <w:rPr>
          <w:szCs w:val="20"/>
        </w:rPr>
      </w:pPr>
      <w:r w:rsidRPr="00992199">
        <w:rPr>
          <w:szCs w:val="20"/>
        </w:rPr>
        <w:t xml:space="preserve">The </w:t>
      </w:r>
      <w:r w:rsidR="00115545">
        <w:rPr>
          <w:szCs w:val="20"/>
        </w:rPr>
        <w:t>“</w:t>
      </w:r>
      <w:r w:rsidRPr="00992199">
        <w:rPr>
          <w:szCs w:val="20"/>
        </w:rPr>
        <w:t>minimum guaranteed price</w:t>
      </w:r>
      <w:r w:rsidR="00115545">
        <w:rPr>
          <w:szCs w:val="20"/>
        </w:rPr>
        <w:t>” model</w:t>
      </w:r>
      <w:r w:rsidRPr="00992199">
        <w:rPr>
          <w:szCs w:val="20"/>
        </w:rPr>
        <w:t xml:space="preserve"> is a variation of the free consignment model. Under the </w:t>
      </w:r>
      <w:r w:rsidR="00BF553B">
        <w:rPr>
          <w:szCs w:val="20"/>
        </w:rPr>
        <w:t>“</w:t>
      </w:r>
      <w:r w:rsidRPr="00992199">
        <w:rPr>
          <w:szCs w:val="20"/>
        </w:rPr>
        <w:t>minimum guaranteed price</w:t>
      </w:r>
      <w:r w:rsidR="00BF553B">
        <w:rPr>
          <w:szCs w:val="20"/>
        </w:rPr>
        <w:t>”</w:t>
      </w:r>
      <w:r w:rsidRPr="00992199">
        <w:rPr>
          <w:szCs w:val="20"/>
        </w:rPr>
        <w:t xml:space="preserve"> model, the grower transfers the fresh produce to the Univeg Group for sale by the Univeg Group to third parties, but is guaranteed to receive a certain minimum price agreed in advance with the Univeg Group.</w:t>
      </w:r>
    </w:p>
    <w:p w:rsidR="00C953E2" w:rsidRDefault="00C953E2" w:rsidP="003F0BC5">
      <w:pPr>
        <w:rPr>
          <w:szCs w:val="20"/>
        </w:rPr>
      </w:pPr>
      <w:r>
        <w:rPr>
          <w:szCs w:val="20"/>
        </w:rPr>
        <w:t>Other models used by the Univeg Group include</w:t>
      </w:r>
      <w:r w:rsidR="00701306">
        <w:rPr>
          <w:szCs w:val="20"/>
        </w:rPr>
        <w:t>:</w:t>
      </w:r>
    </w:p>
    <w:p w:rsidR="00C953E2" w:rsidRDefault="00BF553B" w:rsidP="00C953E2">
      <w:pPr>
        <w:pStyle w:val="BulletsL1"/>
        <w:rPr>
          <w:szCs w:val="20"/>
        </w:rPr>
      </w:pPr>
      <w:r>
        <w:rPr>
          <w:szCs w:val="20"/>
        </w:rPr>
        <w:t>“</w:t>
      </w:r>
      <w:r w:rsidR="00C953E2">
        <w:rPr>
          <w:szCs w:val="20"/>
        </w:rPr>
        <w:t>back-to-</w:t>
      </w:r>
      <w:r w:rsidR="00C953E2" w:rsidRPr="00C953E2">
        <w:t>back</w:t>
      </w:r>
      <w:r>
        <w:rPr>
          <w:szCs w:val="20"/>
        </w:rPr>
        <w:t>”</w:t>
      </w:r>
      <w:r w:rsidR="00C953E2">
        <w:rPr>
          <w:szCs w:val="20"/>
        </w:rPr>
        <w:t xml:space="preserve"> transactions, through which </w:t>
      </w:r>
      <w:r w:rsidR="00C953E2" w:rsidRPr="00C953E2">
        <w:rPr>
          <w:szCs w:val="20"/>
        </w:rPr>
        <w:t>the Univeg Group buys products on the market for them to be resold within a short space of time to retailers which have already agreed to buy them</w:t>
      </w:r>
      <w:r w:rsidR="00C953E2">
        <w:rPr>
          <w:szCs w:val="20"/>
        </w:rPr>
        <w:t xml:space="preserve">; </w:t>
      </w:r>
    </w:p>
    <w:p w:rsidR="00C953E2" w:rsidRDefault="00C953E2" w:rsidP="00C953E2">
      <w:pPr>
        <w:pStyle w:val="BulletsL1"/>
        <w:rPr>
          <w:szCs w:val="20"/>
        </w:rPr>
      </w:pPr>
      <w:r>
        <w:rPr>
          <w:szCs w:val="20"/>
        </w:rPr>
        <w:t xml:space="preserve">the </w:t>
      </w:r>
      <w:r w:rsidR="00BF553B">
        <w:rPr>
          <w:szCs w:val="20"/>
        </w:rPr>
        <w:t>“</w:t>
      </w:r>
      <w:r>
        <w:rPr>
          <w:szCs w:val="20"/>
        </w:rPr>
        <w:t>cost plus</w:t>
      </w:r>
      <w:r w:rsidR="00BF553B">
        <w:rPr>
          <w:szCs w:val="20"/>
        </w:rPr>
        <w:t>”</w:t>
      </w:r>
      <w:r>
        <w:rPr>
          <w:szCs w:val="20"/>
        </w:rPr>
        <w:t xml:space="preserve"> model, under which </w:t>
      </w:r>
      <w:r w:rsidRPr="00C953E2">
        <w:rPr>
          <w:szCs w:val="20"/>
        </w:rPr>
        <w:t xml:space="preserve">the produce is typically to be bought on behalf of the Univeg Group’s customer from suppliers determined by that customer and at the price range negotiated by that customer. </w:t>
      </w:r>
      <w:r w:rsidRPr="00C953E2">
        <w:t>The</w:t>
      </w:r>
      <w:r w:rsidRPr="00C953E2">
        <w:rPr>
          <w:szCs w:val="20"/>
        </w:rPr>
        <w:t xml:space="preserve"> Univeg Group adds certain pre-agreed costs of goods sold, for example the cost of certain value-added activities, and a pre-agreed margin (which varies depending on the customer) calculated on the aggregate of the purchase price for the produce and the net costs invoiced with it</w:t>
      </w:r>
      <w:r>
        <w:rPr>
          <w:szCs w:val="20"/>
        </w:rPr>
        <w:t>;</w:t>
      </w:r>
    </w:p>
    <w:p w:rsidR="00C953E2" w:rsidRDefault="00C953E2" w:rsidP="00C953E2">
      <w:pPr>
        <w:pStyle w:val="BulletsL1"/>
        <w:rPr>
          <w:szCs w:val="20"/>
        </w:rPr>
      </w:pPr>
      <w:r>
        <w:rPr>
          <w:szCs w:val="20"/>
        </w:rPr>
        <w:lastRenderedPageBreak/>
        <w:t xml:space="preserve">a </w:t>
      </w:r>
      <w:r w:rsidR="00BF553B">
        <w:rPr>
          <w:szCs w:val="20"/>
        </w:rPr>
        <w:t>“</w:t>
      </w:r>
      <w:r>
        <w:rPr>
          <w:szCs w:val="20"/>
        </w:rPr>
        <w:t>fixed percentage margin</w:t>
      </w:r>
      <w:r w:rsidR="00BF553B">
        <w:rPr>
          <w:szCs w:val="20"/>
        </w:rPr>
        <w:t>”</w:t>
      </w:r>
      <w:r>
        <w:rPr>
          <w:szCs w:val="20"/>
        </w:rPr>
        <w:t xml:space="preserve"> model, which </w:t>
      </w:r>
      <w:r w:rsidRPr="00C953E2">
        <w:rPr>
          <w:szCs w:val="20"/>
        </w:rPr>
        <w:t>is a variation of the cost plus model. The margin on the specified costs of goods sold is agreed in advance (for an entire season or for a shorter period of time), though often subject to final adjustments after the product is delivered</w:t>
      </w:r>
      <w:r>
        <w:rPr>
          <w:szCs w:val="20"/>
        </w:rPr>
        <w:t>; and</w:t>
      </w:r>
    </w:p>
    <w:p w:rsidR="00C953E2" w:rsidRPr="00992199" w:rsidRDefault="00BF553B" w:rsidP="00C953E2">
      <w:pPr>
        <w:pStyle w:val="BulletsL1"/>
        <w:rPr>
          <w:szCs w:val="20"/>
        </w:rPr>
      </w:pPr>
      <w:r>
        <w:rPr>
          <w:szCs w:val="20"/>
        </w:rPr>
        <w:t>“</w:t>
      </w:r>
      <w:r w:rsidR="00C953E2">
        <w:rPr>
          <w:szCs w:val="20"/>
        </w:rPr>
        <w:t>per box pricing</w:t>
      </w:r>
      <w:r>
        <w:rPr>
          <w:szCs w:val="20"/>
        </w:rPr>
        <w:t>”</w:t>
      </w:r>
      <w:r w:rsidR="00C953E2">
        <w:rPr>
          <w:szCs w:val="20"/>
        </w:rPr>
        <w:t xml:space="preserve">, which </w:t>
      </w:r>
      <w:r w:rsidR="00C953E2" w:rsidRPr="00C953E2">
        <w:rPr>
          <w:szCs w:val="20"/>
        </w:rPr>
        <w:t>model is used the Univeg Group’s ripening services, according to which the Univeg Group is paid a certain fee for each box of product ripened</w:t>
      </w:r>
    </w:p>
    <w:p w:rsidR="003F0BC5" w:rsidRPr="00992199" w:rsidRDefault="003F0BC5" w:rsidP="003F0BC5">
      <w:pPr>
        <w:rPr>
          <w:szCs w:val="20"/>
        </w:rPr>
      </w:pPr>
      <w:r w:rsidRPr="00992199">
        <w:rPr>
          <w:szCs w:val="20"/>
        </w:rPr>
        <w:t>The terms of the sales to third parties are typically determined by the Univeg Group on a decentralised basis (</w:t>
      </w:r>
      <w:r w:rsidRPr="00992199">
        <w:rPr>
          <w:i/>
          <w:szCs w:val="20"/>
        </w:rPr>
        <w:t>i.e.</w:t>
      </w:r>
      <w:r w:rsidRPr="00992199">
        <w:rPr>
          <w:szCs w:val="20"/>
        </w:rPr>
        <w:t>, per local market), although, in particular cases, a minimum guaranteed or fixed price is imposed by the grower (payable often in two stages: one part upon confirmation of shipment and the balance upon completion of the quality control after unloading). The question of which party bears transportation and loading risk, insurance cost, sea freight and European inland costs (terminal handling charges, transport of the container to the warehouse, custom clearance, etc.), is negotiated on a contract-per-contract basis.</w:t>
      </w:r>
    </w:p>
    <w:p w:rsidR="003F0BC5" w:rsidRPr="00992199" w:rsidRDefault="003F0BC5" w:rsidP="00353B80">
      <w:pPr>
        <w:pStyle w:val="Firm5L4"/>
        <w:keepNext/>
      </w:pPr>
      <w:r w:rsidRPr="00992199">
        <w:t>Quality management</w:t>
      </w:r>
    </w:p>
    <w:p w:rsidR="003F0BC5" w:rsidRPr="00992199" w:rsidRDefault="003F0BC5" w:rsidP="003F0BC5">
      <w:pPr>
        <w:rPr>
          <w:szCs w:val="20"/>
        </w:rPr>
      </w:pPr>
      <w:r w:rsidRPr="00992199">
        <w:rPr>
          <w:szCs w:val="20"/>
        </w:rPr>
        <w:t>Effective quality management throughout the supply chain is at the heart of the Univeg Group’s strategy to build long-lasting, sustainable relationships with its customers. To this end, the Univeg Group has in place a quality management policy, the implementation of which is overseen by the Quality Management Coordination Unit (</w:t>
      </w:r>
      <w:r w:rsidRPr="00992199">
        <w:rPr>
          <w:b/>
          <w:i/>
          <w:szCs w:val="20"/>
        </w:rPr>
        <w:t>QMCU</w:t>
      </w:r>
      <w:r w:rsidRPr="00992199">
        <w:rPr>
          <w:szCs w:val="20"/>
        </w:rPr>
        <w:t xml:space="preserve">) based in </w:t>
      </w:r>
      <w:smartTag w:uri="urn:schemas-microsoft-com:office:smarttags" w:element="State">
        <w:smartTag w:uri="urn:schemas-microsoft-com:office:smarttags" w:element="place">
          <w:r w:rsidRPr="00992199">
            <w:rPr>
              <w:szCs w:val="20"/>
            </w:rPr>
            <w:t>Bremen</w:t>
          </w:r>
        </w:smartTag>
      </w:smartTag>
      <w:r w:rsidRPr="00992199">
        <w:rPr>
          <w:szCs w:val="20"/>
        </w:rPr>
        <w:t xml:space="preserve"> which coordinates with and supervises the Univeg Group’s technicians and growers to develop quality management standards and solutions. The QMCU is also able to provide guidance when local quality management personnel need to interact with the customers’ technicians on these issues. Whilst the quality management policy is a group-wide policy, it has been developed — and is continually tested, refined and coordinated — according to the particular regulations and customs that prevail in the countries in which the Univeg Group operates. Because the Univeg Group develops a variety of standards for its different industrial processes, it is independently certified according to several external standards (although all of the Univeg Group’s European facilities are certified according to the requirements of the British Retail Consortium (BRC) or International Food Standard (IFS</w:t>
      </w:r>
      <w:r w:rsidR="00115545">
        <w:rPr>
          <w:szCs w:val="20"/>
        </w:rPr>
        <w:t>)</w:t>
      </w:r>
      <w:r w:rsidRPr="00992199">
        <w:rPr>
          <w:szCs w:val="20"/>
        </w:rPr>
        <w:t>).</w:t>
      </w:r>
    </w:p>
    <w:p w:rsidR="003F0BC5" w:rsidRPr="00992199" w:rsidRDefault="003F0BC5" w:rsidP="00353B80">
      <w:pPr>
        <w:pStyle w:val="Firm5L4"/>
        <w:keepNext/>
      </w:pPr>
      <w:r w:rsidRPr="00992199">
        <w:t>Research and development</w:t>
      </w:r>
    </w:p>
    <w:p w:rsidR="003F0BC5" w:rsidRPr="00992199" w:rsidRDefault="003F0BC5" w:rsidP="003F0BC5">
      <w:pPr>
        <w:rPr>
          <w:szCs w:val="20"/>
        </w:rPr>
      </w:pPr>
      <w:r w:rsidRPr="00992199">
        <w:rPr>
          <w:szCs w:val="20"/>
        </w:rPr>
        <w:t>Innovation is essential to improving the quality of the production processes and of products, thereby facilitating differentiation from competitors. The Univeg Group is actively involved in testing, evaluating and promoting new technologies and techniques. In particular, the Univeg Group is focused on creating new product varieties, working with industry experts to develop shelf</w:t>
      </w:r>
      <w:r w:rsidR="00304A20">
        <w:rPr>
          <w:szCs w:val="20"/>
        </w:rPr>
        <w:t xml:space="preserve"> </w:t>
      </w:r>
      <w:r w:rsidRPr="00992199">
        <w:rPr>
          <w:szCs w:val="20"/>
        </w:rPr>
        <w:t>life extension and quality monitoring technologies and developing packaging technology.</w:t>
      </w:r>
    </w:p>
    <w:p w:rsidR="003F0BC5" w:rsidRPr="00992199" w:rsidRDefault="003F0BC5" w:rsidP="00353B80">
      <w:pPr>
        <w:pStyle w:val="Firm5L4"/>
        <w:keepNext/>
      </w:pPr>
      <w:r w:rsidRPr="00992199">
        <w:t>Intellectual property</w:t>
      </w:r>
    </w:p>
    <w:p w:rsidR="003F0BC5" w:rsidRPr="00992199" w:rsidRDefault="003F0BC5" w:rsidP="003F0BC5">
      <w:pPr>
        <w:rPr>
          <w:szCs w:val="20"/>
        </w:rPr>
      </w:pPr>
      <w:r w:rsidRPr="00992199">
        <w:rPr>
          <w:szCs w:val="20"/>
        </w:rPr>
        <w:t xml:space="preserve">The Univeg Group supplies its fresh produce under three types of brands: (i) its customers’ private labels; (ii) suppliers’ labels; and (iii) the Univeg Group’s own trade brands. The Univeg Group predominantly supplies its fresh produce under its customers’ private labels because of the strategic value its customers gain from such an arrangement and the segmentation that sub-brands provide. With respect to its own trade brands, the Univeg Group owns registered trademarks for </w:t>
      </w:r>
      <w:r w:rsidR="00A76464">
        <w:rPr>
          <w:szCs w:val="20"/>
        </w:rPr>
        <w:t>[</w:t>
      </w:r>
      <w:r w:rsidRPr="00992199">
        <w:rPr>
          <w:szCs w:val="20"/>
        </w:rPr>
        <w:t>Alara</w:t>
      </w:r>
      <w:r w:rsidR="00A76464">
        <w:rPr>
          <w:szCs w:val="20"/>
        </w:rPr>
        <w:t>]</w:t>
      </w:r>
      <w:r w:rsidRPr="00992199">
        <w:rPr>
          <w:szCs w:val="20"/>
        </w:rPr>
        <w:t>, Fresh Surprise, Happy Tree, BioTree, Campesita, Ready Green, Royal Coast, Apfel Büdel, Atlanta Fruct Akademie, Banaflor, Banaloco, Benny Banane, Biolé, Black Sensation, Follow the Sun, Freche Früchtchen, Mandarina’s, Gold Sensation, Green Sensation, Hameico, Öko-Frucht, Iss Mich, Maya, Pink Sensation, Pino, Pomme D’Amour, Red Sensation, Reif &amp; Lecker, Verano, Sunburst, Kiwi Karrier, Peachliscious, Plumliscious, Nectaliscious, Katopé, Cobana, 1x1, Qualifruit Premium, Casteel’s, DWB, De Weide Blik Coördinatiecentrum, Forestière, Legumex, Novaveg Logistics, Sweet Surprise, Univeg, Univeg Cycle of Freshness, Fairclass, Fairclass bio, Captain Applehead, Apfel Liebe, Univeg Profi Line, Univeg Fruchtakademie, Prinzessin Pearella, Soul Fruit, Tradition, Bakker, Ijssel Crop, Green Pack, Wkaki, Holland Crop, Buitenbeentjes, Autumn Gold and White Tiger. Some of these trademarks are trademarks registered internationally with the World Intellectual Property Organisation, the Benelux Office for Intellectual Property or the EU Office for Harmonisation in the Internal Market, while others are registered locally in countries where the Univeg Group is active.</w:t>
      </w:r>
    </w:p>
    <w:p w:rsidR="003F0BC5" w:rsidRPr="00992199" w:rsidRDefault="003F0BC5" w:rsidP="00353B80">
      <w:pPr>
        <w:pStyle w:val="Firm5L3"/>
        <w:keepNext/>
      </w:pPr>
      <w:r w:rsidRPr="00992199">
        <w:t>Principal activities and markets</w:t>
      </w:r>
    </w:p>
    <w:p w:rsidR="003F0BC5" w:rsidRPr="00992199" w:rsidRDefault="003F0BC5" w:rsidP="00353B80">
      <w:pPr>
        <w:pStyle w:val="Firm5L4"/>
        <w:keepNext/>
      </w:pPr>
      <w:r w:rsidRPr="00992199">
        <w:t>Customers</w:t>
      </w:r>
    </w:p>
    <w:p w:rsidR="003F0BC5" w:rsidRPr="00992199" w:rsidRDefault="003F0BC5" w:rsidP="003F0BC5">
      <w:pPr>
        <w:rPr>
          <w:szCs w:val="20"/>
        </w:rPr>
      </w:pPr>
      <w:r w:rsidRPr="00992199">
        <w:rPr>
          <w:szCs w:val="20"/>
        </w:rPr>
        <w:t xml:space="preserve">The Univeg Group supplies 19 out of the 20 largest food retailers in </w:t>
      </w:r>
      <w:smartTag w:uri="urn:schemas-microsoft-com:office:smarttags" w:element="place">
        <w:r w:rsidRPr="00992199">
          <w:rPr>
            <w:szCs w:val="20"/>
          </w:rPr>
          <w:t>Europe</w:t>
        </w:r>
      </w:smartTag>
      <w:r w:rsidRPr="00992199">
        <w:rPr>
          <w:szCs w:val="20"/>
        </w:rPr>
        <w:t xml:space="preserve">. In the </w:t>
      </w:r>
      <w:r w:rsidR="00ED1BE9">
        <w:rPr>
          <w:szCs w:val="20"/>
        </w:rPr>
        <w:t xml:space="preserve">financial </w:t>
      </w:r>
      <w:r w:rsidRPr="00992199">
        <w:rPr>
          <w:szCs w:val="20"/>
        </w:rPr>
        <w:t xml:space="preserve">year ended 31 December 2014, 73.2% of the Univeg Group’s total revenues came from its ten largest customers, all of whom have been its customers for more than </w:t>
      </w:r>
      <w:r w:rsidR="0002282E">
        <w:rPr>
          <w:szCs w:val="20"/>
        </w:rPr>
        <w:t>20</w:t>
      </w:r>
      <w:r w:rsidRPr="00992199">
        <w:rPr>
          <w:szCs w:val="20"/>
        </w:rPr>
        <w:t xml:space="preserve"> years.</w:t>
      </w:r>
    </w:p>
    <w:p w:rsidR="003F0BC5" w:rsidRPr="00992199" w:rsidRDefault="003F0BC5" w:rsidP="00353B80">
      <w:pPr>
        <w:pStyle w:val="Firm5L4"/>
        <w:keepNext/>
      </w:pPr>
      <w:r w:rsidRPr="00992199">
        <w:lastRenderedPageBreak/>
        <w:t>Products</w:t>
      </w:r>
    </w:p>
    <w:p w:rsidR="003F0BC5" w:rsidRPr="00992199" w:rsidRDefault="003F0BC5" w:rsidP="003F0BC5">
      <w:pPr>
        <w:rPr>
          <w:i/>
          <w:szCs w:val="20"/>
        </w:rPr>
      </w:pPr>
      <w:r w:rsidRPr="00992199">
        <w:rPr>
          <w:i/>
          <w:szCs w:val="20"/>
        </w:rPr>
        <w:t>Fruit and vegetables</w:t>
      </w:r>
    </w:p>
    <w:p w:rsidR="003F0BC5" w:rsidRPr="00992199" w:rsidRDefault="003F0BC5" w:rsidP="003F0BC5">
      <w:pPr>
        <w:rPr>
          <w:szCs w:val="20"/>
        </w:rPr>
      </w:pPr>
      <w:r w:rsidRPr="00992199">
        <w:rPr>
          <w:szCs w:val="20"/>
        </w:rPr>
        <w:t>The Univeg Group is a vertically integrated world leader in the sourcing and supply of high-quality fresh and fresh-cut fruit and vegetables, supplying 19 out of 20 of the largest food retailers in Europe and many large food retailers in the United States. The fruit and vegetables division is the core business and generates the vast majority of its revenues, accounting for 95% (</w:t>
      </w:r>
      <w:r w:rsidR="00E53641">
        <w:rPr>
          <w:szCs w:val="20"/>
        </w:rPr>
        <w:t>EUR </w:t>
      </w:r>
      <w:r w:rsidRPr="00992199">
        <w:rPr>
          <w:szCs w:val="20"/>
        </w:rPr>
        <w:t xml:space="preserve">3,000,000,000) of the Univeg Group’s total revenue from continuing operations in the </w:t>
      </w:r>
      <w:r w:rsidR="00ED1BE9">
        <w:rPr>
          <w:szCs w:val="20"/>
        </w:rPr>
        <w:t>financial year ended</w:t>
      </w:r>
      <w:r w:rsidRPr="00992199">
        <w:rPr>
          <w:szCs w:val="20"/>
        </w:rPr>
        <w:t xml:space="preserve"> 31 December 2014. The Univeg Group believes that the leading position in the global fresh produce market is partly a result of offering customers the most complete range of products. Its offering includes the following product categories.</w:t>
      </w:r>
    </w:p>
    <w:p w:rsidR="0002282E" w:rsidRDefault="0002282E" w:rsidP="00ED1BE9">
      <w:pPr>
        <w:pStyle w:val="BulletsL1"/>
      </w:pPr>
      <w:r w:rsidRPr="00BB4579">
        <w:t>Tropical</w:t>
      </w:r>
      <w:r w:rsidRPr="00655220">
        <w:t xml:space="preserve"> fruit: the supply of tropical produce (bananas, pineapples, papayas, small exotics) and sub-tropical produce (</w:t>
      </w:r>
      <w:r>
        <w:t>mangoes</w:t>
      </w:r>
      <w:r w:rsidRPr="00655220">
        <w:t xml:space="preserve"> and </w:t>
      </w:r>
      <w:r>
        <w:t>avocadoes</w:t>
      </w:r>
      <w:r w:rsidRPr="00655220">
        <w:t xml:space="preserve">), is one of the cornerstones of the Univeg Group’s business, representing </w:t>
      </w:r>
      <w:r>
        <w:t>30</w:t>
      </w:r>
      <w:r w:rsidRPr="00655220">
        <w:t xml:space="preserve">% of the Univeg Group’s Fruit &amp; Vegetables revenues in the </w:t>
      </w:r>
      <w:r w:rsidR="00ED1BE9" w:rsidRPr="00ED1BE9">
        <w:t xml:space="preserve">financial </w:t>
      </w:r>
      <w:r w:rsidRPr="00655220">
        <w:t xml:space="preserve">year ended 31 December 2014. The strength in this product category lies not only in the supply of products but also in the ripening of certain products (bananas and, to a lesser extent, </w:t>
      </w:r>
      <w:r>
        <w:t>avocadoes</w:t>
      </w:r>
      <w:r w:rsidRPr="00655220">
        <w:t xml:space="preserve"> and </w:t>
      </w:r>
      <w:r>
        <w:t>mangoes</w:t>
      </w:r>
      <w:r w:rsidRPr="00655220">
        <w:t>). Management estimates that the bananas ripened for all customers combined with the bananas ripened on behalf of third parties makes the Univeg Group one of the largest fruit ripening businesses in Europe, ripening an estimated 10% of the bananas consumed in Europe with approximately 500 24-pallet ripening units located across Europe.</w:t>
      </w:r>
    </w:p>
    <w:p w:rsidR="003F0BC5" w:rsidRPr="00992199" w:rsidRDefault="003F0BC5" w:rsidP="00ED1BE9">
      <w:pPr>
        <w:pStyle w:val="BulletsL1"/>
      </w:pPr>
      <w:r w:rsidRPr="00992199">
        <w:t xml:space="preserve">Vegetables: the Univeg Group offers its customers a wide range of fresh vegetables across all major product lines, including tomatoes, peppers, cucumbers, mushrooms, carrots and cabbages. Sales of vegetables represented </w:t>
      </w:r>
      <w:r w:rsidR="0002282E">
        <w:t>28</w:t>
      </w:r>
      <w:r w:rsidRPr="00992199">
        <w:t xml:space="preserve">% of the Univeg Group’s Fruit &amp; Vegetables revenues in the </w:t>
      </w:r>
      <w:r w:rsidR="00ED1BE9" w:rsidRPr="00ED1BE9">
        <w:t xml:space="preserve">financial </w:t>
      </w:r>
      <w:r w:rsidRPr="00992199">
        <w:t>year ended 31 December 2014.</w:t>
      </w:r>
    </w:p>
    <w:p w:rsidR="003F0BC5" w:rsidRPr="00992199" w:rsidRDefault="003F0BC5" w:rsidP="00ED1BE9">
      <w:pPr>
        <w:pStyle w:val="BulletsL1"/>
      </w:pPr>
      <w:r w:rsidRPr="00992199">
        <w:t xml:space="preserve">Deciduous fruit: the Univeg Group is a leading global supplier of a broad range of apples, pears, kiwis and grapes, growing and procuring these fruits from both northern and southern hemisphere suppliers year-round. </w:t>
      </w:r>
      <w:smartTag w:uri="urn:schemas-microsoft-com:office:smarttags" w:element="country-region">
        <w:r w:rsidRPr="00992199">
          <w:t>Argentina</w:t>
        </w:r>
      </w:smartTag>
      <w:r w:rsidRPr="00992199">
        <w:t xml:space="preserve">, </w:t>
      </w:r>
      <w:smartTag w:uri="urn:schemas-microsoft-com:office:smarttags" w:element="country-region">
        <w:r w:rsidRPr="00992199">
          <w:t>Chile</w:t>
        </w:r>
      </w:smartTag>
      <w:r w:rsidRPr="00992199">
        <w:t xml:space="preserve">, </w:t>
      </w:r>
      <w:smartTag w:uri="urn:schemas-microsoft-com:office:smarttags" w:element="country-region">
        <w:r w:rsidRPr="00992199">
          <w:t>South Africa</w:t>
        </w:r>
      </w:smartTag>
      <w:r w:rsidRPr="00992199">
        <w:t xml:space="preserve"> and </w:t>
      </w:r>
      <w:smartTag w:uri="urn:schemas-microsoft-com:office:smarttags" w:element="country-region">
        <w:smartTag w:uri="urn:schemas-microsoft-com:office:smarttags" w:element="place">
          <w:r w:rsidRPr="00992199">
            <w:t>New Zealand</w:t>
          </w:r>
        </w:smartTag>
      </w:smartTag>
      <w:r w:rsidRPr="00992199">
        <w:t xml:space="preserve"> are the primary sources of procurement in the southern hemisphere. In the northern hemisphere, production predominantly takes place in </w:t>
      </w:r>
      <w:smartTag w:uri="urn:schemas-microsoft-com:office:smarttags" w:element="country-region">
        <w:r w:rsidRPr="00992199">
          <w:t>Spain</w:t>
        </w:r>
      </w:smartTag>
      <w:r w:rsidRPr="00992199">
        <w:t xml:space="preserve">, </w:t>
      </w:r>
      <w:smartTag w:uri="urn:schemas-microsoft-com:office:smarttags" w:element="country-region">
        <w:r w:rsidRPr="00992199">
          <w:t>Italy</w:t>
        </w:r>
      </w:smartTag>
      <w:r w:rsidRPr="00992199">
        <w:t xml:space="preserve">, </w:t>
      </w:r>
      <w:smartTag w:uri="urn:schemas-microsoft-com:office:smarttags" w:element="country-region">
        <w:r w:rsidRPr="00992199">
          <w:t>Greece</w:t>
        </w:r>
      </w:smartTag>
      <w:r w:rsidRPr="00992199">
        <w:t xml:space="preserve"> and </w:t>
      </w:r>
      <w:smartTag w:uri="urn:schemas-microsoft-com:office:smarttags" w:element="country-region">
        <w:smartTag w:uri="urn:schemas-microsoft-com:office:smarttags" w:element="place">
          <w:r w:rsidRPr="00992199">
            <w:t>Turkey</w:t>
          </w:r>
        </w:smartTag>
      </w:smartTag>
      <w:r w:rsidRPr="00992199">
        <w:t xml:space="preserve">. Grapes are a particular strength of the Univeg Group in this product category due to strong sourcing capabilities in South America and </w:t>
      </w:r>
      <w:smartTag w:uri="urn:schemas-microsoft-com:office:smarttags" w:element="country-region">
        <w:smartTag w:uri="urn:schemas-microsoft-com:office:smarttags" w:element="place">
          <w:r w:rsidRPr="00992199">
            <w:t>South Africa</w:t>
          </w:r>
        </w:smartTag>
      </w:smartTag>
      <w:r w:rsidRPr="00992199">
        <w:t xml:space="preserve">. Sales of deciduous fruit represented </w:t>
      </w:r>
      <w:r w:rsidR="0002282E">
        <w:t>16</w:t>
      </w:r>
      <w:r w:rsidRPr="00992199">
        <w:t xml:space="preserve">% of the Univeg Group’s Fruit &amp; Vegetables revenues in the </w:t>
      </w:r>
      <w:r w:rsidR="00ED1BE9" w:rsidRPr="00ED1BE9">
        <w:t xml:space="preserve">financial </w:t>
      </w:r>
      <w:r w:rsidRPr="00992199">
        <w:t>year ended 31 December 2014.</w:t>
      </w:r>
    </w:p>
    <w:p w:rsidR="003F0BC5" w:rsidRPr="00992199" w:rsidRDefault="003F0BC5" w:rsidP="00ED1BE9">
      <w:pPr>
        <w:pStyle w:val="BulletsL1"/>
      </w:pPr>
      <w:r w:rsidRPr="00992199">
        <w:t xml:space="preserve">Citrus fruit: the Univeg Group supplies the full range of citrus fruits including oranges, grapefruits, lemons, limes and easy-peelers, </w:t>
      </w:r>
      <w:r w:rsidRPr="00992199">
        <w:rPr>
          <w:i/>
        </w:rPr>
        <w:t>i.e.</w:t>
      </w:r>
      <w:r w:rsidRPr="00992199">
        <w:t xml:space="preserve">, tangerines, clementines, mandarins and tangelos. To meet the year-round demand for citrus fruits, the Univeg Group sources produce from both hemispheres. The southern hemisphere is the Univeg Group’s largest source of novel varieties and high quality citrus. Sales of citrus fruit represented 10% of the Univeg Group’s Fruit &amp; Vegetables revenues in the </w:t>
      </w:r>
      <w:r w:rsidR="00ED1BE9" w:rsidRPr="00ED1BE9">
        <w:t xml:space="preserve">financial </w:t>
      </w:r>
      <w:r w:rsidRPr="00992199">
        <w:t>year to 31 December 2014.</w:t>
      </w:r>
    </w:p>
    <w:p w:rsidR="003F0BC5" w:rsidRPr="00992199" w:rsidRDefault="003F0BC5" w:rsidP="00ED1BE9">
      <w:pPr>
        <w:pStyle w:val="BulletsL1"/>
      </w:pPr>
      <w:r w:rsidRPr="00992199">
        <w:t xml:space="preserve">Stone fruit: the Univeg Group works with growers around the world whom the Company believes to be </w:t>
      </w:r>
      <w:r w:rsidR="00F2529B">
        <w:t xml:space="preserve">one of </w:t>
      </w:r>
      <w:r w:rsidRPr="00992199">
        <w:t>the leaders in stone fruit production to help ensure continuous delivery of a wide variety of stone fruits, including cherries, peaches, apricots, nectarines and plums. Sa</w:t>
      </w:r>
      <w:r w:rsidR="0002282E">
        <w:t>les of stone fruit represented 6</w:t>
      </w:r>
      <w:r w:rsidRPr="00992199">
        <w:t xml:space="preserve">% of the Univeg Group’s Fruit &amp; Vegetables revenues in the </w:t>
      </w:r>
      <w:r w:rsidR="00ED1BE9" w:rsidRPr="00ED1BE9">
        <w:t xml:space="preserve">financial </w:t>
      </w:r>
      <w:r w:rsidRPr="00992199">
        <w:t>year ended 31 December 2014.</w:t>
      </w:r>
    </w:p>
    <w:p w:rsidR="003F0BC5" w:rsidRPr="00992199" w:rsidRDefault="003F0BC5" w:rsidP="00ED1BE9">
      <w:pPr>
        <w:pStyle w:val="BulletsL1"/>
      </w:pPr>
      <w:r w:rsidRPr="00992199">
        <w:t>Fair-trade and organic produc</w:t>
      </w:r>
      <w:r w:rsidR="00F2529B">
        <w:t>ts</w:t>
      </w:r>
      <w:r w:rsidRPr="00992199">
        <w:t>: the fair-trade market is becoming increasingly important for the Univeg Group. The supply fair-trade and organic produce is sourced from around the world into a number of its key markets and customers, m</w:t>
      </w:r>
      <w:r w:rsidR="00732BB5">
        <w:t xml:space="preserve">ainly into the </w:t>
      </w:r>
      <w:smartTag w:uri="urn:schemas-microsoft-com:office:smarttags" w:element="country-region">
        <w:r w:rsidR="00732BB5">
          <w:t>United Kingdom</w:t>
        </w:r>
      </w:smartTag>
      <w:r w:rsidR="00732BB5">
        <w:t>, T</w:t>
      </w:r>
      <w:r w:rsidRPr="00992199">
        <w:t xml:space="preserve">he Netherlands and </w:t>
      </w:r>
      <w:smartTag w:uri="urn:schemas-microsoft-com:office:smarttags" w:element="country-region">
        <w:smartTag w:uri="urn:schemas-microsoft-com:office:smarttags" w:element="place">
          <w:r w:rsidRPr="00992199">
            <w:t>Germany</w:t>
          </w:r>
        </w:smartTag>
      </w:smartTag>
      <w:r w:rsidRPr="00992199">
        <w:t>. Sales of fair-trade a</w:t>
      </w:r>
      <w:r w:rsidR="0002282E">
        <w:t>nd organic produce represented 4</w:t>
      </w:r>
      <w:r w:rsidRPr="00992199">
        <w:t xml:space="preserve">% of the Univeg Group’s Fruit &amp; Vegetables revenues in the </w:t>
      </w:r>
      <w:r w:rsidR="00ED1BE9" w:rsidRPr="00ED1BE9">
        <w:t xml:space="preserve">financial </w:t>
      </w:r>
      <w:r w:rsidRPr="00992199">
        <w:t>year ended 31 December 2014.</w:t>
      </w:r>
    </w:p>
    <w:p w:rsidR="0002282E" w:rsidRPr="00655220" w:rsidRDefault="0002282E" w:rsidP="00ED1BE9">
      <w:pPr>
        <w:pStyle w:val="BulletsL1"/>
      </w:pPr>
      <w:r w:rsidRPr="00BB4579">
        <w:t>Dried</w:t>
      </w:r>
      <w:r w:rsidRPr="00655220">
        <w:t xml:space="preserve"> fruit: its Group supplies high quality dried fruit to leading food retailers, mainly in the </w:t>
      </w:r>
      <w:smartTag w:uri="urn:schemas-microsoft-com:office:smarttags" w:element="country-region">
        <w:r w:rsidRPr="00655220">
          <w:t>United Kingdom</w:t>
        </w:r>
      </w:smartTag>
      <w:r w:rsidRPr="00655220">
        <w:t xml:space="preserve"> and </w:t>
      </w:r>
      <w:smartTag w:uri="urn:schemas-microsoft-com:office:smarttags" w:element="country-region">
        <w:smartTag w:uri="urn:schemas-microsoft-com:office:smarttags" w:element="place">
          <w:r w:rsidRPr="00655220">
            <w:t>Germany</w:t>
          </w:r>
        </w:smartTag>
      </w:smartTag>
      <w:r w:rsidRPr="00655220">
        <w:t xml:space="preserve">. Sales of dried fruit represented less than </w:t>
      </w:r>
      <w:r>
        <w:t>4</w:t>
      </w:r>
      <w:r w:rsidRPr="00655220">
        <w:t xml:space="preserve">% of the Univeg Group’s Fruit &amp; Vegetables revenues in the </w:t>
      </w:r>
      <w:r w:rsidR="00ED1BE9" w:rsidRPr="00ED1BE9">
        <w:t xml:space="preserve">financial </w:t>
      </w:r>
      <w:r w:rsidRPr="00655220">
        <w:t xml:space="preserve">year ended 31 December 2014. </w:t>
      </w:r>
    </w:p>
    <w:p w:rsidR="003F0BC5" w:rsidRPr="00992199" w:rsidRDefault="003F0BC5" w:rsidP="00ED1BE9">
      <w:pPr>
        <w:pStyle w:val="BulletsL1"/>
      </w:pPr>
      <w:r w:rsidRPr="00992199">
        <w:t xml:space="preserve">Pre-cut vegetables and herbs: the Univeg Group is present in the pre-cut vegetables and herbs market in </w:t>
      </w:r>
      <w:smartTag w:uri="urn:schemas-microsoft-com:office:smarttags" w:element="country-region">
        <w:smartTag w:uri="urn:schemas-microsoft-com:office:smarttags" w:element="place">
          <w:r w:rsidRPr="00992199">
            <w:t>Belgium</w:t>
          </w:r>
        </w:smartTag>
      </w:smartTag>
      <w:r w:rsidRPr="00992199">
        <w:t xml:space="preserve">, where the Company estimates having a significant market share and is delivering to many major food retailers. The product range includes fresh-cut vegetables, fresh-cut salads and salad bowls. Sales of this product category represented </w:t>
      </w:r>
      <w:r w:rsidR="0002282E">
        <w:t>1</w:t>
      </w:r>
      <w:r w:rsidRPr="00992199">
        <w:t xml:space="preserve">% of the Univeg Group’s Fruit &amp; Vegetables revenues in the </w:t>
      </w:r>
      <w:r w:rsidR="00ED1BE9" w:rsidRPr="00ED1BE9">
        <w:t xml:space="preserve">financial </w:t>
      </w:r>
      <w:r w:rsidRPr="00992199">
        <w:t>year ended 31 December 2014.</w:t>
      </w:r>
    </w:p>
    <w:p w:rsidR="003F0BC5" w:rsidRPr="00992199" w:rsidRDefault="003F0BC5" w:rsidP="003F0BC5">
      <w:pPr>
        <w:rPr>
          <w:i/>
          <w:szCs w:val="20"/>
        </w:rPr>
      </w:pPr>
      <w:r w:rsidRPr="00992199">
        <w:rPr>
          <w:i/>
          <w:szCs w:val="20"/>
        </w:rPr>
        <w:t>Flowers and plants</w:t>
      </w:r>
    </w:p>
    <w:p w:rsidR="003F0BC5" w:rsidRPr="00992199" w:rsidRDefault="003F0BC5" w:rsidP="003F0BC5">
      <w:pPr>
        <w:rPr>
          <w:szCs w:val="20"/>
        </w:rPr>
      </w:pPr>
      <w:r w:rsidRPr="00992199">
        <w:rPr>
          <w:szCs w:val="20"/>
        </w:rPr>
        <w:lastRenderedPageBreak/>
        <w:t xml:space="preserve">The Univeg Group supplies a range of flowers and plants, including cut flowers, potted plants and plant arrangements, to supermarkets, home improvement stores and garden centres in </w:t>
      </w:r>
      <w:smartTag w:uri="urn:schemas-microsoft-com:office:smarttags" w:element="country-region">
        <w:r w:rsidRPr="00992199">
          <w:rPr>
            <w:szCs w:val="20"/>
          </w:rPr>
          <w:t>Germany</w:t>
        </w:r>
      </w:smartTag>
      <w:r w:rsidRPr="00992199">
        <w:rPr>
          <w:szCs w:val="20"/>
        </w:rPr>
        <w:t xml:space="preserve"> and the </w:t>
      </w:r>
      <w:smartTag w:uri="urn:schemas-microsoft-com:office:smarttags" w:element="country-region">
        <w:smartTag w:uri="urn:schemas-microsoft-com:office:smarttags" w:element="place">
          <w:r w:rsidRPr="00992199">
            <w:rPr>
              <w:szCs w:val="20"/>
            </w:rPr>
            <w:t>United Kingdom</w:t>
          </w:r>
        </w:smartTag>
      </w:smartTag>
      <w:r w:rsidRPr="00992199">
        <w:rPr>
          <w:szCs w:val="20"/>
        </w:rPr>
        <w:t xml:space="preserve">. Flowers and plants are cultivated by the Univeg Group for a portion of this division’s total sales </w:t>
      </w:r>
      <w:r w:rsidR="00A07615" w:rsidRPr="00992199">
        <w:rPr>
          <w:szCs w:val="20"/>
        </w:rPr>
        <w:t>volumes;</w:t>
      </w:r>
      <w:r w:rsidRPr="00992199">
        <w:rPr>
          <w:szCs w:val="20"/>
        </w:rPr>
        <w:t xml:space="preserve"> however, the majority are sourced from third party suppliers. The flowers and plants division represents 3%, or </w:t>
      </w:r>
      <w:r w:rsidR="00E53641">
        <w:rPr>
          <w:szCs w:val="20"/>
        </w:rPr>
        <w:t>EUR </w:t>
      </w:r>
      <w:r w:rsidRPr="00992199">
        <w:rPr>
          <w:szCs w:val="20"/>
        </w:rPr>
        <w:t xml:space="preserve">99,430,000 of the Univeg Group’s revenues from continuing operations in the </w:t>
      </w:r>
      <w:r w:rsidR="00ED1BE9">
        <w:rPr>
          <w:szCs w:val="20"/>
        </w:rPr>
        <w:t>financial year ended</w:t>
      </w:r>
      <w:r w:rsidRPr="00992199">
        <w:rPr>
          <w:szCs w:val="20"/>
        </w:rPr>
        <w:t xml:space="preserve"> 31 December 2014.</w:t>
      </w:r>
    </w:p>
    <w:p w:rsidR="003F0BC5" w:rsidRPr="00992199" w:rsidRDefault="003F0BC5" w:rsidP="00353B80">
      <w:pPr>
        <w:pStyle w:val="Firm5L4"/>
        <w:keepNext/>
      </w:pPr>
      <w:r w:rsidRPr="00992199">
        <w:t>Geographical footprint</w:t>
      </w:r>
    </w:p>
    <w:p w:rsidR="003F0BC5" w:rsidRPr="00992199" w:rsidRDefault="003F0BC5" w:rsidP="003F0BC5">
      <w:pPr>
        <w:rPr>
          <w:szCs w:val="20"/>
        </w:rPr>
      </w:pPr>
      <w:r w:rsidRPr="00992199">
        <w:rPr>
          <w:szCs w:val="20"/>
        </w:rPr>
        <w:t>The following table sets forth a breakdown of revenues for top five end sales markets:</w:t>
      </w:r>
    </w:p>
    <w:tbl>
      <w:tblPr>
        <w:tblW w:w="0" w:type="auto"/>
        <w:tblLook w:val="04A0" w:firstRow="1" w:lastRow="0" w:firstColumn="1" w:lastColumn="0" w:noHBand="0" w:noVBand="1"/>
      </w:tblPr>
      <w:tblGrid>
        <w:gridCol w:w="7128"/>
        <w:gridCol w:w="2052"/>
      </w:tblGrid>
      <w:tr w:rsidR="00CD1029" w:rsidRPr="00CD1029" w:rsidTr="00CD1029">
        <w:tc>
          <w:tcPr>
            <w:tcW w:w="7128" w:type="dxa"/>
            <w:shd w:val="clear" w:color="auto" w:fill="auto"/>
            <w:vAlign w:val="center"/>
          </w:tcPr>
          <w:p w:rsidR="00CD1029" w:rsidRPr="00CD1029" w:rsidRDefault="00CD1029" w:rsidP="00CD1029">
            <w:pPr>
              <w:spacing w:before="0" w:after="0"/>
              <w:jc w:val="left"/>
              <w:rPr>
                <w:bCs/>
                <w:i/>
                <w:sz w:val="18"/>
                <w:szCs w:val="18"/>
              </w:rPr>
            </w:pPr>
            <w:r w:rsidRPr="00CD1029">
              <w:rPr>
                <w:bCs/>
                <w:i/>
                <w:sz w:val="18"/>
                <w:szCs w:val="18"/>
              </w:rPr>
              <w:t>(</w:t>
            </w:r>
            <w:r w:rsidR="00E53641">
              <w:rPr>
                <w:bCs/>
                <w:i/>
                <w:sz w:val="18"/>
                <w:szCs w:val="18"/>
              </w:rPr>
              <w:t>EUR </w:t>
            </w:r>
            <w:r w:rsidRPr="00CD1029">
              <w:rPr>
                <w:bCs/>
                <w:i/>
                <w:sz w:val="18"/>
                <w:szCs w:val="18"/>
              </w:rPr>
              <w:t>in millions)</w:t>
            </w:r>
          </w:p>
        </w:tc>
        <w:tc>
          <w:tcPr>
            <w:tcW w:w="2052" w:type="dxa"/>
            <w:shd w:val="clear" w:color="auto" w:fill="auto"/>
            <w:vAlign w:val="bottom"/>
          </w:tcPr>
          <w:p w:rsidR="00CD1029" w:rsidRPr="00CD1029" w:rsidRDefault="00CD1029" w:rsidP="00CD1029">
            <w:pPr>
              <w:pBdr>
                <w:bottom w:val="single" w:sz="4" w:space="1" w:color="auto"/>
              </w:pBdr>
              <w:spacing w:before="0" w:after="0"/>
              <w:jc w:val="center"/>
              <w:rPr>
                <w:b/>
                <w:bCs/>
                <w:sz w:val="18"/>
                <w:szCs w:val="18"/>
              </w:rPr>
            </w:pPr>
            <w:r w:rsidRPr="00CD1029">
              <w:rPr>
                <w:b/>
                <w:bCs/>
                <w:sz w:val="18"/>
                <w:szCs w:val="18"/>
              </w:rPr>
              <w:t xml:space="preserve">Year ended </w:t>
            </w:r>
            <w:r w:rsidRPr="00CD1029">
              <w:rPr>
                <w:b/>
                <w:bCs/>
                <w:sz w:val="18"/>
                <w:szCs w:val="18"/>
              </w:rPr>
              <w:br/>
              <w:t>31 December</w:t>
            </w:r>
          </w:p>
          <w:p w:rsidR="00CD1029" w:rsidRPr="00CD1029" w:rsidRDefault="00CD1029" w:rsidP="00CD1029">
            <w:pPr>
              <w:pBdr>
                <w:bottom w:val="single" w:sz="4" w:space="1" w:color="auto"/>
              </w:pBdr>
              <w:spacing w:before="0" w:after="0"/>
              <w:jc w:val="center"/>
              <w:rPr>
                <w:b/>
                <w:bCs/>
                <w:sz w:val="18"/>
                <w:szCs w:val="18"/>
              </w:rPr>
            </w:pPr>
            <w:r w:rsidRPr="00CD1029">
              <w:rPr>
                <w:b/>
                <w:bCs/>
                <w:sz w:val="18"/>
                <w:szCs w:val="18"/>
              </w:rPr>
              <w:t>2014</w:t>
            </w:r>
          </w:p>
        </w:tc>
      </w:tr>
      <w:tr w:rsidR="00CD1029" w:rsidRPr="00CD1029" w:rsidTr="00CD1029">
        <w:tc>
          <w:tcPr>
            <w:tcW w:w="7128" w:type="dxa"/>
            <w:shd w:val="clear" w:color="auto" w:fill="auto"/>
          </w:tcPr>
          <w:p w:rsidR="00CD1029" w:rsidRPr="00CD1029" w:rsidRDefault="00CD1029" w:rsidP="00CD1029">
            <w:pPr>
              <w:tabs>
                <w:tab w:val="right" w:leader="dot" w:pos="6912"/>
              </w:tabs>
              <w:spacing w:before="0" w:after="0"/>
              <w:rPr>
                <w:sz w:val="18"/>
                <w:szCs w:val="18"/>
              </w:rPr>
            </w:pPr>
            <w:smartTag w:uri="urn:schemas-microsoft-com:office:smarttags" w:element="country-region">
              <w:smartTag w:uri="urn:schemas-microsoft-com:office:smarttags" w:element="place">
                <w:r w:rsidRPr="00CD1029">
                  <w:rPr>
                    <w:bCs/>
                    <w:sz w:val="18"/>
                    <w:szCs w:val="18"/>
                  </w:rPr>
                  <w:t>Germany</w:t>
                </w:r>
              </w:smartTag>
            </w:smartTag>
            <w:r w:rsidRPr="00CD1029">
              <w:rPr>
                <w:bCs/>
                <w:sz w:val="18"/>
                <w:szCs w:val="18"/>
              </w:rPr>
              <w:tab/>
            </w:r>
          </w:p>
        </w:tc>
        <w:tc>
          <w:tcPr>
            <w:tcW w:w="2052" w:type="dxa"/>
            <w:shd w:val="clear" w:color="auto" w:fill="auto"/>
          </w:tcPr>
          <w:p w:rsidR="00CD1029" w:rsidRPr="00CD1029" w:rsidRDefault="00CD1029" w:rsidP="00CD1029">
            <w:pPr>
              <w:spacing w:before="0" w:after="0"/>
              <w:jc w:val="right"/>
              <w:rPr>
                <w:sz w:val="18"/>
              </w:rPr>
            </w:pPr>
            <w:r w:rsidRPr="00CD1029">
              <w:rPr>
                <w:sz w:val="18"/>
              </w:rPr>
              <w:t>1,465.3</w:t>
            </w:r>
          </w:p>
        </w:tc>
      </w:tr>
      <w:tr w:rsidR="00CD1029" w:rsidRPr="00CD1029" w:rsidTr="00CD1029">
        <w:tc>
          <w:tcPr>
            <w:tcW w:w="7128" w:type="dxa"/>
            <w:shd w:val="clear" w:color="auto" w:fill="auto"/>
          </w:tcPr>
          <w:p w:rsidR="00CD1029" w:rsidRPr="00CD1029" w:rsidRDefault="00CD1029" w:rsidP="00CD1029">
            <w:pPr>
              <w:tabs>
                <w:tab w:val="right" w:leader="dot" w:pos="6912"/>
              </w:tabs>
              <w:spacing w:before="0" w:after="0"/>
              <w:rPr>
                <w:bCs/>
                <w:sz w:val="18"/>
                <w:szCs w:val="18"/>
              </w:rPr>
            </w:pPr>
            <w:r w:rsidRPr="00CD1029">
              <w:rPr>
                <w:sz w:val="18"/>
                <w:szCs w:val="18"/>
              </w:rPr>
              <w:t xml:space="preserve">The </w:t>
            </w:r>
            <w:smartTag w:uri="urn:schemas-microsoft-com:office:smarttags" w:element="country-region">
              <w:smartTag w:uri="urn:schemas-microsoft-com:office:smarttags" w:element="place">
                <w:r w:rsidRPr="00CD1029">
                  <w:rPr>
                    <w:sz w:val="18"/>
                    <w:szCs w:val="18"/>
                  </w:rPr>
                  <w:t>Netherlands</w:t>
                </w:r>
              </w:smartTag>
            </w:smartTag>
            <w:r w:rsidRPr="00CD1029">
              <w:rPr>
                <w:sz w:val="18"/>
                <w:szCs w:val="18"/>
              </w:rPr>
              <w:tab/>
            </w:r>
          </w:p>
        </w:tc>
        <w:tc>
          <w:tcPr>
            <w:tcW w:w="2052" w:type="dxa"/>
            <w:shd w:val="clear" w:color="auto" w:fill="auto"/>
          </w:tcPr>
          <w:p w:rsidR="00CD1029" w:rsidRPr="00CD1029" w:rsidRDefault="00CD1029" w:rsidP="00CD1029">
            <w:pPr>
              <w:spacing w:before="0" w:after="0"/>
              <w:jc w:val="right"/>
              <w:rPr>
                <w:sz w:val="18"/>
              </w:rPr>
            </w:pPr>
            <w:r w:rsidRPr="00CD1029">
              <w:rPr>
                <w:sz w:val="18"/>
              </w:rPr>
              <w:t>700.2</w:t>
            </w:r>
          </w:p>
        </w:tc>
      </w:tr>
      <w:tr w:rsidR="00CD1029" w:rsidRPr="00CD1029" w:rsidTr="00CD1029">
        <w:tc>
          <w:tcPr>
            <w:tcW w:w="7128" w:type="dxa"/>
            <w:shd w:val="clear" w:color="auto" w:fill="auto"/>
          </w:tcPr>
          <w:p w:rsidR="00CD1029" w:rsidRPr="00CD1029" w:rsidRDefault="00CD1029" w:rsidP="00CD1029">
            <w:pPr>
              <w:tabs>
                <w:tab w:val="right" w:leader="dot" w:pos="6912"/>
              </w:tabs>
              <w:spacing w:before="0" w:after="0"/>
              <w:rPr>
                <w:sz w:val="18"/>
                <w:szCs w:val="18"/>
              </w:rPr>
            </w:pPr>
            <w:smartTag w:uri="urn:schemas-microsoft-com:office:smarttags" w:element="country-region">
              <w:smartTag w:uri="urn:schemas-microsoft-com:office:smarttags" w:element="place">
                <w:r w:rsidRPr="00CD1029">
                  <w:rPr>
                    <w:sz w:val="18"/>
                    <w:szCs w:val="18"/>
                  </w:rPr>
                  <w:t>Belgium</w:t>
                </w:r>
              </w:smartTag>
            </w:smartTag>
            <w:r w:rsidRPr="00CD1029">
              <w:rPr>
                <w:sz w:val="18"/>
                <w:szCs w:val="18"/>
              </w:rPr>
              <w:tab/>
            </w:r>
          </w:p>
        </w:tc>
        <w:tc>
          <w:tcPr>
            <w:tcW w:w="2052" w:type="dxa"/>
            <w:shd w:val="clear" w:color="auto" w:fill="auto"/>
          </w:tcPr>
          <w:p w:rsidR="00CD1029" w:rsidRPr="00CD1029" w:rsidRDefault="00CD1029" w:rsidP="00CD1029">
            <w:pPr>
              <w:spacing w:before="0" w:after="0"/>
              <w:jc w:val="right"/>
              <w:rPr>
                <w:sz w:val="18"/>
              </w:rPr>
            </w:pPr>
            <w:r w:rsidRPr="00CD1029">
              <w:rPr>
                <w:sz w:val="18"/>
              </w:rPr>
              <w:t>294.7</w:t>
            </w:r>
          </w:p>
        </w:tc>
      </w:tr>
      <w:tr w:rsidR="00CD1029" w:rsidRPr="00CD1029" w:rsidTr="00CD1029">
        <w:tc>
          <w:tcPr>
            <w:tcW w:w="7128" w:type="dxa"/>
            <w:shd w:val="clear" w:color="auto" w:fill="auto"/>
          </w:tcPr>
          <w:p w:rsidR="00CD1029" w:rsidRPr="00CD1029" w:rsidRDefault="00CD1029" w:rsidP="00CD1029">
            <w:pPr>
              <w:tabs>
                <w:tab w:val="right" w:leader="dot" w:pos="6912"/>
              </w:tabs>
              <w:spacing w:before="0" w:after="0"/>
              <w:rPr>
                <w:sz w:val="18"/>
                <w:szCs w:val="18"/>
              </w:rPr>
            </w:pPr>
            <w:smartTag w:uri="urn:schemas-microsoft-com:office:smarttags" w:element="country-region">
              <w:smartTag w:uri="urn:schemas-microsoft-com:office:smarttags" w:element="place">
                <w:r w:rsidRPr="00CD1029">
                  <w:rPr>
                    <w:sz w:val="18"/>
                    <w:szCs w:val="18"/>
                  </w:rPr>
                  <w:t>United Kingdom</w:t>
                </w:r>
              </w:smartTag>
            </w:smartTag>
            <w:r w:rsidRPr="00CD1029">
              <w:rPr>
                <w:sz w:val="18"/>
                <w:szCs w:val="18"/>
              </w:rPr>
              <w:tab/>
            </w:r>
          </w:p>
        </w:tc>
        <w:tc>
          <w:tcPr>
            <w:tcW w:w="2052" w:type="dxa"/>
            <w:shd w:val="clear" w:color="auto" w:fill="auto"/>
          </w:tcPr>
          <w:p w:rsidR="00CD1029" w:rsidRPr="00CD1029" w:rsidRDefault="00CD1029" w:rsidP="00CD1029">
            <w:pPr>
              <w:spacing w:before="0" w:after="0"/>
              <w:jc w:val="right"/>
              <w:rPr>
                <w:sz w:val="18"/>
              </w:rPr>
            </w:pPr>
            <w:r w:rsidRPr="00CD1029">
              <w:rPr>
                <w:sz w:val="18"/>
              </w:rPr>
              <w:t>232.7</w:t>
            </w:r>
          </w:p>
        </w:tc>
      </w:tr>
      <w:tr w:rsidR="00CD1029" w:rsidRPr="00CD1029" w:rsidTr="00CD1029">
        <w:tc>
          <w:tcPr>
            <w:tcW w:w="7128" w:type="dxa"/>
            <w:shd w:val="clear" w:color="auto" w:fill="auto"/>
          </w:tcPr>
          <w:p w:rsidR="00CD1029" w:rsidRPr="00CD1029" w:rsidRDefault="00CD1029" w:rsidP="00CD1029">
            <w:pPr>
              <w:tabs>
                <w:tab w:val="right" w:leader="dot" w:pos="6912"/>
              </w:tabs>
              <w:spacing w:before="0" w:after="0"/>
              <w:rPr>
                <w:sz w:val="18"/>
                <w:szCs w:val="18"/>
              </w:rPr>
            </w:pPr>
            <w:smartTag w:uri="urn:schemas-microsoft-com:office:smarttags" w:element="country-region">
              <w:smartTag w:uri="urn:schemas-microsoft-com:office:smarttags" w:element="place">
                <w:r w:rsidRPr="00CD1029">
                  <w:rPr>
                    <w:sz w:val="18"/>
                    <w:szCs w:val="18"/>
                  </w:rPr>
                  <w:t>France</w:t>
                </w:r>
              </w:smartTag>
            </w:smartTag>
            <w:r w:rsidRPr="00CD1029">
              <w:rPr>
                <w:sz w:val="18"/>
                <w:szCs w:val="18"/>
              </w:rPr>
              <w:tab/>
            </w:r>
          </w:p>
        </w:tc>
        <w:tc>
          <w:tcPr>
            <w:tcW w:w="2052" w:type="dxa"/>
            <w:shd w:val="clear" w:color="auto" w:fill="auto"/>
          </w:tcPr>
          <w:p w:rsidR="00CD1029" w:rsidRPr="00CD1029" w:rsidRDefault="00CD1029" w:rsidP="00CD1029">
            <w:pPr>
              <w:spacing w:before="0" w:after="0"/>
              <w:jc w:val="right"/>
              <w:rPr>
                <w:sz w:val="18"/>
              </w:rPr>
            </w:pPr>
            <w:r w:rsidRPr="00CD1029">
              <w:rPr>
                <w:sz w:val="18"/>
              </w:rPr>
              <w:t>103.2</w:t>
            </w:r>
          </w:p>
        </w:tc>
      </w:tr>
      <w:tr w:rsidR="00CD1029" w:rsidRPr="00CD1029" w:rsidTr="00CD1029">
        <w:tc>
          <w:tcPr>
            <w:tcW w:w="7128" w:type="dxa"/>
            <w:shd w:val="clear" w:color="auto" w:fill="auto"/>
          </w:tcPr>
          <w:p w:rsidR="00CD1029" w:rsidRPr="00CD1029" w:rsidRDefault="00CD1029" w:rsidP="00CD1029">
            <w:pPr>
              <w:tabs>
                <w:tab w:val="right" w:leader="dot" w:pos="6912"/>
              </w:tabs>
              <w:spacing w:before="0" w:after="0"/>
              <w:rPr>
                <w:sz w:val="18"/>
                <w:szCs w:val="18"/>
              </w:rPr>
            </w:pPr>
            <w:r w:rsidRPr="00CD1029">
              <w:rPr>
                <w:sz w:val="18"/>
                <w:szCs w:val="18"/>
              </w:rPr>
              <w:t>Other</w:t>
            </w:r>
            <w:r w:rsidRPr="00CD1029">
              <w:rPr>
                <w:sz w:val="18"/>
                <w:szCs w:val="18"/>
              </w:rPr>
              <w:tab/>
            </w:r>
          </w:p>
        </w:tc>
        <w:tc>
          <w:tcPr>
            <w:tcW w:w="2052" w:type="dxa"/>
            <w:tcBorders>
              <w:bottom w:val="single" w:sz="4" w:space="0" w:color="auto"/>
            </w:tcBorders>
            <w:shd w:val="clear" w:color="auto" w:fill="auto"/>
          </w:tcPr>
          <w:p w:rsidR="00CD1029" w:rsidRPr="00CD1029" w:rsidRDefault="00CD1029" w:rsidP="00CD1029">
            <w:pPr>
              <w:spacing w:before="0" w:after="0"/>
              <w:jc w:val="right"/>
              <w:rPr>
                <w:sz w:val="18"/>
              </w:rPr>
            </w:pPr>
            <w:r w:rsidRPr="00CD1029">
              <w:rPr>
                <w:sz w:val="18"/>
              </w:rPr>
              <w:t>374.6</w:t>
            </w:r>
          </w:p>
        </w:tc>
      </w:tr>
      <w:tr w:rsidR="00CD1029" w:rsidRPr="000D3D24" w:rsidTr="00CD1029">
        <w:tc>
          <w:tcPr>
            <w:tcW w:w="7128" w:type="dxa"/>
            <w:shd w:val="clear" w:color="auto" w:fill="auto"/>
          </w:tcPr>
          <w:p w:rsidR="00CD1029" w:rsidRPr="00CD1029" w:rsidRDefault="00CD1029" w:rsidP="00CD1029">
            <w:pPr>
              <w:tabs>
                <w:tab w:val="right" w:leader="dot" w:pos="6912"/>
              </w:tabs>
              <w:spacing w:before="0" w:after="0"/>
              <w:rPr>
                <w:sz w:val="18"/>
                <w:szCs w:val="18"/>
              </w:rPr>
            </w:pPr>
            <w:r w:rsidRPr="00CD1029">
              <w:rPr>
                <w:b/>
                <w:bCs/>
                <w:sz w:val="18"/>
                <w:szCs w:val="18"/>
              </w:rPr>
              <w:t>Revenues from continuing operations</w:t>
            </w:r>
            <w:r w:rsidRPr="00CD1029">
              <w:rPr>
                <w:bCs/>
                <w:sz w:val="18"/>
                <w:szCs w:val="18"/>
              </w:rPr>
              <w:tab/>
            </w:r>
          </w:p>
        </w:tc>
        <w:tc>
          <w:tcPr>
            <w:tcW w:w="2052" w:type="dxa"/>
            <w:shd w:val="clear" w:color="auto" w:fill="auto"/>
          </w:tcPr>
          <w:p w:rsidR="00CD1029" w:rsidRPr="000D3D24" w:rsidRDefault="00CD1029" w:rsidP="00CD1029">
            <w:pPr>
              <w:pBdr>
                <w:bottom w:val="double" w:sz="4" w:space="1" w:color="auto"/>
              </w:pBdr>
              <w:spacing w:before="0" w:after="0"/>
              <w:jc w:val="right"/>
              <w:rPr>
                <w:sz w:val="18"/>
                <w:szCs w:val="18"/>
              </w:rPr>
            </w:pPr>
            <w:r w:rsidRPr="00CD1029">
              <w:rPr>
                <w:sz w:val="18"/>
                <w:szCs w:val="18"/>
              </w:rPr>
              <w:t>3,170.7</w:t>
            </w:r>
          </w:p>
        </w:tc>
      </w:tr>
    </w:tbl>
    <w:p w:rsidR="003F0BC5" w:rsidRPr="00992199" w:rsidRDefault="003F0BC5" w:rsidP="00353B80">
      <w:pPr>
        <w:pStyle w:val="Firm5L4"/>
        <w:keepNext/>
      </w:pPr>
      <w:r w:rsidRPr="00992199">
        <w:t>Industry overview</w:t>
      </w:r>
    </w:p>
    <w:p w:rsidR="003F0BC5" w:rsidRPr="00992199" w:rsidRDefault="003F0BC5" w:rsidP="003F0BC5">
      <w:pPr>
        <w:rPr>
          <w:szCs w:val="20"/>
        </w:rPr>
      </w:pPr>
      <w:r w:rsidRPr="00992199">
        <w:rPr>
          <w:szCs w:val="20"/>
        </w:rPr>
        <w:t xml:space="preserve">Certain of the industry information provided in this Section is based on or taken from publicly available sources and has not been independently verified by the Univeg Group. In this Section, statements regarding industry outlook, trends and future product development, as well as other non-historical statements, are forward-looking statements that are subject to numerous risks and uncertainties. See </w:t>
      </w:r>
      <w:r w:rsidR="00BF553B">
        <w:rPr>
          <w:szCs w:val="20"/>
        </w:rPr>
        <w:t>“</w:t>
      </w:r>
      <w:r w:rsidRPr="00992199">
        <w:rPr>
          <w:szCs w:val="20"/>
        </w:rPr>
        <w:t>Information Regard</w:t>
      </w:r>
      <w:r w:rsidR="00E904E6">
        <w:rPr>
          <w:szCs w:val="20"/>
        </w:rPr>
        <w:t>ing Forward-Looking Statements</w:t>
      </w:r>
      <w:r w:rsidR="00BF553B">
        <w:rPr>
          <w:szCs w:val="20"/>
        </w:rPr>
        <w:t>”</w:t>
      </w:r>
      <w:r w:rsidR="00E904E6">
        <w:rPr>
          <w:szCs w:val="20"/>
        </w:rPr>
        <w:t xml:space="preserve">, </w:t>
      </w:r>
      <w:r w:rsidR="00BF553B">
        <w:rPr>
          <w:szCs w:val="20"/>
        </w:rPr>
        <w:t>“</w:t>
      </w:r>
      <w:r w:rsidR="00E904E6">
        <w:rPr>
          <w:szCs w:val="20"/>
        </w:rPr>
        <w:t>I</w:t>
      </w:r>
      <w:r w:rsidR="00E904E6" w:rsidRPr="00E904E6">
        <w:rPr>
          <w:szCs w:val="20"/>
        </w:rPr>
        <w:t>ndustry data, market share, ranking and other data</w:t>
      </w:r>
      <w:r w:rsidR="00BF553B">
        <w:rPr>
          <w:szCs w:val="20"/>
        </w:rPr>
        <w:t>”</w:t>
      </w:r>
      <w:r w:rsidRPr="00992199">
        <w:rPr>
          <w:szCs w:val="20"/>
        </w:rPr>
        <w:t xml:space="preserve"> and </w:t>
      </w:r>
      <w:r w:rsidR="00E904E6">
        <w:rPr>
          <w:szCs w:val="20"/>
        </w:rPr>
        <w:t>Part II (</w:t>
      </w:r>
      <w:r w:rsidRPr="00E904E6">
        <w:rPr>
          <w:i/>
          <w:szCs w:val="20"/>
        </w:rPr>
        <w:t>Risk Factors</w:t>
      </w:r>
      <w:r w:rsidR="00E904E6">
        <w:rPr>
          <w:szCs w:val="20"/>
        </w:rPr>
        <w:t>).</w:t>
      </w:r>
    </w:p>
    <w:p w:rsidR="003F0BC5" w:rsidRPr="00992199" w:rsidRDefault="003F0BC5" w:rsidP="003F0BC5">
      <w:pPr>
        <w:rPr>
          <w:i/>
          <w:szCs w:val="20"/>
        </w:rPr>
      </w:pPr>
      <w:r w:rsidRPr="00992199">
        <w:rPr>
          <w:i/>
          <w:szCs w:val="20"/>
        </w:rPr>
        <w:t>Overview</w:t>
      </w:r>
    </w:p>
    <w:p w:rsidR="003F0BC5" w:rsidRPr="00992199" w:rsidRDefault="003F0BC5" w:rsidP="003F0BC5">
      <w:pPr>
        <w:rPr>
          <w:szCs w:val="20"/>
        </w:rPr>
      </w:pPr>
      <w:r w:rsidRPr="00992199">
        <w:rPr>
          <w:szCs w:val="20"/>
        </w:rPr>
        <w:t xml:space="preserve">The global fresh produce market is comprised of various crops and foods, of which the fruit and vegetables category forms an integral part. In particular, fresh fruit and vegetables is a key product category in the food retail sector. This category has proven to be more resilient than many other product categories in the food retail sector over the course of the global economic downturn in terms of volumes sold in </w:t>
      </w:r>
      <w:smartTag w:uri="urn:schemas-microsoft-com:office:smarttags" w:element="place">
        <w:r w:rsidRPr="00992199">
          <w:rPr>
            <w:szCs w:val="20"/>
          </w:rPr>
          <w:t>Europe</w:t>
        </w:r>
      </w:smartTag>
      <w:r w:rsidRPr="00992199">
        <w:rPr>
          <w:szCs w:val="20"/>
        </w:rPr>
        <w:t>.</w:t>
      </w:r>
    </w:p>
    <w:p w:rsidR="003F0BC5" w:rsidRPr="00992199" w:rsidRDefault="003F0BC5" w:rsidP="003F0BC5">
      <w:pPr>
        <w:rPr>
          <w:szCs w:val="20"/>
        </w:rPr>
      </w:pPr>
      <w:r w:rsidRPr="00992199">
        <w:rPr>
          <w:szCs w:val="20"/>
        </w:rPr>
        <w:t>The Univeg Group believes that the fresh fruit and vegetables category is important for food retailers for the following reasons:</w:t>
      </w:r>
    </w:p>
    <w:p w:rsidR="003F0BC5" w:rsidRPr="00992199" w:rsidRDefault="003F0BC5" w:rsidP="00B1213A">
      <w:pPr>
        <w:pStyle w:val="BulletsL1"/>
      </w:pPr>
      <w:r w:rsidRPr="00992199">
        <w:t>it generates high consumer traffic because fruit and vegetables have a short shelf life compared to other product categories and need to be purchased relatively frequently;</w:t>
      </w:r>
    </w:p>
    <w:p w:rsidR="003F0BC5" w:rsidRPr="00992199" w:rsidRDefault="003F0BC5" w:rsidP="00B1213A">
      <w:pPr>
        <w:pStyle w:val="BulletsL1"/>
      </w:pPr>
      <w:r w:rsidRPr="00992199">
        <w:t>in terms of gross margin per square meter, it is a higher profit category compared to other product categories;</w:t>
      </w:r>
    </w:p>
    <w:p w:rsidR="003F0BC5" w:rsidRPr="00992199" w:rsidRDefault="003F0BC5" w:rsidP="00B1213A">
      <w:pPr>
        <w:pStyle w:val="BulletsL1"/>
      </w:pPr>
      <w:r w:rsidRPr="00992199">
        <w:t>it has a high inventory turnover and requires a low amount of working capital relative to other product categories;</w:t>
      </w:r>
    </w:p>
    <w:p w:rsidR="003F0BC5" w:rsidRPr="00992199" w:rsidRDefault="003F0BC5" w:rsidP="00B1213A">
      <w:pPr>
        <w:pStyle w:val="BulletsL1"/>
      </w:pPr>
      <w:r w:rsidRPr="00992199">
        <w:t>it is a sector that provides significant opportunity to differentiate based on quality, as there are almost no standard-branded products; and</w:t>
      </w:r>
    </w:p>
    <w:p w:rsidR="003F0BC5" w:rsidRPr="00992199" w:rsidRDefault="003F0BC5" w:rsidP="00B1213A">
      <w:pPr>
        <w:pStyle w:val="BulletsL1"/>
      </w:pPr>
      <w:r w:rsidRPr="00992199">
        <w:t xml:space="preserve">it is increasingly becoming the image and loyalty builder as many shoppers choose their favourite store (amongst other criteria, such as location) on their judgement of the fresh produce </w:t>
      </w:r>
      <w:r w:rsidR="005F5D47">
        <w:t>s</w:t>
      </w:r>
      <w:r w:rsidRPr="00992199">
        <w:t>ection.</w:t>
      </w:r>
    </w:p>
    <w:p w:rsidR="003F0BC5" w:rsidRPr="00992199" w:rsidRDefault="003F0BC5" w:rsidP="003F0BC5">
      <w:pPr>
        <w:rPr>
          <w:szCs w:val="20"/>
        </w:rPr>
      </w:pPr>
      <w:r w:rsidRPr="00992199">
        <w:rPr>
          <w:szCs w:val="20"/>
        </w:rPr>
        <w:t xml:space="preserve">Because of the above, the Univeg Group believes that retailers carefully select suppliers with broad capabilities in order to help them successfully compete against other retailers for the best fresh produce </w:t>
      </w:r>
      <w:r w:rsidR="005F5D47">
        <w:rPr>
          <w:szCs w:val="20"/>
        </w:rPr>
        <w:t>s</w:t>
      </w:r>
      <w:r w:rsidRPr="00992199">
        <w:rPr>
          <w:szCs w:val="20"/>
        </w:rPr>
        <w:t>ection.</w:t>
      </w:r>
    </w:p>
    <w:p w:rsidR="003F0BC5" w:rsidRPr="00992199" w:rsidRDefault="003F0BC5" w:rsidP="003F0BC5">
      <w:pPr>
        <w:rPr>
          <w:szCs w:val="20"/>
        </w:rPr>
      </w:pPr>
      <w:r w:rsidRPr="00992199">
        <w:rPr>
          <w:szCs w:val="20"/>
        </w:rPr>
        <w:t xml:space="preserve">The fresh fruit and vegetables consumed in </w:t>
      </w:r>
      <w:smartTag w:uri="urn:schemas-microsoft-com:office:smarttags" w:element="place">
        <w:r w:rsidRPr="00992199">
          <w:rPr>
            <w:szCs w:val="20"/>
          </w:rPr>
          <w:t>Europe</w:t>
        </w:r>
      </w:smartTag>
      <w:r w:rsidRPr="00992199">
        <w:rPr>
          <w:szCs w:val="20"/>
        </w:rPr>
        <w:t xml:space="preserve"> consist of:</w:t>
      </w:r>
    </w:p>
    <w:p w:rsidR="003F0BC5" w:rsidRPr="00992199" w:rsidRDefault="003F0BC5" w:rsidP="00B1213A">
      <w:pPr>
        <w:pStyle w:val="BulletsL1"/>
      </w:pPr>
      <w:r w:rsidRPr="00992199">
        <w:t>locally-grown produce (either outside or in temperature-controlled environments such as greenhouses);</w:t>
      </w:r>
    </w:p>
    <w:p w:rsidR="003F0BC5" w:rsidRPr="00992199" w:rsidRDefault="003F0BC5" w:rsidP="00B1213A">
      <w:pPr>
        <w:pStyle w:val="BulletsL1"/>
      </w:pPr>
      <w:r w:rsidRPr="00992199">
        <w:t>products imported from other European countries;</w:t>
      </w:r>
    </w:p>
    <w:p w:rsidR="003F0BC5" w:rsidRPr="00992199" w:rsidRDefault="003F0BC5" w:rsidP="00B1213A">
      <w:pPr>
        <w:pStyle w:val="BulletsL1"/>
      </w:pPr>
      <w:r w:rsidRPr="00992199">
        <w:t>tropical fruits sourced from the main equatorial growing countries; and</w:t>
      </w:r>
    </w:p>
    <w:p w:rsidR="003F0BC5" w:rsidRPr="00992199" w:rsidRDefault="003F0BC5" w:rsidP="00B1213A">
      <w:pPr>
        <w:pStyle w:val="BulletsL1"/>
      </w:pPr>
      <w:r w:rsidRPr="00992199">
        <w:t>off-season produce, sourced from the Southern Hemisphere to meet consumer demand for year-round availability.</w:t>
      </w:r>
    </w:p>
    <w:p w:rsidR="003F0BC5" w:rsidRPr="00992199" w:rsidRDefault="003F0BC5" w:rsidP="003F0BC5">
      <w:pPr>
        <w:rPr>
          <w:szCs w:val="20"/>
        </w:rPr>
      </w:pPr>
      <w:r w:rsidRPr="00992199">
        <w:rPr>
          <w:szCs w:val="20"/>
        </w:rPr>
        <w:lastRenderedPageBreak/>
        <w:t>In contrast to ambient or frozen food products, fresh fruit and vegetables have a short lifespan between harvest and consumption, particularly as a result of the importance consumers (and therefore food retailers) ascribe to nutritional quality and superior taste. This tight supply chain, together with the variability in the size and timing of the annual crops, creates complexity, particularly when dealing with a broad basket of products. Dealing with this complexity through the process of contingency management is a central part of the value proposition to food retailers.</w:t>
      </w:r>
    </w:p>
    <w:p w:rsidR="003F0BC5" w:rsidRPr="00992199" w:rsidRDefault="003F0BC5" w:rsidP="003F0BC5">
      <w:pPr>
        <w:rPr>
          <w:szCs w:val="20"/>
        </w:rPr>
      </w:pPr>
      <w:r w:rsidRPr="00992199">
        <w:rPr>
          <w:szCs w:val="20"/>
        </w:rPr>
        <w:t xml:space="preserve">Key activities undertaken by participants in the market for the supply of fresh fruit and vegetables include growing, sourcing or purchasing crops, transportation, storage or warehousing, ripening, processing and packaging, sales and distribution. Suppliers participate to a greater or lesser extent across the various parts of the value chain depending on their size, strategy and level of vertical integration. Increasingly, in response to customer and consumer demands for transparency, they are required to demonstrate knowledge and traceability across all </w:t>
      </w:r>
      <w:r w:rsidR="005F5D47">
        <w:rPr>
          <w:szCs w:val="20"/>
        </w:rPr>
        <w:t>s</w:t>
      </w:r>
      <w:r w:rsidRPr="00992199">
        <w:rPr>
          <w:szCs w:val="20"/>
        </w:rPr>
        <w:t>ections of this value chain.</w:t>
      </w:r>
    </w:p>
    <w:p w:rsidR="003F0BC5" w:rsidRPr="00992199" w:rsidRDefault="003F0BC5" w:rsidP="003F0BC5">
      <w:pPr>
        <w:rPr>
          <w:i/>
          <w:szCs w:val="20"/>
        </w:rPr>
      </w:pPr>
      <w:r w:rsidRPr="00992199">
        <w:rPr>
          <w:i/>
          <w:szCs w:val="20"/>
        </w:rPr>
        <w:t>European fresh fruit</w:t>
      </w:r>
      <w:r w:rsidR="00FE467C">
        <w:rPr>
          <w:i/>
          <w:szCs w:val="20"/>
        </w:rPr>
        <w:t xml:space="preserve"> and </w:t>
      </w:r>
      <w:r w:rsidRPr="00992199">
        <w:rPr>
          <w:i/>
          <w:szCs w:val="20"/>
        </w:rPr>
        <w:t>vegetables market</w:t>
      </w:r>
    </w:p>
    <w:p w:rsidR="003F0BC5" w:rsidRPr="00992199" w:rsidRDefault="0001690F" w:rsidP="003F0BC5">
      <w:pPr>
        <w:rPr>
          <w:szCs w:val="20"/>
        </w:rPr>
      </w:pPr>
      <w:r>
        <w:rPr>
          <w:szCs w:val="20"/>
        </w:rPr>
        <w:t>The</w:t>
      </w:r>
      <w:r w:rsidR="003F0BC5" w:rsidRPr="00992199">
        <w:rPr>
          <w:szCs w:val="20"/>
        </w:rPr>
        <w:t xml:space="preserve"> core market is </w:t>
      </w:r>
      <w:smartTag w:uri="urn:schemas-microsoft-com:office:smarttags" w:element="place">
        <w:r w:rsidR="003F0BC5" w:rsidRPr="00992199">
          <w:rPr>
            <w:szCs w:val="20"/>
          </w:rPr>
          <w:t>Western Europe</w:t>
        </w:r>
      </w:smartTag>
      <w:r>
        <w:rPr>
          <w:szCs w:val="20"/>
        </w:rPr>
        <w:t>, in</w:t>
      </w:r>
      <w:r w:rsidR="003F0BC5" w:rsidRPr="00992199">
        <w:rPr>
          <w:szCs w:val="20"/>
        </w:rPr>
        <w:t xml:space="preserve"> the </w:t>
      </w:r>
      <w:r w:rsidR="00ED1BE9" w:rsidRPr="00ED1BE9">
        <w:rPr>
          <w:szCs w:val="20"/>
        </w:rPr>
        <w:t xml:space="preserve">financial </w:t>
      </w:r>
      <w:r w:rsidR="00D70585">
        <w:rPr>
          <w:szCs w:val="20"/>
        </w:rPr>
        <w:t xml:space="preserve">year </w:t>
      </w:r>
      <w:r w:rsidR="003F0BC5" w:rsidRPr="00992199">
        <w:rPr>
          <w:szCs w:val="20"/>
        </w:rPr>
        <w:t xml:space="preserve">ended </w:t>
      </w:r>
      <w:r w:rsidR="00D70585">
        <w:rPr>
          <w:szCs w:val="20"/>
        </w:rPr>
        <w:t xml:space="preserve">on 31 December </w:t>
      </w:r>
      <w:r w:rsidR="003F0BC5" w:rsidRPr="00992199">
        <w:rPr>
          <w:szCs w:val="20"/>
        </w:rPr>
        <w:t xml:space="preserve">2014, the EU fruit market and the EU vegetables market were estimated at approximately </w:t>
      </w:r>
      <w:r w:rsidR="00E53641">
        <w:rPr>
          <w:szCs w:val="20"/>
        </w:rPr>
        <w:t>EUR </w:t>
      </w:r>
      <w:r w:rsidR="003F0BC5" w:rsidRPr="00992199">
        <w:rPr>
          <w:szCs w:val="20"/>
        </w:rPr>
        <w:t xml:space="preserve">43,000,000,000 and </w:t>
      </w:r>
      <w:r w:rsidR="00E53641">
        <w:rPr>
          <w:szCs w:val="20"/>
        </w:rPr>
        <w:t>EUR </w:t>
      </w:r>
      <w:r w:rsidR="003F0BC5" w:rsidRPr="00992199">
        <w:rPr>
          <w:szCs w:val="20"/>
        </w:rPr>
        <w:t>47,000,000,000 respectively at the wholesale level.</w:t>
      </w:r>
    </w:p>
    <w:p w:rsidR="003F0BC5" w:rsidRPr="00992199" w:rsidRDefault="003F0BC5" w:rsidP="003F0BC5">
      <w:pPr>
        <w:rPr>
          <w:szCs w:val="20"/>
        </w:rPr>
      </w:pPr>
      <w:r w:rsidRPr="00992199">
        <w:rPr>
          <w:szCs w:val="20"/>
        </w:rPr>
        <w:t>The EU fruit and vegetables market over the last</w:t>
      </w:r>
      <w:r w:rsidR="006042CC">
        <w:rPr>
          <w:szCs w:val="20"/>
        </w:rPr>
        <w:t xml:space="preserve"> ten </w:t>
      </w:r>
      <w:r w:rsidRPr="00992199">
        <w:rPr>
          <w:szCs w:val="20"/>
        </w:rPr>
        <w:t>years has exhibited limited sensitivity to changes in general economic conditions. While the per capita consumption of fruit and vegetables is stagnating to slightly negative depending on the country, the addition of higher value-added products to the product portfolio of suppliers and consumers’ growing expectations for health and environmental sustainability are contributing to market growth</w:t>
      </w:r>
    </w:p>
    <w:p w:rsidR="003F0BC5" w:rsidRPr="00992199" w:rsidRDefault="003F0BC5" w:rsidP="003F0BC5">
      <w:pPr>
        <w:rPr>
          <w:i/>
          <w:szCs w:val="20"/>
        </w:rPr>
      </w:pPr>
      <w:r w:rsidRPr="00992199">
        <w:rPr>
          <w:i/>
          <w:szCs w:val="20"/>
        </w:rPr>
        <w:t xml:space="preserve">Sourcing </w:t>
      </w:r>
      <w:r w:rsidR="0096076E" w:rsidRPr="00992199">
        <w:rPr>
          <w:i/>
          <w:szCs w:val="20"/>
        </w:rPr>
        <w:t>and supply chain</w:t>
      </w:r>
    </w:p>
    <w:p w:rsidR="003F0BC5" w:rsidRPr="00992199" w:rsidRDefault="003F0BC5" w:rsidP="003F0BC5">
      <w:pPr>
        <w:rPr>
          <w:szCs w:val="20"/>
        </w:rPr>
      </w:pPr>
      <w:r w:rsidRPr="00992199">
        <w:rPr>
          <w:szCs w:val="20"/>
        </w:rPr>
        <w:t xml:space="preserve">The Univeg Group estimates that more than half of fresh produce consumed in </w:t>
      </w:r>
      <w:smartTag w:uri="urn:schemas-microsoft-com:office:smarttags" w:element="place">
        <w:r w:rsidRPr="00992199">
          <w:rPr>
            <w:szCs w:val="20"/>
          </w:rPr>
          <w:t>Europe</w:t>
        </w:r>
      </w:smartTag>
      <w:r w:rsidRPr="00992199">
        <w:rPr>
          <w:szCs w:val="20"/>
        </w:rPr>
        <w:t xml:space="preserve"> is locally sourced</w:t>
      </w:r>
      <w:r w:rsidR="0001690F">
        <w:rPr>
          <w:szCs w:val="20"/>
        </w:rPr>
        <w:t xml:space="preserve"> in the country where it is consumed</w:t>
      </w:r>
      <w:r w:rsidRPr="00992199">
        <w:rPr>
          <w:szCs w:val="20"/>
        </w:rPr>
        <w:t xml:space="preserve">, approximately a quarter is imported from within the EU and the remainder is sourced from outside the EU. Imports from outside the EU are either tropical products or off-season supply from the Southern Hemisphere. In countries located in </w:t>
      </w:r>
      <w:smartTag w:uri="urn:schemas-microsoft-com:office:smarttags" w:element="place">
        <w:r w:rsidRPr="00992199">
          <w:rPr>
            <w:szCs w:val="20"/>
          </w:rPr>
          <w:t>Northern Europe</w:t>
        </w:r>
      </w:smartTag>
      <w:r w:rsidRPr="00992199">
        <w:rPr>
          <w:szCs w:val="20"/>
        </w:rPr>
        <w:t xml:space="preserve">, as well as in the fruit category generally, imports play a bigger role. In the Univeg Group’s largest market </w:t>
      </w:r>
      <w:smartTag w:uri="urn:schemas-microsoft-com:office:smarttags" w:element="country-region">
        <w:smartTag w:uri="urn:schemas-microsoft-com:office:smarttags" w:element="place">
          <w:r w:rsidRPr="00992199">
            <w:rPr>
              <w:szCs w:val="20"/>
            </w:rPr>
            <w:t>Germany</w:t>
          </w:r>
        </w:smartTag>
      </w:smartTag>
      <w:r w:rsidRPr="00992199">
        <w:rPr>
          <w:szCs w:val="20"/>
        </w:rPr>
        <w:t>, for example, only 35% is locally sourced. However, European production levels have been declining as returns (especially with respect to greenhouse production) have been considered unattractive by growers.</w:t>
      </w:r>
    </w:p>
    <w:p w:rsidR="003F0BC5" w:rsidRPr="00992199" w:rsidRDefault="003F0BC5" w:rsidP="003F0BC5">
      <w:pPr>
        <w:rPr>
          <w:szCs w:val="20"/>
        </w:rPr>
      </w:pPr>
      <w:r w:rsidRPr="00992199">
        <w:rPr>
          <w:szCs w:val="20"/>
        </w:rPr>
        <w:t>Depending upon their degree of vertical integration, suppliers source their produce from owned farms or from local farmers or cooperative groups in growing areas, from importers based in the major Western European import hubs or from regional or local distributors. Sourcing across these various levels of the value chain helps to ensure continuity of supply, competitive prices, year-round availability and supply of specialty products.</w:t>
      </w:r>
    </w:p>
    <w:p w:rsidR="003F0BC5" w:rsidRPr="00992199" w:rsidRDefault="003F0BC5" w:rsidP="003F0BC5">
      <w:pPr>
        <w:rPr>
          <w:szCs w:val="20"/>
        </w:rPr>
      </w:pPr>
      <w:r w:rsidRPr="00992199">
        <w:rPr>
          <w:szCs w:val="20"/>
        </w:rPr>
        <w:t>The ability to source fruit and vegetables globally in order to supply tropical and off-season varieties is a significant competitive advantage for larger suppliers. In addition, suppliers are increasingly required to demonstrate complete transparency throughout the supply chain to accommodate customers’ needs for traceability and direct affiliations with growers and consumer demand for verifiably sustainable and socially responsible growing.</w:t>
      </w:r>
    </w:p>
    <w:p w:rsidR="003F0BC5" w:rsidRPr="00992199" w:rsidRDefault="003F0BC5" w:rsidP="003F0BC5">
      <w:pPr>
        <w:rPr>
          <w:szCs w:val="20"/>
        </w:rPr>
      </w:pPr>
      <w:r w:rsidRPr="00992199">
        <w:rPr>
          <w:szCs w:val="20"/>
        </w:rPr>
        <w:t>Depending upon the demands of retailer customers, suppliers participate in storage or warehousing, ripening, processing and packaging activities. Increasingly, in the modern trade, larger suppliers are becoming highly integrated into their customers’ own supply chains with a high degree of customer intimacy and category captaincy roles. This degree of integration provides a basis to further grow sales and improve margins at existing customers and makes the supplier-customer relationship more collaborative encouraging mutual dependence.</w:t>
      </w:r>
    </w:p>
    <w:p w:rsidR="003F0BC5" w:rsidRPr="00992199" w:rsidRDefault="003F0BC5" w:rsidP="003F0BC5">
      <w:pPr>
        <w:rPr>
          <w:i/>
          <w:szCs w:val="20"/>
        </w:rPr>
      </w:pPr>
      <w:r w:rsidRPr="00992199">
        <w:rPr>
          <w:i/>
          <w:szCs w:val="20"/>
        </w:rPr>
        <w:t>Customer Label Dominates</w:t>
      </w:r>
    </w:p>
    <w:p w:rsidR="003F0BC5" w:rsidRPr="00992199" w:rsidRDefault="003F0BC5" w:rsidP="003F0BC5">
      <w:pPr>
        <w:rPr>
          <w:szCs w:val="20"/>
        </w:rPr>
      </w:pPr>
      <w:r w:rsidRPr="00992199">
        <w:rPr>
          <w:szCs w:val="20"/>
        </w:rPr>
        <w:t>While consumer brands do exist and command premium prices (examples being Chiquita, Zespri, Pink Lady), by far the majority of fruit and vegetables sold are unbranded or sold under food retailer brands. There is a steady increase in the volumes of fresh produce being packed and labelled under food retailer brands. This growth is driven by the desire of food retailers to:</w:t>
      </w:r>
    </w:p>
    <w:p w:rsidR="003F0BC5" w:rsidRPr="00992199" w:rsidRDefault="003F0BC5" w:rsidP="00B1213A">
      <w:pPr>
        <w:pStyle w:val="BulletsL1"/>
      </w:pPr>
      <w:r w:rsidRPr="00992199">
        <w:t>offer a distinct product;</w:t>
      </w:r>
    </w:p>
    <w:p w:rsidR="003F0BC5" w:rsidRPr="00992199" w:rsidRDefault="003F0BC5" w:rsidP="00B1213A">
      <w:pPr>
        <w:pStyle w:val="BulletsL1"/>
      </w:pPr>
      <w:r w:rsidRPr="00992199">
        <w:t>use the strength of their brand to generate loyalty among consumers; and</w:t>
      </w:r>
    </w:p>
    <w:p w:rsidR="003F0BC5" w:rsidRPr="00992199" w:rsidRDefault="003F0BC5" w:rsidP="00B1213A">
      <w:pPr>
        <w:pStyle w:val="BulletsL1"/>
      </w:pPr>
      <w:r w:rsidRPr="00992199">
        <w:t>use sub-brands to clearly segment their offering, for example, value, family, premium, organic, sustainably grown and regionally grown.</w:t>
      </w:r>
    </w:p>
    <w:p w:rsidR="003F0BC5" w:rsidRPr="00992199" w:rsidRDefault="003F0BC5" w:rsidP="003F0BC5">
      <w:pPr>
        <w:rPr>
          <w:szCs w:val="20"/>
        </w:rPr>
      </w:pPr>
      <w:r w:rsidRPr="00992199">
        <w:rPr>
          <w:szCs w:val="20"/>
        </w:rPr>
        <w:lastRenderedPageBreak/>
        <w:t>Using their own brand is a powerful tool for food retailers but their reputation is at stake. This trend benefits large players as the implementation of these policies requires longer-term program commitments from the food retailers and supply in accordance with rigid product specifications and flexible packing capacities by suppliers.</w:t>
      </w:r>
    </w:p>
    <w:p w:rsidR="003F0BC5" w:rsidRPr="00992199" w:rsidRDefault="003F0BC5" w:rsidP="003F0BC5">
      <w:pPr>
        <w:rPr>
          <w:szCs w:val="20"/>
        </w:rPr>
      </w:pPr>
      <w:r w:rsidRPr="00992199">
        <w:rPr>
          <w:szCs w:val="20"/>
        </w:rPr>
        <w:t>Large suppliers carry products under their own labels which are recognised in the industry, although not by consumers, and which also command a price premium because of their reputation for consistent superior quality. The Univeg Group’s best known brands are Alara (cherries), Happy Tree (apples and pears), Seald Sweet (citrus) and Katopé (avocadoes) brands. Trade brands are particularly important for gaining entry into developing markets.</w:t>
      </w:r>
    </w:p>
    <w:p w:rsidR="003F0BC5" w:rsidRPr="00992199" w:rsidRDefault="003F0BC5" w:rsidP="003F0BC5">
      <w:pPr>
        <w:rPr>
          <w:i/>
          <w:szCs w:val="20"/>
        </w:rPr>
      </w:pPr>
      <w:r w:rsidRPr="00992199">
        <w:rPr>
          <w:i/>
          <w:szCs w:val="20"/>
        </w:rPr>
        <w:t xml:space="preserve">Current </w:t>
      </w:r>
      <w:r w:rsidR="00FE467C" w:rsidRPr="00992199">
        <w:rPr>
          <w:i/>
          <w:szCs w:val="20"/>
        </w:rPr>
        <w:t xml:space="preserve">trends and growth drivers </w:t>
      </w:r>
      <w:r w:rsidRPr="00992199">
        <w:rPr>
          <w:i/>
          <w:szCs w:val="20"/>
        </w:rPr>
        <w:t xml:space="preserve">in the European </w:t>
      </w:r>
      <w:r w:rsidR="00FE467C" w:rsidRPr="00992199">
        <w:rPr>
          <w:i/>
          <w:szCs w:val="20"/>
        </w:rPr>
        <w:t>fruit</w:t>
      </w:r>
      <w:r w:rsidR="00FE467C">
        <w:rPr>
          <w:i/>
          <w:szCs w:val="20"/>
        </w:rPr>
        <w:t xml:space="preserve"> and </w:t>
      </w:r>
      <w:r w:rsidR="00FE467C" w:rsidRPr="00992199">
        <w:rPr>
          <w:i/>
          <w:szCs w:val="20"/>
        </w:rPr>
        <w:t>vegetables market</w:t>
      </w:r>
    </w:p>
    <w:p w:rsidR="003F0BC5" w:rsidRPr="00992199" w:rsidRDefault="003F0BC5" w:rsidP="003F0BC5">
      <w:pPr>
        <w:rPr>
          <w:szCs w:val="20"/>
        </w:rPr>
      </w:pPr>
      <w:r w:rsidRPr="00992199">
        <w:rPr>
          <w:szCs w:val="20"/>
        </w:rPr>
        <w:t>The Univeg Group believes that the current trends will lead to a consolidation of the industry and support the growth of large players such as the Univeg Group with both broad sourcing and service capabilities. The Univeg Group believes that the current trends and growth drivers in EU fruit and vegetable markets are as follows:</w:t>
      </w:r>
    </w:p>
    <w:p w:rsidR="003F0BC5" w:rsidRPr="00992199" w:rsidRDefault="003F0BC5" w:rsidP="00B1213A">
      <w:pPr>
        <w:pStyle w:val="BulletsL1"/>
      </w:pPr>
      <w:r w:rsidRPr="00992199">
        <w:t>Health concerns</w:t>
      </w:r>
    </w:p>
    <w:p w:rsidR="003F0BC5" w:rsidRPr="00992199" w:rsidRDefault="003F0BC5" w:rsidP="00F35405">
      <w:pPr>
        <w:widowControl w:val="0"/>
        <w:autoSpaceDE w:val="0"/>
        <w:autoSpaceDN w:val="0"/>
        <w:adjustRightInd w:val="0"/>
        <w:ind w:left="720"/>
        <w:rPr>
          <w:szCs w:val="20"/>
        </w:rPr>
      </w:pPr>
      <w:r w:rsidRPr="00992199">
        <w:rPr>
          <w:szCs w:val="20"/>
        </w:rPr>
        <w:t>The continued rise in obesity, coupled with an ageing population and sedentary lifestyles, particularly in the Western world, means that consumers of all ages and governments are increasingly concerned about health. In addition, increasing awareness of the nutritional benefits of fresh food and gradually evolving eating habits, including vegetarianism and declining consumption of heavily processed food, support the continued growth of the fresh produce category. From a public policy perspective, awareness is being raised of the benefits of consuming healthy, unprocessed foods. The European Commission, for example, has for the past six years run an EU-wide scheme to encourage healthier eating habits amongst school children, with more than 10,000,000 children in participating Member States receiving portions of fruit and vegetables in school.</w:t>
      </w:r>
    </w:p>
    <w:p w:rsidR="003F0BC5" w:rsidRPr="00992199" w:rsidRDefault="003F0BC5" w:rsidP="00B1213A">
      <w:pPr>
        <w:pStyle w:val="BulletsL1"/>
      </w:pPr>
      <w:r w:rsidRPr="00992199">
        <w:t>Environmental issues</w:t>
      </w:r>
      <w:r w:rsidR="00FE467C">
        <w:t xml:space="preserve"> and </w:t>
      </w:r>
      <w:r w:rsidRPr="00992199">
        <w:t>sustainability</w:t>
      </w:r>
    </w:p>
    <w:p w:rsidR="003F0BC5" w:rsidRPr="00992199" w:rsidRDefault="003F0BC5" w:rsidP="00F35405">
      <w:pPr>
        <w:widowControl w:val="0"/>
        <w:autoSpaceDE w:val="0"/>
        <w:autoSpaceDN w:val="0"/>
        <w:adjustRightInd w:val="0"/>
        <w:ind w:left="720"/>
        <w:rPr>
          <w:szCs w:val="20"/>
        </w:rPr>
      </w:pPr>
      <w:r w:rsidRPr="00992199">
        <w:rPr>
          <w:szCs w:val="20"/>
        </w:rPr>
        <w:t>Global economic conditions in recent years have influenced attitudes towards the wasting of resources such as food and energy, with particular attention being given to food waste reduction. A recent UN report on food waste indicated that 1,300,000,000 tons of food</w:t>
      </w:r>
      <w:r w:rsidR="0001690F">
        <w:rPr>
          <w:szCs w:val="20"/>
        </w:rPr>
        <w:t>s</w:t>
      </w:r>
      <w:r w:rsidRPr="00992199">
        <w:rPr>
          <w:szCs w:val="20"/>
        </w:rPr>
        <w:t xml:space="preserve"> are wasted each year globally, produce which occupies 1,400,000,000 ha of land or 30% of the world’s agricultural land area. Industry participants have begun to respond to this challenge. Ethical considerations have also become part of the buying decisions of consumers, who seek assurances that the products they buy are produced in a safe, healthy and fair environment. Suppliers are increasingly expected to demonstrate that its products are sourced from socially responsible partners using sustainable agriculture. Pesticide residues are monitored and fair trade and organic certifications are gaining momentum.</w:t>
      </w:r>
    </w:p>
    <w:p w:rsidR="003F0BC5" w:rsidRPr="00992199" w:rsidRDefault="003F0BC5" w:rsidP="00B1213A">
      <w:pPr>
        <w:pStyle w:val="BulletsL1"/>
      </w:pPr>
      <w:r w:rsidRPr="00992199">
        <w:t>Increasing sourcing and supply chain complexity</w:t>
      </w:r>
    </w:p>
    <w:p w:rsidR="003F0BC5" w:rsidRPr="00992199" w:rsidRDefault="003F0BC5" w:rsidP="00F35405">
      <w:pPr>
        <w:widowControl w:val="0"/>
        <w:autoSpaceDE w:val="0"/>
        <w:autoSpaceDN w:val="0"/>
        <w:adjustRightInd w:val="0"/>
        <w:ind w:left="720"/>
        <w:rPr>
          <w:szCs w:val="20"/>
        </w:rPr>
      </w:pPr>
      <w:r w:rsidRPr="00992199">
        <w:rPr>
          <w:szCs w:val="20"/>
        </w:rPr>
        <w:t xml:space="preserve">The trade of fresh produce (especially fruit) is changing profoundly. The main cause is that developing continents such as Asia, the Middle East and </w:t>
      </w:r>
      <w:smartTag w:uri="urn:schemas-microsoft-com:office:smarttags" w:element="place">
        <w:r w:rsidRPr="00992199">
          <w:rPr>
            <w:szCs w:val="20"/>
          </w:rPr>
          <w:t>South America</w:t>
        </w:r>
      </w:smartTag>
      <w:r w:rsidRPr="00992199">
        <w:rPr>
          <w:szCs w:val="20"/>
        </w:rPr>
        <w:t xml:space="preserve"> are absorbing an increasing share of the world’s traded fruit. Also, traditional export countries such as </w:t>
      </w:r>
      <w:smartTag w:uri="urn:schemas-microsoft-com:office:smarttags" w:element="country-region">
        <w:r w:rsidRPr="00992199">
          <w:rPr>
            <w:szCs w:val="20"/>
          </w:rPr>
          <w:t>China</w:t>
        </w:r>
      </w:smartTag>
      <w:r w:rsidRPr="00992199">
        <w:rPr>
          <w:szCs w:val="20"/>
        </w:rPr>
        <w:t xml:space="preserve"> and </w:t>
      </w:r>
      <w:smartTag w:uri="urn:schemas-microsoft-com:office:smarttags" w:element="country-region">
        <w:smartTag w:uri="urn:schemas-microsoft-com:office:smarttags" w:element="place">
          <w:r w:rsidRPr="00992199">
            <w:rPr>
              <w:szCs w:val="20"/>
            </w:rPr>
            <w:t>Brazil</w:t>
          </w:r>
        </w:smartTag>
      </w:smartTag>
      <w:r w:rsidRPr="00992199">
        <w:rPr>
          <w:szCs w:val="20"/>
        </w:rPr>
        <w:t xml:space="preserve"> are retaining more of their own production for domestic consumption. These effects are changing the global supply-demand balance and impacting the way the Univeg Group manages its relationships with its grower partners who have a wider choice of markets in which to offer (through suppliers like the Univeg Group) their produce. The regulatory environment, including import restrictions, is constantly evolving.</w:t>
      </w:r>
    </w:p>
    <w:p w:rsidR="003F0BC5" w:rsidRPr="00992199" w:rsidRDefault="003F0BC5" w:rsidP="00B1213A">
      <w:pPr>
        <w:pStyle w:val="BulletsL1"/>
      </w:pPr>
      <w:r w:rsidRPr="00992199">
        <w:t>Developments in product specifications</w:t>
      </w:r>
    </w:p>
    <w:p w:rsidR="003F0BC5" w:rsidRPr="00992199" w:rsidRDefault="003F0BC5" w:rsidP="00F35405">
      <w:pPr>
        <w:widowControl w:val="0"/>
        <w:autoSpaceDE w:val="0"/>
        <w:autoSpaceDN w:val="0"/>
        <w:adjustRightInd w:val="0"/>
        <w:ind w:left="720"/>
        <w:rPr>
          <w:szCs w:val="20"/>
        </w:rPr>
      </w:pPr>
      <w:r w:rsidRPr="00992199">
        <w:rPr>
          <w:szCs w:val="20"/>
        </w:rPr>
        <w:t xml:space="preserve">Its customers require ever higher standards of its products. Suppliers are required to demonstrate traceability to origin, submit to ongoing supply chain audits and to verify quality and food safety. Consumers’ familiarity with different types of fruit and vegetables is increasing due to exposure to other cultures through migration, overseas travel and mass media, leading to demand for new varieties and increased range. The year-round availability of staple products is a basic requirement. Also, its customers increasingly demand value-added services, including </w:t>
      </w:r>
      <w:r w:rsidR="00BF553B">
        <w:rPr>
          <w:szCs w:val="20"/>
        </w:rPr>
        <w:t>“</w:t>
      </w:r>
      <w:r w:rsidRPr="00992199">
        <w:rPr>
          <w:szCs w:val="20"/>
        </w:rPr>
        <w:t>ripe and ready</w:t>
      </w:r>
      <w:r w:rsidR="00BF553B">
        <w:rPr>
          <w:szCs w:val="20"/>
        </w:rPr>
        <w:t>”</w:t>
      </w:r>
      <w:r w:rsidRPr="00992199">
        <w:rPr>
          <w:szCs w:val="20"/>
        </w:rPr>
        <w:t xml:space="preserve"> for sale, private label packaging, higher quality control, etc.</w:t>
      </w:r>
    </w:p>
    <w:p w:rsidR="003F0BC5" w:rsidRPr="00992199" w:rsidRDefault="003F0BC5" w:rsidP="00934BA4">
      <w:pPr>
        <w:pStyle w:val="BulletsL1"/>
      </w:pPr>
      <w:r w:rsidRPr="00992199">
        <w:t>Marketing</w:t>
      </w:r>
      <w:r w:rsidR="00FE467C">
        <w:t xml:space="preserve"> and </w:t>
      </w:r>
      <w:r w:rsidRPr="00992199">
        <w:t>sales process more demanding</w:t>
      </w:r>
    </w:p>
    <w:p w:rsidR="003F0BC5" w:rsidRPr="00992199" w:rsidRDefault="003F0BC5" w:rsidP="00F35405">
      <w:pPr>
        <w:widowControl w:val="0"/>
        <w:autoSpaceDE w:val="0"/>
        <w:autoSpaceDN w:val="0"/>
        <w:adjustRightInd w:val="0"/>
        <w:ind w:left="720"/>
        <w:rPr>
          <w:szCs w:val="20"/>
        </w:rPr>
      </w:pPr>
      <w:r w:rsidRPr="00992199">
        <w:rPr>
          <w:szCs w:val="20"/>
        </w:rPr>
        <w:t xml:space="preserve">Suppliers are increasingly invited to participate to a greater degree in helping its customers sell fresh produce to the shoppers. This is done by developing category management strategies, in which food retailer and supplier jointly plan the business (assortments, prices, promotional planning, etc.). In this relationship, the supplier provides its know-how on products, annual crop statistics and timing and the </w:t>
      </w:r>
      <w:r w:rsidRPr="00992199">
        <w:rPr>
          <w:szCs w:val="20"/>
        </w:rPr>
        <w:lastRenderedPageBreak/>
        <w:t>food retailer its know-how on its consumer base. As a result, suppliers are able to tailor their offerings to changing eating habits, household composition and demand for a variety of packaging formats and, in doing so, become further integrated into customers’ supply chains and systems.</w:t>
      </w:r>
    </w:p>
    <w:p w:rsidR="003F0BC5" w:rsidRPr="00992199" w:rsidRDefault="003F0BC5" w:rsidP="00934BA4">
      <w:pPr>
        <w:pStyle w:val="BulletsL1"/>
      </w:pPr>
      <w:r w:rsidRPr="00992199">
        <w:t>Convenience</w:t>
      </w:r>
    </w:p>
    <w:p w:rsidR="003F0BC5" w:rsidRPr="00992199" w:rsidRDefault="003F0BC5" w:rsidP="00F35405">
      <w:pPr>
        <w:widowControl w:val="0"/>
        <w:autoSpaceDE w:val="0"/>
        <w:autoSpaceDN w:val="0"/>
        <w:adjustRightInd w:val="0"/>
        <w:ind w:left="720"/>
        <w:rPr>
          <w:szCs w:val="20"/>
        </w:rPr>
      </w:pPr>
      <w:r w:rsidRPr="00992199">
        <w:rPr>
          <w:szCs w:val="20"/>
        </w:rPr>
        <w:t>Consistent with trends in other food and beverage categories driven by consumer lifestyle changes, including on-the-go eating, smaller households and the desire for less preparation time involved in meals at home, food retailers are demanding varied packaging and a higher degree of processing or value-add from their suppliers of fruit and vegetables. The ability to meet demand for flexible, informal eating as well as ready-prepared ingredients which allow consumers to save time, together with a high degree of integration into customer supply chains and purchasing decisions, are key differentiators and sources of competitive advantage for larger suppliers.</w:t>
      </w:r>
    </w:p>
    <w:p w:rsidR="003F0BC5" w:rsidRPr="00992199" w:rsidRDefault="003F0BC5" w:rsidP="00353B80">
      <w:pPr>
        <w:pStyle w:val="Firm5L4"/>
        <w:keepNext/>
      </w:pPr>
      <w:r w:rsidRPr="00992199">
        <w:t>Competition</w:t>
      </w:r>
    </w:p>
    <w:p w:rsidR="003F0BC5" w:rsidRDefault="003F0BC5" w:rsidP="003F0BC5">
      <w:pPr>
        <w:rPr>
          <w:szCs w:val="20"/>
        </w:rPr>
      </w:pPr>
      <w:r w:rsidRPr="00992199">
        <w:rPr>
          <w:szCs w:val="20"/>
        </w:rPr>
        <w:t>The global fresh produce market in which the Univeg Group operates is highly competitive, particularly as a result of the short lifespan of the products and the fact that they are, for the most part, traded on a ‘customer label’ basis and therefore cannot be differentiated from competitors’ produce in the eyes of consumers on the basis of their branding. The market is also fragmented and the Univeg Group therefore compete against a broad range of market participants.</w:t>
      </w:r>
    </w:p>
    <w:p w:rsidR="00AA496B" w:rsidRPr="00AA496B" w:rsidRDefault="00AA496B" w:rsidP="00AA496B">
      <w:pPr>
        <w:rPr>
          <w:szCs w:val="20"/>
        </w:rPr>
      </w:pPr>
      <w:r w:rsidRPr="00AA496B">
        <w:rPr>
          <w:szCs w:val="20"/>
        </w:rPr>
        <w:t>On an international scale, the Univeg Group competes primarily with multinational companies focused on bananas and tropical products such as Dole, Chiquita, Fresh Del Monte and Fyffes. However, the Univeg Group considers Total Produce to be the main global competitor, despite being active in other market</w:t>
      </w:r>
      <w:r>
        <w:rPr>
          <w:szCs w:val="20"/>
        </w:rPr>
        <w:t>s</w:t>
      </w:r>
      <w:r w:rsidRPr="00AA496B">
        <w:rPr>
          <w:szCs w:val="20"/>
        </w:rPr>
        <w:t xml:space="preserve">, operating a distribution network of a size comparable to the Univeg Group. In the </w:t>
      </w:r>
      <w:r w:rsidR="00ED1BE9" w:rsidRPr="00ED1BE9">
        <w:rPr>
          <w:szCs w:val="20"/>
        </w:rPr>
        <w:t xml:space="preserve">financial </w:t>
      </w:r>
      <w:r w:rsidRPr="00AA496B">
        <w:rPr>
          <w:szCs w:val="20"/>
        </w:rPr>
        <w:t xml:space="preserve">year ended 31 December 2014, the Univeg Group generated revenues of </w:t>
      </w:r>
      <w:r w:rsidR="00E53641">
        <w:rPr>
          <w:szCs w:val="20"/>
        </w:rPr>
        <w:t>EUR </w:t>
      </w:r>
      <w:r w:rsidRPr="00AA496B">
        <w:rPr>
          <w:szCs w:val="20"/>
        </w:rPr>
        <w:t>3,300,000,000. In the same period, only Dole generated higher revenues of USD</w:t>
      </w:r>
      <w:r>
        <w:rPr>
          <w:szCs w:val="20"/>
        </w:rPr>
        <w:t> </w:t>
      </w:r>
      <w:r w:rsidRPr="00AA496B">
        <w:rPr>
          <w:szCs w:val="20"/>
        </w:rPr>
        <w:t xml:space="preserve">4,800,000,000 (approximately </w:t>
      </w:r>
      <w:r w:rsidR="00E53641">
        <w:rPr>
          <w:szCs w:val="20"/>
        </w:rPr>
        <w:t>EUR </w:t>
      </w:r>
      <w:r w:rsidRPr="00AA496B">
        <w:rPr>
          <w:szCs w:val="20"/>
        </w:rPr>
        <w:t xml:space="preserve">3,600,000,000), whereas Fresh Del Monte, Total Produce, Fyffes and Chiquita each generate lower revenues. </w:t>
      </w:r>
    </w:p>
    <w:p w:rsidR="00AA496B" w:rsidRDefault="00AA496B" w:rsidP="00AA496B">
      <w:pPr>
        <w:rPr>
          <w:szCs w:val="20"/>
        </w:rPr>
      </w:pPr>
      <w:r w:rsidRPr="00AA496B">
        <w:rPr>
          <w:szCs w:val="20"/>
        </w:rPr>
        <w:t xml:space="preserve">Due to the absence of public information of Dole, as the company is no longer listed as of </w:t>
      </w:r>
      <w:r>
        <w:rPr>
          <w:szCs w:val="20"/>
        </w:rPr>
        <w:t xml:space="preserve">the financial year </w:t>
      </w:r>
      <w:r w:rsidRPr="00AA496B">
        <w:rPr>
          <w:szCs w:val="20"/>
        </w:rPr>
        <w:t xml:space="preserve">2013, revenue figures from Moody’s Investors Service have been considered. On </w:t>
      </w:r>
      <w:r>
        <w:rPr>
          <w:szCs w:val="20"/>
        </w:rPr>
        <w:t xml:space="preserve">6 </w:t>
      </w:r>
      <w:r w:rsidRPr="00AA496B">
        <w:rPr>
          <w:szCs w:val="20"/>
        </w:rPr>
        <w:t>January 2015</w:t>
      </w:r>
      <w:r>
        <w:rPr>
          <w:szCs w:val="20"/>
        </w:rPr>
        <w:t>,</w:t>
      </w:r>
      <w:r w:rsidRPr="00AA496B">
        <w:rPr>
          <w:szCs w:val="20"/>
        </w:rPr>
        <w:t xml:space="preserve"> Chiquita was acquired pursuant to a merger agreement with Cavendish Global Limited, an affiliate of the Cutrale-Safra </w:t>
      </w:r>
      <w:r>
        <w:rPr>
          <w:szCs w:val="20"/>
        </w:rPr>
        <w:t>g</w:t>
      </w:r>
      <w:r w:rsidRPr="00AA496B">
        <w:rPr>
          <w:szCs w:val="20"/>
        </w:rPr>
        <w:t xml:space="preserve">roup. As the Cutrale-Safra </w:t>
      </w:r>
      <w:r>
        <w:rPr>
          <w:szCs w:val="20"/>
        </w:rPr>
        <w:t>g</w:t>
      </w:r>
      <w:r w:rsidRPr="00AA496B">
        <w:rPr>
          <w:szCs w:val="20"/>
        </w:rPr>
        <w:t>roup has not published financial information showing the impact of the acquisition of Chiquita, revenue figures from Moody’s Investors Service have been considered as well.</w:t>
      </w:r>
    </w:p>
    <w:p w:rsidR="003F0BC5" w:rsidRPr="00992199" w:rsidRDefault="003F0BC5" w:rsidP="00AA496B">
      <w:pPr>
        <w:rPr>
          <w:szCs w:val="20"/>
        </w:rPr>
      </w:pPr>
      <w:r w:rsidRPr="00992199">
        <w:rPr>
          <w:szCs w:val="20"/>
        </w:rPr>
        <w:t>The Univeg Group believe</w:t>
      </w:r>
      <w:r w:rsidR="0001690F">
        <w:rPr>
          <w:szCs w:val="20"/>
        </w:rPr>
        <w:t>s</w:t>
      </w:r>
      <w:r w:rsidRPr="00992199">
        <w:rPr>
          <w:szCs w:val="20"/>
        </w:rPr>
        <w:t xml:space="preserve"> that the ability to combine its strong global sourcing presence with strategically complementary services offering through the large network of service and distribution centres in </w:t>
      </w:r>
      <w:smartTag w:uri="urn:schemas-microsoft-com:office:smarttags" w:element="place">
        <w:r w:rsidRPr="00992199">
          <w:rPr>
            <w:szCs w:val="20"/>
          </w:rPr>
          <w:t>Europe</w:t>
        </w:r>
      </w:smartTag>
      <w:r w:rsidRPr="00992199">
        <w:rPr>
          <w:szCs w:val="20"/>
        </w:rPr>
        <w:t xml:space="preserve"> is what differentiates the Univeg Group from its main global competitors. The Univeg Group also believes being well placed relative to the largest global competitors because of the intimate relationships developed with customers through the ability to combine the dispersed geographical footprint with a decentralised and concentrated focus on customer relationships. This provides the agility to respond to the increasing complexity of the supply chain, particularly the rising demands of customers in relation to produce varieties, availability and volumes.</w:t>
      </w:r>
    </w:p>
    <w:p w:rsidR="003F0BC5" w:rsidRPr="00992199" w:rsidRDefault="003F0BC5" w:rsidP="003F0BC5">
      <w:pPr>
        <w:rPr>
          <w:szCs w:val="20"/>
        </w:rPr>
      </w:pPr>
      <w:r w:rsidRPr="00992199">
        <w:rPr>
          <w:szCs w:val="20"/>
        </w:rPr>
        <w:t>Aside from these multinational companies, the Univeg Group has other competitors in other segments. The Univeg Group competes across product categories against companies with a particular focus on a specific product, for example Driscoll’s specialising in berries, and against companies at other stages of the value chain such as production and importing and exporting, for example Anecoop in Spain and Capespan in South Africa. The Univeg Group also compete</w:t>
      </w:r>
      <w:r w:rsidR="0001690F">
        <w:rPr>
          <w:szCs w:val="20"/>
        </w:rPr>
        <w:t>s</w:t>
      </w:r>
      <w:r w:rsidRPr="00992199">
        <w:rPr>
          <w:szCs w:val="20"/>
        </w:rPr>
        <w:t xml:space="preserve"> against marketing companies of local produce cooper</w:t>
      </w:r>
      <w:r w:rsidR="00732BB5">
        <w:rPr>
          <w:szCs w:val="20"/>
        </w:rPr>
        <w:t>atives such as The Greenery in T</w:t>
      </w:r>
      <w:r w:rsidRPr="00992199">
        <w:rPr>
          <w:szCs w:val="20"/>
        </w:rPr>
        <w:t xml:space="preserve">he Netherlands, Landgard in </w:t>
      </w:r>
      <w:smartTag w:uri="urn:schemas-microsoft-com:office:smarttags" w:element="country-region">
        <w:smartTag w:uri="urn:schemas-microsoft-com:office:smarttags" w:element="place">
          <w:r w:rsidRPr="00992199">
            <w:rPr>
              <w:szCs w:val="20"/>
            </w:rPr>
            <w:t>Germany</w:t>
          </w:r>
        </w:smartTag>
      </w:smartTag>
      <w:r w:rsidRPr="00992199">
        <w:rPr>
          <w:szCs w:val="20"/>
        </w:rPr>
        <w:t xml:space="preserve"> and Blue Whale in France, as well as local wholesalers without sourcing operations in countries of origin.</w:t>
      </w:r>
    </w:p>
    <w:p w:rsidR="003F0BC5" w:rsidRPr="00992199" w:rsidRDefault="003F0BC5" w:rsidP="003F0BC5">
      <w:pPr>
        <w:rPr>
          <w:szCs w:val="20"/>
        </w:rPr>
      </w:pPr>
      <w:r w:rsidRPr="00992199">
        <w:rPr>
          <w:szCs w:val="20"/>
        </w:rPr>
        <w:t>The Univeg Group believes having a competitive advantage over these smaller industry players because of the scale and degree of vertical integration, being uniquely positioned to service, retain and attract large international food retailers, many of whom have been expanding their operations and are therefore in increasing need of suppliers that can service their global fresh produce demand with a bespoke offering of products and services.</w:t>
      </w:r>
    </w:p>
    <w:p w:rsidR="003F0BC5" w:rsidRPr="00992199" w:rsidRDefault="003F0BC5" w:rsidP="003F0BC5">
      <w:pPr>
        <w:rPr>
          <w:szCs w:val="20"/>
        </w:rPr>
      </w:pPr>
      <w:r w:rsidRPr="00992199">
        <w:rPr>
          <w:szCs w:val="20"/>
        </w:rPr>
        <w:t>The Univeg Group expects the global fresh produce industry to remain highly competitive and to undergo a period of consolidation.</w:t>
      </w:r>
    </w:p>
    <w:p w:rsidR="003F0BC5" w:rsidRPr="00992199" w:rsidRDefault="003F0BC5" w:rsidP="00353B80">
      <w:pPr>
        <w:pStyle w:val="Firm5L3"/>
        <w:keepNext/>
      </w:pPr>
      <w:r w:rsidRPr="00992199">
        <w:t>Property, plants and equipment</w:t>
      </w:r>
    </w:p>
    <w:p w:rsidR="003F0BC5" w:rsidRPr="00992199" w:rsidRDefault="003F0BC5" w:rsidP="003F0BC5">
      <w:pPr>
        <w:rPr>
          <w:szCs w:val="20"/>
        </w:rPr>
      </w:pPr>
      <w:r w:rsidRPr="00992199">
        <w:rPr>
          <w:szCs w:val="20"/>
        </w:rPr>
        <w:t>To execute the fully integrated business model, the Univeg Group has multiple service and distribution facilities spread across all markets where the Univeg Group is active. The vast majority is loc</w:t>
      </w:r>
      <w:r w:rsidR="00732BB5">
        <w:rPr>
          <w:szCs w:val="20"/>
        </w:rPr>
        <w:t>ated in the key markets, being T</w:t>
      </w:r>
      <w:r w:rsidRPr="00992199">
        <w:rPr>
          <w:szCs w:val="20"/>
        </w:rPr>
        <w:t xml:space="preserve">he Netherlands, </w:t>
      </w:r>
      <w:smartTag w:uri="urn:schemas-microsoft-com:office:smarttags" w:element="country-region">
        <w:r w:rsidRPr="00992199">
          <w:rPr>
            <w:szCs w:val="20"/>
          </w:rPr>
          <w:t>Belgium</w:t>
        </w:r>
      </w:smartTag>
      <w:r w:rsidRPr="00992199">
        <w:rPr>
          <w:szCs w:val="20"/>
        </w:rPr>
        <w:t xml:space="preserve">, </w:t>
      </w:r>
      <w:smartTag w:uri="urn:schemas-microsoft-com:office:smarttags" w:element="country-region">
        <w:r w:rsidRPr="00992199">
          <w:rPr>
            <w:szCs w:val="20"/>
          </w:rPr>
          <w:t>Germany</w:t>
        </w:r>
      </w:smartTag>
      <w:r w:rsidRPr="00992199">
        <w:rPr>
          <w:szCs w:val="20"/>
        </w:rPr>
        <w:t xml:space="preserve">, </w:t>
      </w:r>
      <w:smartTag w:uri="urn:schemas-microsoft-com:office:smarttags" w:element="country-region">
        <w:r w:rsidRPr="00992199">
          <w:rPr>
            <w:szCs w:val="20"/>
          </w:rPr>
          <w:t>Italy</w:t>
        </w:r>
      </w:smartTag>
      <w:r w:rsidRPr="00992199">
        <w:rPr>
          <w:szCs w:val="20"/>
        </w:rPr>
        <w:t xml:space="preserve">, the </w:t>
      </w:r>
      <w:smartTag w:uri="urn:schemas-microsoft-com:office:smarttags" w:element="country-region">
        <w:r w:rsidRPr="00992199">
          <w:rPr>
            <w:szCs w:val="20"/>
          </w:rPr>
          <w:t>United Kingdom</w:t>
        </w:r>
      </w:smartTag>
      <w:r w:rsidRPr="00992199">
        <w:rPr>
          <w:szCs w:val="20"/>
        </w:rPr>
        <w:t xml:space="preserve"> and the </w:t>
      </w:r>
      <w:smartTag w:uri="urn:schemas-microsoft-com:office:smarttags" w:element="country-region">
        <w:smartTag w:uri="urn:schemas-microsoft-com:office:smarttags" w:element="place">
          <w:r w:rsidRPr="00992199">
            <w:rPr>
              <w:szCs w:val="20"/>
            </w:rPr>
            <w:t>United States</w:t>
          </w:r>
        </w:smartTag>
      </w:smartTag>
      <w:r w:rsidRPr="00992199">
        <w:rPr>
          <w:szCs w:val="20"/>
        </w:rPr>
        <w:t xml:space="preserve">. Depending on the </w:t>
      </w:r>
      <w:r w:rsidRPr="00992199">
        <w:rPr>
          <w:szCs w:val="20"/>
        </w:rPr>
        <w:lastRenderedPageBreak/>
        <w:t>customer requirements and market specific situation, adequate equipment and installations are available to offer the optimal service level.</w:t>
      </w:r>
    </w:p>
    <w:p w:rsidR="003F0BC5" w:rsidRPr="00992199" w:rsidRDefault="003F0BC5" w:rsidP="003F0BC5">
      <w:pPr>
        <w:rPr>
          <w:szCs w:val="20"/>
        </w:rPr>
      </w:pPr>
      <w:r w:rsidRPr="00992199">
        <w:rPr>
          <w:szCs w:val="20"/>
        </w:rPr>
        <w:t>In total, the Univeg Group operates a network of 40 technologically advanced service and distribution centres, covering more than 380,000m². All of them are temperature controlled enabling optimal storage and handling conditions to guarantee excellent quality for the products handled.</w:t>
      </w:r>
    </w:p>
    <w:p w:rsidR="003F0BC5" w:rsidRPr="00992199" w:rsidRDefault="003F0BC5" w:rsidP="003F0BC5">
      <w:pPr>
        <w:rPr>
          <w:szCs w:val="20"/>
        </w:rPr>
      </w:pPr>
      <w:r w:rsidRPr="00992199">
        <w:rPr>
          <w:szCs w:val="20"/>
        </w:rPr>
        <w:t>With almost 500 ripening rooms and 200 packing lines, the Univeg Group is a major player in the fruit</w:t>
      </w:r>
      <w:r w:rsidR="00FE467C">
        <w:rPr>
          <w:szCs w:val="20"/>
        </w:rPr>
        <w:t xml:space="preserve"> and </w:t>
      </w:r>
      <w:r w:rsidRPr="00992199">
        <w:rPr>
          <w:szCs w:val="20"/>
        </w:rPr>
        <w:t>vegetables services business.</w:t>
      </w:r>
    </w:p>
    <w:p w:rsidR="003F0BC5" w:rsidRPr="00992199" w:rsidRDefault="003F0BC5" w:rsidP="003F0BC5">
      <w:pPr>
        <w:rPr>
          <w:szCs w:val="20"/>
        </w:rPr>
      </w:pPr>
      <w:r w:rsidRPr="00992199">
        <w:rPr>
          <w:szCs w:val="20"/>
        </w:rPr>
        <w:t>The following table sets forth the key locations as at 31 December 2014.</w:t>
      </w:r>
    </w:p>
    <w:tbl>
      <w:tblPr>
        <w:tblW w:w="5000" w:type="pct"/>
        <w:tblLook w:val="04A0" w:firstRow="1" w:lastRow="0" w:firstColumn="1" w:lastColumn="0" w:noHBand="0" w:noVBand="1"/>
      </w:tblPr>
      <w:tblGrid>
        <w:gridCol w:w="2455"/>
        <w:gridCol w:w="1337"/>
        <w:gridCol w:w="1592"/>
        <w:gridCol w:w="1725"/>
        <w:gridCol w:w="2136"/>
      </w:tblGrid>
      <w:tr w:rsidR="00CD1029" w:rsidRPr="00CD1029" w:rsidTr="00CD1029">
        <w:trPr>
          <w:tblHeader/>
        </w:trPr>
        <w:tc>
          <w:tcPr>
            <w:tcW w:w="1328" w:type="pct"/>
            <w:shd w:val="clear" w:color="auto" w:fill="auto"/>
            <w:vAlign w:val="bottom"/>
          </w:tcPr>
          <w:p w:rsidR="00CD1029" w:rsidRPr="00CD1029" w:rsidRDefault="00CD1029" w:rsidP="00CD1029">
            <w:pPr>
              <w:pBdr>
                <w:bottom w:val="single" w:sz="4" w:space="1" w:color="auto"/>
              </w:pBdr>
              <w:tabs>
                <w:tab w:val="left" w:pos="993"/>
              </w:tabs>
              <w:spacing w:before="0" w:after="0"/>
              <w:jc w:val="left"/>
              <w:rPr>
                <w:b/>
                <w:sz w:val="18"/>
                <w:szCs w:val="18"/>
              </w:rPr>
            </w:pPr>
            <w:r w:rsidRPr="00CD1029">
              <w:rPr>
                <w:b/>
                <w:sz w:val="18"/>
                <w:szCs w:val="18"/>
              </w:rPr>
              <w:t>Country</w:t>
            </w:r>
          </w:p>
        </w:tc>
        <w:tc>
          <w:tcPr>
            <w:tcW w:w="723" w:type="pct"/>
            <w:vAlign w:val="bottom"/>
          </w:tcPr>
          <w:p w:rsidR="00CD1029" w:rsidRPr="00CD1029" w:rsidRDefault="00CD1029" w:rsidP="00CD1029">
            <w:pPr>
              <w:pBdr>
                <w:bottom w:val="single" w:sz="4" w:space="1" w:color="auto"/>
              </w:pBdr>
              <w:tabs>
                <w:tab w:val="left" w:pos="993"/>
              </w:tabs>
              <w:spacing w:before="0" w:after="0"/>
              <w:jc w:val="right"/>
              <w:rPr>
                <w:b/>
                <w:sz w:val="18"/>
                <w:szCs w:val="18"/>
              </w:rPr>
            </w:pPr>
            <w:r w:rsidRPr="00CD1029">
              <w:rPr>
                <w:b/>
                <w:sz w:val="18"/>
                <w:szCs w:val="18"/>
              </w:rPr>
              <w:t>Number of sites</w:t>
            </w:r>
          </w:p>
        </w:tc>
        <w:tc>
          <w:tcPr>
            <w:tcW w:w="861" w:type="pct"/>
            <w:vAlign w:val="bottom"/>
          </w:tcPr>
          <w:p w:rsidR="00CD1029" w:rsidRPr="00CD1029" w:rsidRDefault="00CD1029" w:rsidP="00CD1029">
            <w:pPr>
              <w:pBdr>
                <w:bottom w:val="single" w:sz="4" w:space="1" w:color="auto"/>
              </w:pBdr>
              <w:tabs>
                <w:tab w:val="left" w:pos="993"/>
              </w:tabs>
              <w:spacing w:before="0" w:after="0"/>
              <w:jc w:val="right"/>
              <w:rPr>
                <w:b/>
                <w:sz w:val="18"/>
                <w:szCs w:val="18"/>
              </w:rPr>
            </w:pPr>
            <w:r w:rsidRPr="00CD1029">
              <w:rPr>
                <w:b/>
                <w:sz w:val="18"/>
                <w:szCs w:val="18"/>
              </w:rPr>
              <w:t>Offices (m²)</w:t>
            </w:r>
          </w:p>
        </w:tc>
        <w:tc>
          <w:tcPr>
            <w:tcW w:w="933" w:type="pct"/>
            <w:vAlign w:val="bottom"/>
          </w:tcPr>
          <w:p w:rsidR="00CD1029" w:rsidRPr="00CD1029" w:rsidRDefault="00CD1029" w:rsidP="00CD1029">
            <w:pPr>
              <w:pBdr>
                <w:bottom w:val="single" w:sz="4" w:space="1" w:color="auto"/>
              </w:pBdr>
              <w:tabs>
                <w:tab w:val="left" w:pos="993"/>
              </w:tabs>
              <w:spacing w:before="0" w:after="0"/>
              <w:jc w:val="right"/>
              <w:rPr>
                <w:b/>
                <w:sz w:val="18"/>
                <w:szCs w:val="18"/>
              </w:rPr>
            </w:pPr>
            <w:r w:rsidRPr="00CD1029">
              <w:rPr>
                <w:b/>
                <w:sz w:val="18"/>
                <w:szCs w:val="18"/>
              </w:rPr>
              <w:t>Leased (L) / Owned (O)</w:t>
            </w:r>
          </w:p>
        </w:tc>
        <w:tc>
          <w:tcPr>
            <w:tcW w:w="1156" w:type="pct"/>
            <w:vAlign w:val="bottom"/>
          </w:tcPr>
          <w:p w:rsidR="00CD1029" w:rsidRPr="00CD1029" w:rsidRDefault="00CD1029" w:rsidP="00CD1029">
            <w:pPr>
              <w:pBdr>
                <w:bottom w:val="single" w:sz="4" w:space="1" w:color="auto"/>
              </w:pBdr>
              <w:tabs>
                <w:tab w:val="left" w:pos="993"/>
              </w:tabs>
              <w:spacing w:before="0" w:after="0"/>
              <w:jc w:val="right"/>
              <w:rPr>
                <w:b/>
                <w:sz w:val="18"/>
                <w:szCs w:val="18"/>
              </w:rPr>
            </w:pPr>
            <w:r w:rsidRPr="00CD1029">
              <w:rPr>
                <w:b/>
                <w:sz w:val="18"/>
                <w:szCs w:val="18"/>
              </w:rPr>
              <w:t>Warehouses (m²)</w:t>
            </w:r>
          </w:p>
        </w:tc>
      </w:tr>
      <w:tr w:rsidR="00CD1029" w:rsidRPr="00CD1029" w:rsidTr="00CD1029">
        <w:tc>
          <w:tcPr>
            <w:tcW w:w="1328" w:type="pct"/>
            <w:shd w:val="clear" w:color="auto" w:fill="auto"/>
          </w:tcPr>
          <w:p w:rsidR="00CD1029" w:rsidRPr="00CD1029" w:rsidRDefault="00CD1029" w:rsidP="00CD1029">
            <w:pPr>
              <w:tabs>
                <w:tab w:val="left" w:pos="993"/>
              </w:tabs>
              <w:spacing w:before="0" w:after="0"/>
              <w:jc w:val="left"/>
              <w:rPr>
                <w:sz w:val="18"/>
                <w:szCs w:val="18"/>
              </w:rPr>
            </w:pPr>
            <w:smartTag w:uri="urn:schemas-microsoft-com:office:smarttags" w:element="country-region">
              <w:smartTag w:uri="urn:schemas-microsoft-com:office:smarttags" w:element="place">
                <w:r w:rsidRPr="00CD1029">
                  <w:rPr>
                    <w:sz w:val="18"/>
                    <w:szCs w:val="18"/>
                  </w:rPr>
                  <w:t>Belgium</w:t>
                </w:r>
              </w:smartTag>
            </w:smartTag>
          </w:p>
        </w:tc>
        <w:tc>
          <w:tcPr>
            <w:tcW w:w="723" w:type="pct"/>
          </w:tcPr>
          <w:p w:rsidR="00CD1029" w:rsidRPr="00CD1029" w:rsidRDefault="00CD1029" w:rsidP="00CD1029">
            <w:pPr>
              <w:tabs>
                <w:tab w:val="left" w:pos="993"/>
              </w:tabs>
              <w:spacing w:before="0" w:after="0"/>
              <w:jc w:val="right"/>
              <w:rPr>
                <w:sz w:val="18"/>
                <w:szCs w:val="18"/>
              </w:rPr>
            </w:pPr>
            <w:r w:rsidRPr="00CD1029">
              <w:rPr>
                <w:sz w:val="18"/>
                <w:szCs w:val="18"/>
              </w:rPr>
              <w:t>5</w:t>
            </w:r>
          </w:p>
        </w:tc>
        <w:tc>
          <w:tcPr>
            <w:tcW w:w="861" w:type="pct"/>
            <w:vAlign w:val="bottom"/>
          </w:tcPr>
          <w:p w:rsidR="00CD1029" w:rsidRPr="00CD1029" w:rsidRDefault="00CD1029" w:rsidP="00CD1029">
            <w:pPr>
              <w:tabs>
                <w:tab w:val="left" w:pos="993"/>
              </w:tabs>
              <w:spacing w:before="0" w:after="0"/>
              <w:jc w:val="right"/>
              <w:rPr>
                <w:sz w:val="18"/>
                <w:szCs w:val="18"/>
              </w:rPr>
            </w:pPr>
            <w:r w:rsidRPr="00CD1029">
              <w:rPr>
                <w:sz w:val="18"/>
                <w:szCs w:val="18"/>
              </w:rPr>
              <w:t>5,837</w:t>
            </w:r>
          </w:p>
        </w:tc>
        <w:tc>
          <w:tcPr>
            <w:tcW w:w="933" w:type="pct"/>
          </w:tcPr>
          <w:p w:rsidR="00CD1029" w:rsidRPr="00CD1029" w:rsidRDefault="00CD1029" w:rsidP="00CD1029">
            <w:pPr>
              <w:tabs>
                <w:tab w:val="left" w:pos="993"/>
              </w:tabs>
              <w:spacing w:before="0" w:after="0"/>
              <w:jc w:val="right"/>
              <w:rPr>
                <w:sz w:val="18"/>
                <w:szCs w:val="18"/>
              </w:rPr>
            </w:pPr>
            <w:r w:rsidRPr="00CD1029">
              <w:rPr>
                <w:sz w:val="18"/>
                <w:szCs w:val="18"/>
              </w:rPr>
              <w:t>L</w:t>
            </w:r>
          </w:p>
        </w:tc>
        <w:tc>
          <w:tcPr>
            <w:tcW w:w="1156" w:type="pct"/>
            <w:vAlign w:val="bottom"/>
          </w:tcPr>
          <w:p w:rsidR="00CD1029" w:rsidRPr="00CD1029" w:rsidRDefault="00CD1029" w:rsidP="00CD1029">
            <w:pPr>
              <w:tabs>
                <w:tab w:val="left" w:pos="993"/>
              </w:tabs>
              <w:spacing w:before="0" w:after="0"/>
              <w:jc w:val="right"/>
              <w:rPr>
                <w:sz w:val="18"/>
                <w:szCs w:val="18"/>
              </w:rPr>
            </w:pPr>
            <w:r w:rsidRPr="00CD1029">
              <w:rPr>
                <w:sz w:val="18"/>
                <w:szCs w:val="18"/>
              </w:rPr>
              <w:t>47,035</w:t>
            </w:r>
          </w:p>
        </w:tc>
      </w:tr>
      <w:tr w:rsidR="00CD1029" w:rsidRPr="00CD1029" w:rsidTr="00CD1029">
        <w:tc>
          <w:tcPr>
            <w:tcW w:w="1328" w:type="pct"/>
            <w:shd w:val="clear" w:color="auto" w:fill="auto"/>
          </w:tcPr>
          <w:p w:rsidR="00CD1029" w:rsidRPr="00CD1029" w:rsidRDefault="00CD1029" w:rsidP="00CD1029">
            <w:pPr>
              <w:tabs>
                <w:tab w:val="left" w:pos="993"/>
              </w:tabs>
              <w:spacing w:before="0" w:after="0"/>
              <w:jc w:val="left"/>
              <w:rPr>
                <w:sz w:val="18"/>
                <w:szCs w:val="18"/>
              </w:rPr>
            </w:pPr>
            <w:r w:rsidRPr="00CD1029">
              <w:rPr>
                <w:sz w:val="18"/>
                <w:szCs w:val="18"/>
              </w:rPr>
              <w:t xml:space="preserve">The </w:t>
            </w:r>
            <w:smartTag w:uri="urn:schemas-microsoft-com:office:smarttags" w:element="country-region">
              <w:smartTag w:uri="urn:schemas-microsoft-com:office:smarttags" w:element="place">
                <w:r w:rsidRPr="00CD1029">
                  <w:rPr>
                    <w:sz w:val="18"/>
                    <w:szCs w:val="18"/>
                  </w:rPr>
                  <w:t>Netherlands</w:t>
                </w:r>
              </w:smartTag>
            </w:smartTag>
          </w:p>
        </w:tc>
        <w:tc>
          <w:tcPr>
            <w:tcW w:w="723" w:type="pct"/>
          </w:tcPr>
          <w:p w:rsidR="00CD1029" w:rsidRPr="00CD1029" w:rsidRDefault="00CD1029" w:rsidP="00CD1029">
            <w:pPr>
              <w:tabs>
                <w:tab w:val="left" w:pos="993"/>
              </w:tabs>
              <w:spacing w:before="0" w:after="0"/>
              <w:jc w:val="right"/>
              <w:rPr>
                <w:sz w:val="18"/>
                <w:szCs w:val="18"/>
              </w:rPr>
            </w:pPr>
            <w:r w:rsidRPr="00CD1029">
              <w:rPr>
                <w:sz w:val="18"/>
                <w:szCs w:val="18"/>
              </w:rPr>
              <w:t>3</w:t>
            </w:r>
          </w:p>
        </w:tc>
        <w:tc>
          <w:tcPr>
            <w:tcW w:w="861" w:type="pct"/>
            <w:vAlign w:val="bottom"/>
          </w:tcPr>
          <w:p w:rsidR="00CD1029" w:rsidRPr="00CD1029" w:rsidRDefault="00CD1029" w:rsidP="00CD1029">
            <w:pPr>
              <w:tabs>
                <w:tab w:val="left" w:pos="993"/>
              </w:tabs>
              <w:spacing w:before="0" w:after="0"/>
              <w:jc w:val="right"/>
              <w:rPr>
                <w:sz w:val="18"/>
                <w:szCs w:val="18"/>
              </w:rPr>
            </w:pPr>
            <w:r w:rsidRPr="00CD1029">
              <w:rPr>
                <w:sz w:val="18"/>
                <w:szCs w:val="18"/>
              </w:rPr>
              <w:t>6,098</w:t>
            </w:r>
          </w:p>
        </w:tc>
        <w:tc>
          <w:tcPr>
            <w:tcW w:w="933" w:type="pct"/>
          </w:tcPr>
          <w:p w:rsidR="00CD1029" w:rsidRPr="00CD1029" w:rsidRDefault="00CD1029" w:rsidP="00CD1029">
            <w:pPr>
              <w:tabs>
                <w:tab w:val="left" w:pos="993"/>
              </w:tabs>
              <w:spacing w:before="0" w:after="0"/>
              <w:jc w:val="right"/>
              <w:rPr>
                <w:sz w:val="18"/>
                <w:szCs w:val="18"/>
              </w:rPr>
            </w:pPr>
            <w:r w:rsidRPr="00CD1029">
              <w:rPr>
                <w:sz w:val="18"/>
                <w:szCs w:val="18"/>
              </w:rPr>
              <w:t>L</w:t>
            </w:r>
          </w:p>
        </w:tc>
        <w:tc>
          <w:tcPr>
            <w:tcW w:w="1156" w:type="pct"/>
            <w:vAlign w:val="bottom"/>
          </w:tcPr>
          <w:p w:rsidR="00CD1029" w:rsidRPr="00CD1029" w:rsidRDefault="00CD1029" w:rsidP="00CD1029">
            <w:pPr>
              <w:tabs>
                <w:tab w:val="left" w:pos="993"/>
              </w:tabs>
              <w:spacing w:before="0" w:after="0"/>
              <w:jc w:val="right"/>
              <w:rPr>
                <w:sz w:val="18"/>
                <w:szCs w:val="18"/>
              </w:rPr>
            </w:pPr>
            <w:r w:rsidRPr="00CD1029">
              <w:rPr>
                <w:sz w:val="18"/>
                <w:szCs w:val="18"/>
              </w:rPr>
              <w:t>82,664</w:t>
            </w:r>
          </w:p>
        </w:tc>
      </w:tr>
      <w:tr w:rsidR="00CD1029" w:rsidRPr="00CD1029" w:rsidTr="00CD1029">
        <w:tc>
          <w:tcPr>
            <w:tcW w:w="1328" w:type="pct"/>
            <w:shd w:val="clear" w:color="auto" w:fill="auto"/>
          </w:tcPr>
          <w:p w:rsidR="00CD1029" w:rsidRPr="00CD1029" w:rsidRDefault="00CD1029" w:rsidP="00CD1029">
            <w:pPr>
              <w:tabs>
                <w:tab w:val="left" w:pos="993"/>
              </w:tabs>
              <w:spacing w:before="0" w:after="0"/>
              <w:jc w:val="left"/>
              <w:rPr>
                <w:sz w:val="18"/>
                <w:szCs w:val="18"/>
              </w:rPr>
            </w:pPr>
            <w:smartTag w:uri="urn:schemas-microsoft-com:office:smarttags" w:element="country-region">
              <w:smartTag w:uri="urn:schemas-microsoft-com:office:smarttags" w:element="place">
                <w:r w:rsidRPr="00CD1029">
                  <w:rPr>
                    <w:sz w:val="18"/>
                    <w:szCs w:val="18"/>
                  </w:rPr>
                  <w:t>Germany</w:t>
                </w:r>
              </w:smartTag>
            </w:smartTag>
          </w:p>
        </w:tc>
        <w:tc>
          <w:tcPr>
            <w:tcW w:w="723" w:type="pct"/>
          </w:tcPr>
          <w:p w:rsidR="00CD1029" w:rsidRPr="00CD1029" w:rsidRDefault="00CD1029" w:rsidP="00CD1029">
            <w:pPr>
              <w:tabs>
                <w:tab w:val="left" w:pos="993"/>
              </w:tabs>
              <w:spacing w:before="0" w:after="0"/>
              <w:jc w:val="right"/>
              <w:rPr>
                <w:sz w:val="18"/>
                <w:szCs w:val="18"/>
              </w:rPr>
            </w:pPr>
            <w:r w:rsidRPr="00CD1029">
              <w:rPr>
                <w:sz w:val="18"/>
                <w:szCs w:val="18"/>
              </w:rPr>
              <w:t>14</w:t>
            </w:r>
          </w:p>
        </w:tc>
        <w:tc>
          <w:tcPr>
            <w:tcW w:w="861" w:type="pct"/>
            <w:vAlign w:val="bottom"/>
          </w:tcPr>
          <w:p w:rsidR="00CD1029" w:rsidRPr="00CD1029" w:rsidRDefault="00CD1029" w:rsidP="00CD1029">
            <w:pPr>
              <w:tabs>
                <w:tab w:val="left" w:pos="993"/>
              </w:tabs>
              <w:spacing w:before="0" w:after="0"/>
              <w:jc w:val="right"/>
              <w:rPr>
                <w:sz w:val="18"/>
                <w:szCs w:val="18"/>
              </w:rPr>
            </w:pPr>
            <w:r w:rsidRPr="00CD1029">
              <w:rPr>
                <w:sz w:val="18"/>
                <w:szCs w:val="18"/>
              </w:rPr>
              <w:t>12,650</w:t>
            </w:r>
          </w:p>
        </w:tc>
        <w:tc>
          <w:tcPr>
            <w:tcW w:w="933" w:type="pct"/>
          </w:tcPr>
          <w:p w:rsidR="00CD1029" w:rsidRPr="00CD1029" w:rsidRDefault="00CD1029" w:rsidP="00CD1029">
            <w:pPr>
              <w:tabs>
                <w:tab w:val="left" w:pos="993"/>
              </w:tabs>
              <w:spacing w:before="0" w:after="0"/>
              <w:jc w:val="right"/>
              <w:rPr>
                <w:sz w:val="18"/>
                <w:szCs w:val="18"/>
              </w:rPr>
            </w:pPr>
            <w:r w:rsidRPr="00CD1029">
              <w:rPr>
                <w:sz w:val="18"/>
                <w:szCs w:val="18"/>
              </w:rPr>
              <w:t>O/L</w:t>
            </w:r>
          </w:p>
        </w:tc>
        <w:tc>
          <w:tcPr>
            <w:tcW w:w="1156" w:type="pct"/>
            <w:vAlign w:val="bottom"/>
          </w:tcPr>
          <w:p w:rsidR="00CD1029" w:rsidRPr="00CD1029" w:rsidRDefault="00CD1029" w:rsidP="00CD1029">
            <w:pPr>
              <w:tabs>
                <w:tab w:val="left" w:pos="993"/>
              </w:tabs>
              <w:spacing w:before="0" w:after="0"/>
              <w:jc w:val="right"/>
              <w:rPr>
                <w:sz w:val="18"/>
                <w:szCs w:val="18"/>
              </w:rPr>
            </w:pPr>
            <w:r w:rsidRPr="00CD1029">
              <w:rPr>
                <w:sz w:val="18"/>
                <w:szCs w:val="18"/>
              </w:rPr>
              <w:t>91,506</w:t>
            </w:r>
          </w:p>
        </w:tc>
      </w:tr>
      <w:tr w:rsidR="00CD1029" w:rsidRPr="00CD1029" w:rsidTr="00CD1029">
        <w:tc>
          <w:tcPr>
            <w:tcW w:w="1328" w:type="pct"/>
            <w:shd w:val="clear" w:color="auto" w:fill="auto"/>
          </w:tcPr>
          <w:p w:rsidR="00CD1029" w:rsidRPr="00CD1029" w:rsidRDefault="00CD1029" w:rsidP="00CD1029">
            <w:pPr>
              <w:tabs>
                <w:tab w:val="left" w:pos="993"/>
              </w:tabs>
              <w:spacing w:before="0" w:after="0"/>
              <w:jc w:val="left"/>
              <w:rPr>
                <w:sz w:val="18"/>
                <w:szCs w:val="18"/>
              </w:rPr>
            </w:pPr>
            <w:smartTag w:uri="urn:schemas-microsoft-com:office:smarttags" w:element="country-region">
              <w:smartTag w:uri="urn:schemas-microsoft-com:office:smarttags" w:element="place">
                <w:r w:rsidRPr="00CD1029">
                  <w:rPr>
                    <w:sz w:val="18"/>
                    <w:szCs w:val="18"/>
                  </w:rPr>
                  <w:t>Austria</w:t>
                </w:r>
              </w:smartTag>
            </w:smartTag>
          </w:p>
        </w:tc>
        <w:tc>
          <w:tcPr>
            <w:tcW w:w="723" w:type="pct"/>
          </w:tcPr>
          <w:p w:rsidR="00CD1029" w:rsidRPr="00CD1029" w:rsidRDefault="00CD1029" w:rsidP="00CD1029">
            <w:pPr>
              <w:tabs>
                <w:tab w:val="left" w:pos="993"/>
              </w:tabs>
              <w:spacing w:before="0" w:after="0"/>
              <w:jc w:val="right"/>
              <w:rPr>
                <w:sz w:val="18"/>
                <w:szCs w:val="18"/>
              </w:rPr>
            </w:pPr>
            <w:r w:rsidRPr="00CD1029">
              <w:rPr>
                <w:sz w:val="18"/>
                <w:szCs w:val="18"/>
              </w:rPr>
              <w:t>1</w:t>
            </w:r>
          </w:p>
        </w:tc>
        <w:tc>
          <w:tcPr>
            <w:tcW w:w="861" w:type="pct"/>
            <w:vAlign w:val="bottom"/>
          </w:tcPr>
          <w:p w:rsidR="00CD1029" w:rsidRPr="00CD1029" w:rsidRDefault="00CD1029" w:rsidP="00CD1029">
            <w:pPr>
              <w:tabs>
                <w:tab w:val="left" w:pos="993"/>
              </w:tabs>
              <w:spacing w:before="0" w:after="0"/>
              <w:jc w:val="right"/>
              <w:rPr>
                <w:sz w:val="18"/>
                <w:szCs w:val="18"/>
              </w:rPr>
            </w:pPr>
            <w:r w:rsidRPr="00CD1029">
              <w:rPr>
                <w:sz w:val="18"/>
                <w:szCs w:val="18"/>
              </w:rPr>
              <w:t>1,000</w:t>
            </w:r>
          </w:p>
        </w:tc>
        <w:tc>
          <w:tcPr>
            <w:tcW w:w="933" w:type="pct"/>
          </w:tcPr>
          <w:p w:rsidR="00CD1029" w:rsidRPr="00CD1029" w:rsidRDefault="00CD1029" w:rsidP="00CD1029">
            <w:pPr>
              <w:tabs>
                <w:tab w:val="left" w:pos="993"/>
              </w:tabs>
              <w:spacing w:before="0" w:after="0"/>
              <w:jc w:val="right"/>
              <w:rPr>
                <w:sz w:val="18"/>
                <w:szCs w:val="18"/>
              </w:rPr>
            </w:pPr>
            <w:r w:rsidRPr="00CD1029">
              <w:rPr>
                <w:sz w:val="18"/>
                <w:szCs w:val="18"/>
              </w:rPr>
              <w:t>O</w:t>
            </w:r>
          </w:p>
        </w:tc>
        <w:tc>
          <w:tcPr>
            <w:tcW w:w="1156" w:type="pct"/>
            <w:vAlign w:val="bottom"/>
          </w:tcPr>
          <w:p w:rsidR="00CD1029" w:rsidRPr="00CD1029" w:rsidRDefault="00CD1029" w:rsidP="00CD1029">
            <w:pPr>
              <w:tabs>
                <w:tab w:val="left" w:pos="993"/>
              </w:tabs>
              <w:spacing w:before="0" w:after="0"/>
              <w:jc w:val="right"/>
              <w:rPr>
                <w:sz w:val="18"/>
                <w:szCs w:val="18"/>
              </w:rPr>
            </w:pPr>
            <w:r w:rsidRPr="00CD1029">
              <w:rPr>
                <w:sz w:val="18"/>
                <w:szCs w:val="18"/>
              </w:rPr>
              <w:t>5,000</w:t>
            </w:r>
          </w:p>
        </w:tc>
      </w:tr>
      <w:tr w:rsidR="00CD1029" w:rsidRPr="00CD1029" w:rsidTr="00CD1029">
        <w:tc>
          <w:tcPr>
            <w:tcW w:w="1328" w:type="pct"/>
            <w:shd w:val="clear" w:color="auto" w:fill="auto"/>
          </w:tcPr>
          <w:p w:rsidR="00CD1029" w:rsidRPr="00CD1029" w:rsidRDefault="00CD1029" w:rsidP="00CD1029">
            <w:pPr>
              <w:tabs>
                <w:tab w:val="left" w:pos="993"/>
              </w:tabs>
              <w:spacing w:before="0" w:after="0"/>
              <w:jc w:val="left"/>
              <w:rPr>
                <w:sz w:val="18"/>
                <w:szCs w:val="18"/>
              </w:rPr>
            </w:pPr>
            <w:smartTag w:uri="urn:schemas-microsoft-com:office:smarttags" w:element="country-region">
              <w:smartTag w:uri="urn:schemas-microsoft-com:office:smarttags" w:element="place">
                <w:r w:rsidRPr="00CD1029">
                  <w:rPr>
                    <w:sz w:val="18"/>
                    <w:szCs w:val="18"/>
                  </w:rPr>
                  <w:t>Spain</w:t>
                </w:r>
              </w:smartTag>
            </w:smartTag>
          </w:p>
        </w:tc>
        <w:tc>
          <w:tcPr>
            <w:tcW w:w="723" w:type="pct"/>
          </w:tcPr>
          <w:p w:rsidR="00CD1029" w:rsidRPr="00CD1029" w:rsidRDefault="00CD1029" w:rsidP="00CD1029">
            <w:pPr>
              <w:tabs>
                <w:tab w:val="left" w:pos="993"/>
              </w:tabs>
              <w:spacing w:before="0" w:after="0"/>
              <w:jc w:val="right"/>
              <w:rPr>
                <w:sz w:val="18"/>
                <w:szCs w:val="18"/>
              </w:rPr>
            </w:pPr>
            <w:r w:rsidRPr="00CD1029">
              <w:rPr>
                <w:sz w:val="18"/>
                <w:szCs w:val="18"/>
              </w:rPr>
              <w:t>3</w:t>
            </w:r>
          </w:p>
        </w:tc>
        <w:tc>
          <w:tcPr>
            <w:tcW w:w="861" w:type="pct"/>
            <w:vAlign w:val="bottom"/>
          </w:tcPr>
          <w:p w:rsidR="00CD1029" w:rsidRPr="00CD1029" w:rsidRDefault="00CD1029" w:rsidP="00CD1029">
            <w:pPr>
              <w:tabs>
                <w:tab w:val="left" w:pos="993"/>
              </w:tabs>
              <w:spacing w:before="0" w:after="0"/>
              <w:jc w:val="right"/>
              <w:rPr>
                <w:sz w:val="18"/>
                <w:szCs w:val="18"/>
              </w:rPr>
            </w:pPr>
            <w:r w:rsidRPr="00CD1029">
              <w:rPr>
                <w:sz w:val="18"/>
                <w:szCs w:val="18"/>
              </w:rPr>
              <w:t>971</w:t>
            </w:r>
          </w:p>
        </w:tc>
        <w:tc>
          <w:tcPr>
            <w:tcW w:w="933" w:type="pct"/>
          </w:tcPr>
          <w:p w:rsidR="00CD1029" w:rsidRPr="00CD1029" w:rsidRDefault="00CD1029" w:rsidP="00CD1029">
            <w:pPr>
              <w:tabs>
                <w:tab w:val="left" w:pos="993"/>
              </w:tabs>
              <w:spacing w:before="0" w:after="0"/>
              <w:jc w:val="right"/>
              <w:rPr>
                <w:sz w:val="18"/>
                <w:szCs w:val="18"/>
              </w:rPr>
            </w:pPr>
            <w:r w:rsidRPr="00CD1029">
              <w:rPr>
                <w:sz w:val="18"/>
                <w:szCs w:val="18"/>
              </w:rPr>
              <w:t>O</w:t>
            </w:r>
          </w:p>
        </w:tc>
        <w:tc>
          <w:tcPr>
            <w:tcW w:w="1156" w:type="pct"/>
            <w:vAlign w:val="bottom"/>
          </w:tcPr>
          <w:p w:rsidR="00CD1029" w:rsidRPr="00CD1029" w:rsidRDefault="00CD1029" w:rsidP="00CD1029">
            <w:pPr>
              <w:tabs>
                <w:tab w:val="left" w:pos="993"/>
              </w:tabs>
              <w:spacing w:before="0" w:after="0"/>
              <w:jc w:val="right"/>
              <w:rPr>
                <w:sz w:val="18"/>
                <w:szCs w:val="18"/>
              </w:rPr>
            </w:pPr>
            <w:r w:rsidRPr="00CD1029">
              <w:rPr>
                <w:sz w:val="18"/>
                <w:szCs w:val="18"/>
              </w:rPr>
              <w:t>18,573</w:t>
            </w:r>
          </w:p>
        </w:tc>
      </w:tr>
      <w:tr w:rsidR="00CD1029" w:rsidRPr="00CD1029" w:rsidTr="00CD1029">
        <w:tc>
          <w:tcPr>
            <w:tcW w:w="1328" w:type="pct"/>
            <w:shd w:val="clear" w:color="auto" w:fill="auto"/>
          </w:tcPr>
          <w:p w:rsidR="00CD1029" w:rsidRPr="00CD1029" w:rsidRDefault="00CD1029" w:rsidP="00CD1029">
            <w:pPr>
              <w:tabs>
                <w:tab w:val="left" w:pos="993"/>
              </w:tabs>
              <w:spacing w:before="0" w:after="0"/>
              <w:jc w:val="left"/>
              <w:rPr>
                <w:sz w:val="18"/>
                <w:szCs w:val="18"/>
              </w:rPr>
            </w:pPr>
            <w:smartTag w:uri="urn:schemas-microsoft-com:office:smarttags" w:element="country-region">
              <w:smartTag w:uri="urn:schemas-microsoft-com:office:smarttags" w:element="place">
                <w:r w:rsidRPr="00CD1029">
                  <w:rPr>
                    <w:sz w:val="18"/>
                    <w:szCs w:val="18"/>
                  </w:rPr>
                  <w:t>Italy</w:t>
                </w:r>
              </w:smartTag>
            </w:smartTag>
          </w:p>
        </w:tc>
        <w:tc>
          <w:tcPr>
            <w:tcW w:w="723" w:type="pct"/>
          </w:tcPr>
          <w:p w:rsidR="00CD1029" w:rsidRPr="00CD1029" w:rsidRDefault="00CD1029" w:rsidP="00CD1029">
            <w:pPr>
              <w:tabs>
                <w:tab w:val="left" w:pos="993"/>
              </w:tabs>
              <w:spacing w:before="0" w:after="0"/>
              <w:jc w:val="right"/>
              <w:rPr>
                <w:sz w:val="18"/>
                <w:szCs w:val="18"/>
              </w:rPr>
            </w:pPr>
            <w:r w:rsidRPr="00CD1029">
              <w:rPr>
                <w:sz w:val="18"/>
                <w:szCs w:val="18"/>
              </w:rPr>
              <w:t>1</w:t>
            </w:r>
          </w:p>
        </w:tc>
        <w:tc>
          <w:tcPr>
            <w:tcW w:w="861" w:type="pct"/>
            <w:vAlign w:val="bottom"/>
          </w:tcPr>
          <w:p w:rsidR="00CD1029" w:rsidRPr="00CD1029" w:rsidRDefault="00CD1029" w:rsidP="00CD1029">
            <w:pPr>
              <w:tabs>
                <w:tab w:val="left" w:pos="993"/>
              </w:tabs>
              <w:spacing w:before="0" w:after="0"/>
              <w:jc w:val="right"/>
              <w:rPr>
                <w:sz w:val="18"/>
                <w:szCs w:val="18"/>
              </w:rPr>
            </w:pPr>
            <w:r w:rsidRPr="00CD1029">
              <w:rPr>
                <w:sz w:val="18"/>
                <w:szCs w:val="18"/>
              </w:rPr>
              <w:t>1,700</w:t>
            </w:r>
          </w:p>
        </w:tc>
        <w:tc>
          <w:tcPr>
            <w:tcW w:w="933" w:type="pct"/>
          </w:tcPr>
          <w:p w:rsidR="00CD1029" w:rsidRPr="00CD1029" w:rsidRDefault="00CD1029" w:rsidP="00CD1029">
            <w:pPr>
              <w:tabs>
                <w:tab w:val="left" w:pos="993"/>
              </w:tabs>
              <w:spacing w:before="0" w:after="0"/>
              <w:jc w:val="right"/>
              <w:rPr>
                <w:sz w:val="18"/>
                <w:szCs w:val="18"/>
              </w:rPr>
            </w:pPr>
            <w:r w:rsidRPr="00CD1029">
              <w:rPr>
                <w:sz w:val="18"/>
                <w:szCs w:val="18"/>
              </w:rPr>
              <w:t>L</w:t>
            </w:r>
          </w:p>
        </w:tc>
        <w:tc>
          <w:tcPr>
            <w:tcW w:w="1156" w:type="pct"/>
            <w:vAlign w:val="bottom"/>
          </w:tcPr>
          <w:p w:rsidR="00CD1029" w:rsidRPr="00CD1029" w:rsidRDefault="00CD1029" w:rsidP="00CD1029">
            <w:pPr>
              <w:tabs>
                <w:tab w:val="left" w:pos="993"/>
              </w:tabs>
              <w:spacing w:before="0" w:after="0"/>
              <w:jc w:val="right"/>
              <w:rPr>
                <w:sz w:val="18"/>
                <w:szCs w:val="18"/>
              </w:rPr>
            </w:pPr>
            <w:r w:rsidRPr="00CD1029">
              <w:rPr>
                <w:sz w:val="18"/>
                <w:szCs w:val="18"/>
              </w:rPr>
              <w:t>5,882</w:t>
            </w:r>
          </w:p>
        </w:tc>
      </w:tr>
      <w:tr w:rsidR="00CD1029" w:rsidRPr="00CD1029" w:rsidTr="00CD1029">
        <w:tc>
          <w:tcPr>
            <w:tcW w:w="1328" w:type="pct"/>
            <w:shd w:val="clear" w:color="auto" w:fill="auto"/>
          </w:tcPr>
          <w:p w:rsidR="00CD1029" w:rsidRPr="00CD1029" w:rsidRDefault="00CD1029" w:rsidP="00CD1029">
            <w:pPr>
              <w:tabs>
                <w:tab w:val="left" w:pos="993"/>
              </w:tabs>
              <w:spacing w:before="0" w:after="0"/>
              <w:jc w:val="left"/>
              <w:rPr>
                <w:sz w:val="18"/>
                <w:szCs w:val="18"/>
              </w:rPr>
            </w:pPr>
            <w:smartTag w:uri="urn:schemas-microsoft-com:office:smarttags" w:element="country-region">
              <w:smartTag w:uri="urn:schemas-microsoft-com:office:smarttags" w:element="place">
                <w:r w:rsidRPr="00CD1029">
                  <w:rPr>
                    <w:sz w:val="18"/>
                    <w:szCs w:val="18"/>
                  </w:rPr>
                  <w:t>France</w:t>
                </w:r>
              </w:smartTag>
            </w:smartTag>
          </w:p>
        </w:tc>
        <w:tc>
          <w:tcPr>
            <w:tcW w:w="723" w:type="pct"/>
          </w:tcPr>
          <w:p w:rsidR="00CD1029" w:rsidRPr="00CD1029" w:rsidRDefault="00CD1029" w:rsidP="00CD1029">
            <w:pPr>
              <w:tabs>
                <w:tab w:val="left" w:pos="993"/>
              </w:tabs>
              <w:spacing w:before="0" w:after="0"/>
              <w:jc w:val="right"/>
              <w:rPr>
                <w:sz w:val="18"/>
                <w:szCs w:val="18"/>
              </w:rPr>
            </w:pPr>
            <w:r w:rsidRPr="00CD1029">
              <w:rPr>
                <w:sz w:val="18"/>
                <w:szCs w:val="18"/>
              </w:rPr>
              <w:t>2</w:t>
            </w:r>
          </w:p>
        </w:tc>
        <w:tc>
          <w:tcPr>
            <w:tcW w:w="861" w:type="pct"/>
            <w:vAlign w:val="bottom"/>
          </w:tcPr>
          <w:p w:rsidR="00CD1029" w:rsidRPr="00CD1029" w:rsidRDefault="00CD1029" w:rsidP="00CD1029">
            <w:pPr>
              <w:tabs>
                <w:tab w:val="left" w:pos="993"/>
              </w:tabs>
              <w:spacing w:before="0" w:after="0"/>
              <w:jc w:val="right"/>
              <w:rPr>
                <w:sz w:val="18"/>
                <w:szCs w:val="18"/>
              </w:rPr>
            </w:pPr>
            <w:r w:rsidRPr="00CD1029">
              <w:rPr>
                <w:sz w:val="18"/>
                <w:szCs w:val="18"/>
              </w:rPr>
              <w:t>1,670</w:t>
            </w:r>
          </w:p>
        </w:tc>
        <w:tc>
          <w:tcPr>
            <w:tcW w:w="933" w:type="pct"/>
          </w:tcPr>
          <w:p w:rsidR="00CD1029" w:rsidRPr="00CD1029" w:rsidRDefault="00CD1029" w:rsidP="00CD1029">
            <w:pPr>
              <w:tabs>
                <w:tab w:val="left" w:pos="993"/>
              </w:tabs>
              <w:spacing w:before="0" w:after="0"/>
              <w:jc w:val="right"/>
              <w:rPr>
                <w:sz w:val="18"/>
                <w:szCs w:val="18"/>
              </w:rPr>
            </w:pPr>
            <w:r w:rsidRPr="00CD1029">
              <w:rPr>
                <w:sz w:val="18"/>
                <w:szCs w:val="18"/>
              </w:rPr>
              <w:t>L</w:t>
            </w:r>
          </w:p>
        </w:tc>
        <w:tc>
          <w:tcPr>
            <w:tcW w:w="1156" w:type="pct"/>
            <w:vAlign w:val="bottom"/>
          </w:tcPr>
          <w:p w:rsidR="00CD1029" w:rsidRPr="00CD1029" w:rsidRDefault="00CD1029" w:rsidP="00CD1029">
            <w:pPr>
              <w:tabs>
                <w:tab w:val="left" w:pos="993"/>
              </w:tabs>
              <w:spacing w:before="0" w:after="0"/>
              <w:jc w:val="right"/>
              <w:rPr>
                <w:sz w:val="18"/>
                <w:szCs w:val="18"/>
              </w:rPr>
            </w:pPr>
            <w:r w:rsidRPr="00CD1029">
              <w:rPr>
                <w:sz w:val="18"/>
                <w:szCs w:val="18"/>
              </w:rPr>
              <w:t>7,738</w:t>
            </w:r>
          </w:p>
        </w:tc>
      </w:tr>
      <w:tr w:rsidR="00CD1029" w:rsidRPr="00CD1029" w:rsidTr="00CD1029">
        <w:tc>
          <w:tcPr>
            <w:tcW w:w="1328" w:type="pct"/>
            <w:shd w:val="clear" w:color="auto" w:fill="auto"/>
          </w:tcPr>
          <w:p w:rsidR="00CD1029" w:rsidRPr="00CD1029" w:rsidRDefault="00CD1029" w:rsidP="00CD1029">
            <w:pPr>
              <w:tabs>
                <w:tab w:val="left" w:pos="993"/>
              </w:tabs>
              <w:spacing w:before="0" w:after="0"/>
              <w:jc w:val="left"/>
              <w:rPr>
                <w:sz w:val="18"/>
                <w:szCs w:val="18"/>
              </w:rPr>
            </w:pPr>
            <w:r w:rsidRPr="00CD1029">
              <w:rPr>
                <w:sz w:val="18"/>
                <w:szCs w:val="18"/>
              </w:rPr>
              <w:t xml:space="preserve">The </w:t>
            </w:r>
            <w:smartTag w:uri="urn:schemas-microsoft-com:office:smarttags" w:element="country-region">
              <w:smartTag w:uri="urn:schemas-microsoft-com:office:smarttags" w:element="place">
                <w:r w:rsidRPr="00CD1029">
                  <w:rPr>
                    <w:sz w:val="18"/>
                    <w:szCs w:val="18"/>
                  </w:rPr>
                  <w:t>United Kingdom</w:t>
                </w:r>
              </w:smartTag>
            </w:smartTag>
          </w:p>
        </w:tc>
        <w:tc>
          <w:tcPr>
            <w:tcW w:w="723" w:type="pct"/>
            <w:vAlign w:val="center"/>
          </w:tcPr>
          <w:p w:rsidR="00CD1029" w:rsidRPr="00CD1029" w:rsidRDefault="00CD1029" w:rsidP="00CD1029">
            <w:pPr>
              <w:tabs>
                <w:tab w:val="left" w:pos="993"/>
              </w:tabs>
              <w:spacing w:before="0" w:after="0"/>
              <w:jc w:val="right"/>
              <w:rPr>
                <w:sz w:val="18"/>
                <w:szCs w:val="18"/>
              </w:rPr>
            </w:pPr>
            <w:r w:rsidRPr="00CD1029">
              <w:rPr>
                <w:sz w:val="18"/>
                <w:szCs w:val="18"/>
              </w:rPr>
              <w:t>3</w:t>
            </w:r>
          </w:p>
        </w:tc>
        <w:tc>
          <w:tcPr>
            <w:tcW w:w="861" w:type="pct"/>
            <w:vAlign w:val="center"/>
          </w:tcPr>
          <w:p w:rsidR="00CD1029" w:rsidRPr="00CD1029" w:rsidRDefault="00CD1029" w:rsidP="00CD1029">
            <w:pPr>
              <w:tabs>
                <w:tab w:val="left" w:pos="993"/>
              </w:tabs>
              <w:spacing w:before="0" w:after="0"/>
              <w:jc w:val="right"/>
              <w:rPr>
                <w:sz w:val="18"/>
                <w:szCs w:val="18"/>
              </w:rPr>
            </w:pPr>
            <w:r w:rsidRPr="00CD1029">
              <w:rPr>
                <w:sz w:val="18"/>
                <w:szCs w:val="18"/>
              </w:rPr>
              <w:t>1,588</w:t>
            </w:r>
          </w:p>
        </w:tc>
        <w:tc>
          <w:tcPr>
            <w:tcW w:w="933" w:type="pct"/>
            <w:vAlign w:val="center"/>
          </w:tcPr>
          <w:p w:rsidR="00CD1029" w:rsidRPr="00CD1029" w:rsidRDefault="00CD1029" w:rsidP="00CD1029">
            <w:pPr>
              <w:tabs>
                <w:tab w:val="left" w:pos="993"/>
              </w:tabs>
              <w:spacing w:before="0" w:after="0"/>
              <w:jc w:val="right"/>
              <w:rPr>
                <w:sz w:val="18"/>
                <w:szCs w:val="18"/>
              </w:rPr>
            </w:pPr>
            <w:r w:rsidRPr="00CD1029">
              <w:rPr>
                <w:sz w:val="18"/>
                <w:szCs w:val="18"/>
              </w:rPr>
              <w:t>O</w:t>
            </w:r>
          </w:p>
        </w:tc>
        <w:tc>
          <w:tcPr>
            <w:tcW w:w="1156" w:type="pct"/>
            <w:vAlign w:val="center"/>
          </w:tcPr>
          <w:p w:rsidR="00CD1029" w:rsidRPr="00CD1029" w:rsidRDefault="00CD1029" w:rsidP="00CD1029">
            <w:pPr>
              <w:tabs>
                <w:tab w:val="left" w:pos="993"/>
              </w:tabs>
              <w:spacing w:before="0" w:after="0"/>
              <w:jc w:val="right"/>
              <w:rPr>
                <w:sz w:val="18"/>
                <w:szCs w:val="18"/>
              </w:rPr>
            </w:pPr>
            <w:r w:rsidRPr="00CD1029">
              <w:rPr>
                <w:sz w:val="18"/>
                <w:szCs w:val="18"/>
              </w:rPr>
              <w:t>15,594</w:t>
            </w:r>
          </w:p>
        </w:tc>
      </w:tr>
      <w:tr w:rsidR="00CD1029" w:rsidRPr="00CD1029" w:rsidTr="00CD1029">
        <w:tc>
          <w:tcPr>
            <w:tcW w:w="1328" w:type="pct"/>
            <w:shd w:val="clear" w:color="auto" w:fill="auto"/>
          </w:tcPr>
          <w:p w:rsidR="00CD1029" w:rsidRPr="00CD1029" w:rsidRDefault="00CD1029" w:rsidP="00CD1029">
            <w:pPr>
              <w:tabs>
                <w:tab w:val="left" w:pos="993"/>
              </w:tabs>
              <w:spacing w:before="0" w:after="0"/>
              <w:jc w:val="left"/>
              <w:rPr>
                <w:sz w:val="18"/>
                <w:szCs w:val="18"/>
              </w:rPr>
            </w:pPr>
            <w:smartTag w:uri="urn:schemas-microsoft-com:office:smarttags" w:element="country-region">
              <w:smartTag w:uri="urn:schemas-microsoft-com:office:smarttags" w:element="place">
                <w:r w:rsidRPr="00CD1029">
                  <w:rPr>
                    <w:sz w:val="18"/>
                    <w:szCs w:val="18"/>
                  </w:rPr>
                  <w:t>Poland</w:t>
                </w:r>
              </w:smartTag>
            </w:smartTag>
          </w:p>
        </w:tc>
        <w:tc>
          <w:tcPr>
            <w:tcW w:w="723" w:type="pct"/>
          </w:tcPr>
          <w:p w:rsidR="00CD1029" w:rsidRPr="00CD1029" w:rsidRDefault="00CD1029" w:rsidP="00CD1029">
            <w:pPr>
              <w:tabs>
                <w:tab w:val="left" w:pos="993"/>
              </w:tabs>
              <w:spacing w:before="0" w:after="0"/>
              <w:jc w:val="right"/>
              <w:rPr>
                <w:sz w:val="18"/>
                <w:szCs w:val="18"/>
              </w:rPr>
            </w:pPr>
            <w:r w:rsidRPr="00CD1029">
              <w:rPr>
                <w:sz w:val="18"/>
                <w:szCs w:val="18"/>
              </w:rPr>
              <w:t>2</w:t>
            </w:r>
          </w:p>
        </w:tc>
        <w:tc>
          <w:tcPr>
            <w:tcW w:w="861" w:type="pct"/>
            <w:vAlign w:val="bottom"/>
          </w:tcPr>
          <w:p w:rsidR="00CD1029" w:rsidRPr="00CD1029" w:rsidRDefault="00CD1029" w:rsidP="00CD1029">
            <w:pPr>
              <w:tabs>
                <w:tab w:val="left" w:pos="993"/>
              </w:tabs>
              <w:spacing w:before="0" w:after="0"/>
              <w:jc w:val="right"/>
              <w:rPr>
                <w:sz w:val="18"/>
                <w:szCs w:val="18"/>
              </w:rPr>
            </w:pPr>
            <w:r w:rsidRPr="00CD1029">
              <w:rPr>
                <w:sz w:val="18"/>
                <w:szCs w:val="18"/>
              </w:rPr>
              <w:t>2,593</w:t>
            </w:r>
          </w:p>
        </w:tc>
        <w:tc>
          <w:tcPr>
            <w:tcW w:w="933" w:type="pct"/>
          </w:tcPr>
          <w:p w:rsidR="00CD1029" w:rsidRPr="00CD1029" w:rsidRDefault="00CD1029" w:rsidP="00CD1029">
            <w:pPr>
              <w:tabs>
                <w:tab w:val="left" w:pos="993"/>
              </w:tabs>
              <w:spacing w:before="0" w:after="0"/>
              <w:jc w:val="right"/>
              <w:rPr>
                <w:sz w:val="18"/>
                <w:szCs w:val="18"/>
              </w:rPr>
            </w:pPr>
            <w:r w:rsidRPr="00CD1029">
              <w:rPr>
                <w:sz w:val="18"/>
                <w:szCs w:val="18"/>
              </w:rPr>
              <w:t>L</w:t>
            </w:r>
          </w:p>
        </w:tc>
        <w:tc>
          <w:tcPr>
            <w:tcW w:w="1156" w:type="pct"/>
            <w:vAlign w:val="bottom"/>
          </w:tcPr>
          <w:p w:rsidR="00CD1029" w:rsidRPr="00CD1029" w:rsidRDefault="00CD1029" w:rsidP="00CD1029">
            <w:pPr>
              <w:tabs>
                <w:tab w:val="left" w:pos="993"/>
              </w:tabs>
              <w:spacing w:before="0" w:after="0"/>
              <w:jc w:val="right"/>
              <w:rPr>
                <w:sz w:val="18"/>
                <w:szCs w:val="18"/>
              </w:rPr>
            </w:pPr>
            <w:r w:rsidRPr="00CD1029">
              <w:rPr>
                <w:sz w:val="18"/>
                <w:szCs w:val="18"/>
              </w:rPr>
              <w:t>32,519</w:t>
            </w:r>
          </w:p>
        </w:tc>
      </w:tr>
      <w:tr w:rsidR="00CD1029" w:rsidRPr="00CD1029" w:rsidTr="00CD1029">
        <w:tc>
          <w:tcPr>
            <w:tcW w:w="1328" w:type="pct"/>
            <w:shd w:val="clear" w:color="auto" w:fill="auto"/>
          </w:tcPr>
          <w:p w:rsidR="00CD1029" w:rsidRPr="00CD1029" w:rsidRDefault="00CD1029" w:rsidP="00CD1029">
            <w:pPr>
              <w:tabs>
                <w:tab w:val="left" w:pos="993"/>
              </w:tabs>
              <w:spacing w:before="0" w:after="0"/>
              <w:jc w:val="left"/>
              <w:rPr>
                <w:sz w:val="18"/>
                <w:szCs w:val="18"/>
              </w:rPr>
            </w:pPr>
            <w:r w:rsidRPr="00CD1029">
              <w:rPr>
                <w:sz w:val="18"/>
                <w:szCs w:val="18"/>
              </w:rPr>
              <w:t xml:space="preserve">The </w:t>
            </w:r>
            <w:smartTag w:uri="urn:schemas-microsoft-com:office:smarttags" w:element="country-region">
              <w:smartTag w:uri="urn:schemas-microsoft-com:office:smarttags" w:element="place">
                <w:r w:rsidRPr="00CD1029">
                  <w:rPr>
                    <w:sz w:val="18"/>
                    <w:szCs w:val="18"/>
                  </w:rPr>
                  <w:t>United States</w:t>
                </w:r>
              </w:smartTag>
            </w:smartTag>
          </w:p>
        </w:tc>
        <w:tc>
          <w:tcPr>
            <w:tcW w:w="723" w:type="pct"/>
          </w:tcPr>
          <w:p w:rsidR="00CD1029" w:rsidRPr="00CD1029" w:rsidRDefault="00CD1029" w:rsidP="00CD1029">
            <w:pPr>
              <w:tabs>
                <w:tab w:val="left" w:pos="993"/>
              </w:tabs>
              <w:spacing w:before="0" w:after="0"/>
              <w:jc w:val="right"/>
              <w:rPr>
                <w:sz w:val="18"/>
                <w:szCs w:val="18"/>
              </w:rPr>
            </w:pPr>
            <w:r w:rsidRPr="00CD1029">
              <w:rPr>
                <w:sz w:val="18"/>
                <w:szCs w:val="18"/>
              </w:rPr>
              <w:t>2</w:t>
            </w:r>
          </w:p>
        </w:tc>
        <w:tc>
          <w:tcPr>
            <w:tcW w:w="861" w:type="pct"/>
            <w:vAlign w:val="bottom"/>
          </w:tcPr>
          <w:p w:rsidR="00CD1029" w:rsidRPr="00CD1029" w:rsidRDefault="00CD1029" w:rsidP="00CD1029">
            <w:pPr>
              <w:tabs>
                <w:tab w:val="left" w:pos="993"/>
              </w:tabs>
              <w:spacing w:before="0" w:after="0"/>
              <w:jc w:val="right"/>
              <w:rPr>
                <w:sz w:val="18"/>
                <w:szCs w:val="18"/>
              </w:rPr>
            </w:pPr>
            <w:r w:rsidRPr="00CD1029">
              <w:rPr>
                <w:sz w:val="18"/>
                <w:szCs w:val="18"/>
              </w:rPr>
              <w:t>1,300</w:t>
            </w:r>
          </w:p>
        </w:tc>
        <w:tc>
          <w:tcPr>
            <w:tcW w:w="933" w:type="pct"/>
          </w:tcPr>
          <w:p w:rsidR="00CD1029" w:rsidRPr="00CD1029" w:rsidRDefault="00CD1029" w:rsidP="00CD1029">
            <w:pPr>
              <w:tabs>
                <w:tab w:val="left" w:pos="993"/>
              </w:tabs>
              <w:spacing w:before="0" w:after="0"/>
              <w:jc w:val="right"/>
              <w:rPr>
                <w:sz w:val="18"/>
                <w:szCs w:val="18"/>
              </w:rPr>
            </w:pPr>
            <w:r w:rsidRPr="00CD1029">
              <w:rPr>
                <w:sz w:val="18"/>
                <w:szCs w:val="18"/>
              </w:rPr>
              <w:t>L</w:t>
            </w:r>
          </w:p>
        </w:tc>
        <w:tc>
          <w:tcPr>
            <w:tcW w:w="1156" w:type="pct"/>
            <w:vAlign w:val="bottom"/>
          </w:tcPr>
          <w:p w:rsidR="00CD1029" w:rsidRPr="00CD1029" w:rsidRDefault="00CD1029" w:rsidP="00CD1029">
            <w:pPr>
              <w:tabs>
                <w:tab w:val="left" w:pos="993"/>
              </w:tabs>
              <w:spacing w:before="0" w:after="0"/>
              <w:jc w:val="right"/>
              <w:rPr>
                <w:sz w:val="18"/>
                <w:szCs w:val="18"/>
              </w:rPr>
            </w:pPr>
            <w:r w:rsidRPr="00CD1029">
              <w:rPr>
                <w:sz w:val="18"/>
                <w:szCs w:val="18"/>
              </w:rPr>
              <w:t>6,295</w:t>
            </w:r>
          </w:p>
        </w:tc>
      </w:tr>
      <w:tr w:rsidR="00CD1029" w:rsidRPr="00CD1029" w:rsidTr="00CD1029">
        <w:tc>
          <w:tcPr>
            <w:tcW w:w="1328" w:type="pct"/>
            <w:shd w:val="clear" w:color="auto" w:fill="auto"/>
          </w:tcPr>
          <w:p w:rsidR="00CD1029" w:rsidRPr="00CD1029" w:rsidRDefault="00CD1029" w:rsidP="00CD1029">
            <w:pPr>
              <w:tabs>
                <w:tab w:val="left" w:pos="993"/>
              </w:tabs>
              <w:spacing w:before="0" w:after="0"/>
              <w:jc w:val="left"/>
              <w:rPr>
                <w:sz w:val="18"/>
                <w:szCs w:val="18"/>
              </w:rPr>
            </w:pPr>
            <w:smartTag w:uri="urn:schemas-microsoft-com:office:smarttags" w:element="place">
              <w:smartTag w:uri="urn:schemas-microsoft-com:office:smarttags" w:element="PlaceName">
                <w:r w:rsidRPr="00CD1029">
                  <w:rPr>
                    <w:sz w:val="18"/>
                    <w:szCs w:val="18"/>
                  </w:rPr>
                  <w:t>Czech</w:t>
                </w:r>
              </w:smartTag>
              <w:r w:rsidRPr="00CD1029">
                <w:rPr>
                  <w:sz w:val="18"/>
                  <w:szCs w:val="18"/>
                </w:rPr>
                <w:t xml:space="preserve"> </w:t>
              </w:r>
              <w:smartTag w:uri="urn:schemas-microsoft-com:office:smarttags" w:element="PlaceType">
                <w:r w:rsidRPr="00CD1029">
                  <w:rPr>
                    <w:sz w:val="18"/>
                    <w:szCs w:val="18"/>
                  </w:rPr>
                  <w:t>Republic</w:t>
                </w:r>
              </w:smartTag>
            </w:smartTag>
          </w:p>
        </w:tc>
        <w:tc>
          <w:tcPr>
            <w:tcW w:w="723" w:type="pct"/>
          </w:tcPr>
          <w:p w:rsidR="00CD1029" w:rsidRPr="00CD1029" w:rsidRDefault="00CD1029" w:rsidP="00CD1029">
            <w:pPr>
              <w:tabs>
                <w:tab w:val="left" w:pos="993"/>
              </w:tabs>
              <w:spacing w:before="0" w:after="0"/>
              <w:jc w:val="right"/>
              <w:rPr>
                <w:sz w:val="18"/>
                <w:szCs w:val="18"/>
              </w:rPr>
            </w:pPr>
            <w:r w:rsidRPr="00CD1029">
              <w:rPr>
                <w:sz w:val="18"/>
                <w:szCs w:val="18"/>
              </w:rPr>
              <w:t>1</w:t>
            </w:r>
          </w:p>
        </w:tc>
        <w:tc>
          <w:tcPr>
            <w:tcW w:w="861" w:type="pct"/>
            <w:vAlign w:val="bottom"/>
          </w:tcPr>
          <w:p w:rsidR="00CD1029" w:rsidRPr="00CD1029" w:rsidRDefault="00CD1029" w:rsidP="00CD1029">
            <w:pPr>
              <w:tabs>
                <w:tab w:val="left" w:pos="993"/>
              </w:tabs>
              <w:spacing w:before="0" w:after="0"/>
              <w:jc w:val="right"/>
              <w:rPr>
                <w:sz w:val="18"/>
                <w:szCs w:val="18"/>
              </w:rPr>
            </w:pPr>
            <w:r w:rsidRPr="00CD1029">
              <w:rPr>
                <w:sz w:val="18"/>
                <w:szCs w:val="18"/>
              </w:rPr>
              <w:t>300</w:t>
            </w:r>
          </w:p>
        </w:tc>
        <w:tc>
          <w:tcPr>
            <w:tcW w:w="933" w:type="pct"/>
          </w:tcPr>
          <w:p w:rsidR="00CD1029" w:rsidRPr="00CD1029" w:rsidRDefault="00CD1029" w:rsidP="00CD1029">
            <w:pPr>
              <w:tabs>
                <w:tab w:val="left" w:pos="993"/>
              </w:tabs>
              <w:spacing w:before="0" w:after="0"/>
              <w:jc w:val="right"/>
              <w:rPr>
                <w:sz w:val="18"/>
                <w:szCs w:val="18"/>
              </w:rPr>
            </w:pPr>
            <w:r w:rsidRPr="00CD1029">
              <w:rPr>
                <w:sz w:val="18"/>
                <w:szCs w:val="18"/>
              </w:rPr>
              <w:t>L</w:t>
            </w:r>
          </w:p>
        </w:tc>
        <w:tc>
          <w:tcPr>
            <w:tcW w:w="1156" w:type="pct"/>
            <w:vAlign w:val="bottom"/>
          </w:tcPr>
          <w:p w:rsidR="00CD1029" w:rsidRPr="00CD1029" w:rsidRDefault="00CD1029" w:rsidP="00CD1029">
            <w:pPr>
              <w:tabs>
                <w:tab w:val="left" w:pos="993"/>
              </w:tabs>
              <w:spacing w:before="0" w:after="0"/>
              <w:jc w:val="right"/>
              <w:rPr>
                <w:sz w:val="18"/>
                <w:szCs w:val="18"/>
              </w:rPr>
            </w:pPr>
            <w:r w:rsidRPr="00CD1029">
              <w:rPr>
                <w:sz w:val="18"/>
                <w:szCs w:val="18"/>
              </w:rPr>
              <w:t>7,500</w:t>
            </w:r>
          </w:p>
        </w:tc>
      </w:tr>
      <w:tr w:rsidR="00CD1029" w:rsidRPr="00CD1029" w:rsidTr="00CD1029">
        <w:tc>
          <w:tcPr>
            <w:tcW w:w="1328" w:type="pct"/>
            <w:shd w:val="clear" w:color="auto" w:fill="auto"/>
          </w:tcPr>
          <w:p w:rsidR="00CD1029" w:rsidRPr="00CD1029" w:rsidRDefault="00CD1029" w:rsidP="00CD1029">
            <w:pPr>
              <w:tabs>
                <w:tab w:val="left" w:pos="993"/>
              </w:tabs>
              <w:spacing w:before="0" w:after="0"/>
              <w:jc w:val="left"/>
              <w:rPr>
                <w:sz w:val="18"/>
                <w:szCs w:val="18"/>
              </w:rPr>
            </w:pPr>
            <w:smartTag w:uri="urn:schemas-microsoft-com:office:smarttags" w:element="country-region">
              <w:smartTag w:uri="urn:schemas-microsoft-com:office:smarttags" w:element="place">
                <w:r w:rsidRPr="00CD1029">
                  <w:rPr>
                    <w:sz w:val="18"/>
                    <w:szCs w:val="18"/>
                  </w:rPr>
                  <w:t>Bulgaria</w:t>
                </w:r>
              </w:smartTag>
            </w:smartTag>
          </w:p>
        </w:tc>
        <w:tc>
          <w:tcPr>
            <w:tcW w:w="723" w:type="pct"/>
          </w:tcPr>
          <w:p w:rsidR="00CD1029" w:rsidRPr="00CD1029" w:rsidRDefault="00CD1029" w:rsidP="00CD1029">
            <w:pPr>
              <w:tabs>
                <w:tab w:val="left" w:pos="993"/>
              </w:tabs>
              <w:spacing w:before="0" w:after="0"/>
              <w:jc w:val="right"/>
              <w:rPr>
                <w:sz w:val="18"/>
                <w:szCs w:val="18"/>
              </w:rPr>
            </w:pPr>
            <w:r w:rsidRPr="00CD1029">
              <w:rPr>
                <w:sz w:val="18"/>
                <w:szCs w:val="18"/>
              </w:rPr>
              <w:t>1</w:t>
            </w:r>
          </w:p>
        </w:tc>
        <w:tc>
          <w:tcPr>
            <w:tcW w:w="861" w:type="pct"/>
            <w:vAlign w:val="bottom"/>
          </w:tcPr>
          <w:p w:rsidR="00CD1029" w:rsidRPr="00CD1029" w:rsidRDefault="00CD1029" w:rsidP="00CD1029">
            <w:pPr>
              <w:tabs>
                <w:tab w:val="left" w:pos="993"/>
              </w:tabs>
              <w:spacing w:before="0" w:after="0"/>
              <w:jc w:val="right"/>
              <w:rPr>
                <w:sz w:val="18"/>
                <w:szCs w:val="18"/>
              </w:rPr>
            </w:pPr>
            <w:r w:rsidRPr="00CD1029">
              <w:rPr>
                <w:sz w:val="18"/>
                <w:szCs w:val="18"/>
              </w:rPr>
              <w:t>612</w:t>
            </w:r>
          </w:p>
        </w:tc>
        <w:tc>
          <w:tcPr>
            <w:tcW w:w="933" w:type="pct"/>
          </w:tcPr>
          <w:p w:rsidR="00CD1029" w:rsidRPr="00CD1029" w:rsidRDefault="00CD1029" w:rsidP="00CD1029">
            <w:pPr>
              <w:tabs>
                <w:tab w:val="left" w:pos="993"/>
              </w:tabs>
              <w:spacing w:before="0" w:after="0"/>
              <w:jc w:val="right"/>
              <w:rPr>
                <w:sz w:val="18"/>
                <w:szCs w:val="18"/>
              </w:rPr>
            </w:pPr>
            <w:r w:rsidRPr="00CD1029">
              <w:rPr>
                <w:sz w:val="18"/>
                <w:szCs w:val="18"/>
              </w:rPr>
              <w:t>L</w:t>
            </w:r>
          </w:p>
        </w:tc>
        <w:tc>
          <w:tcPr>
            <w:tcW w:w="1156" w:type="pct"/>
            <w:vAlign w:val="bottom"/>
          </w:tcPr>
          <w:p w:rsidR="00CD1029" w:rsidRPr="00CD1029" w:rsidRDefault="00CD1029" w:rsidP="00CD1029">
            <w:pPr>
              <w:tabs>
                <w:tab w:val="left" w:pos="993"/>
              </w:tabs>
              <w:spacing w:before="0" w:after="0"/>
              <w:jc w:val="right"/>
              <w:rPr>
                <w:sz w:val="18"/>
                <w:szCs w:val="18"/>
              </w:rPr>
            </w:pPr>
            <w:r w:rsidRPr="00CD1029">
              <w:rPr>
                <w:sz w:val="18"/>
                <w:szCs w:val="18"/>
              </w:rPr>
              <w:t>7,969</w:t>
            </w:r>
          </w:p>
        </w:tc>
      </w:tr>
      <w:tr w:rsidR="00CD1029" w:rsidRPr="001627CC" w:rsidTr="00CD1029">
        <w:tc>
          <w:tcPr>
            <w:tcW w:w="1328" w:type="pct"/>
            <w:shd w:val="clear" w:color="auto" w:fill="auto"/>
          </w:tcPr>
          <w:p w:rsidR="00CD1029" w:rsidRPr="00CD1029" w:rsidRDefault="00CD1029" w:rsidP="00CD1029">
            <w:pPr>
              <w:tabs>
                <w:tab w:val="left" w:pos="993"/>
              </w:tabs>
              <w:spacing w:before="0" w:after="0"/>
              <w:jc w:val="left"/>
              <w:rPr>
                <w:sz w:val="18"/>
                <w:szCs w:val="18"/>
              </w:rPr>
            </w:pPr>
            <w:smartTag w:uri="urn:schemas-microsoft-com:office:smarttags" w:element="country-region">
              <w:smartTag w:uri="urn:schemas-microsoft-com:office:smarttags" w:element="place">
                <w:r w:rsidRPr="00CD1029">
                  <w:rPr>
                    <w:sz w:val="18"/>
                    <w:szCs w:val="18"/>
                  </w:rPr>
                  <w:t>Portugal</w:t>
                </w:r>
              </w:smartTag>
            </w:smartTag>
          </w:p>
        </w:tc>
        <w:tc>
          <w:tcPr>
            <w:tcW w:w="723" w:type="pct"/>
          </w:tcPr>
          <w:p w:rsidR="00CD1029" w:rsidRPr="00CD1029" w:rsidRDefault="00CD1029" w:rsidP="00CD1029">
            <w:pPr>
              <w:tabs>
                <w:tab w:val="left" w:pos="993"/>
              </w:tabs>
              <w:spacing w:before="0" w:after="0"/>
              <w:jc w:val="right"/>
              <w:rPr>
                <w:sz w:val="18"/>
                <w:szCs w:val="18"/>
              </w:rPr>
            </w:pPr>
            <w:r w:rsidRPr="00CD1029">
              <w:rPr>
                <w:sz w:val="18"/>
                <w:szCs w:val="18"/>
              </w:rPr>
              <w:t>2</w:t>
            </w:r>
          </w:p>
        </w:tc>
        <w:tc>
          <w:tcPr>
            <w:tcW w:w="861" w:type="pct"/>
            <w:vAlign w:val="bottom"/>
          </w:tcPr>
          <w:p w:rsidR="00CD1029" w:rsidRPr="00CD1029" w:rsidRDefault="00CD1029" w:rsidP="00CD1029">
            <w:pPr>
              <w:tabs>
                <w:tab w:val="left" w:pos="993"/>
              </w:tabs>
              <w:spacing w:before="0" w:after="0"/>
              <w:jc w:val="right"/>
              <w:rPr>
                <w:sz w:val="18"/>
                <w:szCs w:val="18"/>
              </w:rPr>
            </w:pPr>
            <w:r w:rsidRPr="00CD1029">
              <w:rPr>
                <w:sz w:val="18"/>
                <w:szCs w:val="18"/>
              </w:rPr>
              <w:t>400</w:t>
            </w:r>
          </w:p>
        </w:tc>
        <w:tc>
          <w:tcPr>
            <w:tcW w:w="933" w:type="pct"/>
          </w:tcPr>
          <w:p w:rsidR="00CD1029" w:rsidRPr="00CD1029" w:rsidRDefault="00CD1029" w:rsidP="00CD1029">
            <w:pPr>
              <w:tabs>
                <w:tab w:val="left" w:pos="993"/>
              </w:tabs>
              <w:spacing w:before="0" w:after="0"/>
              <w:jc w:val="right"/>
              <w:rPr>
                <w:sz w:val="18"/>
                <w:szCs w:val="18"/>
              </w:rPr>
            </w:pPr>
            <w:r w:rsidRPr="00CD1029">
              <w:rPr>
                <w:sz w:val="18"/>
                <w:szCs w:val="18"/>
              </w:rPr>
              <w:t>L</w:t>
            </w:r>
          </w:p>
        </w:tc>
        <w:tc>
          <w:tcPr>
            <w:tcW w:w="1156" w:type="pct"/>
            <w:vAlign w:val="bottom"/>
          </w:tcPr>
          <w:p w:rsidR="00CD1029" w:rsidRPr="001627CC" w:rsidRDefault="00CD1029" w:rsidP="00CD1029">
            <w:pPr>
              <w:tabs>
                <w:tab w:val="left" w:pos="993"/>
              </w:tabs>
              <w:spacing w:before="0" w:after="0"/>
              <w:jc w:val="right"/>
              <w:rPr>
                <w:sz w:val="18"/>
                <w:szCs w:val="18"/>
              </w:rPr>
            </w:pPr>
            <w:r w:rsidRPr="00CD1029">
              <w:rPr>
                <w:sz w:val="18"/>
                <w:szCs w:val="18"/>
              </w:rPr>
              <w:t>17,648</w:t>
            </w:r>
          </w:p>
        </w:tc>
      </w:tr>
    </w:tbl>
    <w:p w:rsidR="003F0BC5" w:rsidRPr="00992199" w:rsidRDefault="003F0BC5" w:rsidP="00353B80">
      <w:pPr>
        <w:pStyle w:val="Firm5L4"/>
        <w:keepNext/>
      </w:pPr>
      <w:smartTag w:uri="urn:schemas-microsoft-com:office:smarttags" w:element="country-region">
        <w:smartTag w:uri="urn:schemas-microsoft-com:office:smarttags" w:element="place">
          <w:r w:rsidRPr="00992199">
            <w:t>Germany</w:t>
          </w:r>
        </w:smartTag>
      </w:smartTag>
    </w:p>
    <w:p w:rsidR="003F0BC5" w:rsidRPr="00992199" w:rsidRDefault="003F0BC5" w:rsidP="003F0BC5">
      <w:pPr>
        <w:rPr>
          <w:szCs w:val="20"/>
        </w:rPr>
      </w:pPr>
      <w:r w:rsidRPr="00992199">
        <w:rPr>
          <w:szCs w:val="20"/>
        </w:rPr>
        <w:t xml:space="preserve">In </w:t>
      </w:r>
      <w:smartTag w:uri="urn:schemas-microsoft-com:office:smarttags" w:element="country-region">
        <w:smartTag w:uri="urn:schemas-microsoft-com:office:smarttags" w:element="place">
          <w:r w:rsidRPr="00992199">
            <w:rPr>
              <w:szCs w:val="20"/>
            </w:rPr>
            <w:t>Germany</w:t>
          </w:r>
        </w:smartTag>
      </w:smartTag>
      <w:r w:rsidRPr="00992199">
        <w:rPr>
          <w:szCs w:val="20"/>
        </w:rPr>
        <w:t xml:space="preserve"> a wide network (14) of service and distribution centres is </w:t>
      </w:r>
      <w:r w:rsidR="0001690F">
        <w:rPr>
          <w:szCs w:val="20"/>
        </w:rPr>
        <w:t>operated</w:t>
      </w:r>
      <w:r w:rsidRPr="00992199">
        <w:rPr>
          <w:szCs w:val="20"/>
        </w:rPr>
        <w:t>. All of them have, besides a distribution function a wide range of added value services equipment and installations available. With more than 300 ripening rooms, the Univeg Group is the major player in the German market in offering ready-to-eat products. Not only bananas are ripened, a growing volume of other products (avocadoes, mango) are offered ripened to the retailers. Also a wide range of state of the art packing and sorting equipment is available to enable to offer any kind of packing form (a.o. trays, bags and flowpacks) for the full product range. The full coverage of the German region enables transport and distribution optimisation towards German customers.</w:t>
      </w:r>
    </w:p>
    <w:p w:rsidR="003F0BC5" w:rsidRPr="00992199" w:rsidRDefault="003F0BC5" w:rsidP="00353B80">
      <w:pPr>
        <w:pStyle w:val="Firm5L4"/>
        <w:keepNext/>
      </w:pPr>
      <w:r w:rsidRPr="00992199">
        <w:t xml:space="preserve">The </w:t>
      </w:r>
      <w:smartTag w:uri="urn:schemas-microsoft-com:office:smarttags" w:element="country-region">
        <w:smartTag w:uri="urn:schemas-microsoft-com:office:smarttags" w:element="place">
          <w:r w:rsidRPr="00992199">
            <w:t>Netherlands</w:t>
          </w:r>
        </w:smartTag>
      </w:smartTag>
    </w:p>
    <w:p w:rsidR="003F0BC5" w:rsidRPr="00992199" w:rsidRDefault="003F0BC5" w:rsidP="00030628">
      <w:pPr>
        <w:rPr>
          <w:szCs w:val="20"/>
        </w:rPr>
      </w:pPr>
      <w:r w:rsidRPr="00992199">
        <w:rPr>
          <w:szCs w:val="20"/>
        </w:rPr>
        <w:t>The area is equipped with</w:t>
      </w:r>
      <w:r w:rsidR="00FE0FEB">
        <w:rPr>
          <w:szCs w:val="20"/>
        </w:rPr>
        <w:t xml:space="preserve"> three </w:t>
      </w:r>
      <w:r w:rsidRPr="00992199">
        <w:rPr>
          <w:szCs w:val="20"/>
        </w:rPr>
        <w:t>major</w:t>
      </w:r>
      <w:r w:rsidR="00E904E6">
        <w:rPr>
          <w:szCs w:val="20"/>
        </w:rPr>
        <w:t xml:space="preserve"> warehouses totalling almost 90,</w:t>
      </w:r>
      <w:r w:rsidRPr="00992199">
        <w:rPr>
          <w:szCs w:val="20"/>
        </w:rPr>
        <w:t>000 m². Besides the pure distributions functions (storage, order picking,</w:t>
      </w:r>
      <w:r w:rsidR="00AA3763">
        <w:rPr>
          <w:szCs w:val="20"/>
        </w:rPr>
        <w:t xml:space="preserve"> etc.</w:t>
      </w:r>
      <w:r w:rsidRPr="00992199">
        <w:rPr>
          <w:szCs w:val="20"/>
        </w:rPr>
        <w:t>) there are also several ripening and pa</w:t>
      </w:r>
      <w:r w:rsidR="00732BB5">
        <w:rPr>
          <w:szCs w:val="20"/>
        </w:rPr>
        <w:t>ckaging facilities present. As T</w:t>
      </w:r>
      <w:r w:rsidRPr="00992199">
        <w:rPr>
          <w:szCs w:val="20"/>
        </w:rPr>
        <w:t>he Netherlands are a main entry point for oversees products, an adequate and large cold storage capacity is present to handle overseas products at arrival. These facilities enable as well the necessary volume bundling to realise optimal use of transport to final customer destination.</w:t>
      </w:r>
    </w:p>
    <w:p w:rsidR="003F0BC5" w:rsidRPr="00992199" w:rsidRDefault="003F0BC5" w:rsidP="00353B80">
      <w:pPr>
        <w:pStyle w:val="Firm5L4"/>
        <w:keepNext/>
        <w:keepLines/>
      </w:pPr>
      <w:smartTag w:uri="urn:schemas-microsoft-com:office:smarttags" w:element="country-region">
        <w:smartTag w:uri="urn:schemas-microsoft-com:office:smarttags" w:element="place">
          <w:r w:rsidRPr="00992199">
            <w:t>Belgium</w:t>
          </w:r>
        </w:smartTag>
      </w:smartTag>
    </w:p>
    <w:p w:rsidR="003F0BC5" w:rsidRPr="00992199" w:rsidRDefault="0001690F" w:rsidP="00D70585">
      <w:pPr>
        <w:rPr>
          <w:szCs w:val="20"/>
        </w:rPr>
      </w:pPr>
      <w:r>
        <w:t xml:space="preserve">The </w:t>
      </w:r>
      <w:r w:rsidRPr="00D70585">
        <w:rPr>
          <w:szCs w:val="20"/>
        </w:rPr>
        <w:t>operations</w:t>
      </w:r>
      <w:r>
        <w:t xml:space="preserve"> in </w:t>
      </w:r>
      <w:smartTag w:uri="urn:schemas-microsoft-com:office:smarttags" w:element="country-region">
        <w:smartTag w:uri="urn:schemas-microsoft-com:office:smarttags" w:element="place">
          <w:r>
            <w:t>Belgium</w:t>
          </w:r>
        </w:smartTag>
      </w:smartTag>
      <w:r>
        <w:t xml:space="preserve"> a</w:t>
      </w:r>
      <w:r w:rsidR="00D70585">
        <w:t>re done in multiple sites focus</w:t>
      </w:r>
      <w:r>
        <w:t xml:space="preserve">ing on specific customer oriented activities. </w:t>
      </w:r>
      <w:r w:rsidR="003F0BC5" w:rsidRPr="00992199">
        <w:rPr>
          <w:szCs w:val="20"/>
        </w:rPr>
        <w:t>Besides the usual fruit</w:t>
      </w:r>
      <w:r w:rsidR="00FE467C">
        <w:rPr>
          <w:szCs w:val="20"/>
        </w:rPr>
        <w:t xml:space="preserve"> and </w:t>
      </w:r>
      <w:r w:rsidR="003F0BC5" w:rsidRPr="00992199">
        <w:rPr>
          <w:szCs w:val="20"/>
        </w:rPr>
        <w:t xml:space="preserve">vegetables handling, in </w:t>
      </w:r>
      <w:smartTag w:uri="urn:schemas-microsoft-com:office:smarttags" w:element="country-region">
        <w:smartTag w:uri="urn:schemas-microsoft-com:office:smarttags" w:element="place">
          <w:r w:rsidR="003F0BC5" w:rsidRPr="00992199">
            <w:rPr>
              <w:szCs w:val="20"/>
            </w:rPr>
            <w:t>Belgium</w:t>
          </w:r>
        </w:smartTag>
      </w:smartTag>
      <w:r w:rsidR="003F0BC5" w:rsidRPr="00992199">
        <w:rPr>
          <w:szCs w:val="20"/>
        </w:rPr>
        <w:t xml:space="preserve"> there is a fully equipped state-of-the art production facility for fresh cut salads. This is fully integrated with a packing and distribution facility. </w:t>
      </w:r>
      <w:r>
        <w:rPr>
          <w:szCs w:val="20"/>
        </w:rPr>
        <w:t>I</w:t>
      </w:r>
      <w:r w:rsidR="003F0BC5" w:rsidRPr="00992199">
        <w:rPr>
          <w:szCs w:val="20"/>
        </w:rPr>
        <w:t xml:space="preserve">n </w:t>
      </w:r>
      <w:smartTag w:uri="urn:schemas-microsoft-com:office:smarttags" w:element="country-region">
        <w:smartTag w:uri="urn:schemas-microsoft-com:office:smarttags" w:element="place">
          <w:r w:rsidR="003F0BC5" w:rsidRPr="00992199">
            <w:rPr>
              <w:szCs w:val="20"/>
            </w:rPr>
            <w:t>Belgium</w:t>
          </w:r>
        </w:smartTag>
      </w:smartTag>
      <w:r w:rsidR="003F0BC5" w:rsidRPr="00992199">
        <w:rPr>
          <w:szCs w:val="20"/>
        </w:rPr>
        <w:t>, the Univeg Group performs for some customers pure transport and logi</w:t>
      </w:r>
      <w:r w:rsidR="00E904E6">
        <w:rPr>
          <w:szCs w:val="20"/>
        </w:rPr>
        <w:t>stics activities, there is a 22,</w:t>
      </w:r>
      <w:r w:rsidR="003F0BC5" w:rsidRPr="00992199">
        <w:rPr>
          <w:szCs w:val="20"/>
        </w:rPr>
        <w:t>000 m² facility specialised in storage, order picking, cross docking and distribution.</w:t>
      </w:r>
    </w:p>
    <w:p w:rsidR="003F0BC5" w:rsidRPr="00992199" w:rsidRDefault="003F0BC5" w:rsidP="00353B80">
      <w:pPr>
        <w:pStyle w:val="Firm5L4"/>
        <w:keepNext/>
      </w:pPr>
      <w:smartTag w:uri="urn:schemas-microsoft-com:office:smarttags" w:element="country-region">
        <w:smartTag w:uri="urn:schemas-microsoft-com:office:smarttags" w:element="place">
          <w:r w:rsidRPr="00992199">
            <w:t>France</w:t>
          </w:r>
        </w:smartTag>
      </w:smartTag>
    </w:p>
    <w:p w:rsidR="003F0BC5" w:rsidRPr="00992199" w:rsidRDefault="0001690F" w:rsidP="003F0BC5">
      <w:pPr>
        <w:rPr>
          <w:szCs w:val="20"/>
        </w:rPr>
      </w:pPr>
      <w:r>
        <w:rPr>
          <w:szCs w:val="20"/>
        </w:rPr>
        <w:t>A</w:t>
      </w:r>
      <w:r w:rsidR="00E904E6">
        <w:rPr>
          <w:szCs w:val="20"/>
        </w:rPr>
        <w:t xml:space="preserve"> warehouse of 7,</w:t>
      </w:r>
      <w:r w:rsidR="003F0BC5" w:rsidRPr="00992199">
        <w:rPr>
          <w:szCs w:val="20"/>
        </w:rPr>
        <w:t xml:space="preserve">455 m² is located in the site of Rungis, not far from the early-market where </w:t>
      </w:r>
      <w:smartTag w:uri="urn:schemas-microsoft-com:office:smarttags" w:element="country-region">
        <w:smartTag w:uri="urn:schemas-microsoft-com:office:smarttags" w:element="place">
          <w:r w:rsidR="003F0BC5" w:rsidRPr="00992199">
            <w:rPr>
              <w:szCs w:val="20"/>
            </w:rPr>
            <w:t>France</w:t>
          </w:r>
        </w:smartTag>
      </w:smartTag>
      <w:r w:rsidR="003F0BC5" w:rsidRPr="00992199">
        <w:rPr>
          <w:szCs w:val="20"/>
        </w:rPr>
        <w:t xml:space="preserve"> also leases 283 m² </w:t>
      </w:r>
      <w:r w:rsidR="00A07615">
        <w:rPr>
          <w:szCs w:val="20"/>
        </w:rPr>
        <w:t xml:space="preserve">of </w:t>
      </w:r>
      <w:r w:rsidR="003F0BC5" w:rsidRPr="00992199">
        <w:rPr>
          <w:szCs w:val="20"/>
        </w:rPr>
        <w:t xml:space="preserve">warehouse space to trade fruits and vegetables The French </w:t>
      </w:r>
      <w:r w:rsidR="00A07615" w:rsidRPr="00992199">
        <w:rPr>
          <w:szCs w:val="20"/>
        </w:rPr>
        <w:t>operations</w:t>
      </w:r>
      <w:r w:rsidR="003F0BC5" w:rsidRPr="00992199">
        <w:rPr>
          <w:szCs w:val="20"/>
        </w:rPr>
        <w:t xml:space="preserve"> have at their disposal 24 ripening rooms, packing lines for avocadoes, a flowpack line for bananas and net packing line for citrus. Not only bananas are ripened, but also other products (avocadoes, mango) are offered ripened and packed to the retailers. </w:t>
      </w:r>
      <w:smartTag w:uri="urn:schemas-microsoft-com:office:smarttags" w:element="country-region">
        <w:r w:rsidR="003F0BC5" w:rsidRPr="00992199">
          <w:rPr>
            <w:szCs w:val="20"/>
          </w:rPr>
          <w:t>France</w:t>
        </w:r>
      </w:smartTag>
      <w:r w:rsidR="003F0BC5" w:rsidRPr="00992199">
        <w:rPr>
          <w:szCs w:val="20"/>
        </w:rPr>
        <w:t xml:space="preserve"> is the main importer of lychees from </w:t>
      </w:r>
      <w:smartTag w:uri="urn:schemas-microsoft-com:office:smarttags" w:element="country-region">
        <w:smartTag w:uri="urn:schemas-microsoft-com:office:smarttags" w:element="place">
          <w:r w:rsidR="003F0BC5" w:rsidRPr="00992199">
            <w:rPr>
              <w:szCs w:val="20"/>
            </w:rPr>
            <w:t>Madagascar</w:t>
          </w:r>
        </w:smartTag>
      </w:smartTag>
      <w:r w:rsidR="003F0BC5" w:rsidRPr="00992199">
        <w:rPr>
          <w:szCs w:val="20"/>
        </w:rPr>
        <w:t xml:space="preserve"> and South-Africa, but is also known for trading of other exotics, bananas, citrus, off-season and local products.</w:t>
      </w:r>
    </w:p>
    <w:p w:rsidR="003F0BC5" w:rsidRPr="00992199" w:rsidRDefault="00E904E6" w:rsidP="00353B80">
      <w:pPr>
        <w:pStyle w:val="Firm5L4"/>
        <w:keepNext/>
      </w:pPr>
      <w:smartTag w:uri="urn:schemas-microsoft-com:office:smarttags" w:element="country-region">
        <w:smartTag w:uri="urn:schemas-microsoft-com:office:smarttags" w:element="place">
          <w:r>
            <w:t>United Kingdom</w:t>
          </w:r>
        </w:smartTag>
      </w:smartTag>
    </w:p>
    <w:p w:rsidR="003F0BC5" w:rsidRPr="00992199" w:rsidRDefault="003F0BC5" w:rsidP="003F0BC5">
      <w:pPr>
        <w:rPr>
          <w:szCs w:val="20"/>
        </w:rPr>
      </w:pPr>
      <w:r w:rsidRPr="00992199">
        <w:rPr>
          <w:szCs w:val="20"/>
        </w:rPr>
        <w:t>From the three sites operated, two are dedicated to fruit</w:t>
      </w:r>
      <w:r w:rsidR="00FE467C">
        <w:rPr>
          <w:szCs w:val="20"/>
        </w:rPr>
        <w:t xml:space="preserve"> and </w:t>
      </w:r>
      <w:r w:rsidRPr="00992199">
        <w:rPr>
          <w:szCs w:val="20"/>
        </w:rPr>
        <w:t xml:space="preserve">vegetables and one to flowers. Both the fruit and vegetables operations are located in Spalding, </w:t>
      </w:r>
      <w:smartTag w:uri="urn:schemas-microsoft-com:office:smarttags" w:element="City">
        <w:r w:rsidRPr="00992199">
          <w:rPr>
            <w:szCs w:val="20"/>
          </w:rPr>
          <w:t>Lincolnshire</w:t>
        </w:r>
      </w:smartTag>
      <w:r w:rsidRPr="00992199">
        <w:rPr>
          <w:szCs w:val="20"/>
        </w:rPr>
        <w:t xml:space="preserve">, </w:t>
      </w:r>
      <w:r w:rsidR="0001690F">
        <w:rPr>
          <w:szCs w:val="20"/>
        </w:rPr>
        <w:t>being</w:t>
      </w:r>
      <w:r w:rsidRPr="00992199">
        <w:rPr>
          <w:szCs w:val="20"/>
        </w:rPr>
        <w:t xml:space="preserve"> </w:t>
      </w:r>
      <w:r w:rsidR="00D70585">
        <w:rPr>
          <w:szCs w:val="20"/>
        </w:rPr>
        <w:t xml:space="preserve">the </w:t>
      </w:r>
      <w:r w:rsidRPr="00992199">
        <w:rPr>
          <w:szCs w:val="20"/>
        </w:rPr>
        <w:t xml:space="preserve">central area for fresh produce business in the </w:t>
      </w:r>
      <w:smartTag w:uri="urn:schemas-microsoft-com:office:smarttags" w:element="country-region">
        <w:smartTag w:uri="urn:schemas-microsoft-com:office:smarttags" w:element="place">
          <w:r w:rsidRPr="00992199">
            <w:rPr>
              <w:szCs w:val="20"/>
            </w:rPr>
            <w:t>UK</w:t>
          </w:r>
        </w:smartTag>
      </w:smartTag>
      <w:r w:rsidRPr="00992199">
        <w:rPr>
          <w:szCs w:val="20"/>
        </w:rPr>
        <w:t xml:space="preserve">. One site is dedicated to apples and pears, and has capacity to store (long and short term cold storage </w:t>
      </w:r>
      <w:r w:rsidRPr="00992199">
        <w:rPr>
          <w:szCs w:val="20"/>
        </w:rPr>
        <w:lastRenderedPageBreak/>
        <w:t xml:space="preserve">rooms) and has several packing lines (including a grader) to pack according customer’s specifications. It also </w:t>
      </w:r>
      <w:r w:rsidR="0001690F">
        <w:rPr>
          <w:szCs w:val="20"/>
        </w:rPr>
        <w:t>operates</w:t>
      </w:r>
      <w:r w:rsidRPr="00992199">
        <w:rPr>
          <w:szCs w:val="20"/>
        </w:rPr>
        <w:t xml:space="preserve"> two ripening rooms for pears. The other one is dedicated for tropical, stone fruit and deciduous. Fruit is stored, re</w:t>
      </w:r>
      <w:r w:rsidR="0001690F">
        <w:rPr>
          <w:szCs w:val="20"/>
        </w:rPr>
        <w:t>packed and ripened in nine</w:t>
      </w:r>
      <w:r w:rsidRPr="00992199">
        <w:rPr>
          <w:szCs w:val="20"/>
        </w:rPr>
        <w:t xml:space="preserve"> ripening rooms for stone fruit and tropical fruits. The operation dedicates a separate area where all the nuts and dried fruits are stored and repacked. The third site is located in </w:t>
      </w:r>
      <w:smartTag w:uri="urn:schemas-microsoft-com:office:smarttags" w:element="City">
        <w:smartTag w:uri="urn:schemas-microsoft-com:office:smarttags" w:element="place">
          <w:r w:rsidRPr="00992199">
            <w:rPr>
              <w:szCs w:val="20"/>
            </w:rPr>
            <w:t>Cornwall</w:t>
          </w:r>
        </w:smartTag>
      </w:smartTag>
      <w:r w:rsidRPr="00992199">
        <w:rPr>
          <w:szCs w:val="20"/>
        </w:rPr>
        <w:t>, and includes cold storage rooms and packing area to handle all the cut daffodils, as well as an area to treat and store bulbs.</w:t>
      </w:r>
    </w:p>
    <w:p w:rsidR="003F0BC5" w:rsidRPr="00992199" w:rsidRDefault="003F0BC5" w:rsidP="00353B80">
      <w:pPr>
        <w:pStyle w:val="Firm5L4"/>
        <w:keepNext/>
      </w:pPr>
      <w:smartTag w:uri="urn:schemas-microsoft-com:office:smarttags" w:element="country-region">
        <w:r w:rsidRPr="00992199">
          <w:t>Poland</w:t>
        </w:r>
      </w:smartTag>
      <w:r w:rsidRPr="00992199">
        <w:t xml:space="preserve">, </w:t>
      </w:r>
      <w:smartTag w:uri="urn:schemas-microsoft-com:office:smarttags" w:element="country-region">
        <w:r w:rsidRPr="00992199">
          <w:t>Portugal</w:t>
        </w:r>
      </w:smartTag>
      <w:r w:rsidRPr="00992199">
        <w:t xml:space="preserve">, </w:t>
      </w:r>
      <w:smartTag w:uri="urn:schemas-microsoft-com:office:smarttags" w:element="country-region">
        <w:smartTag w:uri="urn:schemas-microsoft-com:office:smarttags" w:element="place">
          <w:r w:rsidRPr="00992199">
            <w:t>Bulgaria</w:t>
          </w:r>
        </w:smartTag>
      </w:smartTag>
    </w:p>
    <w:p w:rsidR="003F0BC5" w:rsidRDefault="003F0BC5" w:rsidP="003F0BC5">
      <w:pPr>
        <w:rPr>
          <w:i/>
          <w:szCs w:val="20"/>
        </w:rPr>
      </w:pPr>
      <w:r w:rsidRPr="00992199">
        <w:rPr>
          <w:szCs w:val="20"/>
        </w:rPr>
        <w:t xml:space="preserve">As in these countries a big part of the activity is purely related to transport and logistics services, dedicated warehouses are </w:t>
      </w:r>
      <w:r w:rsidR="0001690F">
        <w:rPr>
          <w:szCs w:val="20"/>
        </w:rPr>
        <w:t>in place</w:t>
      </w:r>
      <w:r w:rsidRPr="00992199">
        <w:rPr>
          <w:szCs w:val="20"/>
        </w:rPr>
        <w:t xml:space="preserve">. Not only do they offer a wide range of different temperature zones adapted to customer needs (including frozen warehouse), also huge storage capacity and </w:t>
      </w:r>
      <w:r w:rsidR="00A07615" w:rsidRPr="00992199">
        <w:rPr>
          <w:szCs w:val="20"/>
        </w:rPr>
        <w:t>a</w:t>
      </w:r>
      <w:r w:rsidRPr="00992199">
        <w:rPr>
          <w:szCs w:val="20"/>
        </w:rPr>
        <w:t xml:space="preserve"> large number of loading docks are available. To guarantee minimal energy consumption level, those warehouses use the latest cooling technology. Also technical installations like air-blowers and fast-running doors are used to reduce waste of energy</w:t>
      </w:r>
      <w:r w:rsidRPr="00992199">
        <w:rPr>
          <w:i/>
          <w:szCs w:val="20"/>
        </w:rPr>
        <w:t>.</w:t>
      </w:r>
    </w:p>
    <w:p w:rsidR="00CD1029" w:rsidRPr="00992199" w:rsidRDefault="00CD1029" w:rsidP="00353B80">
      <w:pPr>
        <w:pStyle w:val="Firm5L3"/>
        <w:keepNext/>
        <w:keepLines/>
      </w:pPr>
      <w:r w:rsidRPr="00992199">
        <w:t>Employees</w:t>
      </w:r>
    </w:p>
    <w:p w:rsidR="00CD1029" w:rsidRDefault="00CD1029" w:rsidP="00CD1029">
      <w:pPr>
        <w:rPr>
          <w:szCs w:val="20"/>
        </w:rPr>
      </w:pPr>
      <w:r w:rsidRPr="00992199">
        <w:rPr>
          <w:szCs w:val="20"/>
        </w:rPr>
        <w:t xml:space="preserve">The Univeg </w:t>
      </w:r>
      <w:r>
        <w:rPr>
          <w:szCs w:val="20"/>
        </w:rPr>
        <w:t>Group employs approximately 5,55</w:t>
      </w:r>
      <w:r w:rsidRPr="00992199">
        <w:rPr>
          <w:szCs w:val="20"/>
        </w:rPr>
        <w:t>0 employees worldwide. In addition, the Univeg Group’s seasonal business depends to a large extent on interim labour. In this regard, the Univeg Group has entered into agreements with Alpha, Randstad and ASAP.be regarding the hiring of interim employees to cover its regular temporary needs for workers in relation to sorting, packing, ripening and warehousing of fruits, flowers and vegetables. Under the agreements, the Univeg Group can call upon the aforementioned agencies to provide it with interim labour on demand. Notwithstanding the existence of these agreements, the Univeg Group is exposed to risks associated with the potential loss of or inability to attract temporary workers.</w:t>
      </w:r>
    </w:p>
    <w:tbl>
      <w:tblPr>
        <w:tblW w:w="0" w:type="auto"/>
        <w:tblLook w:val="04A0" w:firstRow="1" w:lastRow="0" w:firstColumn="1" w:lastColumn="0" w:noHBand="0" w:noVBand="1"/>
      </w:tblPr>
      <w:tblGrid>
        <w:gridCol w:w="7128"/>
        <w:gridCol w:w="2052"/>
      </w:tblGrid>
      <w:tr w:rsidR="00CD1029" w:rsidRPr="00CD1029" w:rsidTr="00CD1029">
        <w:tc>
          <w:tcPr>
            <w:tcW w:w="7128" w:type="dxa"/>
            <w:shd w:val="clear" w:color="auto" w:fill="auto"/>
            <w:vAlign w:val="center"/>
          </w:tcPr>
          <w:p w:rsidR="00CD1029" w:rsidRPr="00CD1029" w:rsidRDefault="00CD1029" w:rsidP="00CD1029">
            <w:pPr>
              <w:spacing w:before="0" w:after="0"/>
              <w:jc w:val="left"/>
              <w:rPr>
                <w:bCs/>
                <w:i/>
                <w:sz w:val="18"/>
                <w:szCs w:val="18"/>
              </w:rPr>
            </w:pPr>
            <w:r w:rsidRPr="00CD1029">
              <w:rPr>
                <w:bCs/>
                <w:i/>
                <w:sz w:val="18"/>
                <w:szCs w:val="18"/>
              </w:rPr>
              <w:t>(FTE - rounded)</w:t>
            </w:r>
          </w:p>
        </w:tc>
        <w:tc>
          <w:tcPr>
            <w:tcW w:w="2052" w:type="dxa"/>
            <w:shd w:val="clear" w:color="auto" w:fill="auto"/>
            <w:vAlign w:val="bottom"/>
          </w:tcPr>
          <w:p w:rsidR="00CD1029" w:rsidRPr="00CD1029" w:rsidRDefault="00CD1029" w:rsidP="00CD1029">
            <w:pPr>
              <w:pBdr>
                <w:bottom w:val="single" w:sz="4" w:space="1" w:color="auto"/>
              </w:pBdr>
              <w:spacing w:before="0" w:after="0"/>
              <w:jc w:val="center"/>
              <w:rPr>
                <w:b/>
                <w:bCs/>
                <w:sz w:val="18"/>
                <w:szCs w:val="18"/>
              </w:rPr>
            </w:pPr>
            <w:r w:rsidRPr="00CD1029">
              <w:rPr>
                <w:b/>
                <w:bCs/>
                <w:sz w:val="18"/>
                <w:szCs w:val="18"/>
              </w:rPr>
              <w:br/>
              <w:t>31 December</w:t>
            </w:r>
          </w:p>
          <w:p w:rsidR="00CD1029" w:rsidRPr="00CD1029" w:rsidRDefault="00CD1029" w:rsidP="00CD1029">
            <w:pPr>
              <w:pBdr>
                <w:bottom w:val="single" w:sz="4" w:space="1" w:color="auto"/>
              </w:pBdr>
              <w:spacing w:before="0" w:after="0"/>
              <w:jc w:val="center"/>
              <w:rPr>
                <w:b/>
                <w:bCs/>
                <w:sz w:val="18"/>
                <w:szCs w:val="18"/>
              </w:rPr>
            </w:pPr>
            <w:r w:rsidRPr="00CD1029">
              <w:rPr>
                <w:b/>
                <w:bCs/>
                <w:sz w:val="18"/>
                <w:szCs w:val="18"/>
              </w:rPr>
              <w:t>2014</w:t>
            </w:r>
          </w:p>
        </w:tc>
      </w:tr>
      <w:tr w:rsidR="00CD1029" w:rsidRPr="00CD1029" w:rsidTr="00CD1029">
        <w:tc>
          <w:tcPr>
            <w:tcW w:w="7128" w:type="dxa"/>
            <w:shd w:val="clear" w:color="auto" w:fill="auto"/>
          </w:tcPr>
          <w:p w:rsidR="00CD1029" w:rsidRPr="00CD1029" w:rsidRDefault="00CD1029" w:rsidP="00CD1029">
            <w:pPr>
              <w:tabs>
                <w:tab w:val="right" w:leader="dot" w:pos="6912"/>
              </w:tabs>
              <w:spacing w:before="0" w:after="0"/>
              <w:rPr>
                <w:sz w:val="18"/>
                <w:szCs w:val="18"/>
              </w:rPr>
            </w:pPr>
            <w:r w:rsidRPr="00CD1029">
              <w:rPr>
                <w:bCs/>
                <w:sz w:val="18"/>
                <w:szCs w:val="18"/>
              </w:rPr>
              <w:t>Direct</w:t>
            </w:r>
            <w:r w:rsidRPr="00CD1029">
              <w:rPr>
                <w:bCs/>
                <w:sz w:val="18"/>
                <w:szCs w:val="18"/>
              </w:rPr>
              <w:tab/>
            </w:r>
          </w:p>
        </w:tc>
        <w:tc>
          <w:tcPr>
            <w:tcW w:w="2052" w:type="dxa"/>
            <w:shd w:val="clear" w:color="auto" w:fill="auto"/>
          </w:tcPr>
          <w:p w:rsidR="00CD1029" w:rsidRPr="00CD1029" w:rsidRDefault="00CD1029" w:rsidP="00CD1029">
            <w:pPr>
              <w:spacing w:before="0" w:after="0"/>
              <w:jc w:val="right"/>
              <w:rPr>
                <w:sz w:val="18"/>
              </w:rPr>
            </w:pPr>
            <w:r w:rsidRPr="00CD1029">
              <w:rPr>
                <w:sz w:val="18"/>
              </w:rPr>
              <w:t>2,500</w:t>
            </w:r>
          </w:p>
        </w:tc>
      </w:tr>
      <w:tr w:rsidR="00CD1029" w:rsidRPr="00CD1029" w:rsidTr="00CD1029">
        <w:tc>
          <w:tcPr>
            <w:tcW w:w="7128" w:type="dxa"/>
            <w:shd w:val="clear" w:color="auto" w:fill="auto"/>
          </w:tcPr>
          <w:p w:rsidR="00CD1029" w:rsidRPr="00CD1029" w:rsidRDefault="00CD1029" w:rsidP="00CD1029">
            <w:pPr>
              <w:tabs>
                <w:tab w:val="right" w:leader="dot" w:pos="6912"/>
              </w:tabs>
              <w:spacing w:before="0" w:after="0"/>
              <w:rPr>
                <w:bCs/>
                <w:sz w:val="18"/>
                <w:szCs w:val="18"/>
              </w:rPr>
            </w:pPr>
            <w:r w:rsidRPr="00CD1029">
              <w:rPr>
                <w:sz w:val="18"/>
                <w:szCs w:val="18"/>
              </w:rPr>
              <w:t>Indirect</w:t>
            </w:r>
            <w:r w:rsidRPr="00CD1029">
              <w:rPr>
                <w:sz w:val="18"/>
                <w:szCs w:val="18"/>
              </w:rPr>
              <w:tab/>
            </w:r>
          </w:p>
        </w:tc>
        <w:tc>
          <w:tcPr>
            <w:tcW w:w="2052" w:type="dxa"/>
            <w:shd w:val="clear" w:color="auto" w:fill="auto"/>
          </w:tcPr>
          <w:p w:rsidR="00CD1029" w:rsidRPr="00CD1029" w:rsidRDefault="00CD1029" w:rsidP="00CD1029">
            <w:pPr>
              <w:spacing w:before="0" w:after="0"/>
              <w:jc w:val="right"/>
              <w:rPr>
                <w:sz w:val="18"/>
              </w:rPr>
            </w:pPr>
            <w:r w:rsidRPr="00CD1029">
              <w:rPr>
                <w:sz w:val="18"/>
              </w:rPr>
              <w:t>1,400</w:t>
            </w:r>
          </w:p>
        </w:tc>
      </w:tr>
      <w:tr w:rsidR="00CD1029" w:rsidRPr="00CD1029" w:rsidTr="00CD1029">
        <w:tc>
          <w:tcPr>
            <w:tcW w:w="7128" w:type="dxa"/>
            <w:shd w:val="clear" w:color="auto" w:fill="auto"/>
          </w:tcPr>
          <w:p w:rsidR="00CD1029" w:rsidRPr="00CD1029" w:rsidRDefault="00CD1029" w:rsidP="00CD1029">
            <w:pPr>
              <w:tabs>
                <w:tab w:val="right" w:leader="dot" w:pos="6912"/>
              </w:tabs>
              <w:spacing w:before="0" w:after="0"/>
              <w:rPr>
                <w:sz w:val="18"/>
                <w:szCs w:val="18"/>
              </w:rPr>
            </w:pPr>
            <w:r w:rsidRPr="00CD1029">
              <w:rPr>
                <w:sz w:val="18"/>
                <w:szCs w:val="18"/>
              </w:rPr>
              <w:t>Temporary workforce - direct</w:t>
            </w:r>
            <w:r w:rsidRPr="00CD1029">
              <w:rPr>
                <w:sz w:val="18"/>
                <w:szCs w:val="18"/>
              </w:rPr>
              <w:tab/>
            </w:r>
          </w:p>
        </w:tc>
        <w:tc>
          <w:tcPr>
            <w:tcW w:w="2052" w:type="dxa"/>
            <w:shd w:val="clear" w:color="auto" w:fill="auto"/>
          </w:tcPr>
          <w:p w:rsidR="00CD1029" w:rsidRPr="00CD1029" w:rsidRDefault="00CD1029" w:rsidP="00CD1029">
            <w:pPr>
              <w:spacing w:before="0" w:after="0"/>
              <w:jc w:val="right"/>
              <w:rPr>
                <w:sz w:val="18"/>
              </w:rPr>
            </w:pPr>
            <w:r w:rsidRPr="00CD1029">
              <w:rPr>
                <w:sz w:val="18"/>
              </w:rPr>
              <w:t>1,550</w:t>
            </w:r>
          </w:p>
        </w:tc>
      </w:tr>
      <w:tr w:rsidR="00CD1029" w:rsidRPr="00CD1029" w:rsidTr="00CD1029">
        <w:tc>
          <w:tcPr>
            <w:tcW w:w="7128" w:type="dxa"/>
            <w:shd w:val="clear" w:color="auto" w:fill="auto"/>
          </w:tcPr>
          <w:p w:rsidR="00CD1029" w:rsidRPr="00CD1029" w:rsidRDefault="00CD1029" w:rsidP="00CD1029">
            <w:pPr>
              <w:tabs>
                <w:tab w:val="right" w:leader="dot" w:pos="6912"/>
              </w:tabs>
              <w:spacing w:before="0" w:after="0"/>
              <w:rPr>
                <w:bCs/>
                <w:sz w:val="18"/>
                <w:szCs w:val="18"/>
              </w:rPr>
            </w:pPr>
            <w:r w:rsidRPr="00CD1029">
              <w:rPr>
                <w:sz w:val="18"/>
                <w:szCs w:val="18"/>
              </w:rPr>
              <w:t>Temporary workforce - indirect</w:t>
            </w:r>
            <w:r w:rsidRPr="00CD1029">
              <w:rPr>
                <w:sz w:val="18"/>
                <w:szCs w:val="18"/>
              </w:rPr>
              <w:tab/>
            </w:r>
          </w:p>
        </w:tc>
        <w:tc>
          <w:tcPr>
            <w:tcW w:w="2052" w:type="dxa"/>
            <w:shd w:val="clear" w:color="auto" w:fill="auto"/>
          </w:tcPr>
          <w:p w:rsidR="00CD1029" w:rsidRPr="00CD1029" w:rsidRDefault="00CD1029" w:rsidP="00CD1029">
            <w:pPr>
              <w:pBdr>
                <w:bottom w:val="single" w:sz="4" w:space="1" w:color="auto"/>
              </w:pBdr>
              <w:tabs>
                <w:tab w:val="center" w:pos="612"/>
                <w:tab w:val="right" w:pos="1224"/>
              </w:tabs>
              <w:spacing w:before="0" w:after="0"/>
              <w:jc w:val="right"/>
              <w:rPr>
                <w:sz w:val="18"/>
                <w:szCs w:val="18"/>
              </w:rPr>
            </w:pPr>
            <w:r w:rsidRPr="00CD1029">
              <w:rPr>
                <w:sz w:val="18"/>
                <w:szCs w:val="18"/>
              </w:rPr>
              <w:tab/>
            </w:r>
            <w:r w:rsidRPr="00CD1029">
              <w:rPr>
                <w:sz w:val="18"/>
                <w:szCs w:val="18"/>
              </w:rPr>
              <w:tab/>
              <w:t>100</w:t>
            </w:r>
          </w:p>
        </w:tc>
      </w:tr>
      <w:tr w:rsidR="00CD1029" w:rsidRPr="000D3D24" w:rsidTr="00CD1029">
        <w:tc>
          <w:tcPr>
            <w:tcW w:w="7128" w:type="dxa"/>
            <w:shd w:val="clear" w:color="auto" w:fill="auto"/>
          </w:tcPr>
          <w:p w:rsidR="00CD1029" w:rsidRPr="00CD1029" w:rsidRDefault="00CD1029" w:rsidP="00CD1029">
            <w:pPr>
              <w:tabs>
                <w:tab w:val="right" w:leader="dot" w:pos="6912"/>
              </w:tabs>
              <w:spacing w:before="0" w:after="0"/>
              <w:rPr>
                <w:b/>
                <w:bCs/>
                <w:sz w:val="18"/>
                <w:szCs w:val="18"/>
              </w:rPr>
            </w:pPr>
          </w:p>
          <w:p w:rsidR="00CD1029" w:rsidRPr="00CD1029" w:rsidRDefault="00CD1029" w:rsidP="00CD1029">
            <w:pPr>
              <w:tabs>
                <w:tab w:val="right" w:leader="dot" w:pos="6912"/>
              </w:tabs>
              <w:spacing w:before="0" w:after="0"/>
              <w:rPr>
                <w:sz w:val="18"/>
                <w:szCs w:val="18"/>
              </w:rPr>
            </w:pPr>
            <w:r w:rsidRPr="00CD1029">
              <w:rPr>
                <w:b/>
                <w:bCs/>
                <w:sz w:val="18"/>
                <w:szCs w:val="18"/>
              </w:rPr>
              <w:t>Workforce</w:t>
            </w:r>
            <w:r w:rsidRPr="00CD1029">
              <w:rPr>
                <w:bCs/>
                <w:sz w:val="18"/>
                <w:szCs w:val="18"/>
              </w:rPr>
              <w:tab/>
            </w:r>
          </w:p>
        </w:tc>
        <w:tc>
          <w:tcPr>
            <w:tcW w:w="2052" w:type="dxa"/>
            <w:shd w:val="clear" w:color="auto" w:fill="auto"/>
          </w:tcPr>
          <w:p w:rsidR="00CD1029" w:rsidRPr="00CD1029" w:rsidRDefault="00CD1029" w:rsidP="00CD1029">
            <w:pPr>
              <w:pBdr>
                <w:bottom w:val="double" w:sz="4" w:space="1" w:color="auto"/>
              </w:pBdr>
              <w:spacing w:before="0" w:after="0"/>
              <w:jc w:val="right"/>
              <w:rPr>
                <w:b/>
                <w:sz w:val="18"/>
                <w:szCs w:val="18"/>
              </w:rPr>
            </w:pPr>
          </w:p>
          <w:p w:rsidR="00CD1029" w:rsidRPr="000D3D24" w:rsidRDefault="00CD1029" w:rsidP="00CD1029">
            <w:pPr>
              <w:pBdr>
                <w:bottom w:val="double" w:sz="4" w:space="1" w:color="auto"/>
              </w:pBdr>
              <w:spacing w:before="0" w:after="0"/>
              <w:jc w:val="right"/>
              <w:rPr>
                <w:sz w:val="18"/>
                <w:szCs w:val="18"/>
              </w:rPr>
            </w:pPr>
            <w:r w:rsidRPr="00CD1029">
              <w:rPr>
                <w:b/>
                <w:sz w:val="18"/>
                <w:szCs w:val="18"/>
              </w:rPr>
              <w:t>5,550</w:t>
            </w:r>
          </w:p>
        </w:tc>
      </w:tr>
    </w:tbl>
    <w:p w:rsidR="00CD1029" w:rsidRPr="00992199" w:rsidRDefault="00CD1029" w:rsidP="003F0BC5">
      <w:pPr>
        <w:rPr>
          <w:i/>
          <w:szCs w:val="20"/>
        </w:rPr>
      </w:pPr>
      <w:r w:rsidRPr="00992199">
        <w:rPr>
          <w:szCs w:val="20"/>
        </w:rPr>
        <w:t xml:space="preserve">The Univeg Group maintains defined contribution and defined benefit pension plans for its employees in certain jurisdictions such as </w:t>
      </w:r>
      <w:smartTag w:uri="urn:schemas-microsoft-com:office:smarttags" w:element="country-region">
        <w:r w:rsidRPr="00992199">
          <w:rPr>
            <w:szCs w:val="20"/>
          </w:rPr>
          <w:t>Germany</w:t>
        </w:r>
      </w:smartTag>
      <w:r>
        <w:rPr>
          <w:szCs w:val="20"/>
        </w:rPr>
        <w:t xml:space="preserve">, the </w:t>
      </w:r>
      <w:smartTag w:uri="urn:schemas-microsoft-com:office:smarttags" w:element="country-region">
        <w:r>
          <w:rPr>
            <w:szCs w:val="20"/>
          </w:rPr>
          <w:t>United States</w:t>
        </w:r>
      </w:smartTag>
      <w:r>
        <w:rPr>
          <w:szCs w:val="20"/>
        </w:rPr>
        <w:t xml:space="preserve">, </w:t>
      </w:r>
      <w:smartTag w:uri="urn:schemas-microsoft-com:office:smarttags" w:element="country-region">
        <w:smartTag w:uri="urn:schemas-microsoft-com:office:smarttags" w:element="place">
          <w:r>
            <w:rPr>
              <w:szCs w:val="20"/>
            </w:rPr>
            <w:t>Italy</w:t>
          </w:r>
        </w:smartTag>
      </w:smartTag>
      <w:r>
        <w:rPr>
          <w:szCs w:val="20"/>
        </w:rPr>
        <w:t xml:space="preserve"> and T</w:t>
      </w:r>
      <w:r w:rsidRPr="00992199">
        <w:rPr>
          <w:szCs w:val="20"/>
        </w:rPr>
        <w:t xml:space="preserve">he Netherlands. A defined contribution benefit plan is a post-employment plan under </w:t>
      </w:r>
      <w:r w:rsidR="000E1930">
        <w:rPr>
          <w:szCs w:val="20"/>
        </w:rPr>
        <w:t xml:space="preserve">which </w:t>
      </w:r>
      <w:r w:rsidRPr="00992199">
        <w:rPr>
          <w:szCs w:val="20"/>
        </w:rPr>
        <w:t>the Univeg Group pays fixed contributions into a separate entity (a fund or insurance company) and will have no legal or constructive obligation to pay further contributions if the fund does not hold sufficient assets to pay all employee benefits relating to employees service in the current and prior periods. The contributions are recognised as employee benefit expenses when they are due. Prepaid contributions are recognised as an asset to the extent that a cash refund or a reduction in the future payments is available.</w:t>
      </w:r>
    </w:p>
    <w:p w:rsidR="003F0BC5" w:rsidRPr="00992199" w:rsidRDefault="003F0BC5" w:rsidP="00353B80">
      <w:pPr>
        <w:pStyle w:val="Firm5L3"/>
        <w:keepNext/>
        <w:keepLines/>
      </w:pPr>
      <w:r w:rsidRPr="00992199">
        <w:t>Organisational structure and chart</w:t>
      </w:r>
    </w:p>
    <w:p w:rsidR="003F0BC5" w:rsidRPr="00992199" w:rsidRDefault="003F0BC5" w:rsidP="00353B80">
      <w:pPr>
        <w:pStyle w:val="Firm5L4"/>
        <w:keepNext/>
        <w:keepLines/>
      </w:pPr>
      <w:r w:rsidRPr="00992199">
        <w:t>Structure chart</w:t>
      </w:r>
    </w:p>
    <w:p w:rsidR="003F0BC5" w:rsidRPr="00C14674" w:rsidRDefault="00972D9E" w:rsidP="00934BA4">
      <w:pPr>
        <w:keepNext/>
        <w:keepLines/>
        <w:rPr>
          <w:szCs w:val="20"/>
        </w:rPr>
      </w:pPr>
      <w:r>
        <w:rPr>
          <w:noProof/>
        </w:rPr>
        <w:lastRenderedPageBreak/>
        <w:object w:dxaOrig="6810"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0;width:522.3pt;height:410.8pt;z-index:251659776;mso-position-horizontal:center;mso-position-horizontal-relative:margin">
            <v:imagedata r:id="rId16" o:title=""/>
            <w10:wrap type="topAndBottom" anchorx="margin"/>
          </v:shape>
          <o:OLEObject Type="Embed" ProgID="Visio.Drawing.11" ShapeID="_x0000_s1028" DrawAspect="Content" ObjectID="_1597567041" r:id="rId17"/>
        </w:object>
      </w:r>
    </w:p>
    <w:p w:rsidR="003F0BC5" w:rsidRPr="00992199" w:rsidRDefault="003F0BC5" w:rsidP="00353B80">
      <w:pPr>
        <w:pStyle w:val="Firm5L4"/>
        <w:keepNext/>
      </w:pPr>
      <w:r w:rsidRPr="00992199">
        <w:t>Information on the subsidiaries</w:t>
      </w:r>
    </w:p>
    <w:p w:rsidR="003F0BC5" w:rsidRPr="00992199" w:rsidRDefault="003F0BC5" w:rsidP="003F0BC5">
      <w:pPr>
        <w:rPr>
          <w:szCs w:val="20"/>
        </w:rPr>
      </w:pPr>
      <w:r w:rsidRPr="00992199">
        <w:rPr>
          <w:szCs w:val="20"/>
        </w:rPr>
        <w:t xml:space="preserve">The </w:t>
      </w:r>
      <w:r w:rsidR="0096076E">
        <w:rPr>
          <w:szCs w:val="20"/>
        </w:rPr>
        <w:t xml:space="preserve">most important </w:t>
      </w:r>
      <w:r w:rsidRPr="00992199">
        <w:rPr>
          <w:szCs w:val="20"/>
        </w:rPr>
        <w:t>subsidiaries of the Univeg Group are set out in the table below:</w:t>
      </w:r>
    </w:p>
    <w:tbl>
      <w:tblPr>
        <w:tblW w:w="5000" w:type="pct"/>
        <w:tblLook w:val="04A0" w:firstRow="1" w:lastRow="0" w:firstColumn="1" w:lastColumn="0" w:noHBand="0" w:noVBand="1"/>
      </w:tblPr>
      <w:tblGrid>
        <w:gridCol w:w="7339"/>
        <w:gridCol w:w="1906"/>
      </w:tblGrid>
      <w:tr w:rsidR="00CD1029" w:rsidRPr="00CD1029" w:rsidTr="00CD1029">
        <w:trPr>
          <w:tblHeader/>
        </w:trPr>
        <w:tc>
          <w:tcPr>
            <w:tcW w:w="3969" w:type="pct"/>
            <w:shd w:val="clear" w:color="auto" w:fill="auto"/>
            <w:vAlign w:val="bottom"/>
          </w:tcPr>
          <w:p w:rsidR="00CD1029" w:rsidRPr="00CD1029" w:rsidRDefault="00CD1029" w:rsidP="00CD1029">
            <w:pPr>
              <w:pBdr>
                <w:bottom w:val="single" w:sz="4" w:space="1" w:color="auto"/>
              </w:pBdr>
              <w:spacing w:before="0" w:after="0"/>
              <w:rPr>
                <w:b/>
                <w:sz w:val="18"/>
                <w:szCs w:val="18"/>
              </w:rPr>
            </w:pPr>
            <w:r w:rsidRPr="00CD1029">
              <w:rPr>
                <w:b/>
                <w:sz w:val="18"/>
                <w:szCs w:val="18"/>
              </w:rPr>
              <w:t>Name of the subsidiary</w:t>
            </w:r>
          </w:p>
        </w:tc>
        <w:tc>
          <w:tcPr>
            <w:tcW w:w="1031" w:type="pct"/>
            <w:shd w:val="clear" w:color="auto" w:fill="auto"/>
            <w:vAlign w:val="bottom"/>
          </w:tcPr>
          <w:p w:rsidR="00CD1029" w:rsidRPr="00CD1029" w:rsidRDefault="00CD1029" w:rsidP="00CD1029">
            <w:pPr>
              <w:pBdr>
                <w:bottom w:val="single" w:sz="4" w:space="1" w:color="auto"/>
              </w:pBdr>
              <w:spacing w:before="0" w:after="0"/>
              <w:jc w:val="right"/>
              <w:rPr>
                <w:b/>
                <w:sz w:val="18"/>
                <w:szCs w:val="18"/>
              </w:rPr>
            </w:pPr>
            <w:r w:rsidRPr="00CD1029">
              <w:rPr>
                <w:b/>
                <w:sz w:val="18"/>
                <w:szCs w:val="18"/>
              </w:rPr>
              <w:t>Shareholding (direct / indirect)</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 xml:space="preserve">Univeg </w:t>
            </w:r>
            <w:smartTag w:uri="urn:schemas-microsoft-com:office:smarttags" w:element="country-region">
              <w:smartTag w:uri="urn:schemas-microsoft-com:office:smarttags" w:element="place">
                <w:r w:rsidRPr="00CD1029">
                  <w:rPr>
                    <w:sz w:val="18"/>
                    <w:szCs w:val="18"/>
                  </w:rPr>
                  <w:t>Belgium</w:t>
                </w:r>
              </w:smartTag>
            </w:smartTag>
            <w:r w:rsidRPr="00CD1029">
              <w:rPr>
                <w:sz w:val="18"/>
                <w:szCs w:val="18"/>
              </w:rPr>
              <w:t xml:space="preserve"> NV</w:t>
            </w:r>
            <w:r w:rsidRPr="00CD1029">
              <w:rPr>
                <w:sz w:val="18"/>
                <w:szCs w:val="18"/>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Ben Fresh NV</w:t>
            </w:r>
            <w:r w:rsidRPr="00CD1029">
              <w:rPr>
                <w:sz w:val="18"/>
                <w:szCs w:val="18"/>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51%</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 xml:space="preserve">Fresh </w:t>
            </w:r>
            <w:smartTag w:uri="urn:schemas-microsoft-com:office:smarttags" w:element="place">
              <w:smartTag w:uri="urn:schemas-microsoft-com:office:smarttags" w:element="City">
                <w:r w:rsidRPr="00CD1029">
                  <w:rPr>
                    <w:sz w:val="18"/>
                    <w:szCs w:val="18"/>
                  </w:rPr>
                  <w:t>Transport</w:t>
                </w:r>
              </w:smartTag>
              <w:r w:rsidRPr="00CD1029">
                <w:rPr>
                  <w:sz w:val="18"/>
                  <w:szCs w:val="18"/>
                </w:rPr>
                <w:t xml:space="preserve"> </w:t>
              </w:r>
              <w:smartTag w:uri="urn:schemas-microsoft-com:office:smarttags" w:element="State">
                <w:r w:rsidRPr="00CD1029">
                  <w:rPr>
                    <w:sz w:val="18"/>
                    <w:szCs w:val="18"/>
                  </w:rPr>
                  <w:t>NV</w:t>
                </w:r>
              </w:smartTag>
            </w:smartTag>
            <w:r w:rsidRPr="00CD1029">
              <w:rPr>
                <w:sz w:val="18"/>
                <w:szCs w:val="18"/>
              </w:rPr>
              <w:t xml:space="preserve"> (formerly European Food Transport NV)</w:t>
            </w:r>
            <w:r w:rsidRPr="00CD1029">
              <w:rPr>
                <w:sz w:val="18"/>
                <w:szCs w:val="18"/>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Nova Veg Logistics NV</w:t>
            </w:r>
            <w:r w:rsidRPr="00CD1029">
              <w:rPr>
                <w:sz w:val="18"/>
                <w:szCs w:val="18"/>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Univeg Holding B.V.</w:t>
            </w:r>
            <w:r w:rsidRPr="00CD1029">
              <w:rPr>
                <w:sz w:val="18"/>
                <w:szCs w:val="18"/>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Univeg Fruitpartners B.V.</w:t>
            </w:r>
            <w:r w:rsidRPr="00CD1029">
              <w:rPr>
                <w:sz w:val="18"/>
                <w:szCs w:val="18"/>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Univeg B.V. .</w:t>
            </w:r>
            <w:r w:rsidRPr="00CD1029">
              <w:rPr>
                <w:sz w:val="18"/>
                <w:szCs w:val="18"/>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 xml:space="preserve">Univeg Trade </w:t>
            </w:r>
            <w:smartTag w:uri="urn:schemas-microsoft-com:office:smarttags" w:element="place">
              <w:r w:rsidRPr="00CD1029">
                <w:rPr>
                  <w:sz w:val="18"/>
                  <w:szCs w:val="18"/>
                </w:rPr>
                <w:t>Benelux</w:t>
              </w:r>
            </w:smartTag>
            <w:r w:rsidRPr="00CD1029">
              <w:rPr>
                <w:sz w:val="18"/>
                <w:szCs w:val="18"/>
              </w:rPr>
              <w:t xml:space="preserve"> B.V.</w:t>
            </w:r>
            <w:r w:rsidRPr="00CD1029">
              <w:rPr>
                <w:sz w:val="18"/>
                <w:szCs w:val="18"/>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Univeg Finance B.V.</w:t>
            </w:r>
            <w:r w:rsidRPr="00CD1029">
              <w:rPr>
                <w:sz w:val="18"/>
                <w:szCs w:val="18"/>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lang w:val="nl-BE"/>
              </w:rPr>
            </w:pPr>
            <w:r w:rsidRPr="00CD1029">
              <w:rPr>
                <w:sz w:val="18"/>
                <w:szCs w:val="18"/>
                <w:lang w:val="nl-BE"/>
              </w:rPr>
              <w:t>Univeg Nederland Exploitatie B.V.</w:t>
            </w:r>
            <w:r w:rsidRPr="00CD1029">
              <w:rPr>
                <w:sz w:val="18"/>
                <w:szCs w:val="18"/>
                <w:lang w:val="nl-BE"/>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Bakker Barendrecht B.V.</w:t>
            </w:r>
            <w:r w:rsidRPr="00CD1029">
              <w:rPr>
                <w:sz w:val="18"/>
                <w:szCs w:val="18"/>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 xml:space="preserve">Univeg Katope </w:t>
            </w:r>
            <w:smartTag w:uri="urn:schemas-microsoft-com:office:smarttags" w:element="country-region">
              <w:smartTag w:uri="urn:schemas-microsoft-com:office:smarttags" w:element="place">
                <w:r w:rsidRPr="00CD1029">
                  <w:rPr>
                    <w:sz w:val="18"/>
                    <w:szCs w:val="18"/>
                  </w:rPr>
                  <w:t>France</w:t>
                </w:r>
              </w:smartTag>
            </w:smartTag>
            <w:r w:rsidRPr="00CD1029">
              <w:rPr>
                <w:sz w:val="18"/>
                <w:szCs w:val="18"/>
              </w:rPr>
              <w:t xml:space="preserve"> SAS</w:t>
            </w:r>
            <w:r w:rsidRPr="00CD1029">
              <w:rPr>
                <w:sz w:val="18"/>
                <w:szCs w:val="18"/>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 xml:space="preserve">Univeg </w:t>
            </w:r>
            <w:smartTag w:uri="urn:schemas-microsoft-com:office:smarttags" w:element="country-region">
              <w:smartTag w:uri="urn:schemas-microsoft-com:office:smarttags" w:element="place">
                <w:r w:rsidRPr="00CD1029">
                  <w:rPr>
                    <w:sz w:val="18"/>
                    <w:szCs w:val="18"/>
                  </w:rPr>
                  <w:t>Germany</w:t>
                </w:r>
              </w:smartTag>
            </w:smartTag>
            <w:r w:rsidRPr="00CD1029">
              <w:rPr>
                <w:sz w:val="18"/>
                <w:szCs w:val="18"/>
              </w:rPr>
              <w:t xml:space="preserve"> Beteiligungs GmbH</w:t>
            </w:r>
            <w:r w:rsidRPr="00CD1029">
              <w:rPr>
                <w:sz w:val="18"/>
                <w:szCs w:val="18"/>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UNIVEG Germany GmbH &amp; Co KG</w:t>
            </w:r>
            <w:r w:rsidRPr="00CD1029">
              <w:rPr>
                <w:sz w:val="18"/>
                <w:szCs w:val="18"/>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94%</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Pastari Gemusevertrieb GmbH &amp; Co KG</w:t>
            </w:r>
            <w:r w:rsidRPr="00CD1029">
              <w:rPr>
                <w:sz w:val="18"/>
                <w:szCs w:val="18"/>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60%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 xml:space="preserve">Univeg </w:t>
            </w:r>
            <w:smartTag w:uri="urn:schemas-microsoft-com:office:smarttags" w:element="country-region">
              <w:smartTag w:uri="urn:schemas-microsoft-com:office:smarttags" w:element="place">
                <w:r w:rsidRPr="00CD1029">
                  <w:rPr>
                    <w:sz w:val="18"/>
                    <w:szCs w:val="18"/>
                  </w:rPr>
                  <w:t>Iberia</w:t>
                </w:r>
              </w:smartTag>
            </w:smartTag>
            <w:r w:rsidRPr="00CD1029">
              <w:rPr>
                <w:sz w:val="18"/>
                <w:szCs w:val="18"/>
              </w:rPr>
              <w:t xml:space="preserve"> SL</w:t>
            </w:r>
            <w:r w:rsidRPr="00CD1029">
              <w:rPr>
                <w:sz w:val="18"/>
                <w:szCs w:val="18"/>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lastRenderedPageBreak/>
              <w:t xml:space="preserve">Univeg </w:t>
            </w:r>
            <w:smartTag w:uri="urn:schemas-microsoft-com:office:smarttags" w:element="country-region">
              <w:smartTag w:uri="urn:schemas-microsoft-com:office:smarttags" w:element="place">
                <w:r w:rsidRPr="00CD1029">
                  <w:rPr>
                    <w:sz w:val="18"/>
                    <w:szCs w:val="18"/>
                  </w:rPr>
                  <w:t>Iberia</w:t>
                </w:r>
              </w:smartTag>
            </w:smartTag>
            <w:r w:rsidRPr="00CD1029">
              <w:rPr>
                <w:sz w:val="18"/>
                <w:szCs w:val="18"/>
              </w:rPr>
              <w:t xml:space="preserve"> SCS</w:t>
            </w:r>
            <w:r w:rsidRPr="00CD1029">
              <w:rPr>
                <w:sz w:val="18"/>
                <w:szCs w:val="18"/>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Univeg Trade Spain SA</w:t>
            </w:r>
            <w:r w:rsidRPr="00CD1029">
              <w:rPr>
                <w:sz w:val="18"/>
                <w:szCs w:val="18"/>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Univeg Logistics Portugal SA</w:t>
            </w:r>
            <w:r w:rsidRPr="00CD1029">
              <w:rPr>
                <w:sz w:val="18"/>
                <w:szCs w:val="18"/>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Univeg Trade Italia Srl</w:t>
            </w:r>
            <w:r w:rsidRPr="00CD1029">
              <w:rPr>
                <w:sz w:val="18"/>
                <w:szCs w:val="18"/>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Winchester Growers Ltd</w:t>
            </w:r>
            <w:r w:rsidRPr="00CD1029">
              <w:rPr>
                <w:sz w:val="18"/>
                <w:szCs w:val="18"/>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Univeg Katope UK Ltd</w:t>
            </w:r>
            <w:r w:rsidRPr="00CD1029">
              <w:rPr>
                <w:sz w:val="18"/>
                <w:szCs w:val="18"/>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Univeg Trade Poland SA</w:t>
            </w:r>
            <w:r w:rsidRPr="00CD1029">
              <w:rPr>
                <w:sz w:val="18"/>
                <w:szCs w:val="18"/>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Bakker Trans sro</w:t>
            </w:r>
            <w:r w:rsidRPr="00CD1029">
              <w:rPr>
                <w:sz w:val="18"/>
                <w:szCs w:val="18"/>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Bakker sro</w:t>
            </w:r>
            <w:r w:rsidRPr="00CD1029">
              <w:rPr>
                <w:sz w:val="18"/>
                <w:szCs w:val="18"/>
              </w:rPr>
              <w:tab/>
            </w:r>
          </w:p>
        </w:tc>
        <w:tc>
          <w:tcPr>
            <w:tcW w:w="1031" w:type="pct"/>
            <w:shd w:val="clear" w:color="auto" w:fill="auto"/>
            <w:vAlign w:val="bottom"/>
          </w:tcPr>
          <w:p w:rsidR="00CD1029" w:rsidRPr="00CD1029"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Mahindra UNIVEG Private Limited</w:t>
            </w:r>
            <w:r w:rsidRPr="00CD1029">
              <w:rPr>
                <w:sz w:val="18"/>
                <w:szCs w:val="18"/>
              </w:rPr>
              <w:tab/>
            </w:r>
          </w:p>
        </w:tc>
        <w:tc>
          <w:tcPr>
            <w:tcW w:w="1031" w:type="pct"/>
            <w:shd w:val="clear" w:color="auto" w:fill="auto"/>
            <w:vAlign w:val="bottom"/>
          </w:tcPr>
          <w:p w:rsidR="00CD1029" w:rsidRPr="00CD1029" w:rsidDel="00E76660" w:rsidRDefault="00CD1029" w:rsidP="00CD1029">
            <w:pPr>
              <w:spacing w:before="0" w:after="0"/>
              <w:jc w:val="right"/>
              <w:outlineLvl w:val="0"/>
              <w:rPr>
                <w:sz w:val="18"/>
                <w:szCs w:val="18"/>
              </w:rPr>
            </w:pPr>
            <w:r w:rsidRPr="00CD1029">
              <w:rPr>
                <w:sz w:val="18"/>
                <w:szCs w:val="18"/>
              </w:rPr>
              <w:t>40%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 xml:space="preserve">Univeg Supply Chain Services B.V. </w:t>
            </w:r>
            <w:r w:rsidRPr="00CD1029">
              <w:rPr>
                <w:sz w:val="18"/>
                <w:szCs w:val="18"/>
              </w:rPr>
              <w:tab/>
            </w:r>
          </w:p>
        </w:tc>
        <w:tc>
          <w:tcPr>
            <w:tcW w:w="1031" w:type="pct"/>
            <w:shd w:val="clear" w:color="auto" w:fill="auto"/>
            <w:vAlign w:val="bottom"/>
          </w:tcPr>
          <w:p w:rsidR="00CD1029" w:rsidRPr="00CD1029" w:rsidDel="00E76660" w:rsidRDefault="00CD1029" w:rsidP="00CD1029">
            <w:pPr>
              <w:spacing w:before="0" w:after="0"/>
              <w:jc w:val="right"/>
              <w:outlineLvl w:val="0"/>
              <w:rPr>
                <w:sz w:val="18"/>
                <w:szCs w:val="18"/>
              </w:rPr>
            </w:pPr>
            <w:r w:rsidRPr="00CD1029">
              <w:rPr>
                <w:sz w:val="18"/>
                <w:szCs w:val="18"/>
              </w:rPr>
              <w:t>100%</w:t>
            </w:r>
          </w:p>
        </w:tc>
      </w:tr>
      <w:tr w:rsidR="00CD1029" w:rsidRPr="00CD1029"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CD1029" w:rsidP="00CD1029">
            <w:pPr>
              <w:tabs>
                <w:tab w:val="left" w:leader="dot" w:pos="7126"/>
              </w:tabs>
              <w:spacing w:before="0" w:after="0"/>
              <w:outlineLvl w:val="0"/>
              <w:rPr>
                <w:sz w:val="18"/>
                <w:szCs w:val="18"/>
              </w:rPr>
            </w:pPr>
            <w:r w:rsidRPr="00CD1029">
              <w:rPr>
                <w:sz w:val="18"/>
                <w:szCs w:val="18"/>
              </w:rPr>
              <w:t>Grupo Yes Procurement Marketing SL</w:t>
            </w:r>
            <w:r w:rsidRPr="00CD1029">
              <w:rPr>
                <w:sz w:val="18"/>
                <w:szCs w:val="18"/>
              </w:rPr>
              <w:tab/>
            </w:r>
          </w:p>
        </w:tc>
        <w:tc>
          <w:tcPr>
            <w:tcW w:w="1031" w:type="pct"/>
            <w:shd w:val="clear" w:color="auto" w:fill="auto"/>
            <w:vAlign w:val="bottom"/>
          </w:tcPr>
          <w:p w:rsidR="00CD1029" w:rsidRPr="00CD1029" w:rsidDel="00E76660" w:rsidRDefault="00CD1029" w:rsidP="00CD1029">
            <w:pPr>
              <w:spacing w:before="0" w:after="0"/>
              <w:jc w:val="right"/>
              <w:outlineLvl w:val="0"/>
              <w:rPr>
                <w:sz w:val="18"/>
                <w:szCs w:val="18"/>
              </w:rPr>
            </w:pPr>
            <w:r w:rsidRPr="00CD1029">
              <w:rPr>
                <w:sz w:val="18"/>
                <w:szCs w:val="18"/>
              </w:rPr>
              <w:t>50%</w:t>
            </w:r>
          </w:p>
        </w:tc>
      </w:tr>
      <w:tr w:rsidR="00CD1029" w:rsidRPr="00833483" w:rsidTr="00CD1029">
        <w:tblPrEx>
          <w:tblCellMar>
            <w:left w:w="70" w:type="dxa"/>
            <w:right w:w="70" w:type="dxa"/>
          </w:tblCellMar>
        </w:tblPrEx>
        <w:trPr>
          <w:trHeight w:val="255"/>
        </w:trPr>
        <w:tc>
          <w:tcPr>
            <w:tcW w:w="3969" w:type="pct"/>
            <w:tcBorders>
              <w:top w:val="nil"/>
              <w:left w:val="nil"/>
              <w:bottom w:val="nil"/>
              <w:right w:val="nil"/>
            </w:tcBorders>
            <w:shd w:val="clear" w:color="auto" w:fill="auto"/>
            <w:noWrap/>
            <w:vAlign w:val="bottom"/>
          </w:tcPr>
          <w:p w:rsidR="00CD1029" w:rsidRPr="00CD1029" w:rsidRDefault="001E3459" w:rsidP="001E3459">
            <w:pPr>
              <w:tabs>
                <w:tab w:val="left" w:leader="dot" w:pos="7126"/>
              </w:tabs>
              <w:spacing w:before="0" w:after="0"/>
              <w:outlineLvl w:val="0"/>
              <w:rPr>
                <w:b/>
                <w:i/>
                <w:sz w:val="18"/>
                <w:szCs w:val="18"/>
              </w:rPr>
            </w:pPr>
            <w:r>
              <w:rPr>
                <w:sz w:val="18"/>
                <w:szCs w:val="18"/>
              </w:rPr>
              <w:t>Univeg America Co</w:t>
            </w:r>
            <w:r w:rsidRPr="00CD1029">
              <w:rPr>
                <w:sz w:val="18"/>
                <w:szCs w:val="18"/>
              </w:rPr>
              <w:tab/>
            </w:r>
          </w:p>
        </w:tc>
        <w:tc>
          <w:tcPr>
            <w:tcW w:w="1031" w:type="pct"/>
            <w:shd w:val="clear" w:color="auto" w:fill="auto"/>
            <w:vAlign w:val="bottom"/>
          </w:tcPr>
          <w:p w:rsidR="00CD1029" w:rsidRPr="00CD1029" w:rsidRDefault="001E3459" w:rsidP="00CD1029">
            <w:pPr>
              <w:spacing w:before="0" w:after="0"/>
              <w:jc w:val="right"/>
              <w:outlineLvl w:val="0"/>
              <w:rPr>
                <w:sz w:val="18"/>
                <w:szCs w:val="18"/>
              </w:rPr>
            </w:pPr>
            <w:r>
              <w:rPr>
                <w:sz w:val="18"/>
                <w:szCs w:val="18"/>
              </w:rPr>
              <w:t>100%</w:t>
            </w:r>
          </w:p>
        </w:tc>
      </w:tr>
    </w:tbl>
    <w:p w:rsidR="00526CA9" w:rsidRPr="00526CA9" w:rsidRDefault="00526CA9" w:rsidP="00526CA9">
      <w:r>
        <w:t>See also Section</w:t>
      </w:r>
      <w:r w:rsidR="002051AF">
        <w:t>s</w:t>
      </w:r>
      <w:r>
        <w:t xml:space="preserve"> 2.2.2.1 </w:t>
      </w:r>
      <w:r w:rsidR="002051AF">
        <w:t xml:space="preserve">and 2.3 </w:t>
      </w:r>
      <w:r>
        <w:t>of Part VI (</w:t>
      </w:r>
      <w:r>
        <w:rPr>
          <w:i/>
        </w:rPr>
        <w:t>Operating and financial review</w:t>
      </w:r>
      <w:r>
        <w:t>).</w:t>
      </w:r>
    </w:p>
    <w:p w:rsidR="003F0BC5" w:rsidRPr="00992199" w:rsidRDefault="003F0BC5" w:rsidP="00353B80">
      <w:pPr>
        <w:pStyle w:val="Firm5L2"/>
        <w:keepNext/>
      </w:pPr>
      <w:bookmarkStart w:id="20" w:name="_Toc420593840"/>
      <w:r w:rsidRPr="00992199">
        <w:t>Peatinvest</w:t>
      </w:r>
      <w:bookmarkEnd w:id="20"/>
    </w:p>
    <w:p w:rsidR="003F0BC5" w:rsidRPr="00992199" w:rsidRDefault="003F0BC5" w:rsidP="00353B80">
      <w:pPr>
        <w:pStyle w:val="Firm5L3"/>
        <w:keepNext/>
      </w:pPr>
      <w:r w:rsidRPr="00992199">
        <w:t>History</w:t>
      </w:r>
    </w:p>
    <w:p w:rsidR="003F0BC5" w:rsidRPr="00992199" w:rsidRDefault="003F0BC5" w:rsidP="003F0BC5">
      <w:pPr>
        <w:rPr>
          <w:szCs w:val="20"/>
        </w:rPr>
      </w:pPr>
      <w:r w:rsidRPr="00992199">
        <w:rPr>
          <w:szCs w:val="20"/>
        </w:rPr>
        <w:t>Peatinvest was incorporated on 1 October 1997 as a Belgian limited liability company (</w:t>
      </w:r>
      <w:r w:rsidRPr="00992199">
        <w:rPr>
          <w:i/>
          <w:szCs w:val="20"/>
        </w:rPr>
        <w:t>naamloze vennootschap / société anonyme</w:t>
      </w:r>
      <w:r w:rsidRPr="00992199">
        <w:rPr>
          <w:szCs w:val="20"/>
        </w:rPr>
        <w:t>) for an unlimited duration. The company is registered with the register of legal entities (</w:t>
      </w:r>
      <w:smartTag w:uri="urn:schemas-microsoft-com:office:smarttags" w:element="City">
        <w:r w:rsidRPr="00992199">
          <w:rPr>
            <w:szCs w:val="20"/>
          </w:rPr>
          <w:t>Ghent</w:t>
        </w:r>
      </w:smartTag>
      <w:r w:rsidRPr="00992199">
        <w:rPr>
          <w:szCs w:val="20"/>
        </w:rPr>
        <w:t xml:space="preserve">, division </w:t>
      </w:r>
      <w:smartTag w:uri="urn:schemas-microsoft-com:office:smarttags" w:element="City">
        <w:smartTag w:uri="urn:schemas-microsoft-com:office:smarttags" w:element="place">
          <w:r w:rsidRPr="00992199">
            <w:rPr>
              <w:szCs w:val="20"/>
            </w:rPr>
            <w:t>Ghent</w:t>
          </w:r>
        </w:smartTag>
      </w:smartTag>
      <w:r w:rsidRPr="00992199">
        <w:rPr>
          <w:szCs w:val="20"/>
        </w:rPr>
        <w:t>) under number 0461.693.373. Its registered seat is situated at Skaldenstraat 7</w:t>
      </w:r>
      <w:r w:rsidR="00334917">
        <w:rPr>
          <w:szCs w:val="20"/>
        </w:rPr>
        <w:t>A</w:t>
      </w:r>
      <w:r w:rsidRPr="00992199">
        <w:rPr>
          <w:szCs w:val="20"/>
        </w:rPr>
        <w:t xml:space="preserve">, 9042 </w:t>
      </w:r>
      <w:smartTag w:uri="urn:schemas-microsoft-com:office:smarttags" w:element="place">
        <w:smartTag w:uri="urn:schemas-microsoft-com:office:smarttags" w:element="City">
          <w:r w:rsidR="00334917">
            <w:rPr>
              <w:szCs w:val="20"/>
            </w:rPr>
            <w:t>Ghent</w:t>
          </w:r>
        </w:smartTag>
        <w:r w:rsidRPr="00992199">
          <w:rPr>
            <w:szCs w:val="20"/>
          </w:rPr>
          <w:t xml:space="preserve">, </w:t>
        </w:r>
        <w:smartTag w:uri="urn:schemas-microsoft-com:office:smarttags" w:element="country-region">
          <w:r w:rsidRPr="00992199">
            <w:rPr>
              <w:szCs w:val="20"/>
            </w:rPr>
            <w:t>Belgium</w:t>
          </w:r>
        </w:smartTag>
      </w:smartTag>
      <w:r w:rsidRPr="00992199">
        <w:rPr>
          <w:szCs w:val="20"/>
        </w:rPr>
        <w:t>.</w:t>
      </w:r>
    </w:p>
    <w:p w:rsidR="003F0BC5" w:rsidRPr="00992199" w:rsidRDefault="003F0BC5" w:rsidP="003F0BC5">
      <w:pPr>
        <w:rPr>
          <w:szCs w:val="20"/>
        </w:rPr>
      </w:pPr>
      <w:r w:rsidRPr="00992199">
        <w:rPr>
          <w:szCs w:val="20"/>
        </w:rPr>
        <w:t>Peatinvest is mainly active as holding company and service provider to its subsidiaries (such as marketing and IT (software and hardware), management, accounting and secretary advice and services). It also acts as commercial intermediary and marketing agent.</w:t>
      </w:r>
    </w:p>
    <w:p w:rsidR="003F0BC5" w:rsidRPr="00992199" w:rsidRDefault="003F0BC5" w:rsidP="003F0BC5">
      <w:pPr>
        <w:rPr>
          <w:szCs w:val="20"/>
        </w:rPr>
      </w:pPr>
      <w:r w:rsidRPr="00992199">
        <w:rPr>
          <w:szCs w:val="20"/>
        </w:rPr>
        <w:t xml:space="preserve">Peatinvest has eight subsidiaries in four different countries. Peatinvest’s Belgian subsidiaries are </w:t>
      </w:r>
      <w:smartTag w:uri="urn:schemas-microsoft-com:office:smarttags" w:element="place">
        <w:smartTag w:uri="urn:schemas-microsoft-com:office:smarttags" w:element="City">
          <w:r w:rsidRPr="00992199">
            <w:rPr>
              <w:szCs w:val="20"/>
            </w:rPr>
            <w:t>Peltracom</w:t>
          </w:r>
        </w:smartTag>
        <w:r w:rsidRPr="00992199">
          <w:rPr>
            <w:szCs w:val="20"/>
          </w:rPr>
          <w:t xml:space="preserve"> </w:t>
        </w:r>
        <w:smartTag w:uri="urn:schemas-microsoft-com:office:smarttags" w:element="State">
          <w:r w:rsidRPr="00992199">
            <w:rPr>
              <w:szCs w:val="20"/>
            </w:rPr>
            <w:t>NV</w:t>
          </w:r>
        </w:smartTag>
      </w:smartTag>
      <w:r w:rsidRPr="00992199">
        <w:rPr>
          <w:szCs w:val="20"/>
        </w:rPr>
        <w:t>, Agrofino Transport BVBA and Norland SA, the French subsidiaries are Humuland SAS and Peltracom France SAS, the Latvian subsidiaries are Misas Kudra AS and Enavas SIA and the Polish subsidiary is Hollas Spółka z ograniczoną odpowiedzialnością.</w:t>
      </w:r>
    </w:p>
    <w:p w:rsidR="003F0BC5" w:rsidRPr="00992199" w:rsidRDefault="003F0BC5" w:rsidP="003F0BC5">
      <w:pPr>
        <w:rPr>
          <w:szCs w:val="20"/>
        </w:rPr>
      </w:pPr>
      <w:r w:rsidRPr="00992199">
        <w:rPr>
          <w:szCs w:val="20"/>
        </w:rPr>
        <w:t xml:space="preserve">All these subsidiaries are fully owned (directly or indirectly) by Peatinvest, except for Misas </w:t>
      </w:r>
      <w:smartTag w:uri="urn:schemas-microsoft-com:office:smarttags" w:element="place">
        <w:smartTag w:uri="urn:schemas-microsoft-com:office:smarttags" w:element="City">
          <w:r w:rsidRPr="00992199">
            <w:rPr>
              <w:szCs w:val="20"/>
            </w:rPr>
            <w:t>Kudra</w:t>
          </w:r>
        </w:smartTag>
        <w:r w:rsidRPr="00992199">
          <w:rPr>
            <w:szCs w:val="20"/>
          </w:rPr>
          <w:t xml:space="preserve"> </w:t>
        </w:r>
        <w:smartTag w:uri="urn:schemas-microsoft-com:office:smarttags" w:element="State">
          <w:r w:rsidRPr="00992199">
            <w:rPr>
              <w:szCs w:val="20"/>
            </w:rPr>
            <w:t>AS</w:t>
          </w:r>
        </w:smartTag>
      </w:smartTag>
      <w:r w:rsidRPr="00992199">
        <w:rPr>
          <w:szCs w:val="20"/>
        </w:rPr>
        <w:t xml:space="preserve"> which is held by Peatinvest at 99.26% with the remainder being held by private individuals.</w:t>
      </w:r>
    </w:p>
    <w:p w:rsidR="003F0BC5" w:rsidRPr="00992199" w:rsidRDefault="003F0BC5" w:rsidP="00353B80">
      <w:pPr>
        <w:pStyle w:val="Firm5L3"/>
        <w:keepNext/>
      </w:pPr>
      <w:r w:rsidRPr="00992199">
        <w:t>Pre-transactional share capital and main shareholders</w:t>
      </w:r>
    </w:p>
    <w:p w:rsidR="003F0BC5" w:rsidRPr="00992199" w:rsidRDefault="003F0BC5" w:rsidP="003F0BC5">
      <w:pPr>
        <w:rPr>
          <w:szCs w:val="20"/>
        </w:rPr>
      </w:pPr>
      <w:r w:rsidRPr="00992199">
        <w:rPr>
          <w:szCs w:val="20"/>
        </w:rPr>
        <w:t>Peatinvest was acquired by Deprez Holding N</w:t>
      </w:r>
      <w:r w:rsidR="003752D4">
        <w:rPr>
          <w:szCs w:val="20"/>
        </w:rPr>
        <w:t>V in 2004. At the date of this P</w:t>
      </w:r>
      <w:r w:rsidRPr="00992199">
        <w:rPr>
          <w:szCs w:val="20"/>
        </w:rPr>
        <w:t xml:space="preserve">rospectus, Peatinvest is held for about 95.12% by Deprez Holding, which is itself controlled by </w:t>
      </w:r>
      <w:r w:rsidR="00334BBC">
        <w:rPr>
          <w:szCs w:val="20"/>
        </w:rPr>
        <w:t>Mr Hein Deprez</w:t>
      </w:r>
      <w:r w:rsidRPr="00992199">
        <w:rPr>
          <w:szCs w:val="20"/>
        </w:rPr>
        <w:t xml:space="preserve"> and for about 4.88%</w:t>
      </w:r>
      <w:r w:rsidR="003752D4">
        <w:rPr>
          <w:szCs w:val="20"/>
        </w:rPr>
        <w:t xml:space="preserve"> by</w:t>
      </w:r>
      <w:r w:rsidRPr="00992199">
        <w:rPr>
          <w:szCs w:val="20"/>
        </w:rPr>
        <w:t xml:space="preserve"> Peatinvest’s management.</w:t>
      </w:r>
    </w:p>
    <w:p w:rsidR="003F0BC5" w:rsidRPr="00992199" w:rsidRDefault="003F0BC5" w:rsidP="003F0BC5">
      <w:pPr>
        <w:rPr>
          <w:szCs w:val="20"/>
        </w:rPr>
      </w:pPr>
      <w:r w:rsidRPr="00992199">
        <w:rPr>
          <w:szCs w:val="20"/>
        </w:rPr>
        <w:t xml:space="preserve">Peatinvest was incorporated with a share capital of </w:t>
      </w:r>
      <w:r w:rsidR="00E53641">
        <w:rPr>
          <w:szCs w:val="20"/>
        </w:rPr>
        <w:t>EUR </w:t>
      </w:r>
      <w:r w:rsidRPr="00992199">
        <w:rPr>
          <w:szCs w:val="20"/>
        </w:rPr>
        <w:t>61</w:t>
      </w:r>
      <w:r w:rsidR="003752D4">
        <w:rPr>
          <w:szCs w:val="20"/>
        </w:rPr>
        <w:t>,</w:t>
      </w:r>
      <w:r w:rsidRPr="00992199">
        <w:rPr>
          <w:szCs w:val="20"/>
        </w:rPr>
        <w:t>973 represented by 2,500 shares without nominal value. The capital was increased and decreased on several occasions. The capital increases took place between 2003 and 2010 and relate amongst other things to contributions in kind of shares in Peltracom Potgrond Divisie NV and shares in Jamapeat NV (29 January 2003) (these entities are now merged with Peatinvest), contributions in cash and incorporation of the reserves (19 February 2003), a merger with Agrofino Holding NV (4 July 2005), a contribution in kind of the shares Peltracom France SAS (12 July 2005), a merger with Peltracom Potgrond Divisie NV (9 October 2006), a contribution in kind of receivables (18 December 2007) and incorporation of the reserves (26 August 2010).</w:t>
      </w:r>
    </w:p>
    <w:p w:rsidR="003F0BC5" w:rsidRPr="00992199" w:rsidRDefault="003F0BC5" w:rsidP="003F0BC5">
      <w:pPr>
        <w:rPr>
          <w:szCs w:val="20"/>
        </w:rPr>
      </w:pPr>
      <w:r w:rsidRPr="00992199">
        <w:rPr>
          <w:szCs w:val="20"/>
        </w:rPr>
        <w:t xml:space="preserve">The share capital of Peatinvest currently amounts to </w:t>
      </w:r>
      <w:r w:rsidR="00E53641">
        <w:rPr>
          <w:szCs w:val="20"/>
        </w:rPr>
        <w:t>EUR </w:t>
      </w:r>
      <w:r w:rsidRPr="00992199">
        <w:rPr>
          <w:szCs w:val="20"/>
        </w:rPr>
        <w:t>26,000,000 divided into 15,570 registered shares without nominal value. The share capital of Peatinvest is entirely paid-up.</w:t>
      </w:r>
    </w:p>
    <w:p w:rsidR="003F0BC5" w:rsidRPr="00992199" w:rsidRDefault="003F0BC5" w:rsidP="003F0BC5">
      <w:pPr>
        <w:rPr>
          <w:szCs w:val="20"/>
        </w:rPr>
      </w:pPr>
      <w:r w:rsidRPr="00992199">
        <w:rPr>
          <w:szCs w:val="20"/>
        </w:rPr>
        <w:t>The current articles of association of Peatinvest do not provide for categories of shares or for any restriction to the free transferability of the shares. There are no shareholders’ agreements in place at the level of Peatinvest.</w:t>
      </w:r>
    </w:p>
    <w:p w:rsidR="003F0BC5" w:rsidRPr="00992199" w:rsidRDefault="003F0BC5" w:rsidP="00353B80">
      <w:pPr>
        <w:pStyle w:val="Firm5L3"/>
        <w:keepNext/>
      </w:pPr>
      <w:r w:rsidRPr="00992199">
        <w:t>Corporate purpose</w:t>
      </w:r>
    </w:p>
    <w:p w:rsidR="003F0BC5" w:rsidRPr="00992199" w:rsidRDefault="003F0BC5" w:rsidP="003F0BC5">
      <w:pPr>
        <w:rPr>
          <w:szCs w:val="20"/>
        </w:rPr>
      </w:pPr>
      <w:r w:rsidRPr="00992199">
        <w:rPr>
          <w:szCs w:val="20"/>
        </w:rPr>
        <w:t xml:space="preserve">The corporate purpose of Peatinvest is set out in article 3 of its </w:t>
      </w:r>
      <w:r w:rsidR="0096076E">
        <w:rPr>
          <w:szCs w:val="20"/>
        </w:rPr>
        <w:t>articles of association</w:t>
      </w:r>
      <w:r w:rsidRPr="00992199">
        <w:rPr>
          <w:szCs w:val="20"/>
        </w:rPr>
        <w:t xml:space="preserve"> and reads as follows (in translation from the Dutch original):</w:t>
      </w:r>
    </w:p>
    <w:p w:rsidR="003F0BC5" w:rsidRPr="00992199" w:rsidRDefault="00BF553B" w:rsidP="003F0BC5">
      <w:pPr>
        <w:rPr>
          <w:i/>
          <w:szCs w:val="20"/>
        </w:rPr>
      </w:pPr>
      <w:r>
        <w:rPr>
          <w:szCs w:val="20"/>
        </w:rPr>
        <w:t>“</w:t>
      </w:r>
      <w:r w:rsidR="003F0BC5" w:rsidRPr="00992199">
        <w:rPr>
          <w:i/>
          <w:szCs w:val="20"/>
        </w:rPr>
        <w:t xml:space="preserve">The company has as purpose, as well in </w:t>
      </w:r>
      <w:smartTag w:uri="urn:schemas-microsoft-com:office:smarttags" w:element="country-region">
        <w:smartTag w:uri="urn:schemas-microsoft-com:office:smarttags" w:element="place">
          <w:r w:rsidR="003F0BC5" w:rsidRPr="00992199">
            <w:rPr>
              <w:i/>
              <w:szCs w:val="20"/>
            </w:rPr>
            <w:t>Belgium</w:t>
          </w:r>
        </w:smartTag>
      </w:smartTag>
      <w:r w:rsidR="003F0BC5" w:rsidRPr="00992199">
        <w:rPr>
          <w:i/>
          <w:szCs w:val="20"/>
        </w:rPr>
        <w:t xml:space="preserve"> as abroad:</w:t>
      </w:r>
    </w:p>
    <w:p w:rsidR="003F0BC5" w:rsidRPr="00992199" w:rsidRDefault="003F0BC5" w:rsidP="00694C4C">
      <w:pPr>
        <w:ind w:left="1440" w:hanging="720"/>
        <w:rPr>
          <w:i/>
          <w:szCs w:val="20"/>
        </w:rPr>
      </w:pPr>
      <w:r w:rsidRPr="00992199">
        <w:rPr>
          <w:i/>
          <w:szCs w:val="20"/>
        </w:rPr>
        <w:lastRenderedPageBreak/>
        <w:t xml:space="preserve">A. </w:t>
      </w:r>
      <w:r w:rsidRPr="00992199">
        <w:rPr>
          <w:i/>
          <w:szCs w:val="20"/>
        </w:rPr>
        <w:tab/>
      </w:r>
      <w:smartTag w:uri="urn:schemas-microsoft-com:office:smarttags" w:element="City">
        <w:smartTag w:uri="urn:schemas-microsoft-com:office:smarttags" w:element="place">
          <w:r w:rsidRPr="00992199">
            <w:rPr>
              <w:i/>
              <w:szCs w:val="20"/>
            </w:rPr>
            <w:t>Enterprise</w:t>
          </w:r>
        </w:smartTag>
      </w:smartTag>
      <w:r w:rsidRPr="00992199">
        <w:rPr>
          <w:i/>
          <w:szCs w:val="20"/>
        </w:rPr>
        <w:t xml:space="preserve"> for the management of investments and estates.</w:t>
      </w:r>
    </w:p>
    <w:p w:rsidR="003F0BC5" w:rsidRPr="00992199" w:rsidRDefault="003F0BC5" w:rsidP="00694C4C">
      <w:pPr>
        <w:ind w:left="1440" w:hanging="720"/>
        <w:rPr>
          <w:i/>
          <w:szCs w:val="20"/>
        </w:rPr>
      </w:pPr>
      <w:r w:rsidRPr="00992199">
        <w:rPr>
          <w:i/>
          <w:szCs w:val="20"/>
        </w:rPr>
        <w:t xml:space="preserve">B. </w:t>
      </w:r>
      <w:r w:rsidRPr="00992199">
        <w:rPr>
          <w:i/>
          <w:szCs w:val="20"/>
        </w:rPr>
        <w:tab/>
        <w:t>The participation, in any form whatsoever, in the incorporation, development, transformation and control of all enterprises, Belgian or foreign, commercial, financial, industrial or other; the acquisition of any titles or rights by way of participation, contribution, subscription, purchase, call option, trade, or in any other way.</w:t>
      </w:r>
    </w:p>
    <w:p w:rsidR="003F0BC5" w:rsidRPr="00992199" w:rsidRDefault="003F0BC5" w:rsidP="00694C4C">
      <w:pPr>
        <w:ind w:left="1440" w:hanging="720"/>
        <w:rPr>
          <w:i/>
          <w:szCs w:val="20"/>
        </w:rPr>
      </w:pPr>
      <w:r w:rsidRPr="00992199">
        <w:rPr>
          <w:i/>
          <w:szCs w:val="20"/>
        </w:rPr>
        <w:t xml:space="preserve">C. </w:t>
      </w:r>
      <w:r w:rsidRPr="00992199">
        <w:rPr>
          <w:i/>
          <w:szCs w:val="20"/>
        </w:rPr>
        <w:tab/>
        <w:t>Intermediary in the trading, as broker in goods, the independent sales representative and as agent.</w:t>
      </w:r>
    </w:p>
    <w:p w:rsidR="003F0BC5" w:rsidRPr="00992199" w:rsidRDefault="003F0BC5" w:rsidP="003F0BC5">
      <w:pPr>
        <w:rPr>
          <w:i/>
          <w:szCs w:val="20"/>
        </w:rPr>
      </w:pPr>
      <w:r w:rsidRPr="00992199">
        <w:rPr>
          <w:i/>
          <w:szCs w:val="20"/>
        </w:rPr>
        <w:t>The company may carry out all commercial, industrial, financial and immovable transactions, for its own account as well as for the account of third parties which are of a nature to directly or indirectly facilitate the realisation of its corporate purpose, in Belgium as well as abroad.</w:t>
      </w:r>
    </w:p>
    <w:p w:rsidR="003F0BC5" w:rsidRPr="00992199" w:rsidRDefault="003F0BC5" w:rsidP="003F0BC5">
      <w:pPr>
        <w:rPr>
          <w:i/>
          <w:szCs w:val="20"/>
        </w:rPr>
      </w:pPr>
      <w:r w:rsidRPr="00992199">
        <w:rPr>
          <w:i/>
          <w:szCs w:val="20"/>
        </w:rPr>
        <w:t>It may co-operate with or participate, in any way whatsoever, in all enterprises or companies with the same, similar or related corporate purpose or of a nature to supply raw materials or to facilitate the sale of its products.</w:t>
      </w:r>
    </w:p>
    <w:p w:rsidR="003F0BC5" w:rsidRPr="00992199" w:rsidRDefault="003F0BC5" w:rsidP="003F0BC5">
      <w:pPr>
        <w:rPr>
          <w:i/>
          <w:szCs w:val="20"/>
        </w:rPr>
      </w:pPr>
      <w:r w:rsidRPr="00992199">
        <w:rPr>
          <w:i/>
          <w:szCs w:val="20"/>
        </w:rPr>
        <w:t>Such participation can take place by way of subscription to or acquisition of shares, contribution, merger, absorption, split or in any way whatsoever.</w:t>
      </w:r>
    </w:p>
    <w:p w:rsidR="003F0BC5" w:rsidRPr="00992199" w:rsidRDefault="003F0BC5" w:rsidP="003F0BC5">
      <w:pPr>
        <w:rPr>
          <w:i/>
          <w:szCs w:val="20"/>
        </w:rPr>
      </w:pPr>
      <w:r w:rsidRPr="00992199">
        <w:rPr>
          <w:i/>
          <w:szCs w:val="20"/>
        </w:rPr>
        <w:t>The company may also carry out the mandates of director or liquidator in other companies.</w:t>
      </w:r>
    </w:p>
    <w:p w:rsidR="003F0BC5" w:rsidRPr="00992199" w:rsidRDefault="003F0BC5" w:rsidP="00694C4C">
      <w:pPr>
        <w:ind w:left="1440" w:hanging="720"/>
        <w:rPr>
          <w:i/>
          <w:szCs w:val="20"/>
        </w:rPr>
      </w:pPr>
      <w:r w:rsidRPr="00992199">
        <w:rPr>
          <w:i/>
          <w:szCs w:val="20"/>
        </w:rPr>
        <w:t>D.</w:t>
      </w:r>
      <w:r w:rsidRPr="00992199">
        <w:rPr>
          <w:i/>
          <w:szCs w:val="20"/>
        </w:rPr>
        <w:tab/>
        <w:t>Enterprise trading in immovable assets, which includes inter alia the acquisition, the transfer, the management, the exploitation, the valorisation, the parcelling, the ordering, the rent, the lease, the having built or rebuilt, the procuration. Intermediary, the brokering and/or trading in immovable assets in its broadest sense, including immovable leasing.</w:t>
      </w:r>
    </w:p>
    <w:p w:rsidR="003F0BC5" w:rsidRPr="00992199" w:rsidRDefault="003F0BC5" w:rsidP="00694C4C">
      <w:pPr>
        <w:ind w:left="1440" w:hanging="720"/>
        <w:rPr>
          <w:i/>
          <w:szCs w:val="20"/>
        </w:rPr>
      </w:pPr>
      <w:r w:rsidRPr="00992199">
        <w:rPr>
          <w:i/>
          <w:szCs w:val="20"/>
        </w:rPr>
        <w:t xml:space="preserve">E. </w:t>
      </w:r>
      <w:r w:rsidRPr="00992199">
        <w:rPr>
          <w:i/>
          <w:szCs w:val="20"/>
        </w:rPr>
        <w:tab/>
        <w:t>The company can grant guarantees and pledge or mortgage immovable assets in respect of obligations assumed by third parties.</w:t>
      </w:r>
    </w:p>
    <w:p w:rsidR="003F0BC5" w:rsidRPr="00992199" w:rsidRDefault="003F0BC5" w:rsidP="003F0BC5">
      <w:pPr>
        <w:rPr>
          <w:i/>
          <w:szCs w:val="20"/>
        </w:rPr>
      </w:pPr>
      <w:r w:rsidRPr="00992199">
        <w:rPr>
          <w:i/>
          <w:szCs w:val="20"/>
        </w:rPr>
        <w:t>It can also pledge all its other assets, including its business, and grant security letters in favour of third parties.</w:t>
      </w:r>
    </w:p>
    <w:p w:rsidR="003F0BC5" w:rsidRPr="00992199" w:rsidRDefault="003F0BC5" w:rsidP="003F0BC5">
      <w:pPr>
        <w:rPr>
          <w:szCs w:val="20"/>
        </w:rPr>
      </w:pPr>
      <w:r w:rsidRPr="00992199">
        <w:rPr>
          <w:i/>
          <w:szCs w:val="20"/>
        </w:rPr>
        <w:t>The study of the size of the market of certain products, the product awareness and purchasing habits, with a view to the furthering of sales and the development of new products; the provision of advice and practical support to companies in connection with Public Relations and Communication; finding, selecting, referring and placing of personnel for the benefit of affiliated companies within the group: formulating of job descriptions, testing the suitability of applicants, retracing references, etc; the provision of advice and practical support to affiliated companies in the area of planning, organisation and efficiency and supervision, the providing of information to management, etc.; the provision of advice on sorts of computers (hardware) and their configuration and the application of related programmes (software): analysing of the needs and problems of the user and the offering of the best solution; the analysing, designing and programing and potentially selling of ready-to-use systems, including systems of automatic data – identification: development, production, delivery / assembly of documentation on standard or specialised programmes; the provision of advice relating to IT programmes; the provision of support relating to the application of programmes; the maintenance and repair of computers and ancillary equipment, including network management; the calculation of costs and benefits on the proposed measures in the area of planning, organisation and efficiency, etc.; general audit activities; the provision of advice to affiliated companies in the area of management; miscellaneous activities in connection with administration; translating services and interpreting; the provision of advice in connection with accounting and organisation of accounting services for the account of affiliated companies in the group; the opening, holding, centralising and closing of bookings, suited for the preparing of the financials, for the account of affiliated companies in the group, including consolidation bookings; the steno graphing; the performing of dactylography work; the performing of miscellaneous secretariat work; telephone answering for the account of affiliated companies in the group</w:t>
      </w:r>
      <w:r w:rsidRPr="00992199">
        <w:rPr>
          <w:szCs w:val="20"/>
        </w:rPr>
        <w:t>.</w:t>
      </w:r>
      <w:r w:rsidR="00BF553B">
        <w:rPr>
          <w:szCs w:val="20"/>
        </w:rPr>
        <w:t>”</w:t>
      </w:r>
    </w:p>
    <w:p w:rsidR="003F0BC5" w:rsidRPr="00992199" w:rsidRDefault="003F0BC5" w:rsidP="00353B80">
      <w:pPr>
        <w:pStyle w:val="Firm5L3"/>
        <w:keepNext/>
      </w:pPr>
      <w:r w:rsidRPr="00992199">
        <w:t>Business overview</w:t>
      </w:r>
    </w:p>
    <w:p w:rsidR="003F0BC5" w:rsidRPr="00992199" w:rsidRDefault="003F0BC5" w:rsidP="00353B80">
      <w:pPr>
        <w:pStyle w:val="Firm5L4"/>
        <w:keepNext/>
      </w:pPr>
      <w:r w:rsidRPr="00992199">
        <w:t>Footprint</w:t>
      </w:r>
    </w:p>
    <w:p w:rsidR="003F0BC5" w:rsidRPr="00992199" w:rsidRDefault="0096076E" w:rsidP="003F0BC5">
      <w:pPr>
        <w:rPr>
          <w:szCs w:val="20"/>
        </w:rPr>
      </w:pPr>
      <w:r>
        <w:rPr>
          <w:szCs w:val="20"/>
        </w:rPr>
        <w:t xml:space="preserve">The </w:t>
      </w:r>
      <w:r w:rsidR="003F0BC5" w:rsidRPr="00992199">
        <w:rPr>
          <w:szCs w:val="20"/>
        </w:rPr>
        <w:t xml:space="preserve">Peatinvest </w:t>
      </w:r>
      <w:r>
        <w:rPr>
          <w:szCs w:val="20"/>
        </w:rPr>
        <w:t>Group is</w:t>
      </w:r>
      <w:r w:rsidR="003F0BC5" w:rsidRPr="00992199">
        <w:rPr>
          <w:szCs w:val="20"/>
        </w:rPr>
        <w:t xml:space="preserve"> involved in the horticultural sector for 30 years. Its key products consist of a variety of growing media for gardening and growing, both for ornamental plants and for fruit and vegetable crops. Peatinvest supplements its key products with related products such as various mulching products (</w:t>
      </w:r>
      <w:r w:rsidR="00A431F0" w:rsidRPr="00A431F0">
        <w:rPr>
          <w:i/>
          <w:szCs w:val="20"/>
        </w:rPr>
        <w:t>e.g.,</w:t>
      </w:r>
      <w:r w:rsidR="00A431F0">
        <w:rPr>
          <w:szCs w:val="20"/>
        </w:rPr>
        <w:t xml:space="preserve"> </w:t>
      </w:r>
      <w:r w:rsidR="003F0BC5" w:rsidRPr="00992199">
        <w:rPr>
          <w:szCs w:val="20"/>
        </w:rPr>
        <w:t>wood chips, coconut shells, decorative bark, straw), decorative gardening products (slate stone mulch, expanded clay aggregate), wood pellets and charcoal.</w:t>
      </w:r>
    </w:p>
    <w:p w:rsidR="003F0BC5" w:rsidRPr="00992199" w:rsidRDefault="003F0BC5" w:rsidP="003F0BC5">
      <w:pPr>
        <w:rPr>
          <w:szCs w:val="20"/>
        </w:rPr>
      </w:pPr>
      <w:r w:rsidRPr="00992199">
        <w:rPr>
          <w:szCs w:val="20"/>
        </w:rPr>
        <w:t>The Peatinvest Group has nine sites in four countries (</w:t>
      </w:r>
      <w:smartTag w:uri="urn:schemas-microsoft-com:office:smarttags" w:element="country-region">
        <w:r w:rsidRPr="00992199">
          <w:rPr>
            <w:szCs w:val="20"/>
          </w:rPr>
          <w:t>Belgium</w:t>
        </w:r>
      </w:smartTag>
      <w:r w:rsidRPr="00992199">
        <w:rPr>
          <w:szCs w:val="20"/>
        </w:rPr>
        <w:t xml:space="preserve">, </w:t>
      </w:r>
      <w:smartTag w:uri="urn:schemas-microsoft-com:office:smarttags" w:element="country-region">
        <w:r w:rsidRPr="00992199">
          <w:rPr>
            <w:szCs w:val="20"/>
          </w:rPr>
          <w:t>France</w:t>
        </w:r>
      </w:smartTag>
      <w:r w:rsidRPr="00992199">
        <w:rPr>
          <w:szCs w:val="20"/>
        </w:rPr>
        <w:t xml:space="preserve">, </w:t>
      </w:r>
      <w:smartTag w:uri="urn:schemas-microsoft-com:office:smarttags" w:element="country-region">
        <w:r w:rsidRPr="00992199">
          <w:rPr>
            <w:szCs w:val="20"/>
          </w:rPr>
          <w:t>Latvia</w:t>
        </w:r>
      </w:smartTag>
      <w:r w:rsidRPr="00992199">
        <w:rPr>
          <w:szCs w:val="20"/>
        </w:rPr>
        <w:t xml:space="preserve"> and </w:t>
      </w:r>
      <w:smartTag w:uri="urn:schemas-microsoft-com:office:smarttags" w:element="country-region">
        <w:smartTag w:uri="urn:schemas-microsoft-com:office:smarttags" w:element="place">
          <w:r w:rsidRPr="00992199">
            <w:rPr>
              <w:szCs w:val="20"/>
            </w:rPr>
            <w:t>Poland</w:t>
          </w:r>
        </w:smartTag>
      </w:smartTag>
      <w:r w:rsidRPr="00992199">
        <w:rPr>
          <w:szCs w:val="20"/>
        </w:rPr>
        <w:t xml:space="preserve">) and around 330 employees. It owns, through its Latvian and Polish subsidiaries, 1,454 ha of peat fields in </w:t>
      </w:r>
      <w:smartTag w:uri="urn:schemas-microsoft-com:office:smarttags" w:element="country-region">
        <w:r w:rsidRPr="00992199">
          <w:rPr>
            <w:szCs w:val="20"/>
          </w:rPr>
          <w:t>Latvia</w:t>
        </w:r>
      </w:smartTag>
      <w:r w:rsidRPr="00992199">
        <w:rPr>
          <w:szCs w:val="20"/>
        </w:rPr>
        <w:t xml:space="preserve"> and </w:t>
      </w:r>
      <w:smartTag w:uri="urn:schemas-microsoft-com:office:smarttags" w:element="country-region">
        <w:smartTag w:uri="urn:schemas-microsoft-com:office:smarttags" w:element="place">
          <w:r w:rsidRPr="00992199">
            <w:rPr>
              <w:szCs w:val="20"/>
            </w:rPr>
            <w:t>Poland</w:t>
          </w:r>
        </w:smartTag>
      </w:smartTag>
      <w:r w:rsidRPr="00992199">
        <w:rPr>
          <w:szCs w:val="20"/>
        </w:rPr>
        <w:t xml:space="preserve"> to </w:t>
      </w:r>
      <w:r w:rsidRPr="00992199">
        <w:rPr>
          <w:szCs w:val="20"/>
        </w:rPr>
        <w:lastRenderedPageBreak/>
        <w:t>guarantee the continuous supply of top-quality raw materials. It has an annual production of 1,500,000 m³ and supplies growers throughout the world with a wide range of substrates for growing plants, fruit and vegetables marketed under the Peltracom and Aura brand for the professional market and under the Agrofino brand for the hobby market. In addition, the Peatinvest Group produces peat, bark and soil improvers.</w:t>
      </w:r>
    </w:p>
    <w:p w:rsidR="0089383D" w:rsidRDefault="0089383D" w:rsidP="00353B80">
      <w:pPr>
        <w:pStyle w:val="Firm5L4"/>
        <w:keepNext/>
      </w:pPr>
      <w:r>
        <w:t>Strategy</w:t>
      </w:r>
    </w:p>
    <w:p w:rsidR="0089383D" w:rsidRDefault="0089383D" w:rsidP="0089383D">
      <w:r>
        <w:t>The mission of the Peatinvest Group is to become a leading European, vertically integrated growing media producer. Building on its experience and know-how, it will continue to seek to sell an extensive range of highly qualitative and innovative solutions, both in terms of products and services, customised to its clients both in the B2B and B2C markets.</w:t>
      </w:r>
      <w:r w:rsidR="00F13D58">
        <w:t xml:space="preserve"> </w:t>
      </w:r>
      <w:r>
        <w:t>It seeks to build long-term relations with its suppliers and customers since this optimises its customised, high-quality product approach.</w:t>
      </w:r>
      <w:r w:rsidR="00F13D58">
        <w:t xml:space="preserve"> </w:t>
      </w:r>
      <w:r>
        <w:t>The Peatinvest Group seeks to produce and source its products with respect for people and the environment.</w:t>
      </w:r>
      <w:r w:rsidR="00F13D58">
        <w:t xml:space="preserve"> </w:t>
      </w:r>
      <w:r>
        <w:t>In the next years, the Peatinvest Group will seek to grow organically in all of its current markets and continue to build on its long-term relationships with many of its suppliers, customers and dealers.</w:t>
      </w:r>
      <w:r w:rsidR="00F13D58">
        <w:t xml:space="preserve"> </w:t>
      </w:r>
      <w:r>
        <w:t>It may also consider selected acquisitions where appropriate.</w:t>
      </w:r>
    </w:p>
    <w:p w:rsidR="003F0BC5" w:rsidRPr="00992199" w:rsidRDefault="003F0BC5" w:rsidP="00353B80">
      <w:pPr>
        <w:pStyle w:val="Firm5L4"/>
        <w:keepNext/>
      </w:pPr>
      <w:r w:rsidRPr="00992199">
        <w:t>Value chain</w:t>
      </w:r>
    </w:p>
    <w:p w:rsidR="003F0BC5" w:rsidRPr="00992199" w:rsidRDefault="003F0BC5" w:rsidP="003F0BC5">
      <w:pPr>
        <w:rPr>
          <w:szCs w:val="20"/>
        </w:rPr>
      </w:pPr>
      <w:r w:rsidRPr="00992199">
        <w:rPr>
          <w:szCs w:val="20"/>
        </w:rPr>
        <w:t>The Peatinvest Group’s supply chain is vertically integrated in order to ensure a timely supply of the raw materials and to monitor their quality. This integration consists in the following main steps.</w:t>
      </w:r>
    </w:p>
    <w:p w:rsidR="003F0BC5" w:rsidRPr="00992199" w:rsidRDefault="003F0BC5" w:rsidP="00934BA4">
      <w:pPr>
        <w:pStyle w:val="BulletsL1"/>
      </w:pPr>
      <w:r w:rsidRPr="00992199">
        <w:t>Raw material sourcing</w:t>
      </w:r>
    </w:p>
    <w:p w:rsidR="003F0BC5" w:rsidRPr="00992199" w:rsidRDefault="003F0BC5" w:rsidP="00F35405">
      <w:pPr>
        <w:widowControl w:val="0"/>
        <w:autoSpaceDE w:val="0"/>
        <w:autoSpaceDN w:val="0"/>
        <w:adjustRightInd w:val="0"/>
        <w:ind w:left="720"/>
        <w:rPr>
          <w:szCs w:val="20"/>
        </w:rPr>
      </w:pPr>
      <w:r w:rsidRPr="00992199">
        <w:rPr>
          <w:szCs w:val="20"/>
        </w:rPr>
        <w:t xml:space="preserve">Most of the peat used in the production process is either extracted from peat bogs licensed to the Peatinvest’s subsidiaries in </w:t>
      </w:r>
      <w:smartTag w:uri="urn:schemas-microsoft-com:office:smarttags" w:element="country-region">
        <w:r w:rsidRPr="00992199">
          <w:rPr>
            <w:szCs w:val="20"/>
          </w:rPr>
          <w:t>Poland</w:t>
        </w:r>
      </w:smartTag>
      <w:r w:rsidRPr="00992199">
        <w:rPr>
          <w:szCs w:val="20"/>
        </w:rPr>
        <w:t xml:space="preserve"> and </w:t>
      </w:r>
      <w:smartTag w:uri="urn:schemas-microsoft-com:office:smarttags" w:element="country-region">
        <w:smartTag w:uri="urn:schemas-microsoft-com:office:smarttags" w:element="place">
          <w:r w:rsidRPr="00992199">
            <w:rPr>
              <w:szCs w:val="20"/>
            </w:rPr>
            <w:t>Latvia</w:t>
          </w:r>
        </w:smartTag>
      </w:smartTag>
      <w:r w:rsidRPr="00992199">
        <w:rPr>
          <w:szCs w:val="20"/>
        </w:rPr>
        <w:t>, or obtained from long lasting supply partners working closely with the Peatinvest Group.</w:t>
      </w:r>
    </w:p>
    <w:p w:rsidR="003F0BC5" w:rsidRPr="00992199" w:rsidRDefault="003752D4" w:rsidP="00F35405">
      <w:pPr>
        <w:widowControl w:val="0"/>
        <w:autoSpaceDE w:val="0"/>
        <w:autoSpaceDN w:val="0"/>
        <w:adjustRightInd w:val="0"/>
        <w:ind w:left="720"/>
        <w:rPr>
          <w:szCs w:val="20"/>
        </w:rPr>
      </w:pPr>
      <w:r>
        <w:rPr>
          <w:szCs w:val="20"/>
        </w:rPr>
        <w:t>The Peatinvest G</w:t>
      </w:r>
      <w:r w:rsidR="003F0BC5" w:rsidRPr="00992199">
        <w:rPr>
          <w:szCs w:val="20"/>
        </w:rPr>
        <w:t>roup also imports specialty raw materials (such as Irish or German peat) from third parties, as well as bark, charcoal, wood pellets and other non-core products</w:t>
      </w:r>
      <w:r w:rsidR="0011360E">
        <w:rPr>
          <w:szCs w:val="20"/>
        </w:rPr>
        <w:t>.</w:t>
      </w:r>
    </w:p>
    <w:p w:rsidR="003F0BC5" w:rsidRPr="00992199" w:rsidRDefault="003F0BC5" w:rsidP="00934BA4">
      <w:pPr>
        <w:pStyle w:val="BulletsL1"/>
      </w:pPr>
      <w:r w:rsidRPr="00992199">
        <w:t>Transport</w:t>
      </w:r>
    </w:p>
    <w:p w:rsidR="003F0BC5" w:rsidRPr="00992199" w:rsidRDefault="003F0BC5" w:rsidP="00F35405">
      <w:pPr>
        <w:widowControl w:val="0"/>
        <w:autoSpaceDE w:val="0"/>
        <w:autoSpaceDN w:val="0"/>
        <w:adjustRightInd w:val="0"/>
        <w:ind w:left="720"/>
        <w:rPr>
          <w:szCs w:val="20"/>
        </w:rPr>
      </w:pPr>
      <w:r w:rsidRPr="00992199">
        <w:rPr>
          <w:szCs w:val="20"/>
        </w:rPr>
        <w:t xml:space="preserve">The peat and other specialty raw materials are transported in bulk from extraction fields to the production plants either by small trains in </w:t>
      </w:r>
      <w:smartTag w:uri="urn:schemas-microsoft-com:office:smarttags" w:element="country-region">
        <w:r w:rsidRPr="00992199">
          <w:rPr>
            <w:szCs w:val="20"/>
          </w:rPr>
          <w:t>Poland</w:t>
        </w:r>
      </w:smartTag>
      <w:r w:rsidRPr="00992199">
        <w:rPr>
          <w:szCs w:val="20"/>
        </w:rPr>
        <w:t xml:space="preserve"> or by ship or truck to </w:t>
      </w:r>
      <w:smartTag w:uri="urn:schemas-microsoft-com:office:smarttags" w:element="place">
        <w:r w:rsidRPr="00992199">
          <w:rPr>
            <w:szCs w:val="20"/>
          </w:rPr>
          <w:t>Western Europe</w:t>
        </w:r>
      </w:smartTag>
      <w:r w:rsidRPr="00992199">
        <w:rPr>
          <w:szCs w:val="20"/>
        </w:rPr>
        <w:t xml:space="preserve">. The specialty raw materials are also transported by ship or train to </w:t>
      </w:r>
      <w:smartTag w:uri="urn:schemas-microsoft-com:office:smarttags" w:element="place">
        <w:r w:rsidRPr="00992199">
          <w:rPr>
            <w:szCs w:val="20"/>
          </w:rPr>
          <w:t>Western Europe</w:t>
        </w:r>
      </w:smartTag>
      <w:r w:rsidRPr="00992199">
        <w:rPr>
          <w:szCs w:val="20"/>
        </w:rPr>
        <w:t>.</w:t>
      </w:r>
    </w:p>
    <w:p w:rsidR="003F0BC5" w:rsidRPr="00992199" w:rsidRDefault="003F0BC5" w:rsidP="00934BA4">
      <w:pPr>
        <w:pStyle w:val="BulletsL1"/>
      </w:pPr>
      <w:r w:rsidRPr="00992199">
        <w:t>Production</w:t>
      </w:r>
    </w:p>
    <w:p w:rsidR="003F0BC5" w:rsidRPr="00992199" w:rsidRDefault="003F0BC5" w:rsidP="00F35405">
      <w:pPr>
        <w:widowControl w:val="0"/>
        <w:autoSpaceDE w:val="0"/>
        <w:autoSpaceDN w:val="0"/>
        <w:adjustRightInd w:val="0"/>
        <w:ind w:left="720"/>
        <w:rPr>
          <w:szCs w:val="20"/>
        </w:rPr>
      </w:pPr>
      <w:r w:rsidRPr="00992199">
        <w:rPr>
          <w:szCs w:val="20"/>
        </w:rPr>
        <w:t>Raw materials are then processed and screened in the Peatinvest Group’s production plants located in Belgium, France, Poland and Latvia before being assembled and mixed with various additives into growing media products according to the end customers’ needs, and packed for distribution to end customers.</w:t>
      </w:r>
    </w:p>
    <w:p w:rsidR="003F0BC5" w:rsidRPr="00992199" w:rsidRDefault="003F0BC5" w:rsidP="00934BA4">
      <w:pPr>
        <w:pStyle w:val="BulletsL1"/>
      </w:pPr>
      <w:r w:rsidRPr="00992199">
        <w:t>Distribution</w:t>
      </w:r>
    </w:p>
    <w:p w:rsidR="003F0BC5" w:rsidRPr="00992199" w:rsidRDefault="003F0BC5" w:rsidP="00F35405">
      <w:pPr>
        <w:widowControl w:val="0"/>
        <w:autoSpaceDE w:val="0"/>
        <w:autoSpaceDN w:val="0"/>
        <w:adjustRightInd w:val="0"/>
        <w:ind w:left="720"/>
        <w:rPr>
          <w:szCs w:val="20"/>
        </w:rPr>
      </w:pPr>
      <w:r w:rsidRPr="00992199">
        <w:rPr>
          <w:szCs w:val="20"/>
        </w:rPr>
        <w:t>The distribution of the products is then managed by the Peatinvest Group to the domestic, professional B2B-market by using Peatinvest’s o</w:t>
      </w:r>
      <w:r w:rsidR="003752D4">
        <w:rPr>
          <w:szCs w:val="20"/>
        </w:rPr>
        <w:t>wn fleet of walking floor truck.</w:t>
      </w:r>
    </w:p>
    <w:p w:rsidR="003F0BC5" w:rsidRPr="00992199" w:rsidRDefault="003F0BC5" w:rsidP="00F35405">
      <w:pPr>
        <w:widowControl w:val="0"/>
        <w:autoSpaceDE w:val="0"/>
        <w:autoSpaceDN w:val="0"/>
        <w:adjustRightInd w:val="0"/>
        <w:ind w:left="720"/>
        <w:rPr>
          <w:szCs w:val="20"/>
        </w:rPr>
      </w:pPr>
      <w:r w:rsidRPr="00992199">
        <w:rPr>
          <w:szCs w:val="20"/>
        </w:rPr>
        <w:t>The consumer market (B2C) is supplied through subcontracted transport between the production plants (or any of the logistical platforms of the Peatinvest Group) and the distribution platform of the retailer.</w:t>
      </w:r>
    </w:p>
    <w:p w:rsidR="001E3459" w:rsidRPr="00992199" w:rsidRDefault="001E3459" w:rsidP="00353B80">
      <w:pPr>
        <w:pStyle w:val="Firm5L4"/>
        <w:keepNext/>
      </w:pPr>
      <w:r w:rsidRPr="00992199">
        <w:t>Research and development</w:t>
      </w:r>
    </w:p>
    <w:p w:rsidR="001E3459" w:rsidRPr="00992199" w:rsidRDefault="001E3459" w:rsidP="001E3459">
      <w:pPr>
        <w:rPr>
          <w:szCs w:val="20"/>
        </w:rPr>
      </w:pPr>
      <w:r w:rsidRPr="00992199">
        <w:rPr>
          <w:szCs w:val="20"/>
        </w:rPr>
        <w:t>The R&amp;D team of Peatinvest team is actively involved in the development of innovative and sustainable growing media to give growers the potential to differentiate in order to increase added value in the value chain of fruit and vegetables. Developing innovative substrates for growing fruit and vegetable in a sustainable way with respect for the environment (less water and energy and organic farming), local for local (urban farming); reducing the use of plant protection products leading to reduced use of pesticides and lower Maximum Residue Limits (MRL) values in the end product via integrated disease control. Moreover, the R&amp;D t</w:t>
      </w:r>
      <w:r>
        <w:rPr>
          <w:szCs w:val="20"/>
        </w:rPr>
        <w:t>e</w:t>
      </w:r>
      <w:r w:rsidRPr="00992199">
        <w:rPr>
          <w:szCs w:val="20"/>
        </w:rPr>
        <w:t>am aims at giving growers the potential to differentiate via production methods in order to produce high quality, tasteful fruit and vegetable taking into account aspects such as a longer shelf life, local for local, higher yields per hectare, etc.</w:t>
      </w:r>
    </w:p>
    <w:p w:rsidR="001E3459" w:rsidRPr="00992199" w:rsidRDefault="001E3459" w:rsidP="001E3459">
      <w:pPr>
        <w:rPr>
          <w:szCs w:val="20"/>
        </w:rPr>
      </w:pPr>
      <w:r w:rsidRPr="00992199">
        <w:rPr>
          <w:szCs w:val="20"/>
        </w:rPr>
        <w:t>Other fields of research include developing biodegradable substrates for vegetables, deploying micro-organisms, research into the applicability of renewable local available raw materials such as compost or coconut and wood fiber and the use of new types of fertilisers and additives. Also with regard to the production technology much research is carried out in order to improve continuously the quality and the efficiency of the production. Further, know-how developed for professional B2B clients is also used in the development of products for the retail market and private labels.</w:t>
      </w:r>
    </w:p>
    <w:p w:rsidR="003F0BC5" w:rsidRPr="001E3459" w:rsidRDefault="001E3459" w:rsidP="003F0BC5">
      <w:r w:rsidRPr="001E3459">
        <w:rPr>
          <w:szCs w:val="20"/>
        </w:rPr>
        <w:lastRenderedPageBreak/>
        <w:t>The</w:t>
      </w:r>
      <w:r w:rsidRPr="00992199">
        <w:t xml:space="preserve"> R&amp;D team consists of approximately five full time equivalents centralising the research efforts and the contacts with res</w:t>
      </w:r>
      <w:r>
        <w:t>earch centres and universities.</w:t>
      </w:r>
    </w:p>
    <w:p w:rsidR="003F0BC5" w:rsidRPr="00992199" w:rsidRDefault="003F0BC5" w:rsidP="00353B80">
      <w:pPr>
        <w:pStyle w:val="Firm5L3"/>
        <w:keepNext/>
        <w:keepLines/>
      </w:pPr>
      <w:r w:rsidRPr="00992199">
        <w:t>Principal activities and markets</w:t>
      </w:r>
    </w:p>
    <w:p w:rsidR="003F0BC5" w:rsidRPr="00992199" w:rsidRDefault="003F0BC5" w:rsidP="00353B80">
      <w:pPr>
        <w:pStyle w:val="Firm5L4"/>
        <w:keepNext/>
        <w:keepLines/>
      </w:pPr>
      <w:r w:rsidRPr="00992199">
        <w:t>Customers</w:t>
      </w:r>
    </w:p>
    <w:p w:rsidR="003F0BC5" w:rsidRPr="00992199" w:rsidRDefault="005926B8" w:rsidP="003F0BC5">
      <w:pPr>
        <w:rPr>
          <w:szCs w:val="20"/>
        </w:rPr>
      </w:pPr>
      <w:r>
        <w:rPr>
          <w:szCs w:val="20"/>
        </w:rPr>
        <w:t>The</w:t>
      </w:r>
      <w:r w:rsidR="003F0BC5" w:rsidRPr="00992199">
        <w:rPr>
          <w:szCs w:val="20"/>
        </w:rPr>
        <w:t xml:space="preserve"> Peatinvest Group</w:t>
      </w:r>
      <w:r>
        <w:rPr>
          <w:szCs w:val="20"/>
        </w:rPr>
        <w:t xml:space="preserve"> generated </w:t>
      </w:r>
      <w:r w:rsidR="001E3459">
        <w:rPr>
          <w:szCs w:val="20"/>
        </w:rPr>
        <w:t>50.1</w:t>
      </w:r>
      <w:r>
        <w:rPr>
          <w:szCs w:val="20"/>
        </w:rPr>
        <w:t>% of its revenues</w:t>
      </w:r>
      <w:r w:rsidR="003F0BC5" w:rsidRPr="00992199">
        <w:rPr>
          <w:szCs w:val="20"/>
        </w:rPr>
        <w:t xml:space="preserve"> from its ten largest customers as of and for the </w:t>
      </w:r>
      <w:r w:rsidR="005971A0">
        <w:rPr>
          <w:szCs w:val="20"/>
        </w:rPr>
        <w:t>financial year</w:t>
      </w:r>
      <w:r>
        <w:rPr>
          <w:szCs w:val="20"/>
        </w:rPr>
        <w:t xml:space="preserve"> ended 30 September 2014.</w:t>
      </w:r>
    </w:p>
    <w:p w:rsidR="003F0BC5" w:rsidRPr="00992199" w:rsidRDefault="003F0BC5" w:rsidP="003F0BC5">
      <w:pPr>
        <w:rPr>
          <w:szCs w:val="20"/>
        </w:rPr>
      </w:pPr>
      <w:r w:rsidRPr="00992199">
        <w:rPr>
          <w:szCs w:val="20"/>
        </w:rPr>
        <w:t>The Peatinvest Group focuses on both professional users (B2B) and non-professional users (such as hobbyi</w:t>
      </w:r>
      <w:r w:rsidR="00F2529B">
        <w:rPr>
          <w:szCs w:val="20"/>
        </w:rPr>
        <w:t>s</w:t>
      </w:r>
      <w:r w:rsidRPr="00992199">
        <w:rPr>
          <w:szCs w:val="20"/>
        </w:rPr>
        <w:t xml:space="preserve">ts (B2C)) through garden centres and retail chains. The following </w:t>
      </w:r>
      <w:r w:rsidR="001E3459">
        <w:rPr>
          <w:szCs w:val="20"/>
        </w:rPr>
        <w:t>table</w:t>
      </w:r>
      <w:r w:rsidRPr="00992199">
        <w:rPr>
          <w:szCs w:val="20"/>
        </w:rPr>
        <w:t xml:space="preserve"> sets out the spread per market:</w:t>
      </w:r>
    </w:p>
    <w:tbl>
      <w:tblPr>
        <w:tblW w:w="4930" w:type="pct"/>
        <w:tblLook w:val="04A0" w:firstRow="1" w:lastRow="0" w:firstColumn="1" w:lastColumn="0" w:noHBand="0" w:noVBand="1"/>
      </w:tblPr>
      <w:tblGrid>
        <w:gridCol w:w="3975"/>
        <w:gridCol w:w="5141"/>
      </w:tblGrid>
      <w:tr w:rsidR="001E3459" w:rsidRPr="001E3459" w:rsidTr="00DD4FD5">
        <w:trPr>
          <w:trHeight w:val="645"/>
        </w:trPr>
        <w:tc>
          <w:tcPr>
            <w:tcW w:w="2180" w:type="pct"/>
            <w:shd w:val="clear" w:color="auto" w:fill="auto"/>
            <w:vAlign w:val="bottom"/>
          </w:tcPr>
          <w:p w:rsidR="001E3459" w:rsidRPr="001E3459" w:rsidRDefault="001E3459" w:rsidP="00DD4FD5">
            <w:pPr>
              <w:pBdr>
                <w:bottom w:val="single" w:sz="4" w:space="1" w:color="auto"/>
              </w:pBdr>
              <w:spacing w:before="0" w:after="0"/>
              <w:rPr>
                <w:b/>
                <w:sz w:val="18"/>
                <w:szCs w:val="18"/>
              </w:rPr>
            </w:pPr>
            <w:r w:rsidRPr="001E3459">
              <w:rPr>
                <w:b/>
                <w:sz w:val="18"/>
                <w:szCs w:val="18"/>
              </w:rPr>
              <w:t>Market</w:t>
            </w:r>
          </w:p>
        </w:tc>
        <w:tc>
          <w:tcPr>
            <w:tcW w:w="2820" w:type="pct"/>
            <w:shd w:val="clear" w:color="auto" w:fill="auto"/>
            <w:vAlign w:val="bottom"/>
          </w:tcPr>
          <w:p w:rsidR="001E3459" w:rsidRPr="001E3459" w:rsidRDefault="001E3459" w:rsidP="00DD4FD5">
            <w:pPr>
              <w:pBdr>
                <w:bottom w:val="single" w:sz="4" w:space="1" w:color="auto"/>
              </w:pBdr>
              <w:spacing w:before="0" w:after="0"/>
              <w:jc w:val="right"/>
              <w:rPr>
                <w:b/>
                <w:sz w:val="18"/>
                <w:szCs w:val="18"/>
              </w:rPr>
            </w:pPr>
            <w:r w:rsidRPr="001E3459">
              <w:rPr>
                <w:b/>
                <w:sz w:val="18"/>
                <w:szCs w:val="18"/>
              </w:rPr>
              <w:t xml:space="preserve">Market allocation year ended 30 September 2014 </w:t>
            </w:r>
          </w:p>
        </w:tc>
      </w:tr>
      <w:tr w:rsidR="001E3459" w:rsidRPr="001E3459" w:rsidTr="00DD4FD5">
        <w:trPr>
          <w:trHeight w:val="204"/>
        </w:trPr>
        <w:tc>
          <w:tcPr>
            <w:tcW w:w="2180" w:type="pct"/>
            <w:shd w:val="clear" w:color="auto" w:fill="auto"/>
          </w:tcPr>
          <w:p w:rsidR="001E3459" w:rsidRPr="001E3459" w:rsidRDefault="001E3459" w:rsidP="00DD4FD5">
            <w:pPr>
              <w:tabs>
                <w:tab w:val="left" w:pos="720"/>
              </w:tabs>
              <w:spacing w:before="0" w:after="0"/>
              <w:rPr>
                <w:sz w:val="18"/>
                <w:szCs w:val="18"/>
              </w:rPr>
            </w:pPr>
            <w:r w:rsidRPr="001E3459">
              <w:rPr>
                <w:sz w:val="18"/>
                <w:szCs w:val="18"/>
              </w:rPr>
              <w:t>B2B</w:t>
            </w:r>
          </w:p>
        </w:tc>
        <w:tc>
          <w:tcPr>
            <w:tcW w:w="2820" w:type="pct"/>
            <w:shd w:val="clear" w:color="auto" w:fill="auto"/>
          </w:tcPr>
          <w:p w:rsidR="001E3459" w:rsidRPr="001E3459" w:rsidRDefault="001E3459" w:rsidP="00DD4FD5">
            <w:pPr>
              <w:tabs>
                <w:tab w:val="left" w:pos="720"/>
              </w:tabs>
              <w:spacing w:before="0" w:after="0"/>
              <w:jc w:val="right"/>
              <w:rPr>
                <w:sz w:val="18"/>
                <w:szCs w:val="18"/>
              </w:rPr>
            </w:pPr>
            <w:r w:rsidRPr="001E3459">
              <w:rPr>
                <w:sz w:val="18"/>
                <w:szCs w:val="18"/>
              </w:rPr>
              <w:t>36%</w:t>
            </w:r>
          </w:p>
        </w:tc>
      </w:tr>
      <w:tr w:rsidR="001E3459" w:rsidRPr="00B21932" w:rsidTr="00DD4FD5">
        <w:trPr>
          <w:trHeight w:val="215"/>
        </w:trPr>
        <w:tc>
          <w:tcPr>
            <w:tcW w:w="2180" w:type="pct"/>
            <w:shd w:val="clear" w:color="auto" w:fill="auto"/>
          </w:tcPr>
          <w:p w:rsidR="001E3459" w:rsidRPr="001E3459" w:rsidRDefault="001E3459" w:rsidP="00DD4FD5">
            <w:pPr>
              <w:tabs>
                <w:tab w:val="left" w:pos="720"/>
              </w:tabs>
              <w:spacing w:before="0" w:after="0"/>
              <w:rPr>
                <w:sz w:val="18"/>
                <w:szCs w:val="18"/>
              </w:rPr>
            </w:pPr>
            <w:r w:rsidRPr="001E3459">
              <w:rPr>
                <w:sz w:val="18"/>
                <w:szCs w:val="18"/>
              </w:rPr>
              <w:t>B2C</w:t>
            </w:r>
          </w:p>
        </w:tc>
        <w:tc>
          <w:tcPr>
            <w:tcW w:w="2820" w:type="pct"/>
            <w:shd w:val="clear" w:color="auto" w:fill="auto"/>
          </w:tcPr>
          <w:p w:rsidR="001E3459" w:rsidRPr="001E3459" w:rsidRDefault="001E3459" w:rsidP="00DD4FD5">
            <w:pPr>
              <w:tabs>
                <w:tab w:val="left" w:pos="720"/>
              </w:tabs>
              <w:spacing w:before="0" w:after="0"/>
              <w:jc w:val="right"/>
              <w:rPr>
                <w:sz w:val="18"/>
                <w:szCs w:val="18"/>
              </w:rPr>
            </w:pPr>
            <w:r w:rsidRPr="001E3459">
              <w:rPr>
                <w:sz w:val="18"/>
                <w:szCs w:val="18"/>
              </w:rPr>
              <w:t>64%</w:t>
            </w:r>
          </w:p>
        </w:tc>
      </w:tr>
    </w:tbl>
    <w:p w:rsidR="003F0BC5" w:rsidRPr="00992199" w:rsidRDefault="003F0BC5" w:rsidP="003F0BC5">
      <w:pPr>
        <w:rPr>
          <w:i/>
          <w:szCs w:val="20"/>
        </w:rPr>
      </w:pPr>
      <w:r w:rsidRPr="00992199">
        <w:rPr>
          <w:i/>
          <w:szCs w:val="20"/>
        </w:rPr>
        <w:t>Professional users – B2B</w:t>
      </w:r>
    </w:p>
    <w:p w:rsidR="003F0BC5" w:rsidRPr="00992199" w:rsidRDefault="003F0BC5" w:rsidP="003F0BC5">
      <w:pPr>
        <w:rPr>
          <w:szCs w:val="20"/>
        </w:rPr>
      </w:pPr>
      <w:r w:rsidRPr="00992199">
        <w:rPr>
          <w:szCs w:val="20"/>
        </w:rPr>
        <w:t>The Peatinvest Group sells its products to various professional users (B2B). These professionals use the growing media for growing ornamental plants (</w:t>
      </w:r>
      <w:r w:rsidR="00A431F0" w:rsidRPr="00A431F0">
        <w:rPr>
          <w:i/>
          <w:szCs w:val="20"/>
        </w:rPr>
        <w:t>e.g.,</w:t>
      </w:r>
      <w:r w:rsidR="00A431F0">
        <w:rPr>
          <w:szCs w:val="20"/>
        </w:rPr>
        <w:t xml:space="preserve"> </w:t>
      </w:r>
      <w:r w:rsidRPr="00992199">
        <w:rPr>
          <w:szCs w:val="20"/>
        </w:rPr>
        <w:t>floriculture and tree nurseries), fruit and vegetable production, young plant reproduction and urban landscaping (</w:t>
      </w:r>
      <w:r w:rsidR="00A431F0" w:rsidRPr="00A431F0">
        <w:rPr>
          <w:i/>
          <w:szCs w:val="20"/>
        </w:rPr>
        <w:t>e.g.,</w:t>
      </w:r>
      <w:r w:rsidR="00A431F0">
        <w:rPr>
          <w:szCs w:val="20"/>
        </w:rPr>
        <w:t xml:space="preserve"> </w:t>
      </w:r>
      <w:r w:rsidRPr="00992199">
        <w:rPr>
          <w:szCs w:val="20"/>
        </w:rPr>
        <w:t>green roofs, urban flowering). The Peatinvest Group offers clients access to its product knowledge to provide the best solution for the clients’ needs.</w:t>
      </w:r>
    </w:p>
    <w:p w:rsidR="003F0BC5" w:rsidRPr="00992199" w:rsidRDefault="003F0BC5" w:rsidP="003F0BC5">
      <w:pPr>
        <w:rPr>
          <w:szCs w:val="20"/>
        </w:rPr>
      </w:pPr>
      <w:r w:rsidRPr="00992199">
        <w:rPr>
          <w:szCs w:val="20"/>
        </w:rPr>
        <w:t>The B2B market is very customer-oriented as Peatinvest usually designs the characteristics of the product in close collaboration with its clients to optimally satisfy the specific needs of the client’s activity. Contracts are tailored and priced based on the client’s specific quality and volume needs.</w:t>
      </w:r>
    </w:p>
    <w:p w:rsidR="003F0BC5" w:rsidRPr="00992199" w:rsidRDefault="003F0BC5" w:rsidP="003F0BC5">
      <w:pPr>
        <w:rPr>
          <w:szCs w:val="20"/>
        </w:rPr>
      </w:pPr>
      <w:r w:rsidRPr="00992199">
        <w:rPr>
          <w:szCs w:val="20"/>
        </w:rPr>
        <w:t xml:space="preserve">Compared to both the </w:t>
      </w:r>
      <w:smartTag w:uri="urn:schemas-microsoft-com:office:smarttags" w:element="place">
        <w:r w:rsidRPr="00992199">
          <w:rPr>
            <w:szCs w:val="20"/>
          </w:rPr>
          <w:t>Benelux</w:t>
        </w:r>
      </w:smartTag>
      <w:r w:rsidRPr="00992199">
        <w:rPr>
          <w:szCs w:val="20"/>
        </w:rPr>
        <w:t xml:space="preserve"> and the Polish market, the French B2B market is more concentrated as the top</w:t>
      </w:r>
      <w:r w:rsidR="006042CC">
        <w:rPr>
          <w:szCs w:val="20"/>
        </w:rPr>
        <w:t xml:space="preserve"> ten </w:t>
      </w:r>
      <w:r w:rsidRPr="00992199">
        <w:rPr>
          <w:szCs w:val="20"/>
        </w:rPr>
        <w:t>clients account for 85% of local B2B sales, consisting mainly of</w:t>
      </w:r>
      <w:r w:rsidR="00FE0FEB">
        <w:rPr>
          <w:szCs w:val="20"/>
        </w:rPr>
        <w:t xml:space="preserve"> three </w:t>
      </w:r>
      <w:r w:rsidRPr="00992199">
        <w:rPr>
          <w:szCs w:val="20"/>
        </w:rPr>
        <w:t xml:space="preserve">distributors. Most of the top clients are indeed located in </w:t>
      </w:r>
      <w:smartTag w:uri="urn:schemas-microsoft-com:office:smarttags" w:element="country-region">
        <w:smartTag w:uri="urn:schemas-microsoft-com:office:smarttags" w:element="place">
          <w:r w:rsidRPr="00992199">
            <w:rPr>
              <w:szCs w:val="20"/>
            </w:rPr>
            <w:t>France</w:t>
          </w:r>
        </w:smartTag>
      </w:smartTag>
      <w:r w:rsidRPr="00992199">
        <w:rPr>
          <w:szCs w:val="20"/>
        </w:rPr>
        <w:t>.</w:t>
      </w:r>
    </w:p>
    <w:p w:rsidR="003F0BC5" w:rsidRPr="00992199" w:rsidRDefault="003F0BC5" w:rsidP="003F0BC5">
      <w:pPr>
        <w:rPr>
          <w:szCs w:val="20"/>
        </w:rPr>
      </w:pPr>
      <w:r w:rsidRPr="00992199">
        <w:rPr>
          <w:szCs w:val="20"/>
        </w:rPr>
        <w:t xml:space="preserve">The </w:t>
      </w:r>
      <w:smartTag w:uri="urn:schemas-microsoft-com:office:smarttags" w:element="place">
        <w:r w:rsidRPr="00992199">
          <w:rPr>
            <w:szCs w:val="20"/>
          </w:rPr>
          <w:t>Benelux</w:t>
        </w:r>
      </w:smartTag>
      <w:r w:rsidRPr="00992199">
        <w:rPr>
          <w:szCs w:val="20"/>
        </w:rPr>
        <w:t xml:space="preserve"> market is more fragmented as the top</w:t>
      </w:r>
      <w:r w:rsidR="006042CC">
        <w:rPr>
          <w:szCs w:val="20"/>
        </w:rPr>
        <w:t xml:space="preserve"> ten </w:t>
      </w:r>
      <w:r w:rsidRPr="00992199">
        <w:rPr>
          <w:szCs w:val="20"/>
        </w:rPr>
        <w:t>clients only generate 16% of local B2B sales, consisting mainly of growers. Only one Belgian client is included in the top 20 B2B clients.</w:t>
      </w:r>
    </w:p>
    <w:p w:rsidR="003F0BC5" w:rsidRPr="00992199" w:rsidRDefault="003F0BC5" w:rsidP="003F0BC5">
      <w:pPr>
        <w:rPr>
          <w:szCs w:val="20"/>
        </w:rPr>
      </w:pPr>
      <w:r w:rsidRPr="00992199">
        <w:rPr>
          <w:szCs w:val="20"/>
        </w:rPr>
        <w:t>The professional products are branded under the Peltracom and Aura brands. The delivery of the products is performed either directly (ex-works or direct shipping) or indirectly through local distributors and wholesalers. B2B packing is either bulk, big bales, big bags, ballots or packed bags.</w:t>
      </w:r>
    </w:p>
    <w:p w:rsidR="003F0BC5" w:rsidRPr="00992199" w:rsidRDefault="003F0BC5" w:rsidP="003F0BC5">
      <w:pPr>
        <w:rPr>
          <w:szCs w:val="20"/>
        </w:rPr>
      </w:pPr>
      <w:r w:rsidRPr="00992199">
        <w:rPr>
          <w:szCs w:val="20"/>
        </w:rPr>
        <w:t>During the financial year 2014, the B2B business accounted for circa 36% of sales and 42% of volume.</w:t>
      </w:r>
    </w:p>
    <w:p w:rsidR="003F0BC5" w:rsidRPr="00992199" w:rsidRDefault="003F0BC5" w:rsidP="003F0BC5">
      <w:pPr>
        <w:rPr>
          <w:i/>
          <w:szCs w:val="20"/>
        </w:rPr>
      </w:pPr>
      <w:r w:rsidRPr="00992199">
        <w:rPr>
          <w:i/>
          <w:szCs w:val="20"/>
        </w:rPr>
        <w:t>Consumers – B2C</w:t>
      </w:r>
    </w:p>
    <w:p w:rsidR="003F0BC5" w:rsidRPr="00992199" w:rsidRDefault="003F0BC5" w:rsidP="003F0BC5">
      <w:pPr>
        <w:rPr>
          <w:szCs w:val="20"/>
        </w:rPr>
      </w:pPr>
      <w:r w:rsidRPr="00992199">
        <w:rPr>
          <w:szCs w:val="20"/>
        </w:rPr>
        <w:t xml:space="preserve">The Peatinvest Group also offers products aimed at amateur gardeners and hobbyists. These products are offered through garden centres and other retailers (B2C-market) in the home markets in </w:t>
      </w:r>
      <w:smartTag w:uri="urn:schemas-microsoft-com:office:smarttags" w:element="City">
        <w:r w:rsidRPr="00992199">
          <w:rPr>
            <w:szCs w:val="20"/>
          </w:rPr>
          <w:t>Benelux</w:t>
        </w:r>
      </w:smartTag>
      <w:r w:rsidRPr="00992199">
        <w:rPr>
          <w:szCs w:val="20"/>
        </w:rPr>
        <w:t xml:space="preserve">, </w:t>
      </w:r>
      <w:smartTag w:uri="urn:schemas-microsoft-com:office:smarttags" w:element="country-region">
        <w:r w:rsidRPr="00992199">
          <w:rPr>
            <w:szCs w:val="20"/>
          </w:rPr>
          <w:t>France</w:t>
        </w:r>
      </w:smartTag>
      <w:r w:rsidRPr="00992199">
        <w:rPr>
          <w:szCs w:val="20"/>
        </w:rPr>
        <w:t xml:space="preserve"> and </w:t>
      </w:r>
      <w:smartTag w:uri="urn:schemas-microsoft-com:office:smarttags" w:element="country-region">
        <w:r w:rsidRPr="00992199">
          <w:rPr>
            <w:szCs w:val="20"/>
          </w:rPr>
          <w:t>Poland</w:t>
        </w:r>
      </w:smartTag>
      <w:r w:rsidRPr="00992199">
        <w:rPr>
          <w:szCs w:val="20"/>
        </w:rPr>
        <w:t xml:space="preserve"> and some export (</w:t>
      </w:r>
      <w:r w:rsidR="00A431F0" w:rsidRPr="00A431F0">
        <w:rPr>
          <w:i/>
          <w:szCs w:val="20"/>
        </w:rPr>
        <w:t>e.g.,</w:t>
      </w:r>
      <w:r w:rsidR="00A431F0">
        <w:rPr>
          <w:szCs w:val="20"/>
        </w:rPr>
        <w:t xml:space="preserve"> </w:t>
      </w:r>
      <w:smartTag w:uri="urn:schemas-microsoft-com:office:smarttags" w:element="country-region">
        <w:smartTag w:uri="urn:schemas-microsoft-com:office:smarttags" w:element="place">
          <w:r w:rsidRPr="00992199">
            <w:rPr>
              <w:szCs w:val="20"/>
            </w:rPr>
            <w:t>Spain</w:t>
          </w:r>
        </w:smartTag>
      </w:smartTag>
      <w:r w:rsidRPr="00992199">
        <w:rPr>
          <w:szCs w:val="20"/>
        </w:rPr>
        <w:t>).</w:t>
      </w:r>
    </w:p>
    <w:p w:rsidR="003F0BC5" w:rsidRPr="00992199" w:rsidRDefault="003F0BC5" w:rsidP="003F0BC5">
      <w:pPr>
        <w:rPr>
          <w:szCs w:val="20"/>
        </w:rPr>
      </w:pPr>
      <w:r w:rsidRPr="00992199">
        <w:rPr>
          <w:szCs w:val="20"/>
        </w:rPr>
        <w:t>Contracts with B2C consumers are generally agreed upon on a yearly basis and are tailored and price based on the client’s quality, volume, packaging and logistical needs.</w:t>
      </w:r>
    </w:p>
    <w:p w:rsidR="003F0BC5" w:rsidRPr="00992199" w:rsidRDefault="003F0BC5" w:rsidP="003F0BC5">
      <w:pPr>
        <w:rPr>
          <w:szCs w:val="20"/>
        </w:rPr>
      </w:pPr>
      <w:r w:rsidRPr="00992199">
        <w:rPr>
          <w:szCs w:val="20"/>
        </w:rPr>
        <w:t xml:space="preserve">The markets in </w:t>
      </w:r>
      <w:smartTag w:uri="urn:schemas-microsoft-com:office:smarttags" w:element="place">
        <w:r w:rsidRPr="00992199">
          <w:rPr>
            <w:szCs w:val="20"/>
          </w:rPr>
          <w:t>Western Europe</w:t>
        </w:r>
      </w:smartTag>
      <w:r w:rsidRPr="00992199">
        <w:rPr>
          <w:szCs w:val="20"/>
        </w:rPr>
        <w:t xml:space="preserve"> have a similar concentration, with top</w:t>
      </w:r>
      <w:r w:rsidR="00FE0FEB">
        <w:rPr>
          <w:szCs w:val="20"/>
        </w:rPr>
        <w:t xml:space="preserve"> three </w:t>
      </w:r>
      <w:r w:rsidRPr="00992199">
        <w:rPr>
          <w:szCs w:val="20"/>
        </w:rPr>
        <w:t>clients accounting for at least 56% of B2C revenue. These are usually food or specialised retailers.</w:t>
      </w:r>
    </w:p>
    <w:p w:rsidR="003F0BC5" w:rsidRPr="00992199" w:rsidRDefault="003F0BC5" w:rsidP="003F0BC5">
      <w:pPr>
        <w:rPr>
          <w:szCs w:val="20"/>
        </w:rPr>
      </w:pPr>
      <w:r w:rsidRPr="00992199">
        <w:rPr>
          <w:szCs w:val="20"/>
        </w:rPr>
        <w:t xml:space="preserve">The products are always packed (in bags of five to 80 </w:t>
      </w:r>
      <w:r w:rsidR="00A07615" w:rsidRPr="00992199">
        <w:rPr>
          <w:szCs w:val="20"/>
        </w:rPr>
        <w:t>litres</w:t>
      </w:r>
      <w:r w:rsidRPr="00992199">
        <w:rPr>
          <w:szCs w:val="20"/>
        </w:rPr>
        <w:t xml:space="preserve">) and are either sold through private label or through own brands. The main focus is to provide retailers with private label products. This offering is complemented with niche products that are branded with the own retail brands ‘Agrofino’ and ‘Agrofino Professional’ in Benelux and </w:t>
      </w:r>
      <w:smartTag w:uri="urn:schemas-microsoft-com:office:smarttags" w:element="country-region">
        <w:r w:rsidRPr="00992199">
          <w:rPr>
            <w:szCs w:val="20"/>
          </w:rPr>
          <w:t>France</w:t>
        </w:r>
      </w:smartTag>
      <w:r w:rsidRPr="00992199">
        <w:rPr>
          <w:szCs w:val="20"/>
        </w:rPr>
        <w:t xml:space="preserve">, and ‘Sterlux’ and ‘Aura’ in </w:t>
      </w:r>
      <w:smartTag w:uri="urn:schemas-microsoft-com:office:smarttags" w:element="country-region">
        <w:smartTag w:uri="urn:schemas-microsoft-com:office:smarttags" w:element="place">
          <w:r w:rsidRPr="00992199">
            <w:rPr>
              <w:szCs w:val="20"/>
            </w:rPr>
            <w:t>Poland</w:t>
          </w:r>
        </w:smartTag>
      </w:smartTag>
      <w:r w:rsidRPr="00992199">
        <w:rPr>
          <w:szCs w:val="20"/>
        </w:rPr>
        <w:t xml:space="preserve">. It is not within management focus to actively promote these own brands through promotion and marketing efforts, but rather to complement the retailers product offering. The delivery for B2C markets is highly seasonal and is mainly concentrated between mid-January and mid-May. After the end of the season, new contracts, (including prices) for the coming season are negotiated in June and July with the French retailers, in September and October with the </w:t>
      </w:r>
      <w:smartTag w:uri="urn:schemas-microsoft-com:office:smarttags" w:element="place">
        <w:r w:rsidRPr="00992199">
          <w:rPr>
            <w:szCs w:val="20"/>
          </w:rPr>
          <w:t>Benelux</w:t>
        </w:r>
      </w:smartTag>
      <w:r w:rsidRPr="00992199">
        <w:rPr>
          <w:szCs w:val="20"/>
        </w:rPr>
        <w:t xml:space="preserve"> retailers and in November and December with the Polish retailers.</w:t>
      </w:r>
    </w:p>
    <w:p w:rsidR="003F0BC5" w:rsidRPr="00992199" w:rsidRDefault="003F0BC5" w:rsidP="003F0BC5">
      <w:pPr>
        <w:rPr>
          <w:szCs w:val="20"/>
        </w:rPr>
      </w:pPr>
      <w:r w:rsidRPr="00992199">
        <w:rPr>
          <w:szCs w:val="20"/>
        </w:rPr>
        <w:t>During the financial year 2014, the B2C business accounted for circa 64% of sales and 58% of volume.</w:t>
      </w:r>
    </w:p>
    <w:p w:rsidR="003F0BC5" w:rsidRPr="00992199" w:rsidRDefault="003F0BC5" w:rsidP="00353B80">
      <w:pPr>
        <w:pStyle w:val="Firm5L4"/>
        <w:keepNext/>
      </w:pPr>
      <w:r w:rsidRPr="00992199">
        <w:t>Products</w:t>
      </w:r>
    </w:p>
    <w:p w:rsidR="003F0BC5" w:rsidRPr="00992199" w:rsidRDefault="003F0BC5" w:rsidP="003F0BC5">
      <w:pPr>
        <w:rPr>
          <w:szCs w:val="20"/>
        </w:rPr>
      </w:pPr>
      <w:r w:rsidRPr="00992199">
        <w:rPr>
          <w:szCs w:val="20"/>
        </w:rPr>
        <w:t>The Peatinvest Group’s offering includes the following products:</w:t>
      </w:r>
    </w:p>
    <w:p w:rsidR="003F0BC5" w:rsidRPr="00992199" w:rsidRDefault="003F0BC5" w:rsidP="00934BA4">
      <w:pPr>
        <w:pStyle w:val="BulletsL1"/>
      </w:pPr>
      <w:r w:rsidRPr="00992199">
        <w:lastRenderedPageBreak/>
        <w:t>Growing media for gardening and growing, both for ornamental plants and for fruit and vegetable crops</w:t>
      </w:r>
    </w:p>
    <w:p w:rsidR="003F0BC5" w:rsidRPr="00992199" w:rsidRDefault="003F0BC5" w:rsidP="00934BA4">
      <w:pPr>
        <w:pStyle w:val="BulletsL1"/>
      </w:pPr>
      <w:r w:rsidRPr="00992199">
        <w:t>Various mulching products</w:t>
      </w:r>
    </w:p>
    <w:p w:rsidR="003F0BC5" w:rsidRPr="00992199" w:rsidRDefault="003F0BC5" w:rsidP="00934BA4">
      <w:pPr>
        <w:pStyle w:val="BulletsL1"/>
      </w:pPr>
      <w:r w:rsidRPr="00992199">
        <w:t>Decorative gardening products</w:t>
      </w:r>
    </w:p>
    <w:p w:rsidR="003F0BC5" w:rsidRPr="00992199" w:rsidRDefault="003F0BC5" w:rsidP="00934BA4">
      <w:pPr>
        <w:pStyle w:val="BulletsL1"/>
      </w:pPr>
      <w:r w:rsidRPr="00992199">
        <w:t>Wood pellets</w:t>
      </w:r>
    </w:p>
    <w:p w:rsidR="003F0BC5" w:rsidRPr="00992199" w:rsidRDefault="003F0BC5" w:rsidP="00934BA4">
      <w:pPr>
        <w:pStyle w:val="BulletsL1"/>
      </w:pPr>
      <w:r w:rsidRPr="00992199">
        <w:t>Charcoal</w:t>
      </w:r>
    </w:p>
    <w:p w:rsidR="003F0BC5" w:rsidRPr="00992199" w:rsidRDefault="003F0BC5" w:rsidP="00934BA4">
      <w:pPr>
        <w:pStyle w:val="BulletsL1"/>
      </w:pPr>
      <w:r w:rsidRPr="00992199">
        <w:t>Peat</w:t>
      </w:r>
    </w:p>
    <w:p w:rsidR="003F0BC5" w:rsidRPr="00992199" w:rsidRDefault="003F0BC5" w:rsidP="00934BA4">
      <w:pPr>
        <w:pStyle w:val="BulletsL1"/>
      </w:pPr>
      <w:r w:rsidRPr="00992199">
        <w:t>Bark</w:t>
      </w:r>
    </w:p>
    <w:p w:rsidR="003F0BC5" w:rsidRPr="00992199" w:rsidRDefault="003F0BC5" w:rsidP="00934BA4">
      <w:pPr>
        <w:pStyle w:val="BulletsL1"/>
      </w:pPr>
      <w:r w:rsidRPr="00992199">
        <w:t>Soil improvers</w:t>
      </w:r>
    </w:p>
    <w:p w:rsidR="003F0BC5" w:rsidRPr="00992199" w:rsidRDefault="003F0BC5" w:rsidP="00353B80">
      <w:pPr>
        <w:pStyle w:val="Firm5L4"/>
        <w:keepNext/>
      </w:pPr>
      <w:r w:rsidRPr="00992199">
        <w:t>Geographical footprint</w:t>
      </w:r>
    </w:p>
    <w:p w:rsidR="001E3459" w:rsidRDefault="003F0BC5" w:rsidP="001E3459">
      <w:pPr>
        <w:rPr>
          <w:szCs w:val="20"/>
        </w:rPr>
      </w:pPr>
      <w:r w:rsidRPr="00992199">
        <w:rPr>
          <w:szCs w:val="20"/>
        </w:rPr>
        <w:t xml:space="preserve">The key home markets are </w:t>
      </w:r>
      <w:smartTag w:uri="urn:schemas-microsoft-com:office:smarttags" w:element="country-region">
        <w:r w:rsidRPr="00992199">
          <w:rPr>
            <w:szCs w:val="20"/>
          </w:rPr>
          <w:t>France</w:t>
        </w:r>
      </w:smartTag>
      <w:r w:rsidRPr="00992199">
        <w:rPr>
          <w:szCs w:val="20"/>
        </w:rPr>
        <w:t xml:space="preserve"> (52%), Benelux (24%) and </w:t>
      </w:r>
      <w:smartTag w:uri="urn:schemas-microsoft-com:office:smarttags" w:element="country-region">
        <w:smartTag w:uri="urn:schemas-microsoft-com:office:smarttags" w:element="place">
          <w:r w:rsidRPr="00992199">
            <w:rPr>
              <w:szCs w:val="20"/>
            </w:rPr>
            <w:t>Poland</w:t>
          </w:r>
        </w:smartTag>
      </w:smartTag>
      <w:r w:rsidRPr="00992199">
        <w:rPr>
          <w:szCs w:val="20"/>
        </w:rPr>
        <w:t xml:space="preserve"> (18%), where the Peatinvest Group serves both professional and non-professional users. The Peatinvest Group also exports to professional users on export markets (6%). Set out below is a breakdown of the revenues generated by the Peatinvest Group from its key home markets as of and for the </w:t>
      </w:r>
      <w:r w:rsidR="005971A0">
        <w:rPr>
          <w:szCs w:val="20"/>
        </w:rPr>
        <w:t>financial year</w:t>
      </w:r>
      <w:r w:rsidRPr="00992199">
        <w:rPr>
          <w:szCs w:val="20"/>
        </w:rPr>
        <w:t xml:space="preserve"> ended 30 September 2014:</w:t>
      </w:r>
      <w:r w:rsidR="001E3459" w:rsidRPr="001E3459">
        <w:rPr>
          <w:szCs w:val="20"/>
        </w:rPr>
        <w:t xml:space="preserve"> </w:t>
      </w:r>
    </w:p>
    <w:tbl>
      <w:tblPr>
        <w:tblW w:w="0" w:type="auto"/>
        <w:tblLook w:val="04A0" w:firstRow="1" w:lastRow="0" w:firstColumn="1" w:lastColumn="0" w:noHBand="0" w:noVBand="1"/>
      </w:tblPr>
      <w:tblGrid>
        <w:gridCol w:w="4119"/>
        <w:gridCol w:w="3363"/>
        <w:gridCol w:w="1511"/>
        <w:gridCol w:w="158"/>
      </w:tblGrid>
      <w:tr w:rsidR="001E3459" w:rsidRPr="001E3459" w:rsidTr="00DD4FD5">
        <w:trPr>
          <w:gridAfter w:val="1"/>
          <w:wAfter w:w="158" w:type="dxa"/>
          <w:trHeight w:val="655"/>
        </w:trPr>
        <w:tc>
          <w:tcPr>
            <w:tcW w:w="7482" w:type="dxa"/>
            <w:gridSpan w:val="2"/>
            <w:shd w:val="clear" w:color="auto" w:fill="auto"/>
            <w:vAlign w:val="center"/>
          </w:tcPr>
          <w:p w:rsidR="001E3459" w:rsidRPr="001E3459" w:rsidRDefault="001E3459" w:rsidP="00DD4FD5">
            <w:pPr>
              <w:spacing w:before="0" w:after="0"/>
              <w:jc w:val="left"/>
              <w:rPr>
                <w:bCs/>
                <w:i/>
                <w:sz w:val="18"/>
                <w:szCs w:val="18"/>
              </w:rPr>
            </w:pPr>
            <w:r w:rsidRPr="001E3459">
              <w:rPr>
                <w:bCs/>
                <w:i/>
                <w:sz w:val="18"/>
                <w:szCs w:val="18"/>
              </w:rPr>
              <w:t>(</w:t>
            </w:r>
            <w:r w:rsidR="00E53641">
              <w:rPr>
                <w:bCs/>
                <w:i/>
                <w:sz w:val="18"/>
                <w:szCs w:val="18"/>
              </w:rPr>
              <w:t>EUR </w:t>
            </w:r>
            <w:r w:rsidRPr="001E3459">
              <w:rPr>
                <w:bCs/>
                <w:i/>
                <w:sz w:val="18"/>
                <w:szCs w:val="18"/>
              </w:rPr>
              <w:t>in millions)</w:t>
            </w:r>
          </w:p>
        </w:tc>
        <w:tc>
          <w:tcPr>
            <w:tcW w:w="1511" w:type="dxa"/>
            <w:shd w:val="clear" w:color="auto" w:fill="auto"/>
            <w:vAlign w:val="bottom"/>
          </w:tcPr>
          <w:p w:rsidR="001E3459" w:rsidRPr="001E3459" w:rsidRDefault="00750A88" w:rsidP="00DD4FD5">
            <w:pPr>
              <w:pBdr>
                <w:bottom w:val="single" w:sz="4" w:space="1" w:color="auto"/>
              </w:pBdr>
              <w:spacing w:before="0" w:after="0"/>
              <w:jc w:val="center"/>
              <w:rPr>
                <w:b/>
                <w:bCs/>
                <w:sz w:val="18"/>
                <w:szCs w:val="18"/>
              </w:rPr>
            </w:pPr>
            <w:r>
              <w:rPr>
                <w:b/>
                <w:bCs/>
                <w:sz w:val="18"/>
                <w:szCs w:val="18"/>
              </w:rPr>
              <w:t xml:space="preserve">Total sales. </w:t>
            </w:r>
            <w:r w:rsidRPr="001E3459">
              <w:rPr>
                <w:b/>
                <w:bCs/>
                <w:sz w:val="18"/>
                <w:szCs w:val="18"/>
              </w:rPr>
              <w:br/>
            </w:r>
            <w:r>
              <w:rPr>
                <w:b/>
                <w:bCs/>
                <w:sz w:val="18"/>
                <w:szCs w:val="18"/>
              </w:rPr>
              <w:t>Y</w:t>
            </w:r>
            <w:r w:rsidR="001E3459" w:rsidRPr="001E3459">
              <w:rPr>
                <w:b/>
                <w:bCs/>
                <w:sz w:val="18"/>
                <w:szCs w:val="18"/>
              </w:rPr>
              <w:t xml:space="preserve">ear ended </w:t>
            </w:r>
            <w:r w:rsidR="001E3459" w:rsidRPr="001E3459">
              <w:rPr>
                <w:b/>
                <w:bCs/>
                <w:sz w:val="18"/>
                <w:szCs w:val="18"/>
              </w:rPr>
              <w:br/>
            </w:r>
            <w:r>
              <w:rPr>
                <w:b/>
                <w:bCs/>
                <w:sz w:val="18"/>
                <w:szCs w:val="18"/>
              </w:rPr>
              <w:t>30 September</w:t>
            </w:r>
          </w:p>
          <w:p w:rsidR="001E3459" w:rsidRPr="001E3459" w:rsidRDefault="001E3459" w:rsidP="00DD4FD5">
            <w:pPr>
              <w:pBdr>
                <w:bottom w:val="single" w:sz="4" w:space="1" w:color="auto"/>
              </w:pBdr>
              <w:spacing w:before="0" w:after="0"/>
              <w:jc w:val="center"/>
              <w:rPr>
                <w:b/>
                <w:bCs/>
                <w:sz w:val="18"/>
                <w:szCs w:val="18"/>
              </w:rPr>
            </w:pPr>
            <w:r w:rsidRPr="001E3459">
              <w:rPr>
                <w:b/>
                <w:bCs/>
                <w:sz w:val="18"/>
                <w:szCs w:val="18"/>
              </w:rPr>
              <w:t>2014</w:t>
            </w:r>
          </w:p>
        </w:tc>
      </w:tr>
      <w:tr w:rsidR="001E3459" w:rsidRPr="001E3459" w:rsidTr="00DD4FD5">
        <w:trPr>
          <w:gridAfter w:val="1"/>
          <w:wAfter w:w="158" w:type="dxa"/>
          <w:trHeight w:val="219"/>
        </w:trPr>
        <w:tc>
          <w:tcPr>
            <w:tcW w:w="7482" w:type="dxa"/>
            <w:gridSpan w:val="2"/>
            <w:shd w:val="clear" w:color="auto" w:fill="auto"/>
          </w:tcPr>
          <w:p w:rsidR="001E3459" w:rsidRPr="001E3459" w:rsidRDefault="001E3459" w:rsidP="00DD4FD5">
            <w:pPr>
              <w:tabs>
                <w:tab w:val="right" w:leader="dot" w:pos="6912"/>
              </w:tabs>
              <w:spacing w:before="0" w:after="0"/>
              <w:rPr>
                <w:sz w:val="18"/>
                <w:szCs w:val="18"/>
              </w:rPr>
            </w:pPr>
            <w:smartTag w:uri="urn:schemas-microsoft-com:office:smarttags" w:element="country-region">
              <w:smartTag w:uri="urn:schemas-microsoft-com:office:smarttags" w:element="place">
                <w:r w:rsidRPr="001E3459">
                  <w:rPr>
                    <w:bCs/>
                    <w:sz w:val="18"/>
                    <w:szCs w:val="18"/>
                  </w:rPr>
                  <w:t>France</w:t>
                </w:r>
              </w:smartTag>
            </w:smartTag>
            <w:r w:rsidRPr="001E3459">
              <w:rPr>
                <w:bCs/>
                <w:sz w:val="18"/>
                <w:szCs w:val="18"/>
              </w:rPr>
              <w:tab/>
            </w:r>
          </w:p>
        </w:tc>
        <w:tc>
          <w:tcPr>
            <w:tcW w:w="1511" w:type="dxa"/>
            <w:shd w:val="clear" w:color="auto" w:fill="auto"/>
          </w:tcPr>
          <w:p w:rsidR="001E3459" w:rsidRPr="001E3459" w:rsidRDefault="001E3459" w:rsidP="00DD4FD5">
            <w:pPr>
              <w:spacing w:before="0" w:after="0"/>
              <w:jc w:val="right"/>
              <w:rPr>
                <w:sz w:val="18"/>
              </w:rPr>
            </w:pPr>
            <w:r w:rsidRPr="001E3459">
              <w:rPr>
                <w:sz w:val="18"/>
              </w:rPr>
              <w:t>33.8</w:t>
            </w:r>
          </w:p>
        </w:tc>
      </w:tr>
      <w:tr w:rsidR="001E3459" w:rsidRPr="001E3459" w:rsidTr="00DD4FD5">
        <w:trPr>
          <w:gridAfter w:val="1"/>
          <w:wAfter w:w="158" w:type="dxa"/>
          <w:trHeight w:val="208"/>
        </w:trPr>
        <w:tc>
          <w:tcPr>
            <w:tcW w:w="7482" w:type="dxa"/>
            <w:gridSpan w:val="2"/>
            <w:shd w:val="clear" w:color="auto" w:fill="auto"/>
          </w:tcPr>
          <w:p w:rsidR="001E3459" w:rsidRPr="001E3459" w:rsidRDefault="001E3459" w:rsidP="00DD4FD5">
            <w:pPr>
              <w:tabs>
                <w:tab w:val="right" w:leader="dot" w:pos="6912"/>
              </w:tabs>
              <w:spacing w:before="0" w:after="0"/>
              <w:rPr>
                <w:bCs/>
                <w:sz w:val="18"/>
                <w:szCs w:val="18"/>
              </w:rPr>
            </w:pPr>
            <w:smartTag w:uri="urn:schemas-microsoft-com:office:smarttags" w:element="place">
              <w:r w:rsidRPr="001E3459">
                <w:rPr>
                  <w:sz w:val="18"/>
                  <w:szCs w:val="18"/>
                </w:rPr>
                <w:t>Benelux</w:t>
              </w:r>
            </w:smartTag>
            <w:r w:rsidRPr="001E3459">
              <w:rPr>
                <w:sz w:val="18"/>
                <w:szCs w:val="18"/>
              </w:rPr>
              <w:tab/>
            </w:r>
          </w:p>
        </w:tc>
        <w:tc>
          <w:tcPr>
            <w:tcW w:w="1511" w:type="dxa"/>
            <w:shd w:val="clear" w:color="auto" w:fill="auto"/>
          </w:tcPr>
          <w:p w:rsidR="001E3459" w:rsidRPr="001E3459" w:rsidRDefault="001E3459" w:rsidP="00DD4FD5">
            <w:pPr>
              <w:spacing w:before="0" w:after="0"/>
              <w:jc w:val="right"/>
              <w:rPr>
                <w:sz w:val="18"/>
              </w:rPr>
            </w:pPr>
            <w:r w:rsidRPr="001E3459">
              <w:rPr>
                <w:sz w:val="18"/>
              </w:rPr>
              <w:t>16.1</w:t>
            </w:r>
          </w:p>
        </w:tc>
      </w:tr>
      <w:tr w:rsidR="001E3459" w:rsidRPr="001E3459" w:rsidTr="00DD4FD5">
        <w:trPr>
          <w:gridAfter w:val="1"/>
          <w:wAfter w:w="158" w:type="dxa"/>
          <w:trHeight w:val="208"/>
        </w:trPr>
        <w:tc>
          <w:tcPr>
            <w:tcW w:w="7482" w:type="dxa"/>
            <w:gridSpan w:val="2"/>
            <w:shd w:val="clear" w:color="auto" w:fill="auto"/>
          </w:tcPr>
          <w:p w:rsidR="001E3459" w:rsidRPr="001E3459" w:rsidRDefault="001E3459" w:rsidP="00DD4FD5">
            <w:pPr>
              <w:tabs>
                <w:tab w:val="right" w:leader="dot" w:pos="6912"/>
              </w:tabs>
              <w:spacing w:before="0" w:after="0"/>
              <w:rPr>
                <w:sz w:val="18"/>
                <w:szCs w:val="18"/>
              </w:rPr>
            </w:pPr>
            <w:smartTag w:uri="urn:schemas-microsoft-com:office:smarttags" w:element="country-region">
              <w:smartTag w:uri="urn:schemas-microsoft-com:office:smarttags" w:element="place">
                <w:r w:rsidRPr="001E3459">
                  <w:rPr>
                    <w:sz w:val="18"/>
                    <w:szCs w:val="18"/>
                  </w:rPr>
                  <w:t>Poland</w:t>
                </w:r>
              </w:smartTag>
            </w:smartTag>
            <w:r w:rsidRPr="001E3459">
              <w:rPr>
                <w:sz w:val="18"/>
                <w:szCs w:val="18"/>
              </w:rPr>
              <w:tab/>
            </w:r>
          </w:p>
        </w:tc>
        <w:tc>
          <w:tcPr>
            <w:tcW w:w="1511" w:type="dxa"/>
            <w:shd w:val="clear" w:color="auto" w:fill="auto"/>
          </w:tcPr>
          <w:p w:rsidR="001E3459" w:rsidRPr="001E3459" w:rsidRDefault="001E3459" w:rsidP="00DD4FD5">
            <w:pPr>
              <w:spacing w:before="0" w:after="0"/>
              <w:jc w:val="right"/>
              <w:rPr>
                <w:sz w:val="18"/>
              </w:rPr>
            </w:pPr>
            <w:r w:rsidRPr="001E3459">
              <w:rPr>
                <w:sz w:val="18"/>
              </w:rPr>
              <w:t>11.6</w:t>
            </w:r>
          </w:p>
        </w:tc>
      </w:tr>
      <w:tr w:rsidR="001E3459" w:rsidRPr="001E3459" w:rsidTr="00DD4FD5">
        <w:trPr>
          <w:gridAfter w:val="1"/>
          <w:wAfter w:w="158" w:type="dxa"/>
          <w:trHeight w:val="208"/>
        </w:trPr>
        <w:tc>
          <w:tcPr>
            <w:tcW w:w="7482" w:type="dxa"/>
            <w:gridSpan w:val="2"/>
            <w:shd w:val="clear" w:color="auto" w:fill="auto"/>
          </w:tcPr>
          <w:p w:rsidR="001E3459" w:rsidRPr="001E3459" w:rsidRDefault="001E3459" w:rsidP="00DD4FD5">
            <w:pPr>
              <w:tabs>
                <w:tab w:val="right" w:leader="dot" w:pos="6912"/>
              </w:tabs>
              <w:spacing w:before="0" w:after="0"/>
              <w:rPr>
                <w:sz w:val="18"/>
                <w:szCs w:val="18"/>
              </w:rPr>
            </w:pPr>
            <w:r w:rsidRPr="001E3459">
              <w:rPr>
                <w:sz w:val="18"/>
                <w:szCs w:val="18"/>
              </w:rPr>
              <w:t xml:space="preserve">Export/ </w:t>
            </w:r>
            <w:smartTag w:uri="urn:schemas-microsoft-com:office:smarttags" w:element="country-region">
              <w:smartTag w:uri="urn:schemas-microsoft-com:office:smarttags" w:element="place">
                <w:r w:rsidRPr="001E3459">
                  <w:rPr>
                    <w:sz w:val="18"/>
                    <w:szCs w:val="18"/>
                  </w:rPr>
                  <w:t>Spain</w:t>
                </w:r>
              </w:smartTag>
            </w:smartTag>
            <w:r w:rsidRPr="001E3459">
              <w:rPr>
                <w:sz w:val="18"/>
                <w:szCs w:val="18"/>
              </w:rPr>
              <w:tab/>
            </w:r>
          </w:p>
        </w:tc>
        <w:tc>
          <w:tcPr>
            <w:tcW w:w="1511" w:type="dxa"/>
            <w:tcBorders>
              <w:bottom w:val="single" w:sz="4" w:space="0" w:color="auto"/>
            </w:tcBorders>
            <w:shd w:val="clear" w:color="auto" w:fill="auto"/>
          </w:tcPr>
          <w:p w:rsidR="001E3459" w:rsidRPr="001E3459" w:rsidRDefault="001E3459" w:rsidP="00DD4FD5">
            <w:pPr>
              <w:spacing w:before="0" w:after="0"/>
              <w:jc w:val="right"/>
              <w:rPr>
                <w:sz w:val="18"/>
              </w:rPr>
            </w:pPr>
            <w:r w:rsidRPr="001E3459">
              <w:rPr>
                <w:sz w:val="18"/>
              </w:rPr>
              <w:t>4.1</w:t>
            </w:r>
          </w:p>
        </w:tc>
      </w:tr>
      <w:tr w:rsidR="001E3459" w:rsidRPr="001E3459" w:rsidTr="00DD4FD5">
        <w:trPr>
          <w:gridAfter w:val="1"/>
          <w:wAfter w:w="158" w:type="dxa"/>
          <w:trHeight w:val="219"/>
        </w:trPr>
        <w:tc>
          <w:tcPr>
            <w:tcW w:w="7482" w:type="dxa"/>
            <w:gridSpan w:val="2"/>
            <w:shd w:val="clear" w:color="auto" w:fill="auto"/>
          </w:tcPr>
          <w:p w:rsidR="001E3459" w:rsidRPr="001E3459" w:rsidRDefault="001E3459" w:rsidP="00DD4FD5">
            <w:pPr>
              <w:tabs>
                <w:tab w:val="right" w:leader="dot" w:pos="6912"/>
              </w:tabs>
              <w:spacing w:before="0" w:after="0"/>
              <w:rPr>
                <w:sz w:val="18"/>
                <w:szCs w:val="18"/>
              </w:rPr>
            </w:pPr>
          </w:p>
        </w:tc>
        <w:tc>
          <w:tcPr>
            <w:tcW w:w="1511" w:type="dxa"/>
            <w:tcBorders>
              <w:top w:val="single" w:sz="4" w:space="0" w:color="auto"/>
            </w:tcBorders>
            <w:shd w:val="clear" w:color="auto" w:fill="auto"/>
          </w:tcPr>
          <w:p w:rsidR="001E3459" w:rsidRPr="001E3459" w:rsidRDefault="001E3459" w:rsidP="00DD4FD5">
            <w:pPr>
              <w:spacing w:before="0" w:after="0"/>
              <w:jc w:val="right"/>
              <w:rPr>
                <w:sz w:val="18"/>
              </w:rPr>
            </w:pPr>
          </w:p>
        </w:tc>
      </w:tr>
      <w:tr w:rsidR="001E3459" w:rsidRPr="001E3459" w:rsidTr="00DD4FD5">
        <w:trPr>
          <w:gridAfter w:val="1"/>
          <w:wAfter w:w="158" w:type="dxa"/>
          <w:trHeight w:val="262"/>
        </w:trPr>
        <w:tc>
          <w:tcPr>
            <w:tcW w:w="7482" w:type="dxa"/>
            <w:gridSpan w:val="2"/>
            <w:shd w:val="clear" w:color="auto" w:fill="auto"/>
          </w:tcPr>
          <w:p w:rsidR="001E3459" w:rsidRPr="001E3459" w:rsidRDefault="001E3459" w:rsidP="00DD4FD5">
            <w:pPr>
              <w:tabs>
                <w:tab w:val="right" w:leader="dot" w:pos="6912"/>
              </w:tabs>
              <w:spacing w:before="0" w:after="0"/>
              <w:rPr>
                <w:sz w:val="18"/>
                <w:szCs w:val="18"/>
              </w:rPr>
            </w:pPr>
            <w:r w:rsidRPr="001E3459">
              <w:rPr>
                <w:b/>
                <w:bCs/>
                <w:sz w:val="18"/>
                <w:szCs w:val="18"/>
              </w:rPr>
              <w:t>Revenues from continuing operations</w:t>
            </w:r>
            <w:r w:rsidRPr="001E3459">
              <w:rPr>
                <w:bCs/>
                <w:sz w:val="18"/>
                <w:szCs w:val="18"/>
              </w:rPr>
              <w:tab/>
            </w:r>
          </w:p>
        </w:tc>
        <w:tc>
          <w:tcPr>
            <w:tcW w:w="1511" w:type="dxa"/>
            <w:shd w:val="clear" w:color="auto" w:fill="auto"/>
          </w:tcPr>
          <w:p w:rsidR="001E3459" w:rsidRPr="001E3459" w:rsidRDefault="001E3459" w:rsidP="00DD4FD5">
            <w:pPr>
              <w:pBdr>
                <w:bottom w:val="double" w:sz="4" w:space="1" w:color="auto"/>
              </w:pBdr>
              <w:spacing w:before="0" w:after="0"/>
              <w:jc w:val="right"/>
              <w:rPr>
                <w:sz w:val="18"/>
                <w:szCs w:val="18"/>
              </w:rPr>
            </w:pPr>
            <w:r w:rsidRPr="001E3459">
              <w:rPr>
                <w:b/>
                <w:sz w:val="18"/>
                <w:szCs w:val="18"/>
              </w:rPr>
              <w:t>65.6</w:t>
            </w:r>
          </w:p>
        </w:tc>
      </w:tr>
      <w:tr w:rsidR="001E3459" w:rsidRPr="001E3459" w:rsidTr="00DD4FD5">
        <w:trPr>
          <w:trHeight w:val="208"/>
        </w:trPr>
        <w:tc>
          <w:tcPr>
            <w:tcW w:w="4119" w:type="dxa"/>
          </w:tcPr>
          <w:p w:rsidR="001E3459" w:rsidRPr="001E3459" w:rsidRDefault="001E3459" w:rsidP="00DD4FD5">
            <w:pPr>
              <w:tabs>
                <w:tab w:val="left" w:pos="510"/>
                <w:tab w:val="left" w:pos="993"/>
              </w:tabs>
              <w:spacing w:before="0" w:after="0"/>
              <w:rPr>
                <w:sz w:val="18"/>
                <w:szCs w:val="18"/>
              </w:rPr>
            </w:pPr>
          </w:p>
        </w:tc>
        <w:tc>
          <w:tcPr>
            <w:tcW w:w="5032" w:type="dxa"/>
            <w:gridSpan w:val="3"/>
          </w:tcPr>
          <w:p w:rsidR="001E3459" w:rsidRPr="001E3459" w:rsidRDefault="001E3459" w:rsidP="00DD4FD5">
            <w:pPr>
              <w:tabs>
                <w:tab w:val="left" w:pos="510"/>
                <w:tab w:val="left" w:pos="993"/>
              </w:tabs>
              <w:spacing w:before="0" w:after="0"/>
              <w:jc w:val="right"/>
              <w:rPr>
                <w:sz w:val="18"/>
                <w:szCs w:val="18"/>
              </w:rPr>
            </w:pPr>
          </w:p>
        </w:tc>
      </w:tr>
      <w:tr w:rsidR="001E3459" w:rsidRPr="001E3459" w:rsidTr="00DD4FD5">
        <w:trPr>
          <w:gridAfter w:val="1"/>
          <w:wAfter w:w="158" w:type="dxa"/>
          <w:trHeight w:val="655"/>
        </w:trPr>
        <w:tc>
          <w:tcPr>
            <w:tcW w:w="7482" w:type="dxa"/>
            <w:gridSpan w:val="2"/>
            <w:shd w:val="clear" w:color="auto" w:fill="auto"/>
            <w:vAlign w:val="center"/>
          </w:tcPr>
          <w:p w:rsidR="001E3459" w:rsidRPr="001E3459" w:rsidRDefault="001E3459" w:rsidP="00DD4FD5">
            <w:pPr>
              <w:spacing w:before="0" w:after="0"/>
              <w:jc w:val="left"/>
              <w:rPr>
                <w:bCs/>
                <w:i/>
                <w:sz w:val="18"/>
                <w:szCs w:val="18"/>
              </w:rPr>
            </w:pPr>
            <w:r w:rsidRPr="001E3459">
              <w:rPr>
                <w:bCs/>
                <w:i/>
                <w:sz w:val="18"/>
                <w:szCs w:val="18"/>
              </w:rPr>
              <w:t>(</w:t>
            </w:r>
            <w:r w:rsidR="00E53641">
              <w:rPr>
                <w:bCs/>
                <w:i/>
                <w:sz w:val="18"/>
                <w:szCs w:val="18"/>
              </w:rPr>
              <w:t>EUR </w:t>
            </w:r>
            <w:r w:rsidRPr="001E3459">
              <w:rPr>
                <w:bCs/>
                <w:i/>
                <w:sz w:val="18"/>
                <w:szCs w:val="18"/>
              </w:rPr>
              <w:t>in millions)</w:t>
            </w:r>
          </w:p>
        </w:tc>
        <w:tc>
          <w:tcPr>
            <w:tcW w:w="1511" w:type="dxa"/>
            <w:shd w:val="clear" w:color="auto" w:fill="auto"/>
            <w:vAlign w:val="bottom"/>
          </w:tcPr>
          <w:p w:rsidR="001E3459" w:rsidRPr="001E3459" w:rsidRDefault="00750A88" w:rsidP="00DD4FD5">
            <w:pPr>
              <w:pBdr>
                <w:bottom w:val="single" w:sz="4" w:space="1" w:color="auto"/>
              </w:pBdr>
              <w:spacing w:before="0" w:after="0"/>
              <w:jc w:val="center"/>
              <w:rPr>
                <w:b/>
                <w:bCs/>
                <w:sz w:val="18"/>
                <w:szCs w:val="18"/>
              </w:rPr>
            </w:pPr>
            <w:r>
              <w:rPr>
                <w:b/>
                <w:bCs/>
                <w:sz w:val="18"/>
                <w:szCs w:val="18"/>
              </w:rPr>
              <w:t>% of total sales. Y</w:t>
            </w:r>
            <w:r w:rsidR="001E3459" w:rsidRPr="001E3459">
              <w:rPr>
                <w:b/>
                <w:bCs/>
                <w:sz w:val="18"/>
                <w:szCs w:val="18"/>
              </w:rPr>
              <w:t xml:space="preserve">ear ended </w:t>
            </w:r>
            <w:r w:rsidR="001E3459" w:rsidRPr="001E3459">
              <w:rPr>
                <w:b/>
                <w:bCs/>
                <w:sz w:val="18"/>
                <w:szCs w:val="18"/>
              </w:rPr>
              <w:br/>
            </w:r>
            <w:r>
              <w:rPr>
                <w:b/>
                <w:bCs/>
                <w:sz w:val="18"/>
                <w:szCs w:val="18"/>
              </w:rPr>
              <w:t>30 September</w:t>
            </w:r>
          </w:p>
          <w:p w:rsidR="001E3459" w:rsidRPr="001E3459" w:rsidRDefault="001E3459" w:rsidP="00DD4FD5">
            <w:pPr>
              <w:pBdr>
                <w:bottom w:val="single" w:sz="4" w:space="1" w:color="auto"/>
              </w:pBdr>
              <w:spacing w:before="0" w:after="0"/>
              <w:jc w:val="center"/>
              <w:rPr>
                <w:b/>
                <w:bCs/>
                <w:sz w:val="18"/>
                <w:szCs w:val="18"/>
              </w:rPr>
            </w:pPr>
            <w:r w:rsidRPr="001E3459">
              <w:rPr>
                <w:b/>
                <w:bCs/>
                <w:sz w:val="18"/>
                <w:szCs w:val="18"/>
              </w:rPr>
              <w:t>2014</w:t>
            </w:r>
          </w:p>
        </w:tc>
      </w:tr>
      <w:tr w:rsidR="001E3459" w:rsidRPr="001E3459" w:rsidTr="00DD4FD5">
        <w:trPr>
          <w:gridAfter w:val="1"/>
          <w:wAfter w:w="158" w:type="dxa"/>
          <w:trHeight w:val="219"/>
        </w:trPr>
        <w:tc>
          <w:tcPr>
            <w:tcW w:w="7482" w:type="dxa"/>
            <w:gridSpan w:val="2"/>
            <w:shd w:val="clear" w:color="auto" w:fill="auto"/>
          </w:tcPr>
          <w:p w:rsidR="001E3459" w:rsidRPr="001E3459" w:rsidRDefault="001E3459" w:rsidP="00DD4FD5">
            <w:pPr>
              <w:tabs>
                <w:tab w:val="right" w:leader="dot" w:pos="6912"/>
              </w:tabs>
              <w:spacing w:before="0" w:after="0"/>
              <w:rPr>
                <w:sz w:val="18"/>
                <w:szCs w:val="18"/>
              </w:rPr>
            </w:pPr>
            <w:smartTag w:uri="urn:schemas-microsoft-com:office:smarttags" w:element="country-region">
              <w:smartTag w:uri="urn:schemas-microsoft-com:office:smarttags" w:element="place">
                <w:r w:rsidRPr="001E3459">
                  <w:rPr>
                    <w:bCs/>
                    <w:sz w:val="18"/>
                    <w:szCs w:val="18"/>
                  </w:rPr>
                  <w:t>France</w:t>
                </w:r>
              </w:smartTag>
            </w:smartTag>
            <w:r w:rsidRPr="001E3459">
              <w:rPr>
                <w:bCs/>
                <w:sz w:val="18"/>
                <w:szCs w:val="18"/>
              </w:rPr>
              <w:tab/>
            </w:r>
          </w:p>
        </w:tc>
        <w:tc>
          <w:tcPr>
            <w:tcW w:w="1511" w:type="dxa"/>
            <w:shd w:val="clear" w:color="auto" w:fill="auto"/>
          </w:tcPr>
          <w:p w:rsidR="001E3459" w:rsidRPr="001E3459" w:rsidRDefault="001E3459" w:rsidP="00DD4FD5">
            <w:pPr>
              <w:spacing w:before="0" w:after="0"/>
              <w:jc w:val="right"/>
              <w:rPr>
                <w:sz w:val="18"/>
              </w:rPr>
            </w:pPr>
            <w:r w:rsidRPr="001E3459">
              <w:rPr>
                <w:sz w:val="18"/>
              </w:rPr>
              <w:t>52%</w:t>
            </w:r>
          </w:p>
        </w:tc>
      </w:tr>
      <w:tr w:rsidR="001E3459" w:rsidRPr="001E3459" w:rsidTr="00DD4FD5">
        <w:trPr>
          <w:gridAfter w:val="1"/>
          <w:wAfter w:w="158" w:type="dxa"/>
          <w:trHeight w:val="208"/>
        </w:trPr>
        <w:tc>
          <w:tcPr>
            <w:tcW w:w="7482" w:type="dxa"/>
            <w:gridSpan w:val="2"/>
            <w:shd w:val="clear" w:color="auto" w:fill="auto"/>
          </w:tcPr>
          <w:p w:rsidR="001E3459" w:rsidRPr="001E3459" w:rsidRDefault="001E3459" w:rsidP="00DD4FD5">
            <w:pPr>
              <w:tabs>
                <w:tab w:val="right" w:leader="dot" w:pos="6912"/>
              </w:tabs>
              <w:spacing w:before="0" w:after="0"/>
              <w:rPr>
                <w:bCs/>
                <w:sz w:val="18"/>
                <w:szCs w:val="18"/>
              </w:rPr>
            </w:pPr>
            <w:smartTag w:uri="urn:schemas-microsoft-com:office:smarttags" w:element="place">
              <w:r w:rsidRPr="001E3459">
                <w:rPr>
                  <w:sz w:val="18"/>
                  <w:szCs w:val="18"/>
                </w:rPr>
                <w:t>Benelux</w:t>
              </w:r>
            </w:smartTag>
            <w:r w:rsidRPr="001E3459">
              <w:rPr>
                <w:sz w:val="18"/>
                <w:szCs w:val="18"/>
              </w:rPr>
              <w:tab/>
            </w:r>
          </w:p>
        </w:tc>
        <w:tc>
          <w:tcPr>
            <w:tcW w:w="1511" w:type="dxa"/>
            <w:shd w:val="clear" w:color="auto" w:fill="auto"/>
          </w:tcPr>
          <w:p w:rsidR="001E3459" w:rsidRPr="001E3459" w:rsidRDefault="001E3459" w:rsidP="00DD4FD5">
            <w:pPr>
              <w:spacing w:before="0" w:after="0"/>
              <w:jc w:val="right"/>
              <w:rPr>
                <w:sz w:val="18"/>
              </w:rPr>
            </w:pPr>
            <w:r w:rsidRPr="001E3459">
              <w:rPr>
                <w:sz w:val="18"/>
              </w:rPr>
              <w:t>24%</w:t>
            </w:r>
          </w:p>
        </w:tc>
      </w:tr>
      <w:tr w:rsidR="001E3459" w:rsidRPr="001E3459" w:rsidTr="00DD4FD5">
        <w:trPr>
          <w:gridAfter w:val="1"/>
          <w:wAfter w:w="158" w:type="dxa"/>
          <w:trHeight w:val="208"/>
        </w:trPr>
        <w:tc>
          <w:tcPr>
            <w:tcW w:w="7482" w:type="dxa"/>
            <w:gridSpan w:val="2"/>
            <w:shd w:val="clear" w:color="auto" w:fill="auto"/>
          </w:tcPr>
          <w:p w:rsidR="001E3459" w:rsidRPr="001E3459" w:rsidRDefault="001E3459" w:rsidP="00DD4FD5">
            <w:pPr>
              <w:tabs>
                <w:tab w:val="right" w:leader="dot" w:pos="6912"/>
              </w:tabs>
              <w:spacing w:before="0" w:after="0"/>
              <w:rPr>
                <w:sz w:val="18"/>
                <w:szCs w:val="18"/>
              </w:rPr>
            </w:pPr>
            <w:smartTag w:uri="urn:schemas-microsoft-com:office:smarttags" w:element="country-region">
              <w:smartTag w:uri="urn:schemas-microsoft-com:office:smarttags" w:element="place">
                <w:r w:rsidRPr="001E3459">
                  <w:rPr>
                    <w:sz w:val="18"/>
                    <w:szCs w:val="18"/>
                  </w:rPr>
                  <w:t>Poland</w:t>
                </w:r>
              </w:smartTag>
            </w:smartTag>
            <w:r w:rsidRPr="001E3459">
              <w:rPr>
                <w:sz w:val="18"/>
                <w:szCs w:val="18"/>
              </w:rPr>
              <w:tab/>
            </w:r>
          </w:p>
        </w:tc>
        <w:tc>
          <w:tcPr>
            <w:tcW w:w="1511" w:type="dxa"/>
            <w:shd w:val="clear" w:color="auto" w:fill="auto"/>
          </w:tcPr>
          <w:p w:rsidR="001E3459" w:rsidRPr="001E3459" w:rsidRDefault="001E3459" w:rsidP="00DD4FD5">
            <w:pPr>
              <w:spacing w:before="0" w:after="0"/>
              <w:jc w:val="right"/>
              <w:rPr>
                <w:sz w:val="18"/>
              </w:rPr>
            </w:pPr>
            <w:r w:rsidRPr="001E3459">
              <w:rPr>
                <w:sz w:val="18"/>
              </w:rPr>
              <w:t>18%</w:t>
            </w:r>
          </w:p>
        </w:tc>
      </w:tr>
      <w:tr w:rsidR="001E3459" w:rsidRPr="001E3459" w:rsidTr="00DD4FD5">
        <w:trPr>
          <w:gridAfter w:val="1"/>
          <w:wAfter w:w="158" w:type="dxa"/>
          <w:trHeight w:val="208"/>
        </w:trPr>
        <w:tc>
          <w:tcPr>
            <w:tcW w:w="7482" w:type="dxa"/>
            <w:gridSpan w:val="2"/>
            <w:shd w:val="clear" w:color="auto" w:fill="auto"/>
          </w:tcPr>
          <w:p w:rsidR="001E3459" w:rsidRPr="001E3459" w:rsidRDefault="001E3459" w:rsidP="00DD4FD5">
            <w:pPr>
              <w:tabs>
                <w:tab w:val="right" w:leader="dot" w:pos="6912"/>
              </w:tabs>
              <w:spacing w:before="0" w:after="0"/>
              <w:rPr>
                <w:sz w:val="18"/>
                <w:szCs w:val="18"/>
              </w:rPr>
            </w:pPr>
            <w:r w:rsidRPr="001E3459">
              <w:rPr>
                <w:sz w:val="18"/>
                <w:szCs w:val="18"/>
              </w:rPr>
              <w:t xml:space="preserve">Export/ </w:t>
            </w:r>
            <w:smartTag w:uri="urn:schemas-microsoft-com:office:smarttags" w:element="country-region">
              <w:smartTag w:uri="urn:schemas-microsoft-com:office:smarttags" w:element="place">
                <w:r w:rsidRPr="001E3459">
                  <w:rPr>
                    <w:sz w:val="18"/>
                    <w:szCs w:val="18"/>
                  </w:rPr>
                  <w:t>Spain</w:t>
                </w:r>
              </w:smartTag>
            </w:smartTag>
            <w:r w:rsidRPr="001E3459">
              <w:rPr>
                <w:sz w:val="18"/>
                <w:szCs w:val="18"/>
              </w:rPr>
              <w:tab/>
            </w:r>
          </w:p>
        </w:tc>
        <w:tc>
          <w:tcPr>
            <w:tcW w:w="1511" w:type="dxa"/>
            <w:tcBorders>
              <w:bottom w:val="single" w:sz="4" w:space="0" w:color="auto"/>
            </w:tcBorders>
            <w:shd w:val="clear" w:color="auto" w:fill="auto"/>
          </w:tcPr>
          <w:p w:rsidR="001E3459" w:rsidRPr="001E3459" w:rsidRDefault="001E3459" w:rsidP="00DD4FD5">
            <w:pPr>
              <w:spacing w:before="0" w:after="0"/>
              <w:jc w:val="right"/>
              <w:rPr>
                <w:sz w:val="18"/>
              </w:rPr>
            </w:pPr>
            <w:r w:rsidRPr="001E3459">
              <w:rPr>
                <w:sz w:val="18"/>
              </w:rPr>
              <w:t>6%</w:t>
            </w:r>
          </w:p>
        </w:tc>
      </w:tr>
      <w:tr w:rsidR="001E3459" w:rsidRPr="001E3459" w:rsidTr="00DD4FD5">
        <w:trPr>
          <w:gridAfter w:val="1"/>
          <w:wAfter w:w="158" w:type="dxa"/>
          <w:trHeight w:val="219"/>
        </w:trPr>
        <w:tc>
          <w:tcPr>
            <w:tcW w:w="7482" w:type="dxa"/>
            <w:gridSpan w:val="2"/>
            <w:shd w:val="clear" w:color="auto" w:fill="auto"/>
          </w:tcPr>
          <w:p w:rsidR="001E3459" w:rsidRPr="001E3459" w:rsidRDefault="001E3459" w:rsidP="00DD4FD5">
            <w:pPr>
              <w:tabs>
                <w:tab w:val="right" w:leader="dot" w:pos="6912"/>
              </w:tabs>
              <w:spacing w:before="0" w:after="0"/>
              <w:rPr>
                <w:sz w:val="18"/>
                <w:szCs w:val="18"/>
              </w:rPr>
            </w:pPr>
          </w:p>
        </w:tc>
        <w:tc>
          <w:tcPr>
            <w:tcW w:w="1511" w:type="dxa"/>
            <w:tcBorders>
              <w:top w:val="single" w:sz="4" w:space="0" w:color="auto"/>
            </w:tcBorders>
            <w:shd w:val="clear" w:color="auto" w:fill="auto"/>
          </w:tcPr>
          <w:p w:rsidR="001E3459" w:rsidRPr="001E3459" w:rsidRDefault="001E3459" w:rsidP="00DD4FD5">
            <w:pPr>
              <w:spacing w:before="0" w:after="0"/>
              <w:jc w:val="right"/>
              <w:rPr>
                <w:sz w:val="18"/>
              </w:rPr>
            </w:pPr>
          </w:p>
        </w:tc>
      </w:tr>
      <w:tr w:rsidR="001E3459" w:rsidRPr="000D3D24" w:rsidTr="00DD4FD5">
        <w:trPr>
          <w:gridAfter w:val="1"/>
          <w:wAfter w:w="158" w:type="dxa"/>
          <w:trHeight w:val="262"/>
        </w:trPr>
        <w:tc>
          <w:tcPr>
            <w:tcW w:w="7482" w:type="dxa"/>
            <w:gridSpan w:val="2"/>
            <w:shd w:val="clear" w:color="auto" w:fill="auto"/>
          </w:tcPr>
          <w:p w:rsidR="001E3459" w:rsidRPr="001E3459" w:rsidRDefault="001E3459" w:rsidP="00DD4FD5">
            <w:pPr>
              <w:tabs>
                <w:tab w:val="right" w:leader="dot" w:pos="6912"/>
              </w:tabs>
              <w:spacing w:before="0" w:after="0"/>
              <w:rPr>
                <w:sz w:val="18"/>
                <w:szCs w:val="18"/>
              </w:rPr>
            </w:pPr>
            <w:r w:rsidRPr="001E3459">
              <w:rPr>
                <w:b/>
                <w:bCs/>
                <w:sz w:val="18"/>
                <w:szCs w:val="18"/>
              </w:rPr>
              <w:t>Revenues from continuing operations</w:t>
            </w:r>
            <w:r w:rsidRPr="001E3459">
              <w:rPr>
                <w:bCs/>
                <w:sz w:val="18"/>
                <w:szCs w:val="18"/>
              </w:rPr>
              <w:tab/>
            </w:r>
          </w:p>
        </w:tc>
        <w:tc>
          <w:tcPr>
            <w:tcW w:w="1511" w:type="dxa"/>
            <w:shd w:val="clear" w:color="auto" w:fill="auto"/>
          </w:tcPr>
          <w:p w:rsidR="001E3459" w:rsidRPr="000D3D24" w:rsidRDefault="001E3459" w:rsidP="00DD4FD5">
            <w:pPr>
              <w:pBdr>
                <w:bottom w:val="double" w:sz="4" w:space="1" w:color="auto"/>
              </w:pBdr>
              <w:spacing w:before="0" w:after="0"/>
              <w:jc w:val="right"/>
              <w:rPr>
                <w:sz w:val="18"/>
                <w:szCs w:val="18"/>
              </w:rPr>
            </w:pPr>
            <w:r w:rsidRPr="001E3459">
              <w:rPr>
                <w:b/>
                <w:sz w:val="18"/>
                <w:szCs w:val="18"/>
              </w:rPr>
              <w:t>65.6</w:t>
            </w:r>
          </w:p>
        </w:tc>
      </w:tr>
    </w:tbl>
    <w:p w:rsidR="003F0BC5" w:rsidRPr="00992199" w:rsidRDefault="001E3459" w:rsidP="00353B80">
      <w:pPr>
        <w:pStyle w:val="Firm5L4"/>
        <w:keepNext/>
      </w:pPr>
      <w:r w:rsidRPr="00992199">
        <w:t xml:space="preserve"> </w:t>
      </w:r>
      <w:r w:rsidR="003F0BC5" w:rsidRPr="00992199">
        <w:t>Sourcing</w:t>
      </w:r>
    </w:p>
    <w:p w:rsidR="003F0BC5" w:rsidRDefault="003F0BC5" w:rsidP="003F0BC5">
      <w:pPr>
        <w:rPr>
          <w:szCs w:val="20"/>
        </w:rPr>
      </w:pPr>
      <w:r w:rsidRPr="00992199">
        <w:rPr>
          <w:szCs w:val="20"/>
        </w:rPr>
        <w:t>The end products produced by the Peatinvest Group are composed of a mixture of high quality raw materials. The quality of the raw materials is therefore key to the end product’s quality.</w:t>
      </w:r>
    </w:p>
    <w:p w:rsidR="003F0BC5" w:rsidRPr="00992199" w:rsidRDefault="003F0BC5" w:rsidP="003F0BC5">
      <w:pPr>
        <w:rPr>
          <w:szCs w:val="20"/>
        </w:rPr>
      </w:pPr>
      <w:r w:rsidRPr="00992199">
        <w:rPr>
          <w:szCs w:val="20"/>
        </w:rPr>
        <w:t xml:space="preserve">A majority of the raw materials (80%) is produced either in-house or </w:t>
      </w:r>
      <w:r w:rsidR="00F2529B">
        <w:rPr>
          <w:szCs w:val="20"/>
        </w:rPr>
        <w:t>in</w:t>
      </w:r>
      <w:r w:rsidR="00F2529B" w:rsidRPr="00992199">
        <w:rPr>
          <w:szCs w:val="20"/>
        </w:rPr>
        <w:t xml:space="preserve"> </w:t>
      </w:r>
      <w:r w:rsidRPr="00992199">
        <w:rPr>
          <w:szCs w:val="20"/>
        </w:rPr>
        <w:t>close cooperation with key partners</w:t>
      </w:r>
      <w:r w:rsidR="00270E7E">
        <w:rPr>
          <w:szCs w:val="20"/>
        </w:rPr>
        <w:t>. The main raw material is peat</w:t>
      </w:r>
      <w:r w:rsidR="000E1930">
        <w:rPr>
          <w:szCs w:val="20"/>
        </w:rPr>
        <w:t>.</w:t>
      </w:r>
      <w:r w:rsidR="00270E7E" w:rsidRPr="00270E7E">
        <w:t xml:space="preserve"> </w:t>
      </w:r>
      <w:r w:rsidR="00270E7E" w:rsidRPr="00270E7E">
        <w:rPr>
          <w:szCs w:val="20"/>
        </w:rPr>
        <w:t xml:space="preserve">Most of the peat used in the production process is extracted from Peatinvest’s own peat fields in </w:t>
      </w:r>
      <w:smartTag w:uri="urn:schemas-microsoft-com:office:smarttags" w:element="country-region">
        <w:r w:rsidR="00270E7E" w:rsidRPr="00270E7E">
          <w:rPr>
            <w:szCs w:val="20"/>
          </w:rPr>
          <w:t>Latvia</w:t>
        </w:r>
      </w:smartTag>
      <w:r w:rsidR="00270E7E" w:rsidRPr="00270E7E">
        <w:rPr>
          <w:szCs w:val="20"/>
        </w:rPr>
        <w:t xml:space="preserve"> and </w:t>
      </w:r>
      <w:smartTag w:uri="urn:schemas-microsoft-com:office:smarttags" w:element="country-region">
        <w:smartTag w:uri="urn:schemas-microsoft-com:office:smarttags" w:element="place">
          <w:r w:rsidR="00270E7E" w:rsidRPr="00270E7E">
            <w:rPr>
              <w:szCs w:val="20"/>
            </w:rPr>
            <w:t>Poland</w:t>
          </w:r>
        </w:smartTag>
      </w:smartTag>
      <w:r w:rsidR="00270E7E" w:rsidRPr="00270E7E">
        <w:rPr>
          <w:szCs w:val="20"/>
        </w:rPr>
        <w:t xml:space="preserve">. The Peatinvest Group has licenses to extract peat from 11 peat fields (total surface of 1,454 ha) situated mainly in </w:t>
      </w:r>
      <w:smartTag w:uri="urn:schemas-microsoft-com:office:smarttags" w:element="country-region">
        <w:r w:rsidR="00270E7E" w:rsidRPr="00270E7E">
          <w:rPr>
            <w:szCs w:val="20"/>
          </w:rPr>
          <w:t>Latvia</w:t>
        </w:r>
      </w:smartTag>
      <w:r w:rsidR="00270E7E" w:rsidRPr="00270E7E">
        <w:rPr>
          <w:szCs w:val="20"/>
        </w:rPr>
        <w:t xml:space="preserve"> (around 85%) and </w:t>
      </w:r>
      <w:smartTag w:uri="urn:schemas-microsoft-com:office:smarttags" w:element="country-region">
        <w:smartTag w:uri="urn:schemas-microsoft-com:office:smarttags" w:element="place">
          <w:r w:rsidR="00270E7E" w:rsidRPr="00270E7E">
            <w:rPr>
              <w:szCs w:val="20"/>
            </w:rPr>
            <w:t>Poland</w:t>
          </w:r>
        </w:smartTag>
      </w:smartTag>
      <w:r w:rsidR="00270E7E" w:rsidRPr="00270E7E">
        <w:rPr>
          <w:szCs w:val="20"/>
        </w:rPr>
        <w:t xml:space="preserve"> (around 15%). The Peatinvest Group has circa 40 to 50 years of peat reserves remaining at current extraction rates, most of which in Latvia.</w:t>
      </w:r>
      <w:r w:rsidRPr="00992199">
        <w:rPr>
          <w:szCs w:val="20"/>
        </w:rPr>
        <w:t xml:space="preserve"> Special peat products (such as Irish and German peat) and other non-core raw materials are purchased externally.</w:t>
      </w:r>
    </w:p>
    <w:p w:rsidR="003F0BC5" w:rsidRPr="00992199" w:rsidRDefault="003F0BC5" w:rsidP="003F0BC5">
      <w:pPr>
        <w:rPr>
          <w:szCs w:val="20"/>
        </w:rPr>
      </w:pPr>
      <w:r w:rsidRPr="00992199">
        <w:rPr>
          <w:szCs w:val="20"/>
        </w:rPr>
        <w:t>The licenses for new peat fields are tendered by local authorities and are attributed for determined duration. License compensation consists of a combination of a fixed annual fee plus a variable compensation for the volumes extracted. In general, licenses can be prolonged until the end of the exploitation of the peat field.</w:t>
      </w:r>
    </w:p>
    <w:p w:rsidR="003F0BC5" w:rsidRPr="00992199" w:rsidRDefault="003F0BC5" w:rsidP="00353B80">
      <w:pPr>
        <w:pStyle w:val="Firm5L4"/>
        <w:keepNext/>
      </w:pPr>
      <w:r w:rsidRPr="00992199">
        <w:lastRenderedPageBreak/>
        <w:t>Key players in the EU growing media market</w:t>
      </w:r>
    </w:p>
    <w:p w:rsidR="003F0BC5" w:rsidRPr="00992199" w:rsidRDefault="003F0BC5" w:rsidP="003F0BC5">
      <w:pPr>
        <w:rPr>
          <w:szCs w:val="20"/>
        </w:rPr>
      </w:pPr>
      <w:r w:rsidRPr="00992199">
        <w:rPr>
          <w:szCs w:val="20"/>
        </w:rPr>
        <w:t>Although there is very little publicly available information on the growing media market, Peatinvest estimates that the total volume of growing media produced in the EU countries amounts to approximately 37,120,000 m³.</w:t>
      </w:r>
      <w:r w:rsidRPr="00992199">
        <w:rPr>
          <w:szCs w:val="20"/>
          <w:vertAlign w:val="superscript"/>
        </w:rPr>
        <w:footnoteReference w:id="4"/>
      </w:r>
    </w:p>
    <w:p w:rsidR="003F0BC5" w:rsidRPr="00992199" w:rsidRDefault="003F0BC5" w:rsidP="003F0BC5">
      <w:pPr>
        <w:rPr>
          <w:szCs w:val="20"/>
        </w:rPr>
      </w:pPr>
      <w:r w:rsidRPr="00992199">
        <w:rPr>
          <w:szCs w:val="20"/>
        </w:rPr>
        <w:t>Two major types of companies can be identified on the supply side of the market.</w:t>
      </w:r>
    </w:p>
    <w:p w:rsidR="003F0BC5" w:rsidRPr="00992199" w:rsidRDefault="003F0BC5" w:rsidP="00934BA4">
      <w:pPr>
        <w:pStyle w:val="BulletsL1"/>
      </w:pPr>
      <w:r w:rsidRPr="00992199">
        <w:t>A group of companies focused on marketing and distribution of a horizontal offer for the gardening category in a B2C market. These companies, being multinationals (such as Scotts Miracle Gro or Compo) or rather local players (DCM, [Novajardin, Pokon,</w:t>
      </w:r>
      <w:r w:rsidR="00900687">
        <w:t xml:space="preserve"> etc.</w:t>
      </w:r>
      <w:r w:rsidRPr="00992199">
        <w:t>]) sell a broad range of gardening products under their own brand. Besides growing media, these companies offer other gardening products such as fertilisers, plant protection products, soil improvers, mulches, etc. These companies have on occasion in-house production of growing media but often make use of local, smaller subcontractors. In some cases Peatinvest will act as a subcontractor.</w:t>
      </w:r>
    </w:p>
    <w:p w:rsidR="003F0BC5" w:rsidRPr="00992199" w:rsidRDefault="003F0BC5" w:rsidP="00934BA4">
      <w:pPr>
        <w:ind w:left="720"/>
        <w:rPr>
          <w:szCs w:val="20"/>
        </w:rPr>
      </w:pPr>
      <w:r w:rsidRPr="00992199">
        <w:rPr>
          <w:szCs w:val="20"/>
        </w:rPr>
        <w:t>The reported amount of growing media for gardening and hobby use in the selected producer and consumer countries (approximately the EEA market) in 2005 totalled 14,927,000 m³.</w:t>
      </w:r>
      <w:r w:rsidRPr="00992199">
        <w:rPr>
          <w:rFonts w:eastAsia="Calibri"/>
          <w:b/>
          <w:szCs w:val="20"/>
          <w:vertAlign w:val="superscript"/>
        </w:rPr>
        <w:footnoteReference w:id="5"/>
      </w:r>
    </w:p>
    <w:tbl>
      <w:tblPr>
        <w:tblW w:w="8459" w:type="dxa"/>
        <w:tblInd w:w="720" w:type="dxa"/>
        <w:tblLayout w:type="fixed"/>
        <w:tblLook w:val="01E0" w:firstRow="1" w:lastRow="1" w:firstColumn="1" w:lastColumn="1" w:noHBand="0" w:noVBand="0"/>
      </w:tblPr>
      <w:tblGrid>
        <w:gridCol w:w="1298"/>
        <w:gridCol w:w="1135"/>
        <w:gridCol w:w="6026"/>
      </w:tblGrid>
      <w:tr w:rsidR="003F0BC5" w:rsidRPr="00992199" w:rsidTr="00694C4C">
        <w:tc>
          <w:tcPr>
            <w:tcW w:w="1298" w:type="dxa"/>
            <w:tcBorders>
              <w:bottom w:val="single" w:sz="4" w:space="0" w:color="auto"/>
            </w:tcBorders>
          </w:tcPr>
          <w:p w:rsidR="003F0BC5" w:rsidRPr="00992199" w:rsidRDefault="003F0BC5" w:rsidP="00BB0F52">
            <w:pPr>
              <w:rPr>
                <w:b/>
                <w:szCs w:val="20"/>
              </w:rPr>
            </w:pPr>
            <w:r w:rsidRPr="00992199">
              <w:rPr>
                <w:b/>
                <w:szCs w:val="20"/>
              </w:rPr>
              <w:t>Name</w:t>
            </w:r>
          </w:p>
        </w:tc>
        <w:tc>
          <w:tcPr>
            <w:tcW w:w="1135" w:type="dxa"/>
            <w:tcBorders>
              <w:bottom w:val="single" w:sz="4" w:space="0" w:color="auto"/>
            </w:tcBorders>
          </w:tcPr>
          <w:p w:rsidR="003F0BC5" w:rsidRPr="00992199" w:rsidRDefault="003F0BC5" w:rsidP="00BB0F52">
            <w:pPr>
              <w:rPr>
                <w:b/>
                <w:szCs w:val="20"/>
              </w:rPr>
            </w:pPr>
            <w:r w:rsidRPr="00992199">
              <w:rPr>
                <w:b/>
                <w:szCs w:val="20"/>
              </w:rPr>
              <w:t>Country</w:t>
            </w:r>
          </w:p>
        </w:tc>
        <w:tc>
          <w:tcPr>
            <w:tcW w:w="6026" w:type="dxa"/>
            <w:tcBorders>
              <w:bottom w:val="single" w:sz="4" w:space="0" w:color="auto"/>
            </w:tcBorders>
          </w:tcPr>
          <w:p w:rsidR="003F0BC5" w:rsidRPr="00992199" w:rsidRDefault="003F0BC5" w:rsidP="00BB0F52">
            <w:pPr>
              <w:rPr>
                <w:b/>
                <w:szCs w:val="20"/>
              </w:rPr>
            </w:pPr>
            <w:r w:rsidRPr="00992199">
              <w:rPr>
                <w:b/>
                <w:szCs w:val="20"/>
              </w:rPr>
              <w:t>Description of activities</w:t>
            </w:r>
          </w:p>
        </w:tc>
      </w:tr>
      <w:tr w:rsidR="003F0BC5" w:rsidRPr="00992199" w:rsidTr="00694C4C">
        <w:tc>
          <w:tcPr>
            <w:tcW w:w="1298" w:type="dxa"/>
          </w:tcPr>
          <w:p w:rsidR="003F0BC5" w:rsidRPr="00992199" w:rsidRDefault="003F0BC5" w:rsidP="00BB0F52">
            <w:pPr>
              <w:rPr>
                <w:szCs w:val="20"/>
              </w:rPr>
            </w:pPr>
            <w:r w:rsidRPr="00992199">
              <w:rPr>
                <w:szCs w:val="20"/>
              </w:rPr>
              <w:t>Scotts Miracle Gro</w:t>
            </w:r>
          </w:p>
        </w:tc>
        <w:tc>
          <w:tcPr>
            <w:tcW w:w="1135" w:type="dxa"/>
          </w:tcPr>
          <w:p w:rsidR="003F0BC5" w:rsidRPr="00992199" w:rsidRDefault="003F0BC5" w:rsidP="00BB0F52">
            <w:pPr>
              <w:rPr>
                <w:szCs w:val="20"/>
              </w:rPr>
            </w:pPr>
            <w:smartTag w:uri="urn:schemas-microsoft-com:office:smarttags" w:element="country-region">
              <w:smartTag w:uri="urn:schemas-microsoft-com:office:smarttags" w:element="place">
                <w:r w:rsidRPr="00992199">
                  <w:rPr>
                    <w:szCs w:val="20"/>
                  </w:rPr>
                  <w:t>USA</w:t>
                </w:r>
              </w:smartTag>
            </w:smartTag>
          </w:p>
        </w:tc>
        <w:tc>
          <w:tcPr>
            <w:tcW w:w="6026" w:type="dxa"/>
          </w:tcPr>
          <w:p w:rsidR="003F0BC5" w:rsidRPr="00992199" w:rsidRDefault="003F0BC5" w:rsidP="003752D4">
            <w:pPr>
              <w:rPr>
                <w:szCs w:val="20"/>
              </w:rPr>
            </w:pPr>
            <w:r w:rsidRPr="00992199">
              <w:rPr>
                <w:szCs w:val="20"/>
              </w:rPr>
              <w:t xml:space="preserve">The Scotts Miracle-Gro Company is the world’s largest marketer of branded consumer products for lawn and garden care. Scotts Miracle Gro published </w:t>
            </w:r>
            <w:r w:rsidR="00A07615" w:rsidRPr="00992199">
              <w:rPr>
                <w:szCs w:val="20"/>
              </w:rPr>
              <w:t>consolidated worldwide sales</w:t>
            </w:r>
            <w:r w:rsidRPr="00992199">
              <w:rPr>
                <w:szCs w:val="20"/>
              </w:rPr>
              <w:t xml:space="preserve"> of USD 2,840,000,000 for financial year 2012-2013 of which USD 2,330,000,000 in the </w:t>
            </w:r>
            <w:smartTag w:uri="urn:schemas-microsoft-com:office:smarttags" w:element="country-region">
              <w:smartTag w:uri="urn:schemas-microsoft-com:office:smarttags" w:element="place">
                <w:r w:rsidRPr="00992199">
                  <w:rPr>
                    <w:szCs w:val="20"/>
                  </w:rPr>
                  <w:t>United States</w:t>
                </w:r>
              </w:smartTag>
            </w:smartTag>
            <w:r w:rsidRPr="00992199">
              <w:rPr>
                <w:szCs w:val="20"/>
              </w:rPr>
              <w:t xml:space="preserve"> and USD 484,000,000 internationally. According to company’s published figures for this financial year, 34% of its net worldwide sales were growing media.</w:t>
            </w:r>
          </w:p>
        </w:tc>
      </w:tr>
      <w:tr w:rsidR="003F0BC5" w:rsidRPr="00992199" w:rsidTr="00694C4C">
        <w:tc>
          <w:tcPr>
            <w:tcW w:w="1298" w:type="dxa"/>
          </w:tcPr>
          <w:p w:rsidR="003F0BC5" w:rsidRPr="00992199" w:rsidRDefault="003F0BC5" w:rsidP="00BB0F52">
            <w:pPr>
              <w:rPr>
                <w:szCs w:val="20"/>
              </w:rPr>
            </w:pPr>
            <w:r w:rsidRPr="00992199">
              <w:rPr>
                <w:szCs w:val="20"/>
              </w:rPr>
              <w:t>Compo</w:t>
            </w:r>
          </w:p>
        </w:tc>
        <w:tc>
          <w:tcPr>
            <w:tcW w:w="1135" w:type="dxa"/>
          </w:tcPr>
          <w:p w:rsidR="003F0BC5" w:rsidRPr="00992199" w:rsidRDefault="003F0BC5" w:rsidP="00BB0F52">
            <w:pPr>
              <w:rPr>
                <w:szCs w:val="20"/>
              </w:rPr>
            </w:pPr>
            <w:smartTag w:uri="urn:schemas-microsoft-com:office:smarttags" w:element="country-region">
              <w:smartTag w:uri="urn:schemas-microsoft-com:office:smarttags" w:element="place">
                <w:r w:rsidRPr="00992199">
                  <w:rPr>
                    <w:szCs w:val="20"/>
                  </w:rPr>
                  <w:t>Germany</w:t>
                </w:r>
              </w:smartTag>
            </w:smartTag>
          </w:p>
        </w:tc>
        <w:tc>
          <w:tcPr>
            <w:tcW w:w="6026" w:type="dxa"/>
          </w:tcPr>
          <w:p w:rsidR="003F0BC5" w:rsidRPr="00992199" w:rsidRDefault="003F0BC5" w:rsidP="00BB0F52">
            <w:pPr>
              <w:rPr>
                <w:szCs w:val="20"/>
              </w:rPr>
            </w:pPr>
            <w:r w:rsidRPr="00992199">
              <w:rPr>
                <w:szCs w:val="20"/>
              </w:rPr>
              <w:t xml:space="preserve">The cornerstone of Compo GmbH was laid in 1956 with COMPO SANA. Compo reported a worldwide sales turnover in the financial year 2013 of </w:t>
            </w:r>
            <w:r w:rsidR="00E53641">
              <w:rPr>
                <w:szCs w:val="20"/>
              </w:rPr>
              <w:t>EUR </w:t>
            </w:r>
            <w:r w:rsidRPr="00992199">
              <w:rPr>
                <w:szCs w:val="20"/>
              </w:rPr>
              <w:t>507,000,000. This turnover includes as well the fertiliser activity for the professional market as the full product assortment for the B2C market. No information is available of the share of growing media of the reported total turnover</w:t>
            </w:r>
            <w:r w:rsidR="003752D4">
              <w:rPr>
                <w:szCs w:val="20"/>
              </w:rPr>
              <w:t>.</w:t>
            </w:r>
          </w:p>
        </w:tc>
      </w:tr>
    </w:tbl>
    <w:p w:rsidR="003F0BC5" w:rsidRPr="00992199" w:rsidRDefault="003F0BC5" w:rsidP="00934BA4">
      <w:pPr>
        <w:pStyle w:val="BulletsL1"/>
      </w:pPr>
      <w:r w:rsidRPr="00992199">
        <w:t>A group of companies is merely focused on professional growing media. Most of these companies are production companies, and some are also vertically integrated to a certain extent.</w:t>
      </w:r>
    </w:p>
    <w:tbl>
      <w:tblPr>
        <w:tblW w:w="8473" w:type="dxa"/>
        <w:tblInd w:w="720" w:type="dxa"/>
        <w:tblLayout w:type="fixed"/>
        <w:tblLook w:val="01E0" w:firstRow="1" w:lastRow="1" w:firstColumn="1" w:lastColumn="1" w:noHBand="0" w:noVBand="0"/>
      </w:tblPr>
      <w:tblGrid>
        <w:gridCol w:w="1213"/>
        <w:gridCol w:w="1061"/>
        <w:gridCol w:w="6199"/>
      </w:tblGrid>
      <w:tr w:rsidR="003F0BC5" w:rsidRPr="00992199" w:rsidTr="00694C4C">
        <w:tc>
          <w:tcPr>
            <w:tcW w:w="1213" w:type="dxa"/>
            <w:tcBorders>
              <w:bottom w:val="single" w:sz="4" w:space="0" w:color="auto"/>
            </w:tcBorders>
          </w:tcPr>
          <w:p w:rsidR="003F0BC5" w:rsidRPr="00992199" w:rsidRDefault="003F0BC5" w:rsidP="00BB0F52">
            <w:pPr>
              <w:rPr>
                <w:b/>
                <w:szCs w:val="20"/>
              </w:rPr>
            </w:pPr>
            <w:r w:rsidRPr="00992199">
              <w:rPr>
                <w:b/>
                <w:szCs w:val="20"/>
              </w:rPr>
              <w:t>Name</w:t>
            </w:r>
          </w:p>
        </w:tc>
        <w:tc>
          <w:tcPr>
            <w:tcW w:w="1061" w:type="dxa"/>
            <w:tcBorders>
              <w:bottom w:val="single" w:sz="4" w:space="0" w:color="auto"/>
            </w:tcBorders>
          </w:tcPr>
          <w:p w:rsidR="003F0BC5" w:rsidRPr="00992199" w:rsidRDefault="003F0BC5" w:rsidP="00BB0F52">
            <w:pPr>
              <w:rPr>
                <w:b/>
                <w:szCs w:val="20"/>
              </w:rPr>
            </w:pPr>
            <w:r w:rsidRPr="00992199">
              <w:rPr>
                <w:b/>
                <w:szCs w:val="20"/>
              </w:rPr>
              <w:t>Country</w:t>
            </w:r>
          </w:p>
        </w:tc>
        <w:tc>
          <w:tcPr>
            <w:tcW w:w="6199" w:type="dxa"/>
            <w:tcBorders>
              <w:bottom w:val="single" w:sz="4" w:space="0" w:color="auto"/>
            </w:tcBorders>
          </w:tcPr>
          <w:p w:rsidR="003F0BC5" w:rsidRPr="00992199" w:rsidRDefault="003F0BC5" w:rsidP="00BB0F52">
            <w:pPr>
              <w:rPr>
                <w:b/>
                <w:szCs w:val="20"/>
              </w:rPr>
            </w:pPr>
            <w:r w:rsidRPr="00992199">
              <w:rPr>
                <w:b/>
                <w:szCs w:val="20"/>
              </w:rPr>
              <w:t>Description of activities</w:t>
            </w:r>
          </w:p>
        </w:tc>
      </w:tr>
      <w:tr w:rsidR="003F0BC5" w:rsidRPr="00992199" w:rsidTr="00694C4C">
        <w:tc>
          <w:tcPr>
            <w:tcW w:w="1213" w:type="dxa"/>
          </w:tcPr>
          <w:p w:rsidR="003F0BC5" w:rsidRPr="00992199" w:rsidRDefault="003F0BC5" w:rsidP="00BB0F52">
            <w:pPr>
              <w:rPr>
                <w:szCs w:val="20"/>
              </w:rPr>
            </w:pPr>
            <w:r w:rsidRPr="00992199">
              <w:rPr>
                <w:szCs w:val="20"/>
              </w:rPr>
              <w:t>Klasmann Deilman</w:t>
            </w:r>
          </w:p>
        </w:tc>
        <w:tc>
          <w:tcPr>
            <w:tcW w:w="1061" w:type="dxa"/>
          </w:tcPr>
          <w:p w:rsidR="003F0BC5" w:rsidRPr="00992199" w:rsidRDefault="003F0BC5" w:rsidP="00BB0F52">
            <w:pPr>
              <w:rPr>
                <w:szCs w:val="20"/>
              </w:rPr>
            </w:pPr>
            <w:smartTag w:uri="urn:schemas-microsoft-com:office:smarttags" w:element="country-region">
              <w:smartTag w:uri="urn:schemas-microsoft-com:office:smarttags" w:element="place">
                <w:r w:rsidRPr="00992199">
                  <w:rPr>
                    <w:szCs w:val="20"/>
                  </w:rPr>
                  <w:t>Germany</w:t>
                </w:r>
              </w:smartTag>
            </w:smartTag>
          </w:p>
        </w:tc>
        <w:tc>
          <w:tcPr>
            <w:tcW w:w="6199" w:type="dxa"/>
          </w:tcPr>
          <w:p w:rsidR="003F0BC5" w:rsidRPr="00992199" w:rsidRDefault="000E1930" w:rsidP="00BB0F52">
            <w:pPr>
              <w:rPr>
                <w:szCs w:val="20"/>
              </w:rPr>
            </w:pPr>
            <w:r>
              <w:rPr>
                <w:szCs w:val="20"/>
              </w:rPr>
              <w:t xml:space="preserve">With a published </w:t>
            </w:r>
            <w:r w:rsidR="003F0BC5" w:rsidRPr="00992199">
              <w:rPr>
                <w:szCs w:val="20"/>
              </w:rPr>
              <w:t xml:space="preserve">consolidated sales of </w:t>
            </w:r>
            <w:r w:rsidR="00E53641">
              <w:rPr>
                <w:szCs w:val="20"/>
              </w:rPr>
              <w:t>EUR </w:t>
            </w:r>
            <w:r w:rsidR="003F0BC5" w:rsidRPr="00992199">
              <w:rPr>
                <w:szCs w:val="20"/>
              </w:rPr>
              <w:t>165,000,000 for the financial year 2014, the Klasmann-Deilmann group is the biggest European growing media producer. The Klasmann-Deilmann group reports a total annual production volume of growing media of 3,400,000 m³ for the year 2014.</w:t>
            </w:r>
          </w:p>
          <w:p w:rsidR="003F0BC5" w:rsidRPr="00992199" w:rsidRDefault="003F0BC5" w:rsidP="00BB0F52">
            <w:pPr>
              <w:rPr>
                <w:szCs w:val="20"/>
              </w:rPr>
            </w:pPr>
            <w:r w:rsidRPr="00992199">
              <w:rPr>
                <w:szCs w:val="20"/>
              </w:rPr>
              <w:t xml:space="preserve">According to its annual published accounts 17.8% of the sales is realised in </w:t>
            </w:r>
            <w:smartTag w:uri="urn:schemas-microsoft-com:office:smarttags" w:element="country-region">
              <w:r w:rsidRPr="00992199">
                <w:rPr>
                  <w:szCs w:val="20"/>
                </w:rPr>
                <w:t>Germany</w:t>
              </w:r>
            </w:smartTag>
            <w:r w:rsidRPr="00992199">
              <w:rPr>
                <w:szCs w:val="20"/>
              </w:rPr>
              <w:t xml:space="preserve">, the rest outside </w:t>
            </w:r>
            <w:smartTag w:uri="urn:schemas-microsoft-com:office:smarttags" w:element="country-region">
              <w:smartTag w:uri="urn:schemas-microsoft-com:office:smarttags" w:element="place">
                <w:r w:rsidRPr="00992199">
                  <w:rPr>
                    <w:szCs w:val="20"/>
                  </w:rPr>
                  <w:t>Germany</w:t>
                </w:r>
              </w:smartTag>
            </w:smartTag>
            <w:r w:rsidRPr="00992199">
              <w:rPr>
                <w:szCs w:val="20"/>
              </w:rPr>
              <w:t xml:space="preserve"> (2013). Klasmann Deilman focuses mainly on growing media for several B2B markets but produces also products for B2C gardening.</w:t>
            </w:r>
          </w:p>
        </w:tc>
      </w:tr>
      <w:tr w:rsidR="003F0BC5" w:rsidRPr="00992199" w:rsidTr="00694C4C">
        <w:tc>
          <w:tcPr>
            <w:tcW w:w="1213" w:type="dxa"/>
          </w:tcPr>
          <w:p w:rsidR="003F0BC5" w:rsidRPr="00992199" w:rsidRDefault="003F0BC5" w:rsidP="00BB0F52">
            <w:pPr>
              <w:rPr>
                <w:szCs w:val="20"/>
              </w:rPr>
            </w:pPr>
            <w:r w:rsidRPr="00992199">
              <w:rPr>
                <w:szCs w:val="20"/>
              </w:rPr>
              <w:t>Pindstrub</w:t>
            </w:r>
          </w:p>
        </w:tc>
        <w:tc>
          <w:tcPr>
            <w:tcW w:w="1061" w:type="dxa"/>
          </w:tcPr>
          <w:p w:rsidR="003F0BC5" w:rsidRPr="00992199" w:rsidRDefault="003F0BC5" w:rsidP="00BB0F52">
            <w:pPr>
              <w:rPr>
                <w:szCs w:val="20"/>
              </w:rPr>
            </w:pPr>
            <w:smartTag w:uri="urn:schemas-microsoft-com:office:smarttags" w:element="country-region">
              <w:smartTag w:uri="urn:schemas-microsoft-com:office:smarttags" w:element="place">
                <w:r w:rsidRPr="00992199">
                  <w:rPr>
                    <w:szCs w:val="20"/>
                  </w:rPr>
                  <w:t>Denmark</w:t>
                </w:r>
              </w:smartTag>
            </w:smartTag>
          </w:p>
        </w:tc>
        <w:tc>
          <w:tcPr>
            <w:tcW w:w="6199" w:type="dxa"/>
          </w:tcPr>
          <w:p w:rsidR="003F0BC5" w:rsidRPr="00992199" w:rsidRDefault="003F0BC5" w:rsidP="00BB0F52">
            <w:pPr>
              <w:rPr>
                <w:szCs w:val="20"/>
              </w:rPr>
            </w:pPr>
            <w:r w:rsidRPr="00992199">
              <w:rPr>
                <w:szCs w:val="20"/>
              </w:rPr>
              <w:t xml:space="preserve">The Danish privately owned Pindstrub group published a turnover, over the financial year 2012-2013 of about DKK 700,000,000 or about </w:t>
            </w:r>
            <w:r w:rsidR="00E53641">
              <w:rPr>
                <w:szCs w:val="20"/>
              </w:rPr>
              <w:lastRenderedPageBreak/>
              <w:t>EUR </w:t>
            </w:r>
            <w:r w:rsidRPr="00992199">
              <w:rPr>
                <w:szCs w:val="20"/>
              </w:rPr>
              <w:t>93,950,000. According to their company information this corresponds with a total annual production volume more than 1,600,000 m³ of growing media. Pindstrub is mainly active in the B2B markets.</w:t>
            </w:r>
          </w:p>
        </w:tc>
      </w:tr>
      <w:tr w:rsidR="003F0BC5" w:rsidRPr="00992199" w:rsidTr="00694C4C">
        <w:tc>
          <w:tcPr>
            <w:tcW w:w="1213" w:type="dxa"/>
          </w:tcPr>
          <w:p w:rsidR="003F0BC5" w:rsidRPr="00992199" w:rsidRDefault="003F0BC5" w:rsidP="00BB0F52">
            <w:pPr>
              <w:rPr>
                <w:szCs w:val="20"/>
              </w:rPr>
            </w:pPr>
            <w:r w:rsidRPr="00992199">
              <w:rPr>
                <w:szCs w:val="20"/>
              </w:rPr>
              <w:lastRenderedPageBreak/>
              <w:t>Floragard Vertriebs-GmbH</w:t>
            </w:r>
          </w:p>
        </w:tc>
        <w:tc>
          <w:tcPr>
            <w:tcW w:w="1061" w:type="dxa"/>
          </w:tcPr>
          <w:p w:rsidR="003F0BC5" w:rsidRPr="00992199" w:rsidRDefault="003F0BC5" w:rsidP="00BB0F52">
            <w:pPr>
              <w:rPr>
                <w:szCs w:val="20"/>
              </w:rPr>
            </w:pPr>
            <w:smartTag w:uri="urn:schemas-microsoft-com:office:smarttags" w:element="country-region">
              <w:smartTag w:uri="urn:schemas-microsoft-com:office:smarttags" w:element="place">
                <w:r w:rsidRPr="00992199">
                  <w:rPr>
                    <w:szCs w:val="20"/>
                  </w:rPr>
                  <w:t>Germany</w:t>
                </w:r>
              </w:smartTag>
            </w:smartTag>
          </w:p>
        </w:tc>
        <w:tc>
          <w:tcPr>
            <w:tcW w:w="6199" w:type="dxa"/>
          </w:tcPr>
          <w:p w:rsidR="003F0BC5" w:rsidRPr="00992199" w:rsidRDefault="003F0BC5" w:rsidP="00BB0F52">
            <w:pPr>
              <w:rPr>
                <w:szCs w:val="20"/>
              </w:rPr>
            </w:pPr>
            <w:r w:rsidRPr="00992199">
              <w:rPr>
                <w:szCs w:val="20"/>
              </w:rPr>
              <w:t>Floragard is an international sales organisation grouping several producers of growing media since 1919.</w:t>
            </w:r>
          </w:p>
          <w:p w:rsidR="003F0BC5" w:rsidRPr="00992199" w:rsidRDefault="003F0BC5" w:rsidP="00334917">
            <w:pPr>
              <w:rPr>
                <w:szCs w:val="20"/>
              </w:rPr>
            </w:pPr>
            <w:r w:rsidRPr="00992199">
              <w:rPr>
                <w:szCs w:val="20"/>
              </w:rPr>
              <w:t>For 2013 has publishe</w:t>
            </w:r>
            <w:r w:rsidR="00334917">
              <w:rPr>
                <w:szCs w:val="20"/>
              </w:rPr>
              <w:t xml:space="preserve">d a turnover of </w:t>
            </w:r>
            <w:r w:rsidR="00E53641">
              <w:rPr>
                <w:szCs w:val="20"/>
              </w:rPr>
              <w:t>EUR </w:t>
            </w:r>
            <w:r w:rsidR="00334917">
              <w:rPr>
                <w:szCs w:val="20"/>
              </w:rPr>
              <w:t>61,094,000</w:t>
            </w:r>
            <w:r w:rsidRPr="00992199">
              <w:rPr>
                <w:szCs w:val="20"/>
              </w:rPr>
              <w:t>. No production volumes are known. Floragard is also active on the B2C market.</w:t>
            </w:r>
          </w:p>
        </w:tc>
      </w:tr>
    </w:tbl>
    <w:p w:rsidR="003F0BC5" w:rsidRPr="00992199" w:rsidRDefault="003F0BC5" w:rsidP="00353B80">
      <w:pPr>
        <w:pStyle w:val="Firm5L3"/>
        <w:keepNext/>
      </w:pPr>
      <w:r w:rsidRPr="00992199">
        <w:t>Property, plants and equipment</w:t>
      </w:r>
    </w:p>
    <w:p w:rsidR="003F0BC5" w:rsidRPr="00992199" w:rsidRDefault="003F0BC5" w:rsidP="003F0BC5">
      <w:pPr>
        <w:rPr>
          <w:szCs w:val="20"/>
        </w:rPr>
      </w:pPr>
      <w:r w:rsidRPr="00992199">
        <w:rPr>
          <w:szCs w:val="20"/>
        </w:rPr>
        <w:t xml:space="preserve">The Peatinvest Group has nine sites in four countries. The two Belgian sites are located in </w:t>
      </w:r>
      <w:smartTag w:uri="urn:schemas-microsoft-com:office:smarttags" w:element="City">
        <w:smartTag w:uri="urn:schemas-microsoft-com:office:smarttags" w:element="place">
          <w:r w:rsidRPr="00992199">
            <w:rPr>
              <w:szCs w:val="20"/>
            </w:rPr>
            <w:t>Ghent</w:t>
          </w:r>
        </w:smartTag>
      </w:smartTag>
      <w:r w:rsidRPr="00992199">
        <w:rPr>
          <w:szCs w:val="20"/>
        </w:rPr>
        <w:t xml:space="preserve"> and Seilles. The two French sites are located in </w:t>
      </w:r>
      <w:smartTag w:uri="urn:schemas-microsoft-com:office:smarttags" w:element="country-region">
        <w:smartTag w:uri="urn:schemas-microsoft-com:office:smarttags" w:element="place">
          <w:r w:rsidRPr="00992199">
            <w:rPr>
              <w:szCs w:val="20"/>
            </w:rPr>
            <w:t>Arles</w:t>
          </w:r>
        </w:smartTag>
      </w:smartTag>
      <w:r w:rsidRPr="00992199">
        <w:rPr>
          <w:szCs w:val="20"/>
        </w:rPr>
        <w:t xml:space="preserve"> and Onesse-et-Laharie. The Latvian site is located in </w:t>
      </w:r>
      <w:smartTag w:uri="urn:schemas-microsoft-com:office:smarttags" w:element="City">
        <w:smartTag w:uri="urn:schemas-microsoft-com:office:smarttags" w:element="place">
          <w:r w:rsidRPr="00992199">
            <w:rPr>
              <w:szCs w:val="20"/>
            </w:rPr>
            <w:t>Riga</w:t>
          </w:r>
        </w:smartTag>
      </w:smartTag>
      <w:r w:rsidRPr="00992199">
        <w:rPr>
          <w:szCs w:val="20"/>
        </w:rPr>
        <w:t xml:space="preserve"> and the Polish sites are located in Budwite, Jozefowo, Rucianka and Krakulice. The Polish headquarters and offices are based at Paslek.</w:t>
      </w:r>
    </w:p>
    <w:p w:rsidR="003F0BC5" w:rsidRPr="00992199" w:rsidRDefault="003F0BC5" w:rsidP="003F0BC5">
      <w:pPr>
        <w:rPr>
          <w:szCs w:val="20"/>
        </w:rPr>
      </w:pPr>
      <w:r w:rsidRPr="00992199">
        <w:rPr>
          <w:szCs w:val="20"/>
        </w:rPr>
        <w:t xml:space="preserve">The main production site is located in </w:t>
      </w:r>
      <w:smartTag w:uri="urn:schemas-microsoft-com:office:smarttags" w:element="City">
        <w:r w:rsidRPr="00992199">
          <w:rPr>
            <w:szCs w:val="20"/>
          </w:rPr>
          <w:t>Ghent</w:t>
        </w:r>
      </w:smartTag>
      <w:r w:rsidRPr="00992199">
        <w:rPr>
          <w:szCs w:val="20"/>
        </w:rPr>
        <w:t xml:space="preserve"> (</w:t>
      </w:r>
      <w:smartTag w:uri="urn:schemas-microsoft-com:office:smarttags" w:element="country-region">
        <w:smartTag w:uri="urn:schemas-microsoft-com:office:smarttags" w:element="place">
          <w:r w:rsidRPr="00992199">
            <w:rPr>
              <w:szCs w:val="20"/>
            </w:rPr>
            <w:t>Belgium</w:t>
          </w:r>
        </w:smartTag>
      </w:smartTag>
      <w:r w:rsidRPr="00992199">
        <w:rPr>
          <w:szCs w:val="20"/>
        </w:rPr>
        <w:t>) where half of the Western-Europe production is produced. The remaining of the production designed for the Belgian and French markets is performed on the Belgian site located in Seilles and the French site located in Onesse-et-Laharie. These two sites mainly focus on the production and packaging of bark and mulches.</w:t>
      </w:r>
    </w:p>
    <w:p w:rsidR="003F0BC5" w:rsidRPr="00992199" w:rsidRDefault="003F0BC5" w:rsidP="003F0BC5">
      <w:pPr>
        <w:rPr>
          <w:szCs w:val="20"/>
        </w:rPr>
      </w:pPr>
      <w:r w:rsidRPr="00992199">
        <w:rPr>
          <w:szCs w:val="20"/>
        </w:rPr>
        <w:t xml:space="preserve">The production on the plant in </w:t>
      </w:r>
      <w:smartTag w:uri="urn:schemas-microsoft-com:office:smarttags" w:element="country-region">
        <w:r w:rsidRPr="00992199">
          <w:rPr>
            <w:szCs w:val="20"/>
          </w:rPr>
          <w:t>Arles</w:t>
        </w:r>
      </w:smartTag>
      <w:r w:rsidRPr="00992199">
        <w:rPr>
          <w:szCs w:val="20"/>
        </w:rPr>
        <w:t xml:space="preserve"> (</w:t>
      </w:r>
      <w:smartTag w:uri="urn:schemas-microsoft-com:office:smarttags" w:element="country-region">
        <w:smartTag w:uri="urn:schemas-microsoft-com:office:smarttags" w:element="place">
          <w:r w:rsidRPr="00992199">
            <w:rPr>
              <w:szCs w:val="20"/>
            </w:rPr>
            <w:t>France</w:t>
          </w:r>
        </w:smartTag>
      </w:smartTag>
      <w:r w:rsidRPr="00992199">
        <w:rPr>
          <w:szCs w:val="20"/>
        </w:rPr>
        <w:t xml:space="preserve">) was discontinued in 2013 due to a fire incident and optimisation of the supply chain. The site in </w:t>
      </w:r>
      <w:smartTag w:uri="urn:schemas-microsoft-com:office:smarttags" w:element="country-region">
        <w:smartTag w:uri="urn:schemas-microsoft-com:office:smarttags" w:element="place">
          <w:r w:rsidRPr="00992199">
            <w:rPr>
              <w:szCs w:val="20"/>
            </w:rPr>
            <w:t>Arles</w:t>
          </w:r>
        </w:smartTag>
      </w:smartTag>
      <w:r w:rsidRPr="00992199">
        <w:rPr>
          <w:szCs w:val="20"/>
        </w:rPr>
        <w:t xml:space="preserve"> is currently used as a local distribution platform.</w:t>
      </w:r>
    </w:p>
    <w:p w:rsidR="003F0BC5" w:rsidRPr="00992199" w:rsidRDefault="003F0BC5" w:rsidP="003F0BC5">
      <w:pPr>
        <w:rPr>
          <w:szCs w:val="20"/>
        </w:rPr>
      </w:pPr>
      <w:r w:rsidRPr="00992199">
        <w:rPr>
          <w:szCs w:val="20"/>
        </w:rPr>
        <w:t xml:space="preserve">Misas </w:t>
      </w:r>
      <w:smartTag w:uri="urn:schemas-microsoft-com:office:smarttags" w:element="place">
        <w:smartTag w:uri="urn:schemas-microsoft-com:office:smarttags" w:element="City">
          <w:r w:rsidRPr="00992199">
            <w:rPr>
              <w:szCs w:val="20"/>
            </w:rPr>
            <w:t>Kudra</w:t>
          </w:r>
        </w:smartTag>
        <w:r w:rsidRPr="00992199">
          <w:rPr>
            <w:szCs w:val="20"/>
          </w:rPr>
          <w:t xml:space="preserve"> </w:t>
        </w:r>
        <w:smartTag w:uri="urn:schemas-microsoft-com:office:smarttags" w:element="State">
          <w:r w:rsidRPr="00992199">
            <w:rPr>
              <w:szCs w:val="20"/>
            </w:rPr>
            <w:t>AS</w:t>
          </w:r>
        </w:smartTag>
      </w:smartTag>
      <w:r w:rsidRPr="00992199">
        <w:rPr>
          <w:szCs w:val="20"/>
        </w:rPr>
        <w:t>, Peatinvest’s Latvian subsidiary opened a new production site in 2007-2008. This plant focuses on export markets.</w:t>
      </w:r>
    </w:p>
    <w:p w:rsidR="003F0BC5" w:rsidRPr="00992199" w:rsidRDefault="003F0BC5" w:rsidP="003F0BC5">
      <w:pPr>
        <w:rPr>
          <w:szCs w:val="20"/>
        </w:rPr>
      </w:pPr>
      <w:r w:rsidRPr="00992199">
        <w:rPr>
          <w:szCs w:val="20"/>
        </w:rPr>
        <w:t xml:space="preserve">All four production sites in </w:t>
      </w:r>
      <w:smartTag w:uri="urn:schemas-microsoft-com:office:smarttags" w:element="country-region">
        <w:smartTag w:uri="urn:schemas-microsoft-com:office:smarttags" w:element="place">
          <w:r w:rsidRPr="00992199">
            <w:rPr>
              <w:szCs w:val="20"/>
            </w:rPr>
            <w:t>Poland</w:t>
          </w:r>
        </w:smartTag>
      </w:smartTag>
      <w:r w:rsidRPr="00992199">
        <w:rPr>
          <w:szCs w:val="20"/>
        </w:rPr>
        <w:t xml:space="preserve"> are individually small and located on or near a peat field.</w:t>
      </w:r>
    </w:p>
    <w:p w:rsidR="003F0BC5" w:rsidRPr="00992199" w:rsidRDefault="003F0BC5" w:rsidP="003F0BC5">
      <w:pPr>
        <w:rPr>
          <w:szCs w:val="20"/>
        </w:rPr>
      </w:pPr>
      <w:r w:rsidRPr="00992199">
        <w:rPr>
          <w:szCs w:val="20"/>
        </w:rPr>
        <w:t xml:space="preserve">The company owns most of the land and buildings, except for the production site in </w:t>
      </w:r>
      <w:smartTag w:uri="urn:schemas-microsoft-com:office:smarttags" w:element="City">
        <w:r w:rsidRPr="00992199">
          <w:rPr>
            <w:szCs w:val="20"/>
          </w:rPr>
          <w:t>Ghent</w:t>
        </w:r>
      </w:smartTag>
      <w:r w:rsidRPr="00992199">
        <w:rPr>
          <w:szCs w:val="20"/>
        </w:rPr>
        <w:t xml:space="preserve">, the production site in Seilles, the site in </w:t>
      </w:r>
      <w:smartTag w:uri="urn:schemas-microsoft-com:office:smarttags" w:element="country-region">
        <w:r w:rsidRPr="00992199">
          <w:rPr>
            <w:szCs w:val="20"/>
          </w:rPr>
          <w:t>Arles</w:t>
        </w:r>
      </w:smartTag>
      <w:r w:rsidRPr="00992199">
        <w:rPr>
          <w:szCs w:val="20"/>
        </w:rPr>
        <w:t xml:space="preserve"> and the head office in </w:t>
      </w:r>
      <w:smartTag w:uri="urn:schemas-microsoft-com:office:smarttags" w:element="City">
        <w:smartTag w:uri="urn:schemas-microsoft-com:office:smarttags" w:element="place">
          <w:r w:rsidRPr="00992199">
            <w:rPr>
              <w:szCs w:val="20"/>
            </w:rPr>
            <w:t>Ghent</w:t>
          </w:r>
        </w:smartTag>
      </w:smartTag>
      <w:r w:rsidRPr="00992199">
        <w:rPr>
          <w:szCs w:val="20"/>
        </w:rPr>
        <w:t>.</w:t>
      </w:r>
    </w:p>
    <w:p w:rsidR="001E3459" w:rsidRPr="00992199" w:rsidRDefault="001E3459" w:rsidP="00353B80">
      <w:pPr>
        <w:pStyle w:val="Firm5L3"/>
        <w:keepNext/>
      </w:pPr>
      <w:r w:rsidRPr="00992199">
        <w:t>Employees</w:t>
      </w:r>
    </w:p>
    <w:p w:rsidR="001E3459" w:rsidRPr="00992199" w:rsidRDefault="001E3459" w:rsidP="001E3459">
      <w:pPr>
        <w:rPr>
          <w:szCs w:val="20"/>
        </w:rPr>
      </w:pPr>
      <w:r w:rsidRPr="00992199">
        <w:rPr>
          <w:szCs w:val="20"/>
        </w:rPr>
        <w:t>The Peatinve</w:t>
      </w:r>
      <w:r>
        <w:rPr>
          <w:szCs w:val="20"/>
        </w:rPr>
        <w:t xml:space="preserve">st Group employs approximately </w:t>
      </w:r>
      <w:r w:rsidRPr="00992199">
        <w:rPr>
          <w:szCs w:val="20"/>
        </w:rPr>
        <w:t>330</w:t>
      </w:r>
      <w:r>
        <w:rPr>
          <w:szCs w:val="20"/>
        </w:rPr>
        <w:t xml:space="preserve"> employees</w:t>
      </w:r>
      <w:r w:rsidRPr="00992199">
        <w:rPr>
          <w:szCs w:val="20"/>
        </w:rPr>
        <w:t>. In addition, the Peatinvest Group’s seasonal business depends to a large extent on interim labo</w:t>
      </w:r>
      <w:r>
        <w:rPr>
          <w:szCs w:val="20"/>
        </w:rPr>
        <w:t>u</w:t>
      </w:r>
      <w:r w:rsidRPr="00992199">
        <w:rPr>
          <w:szCs w:val="20"/>
        </w:rPr>
        <w:t>r. Accordingly, the Peatinvest Group is exposed to risks associated with the potential loss of or inability to attract temporary workers.</w:t>
      </w:r>
    </w:p>
    <w:p w:rsidR="001E3459" w:rsidRPr="00992199" w:rsidRDefault="001E3459" w:rsidP="001E3459">
      <w:pPr>
        <w:rPr>
          <w:szCs w:val="20"/>
        </w:rPr>
      </w:pPr>
      <w:r>
        <w:rPr>
          <w:szCs w:val="20"/>
        </w:rPr>
        <w:t>The Peatinvest Group maintains</w:t>
      </w:r>
      <w:r w:rsidRPr="00992199">
        <w:rPr>
          <w:szCs w:val="20"/>
        </w:rPr>
        <w:t xml:space="preserve"> defined </w:t>
      </w:r>
      <w:r w:rsidRPr="003752D4">
        <w:rPr>
          <w:szCs w:val="20"/>
        </w:rPr>
        <w:t>contribution</w:t>
      </w:r>
      <w:r>
        <w:rPr>
          <w:szCs w:val="20"/>
        </w:rPr>
        <w:t xml:space="preserve"> and defined benefit</w:t>
      </w:r>
      <w:r w:rsidRPr="00992199">
        <w:rPr>
          <w:szCs w:val="20"/>
        </w:rPr>
        <w:t xml:space="preserve"> pension plans for its employees</w:t>
      </w:r>
      <w:r>
        <w:rPr>
          <w:szCs w:val="20"/>
        </w:rPr>
        <w:t xml:space="preserve"> in certain jurisdictions</w:t>
      </w:r>
      <w:r w:rsidRPr="00992199">
        <w:rPr>
          <w:szCs w:val="20"/>
        </w:rPr>
        <w:t xml:space="preserve">. A defined contribution benefit plan is a post-employment plan under </w:t>
      </w:r>
      <w:r w:rsidR="000E1930">
        <w:rPr>
          <w:szCs w:val="20"/>
        </w:rPr>
        <w:t xml:space="preserve">which </w:t>
      </w:r>
      <w:r w:rsidRPr="00992199">
        <w:rPr>
          <w:szCs w:val="20"/>
        </w:rPr>
        <w:t>the Peatinvest Group pays fixed contributions into a separate entity (a fund or insurance company) and will have no legal or constructive obligation to pay further contributions if the fund does not hold sufficient assets to pay all employee benefits relating to employees service in the current and prior periods. The contributions are recognised as employee benefit expenses when they are due. Prepaid contributions are recognised as an asset to the extent that a cash refund or a reduction in the future payments is available.</w:t>
      </w:r>
    </w:p>
    <w:p w:rsidR="003F0BC5" w:rsidRPr="00992199" w:rsidRDefault="003F0BC5" w:rsidP="00353B80">
      <w:pPr>
        <w:pStyle w:val="Firm5L3"/>
        <w:keepNext/>
        <w:keepLines/>
      </w:pPr>
      <w:r w:rsidRPr="00992199">
        <w:lastRenderedPageBreak/>
        <w:t>Organisational structure and chart</w:t>
      </w:r>
    </w:p>
    <w:p w:rsidR="003F0BC5" w:rsidRPr="00992199" w:rsidRDefault="003F0BC5" w:rsidP="00353B80">
      <w:pPr>
        <w:pStyle w:val="Firm5L4"/>
        <w:keepNext/>
        <w:keepLines/>
      </w:pPr>
      <w:r w:rsidRPr="00992199">
        <w:t>Structure chart</w:t>
      </w:r>
    </w:p>
    <w:p w:rsidR="003F0BC5" w:rsidRPr="00992199" w:rsidRDefault="003F0BC5" w:rsidP="002D03CA">
      <w:pPr>
        <w:keepNext/>
        <w:keepLines/>
        <w:ind w:left="-142"/>
        <w:rPr>
          <w:szCs w:val="20"/>
        </w:rPr>
      </w:pPr>
      <w:r w:rsidRPr="00992199">
        <w:rPr>
          <w:szCs w:val="20"/>
        </w:rPr>
        <w:object w:dxaOrig="14420" w:dyaOrig="8062">
          <v:shape id="_x0000_i1028" type="#_x0000_t75" style="width:442.2pt;height:148.1pt" o:ole="">
            <v:imagedata r:id="rId18" o:title="" croptop="27651f"/>
          </v:shape>
          <o:OLEObject Type="Embed" ProgID="Visio.Drawing.11" ShapeID="_x0000_i1028" DrawAspect="Content" ObjectID="_1597567039" r:id="rId19"/>
        </w:object>
      </w:r>
    </w:p>
    <w:p w:rsidR="003F0BC5" w:rsidRPr="00992199" w:rsidRDefault="003F0BC5" w:rsidP="00353B80">
      <w:pPr>
        <w:pStyle w:val="Firm5L4"/>
        <w:keepNext/>
      </w:pPr>
      <w:r w:rsidRPr="00992199">
        <w:t>Information on the subsidiaries</w:t>
      </w:r>
    </w:p>
    <w:p w:rsidR="003F0BC5" w:rsidRPr="00992199" w:rsidRDefault="003F0BC5" w:rsidP="003F0BC5">
      <w:pPr>
        <w:rPr>
          <w:szCs w:val="20"/>
        </w:rPr>
      </w:pPr>
      <w:r w:rsidRPr="00992199">
        <w:rPr>
          <w:szCs w:val="20"/>
        </w:rPr>
        <w:t>The subsidiaries of the Peatinvest Group are set out in the table below:</w:t>
      </w:r>
    </w:p>
    <w:tbl>
      <w:tblPr>
        <w:tblW w:w="0" w:type="auto"/>
        <w:tblLayout w:type="fixed"/>
        <w:tblLook w:val="04A0" w:firstRow="1" w:lastRow="0" w:firstColumn="1" w:lastColumn="0" w:noHBand="0" w:noVBand="1"/>
      </w:tblPr>
      <w:tblGrid>
        <w:gridCol w:w="7621"/>
        <w:gridCol w:w="1624"/>
      </w:tblGrid>
      <w:tr w:rsidR="001E3459" w:rsidRPr="001E3459" w:rsidTr="00DD4FD5">
        <w:tc>
          <w:tcPr>
            <w:tcW w:w="7621" w:type="dxa"/>
            <w:shd w:val="clear" w:color="auto" w:fill="auto"/>
            <w:vAlign w:val="bottom"/>
          </w:tcPr>
          <w:p w:rsidR="001E3459" w:rsidRPr="001E3459" w:rsidRDefault="001E3459" w:rsidP="00DD4FD5">
            <w:pPr>
              <w:pBdr>
                <w:bottom w:val="single" w:sz="4" w:space="1" w:color="auto"/>
              </w:pBdr>
              <w:spacing w:before="0" w:after="0"/>
              <w:rPr>
                <w:b/>
                <w:sz w:val="18"/>
                <w:szCs w:val="18"/>
              </w:rPr>
            </w:pPr>
            <w:r w:rsidRPr="001E3459">
              <w:rPr>
                <w:b/>
                <w:sz w:val="18"/>
                <w:szCs w:val="18"/>
              </w:rPr>
              <w:t>Subsidiary</w:t>
            </w:r>
          </w:p>
        </w:tc>
        <w:tc>
          <w:tcPr>
            <w:tcW w:w="1624" w:type="dxa"/>
            <w:shd w:val="clear" w:color="auto" w:fill="auto"/>
            <w:vAlign w:val="bottom"/>
          </w:tcPr>
          <w:p w:rsidR="001E3459" w:rsidRPr="001E3459" w:rsidRDefault="001E3459" w:rsidP="00DD4FD5">
            <w:pPr>
              <w:pBdr>
                <w:bottom w:val="single" w:sz="4" w:space="1" w:color="auto"/>
              </w:pBdr>
              <w:spacing w:before="0" w:after="0"/>
              <w:jc w:val="right"/>
              <w:rPr>
                <w:b/>
                <w:sz w:val="18"/>
                <w:szCs w:val="18"/>
              </w:rPr>
            </w:pPr>
            <w:r w:rsidRPr="001E3459">
              <w:rPr>
                <w:b/>
                <w:sz w:val="18"/>
                <w:szCs w:val="18"/>
              </w:rPr>
              <w:t>Shareholding (direct / indirect)</w:t>
            </w:r>
          </w:p>
        </w:tc>
      </w:tr>
      <w:tr w:rsidR="001E3459" w:rsidRPr="001E3459" w:rsidTr="00DD4FD5">
        <w:tc>
          <w:tcPr>
            <w:tcW w:w="7621" w:type="dxa"/>
            <w:shd w:val="clear" w:color="auto" w:fill="auto"/>
          </w:tcPr>
          <w:p w:rsidR="001E3459" w:rsidRPr="001E3459" w:rsidRDefault="001E3459" w:rsidP="00DD4FD5">
            <w:pPr>
              <w:tabs>
                <w:tab w:val="right" w:leader="dot" w:pos="7371"/>
              </w:tabs>
              <w:spacing w:before="0" w:after="0"/>
              <w:rPr>
                <w:sz w:val="18"/>
                <w:szCs w:val="18"/>
              </w:rPr>
            </w:pPr>
            <w:smartTag w:uri="urn:schemas-microsoft-com:office:smarttags" w:element="place">
              <w:smartTag w:uri="urn:schemas-microsoft-com:office:smarttags" w:element="City">
                <w:r w:rsidRPr="001E3459">
                  <w:rPr>
                    <w:sz w:val="18"/>
                    <w:szCs w:val="18"/>
                  </w:rPr>
                  <w:t>Peltracom</w:t>
                </w:r>
              </w:smartTag>
              <w:r w:rsidRPr="001E3459">
                <w:rPr>
                  <w:sz w:val="18"/>
                  <w:szCs w:val="18"/>
                </w:rPr>
                <w:t xml:space="preserve"> </w:t>
              </w:r>
              <w:smartTag w:uri="urn:schemas-microsoft-com:office:smarttags" w:element="State">
                <w:r w:rsidRPr="001E3459">
                  <w:rPr>
                    <w:sz w:val="18"/>
                    <w:szCs w:val="18"/>
                  </w:rPr>
                  <w:t>NV</w:t>
                </w:r>
              </w:smartTag>
            </w:smartTag>
            <w:r w:rsidRPr="001E3459">
              <w:rPr>
                <w:sz w:val="18"/>
                <w:szCs w:val="18"/>
              </w:rPr>
              <w:tab/>
            </w:r>
          </w:p>
        </w:tc>
        <w:tc>
          <w:tcPr>
            <w:tcW w:w="1624" w:type="dxa"/>
            <w:shd w:val="clear" w:color="auto" w:fill="auto"/>
          </w:tcPr>
          <w:p w:rsidR="001E3459" w:rsidRPr="001E3459" w:rsidRDefault="001E3459" w:rsidP="00DD4FD5">
            <w:pPr>
              <w:spacing w:before="0" w:after="0"/>
              <w:jc w:val="right"/>
              <w:rPr>
                <w:sz w:val="18"/>
                <w:szCs w:val="18"/>
              </w:rPr>
            </w:pPr>
            <w:r w:rsidRPr="001E3459">
              <w:rPr>
                <w:sz w:val="18"/>
                <w:szCs w:val="18"/>
              </w:rPr>
              <w:t>100%</w:t>
            </w:r>
          </w:p>
        </w:tc>
      </w:tr>
      <w:tr w:rsidR="001E3459" w:rsidRPr="001E3459" w:rsidTr="00DD4FD5">
        <w:tc>
          <w:tcPr>
            <w:tcW w:w="7621" w:type="dxa"/>
            <w:shd w:val="clear" w:color="auto" w:fill="auto"/>
          </w:tcPr>
          <w:p w:rsidR="001E3459" w:rsidRPr="001E3459" w:rsidRDefault="001E3459" w:rsidP="00DD4FD5">
            <w:pPr>
              <w:tabs>
                <w:tab w:val="right" w:leader="dot" w:pos="7371"/>
              </w:tabs>
              <w:spacing w:before="0" w:after="0"/>
              <w:rPr>
                <w:sz w:val="18"/>
                <w:szCs w:val="18"/>
              </w:rPr>
            </w:pPr>
            <w:r w:rsidRPr="001E3459">
              <w:rPr>
                <w:sz w:val="18"/>
                <w:szCs w:val="18"/>
              </w:rPr>
              <w:t>Agrofino Transport BVBA</w:t>
            </w:r>
            <w:r w:rsidRPr="001E3459">
              <w:rPr>
                <w:sz w:val="18"/>
                <w:szCs w:val="18"/>
              </w:rPr>
              <w:tab/>
            </w:r>
          </w:p>
        </w:tc>
        <w:tc>
          <w:tcPr>
            <w:tcW w:w="1624" w:type="dxa"/>
            <w:shd w:val="clear" w:color="auto" w:fill="auto"/>
          </w:tcPr>
          <w:p w:rsidR="001E3459" w:rsidRPr="001E3459" w:rsidRDefault="001E3459" w:rsidP="00DD4FD5">
            <w:pPr>
              <w:spacing w:before="0" w:after="0"/>
              <w:jc w:val="right"/>
              <w:rPr>
                <w:sz w:val="18"/>
                <w:szCs w:val="18"/>
              </w:rPr>
            </w:pPr>
            <w:r w:rsidRPr="001E3459">
              <w:rPr>
                <w:sz w:val="18"/>
                <w:szCs w:val="18"/>
              </w:rPr>
              <w:t>100%</w:t>
            </w:r>
          </w:p>
        </w:tc>
      </w:tr>
      <w:tr w:rsidR="001E3459" w:rsidRPr="001E3459" w:rsidTr="00DD4FD5">
        <w:tc>
          <w:tcPr>
            <w:tcW w:w="7621" w:type="dxa"/>
            <w:shd w:val="clear" w:color="auto" w:fill="auto"/>
          </w:tcPr>
          <w:p w:rsidR="001E3459" w:rsidRPr="001E3459" w:rsidRDefault="001E3459" w:rsidP="00DD4FD5">
            <w:pPr>
              <w:tabs>
                <w:tab w:val="right" w:leader="dot" w:pos="7371"/>
              </w:tabs>
              <w:spacing w:before="0" w:after="0"/>
              <w:rPr>
                <w:sz w:val="18"/>
                <w:szCs w:val="18"/>
              </w:rPr>
            </w:pPr>
            <w:r w:rsidRPr="001E3459">
              <w:rPr>
                <w:sz w:val="18"/>
                <w:szCs w:val="18"/>
              </w:rPr>
              <w:t>Norland SA</w:t>
            </w:r>
            <w:r w:rsidRPr="001E3459">
              <w:rPr>
                <w:sz w:val="18"/>
                <w:szCs w:val="18"/>
              </w:rPr>
              <w:tab/>
            </w:r>
          </w:p>
        </w:tc>
        <w:tc>
          <w:tcPr>
            <w:tcW w:w="1624" w:type="dxa"/>
            <w:shd w:val="clear" w:color="auto" w:fill="auto"/>
          </w:tcPr>
          <w:p w:rsidR="001E3459" w:rsidRPr="001E3459" w:rsidRDefault="001E3459" w:rsidP="00DD4FD5">
            <w:pPr>
              <w:spacing w:before="0" w:after="0"/>
              <w:jc w:val="right"/>
              <w:rPr>
                <w:sz w:val="18"/>
                <w:szCs w:val="18"/>
              </w:rPr>
            </w:pPr>
            <w:r w:rsidRPr="001E3459">
              <w:rPr>
                <w:sz w:val="18"/>
                <w:szCs w:val="18"/>
              </w:rPr>
              <w:t>100%</w:t>
            </w:r>
          </w:p>
        </w:tc>
      </w:tr>
      <w:tr w:rsidR="001E3459" w:rsidRPr="001E3459" w:rsidTr="00DD4FD5">
        <w:tc>
          <w:tcPr>
            <w:tcW w:w="7621" w:type="dxa"/>
            <w:shd w:val="clear" w:color="auto" w:fill="auto"/>
          </w:tcPr>
          <w:p w:rsidR="001E3459" w:rsidRPr="001E3459" w:rsidRDefault="001E3459" w:rsidP="00DD4FD5">
            <w:pPr>
              <w:tabs>
                <w:tab w:val="right" w:leader="dot" w:pos="7371"/>
              </w:tabs>
              <w:spacing w:before="0" w:after="0"/>
              <w:rPr>
                <w:sz w:val="18"/>
                <w:szCs w:val="18"/>
              </w:rPr>
            </w:pPr>
            <w:r w:rsidRPr="001E3459">
              <w:rPr>
                <w:sz w:val="18"/>
                <w:szCs w:val="18"/>
              </w:rPr>
              <w:t>Hollas sp.z o.o</w:t>
            </w:r>
            <w:r w:rsidRPr="001E3459">
              <w:rPr>
                <w:sz w:val="18"/>
                <w:szCs w:val="18"/>
              </w:rPr>
              <w:tab/>
            </w:r>
          </w:p>
        </w:tc>
        <w:tc>
          <w:tcPr>
            <w:tcW w:w="1624" w:type="dxa"/>
            <w:shd w:val="clear" w:color="auto" w:fill="auto"/>
          </w:tcPr>
          <w:p w:rsidR="001E3459" w:rsidRPr="001E3459" w:rsidRDefault="001E3459" w:rsidP="00DD4FD5">
            <w:pPr>
              <w:spacing w:before="0" w:after="0"/>
              <w:jc w:val="right"/>
              <w:rPr>
                <w:sz w:val="18"/>
                <w:szCs w:val="18"/>
              </w:rPr>
            </w:pPr>
            <w:r w:rsidRPr="001E3459">
              <w:rPr>
                <w:sz w:val="18"/>
                <w:szCs w:val="18"/>
              </w:rPr>
              <w:t>100%</w:t>
            </w:r>
          </w:p>
        </w:tc>
      </w:tr>
      <w:tr w:rsidR="001E3459" w:rsidRPr="001E3459" w:rsidTr="00DD4FD5">
        <w:tc>
          <w:tcPr>
            <w:tcW w:w="7621" w:type="dxa"/>
            <w:shd w:val="clear" w:color="auto" w:fill="auto"/>
          </w:tcPr>
          <w:p w:rsidR="001E3459" w:rsidRPr="001E3459" w:rsidRDefault="001E3459" w:rsidP="00DD4FD5">
            <w:pPr>
              <w:tabs>
                <w:tab w:val="right" w:leader="dot" w:pos="7371"/>
              </w:tabs>
              <w:spacing w:before="0" w:after="0"/>
              <w:rPr>
                <w:sz w:val="18"/>
                <w:szCs w:val="18"/>
              </w:rPr>
            </w:pPr>
            <w:r w:rsidRPr="001E3459">
              <w:rPr>
                <w:sz w:val="18"/>
                <w:szCs w:val="18"/>
              </w:rPr>
              <w:t xml:space="preserve">Misas </w:t>
            </w:r>
            <w:smartTag w:uri="urn:schemas-microsoft-com:office:smarttags" w:element="place">
              <w:smartTag w:uri="urn:schemas-microsoft-com:office:smarttags" w:element="City">
                <w:r w:rsidRPr="001E3459">
                  <w:rPr>
                    <w:sz w:val="18"/>
                    <w:szCs w:val="18"/>
                  </w:rPr>
                  <w:t>Kudra</w:t>
                </w:r>
              </w:smartTag>
              <w:r w:rsidRPr="001E3459">
                <w:rPr>
                  <w:sz w:val="18"/>
                  <w:szCs w:val="18"/>
                </w:rPr>
                <w:t xml:space="preserve"> </w:t>
              </w:r>
              <w:smartTag w:uri="urn:schemas-microsoft-com:office:smarttags" w:element="State">
                <w:r w:rsidRPr="001E3459">
                  <w:rPr>
                    <w:sz w:val="18"/>
                    <w:szCs w:val="18"/>
                  </w:rPr>
                  <w:t>AS</w:t>
                </w:r>
              </w:smartTag>
            </w:smartTag>
            <w:r w:rsidRPr="001E3459">
              <w:rPr>
                <w:sz w:val="18"/>
                <w:szCs w:val="18"/>
              </w:rPr>
              <w:tab/>
            </w:r>
          </w:p>
        </w:tc>
        <w:tc>
          <w:tcPr>
            <w:tcW w:w="1624" w:type="dxa"/>
            <w:shd w:val="clear" w:color="auto" w:fill="auto"/>
          </w:tcPr>
          <w:p w:rsidR="001E3459" w:rsidRPr="001E3459" w:rsidRDefault="001E3459" w:rsidP="00DD4FD5">
            <w:pPr>
              <w:spacing w:before="0" w:after="0"/>
              <w:jc w:val="right"/>
              <w:rPr>
                <w:sz w:val="18"/>
                <w:szCs w:val="18"/>
              </w:rPr>
            </w:pPr>
            <w:r w:rsidRPr="001E3459">
              <w:rPr>
                <w:sz w:val="18"/>
                <w:szCs w:val="18"/>
              </w:rPr>
              <w:t>99.26%</w:t>
            </w:r>
          </w:p>
        </w:tc>
      </w:tr>
      <w:tr w:rsidR="001E3459" w:rsidRPr="001E3459" w:rsidTr="00DD4FD5">
        <w:tc>
          <w:tcPr>
            <w:tcW w:w="7621" w:type="dxa"/>
            <w:shd w:val="clear" w:color="auto" w:fill="auto"/>
          </w:tcPr>
          <w:p w:rsidR="001E3459" w:rsidRPr="001E3459" w:rsidRDefault="001E3459" w:rsidP="00DD4FD5">
            <w:pPr>
              <w:tabs>
                <w:tab w:val="right" w:leader="dot" w:pos="7371"/>
              </w:tabs>
              <w:spacing w:before="0" w:after="0"/>
              <w:rPr>
                <w:sz w:val="18"/>
                <w:szCs w:val="18"/>
              </w:rPr>
            </w:pPr>
            <w:r w:rsidRPr="001E3459">
              <w:rPr>
                <w:sz w:val="18"/>
                <w:szCs w:val="18"/>
              </w:rPr>
              <w:t>Enavas SIA</w:t>
            </w:r>
            <w:r w:rsidRPr="001E3459">
              <w:rPr>
                <w:sz w:val="18"/>
                <w:szCs w:val="18"/>
              </w:rPr>
              <w:tab/>
            </w:r>
          </w:p>
        </w:tc>
        <w:tc>
          <w:tcPr>
            <w:tcW w:w="1624" w:type="dxa"/>
            <w:shd w:val="clear" w:color="auto" w:fill="auto"/>
          </w:tcPr>
          <w:p w:rsidR="001E3459" w:rsidRPr="001E3459" w:rsidRDefault="001E3459" w:rsidP="00DD4FD5">
            <w:pPr>
              <w:spacing w:before="0" w:after="0"/>
              <w:jc w:val="right"/>
              <w:rPr>
                <w:sz w:val="18"/>
                <w:szCs w:val="18"/>
              </w:rPr>
            </w:pPr>
            <w:r w:rsidRPr="001E3459">
              <w:rPr>
                <w:sz w:val="18"/>
                <w:szCs w:val="18"/>
              </w:rPr>
              <w:t>100%</w:t>
            </w:r>
          </w:p>
        </w:tc>
      </w:tr>
      <w:tr w:rsidR="001E3459" w:rsidRPr="001E3459" w:rsidTr="00DD4FD5">
        <w:tc>
          <w:tcPr>
            <w:tcW w:w="7621" w:type="dxa"/>
            <w:shd w:val="clear" w:color="auto" w:fill="auto"/>
          </w:tcPr>
          <w:p w:rsidR="001E3459" w:rsidRPr="001E3459" w:rsidRDefault="001E3459" w:rsidP="00DD4FD5">
            <w:pPr>
              <w:tabs>
                <w:tab w:val="right" w:leader="dot" w:pos="7371"/>
              </w:tabs>
              <w:spacing w:before="0" w:after="0"/>
              <w:rPr>
                <w:sz w:val="18"/>
                <w:szCs w:val="18"/>
              </w:rPr>
            </w:pPr>
            <w:r w:rsidRPr="001E3459">
              <w:rPr>
                <w:sz w:val="18"/>
                <w:szCs w:val="18"/>
              </w:rPr>
              <w:t>Peltracom SAS</w:t>
            </w:r>
            <w:r w:rsidRPr="001E3459">
              <w:rPr>
                <w:sz w:val="18"/>
                <w:szCs w:val="18"/>
              </w:rPr>
              <w:tab/>
            </w:r>
          </w:p>
        </w:tc>
        <w:tc>
          <w:tcPr>
            <w:tcW w:w="1624" w:type="dxa"/>
            <w:shd w:val="clear" w:color="auto" w:fill="auto"/>
          </w:tcPr>
          <w:p w:rsidR="001E3459" w:rsidRPr="001E3459" w:rsidRDefault="001E3459" w:rsidP="00DD4FD5">
            <w:pPr>
              <w:spacing w:before="0" w:after="0"/>
              <w:jc w:val="right"/>
              <w:rPr>
                <w:sz w:val="18"/>
                <w:szCs w:val="18"/>
              </w:rPr>
            </w:pPr>
            <w:r w:rsidRPr="001E3459">
              <w:rPr>
                <w:sz w:val="18"/>
                <w:szCs w:val="18"/>
              </w:rPr>
              <w:t>100%</w:t>
            </w:r>
          </w:p>
        </w:tc>
      </w:tr>
      <w:tr w:rsidR="001E3459" w:rsidRPr="006D1BE1" w:rsidTr="00DD4FD5">
        <w:tc>
          <w:tcPr>
            <w:tcW w:w="7621" w:type="dxa"/>
            <w:shd w:val="clear" w:color="auto" w:fill="auto"/>
          </w:tcPr>
          <w:p w:rsidR="001E3459" w:rsidRPr="001E3459" w:rsidRDefault="001E3459" w:rsidP="00DD4FD5">
            <w:pPr>
              <w:tabs>
                <w:tab w:val="right" w:leader="dot" w:pos="7371"/>
              </w:tabs>
              <w:spacing w:before="0" w:after="0"/>
              <w:rPr>
                <w:sz w:val="18"/>
                <w:szCs w:val="18"/>
              </w:rPr>
            </w:pPr>
            <w:r w:rsidRPr="001E3459">
              <w:rPr>
                <w:sz w:val="18"/>
                <w:szCs w:val="18"/>
              </w:rPr>
              <w:t>Humuland SAS</w:t>
            </w:r>
            <w:r w:rsidRPr="001E3459">
              <w:rPr>
                <w:sz w:val="18"/>
                <w:szCs w:val="18"/>
              </w:rPr>
              <w:tab/>
            </w:r>
          </w:p>
        </w:tc>
        <w:tc>
          <w:tcPr>
            <w:tcW w:w="1624" w:type="dxa"/>
            <w:shd w:val="clear" w:color="auto" w:fill="auto"/>
          </w:tcPr>
          <w:p w:rsidR="001E3459" w:rsidRPr="001E3459" w:rsidRDefault="001E3459" w:rsidP="00DD4FD5">
            <w:pPr>
              <w:spacing w:before="0" w:after="0"/>
              <w:jc w:val="right"/>
              <w:rPr>
                <w:sz w:val="18"/>
                <w:szCs w:val="18"/>
              </w:rPr>
            </w:pPr>
            <w:r w:rsidRPr="001E3459">
              <w:rPr>
                <w:sz w:val="18"/>
                <w:szCs w:val="18"/>
              </w:rPr>
              <w:t>100%</w:t>
            </w:r>
          </w:p>
        </w:tc>
      </w:tr>
    </w:tbl>
    <w:p w:rsidR="003F0BC5" w:rsidRPr="00992199" w:rsidRDefault="003F0BC5" w:rsidP="00353B80">
      <w:pPr>
        <w:pStyle w:val="Firm5L1"/>
        <w:keepNext/>
      </w:pPr>
      <w:bookmarkStart w:id="21" w:name="_Toc420593841"/>
      <w:r w:rsidRPr="00992199">
        <w:t>Selected financial information prior to the contributions</w:t>
      </w:r>
      <w:bookmarkEnd w:id="21"/>
    </w:p>
    <w:p w:rsidR="003F0BC5" w:rsidRPr="00992199" w:rsidRDefault="003F0BC5" w:rsidP="00353B80">
      <w:pPr>
        <w:pStyle w:val="Firm5L2"/>
        <w:keepNext/>
      </w:pPr>
      <w:bookmarkStart w:id="22" w:name="_Toc420593842"/>
      <w:r w:rsidRPr="00992199">
        <w:t xml:space="preserve">Key figures of </w:t>
      </w:r>
      <w:r w:rsidR="002A1AB1">
        <w:t>Greenyard Foods</w:t>
      </w:r>
      <w:bookmarkEnd w:id="22"/>
    </w:p>
    <w:p w:rsidR="003F0BC5" w:rsidRPr="00992199" w:rsidRDefault="003F0BC5" w:rsidP="003F0BC5">
      <w:pPr>
        <w:rPr>
          <w:szCs w:val="20"/>
        </w:rPr>
      </w:pPr>
      <w:r w:rsidRPr="00992199">
        <w:rPr>
          <w:szCs w:val="20"/>
        </w:rPr>
        <w:t>The tables below set forth the selected financial information based on the audited consolidated financial statements. The selected financial information should be read in conjunction with the audited consolidated financial statements that have been prepared in accordance with IRFS</w:t>
      </w:r>
      <w:r w:rsidR="007F24B1" w:rsidRPr="007F24B1">
        <w:t xml:space="preserve"> </w:t>
      </w:r>
      <w:r w:rsidR="007F24B1" w:rsidRPr="007F24B1">
        <w:rPr>
          <w:szCs w:val="20"/>
        </w:rPr>
        <w:t>and are included elsewhere in the Prospectus (see Annex I),</w:t>
      </w:r>
      <w:r w:rsidR="00916DA0">
        <w:rPr>
          <w:szCs w:val="20"/>
        </w:rPr>
        <w:t xml:space="preserve">, and with Section 1 of </w:t>
      </w:r>
      <w:r w:rsidRPr="00992199">
        <w:rPr>
          <w:szCs w:val="20"/>
        </w:rPr>
        <w:t>Part VI</w:t>
      </w:r>
      <w:r w:rsidR="00916DA0">
        <w:rPr>
          <w:szCs w:val="20"/>
        </w:rPr>
        <w:t xml:space="preserve"> (</w:t>
      </w:r>
      <w:r w:rsidR="00916DA0">
        <w:rPr>
          <w:i/>
          <w:szCs w:val="20"/>
        </w:rPr>
        <w:t>Operating and financial review</w:t>
      </w:r>
      <w:r w:rsidRPr="00992199">
        <w:rPr>
          <w:szCs w:val="20"/>
        </w:rPr>
        <w:t>).</w:t>
      </w:r>
    </w:p>
    <w:p w:rsidR="003F0BC5" w:rsidRPr="00992199" w:rsidRDefault="003F0BC5" w:rsidP="003F0BC5">
      <w:pPr>
        <w:rPr>
          <w:snapToGrid w:val="0"/>
          <w:szCs w:val="20"/>
        </w:rPr>
      </w:pPr>
      <w:r w:rsidRPr="00992199">
        <w:rPr>
          <w:snapToGrid w:val="0"/>
          <w:szCs w:val="20"/>
        </w:rPr>
        <w:t>This chapter describes the following financial information that has been prepared in accordance with IFRS:</w:t>
      </w:r>
    </w:p>
    <w:p w:rsidR="003F0BC5" w:rsidRPr="00992199" w:rsidRDefault="00334917" w:rsidP="002D03CA">
      <w:pPr>
        <w:pStyle w:val="BulletsL1"/>
        <w:rPr>
          <w:snapToGrid w:val="0"/>
        </w:rPr>
      </w:pPr>
      <w:r>
        <w:rPr>
          <w:snapToGrid w:val="0"/>
        </w:rPr>
        <w:t>a</w:t>
      </w:r>
      <w:r w:rsidR="003F0BC5" w:rsidRPr="00992199">
        <w:rPr>
          <w:snapToGrid w:val="0"/>
        </w:rPr>
        <w:t xml:space="preserve">udited consolidated statement of financial position and income statement of </w:t>
      </w:r>
      <w:r w:rsidR="002A1AB1">
        <w:rPr>
          <w:snapToGrid w:val="0"/>
        </w:rPr>
        <w:t>Greenyard Foods</w:t>
      </w:r>
      <w:r w:rsidR="003F0BC5" w:rsidRPr="00992199">
        <w:rPr>
          <w:snapToGrid w:val="0"/>
        </w:rPr>
        <w:t xml:space="preserve"> per 31 March 2013 excluding the Contributions aga</w:t>
      </w:r>
      <w:r>
        <w:rPr>
          <w:snapToGrid w:val="0"/>
        </w:rPr>
        <w:t>inst issuance of the New Shares;</w:t>
      </w:r>
    </w:p>
    <w:p w:rsidR="003F0BC5" w:rsidRPr="00992199" w:rsidRDefault="00334917" w:rsidP="002D03CA">
      <w:pPr>
        <w:pStyle w:val="BulletsL1"/>
        <w:rPr>
          <w:snapToGrid w:val="0"/>
        </w:rPr>
      </w:pPr>
      <w:r>
        <w:rPr>
          <w:snapToGrid w:val="0"/>
        </w:rPr>
        <w:t>a</w:t>
      </w:r>
      <w:r w:rsidR="003F0BC5" w:rsidRPr="00992199">
        <w:rPr>
          <w:snapToGrid w:val="0"/>
        </w:rPr>
        <w:t xml:space="preserve">udited consolidated statement of financial position and income statement of </w:t>
      </w:r>
      <w:r w:rsidR="002A1AB1">
        <w:rPr>
          <w:snapToGrid w:val="0"/>
        </w:rPr>
        <w:t>Greenyard Foods</w:t>
      </w:r>
      <w:r w:rsidR="003F0BC5" w:rsidRPr="00992199">
        <w:rPr>
          <w:snapToGrid w:val="0"/>
        </w:rPr>
        <w:t xml:space="preserve"> per 31 March 2014 excluding the Contributions aga</w:t>
      </w:r>
      <w:r>
        <w:rPr>
          <w:snapToGrid w:val="0"/>
        </w:rPr>
        <w:t>inst issuance of the New Shares;</w:t>
      </w:r>
    </w:p>
    <w:p w:rsidR="003F0BC5" w:rsidRPr="00992199" w:rsidRDefault="00334917" w:rsidP="002D03CA">
      <w:pPr>
        <w:pStyle w:val="BulletsL1"/>
        <w:rPr>
          <w:i/>
        </w:rPr>
      </w:pPr>
      <w:r>
        <w:rPr>
          <w:snapToGrid w:val="0"/>
        </w:rPr>
        <w:t>a</w:t>
      </w:r>
      <w:r w:rsidR="003F0BC5" w:rsidRPr="00992199">
        <w:rPr>
          <w:snapToGrid w:val="0"/>
        </w:rPr>
        <w:t xml:space="preserve">udited consolidated statement of financial position and income statement of </w:t>
      </w:r>
      <w:r w:rsidR="002A1AB1">
        <w:rPr>
          <w:snapToGrid w:val="0"/>
        </w:rPr>
        <w:t>Greenyard Foods</w:t>
      </w:r>
      <w:r w:rsidR="003F0BC5" w:rsidRPr="00992199">
        <w:rPr>
          <w:snapToGrid w:val="0"/>
        </w:rPr>
        <w:t xml:space="preserve"> per 31 March 2015, excluding the Contributions against issuance of the New Shares.</w:t>
      </w:r>
    </w:p>
    <w:p w:rsidR="003F0BC5" w:rsidRPr="00992199" w:rsidRDefault="003F0BC5" w:rsidP="00353B80">
      <w:pPr>
        <w:pStyle w:val="Firm5L3"/>
        <w:keepNext/>
      </w:pPr>
      <w:r w:rsidRPr="00992199">
        <w:t xml:space="preserve">Income statement as </w:t>
      </w:r>
      <w:r w:rsidR="00DD4FD5">
        <w:t>of and for the financial years ended</w:t>
      </w:r>
      <w:r w:rsidRPr="00992199">
        <w:t xml:space="preserve"> 31 March 2015, 31 March 2014 and 31 March 2013</w:t>
      </w:r>
    </w:p>
    <w:p w:rsidR="003F0BC5" w:rsidRPr="00992199" w:rsidRDefault="003F0BC5" w:rsidP="003F0BC5">
      <w:pPr>
        <w:rPr>
          <w:snapToGrid w:val="0"/>
          <w:szCs w:val="20"/>
        </w:rPr>
      </w:pPr>
      <w:r w:rsidRPr="00992199">
        <w:rPr>
          <w:snapToGrid w:val="0"/>
          <w:szCs w:val="20"/>
        </w:rPr>
        <w:t xml:space="preserve">The following table sets forth the audited consolidated income statements of the financial years ended 31 March 2013, 31 March 2014 and 31 March 2015 of </w:t>
      </w:r>
      <w:r w:rsidR="002A1AB1">
        <w:rPr>
          <w:snapToGrid w:val="0"/>
          <w:szCs w:val="20"/>
        </w:rPr>
        <w:t>Greenyard Foods</w:t>
      </w:r>
      <w:r w:rsidRPr="00992199">
        <w:rPr>
          <w:snapToGrid w:val="0"/>
          <w:szCs w:val="20"/>
        </w:rPr>
        <w:t xml:space="preserve"> in accordance with IFRS and is described in Annex I of this Prospectus.</w:t>
      </w:r>
    </w:p>
    <w:tbl>
      <w:tblPr>
        <w:tblW w:w="5103" w:type="pct"/>
        <w:tblLook w:val="0000" w:firstRow="0" w:lastRow="0" w:firstColumn="0" w:lastColumn="0" w:noHBand="0" w:noVBand="0"/>
      </w:tblPr>
      <w:tblGrid>
        <w:gridCol w:w="5384"/>
        <w:gridCol w:w="1585"/>
        <w:gridCol w:w="1217"/>
        <w:gridCol w:w="1249"/>
      </w:tblGrid>
      <w:tr w:rsidR="00DD4FD5" w:rsidRPr="00DD4FD5" w:rsidTr="00DD4FD5">
        <w:tc>
          <w:tcPr>
            <w:tcW w:w="2853" w:type="pct"/>
            <w:vAlign w:val="center"/>
          </w:tcPr>
          <w:p w:rsidR="00DD4FD5" w:rsidRPr="00DD4FD5" w:rsidRDefault="00DD4FD5" w:rsidP="00DD4FD5">
            <w:pPr>
              <w:pStyle w:val="NormalWeb"/>
              <w:keepNext/>
              <w:spacing w:before="0" w:after="0"/>
              <w:ind w:left="240" w:hanging="240"/>
              <w:jc w:val="left"/>
              <w:rPr>
                <w:bCs/>
                <w:i/>
                <w:sz w:val="18"/>
                <w:szCs w:val="18"/>
              </w:rPr>
            </w:pPr>
            <w:r w:rsidRPr="00DD4FD5">
              <w:rPr>
                <w:bCs/>
                <w:i/>
                <w:sz w:val="18"/>
                <w:szCs w:val="18"/>
              </w:rPr>
              <w:lastRenderedPageBreak/>
              <w:t>(</w:t>
            </w:r>
            <w:r w:rsidR="00E53641">
              <w:rPr>
                <w:bCs/>
                <w:i/>
                <w:sz w:val="18"/>
                <w:szCs w:val="18"/>
              </w:rPr>
              <w:t>EUR </w:t>
            </w:r>
            <w:r w:rsidRPr="00DD4FD5">
              <w:rPr>
                <w:bCs/>
                <w:i/>
                <w:sz w:val="18"/>
                <w:szCs w:val="18"/>
              </w:rPr>
              <w:t>in millions)</w:t>
            </w:r>
          </w:p>
        </w:tc>
        <w:tc>
          <w:tcPr>
            <w:tcW w:w="840" w:type="pct"/>
            <w:vAlign w:val="bottom"/>
          </w:tcPr>
          <w:p w:rsidR="00DD4FD5" w:rsidRPr="00DD4FD5" w:rsidRDefault="00DD4FD5" w:rsidP="00DD4FD5">
            <w:pPr>
              <w:pBdr>
                <w:bottom w:val="single" w:sz="4" w:space="1" w:color="auto"/>
              </w:pBdr>
              <w:spacing w:before="0" w:after="0"/>
              <w:ind w:left="368" w:hanging="227"/>
              <w:jc w:val="center"/>
              <w:rPr>
                <w:sz w:val="18"/>
                <w:szCs w:val="18"/>
              </w:rPr>
            </w:pPr>
            <w:r w:rsidRPr="00DD4FD5">
              <w:rPr>
                <w:b/>
                <w:bCs/>
                <w:sz w:val="18"/>
                <w:szCs w:val="18"/>
              </w:rPr>
              <w:t xml:space="preserve">Year ended </w:t>
            </w:r>
            <w:r w:rsidRPr="00DD4FD5">
              <w:rPr>
                <w:b/>
                <w:bCs/>
                <w:sz w:val="18"/>
                <w:szCs w:val="18"/>
              </w:rPr>
              <w:br/>
              <w:t>31 March 2015</w:t>
            </w:r>
          </w:p>
        </w:tc>
        <w:tc>
          <w:tcPr>
            <w:tcW w:w="645" w:type="pct"/>
          </w:tcPr>
          <w:p w:rsidR="00DD4FD5" w:rsidRPr="00DD4FD5" w:rsidRDefault="00DD4FD5" w:rsidP="00DD4FD5">
            <w:pPr>
              <w:pBdr>
                <w:bottom w:val="single" w:sz="4" w:space="1" w:color="auto"/>
              </w:pBdr>
              <w:spacing w:before="0" w:after="0"/>
              <w:jc w:val="center"/>
              <w:rPr>
                <w:b/>
                <w:bCs/>
                <w:sz w:val="18"/>
                <w:szCs w:val="18"/>
              </w:rPr>
            </w:pPr>
            <w:r w:rsidRPr="00DD4FD5">
              <w:rPr>
                <w:b/>
                <w:bCs/>
                <w:sz w:val="18"/>
                <w:szCs w:val="18"/>
              </w:rPr>
              <w:t>Year ended 31 March 2014</w:t>
            </w:r>
          </w:p>
        </w:tc>
        <w:tc>
          <w:tcPr>
            <w:tcW w:w="662" w:type="pct"/>
            <w:vAlign w:val="bottom"/>
          </w:tcPr>
          <w:p w:rsidR="00DD4FD5" w:rsidRPr="00DD4FD5" w:rsidRDefault="00DD4FD5" w:rsidP="00DD4FD5">
            <w:pPr>
              <w:pBdr>
                <w:bottom w:val="single" w:sz="4" w:space="1" w:color="auto"/>
              </w:pBdr>
              <w:spacing w:before="0" w:after="0"/>
              <w:jc w:val="center"/>
              <w:rPr>
                <w:sz w:val="18"/>
                <w:szCs w:val="18"/>
              </w:rPr>
            </w:pPr>
            <w:r w:rsidRPr="00DD4FD5">
              <w:rPr>
                <w:b/>
                <w:bCs/>
                <w:sz w:val="18"/>
                <w:szCs w:val="18"/>
              </w:rPr>
              <w:t>Year ended 31 March</w:t>
            </w:r>
            <w:r w:rsidRPr="00DD4FD5">
              <w:rPr>
                <w:b/>
                <w:bCs/>
                <w:sz w:val="18"/>
                <w:szCs w:val="18"/>
              </w:rPr>
              <w:br/>
              <w:t>2013</w:t>
            </w:r>
          </w:p>
        </w:tc>
      </w:tr>
      <w:tr w:rsidR="00DD4FD5" w:rsidRPr="00DD4FD5" w:rsidTr="00DD4FD5">
        <w:trPr>
          <w:trHeight w:val="332"/>
        </w:trPr>
        <w:tc>
          <w:tcPr>
            <w:tcW w:w="2853" w:type="pct"/>
          </w:tcPr>
          <w:p w:rsidR="00DD4FD5" w:rsidRPr="00DD4FD5" w:rsidRDefault="00DD4FD5" w:rsidP="00DD4FD5">
            <w:pPr>
              <w:pStyle w:val="NormalWeb"/>
              <w:keepNext/>
              <w:spacing w:before="0" w:after="0"/>
              <w:rPr>
                <w:b/>
                <w:bCs/>
                <w:sz w:val="18"/>
                <w:szCs w:val="18"/>
              </w:rPr>
            </w:pPr>
            <w:r w:rsidRPr="00DD4FD5">
              <w:rPr>
                <w:b/>
                <w:bCs/>
                <w:sz w:val="18"/>
                <w:szCs w:val="18"/>
              </w:rPr>
              <w:t>Summary Consolidated Statement of Income Data</w:t>
            </w:r>
          </w:p>
        </w:tc>
        <w:tc>
          <w:tcPr>
            <w:tcW w:w="840" w:type="pct"/>
          </w:tcPr>
          <w:p w:rsidR="00DD4FD5" w:rsidRPr="00DD4FD5" w:rsidRDefault="00DD4FD5" w:rsidP="00DD4FD5">
            <w:pPr>
              <w:pStyle w:val="la24"/>
              <w:spacing w:before="0" w:after="0"/>
              <w:jc w:val="right"/>
              <w:rPr>
                <w:noProof w:val="0"/>
                <w:sz w:val="18"/>
                <w:szCs w:val="18"/>
                <w:lang w:val="en-GB"/>
              </w:rPr>
            </w:pPr>
            <w:r w:rsidRPr="00DD4FD5">
              <w:rPr>
                <w:noProof w:val="0"/>
                <w:sz w:val="18"/>
                <w:szCs w:val="18"/>
                <w:lang w:val="en-GB"/>
              </w:rPr>
              <w:t> </w:t>
            </w:r>
          </w:p>
        </w:tc>
        <w:tc>
          <w:tcPr>
            <w:tcW w:w="645" w:type="pct"/>
          </w:tcPr>
          <w:p w:rsidR="00DD4FD5" w:rsidRPr="00DD4FD5" w:rsidRDefault="00DD4FD5" w:rsidP="00DD4FD5">
            <w:pPr>
              <w:pStyle w:val="la24"/>
              <w:spacing w:before="0" w:after="0"/>
              <w:jc w:val="right"/>
              <w:rPr>
                <w:noProof w:val="0"/>
                <w:sz w:val="18"/>
                <w:szCs w:val="18"/>
                <w:lang w:val="en-GB"/>
              </w:rPr>
            </w:pPr>
          </w:p>
        </w:tc>
        <w:tc>
          <w:tcPr>
            <w:tcW w:w="662" w:type="pct"/>
          </w:tcPr>
          <w:p w:rsidR="00DD4FD5" w:rsidRPr="00DD4FD5" w:rsidRDefault="00DD4FD5" w:rsidP="00DD4FD5">
            <w:pPr>
              <w:pStyle w:val="la24"/>
              <w:spacing w:before="0" w:after="0"/>
              <w:jc w:val="right"/>
              <w:rPr>
                <w:noProof w:val="0"/>
                <w:sz w:val="18"/>
                <w:szCs w:val="18"/>
                <w:lang w:val="en-GB"/>
              </w:rPr>
            </w:pPr>
            <w:r w:rsidRPr="00DD4FD5">
              <w:rPr>
                <w:noProof w:val="0"/>
                <w:sz w:val="18"/>
                <w:szCs w:val="18"/>
                <w:lang w:val="en-GB"/>
              </w:rPr>
              <w:t> </w:t>
            </w:r>
          </w:p>
        </w:tc>
      </w:tr>
      <w:tr w:rsidR="00DD4FD5" w:rsidRPr="00DD4FD5" w:rsidTr="00DD4FD5">
        <w:tc>
          <w:tcPr>
            <w:tcW w:w="2853"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Sales</w:t>
            </w:r>
            <w:r w:rsidRPr="00DD4FD5">
              <w:rPr>
                <w:sz w:val="18"/>
                <w:szCs w:val="18"/>
              </w:rPr>
              <w:tab/>
            </w:r>
          </w:p>
        </w:tc>
        <w:tc>
          <w:tcPr>
            <w:tcW w:w="840" w:type="pct"/>
            <w:noWrap/>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635.4</w:t>
            </w:r>
          </w:p>
        </w:tc>
        <w:tc>
          <w:tcPr>
            <w:tcW w:w="645" w:type="pct"/>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623.1</w:t>
            </w:r>
          </w:p>
        </w:tc>
        <w:tc>
          <w:tcPr>
            <w:tcW w:w="662"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612.1</w:t>
            </w:r>
          </w:p>
        </w:tc>
      </w:tr>
      <w:tr w:rsidR="00DD4FD5" w:rsidRPr="00DD4FD5" w:rsidTr="00DD4FD5">
        <w:tc>
          <w:tcPr>
            <w:tcW w:w="2853"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Increase/(decrease) in inventories: finished goods and work in progress</w:t>
            </w:r>
            <w:r w:rsidRPr="00DD4FD5">
              <w:rPr>
                <w:sz w:val="18"/>
                <w:szCs w:val="18"/>
              </w:rPr>
              <w:tab/>
            </w:r>
          </w:p>
        </w:tc>
        <w:tc>
          <w:tcPr>
            <w:tcW w:w="840"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7.2</w:t>
            </w:r>
          </w:p>
        </w:tc>
        <w:tc>
          <w:tcPr>
            <w:tcW w:w="645"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22.9</w:t>
            </w:r>
          </w:p>
        </w:tc>
        <w:tc>
          <w:tcPr>
            <w:tcW w:w="662"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3.7</w:t>
            </w:r>
          </w:p>
        </w:tc>
      </w:tr>
      <w:tr w:rsidR="00DD4FD5" w:rsidRPr="00DD4FD5" w:rsidTr="00DD4FD5">
        <w:trPr>
          <w:trHeight w:val="267"/>
        </w:trPr>
        <w:tc>
          <w:tcPr>
            <w:tcW w:w="2853"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Other operating income</w:t>
            </w:r>
            <w:r w:rsidRPr="00DD4FD5">
              <w:rPr>
                <w:sz w:val="18"/>
                <w:szCs w:val="18"/>
              </w:rPr>
              <w:tab/>
            </w:r>
          </w:p>
          <w:p w:rsidR="00DD4FD5" w:rsidRPr="00DD4FD5" w:rsidRDefault="00DD4FD5" w:rsidP="00DD4FD5">
            <w:pPr>
              <w:pStyle w:val="la24"/>
              <w:spacing w:before="0" w:after="0"/>
              <w:rPr>
                <w:sz w:val="18"/>
                <w:szCs w:val="18"/>
              </w:rPr>
            </w:pPr>
            <w:r w:rsidRPr="00DD4FD5">
              <w:rPr>
                <w:noProof w:val="0"/>
                <w:sz w:val="18"/>
                <w:szCs w:val="18"/>
                <w:lang w:val="en-GB"/>
              </w:rPr>
              <w:t> </w:t>
            </w:r>
          </w:p>
        </w:tc>
        <w:tc>
          <w:tcPr>
            <w:tcW w:w="840"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13.1</w:t>
            </w:r>
          </w:p>
        </w:tc>
        <w:tc>
          <w:tcPr>
            <w:tcW w:w="645"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13.0</w:t>
            </w:r>
          </w:p>
        </w:tc>
        <w:tc>
          <w:tcPr>
            <w:tcW w:w="662"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12.0</w:t>
            </w:r>
          </w:p>
        </w:tc>
      </w:tr>
      <w:tr w:rsidR="00DD4FD5" w:rsidRPr="00DD4FD5" w:rsidTr="00DD4FD5">
        <w:tc>
          <w:tcPr>
            <w:tcW w:w="2853"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Raw materials, consumables and goods for resale</w:t>
            </w:r>
            <w:r w:rsidRPr="00DD4FD5">
              <w:rPr>
                <w:bCs/>
                <w:sz w:val="18"/>
                <w:szCs w:val="18"/>
              </w:rPr>
              <w:tab/>
            </w:r>
          </w:p>
        </w:tc>
        <w:tc>
          <w:tcPr>
            <w:tcW w:w="840"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(360.1)</w:t>
            </w:r>
          </w:p>
        </w:tc>
        <w:tc>
          <w:tcPr>
            <w:tcW w:w="645" w:type="pct"/>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(370.2)</w:t>
            </w:r>
          </w:p>
        </w:tc>
        <w:tc>
          <w:tcPr>
            <w:tcW w:w="662"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(344.4)</w:t>
            </w:r>
          </w:p>
        </w:tc>
      </w:tr>
      <w:tr w:rsidR="00DD4FD5" w:rsidRPr="00DD4FD5" w:rsidTr="00DD4FD5">
        <w:tc>
          <w:tcPr>
            <w:tcW w:w="2853"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Services and other goods</w:t>
            </w:r>
            <w:r w:rsidRPr="00DD4FD5">
              <w:rPr>
                <w:sz w:val="18"/>
                <w:szCs w:val="18"/>
              </w:rPr>
              <w:tab/>
            </w:r>
          </w:p>
        </w:tc>
        <w:tc>
          <w:tcPr>
            <w:tcW w:w="840"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(135.9)</w:t>
            </w:r>
          </w:p>
        </w:tc>
        <w:tc>
          <w:tcPr>
            <w:tcW w:w="645"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(143.7)</w:t>
            </w:r>
          </w:p>
        </w:tc>
        <w:tc>
          <w:tcPr>
            <w:tcW w:w="662"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(148.3)</w:t>
            </w:r>
          </w:p>
        </w:tc>
      </w:tr>
      <w:tr w:rsidR="00DD4FD5" w:rsidRPr="00DD4FD5" w:rsidTr="00DD4FD5">
        <w:tc>
          <w:tcPr>
            <w:tcW w:w="2853"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Personnel costs</w:t>
            </w:r>
            <w:r w:rsidRPr="00DD4FD5">
              <w:rPr>
                <w:sz w:val="18"/>
                <w:szCs w:val="18"/>
              </w:rPr>
              <w:tab/>
            </w:r>
          </w:p>
        </w:tc>
        <w:tc>
          <w:tcPr>
            <w:tcW w:w="840"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(90.7)</w:t>
            </w:r>
          </w:p>
        </w:tc>
        <w:tc>
          <w:tcPr>
            <w:tcW w:w="645"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(87.8)</w:t>
            </w:r>
          </w:p>
        </w:tc>
        <w:tc>
          <w:tcPr>
            <w:tcW w:w="662"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(85.3)</w:t>
            </w:r>
          </w:p>
        </w:tc>
      </w:tr>
      <w:tr w:rsidR="00DD4FD5" w:rsidRPr="00DD4FD5" w:rsidTr="00DD4FD5">
        <w:tc>
          <w:tcPr>
            <w:tcW w:w="2853"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Depreciation and amortisation</w:t>
            </w:r>
            <w:r w:rsidRPr="00DD4FD5">
              <w:rPr>
                <w:sz w:val="18"/>
                <w:szCs w:val="18"/>
              </w:rPr>
              <w:tab/>
            </w:r>
          </w:p>
        </w:tc>
        <w:tc>
          <w:tcPr>
            <w:tcW w:w="840"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(30.4)</w:t>
            </w:r>
          </w:p>
        </w:tc>
        <w:tc>
          <w:tcPr>
            <w:tcW w:w="645"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(25.9)</w:t>
            </w:r>
          </w:p>
        </w:tc>
        <w:tc>
          <w:tcPr>
            <w:tcW w:w="662"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(20.3)</w:t>
            </w:r>
          </w:p>
        </w:tc>
      </w:tr>
      <w:tr w:rsidR="00DD4FD5" w:rsidRPr="00DD4FD5" w:rsidTr="00DD4FD5">
        <w:tc>
          <w:tcPr>
            <w:tcW w:w="2853"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Impairment losses on assets</w:t>
            </w:r>
            <w:r w:rsidRPr="00DD4FD5">
              <w:rPr>
                <w:sz w:val="18"/>
                <w:szCs w:val="18"/>
              </w:rPr>
              <w:tab/>
            </w:r>
          </w:p>
        </w:tc>
        <w:tc>
          <w:tcPr>
            <w:tcW w:w="840"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(0.5)</w:t>
            </w:r>
          </w:p>
        </w:tc>
        <w:tc>
          <w:tcPr>
            <w:tcW w:w="645" w:type="pct"/>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(4.4)</w:t>
            </w:r>
          </w:p>
        </w:tc>
        <w:tc>
          <w:tcPr>
            <w:tcW w:w="662"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r>
      <w:tr w:rsidR="00DD4FD5" w:rsidRPr="00DD4FD5" w:rsidTr="00DD4FD5">
        <w:tc>
          <w:tcPr>
            <w:tcW w:w="2853"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Impairments, write-offs</w:t>
            </w:r>
            <w:r w:rsidRPr="00DD4FD5">
              <w:rPr>
                <w:sz w:val="18"/>
                <w:szCs w:val="18"/>
              </w:rPr>
              <w:tab/>
            </w:r>
          </w:p>
        </w:tc>
        <w:tc>
          <w:tcPr>
            <w:tcW w:w="840"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(2.2)</w:t>
            </w:r>
          </w:p>
        </w:tc>
        <w:tc>
          <w:tcPr>
            <w:tcW w:w="645"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0.2</w:t>
            </w:r>
          </w:p>
        </w:tc>
        <w:tc>
          <w:tcPr>
            <w:tcW w:w="662"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(0.7)</w:t>
            </w:r>
          </w:p>
        </w:tc>
      </w:tr>
      <w:tr w:rsidR="00DD4FD5" w:rsidRPr="00DD4FD5" w:rsidTr="00DD4FD5">
        <w:tc>
          <w:tcPr>
            <w:tcW w:w="2853"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Provisions</w:t>
            </w:r>
            <w:r w:rsidRPr="00DD4FD5">
              <w:rPr>
                <w:sz w:val="18"/>
                <w:szCs w:val="18"/>
              </w:rPr>
              <w:tab/>
            </w:r>
          </w:p>
        </w:tc>
        <w:tc>
          <w:tcPr>
            <w:tcW w:w="840"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(0.1)</w:t>
            </w:r>
          </w:p>
        </w:tc>
        <w:tc>
          <w:tcPr>
            <w:tcW w:w="645" w:type="pct"/>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(0.2)</w:t>
            </w:r>
          </w:p>
        </w:tc>
        <w:tc>
          <w:tcPr>
            <w:tcW w:w="662"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(1.1)</w:t>
            </w:r>
          </w:p>
        </w:tc>
      </w:tr>
      <w:tr w:rsidR="00DD4FD5" w:rsidRPr="00DD4FD5" w:rsidTr="00DD4FD5">
        <w:tc>
          <w:tcPr>
            <w:tcW w:w="2853"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Other operating charges</w:t>
            </w:r>
            <w:r w:rsidRPr="00DD4FD5">
              <w:rPr>
                <w:sz w:val="18"/>
                <w:szCs w:val="18"/>
              </w:rPr>
              <w:tab/>
            </w:r>
          </w:p>
        </w:tc>
        <w:tc>
          <w:tcPr>
            <w:tcW w:w="840"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(5.8)</w:t>
            </w:r>
          </w:p>
        </w:tc>
        <w:tc>
          <w:tcPr>
            <w:tcW w:w="645" w:type="pct"/>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(1.5)</w:t>
            </w:r>
          </w:p>
        </w:tc>
        <w:tc>
          <w:tcPr>
            <w:tcW w:w="662"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(5.2)</w:t>
            </w:r>
          </w:p>
        </w:tc>
      </w:tr>
      <w:tr w:rsidR="00DD4FD5" w:rsidRPr="00DD4FD5" w:rsidTr="00DD4FD5">
        <w:tc>
          <w:tcPr>
            <w:tcW w:w="2853"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Operating result before non-recurrings (REBIT)</w:t>
            </w:r>
            <w:r w:rsidRPr="00DD4FD5">
              <w:rPr>
                <w:sz w:val="18"/>
                <w:szCs w:val="18"/>
              </w:rPr>
              <w:tab/>
            </w:r>
          </w:p>
        </w:tc>
        <w:tc>
          <w:tcPr>
            <w:tcW w:w="840"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29.9</w:t>
            </w:r>
          </w:p>
        </w:tc>
        <w:tc>
          <w:tcPr>
            <w:tcW w:w="645" w:type="pct"/>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25.6</w:t>
            </w:r>
          </w:p>
        </w:tc>
        <w:tc>
          <w:tcPr>
            <w:tcW w:w="662"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22.5</w:t>
            </w:r>
          </w:p>
        </w:tc>
      </w:tr>
      <w:tr w:rsidR="00DD4FD5" w:rsidRPr="00DD4FD5" w:rsidTr="00DD4FD5">
        <w:trPr>
          <w:trHeight w:val="267"/>
        </w:trPr>
        <w:tc>
          <w:tcPr>
            <w:tcW w:w="2853"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Non-recurring income</w:t>
            </w:r>
            <w:r w:rsidRPr="00DD4FD5">
              <w:rPr>
                <w:sz w:val="18"/>
                <w:szCs w:val="18"/>
              </w:rPr>
              <w:tab/>
            </w:r>
          </w:p>
        </w:tc>
        <w:tc>
          <w:tcPr>
            <w:tcW w:w="840"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0.4</w:t>
            </w:r>
          </w:p>
        </w:tc>
        <w:tc>
          <w:tcPr>
            <w:tcW w:w="645"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c>
          <w:tcPr>
            <w:tcW w:w="662"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r>
      <w:tr w:rsidR="00DD4FD5" w:rsidRPr="00DD4FD5" w:rsidTr="00DD4FD5">
        <w:trPr>
          <w:trHeight w:val="267"/>
        </w:trPr>
        <w:tc>
          <w:tcPr>
            <w:tcW w:w="2853"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Non-recurring expense</w:t>
            </w:r>
            <w:r w:rsidRPr="00DD4FD5">
              <w:rPr>
                <w:sz w:val="18"/>
                <w:szCs w:val="18"/>
              </w:rPr>
              <w:tab/>
            </w:r>
          </w:p>
          <w:p w:rsidR="00DD4FD5" w:rsidRPr="00DD4FD5" w:rsidRDefault="00DD4FD5" w:rsidP="00DD4FD5">
            <w:pPr>
              <w:pStyle w:val="la24"/>
              <w:spacing w:before="0" w:after="0"/>
              <w:rPr>
                <w:sz w:val="18"/>
                <w:szCs w:val="18"/>
              </w:rPr>
            </w:pPr>
            <w:r w:rsidRPr="00DD4FD5">
              <w:rPr>
                <w:noProof w:val="0"/>
                <w:sz w:val="18"/>
                <w:szCs w:val="18"/>
                <w:lang w:val="en-GB"/>
              </w:rPr>
              <w:t> </w:t>
            </w:r>
          </w:p>
        </w:tc>
        <w:tc>
          <w:tcPr>
            <w:tcW w:w="840"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(2.8)</w:t>
            </w:r>
          </w:p>
        </w:tc>
        <w:tc>
          <w:tcPr>
            <w:tcW w:w="645" w:type="pct"/>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(4.9)</w:t>
            </w:r>
          </w:p>
        </w:tc>
        <w:tc>
          <w:tcPr>
            <w:tcW w:w="662"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(2.4)</w:t>
            </w:r>
          </w:p>
        </w:tc>
      </w:tr>
      <w:tr w:rsidR="00DD4FD5" w:rsidRPr="00DD4FD5" w:rsidTr="00DD4FD5">
        <w:tc>
          <w:tcPr>
            <w:tcW w:w="2853"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Operating result (EBIT)</w:t>
            </w:r>
            <w:r w:rsidRPr="00DD4FD5">
              <w:rPr>
                <w:sz w:val="18"/>
                <w:szCs w:val="18"/>
              </w:rPr>
              <w:tab/>
            </w:r>
          </w:p>
        </w:tc>
        <w:tc>
          <w:tcPr>
            <w:tcW w:w="840"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27.5</w:t>
            </w:r>
          </w:p>
        </w:tc>
        <w:tc>
          <w:tcPr>
            <w:tcW w:w="645" w:type="pct"/>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20.7</w:t>
            </w:r>
          </w:p>
        </w:tc>
        <w:tc>
          <w:tcPr>
            <w:tcW w:w="662"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20.1</w:t>
            </w:r>
          </w:p>
        </w:tc>
      </w:tr>
      <w:tr w:rsidR="00DD4FD5" w:rsidRPr="00DD4FD5" w:rsidTr="00DD4FD5">
        <w:tc>
          <w:tcPr>
            <w:tcW w:w="2853"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Financial income</w:t>
            </w:r>
            <w:r w:rsidRPr="00DD4FD5">
              <w:rPr>
                <w:sz w:val="18"/>
                <w:szCs w:val="18"/>
              </w:rPr>
              <w:tab/>
            </w:r>
          </w:p>
        </w:tc>
        <w:tc>
          <w:tcPr>
            <w:tcW w:w="840"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11.3</w:t>
            </w:r>
          </w:p>
        </w:tc>
        <w:tc>
          <w:tcPr>
            <w:tcW w:w="645"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2.6</w:t>
            </w:r>
          </w:p>
        </w:tc>
        <w:tc>
          <w:tcPr>
            <w:tcW w:w="662"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2.2</w:t>
            </w:r>
          </w:p>
        </w:tc>
      </w:tr>
      <w:tr w:rsidR="00DD4FD5" w:rsidRPr="00DD4FD5" w:rsidTr="00DD4FD5">
        <w:tc>
          <w:tcPr>
            <w:tcW w:w="2853"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Financial expense</w:t>
            </w:r>
            <w:r w:rsidRPr="00DD4FD5">
              <w:rPr>
                <w:sz w:val="18"/>
                <w:szCs w:val="18"/>
              </w:rPr>
              <w:tab/>
            </w:r>
          </w:p>
          <w:p w:rsidR="00DD4FD5" w:rsidRPr="00DD4FD5" w:rsidRDefault="00DD4FD5" w:rsidP="00DD4FD5">
            <w:pPr>
              <w:pStyle w:val="la24"/>
              <w:spacing w:before="0" w:after="0"/>
              <w:rPr>
                <w:sz w:val="18"/>
                <w:szCs w:val="18"/>
              </w:rPr>
            </w:pPr>
            <w:r w:rsidRPr="00DD4FD5">
              <w:rPr>
                <w:noProof w:val="0"/>
                <w:sz w:val="18"/>
                <w:szCs w:val="18"/>
                <w:lang w:val="en-GB"/>
              </w:rPr>
              <w:t> </w:t>
            </w:r>
          </w:p>
        </w:tc>
        <w:tc>
          <w:tcPr>
            <w:tcW w:w="840"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(18.1)</w:t>
            </w:r>
          </w:p>
        </w:tc>
        <w:tc>
          <w:tcPr>
            <w:tcW w:w="645"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(19.3)</w:t>
            </w:r>
          </w:p>
        </w:tc>
        <w:tc>
          <w:tcPr>
            <w:tcW w:w="662"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(21.6)</w:t>
            </w:r>
          </w:p>
        </w:tc>
      </w:tr>
      <w:tr w:rsidR="00DD4FD5" w:rsidRPr="00DD4FD5" w:rsidTr="00DD4FD5">
        <w:tc>
          <w:tcPr>
            <w:tcW w:w="2853" w:type="pct"/>
          </w:tcPr>
          <w:p w:rsidR="00DD4FD5" w:rsidRPr="00DD4FD5" w:rsidRDefault="00DD4FD5" w:rsidP="00DD4FD5">
            <w:pPr>
              <w:pStyle w:val="la24"/>
              <w:spacing w:before="0" w:after="0"/>
              <w:rPr>
                <w:noProof w:val="0"/>
                <w:sz w:val="18"/>
                <w:szCs w:val="18"/>
                <w:lang w:val="en-GB"/>
              </w:rPr>
            </w:pPr>
          </w:p>
        </w:tc>
        <w:tc>
          <w:tcPr>
            <w:tcW w:w="840" w:type="pct"/>
          </w:tcPr>
          <w:p w:rsidR="00DD4FD5" w:rsidRPr="00DD4FD5" w:rsidRDefault="00DD4FD5" w:rsidP="00DD4FD5">
            <w:pPr>
              <w:pStyle w:val="rrdsinglerule4"/>
              <w:spacing w:before="0" w:after="0"/>
              <w:jc w:val="right"/>
              <w:rPr>
                <w:sz w:val="18"/>
                <w:szCs w:val="18"/>
                <w:lang w:val="en-GB"/>
              </w:rPr>
            </w:pPr>
          </w:p>
        </w:tc>
        <w:tc>
          <w:tcPr>
            <w:tcW w:w="645" w:type="pct"/>
          </w:tcPr>
          <w:p w:rsidR="00DD4FD5" w:rsidRPr="00DD4FD5" w:rsidRDefault="00DD4FD5" w:rsidP="00DD4FD5">
            <w:pPr>
              <w:pStyle w:val="rrdsinglerule4"/>
              <w:spacing w:before="0" w:after="0"/>
              <w:jc w:val="right"/>
              <w:rPr>
                <w:sz w:val="18"/>
                <w:szCs w:val="18"/>
                <w:lang w:val="en-GB"/>
              </w:rPr>
            </w:pPr>
          </w:p>
        </w:tc>
        <w:tc>
          <w:tcPr>
            <w:tcW w:w="662" w:type="pct"/>
          </w:tcPr>
          <w:p w:rsidR="00DD4FD5" w:rsidRPr="00DD4FD5" w:rsidRDefault="00DD4FD5" w:rsidP="00DD4FD5">
            <w:pPr>
              <w:pStyle w:val="rrdsinglerule4"/>
              <w:spacing w:before="0" w:after="0"/>
              <w:jc w:val="right"/>
              <w:rPr>
                <w:sz w:val="18"/>
                <w:szCs w:val="18"/>
                <w:lang w:val="en-GB"/>
              </w:rPr>
            </w:pPr>
          </w:p>
        </w:tc>
      </w:tr>
      <w:tr w:rsidR="00DD4FD5" w:rsidRPr="00DD4FD5" w:rsidTr="00DD4FD5">
        <w:trPr>
          <w:trHeight w:val="292"/>
        </w:trPr>
        <w:tc>
          <w:tcPr>
            <w:tcW w:w="2853"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 xml:space="preserve">Operating profit/(loss) after net finance costs </w:t>
            </w:r>
            <w:r w:rsidRPr="00DD4FD5">
              <w:rPr>
                <w:sz w:val="18"/>
                <w:szCs w:val="18"/>
              </w:rPr>
              <w:tab/>
            </w:r>
          </w:p>
          <w:p w:rsidR="00DD4FD5" w:rsidRPr="00DD4FD5" w:rsidRDefault="00DD4FD5" w:rsidP="00DD4FD5">
            <w:pPr>
              <w:pStyle w:val="la24"/>
              <w:spacing w:before="0" w:after="0"/>
              <w:rPr>
                <w:b/>
                <w:sz w:val="18"/>
                <w:szCs w:val="18"/>
              </w:rPr>
            </w:pPr>
            <w:r w:rsidRPr="00DD4FD5">
              <w:rPr>
                <w:noProof w:val="0"/>
                <w:sz w:val="18"/>
                <w:szCs w:val="18"/>
                <w:lang w:val="en-GB"/>
              </w:rPr>
              <w:t> </w:t>
            </w:r>
          </w:p>
        </w:tc>
        <w:tc>
          <w:tcPr>
            <w:tcW w:w="840"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20.7</w:t>
            </w:r>
          </w:p>
        </w:tc>
        <w:tc>
          <w:tcPr>
            <w:tcW w:w="645" w:type="pct"/>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4.0</w:t>
            </w:r>
          </w:p>
        </w:tc>
        <w:tc>
          <w:tcPr>
            <w:tcW w:w="662"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0.7</w:t>
            </w:r>
          </w:p>
        </w:tc>
      </w:tr>
      <w:tr w:rsidR="00DD4FD5" w:rsidRPr="00DD4FD5" w:rsidTr="00DD4FD5">
        <w:tc>
          <w:tcPr>
            <w:tcW w:w="2853"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Taxes</w:t>
            </w:r>
            <w:r w:rsidRPr="00DD4FD5">
              <w:rPr>
                <w:sz w:val="18"/>
                <w:szCs w:val="18"/>
              </w:rPr>
              <w:tab/>
            </w:r>
          </w:p>
        </w:tc>
        <w:tc>
          <w:tcPr>
            <w:tcW w:w="840" w:type="pct"/>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(9.9)</w:t>
            </w:r>
          </w:p>
        </w:tc>
        <w:tc>
          <w:tcPr>
            <w:tcW w:w="645" w:type="pct"/>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(7.5)</w:t>
            </w:r>
          </w:p>
        </w:tc>
        <w:tc>
          <w:tcPr>
            <w:tcW w:w="662" w:type="pct"/>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(0.1)</w:t>
            </w:r>
          </w:p>
        </w:tc>
      </w:tr>
      <w:tr w:rsidR="00DD4FD5" w:rsidRPr="00DD4FD5" w:rsidTr="00DD4FD5">
        <w:tc>
          <w:tcPr>
            <w:tcW w:w="2853"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 xml:space="preserve">Profit/(loss) for the period from continuing operations </w:t>
            </w:r>
            <w:r w:rsidRPr="00DD4FD5">
              <w:rPr>
                <w:sz w:val="18"/>
                <w:szCs w:val="18"/>
              </w:rPr>
              <w:tab/>
            </w:r>
          </w:p>
          <w:p w:rsidR="00DD4FD5" w:rsidRPr="00DD4FD5" w:rsidRDefault="00DD4FD5" w:rsidP="00DD4FD5">
            <w:pPr>
              <w:pStyle w:val="la24"/>
              <w:spacing w:before="0" w:after="0"/>
              <w:rPr>
                <w:b/>
                <w:sz w:val="18"/>
                <w:szCs w:val="18"/>
              </w:rPr>
            </w:pPr>
            <w:r w:rsidRPr="00DD4FD5">
              <w:rPr>
                <w:noProof w:val="0"/>
                <w:sz w:val="18"/>
                <w:szCs w:val="18"/>
                <w:lang w:val="en-GB"/>
              </w:rPr>
              <w:t> </w:t>
            </w:r>
          </w:p>
        </w:tc>
        <w:tc>
          <w:tcPr>
            <w:tcW w:w="840" w:type="pct"/>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10.8</w:t>
            </w:r>
          </w:p>
        </w:tc>
        <w:tc>
          <w:tcPr>
            <w:tcW w:w="645" w:type="pct"/>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(3.5)</w:t>
            </w:r>
          </w:p>
        </w:tc>
        <w:tc>
          <w:tcPr>
            <w:tcW w:w="662" w:type="pct"/>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0.6</w:t>
            </w:r>
          </w:p>
        </w:tc>
      </w:tr>
      <w:tr w:rsidR="00DD4FD5" w:rsidRPr="00DD4FD5" w:rsidTr="00DD4FD5">
        <w:tc>
          <w:tcPr>
            <w:tcW w:w="2853"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 xml:space="preserve">Profit/(loss) from discontinued operations </w:t>
            </w:r>
            <w:r w:rsidRPr="00DD4FD5">
              <w:rPr>
                <w:sz w:val="18"/>
                <w:szCs w:val="18"/>
              </w:rPr>
              <w:tab/>
            </w:r>
          </w:p>
        </w:tc>
        <w:tc>
          <w:tcPr>
            <w:tcW w:w="840" w:type="pct"/>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w:t>
            </w:r>
          </w:p>
        </w:tc>
        <w:tc>
          <w:tcPr>
            <w:tcW w:w="645" w:type="pct"/>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65.3</w:t>
            </w:r>
          </w:p>
        </w:tc>
        <w:tc>
          <w:tcPr>
            <w:tcW w:w="662" w:type="pct"/>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11.0</w:t>
            </w:r>
          </w:p>
        </w:tc>
      </w:tr>
      <w:tr w:rsidR="00DD4FD5" w:rsidRPr="00DD4FD5" w:rsidTr="00DD4FD5">
        <w:tc>
          <w:tcPr>
            <w:tcW w:w="2853"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Profit/(loss) for the period</w:t>
            </w:r>
            <w:r w:rsidRPr="00DD4FD5">
              <w:rPr>
                <w:sz w:val="18"/>
                <w:szCs w:val="18"/>
              </w:rPr>
              <w:tab/>
            </w:r>
          </w:p>
          <w:p w:rsidR="00DD4FD5" w:rsidRPr="00DD4FD5" w:rsidRDefault="00DD4FD5" w:rsidP="00DD4FD5">
            <w:pPr>
              <w:pStyle w:val="NormalWeb"/>
              <w:keepNext/>
              <w:tabs>
                <w:tab w:val="right" w:leader="dot" w:pos="5160"/>
              </w:tabs>
              <w:spacing w:before="0" w:after="0"/>
              <w:rPr>
                <w:sz w:val="18"/>
                <w:szCs w:val="18"/>
              </w:rPr>
            </w:pPr>
            <w:r w:rsidRPr="00DD4FD5">
              <w:rPr>
                <w:sz w:val="18"/>
                <w:szCs w:val="18"/>
              </w:rPr>
              <w:t>Attributable to:</w:t>
            </w:r>
          </w:p>
        </w:tc>
        <w:tc>
          <w:tcPr>
            <w:tcW w:w="840"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b/>
                <w:sz w:val="18"/>
                <w:szCs w:val="18"/>
              </w:rPr>
            </w:pPr>
            <w:r w:rsidRPr="00DD4FD5">
              <w:rPr>
                <w:b/>
                <w:sz w:val="18"/>
                <w:szCs w:val="18"/>
              </w:rPr>
              <w:t>10.8</w:t>
            </w:r>
          </w:p>
        </w:tc>
        <w:tc>
          <w:tcPr>
            <w:tcW w:w="645" w:type="pct"/>
          </w:tcPr>
          <w:p w:rsidR="00DD4FD5" w:rsidRPr="00DD4FD5" w:rsidRDefault="00DD4FD5" w:rsidP="00DD4FD5">
            <w:pPr>
              <w:pStyle w:val="NormalWeb"/>
              <w:pBdr>
                <w:bottom w:val="single" w:sz="4" w:space="1" w:color="auto"/>
              </w:pBdr>
              <w:tabs>
                <w:tab w:val="right" w:pos="720"/>
                <w:tab w:val="decimal" w:pos="760"/>
              </w:tabs>
              <w:spacing w:before="0" w:after="0"/>
              <w:jc w:val="right"/>
              <w:rPr>
                <w:b/>
                <w:bCs/>
                <w:sz w:val="18"/>
                <w:szCs w:val="18"/>
              </w:rPr>
            </w:pPr>
            <w:r w:rsidRPr="00DD4FD5">
              <w:rPr>
                <w:b/>
                <w:bCs/>
                <w:sz w:val="18"/>
                <w:szCs w:val="18"/>
              </w:rPr>
              <w:t>61.8</w:t>
            </w:r>
          </w:p>
        </w:tc>
        <w:tc>
          <w:tcPr>
            <w:tcW w:w="662"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b/>
                <w:sz w:val="18"/>
                <w:szCs w:val="18"/>
              </w:rPr>
            </w:pPr>
            <w:r w:rsidRPr="00DD4FD5">
              <w:rPr>
                <w:b/>
                <w:sz w:val="18"/>
                <w:szCs w:val="18"/>
              </w:rPr>
              <w:t>11.6</w:t>
            </w:r>
          </w:p>
        </w:tc>
      </w:tr>
      <w:tr w:rsidR="00DD4FD5" w:rsidRPr="00DD4FD5" w:rsidTr="00DD4FD5">
        <w:tc>
          <w:tcPr>
            <w:tcW w:w="2853"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b/>
                <w:sz w:val="18"/>
                <w:szCs w:val="18"/>
              </w:rPr>
              <w:t xml:space="preserve">- </w:t>
            </w:r>
            <w:r w:rsidRPr="00DD4FD5">
              <w:rPr>
                <w:sz w:val="18"/>
                <w:szCs w:val="18"/>
              </w:rPr>
              <w:t>The shareholders of Greenyard (the ‘Group’)</w:t>
            </w:r>
          </w:p>
        </w:tc>
        <w:tc>
          <w:tcPr>
            <w:tcW w:w="840"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10.6</w:t>
            </w:r>
          </w:p>
        </w:tc>
        <w:tc>
          <w:tcPr>
            <w:tcW w:w="645" w:type="pct"/>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62.3</w:t>
            </w:r>
          </w:p>
        </w:tc>
        <w:tc>
          <w:tcPr>
            <w:tcW w:w="662"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11.1</w:t>
            </w:r>
          </w:p>
        </w:tc>
      </w:tr>
      <w:tr w:rsidR="00DD4FD5" w:rsidRPr="00DD4FD5" w:rsidTr="00DD4FD5">
        <w:tc>
          <w:tcPr>
            <w:tcW w:w="2853" w:type="pct"/>
          </w:tcPr>
          <w:p w:rsidR="00DD4FD5" w:rsidRPr="00DD4FD5" w:rsidRDefault="00DD4FD5" w:rsidP="00DD4FD5">
            <w:pPr>
              <w:pStyle w:val="NormalWeb"/>
              <w:keepNext/>
              <w:tabs>
                <w:tab w:val="right" w:leader="dot" w:pos="5160"/>
              </w:tabs>
              <w:spacing w:before="0" w:after="0"/>
              <w:rPr>
                <w:sz w:val="18"/>
                <w:szCs w:val="18"/>
              </w:rPr>
            </w:pPr>
            <w:r w:rsidRPr="00DD4FD5">
              <w:rPr>
                <w:b/>
                <w:sz w:val="18"/>
                <w:szCs w:val="18"/>
              </w:rPr>
              <w:t xml:space="preserve">- </w:t>
            </w:r>
            <w:r w:rsidRPr="00DD4FD5">
              <w:rPr>
                <w:sz w:val="18"/>
                <w:szCs w:val="18"/>
              </w:rPr>
              <w:t>Non-controlling interests</w:t>
            </w:r>
          </w:p>
          <w:p w:rsidR="00DD4FD5" w:rsidRPr="00DD4FD5" w:rsidRDefault="00DD4FD5" w:rsidP="00DD4FD5">
            <w:pPr>
              <w:pStyle w:val="NormalWeb"/>
              <w:keepNext/>
              <w:tabs>
                <w:tab w:val="right" w:leader="dot" w:pos="5160"/>
              </w:tabs>
              <w:spacing w:before="0" w:after="0"/>
              <w:rPr>
                <w:b/>
                <w:sz w:val="18"/>
                <w:szCs w:val="18"/>
              </w:rPr>
            </w:pPr>
          </w:p>
          <w:p w:rsidR="00DD4FD5" w:rsidRPr="00DD4FD5" w:rsidRDefault="00DD4FD5" w:rsidP="00DD4FD5">
            <w:pPr>
              <w:pStyle w:val="NormalWeb"/>
              <w:keepNext/>
              <w:tabs>
                <w:tab w:val="right" w:leader="dot" w:pos="5160"/>
              </w:tabs>
              <w:spacing w:before="0" w:after="0"/>
              <w:rPr>
                <w:b/>
                <w:sz w:val="18"/>
                <w:szCs w:val="18"/>
              </w:rPr>
            </w:pPr>
            <w:r w:rsidRPr="00DD4FD5">
              <w:rPr>
                <w:b/>
                <w:bCs/>
                <w:sz w:val="18"/>
                <w:szCs w:val="18"/>
              </w:rPr>
              <w:t>Other Financial Data</w:t>
            </w:r>
            <w:r w:rsidRPr="00DD4FD5" w:rsidDel="00160714">
              <w:rPr>
                <w:b/>
                <w:sz w:val="18"/>
                <w:szCs w:val="18"/>
              </w:rPr>
              <w:t xml:space="preserve"> </w:t>
            </w:r>
          </w:p>
        </w:tc>
        <w:tc>
          <w:tcPr>
            <w:tcW w:w="840"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0.2</w:t>
            </w:r>
          </w:p>
        </w:tc>
        <w:tc>
          <w:tcPr>
            <w:tcW w:w="645" w:type="pct"/>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(0.6)</w:t>
            </w:r>
          </w:p>
        </w:tc>
        <w:tc>
          <w:tcPr>
            <w:tcW w:w="662"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0.5</w:t>
            </w:r>
          </w:p>
        </w:tc>
      </w:tr>
      <w:tr w:rsidR="00DD4FD5" w:rsidTr="00DD4FD5">
        <w:tc>
          <w:tcPr>
            <w:tcW w:w="2853"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REBITDA</w:t>
            </w:r>
            <w:r w:rsidRPr="00DD4FD5">
              <w:rPr>
                <w:b/>
                <w:sz w:val="18"/>
                <w:szCs w:val="18"/>
              </w:rPr>
              <w:tab/>
            </w:r>
          </w:p>
        </w:tc>
        <w:tc>
          <w:tcPr>
            <w:tcW w:w="840"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62.6</w:t>
            </w:r>
          </w:p>
        </w:tc>
        <w:tc>
          <w:tcPr>
            <w:tcW w:w="645" w:type="pct"/>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51.4</w:t>
            </w:r>
          </w:p>
        </w:tc>
        <w:tc>
          <w:tcPr>
            <w:tcW w:w="662"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43.5</w:t>
            </w:r>
          </w:p>
        </w:tc>
      </w:tr>
    </w:tbl>
    <w:p w:rsidR="00DD4FD5" w:rsidRPr="00DD4FD5" w:rsidRDefault="00DD4FD5" w:rsidP="00353B80">
      <w:pPr>
        <w:pStyle w:val="Firm5L3"/>
        <w:keepNext/>
        <w:keepLines/>
        <w:rPr>
          <w:bCs/>
        </w:rPr>
      </w:pPr>
      <w:r>
        <w:t>K</w:t>
      </w:r>
      <w:r w:rsidR="00C14674">
        <w:t>ey figures per S</w:t>
      </w:r>
      <w:r w:rsidR="003F0BC5" w:rsidRPr="00992199">
        <w:t>hare</w:t>
      </w:r>
    </w:p>
    <w:tbl>
      <w:tblPr>
        <w:tblW w:w="5082" w:type="pct"/>
        <w:tblLook w:val="0000" w:firstRow="0" w:lastRow="0" w:firstColumn="0" w:lastColumn="0" w:noHBand="0" w:noVBand="0"/>
      </w:tblPr>
      <w:tblGrid>
        <w:gridCol w:w="4569"/>
        <w:gridCol w:w="1560"/>
        <w:gridCol w:w="1073"/>
        <w:gridCol w:w="1101"/>
        <w:gridCol w:w="1094"/>
      </w:tblGrid>
      <w:tr w:rsidR="00DD4FD5" w:rsidRPr="00DD4FD5" w:rsidTr="00DD4FD5">
        <w:trPr>
          <w:trHeight w:val="941"/>
        </w:trPr>
        <w:tc>
          <w:tcPr>
            <w:tcW w:w="2431" w:type="pct"/>
            <w:vAlign w:val="center"/>
          </w:tcPr>
          <w:p w:rsidR="00DD4FD5" w:rsidRPr="00DD4FD5" w:rsidRDefault="00DD4FD5" w:rsidP="00DD4FD5">
            <w:pPr>
              <w:pStyle w:val="NormalWeb"/>
              <w:keepNext/>
              <w:spacing w:before="0" w:after="0"/>
              <w:ind w:left="240" w:hanging="240"/>
              <w:jc w:val="left"/>
              <w:rPr>
                <w:bCs/>
                <w:i/>
                <w:sz w:val="18"/>
                <w:szCs w:val="18"/>
              </w:rPr>
            </w:pPr>
            <w:r w:rsidRPr="00DD4FD5">
              <w:rPr>
                <w:bCs/>
                <w:i/>
                <w:sz w:val="18"/>
                <w:szCs w:val="18"/>
              </w:rPr>
              <w:t>(</w:t>
            </w:r>
            <w:r w:rsidR="00E53641">
              <w:rPr>
                <w:bCs/>
                <w:i/>
                <w:sz w:val="18"/>
                <w:szCs w:val="18"/>
              </w:rPr>
              <w:t>EUR </w:t>
            </w:r>
            <w:r w:rsidRPr="00DD4FD5">
              <w:rPr>
                <w:bCs/>
                <w:i/>
                <w:sz w:val="18"/>
                <w:szCs w:val="18"/>
              </w:rPr>
              <w:t>per share)</w:t>
            </w:r>
          </w:p>
        </w:tc>
        <w:tc>
          <w:tcPr>
            <w:tcW w:w="830" w:type="pct"/>
            <w:vAlign w:val="bottom"/>
          </w:tcPr>
          <w:p w:rsidR="00DD4FD5" w:rsidRPr="00DD4FD5" w:rsidRDefault="00DD4FD5" w:rsidP="00DD4FD5">
            <w:pPr>
              <w:pBdr>
                <w:bottom w:val="single" w:sz="4" w:space="1" w:color="auto"/>
              </w:pBdr>
              <w:spacing w:before="0" w:after="0"/>
              <w:ind w:left="368" w:hanging="227"/>
              <w:jc w:val="center"/>
              <w:rPr>
                <w:sz w:val="18"/>
                <w:szCs w:val="18"/>
              </w:rPr>
            </w:pPr>
            <w:r w:rsidRPr="00DD4FD5">
              <w:rPr>
                <w:b/>
                <w:bCs/>
                <w:sz w:val="18"/>
                <w:szCs w:val="18"/>
              </w:rPr>
              <w:t xml:space="preserve">Year ended </w:t>
            </w:r>
            <w:r w:rsidRPr="00DD4FD5">
              <w:rPr>
                <w:b/>
                <w:bCs/>
                <w:sz w:val="18"/>
                <w:szCs w:val="18"/>
              </w:rPr>
              <w:br/>
              <w:t>31 March 2015</w:t>
            </w:r>
            <w:r w:rsidRPr="00DD4FD5">
              <w:rPr>
                <w:b/>
                <w:bCs/>
                <w:sz w:val="18"/>
                <w:szCs w:val="18"/>
              </w:rPr>
              <w:br/>
              <w:t>Basic</w:t>
            </w:r>
          </w:p>
        </w:tc>
        <w:tc>
          <w:tcPr>
            <w:tcW w:w="571" w:type="pct"/>
          </w:tcPr>
          <w:p w:rsidR="00DD4FD5" w:rsidRPr="00DD4FD5" w:rsidRDefault="00DD4FD5" w:rsidP="00DD4FD5">
            <w:pPr>
              <w:pBdr>
                <w:bottom w:val="single" w:sz="4" w:space="1" w:color="auto"/>
              </w:pBdr>
              <w:spacing w:before="0" w:after="0"/>
              <w:jc w:val="center"/>
              <w:rPr>
                <w:b/>
                <w:bCs/>
                <w:sz w:val="18"/>
                <w:szCs w:val="18"/>
              </w:rPr>
            </w:pPr>
            <w:r w:rsidRPr="00DD4FD5">
              <w:rPr>
                <w:b/>
                <w:bCs/>
                <w:sz w:val="18"/>
                <w:szCs w:val="18"/>
              </w:rPr>
              <w:t>Year ended 31 March 2015</w:t>
            </w:r>
            <w:r w:rsidRPr="00DD4FD5">
              <w:rPr>
                <w:b/>
                <w:bCs/>
                <w:sz w:val="18"/>
                <w:szCs w:val="18"/>
              </w:rPr>
              <w:br/>
              <w:t>Diluted</w:t>
            </w:r>
          </w:p>
        </w:tc>
        <w:tc>
          <w:tcPr>
            <w:tcW w:w="586" w:type="pct"/>
            <w:vAlign w:val="bottom"/>
          </w:tcPr>
          <w:p w:rsidR="00DD4FD5" w:rsidRPr="00DD4FD5" w:rsidRDefault="00DD4FD5" w:rsidP="00DD4FD5">
            <w:pPr>
              <w:pBdr>
                <w:bottom w:val="single" w:sz="4" w:space="1" w:color="auto"/>
              </w:pBdr>
              <w:spacing w:before="0" w:after="0"/>
              <w:jc w:val="center"/>
              <w:rPr>
                <w:sz w:val="18"/>
                <w:szCs w:val="18"/>
              </w:rPr>
            </w:pPr>
            <w:r w:rsidRPr="00DD4FD5">
              <w:rPr>
                <w:b/>
                <w:bCs/>
                <w:sz w:val="18"/>
                <w:szCs w:val="18"/>
              </w:rPr>
              <w:t>Year ended 31 March</w:t>
            </w:r>
            <w:r w:rsidRPr="00DD4FD5">
              <w:rPr>
                <w:b/>
                <w:bCs/>
                <w:sz w:val="18"/>
                <w:szCs w:val="18"/>
              </w:rPr>
              <w:br/>
              <w:t>2014</w:t>
            </w:r>
            <w:r w:rsidRPr="00DD4FD5">
              <w:rPr>
                <w:b/>
                <w:bCs/>
                <w:sz w:val="18"/>
                <w:szCs w:val="18"/>
              </w:rPr>
              <w:br/>
              <w:t>Basic</w:t>
            </w:r>
          </w:p>
        </w:tc>
        <w:tc>
          <w:tcPr>
            <w:tcW w:w="582" w:type="pct"/>
          </w:tcPr>
          <w:p w:rsidR="00DD4FD5" w:rsidRPr="00DD4FD5" w:rsidRDefault="00DD4FD5" w:rsidP="00DD4FD5">
            <w:pPr>
              <w:pBdr>
                <w:bottom w:val="single" w:sz="4" w:space="1" w:color="auto"/>
              </w:pBdr>
              <w:spacing w:before="0" w:after="0"/>
              <w:jc w:val="center"/>
              <w:rPr>
                <w:b/>
                <w:bCs/>
                <w:sz w:val="18"/>
                <w:szCs w:val="18"/>
              </w:rPr>
            </w:pPr>
            <w:r w:rsidRPr="00DD4FD5">
              <w:rPr>
                <w:b/>
                <w:bCs/>
                <w:sz w:val="18"/>
                <w:szCs w:val="18"/>
              </w:rPr>
              <w:t xml:space="preserve">Year ended 31 March 2014 </w:t>
            </w:r>
            <w:r w:rsidRPr="00DD4FD5">
              <w:rPr>
                <w:b/>
                <w:bCs/>
                <w:sz w:val="18"/>
                <w:szCs w:val="18"/>
              </w:rPr>
              <w:br/>
              <w:t>Diluted</w:t>
            </w:r>
            <w:r w:rsidRPr="00DD4FD5">
              <w:rPr>
                <w:b/>
                <w:bCs/>
                <w:sz w:val="18"/>
                <w:szCs w:val="18"/>
                <w:vertAlign w:val="superscript"/>
              </w:rPr>
              <w:t>3</w:t>
            </w:r>
          </w:p>
        </w:tc>
      </w:tr>
      <w:tr w:rsidR="00DD4FD5" w:rsidRPr="00DD4FD5" w:rsidTr="00DD4FD5">
        <w:tc>
          <w:tcPr>
            <w:tcW w:w="2431"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Earnings per share</w:t>
            </w:r>
            <w:r w:rsidRPr="00DD4FD5">
              <w:rPr>
                <w:sz w:val="18"/>
                <w:szCs w:val="18"/>
              </w:rPr>
              <w:tab/>
            </w:r>
          </w:p>
        </w:tc>
        <w:tc>
          <w:tcPr>
            <w:tcW w:w="830" w:type="pct"/>
            <w:noWrap/>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0.64</w:t>
            </w:r>
          </w:p>
        </w:tc>
        <w:tc>
          <w:tcPr>
            <w:tcW w:w="571" w:type="pct"/>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0.56</w:t>
            </w:r>
          </w:p>
        </w:tc>
        <w:tc>
          <w:tcPr>
            <w:tcW w:w="58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3.78</w:t>
            </w:r>
          </w:p>
        </w:tc>
        <w:tc>
          <w:tcPr>
            <w:tcW w:w="582"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3.28</w:t>
            </w:r>
          </w:p>
        </w:tc>
      </w:tr>
      <w:tr w:rsidR="00DD4FD5" w:rsidRPr="00DD4FD5" w:rsidTr="00DD4FD5">
        <w:trPr>
          <w:trHeight w:val="267"/>
        </w:trPr>
        <w:tc>
          <w:tcPr>
            <w:tcW w:w="2431" w:type="pct"/>
          </w:tcPr>
          <w:p w:rsidR="00DD4FD5" w:rsidRPr="00DD4FD5" w:rsidRDefault="00C14169" w:rsidP="00DD4FD5">
            <w:pPr>
              <w:pStyle w:val="NormalWeb"/>
              <w:keepNext/>
              <w:tabs>
                <w:tab w:val="right" w:leader="dot" w:pos="5160"/>
              </w:tabs>
              <w:spacing w:before="0" w:after="0"/>
              <w:ind w:left="240" w:hanging="240"/>
              <w:rPr>
                <w:sz w:val="18"/>
                <w:szCs w:val="18"/>
              </w:rPr>
            </w:pPr>
            <w:r>
              <w:rPr>
                <w:sz w:val="18"/>
                <w:szCs w:val="18"/>
              </w:rPr>
              <w:t xml:space="preserve">   </w:t>
            </w:r>
            <w:r w:rsidR="00DD4FD5" w:rsidRPr="00DD4FD5">
              <w:rPr>
                <w:sz w:val="18"/>
                <w:szCs w:val="18"/>
              </w:rPr>
              <w:t>- Earnings per share from continuing operations</w:t>
            </w:r>
            <w:r w:rsidR="00DD4FD5" w:rsidRPr="00DD4FD5">
              <w:rPr>
                <w:sz w:val="18"/>
                <w:szCs w:val="18"/>
              </w:rPr>
              <w:tab/>
            </w:r>
          </w:p>
          <w:p w:rsidR="00DD4FD5" w:rsidRPr="00DD4FD5" w:rsidRDefault="00DD4FD5" w:rsidP="00DD4FD5">
            <w:pPr>
              <w:pStyle w:val="la24"/>
              <w:spacing w:before="0" w:after="0"/>
              <w:rPr>
                <w:sz w:val="18"/>
                <w:szCs w:val="18"/>
              </w:rPr>
            </w:pPr>
            <w:r w:rsidRPr="00DD4FD5">
              <w:rPr>
                <w:noProof w:val="0"/>
                <w:sz w:val="18"/>
                <w:szCs w:val="18"/>
                <w:lang w:val="en-GB"/>
              </w:rPr>
              <w:t> </w:t>
            </w:r>
          </w:p>
        </w:tc>
        <w:tc>
          <w:tcPr>
            <w:tcW w:w="830"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0.64</w:t>
            </w:r>
          </w:p>
        </w:tc>
        <w:tc>
          <w:tcPr>
            <w:tcW w:w="571"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0.56</w:t>
            </w:r>
          </w:p>
        </w:tc>
        <w:tc>
          <w:tcPr>
            <w:tcW w:w="58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(0.18)</w:t>
            </w:r>
          </w:p>
        </w:tc>
        <w:tc>
          <w:tcPr>
            <w:tcW w:w="582"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(0.18)</w:t>
            </w:r>
          </w:p>
        </w:tc>
      </w:tr>
      <w:tr w:rsidR="00DD4FD5" w:rsidRPr="00DD4FD5" w:rsidTr="00DD4FD5">
        <w:tc>
          <w:tcPr>
            <w:tcW w:w="2431" w:type="pct"/>
          </w:tcPr>
          <w:p w:rsidR="00DD4FD5" w:rsidRPr="00DD4FD5" w:rsidRDefault="00C14169" w:rsidP="00DD4FD5">
            <w:pPr>
              <w:pStyle w:val="NormalWeb"/>
              <w:keepNext/>
              <w:tabs>
                <w:tab w:val="right" w:leader="dot" w:pos="5160"/>
              </w:tabs>
              <w:spacing w:before="0" w:after="0"/>
              <w:ind w:left="240" w:hanging="240"/>
              <w:rPr>
                <w:sz w:val="18"/>
                <w:szCs w:val="18"/>
              </w:rPr>
            </w:pPr>
            <w:r>
              <w:rPr>
                <w:sz w:val="18"/>
                <w:szCs w:val="18"/>
              </w:rPr>
              <w:t xml:space="preserve">   </w:t>
            </w:r>
            <w:r w:rsidR="00DD4FD5" w:rsidRPr="00DD4FD5">
              <w:rPr>
                <w:sz w:val="18"/>
                <w:szCs w:val="18"/>
              </w:rPr>
              <w:t>- Earnings per share from discontinued operations</w:t>
            </w:r>
            <w:r w:rsidR="00DD4FD5" w:rsidRPr="00DD4FD5">
              <w:rPr>
                <w:bCs/>
                <w:sz w:val="18"/>
                <w:szCs w:val="18"/>
              </w:rPr>
              <w:tab/>
            </w:r>
          </w:p>
        </w:tc>
        <w:tc>
          <w:tcPr>
            <w:tcW w:w="830"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0.00</w:t>
            </w:r>
          </w:p>
        </w:tc>
        <w:tc>
          <w:tcPr>
            <w:tcW w:w="571" w:type="pct"/>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0.00</w:t>
            </w:r>
          </w:p>
        </w:tc>
        <w:tc>
          <w:tcPr>
            <w:tcW w:w="58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3.9</w:t>
            </w:r>
            <w:r w:rsidR="00B91DE5">
              <w:rPr>
                <w:sz w:val="18"/>
                <w:szCs w:val="18"/>
              </w:rPr>
              <w:t>8</w:t>
            </w:r>
          </w:p>
        </w:tc>
        <w:tc>
          <w:tcPr>
            <w:tcW w:w="582"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3.46</w:t>
            </w:r>
          </w:p>
        </w:tc>
      </w:tr>
      <w:tr w:rsidR="00DD4FD5" w:rsidRPr="00DD4FD5" w:rsidTr="00DD4FD5">
        <w:trPr>
          <w:trHeight w:val="941"/>
        </w:trPr>
        <w:tc>
          <w:tcPr>
            <w:tcW w:w="2431" w:type="pct"/>
            <w:vAlign w:val="center"/>
          </w:tcPr>
          <w:p w:rsidR="00DD4FD5" w:rsidRPr="00DD4FD5" w:rsidRDefault="00DD4FD5" w:rsidP="00DD4FD5">
            <w:pPr>
              <w:pStyle w:val="NormalWeb"/>
              <w:keepNext/>
              <w:spacing w:before="0" w:after="0"/>
              <w:ind w:left="240" w:hanging="240"/>
              <w:jc w:val="left"/>
              <w:rPr>
                <w:bCs/>
                <w:i/>
                <w:sz w:val="18"/>
                <w:szCs w:val="18"/>
              </w:rPr>
            </w:pPr>
          </w:p>
          <w:p w:rsidR="00DD4FD5" w:rsidRPr="00DD4FD5" w:rsidRDefault="00DD4FD5" w:rsidP="00DD4FD5">
            <w:pPr>
              <w:pStyle w:val="NormalWeb"/>
              <w:keepNext/>
              <w:spacing w:before="0" w:after="0"/>
              <w:ind w:left="240" w:hanging="240"/>
              <w:jc w:val="left"/>
              <w:rPr>
                <w:bCs/>
                <w:i/>
                <w:sz w:val="18"/>
                <w:szCs w:val="18"/>
              </w:rPr>
            </w:pPr>
          </w:p>
          <w:p w:rsidR="00DD4FD5" w:rsidRPr="00DD4FD5" w:rsidRDefault="00DD4FD5" w:rsidP="00DD4FD5">
            <w:pPr>
              <w:pStyle w:val="NormalWeb"/>
              <w:keepNext/>
              <w:spacing w:before="0" w:after="0"/>
              <w:ind w:left="240" w:hanging="240"/>
              <w:jc w:val="left"/>
              <w:rPr>
                <w:bCs/>
                <w:i/>
                <w:sz w:val="18"/>
                <w:szCs w:val="18"/>
              </w:rPr>
            </w:pPr>
            <w:r w:rsidRPr="00DD4FD5">
              <w:rPr>
                <w:bCs/>
                <w:i/>
                <w:sz w:val="18"/>
                <w:szCs w:val="18"/>
              </w:rPr>
              <w:t>(</w:t>
            </w:r>
            <w:r w:rsidR="00E53641">
              <w:rPr>
                <w:bCs/>
                <w:i/>
                <w:sz w:val="18"/>
                <w:szCs w:val="18"/>
              </w:rPr>
              <w:t>EUR </w:t>
            </w:r>
            <w:r w:rsidRPr="00DD4FD5">
              <w:rPr>
                <w:bCs/>
                <w:i/>
                <w:sz w:val="18"/>
                <w:szCs w:val="18"/>
              </w:rPr>
              <w:t>per share)</w:t>
            </w:r>
          </w:p>
        </w:tc>
        <w:tc>
          <w:tcPr>
            <w:tcW w:w="830" w:type="pct"/>
            <w:vAlign w:val="bottom"/>
          </w:tcPr>
          <w:p w:rsidR="00DD4FD5" w:rsidRPr="00DD4FD5" w:rsidRDefault="00DD4FD5" w:rsidP="00DD4FD5">
            <w:pPr>
              <w:pBdr>
                <w:bottom w:val="single" w:sz="4" w:space="1" w:color="auto"/>
              </w:pBdr>
              <w:spacing w:before="0" w:after="0"/>
              <w:ind w:left="368" w:hanging="227"/>
              <w:jc w:val="center"/>
              <w:rPr>
                <w:sz w:val="18"/>
                <w:szCs w:val="18"/>
              </w:rPr>
            </w:pPr>
            <w:r w:rsidRPr="00DD4FD5">
              <w:rPr>
                <w:b/>
                <w:bCs/>
                <w:sz w:val="18"/>
                <w:szCs w:val="18"/>
              </w:rPr>
              <w:t xml:space="preserve">Year ended </w:t>
            </w:r>
            <w:r w:rsidRPr="00DD4FD5">
              <w:rPr>
                <w:b/>
                <w:bCs/>
                <w:sz w:val="18"/>
                <w:szCs w:val="18"/>
              </w:rPr>
              <w:br/>
              <w:t>31 March 2014</w:t>
            </w:r>
            <w:r w:rsidRPr="00DD4FD5">
              <w:rPr>
                <w:b/>
                <w:bCs/>
                <w:sz w:val="18"/>
                <w:szCs w:val="18"/>
              </w:rPr>
              <w:br/>
              <w:t>Basic</w:t>
            </w:r>
          </w:p>
        </w:tc>
        <w:tc>
          <w:tcPr>
            <w:tcW w:w="571" w:type="pct"/>
          </w:tcPr>
          <w:p w:rsidR="00DD4FD5" w:rsidRPr="00DD4FD5" w:rsidRDefault="00DD4FD5" w:rsidP="00DD4FD5">
            <w:pPr>
              <w:pBdr>
                <w:bottom w:val="single" w:sz="4" w:space="1" w:color="auto"/>
              </w:pBdr>
              <w:spacing w:before="0" w:after="0"/>
              <w:jc w:val="center"/>
              <w:rPr>
                <w:b/>
                <w:bCs/>
                <w:sz w:val="18"/>
                <w:szCs w:val="18"/>
              </w:rPr>
            </w:pPr>
          </w:p>
          <w:p w:rsidR="00DD4FD5" w:rsidRPr="00DD4FD5" w:rsidRDefault="00DD4FD5" w:rsidP="00DD4FD5">
            <w:pPr>
              <w:pBdr>
                <w:bottom w:val="single" w:sz="4" w:space="1" w:color="auto"/>
              </w:pBdr>
              <w:spacing w:before="0" w:after="0"/>
              <w:jc w:val="center"/>
              <w:rPr>
                <w:b/>
                <w:bCs/>
                <w:sz w:val="18"/>
                <w:szCs w:val="18"/>
              </w:rPr>
            </w:pPr>
            <w:r w:rsidRPr="00DD4FD5">
              <w:rPr>
                <w:b/>
                <w:bCs/>
                <w:sz w:val="18"/>
                <w:szCs w:val="18"/>
              </w:rPr>
              <w:t>Year ended 31 March 2014</w:t>
            </w:r>
            <w:r w:rsidRPr="00DD4FD5">
              <w:rPr>
                <w:b/>
                <w:bCs/>
                <w:sz w:val="18"/>
                <w:szCs w:val="18"/>
              </w:rPr>
              <w:br/>
              <w:t>Diluted</w:t>
            </w:r>
            <w:r w:rsidRPr="00DD4FD5">
              <w:rPr>
                <w:b/>
                <w:bCs/>
                <w:sz w:val="18"/>
                <w:szCs w:val="18"/>
                <w:vertAlign w:val="superscript"/>
              </w:rPr>
              <w:t>4</w:t>
            </w:r>
          </w:p>
        </w:tc>
        <w:tc>
          <w:tcPr>
            <w:tcW w:w="586" w:type="pct"/>
            <w:vAlign w:val="bottom"/>
          </w:tcPr>
          <w:p w:rsidR="00DD4FD5" w:rsidRPr="00DD4FD5" w:rsidRDefault="00DD4FD5" w:rsidP="00DD4FD5">
            <w:pPr>
              <w:pBdr>
                <w:bottom w:val="single" w:sz="4" w:space="1" w:color="auto"/>
              </w:pBdr>
              <w:spacing w:before="0" w:after="0"/>
              <w:jc w:val="center"/>
              <w:rPr>
                <w:sz w:val="18"/>
                <w:szCs w:val="18"/>
              </w:rPr>
            </w:pPr>
            <w:r w:rsidRPr="00DD4FD5">
              <w:rPr>
                <w:b/>
                <w:bCs/>
                <w:sz w:val="18"/>
                <w:szCs w:val="18"/>
              </w:rPr>
              <w:t>Year ended 31 March</w:t>
            </w:r>
            <w:r w:rsidRPr="00DD4FD5">
              <w:rPr>
                <w:b/>
                <w:bCs/>
                <w:sz w:val="18"/>
                <w:szCs w:val="18"/>
              </w:rPr>
              <w:br/>
              <w:t>2013</w:t>
            </w:r>
            <w:r w:rsidRPr="00DD4FD5">
              <w:rPr>
                <w:b/>
                <w:bCs/>
                <w:sz w:val="18"/>
                <w:szCs w:val="18"/>
              </w:rPr>
              <w:br/>
              <w:t>Basic</w:t>
            </w:r>
          </w:p>
        </w:tc>
        <w:tc>
          <w:tcPr>
            <w:tcW w:w="582" w:type="pct"/>
          </w:tcPr>
          <w:p w:rsidR="00DD4FD5" w:rsidRPr="00DD4FD5" w:rsidRDefault="00DD4FD5" w:rsidP="00DD4FD5">
            <w:pPr>
              <w:pBdr>
                <w:bottom w:val="single" w:sz="4" w:space="1" w:color="auto"/>
              </w:pBdr>
              <w:spacing w:before="0" w:after="0"/>
              <w:jc w:val="center"/>
              <w:rPr>
                <w:b/>
                <w:bCs/>
                <w:sz w:val="18"/>
                <w:szCs w:val="18"/>
              </w:rPr>
            </w:pPr>
          </w:p>
          <w:p w:rsidR="00DD4FD5" w:rsidRPr="00DD4FD5" w:rsidRDefault="00DD4FD5" w:rsidP="00DD4FD5">
            <w:pPr>
              <w:pBdr>
                <w:bottom w:val="single" w:sz="4" w:space="1" w:color="auto"/>
              </w:pBdr>
              <w:spacing w:before="0" w:after="0"/>
              <w:jc w:val="center"/>
              <w:rPr>
                <w:b/>
                <w:bCs/>
                <w:sz w:val="18"/>
                <w:szCs w:val="18"/>
              </w:rPr>
            </w:pPr>
            <w:r w:rsidRPr="00DD4FD5">
              <w:rPr>
                <w:b/>
                <w:bCs/>
                <w:sz w:val="18"/>
                <w:szCs w:val="18"/>
              </w:rPr>
              <w:t>Year ended 31 March 2013</w:t>
            </w:r>
            <w:r w:rsidRPr="00DD4FD5">
              <w:rPr>
                <w:b/>
                <w:bCs/>
                <w:sz w:val="18"/>
                <w:szCs w:val="18"/>
              </w:rPr>
              <w:br/>
              <w:t>Diluted</w:t>
            </w:r>
            <w:r w:rsidRPr="00DD4FD5">
              <w:rPr>
                <w:b/>
                <w:bCs/>
                <w:sz w:val="18"/>
                <w:szCs w:val="18"/>
                <w:vertAlign w:val="superscript"/>
              </w:rPr>
              <w:t>3</w:t>
            </w:r>
          </w:p>
        </w:tc>
      </w:tr>
      <w:tr w:rsidR="00DD4FD5" w:rsidRPr="00DD4FD5" w:rsidTr="00DD4FD5">
        <w:tc>
          <w:tcPr>
            <w:tcW w:w="2431"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Earnings per share</w:t>
            </w:r>
            <w:r w:rsidRPr="00DD4FD5">
              <w:rPr>
                <w:sz w:val="18"/>
                <w:szCs w:val="18"/>
              </w:rPr>
              <w:tab/>
            </w:r>
          </w:p>
        </w:tc>
        <w:tc>
          <w:tcPr>
            <w:tcW w:w="830"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3.78</w:t>
            </w:r>
          </w:p>
        </w:tc>
        <w:tc>
          <w:tcPr>
            <w:tcW w:w="571"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3.28</w:t>
            </w:r>
          </w:p>
        </w:tc>
        <w:tc>
          <w:tcPr>
            <w:tcW w:w="58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0.68</w:t>
            </w:r>
          </w:p>
        </w:tc>
        <w:tc>
          <w:tcPr>
            <w:tcW w:w="582"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0.59</w:t>
            </w:r>
          </w:p>
        </w:tc>
      </w:tr>
      <w:tr w:rsidR="00DD4FD5" w:rsidRPr="00DD4FD5" w:rsidTr="00DD4FD5">
        <w:trPr>
          <w:trHeight w:val="267"/>
        </w:trPr>
        <w:tc>
          <w:tcPr>
            <w:tcW w:w="2431" w:type="pct"/>
          </w:tcPr>
          <w:p w:rsidR="00DD4FD5" w:rsidRPr="00DD4FD5" w:rsidRDefault="00C14169" w:rsidP="00DD4FD5">
            <w:pPr>
              <w:pStyle w:val="NormalWeb"/>
              <w:keepNext/>
              <w:tabs>
                <w:tab w:val="right" w:leader="dot" w:pos="5160"/>
              </w:tabs>
              <w:spacing w:before="0" w:after="0"/>
              <w:ind w:left="240" w:hanging="240"/>
              <w:rPr>
                <w:sz w:val="18"/>
                <w:szCs w:val="18"/>
              </w:rPr>
            </w:pPr>
            <w:r>
              <w:rPr>
                <w:sz w:val="18"/>
                <w:szCs w:val="18"/>
              </w:rPr>
              <w:t xml:space="preserve">   </w:t>
            </w:r>
            <w:r w:rsidR="00DD4FD5" w:rsidRPr="00DD4FD5">
              <w:rPr>
                <w:sz w:val="18"/>
                <w:szCs w:val="18"/>
              </w:rPr>
              <w:t>- Earnings per share from continuing operations</w:t>
            </w:r>
            <w:r w:rsidR="00DD4FD5" w:rsidRPr="00DD4FD5">
              <w:rPr>
                <w:sz w:val="18"/>
                <w:szCs w:val="18"/>
              </w:rPr>
              <w:tab/>
            </w:r>
          </w:p>
          <w:p w:rsidR="00DD4FD5" w:rsidRPr="00DD4FD5" w:rsidRDefault="00DD4FD5" w:rsidP="00DD4FD5">
            <w:pPr>
              <w:pStyle w:val="la24"/>
              <w:spacing w:before="0" w:after="0"/>
              <w:rPr>
                <w:sz w:val="18"/>
                <w:szCs w:val="18"/>
              </w:rPr>
            </w:pPr>
            <w:r w:rsidRPr="00DD4FD5">
              <w:rPr>
                <w:noProof w:val="0"/>
                <w:sz w:val="18"/>
                <w:szCs w:val="18"/>
                <w:lang w:val="en-GB"/>
              </w:rPr>
              <w:t> </w:t>
            </w:r>
          </w:p>
        </w:tc>
        <w:tc>
          <w:tcPr>
            <w:tcW w:w="830"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(0.18)</w:t>
            </w:r>
          </w:p>
        </w:tc>
        <w:tc>
          <w:tcPr>
            <w:tcW w:w="571"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(0.18)</w:t>
            </w:r>
          </w:p>
        </w:tc>
        <w:tc>
          <w:tcPr>
            <w:tcW w:w="58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0.01</w:t>
            </w:r>
          </w:p>
        </w:tc>
        <w:tc>
          <w:tcPr>
            <w:tcW w:w="582"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0.01</w:t>
            </w:r>
          </w:p>
        </w:tc>
      </w:tr>
      <w:tr w:rsidR="00DD4FD5" w:rsidRPr="005D480F" w:rsidTr="00DD4FD5">
        <w:tc>
          <w:tcPr>
            <w:tcW w:w="2431" w:type="pct"/>
          </w:tcPr>
          <w:p w:rsidR="00DD4FD5" w:rsidRPr="00DD4FD5" w:rsidRDefault="00C14169" w:rsidP="00DD4FD5">
            <w:pPr>
              <w:pStyle w:val="NormalWeb"/>
              <w:keepNext/>
              <w:tabs>
                <w:tab w:val="right" w:leader="dot" w:pos="5160"/>
              </w:tabs>
              <w:spacing w:before="0" w:after="0"/>
              <w:ind w:left="240" w:hanging="240"/>
              <w:rPr>
                <w:sz w:val="18"/>
                <w:szCs w:val="18"/>
              </w:rPr>
            </w:pPr>
            <w:r>
              <w:rPr>
                <w:sz w:val="18"/>
                <w:szCs w:val="18"/>
              </w:rPr>
              <w:t xml:space="preserve">   </w:t>
            </w:r>
            <w:r w:rsidR="00DD4FD5" w:rsidRPr="00DD4FD5">
              <w:rPr>
                <w:sz w:val="18"/>
                <w:szCs w:val="18"/>
              </w:rPr>
              <w:t>- Earnings per share from discontinued operations</w:t>
            </w:r>
            <w:r w:rsidR="00DD4FD5" w:rsidRPr="00DD4FD5">
              <w:rPr>
                <w:bCs/>
                <w:sz w:val="18"/>
                <w:szCs w:val="18"/>
              </w:rPr>
              <w:tab/>
            </w:r>
          </w:p>
        </w:tc>
        <w:tc>
          <w:tcPr>
            <w:tcW w:w="830"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3.9</w:t>
            </w:r>
            <w:r w:rsidR="00B91DE5">
              <w:rPr>
                <w:sz w:val="18"/>
                <w:szCs w:val="18"/>
              </w:rPr>
              <w:t>8</w:t>
            </w:r>
          </w:p>
        </w:tc>
        <w:tc>
          <w:tcPr>
            <w:tcW w:w="571"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3.46</w:t>
            </w:r>
          </w:p>
        </w:tc>
        <w:tc>
          <w:tcPr>
            <w:tcW w:w="58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0.67</w:t>
            </w:r>
          </w:p>
        </w:tc>
        <w:tc>
          <w:tcPr>
            <w:tcW w:w="582"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0.58</w:t>
            </w:r>
          </w:p>
        </w:tc>
      </w:tr>
    </w:tbl>
    <w:p w:rsidR="003F0BC5" w:rsidRPr="00DD4FD5" w:rsidRDefault="003F0BC5" w:rsidP="00DD4FD5">
      <w:pPr>
        <w:rPr>
          <w:snapToGrid w:val="0"/>
          <w:kern w:val="32"/>
          <w:szCs w:val="20"/>
        </w:rPr>
      </w:pPr>
      <w:r w:rsidRPr="00DD4FD5">
        <w:rPr>
          <w:snapToGrid w:val="0"/>
          <w:kern w:val="32"/>
          <w:szCs w:val="20"/>
        </w:rPr>
        <w:t>The</w:t>
      </w:r>
      <w:r w:rsidRPr="00DD4FD5">
        <w:rPr>
          <w:b/>
          <w:snapToGrid w:val="0"/>
          <w:kern w:val="32"/>
          <w:szCs w:val="20"/>
        </w:rPr>
        <w:t xml:space="preserve"> </w:t>
      </w:r>
      <w:r w:rsidRPr="00DD4FD5">
        <w:rPr>
          <w:snapToGrid w:val="0"/>
          <w:kern w:val="32"/>
          <w:szCs w:val="20"/>
        </w:rPr>
        <w:t>earnings per share from discontinued operations included entirely the earnings per share realised on the sale of the potato division.</w:t>
      </w:r>
    </w:p>
    <w:p w:rsidR="003F0BC5" w:rsidRPr="00992199" w:rsidRDefault="003F0BC5" w:rsidP="00353B80">
      <w:pPr>
        <w:pStyle w:val="Firm5L3"/>
        <w:keepNext/>
      </w:pPr>
      <w:r w:rsidRPr="00992199">
        <w:t>Statement of financial position as per 31 March 2015, 31 March 2014 and 31 March 2013</w:t>
      </w:r>
    </w:p>
    <w:p w:rsidR="003F0BC5" w:rsidRPr="00992199" w:rsidRDefault="003F0BC5" w:rsidP="003F0BC5">
      <w:pPr>
        <w:rPr>
          <w:snapToGrid w:val="0"/>
          <w:kern w:val="32"/>
          <w:szCs w:val="20"/>
        </w:rPr>
      </w:pPr>
      <w:r w:rsidRPr="00992199">
        <w:rPr>
          <w:snapToGrid w:val="0"/>
          <w:kern w:val="32"/>
          <w:szCs w:val="20"/>
        </w:rPr>
        <w:t xml:space="preserve">The following tables set forth the audited consolidated statements of financial position per 31 March 2013, 31 March 2014 and 31 March 2015 of </w:t>
      </w:r>
      <w:r w:rsidR="002A1AB1">
        <w:rPr>
          <w:snapToGrid w:val="0"/>
          <w:kern w:val="32"/>
          <w:szCs w:val="20"/>
        </w:rPr>
        <w:t>Greenyard Foods</w:t>
      </w:r>
      <w:r w:rsidRPr="00992199">
        <w:rPr>
          <w:snapToGrid w:val="0"/>
          <w:kern w:val="32"/>
          <w:szCs w:val="20"/>
        </w:rPr>
        <w:t xml:space="preserve"> in accordance with IFRS and are described in Annex I of this Prospectus.</w:t>
      </w:r>
    </w:p>
    <w:tbl>
      <w:tblPr>
        <w:tblW w:w="5103" w:type="pct"/>
        <w:tblLook w:val="0000" w:firstRow="0" w:lastRow="0" w:firstColumn="0" w:lastColumn="0" w:noHBand="0" w:noVBand="0"/>
      </w:tblPr>
      <w:tblGrid>
        <w:gridCol w:w="5238"/>
        <w:gridCol w:w="1559"/>
        <w:gridCol w:w="1189"/>
        <w:gridCol w:w="1449"/>
      </w:tblGrid>
      <w:tr w:rsidR="00DD4FD5" w:rsidRPr="00DD4FD5" w:rsidTr="00DD4FD5">
        <w:tc>
          <w:tcPr>
            <w:tcW w:w="2776" w:type="pct"/>
            <w:vAlign w:val="center"/>
          </w:tcPr>
          <w:p w:rsidR="00DD4FD5" w:rsidRPr="00DD4FD5" w:rsidRDefault="00DD4FD5" w:rsidP="00DD4FD5">
            <w:pPr>
              <w:pStyle w:val="NormalWeb"/>
              <w:keepNext/>
              <w:spacing w:before="0" w:after="0"/>
              <w:ind w:left="240" w:hanging="240"/>
              <w:jc w:val="left"/>
              <w:rPr>
                <w:bCs/>
                <w:i/>
                <w:sz w:val="18"/>
                <w:szCs w:val="18"/>
              </w:rPr>
            </w:pPr>
            <w:r w:rsidRPr="00DD4FD5">
              <w:rPr>
                <w:bCs/>
                <w:i/>
                <w:sz w:val="18"/>
                <w:szCs w:val="18"/>
              </w:rPr>
              <w:lastRenderedPageBreak/>
              <w:t>(</w:t>
            </w:r>
            <w:r w:rsidR="00E53641">
              <w:rPr>
                <w:bCs/>
                <w:i/>
                <w:sz w:val="18"/>
                <w:szCs w:val="18"/>
              </w:rPr>
              <w:t>EUR </w:t>
            </w:r>
            <w:r w:rsidRPr="00DD4FD5">
              <w:rPr>
                <w:bCs/>
                <w:i/>
                <w:sz w:val="18"/>
                <w:szCs w:val="18"/>
              </w:rPr>
              <w:t>in millions)</w:t>
            </w:r>
          </w:p>
        </w:tc>
        <w:tc>
          <w:tcPr>
            <w:tcW w:w="826" w:type="pct"/>
            <w:vAlign w:val="bottom"/>
          </w:tcPr>
          <w:p w:rsidR="00DD4FD5" w:rsidRPr="00DD4FD5" w:rsidRDefault="00DD4FD5" w:rsidP="00DD4FD5">
            <w:pPr>
              <w:pBdr>
                <w:bottom w:val="single" w:sz="4" w:space="1" w:color="auto"/>
              </w:pBdr>
              <w:spacing w:before="0" w:after="0"/>
              <w:ind w:left="141"/>
              <w:jc w:val="center"/>
              <w:rPr>
                <w:sz w:val="18"/>
                <w:szCs w:val="18"/>
              </w:rPr>
            </w:pPr>
            <w:r w:rsidRPr="00DD4FD5">
              <w:rPr>
                <w:b/>
                <w:bCs/>
                <w:sz w:val="18"/>
                <w:szCs w:val="18"/>
              </w:rPr>
              <w:br/>
              <w:t xml:space="preserve">31 March </w:t>
            </w:r>
            <w:r w:rsidRPr="00DD4FD5">
              <w:rPr>
                <w:b/>
                <w:bCs/>
                <w:sz w:val="18"/>
                <w:szCs w:val="18"/>
              </w:rPr>
              <w:br/>
              <w:t>2015</w:t>
            </w:r>
          </w:p>
        </w:tc>
        <w:tc>
          <w:tcPr>
            <w:tcW w:w="630" w:type="pct"/>
          </w:tcPr>
          <w:p w:rsidR="00DD4FD5" w:rsidRPr="00DD4FD5" w:rsidRDefault="00DD4FD5" w:rsidP="00DD4FD5">
            <w:pPr>
              <w:pBdr>
                <w:bottom w:val="single" w:sz="4" w:space="1" w:color="auto"/>
              </w:pBdr>
              <w:spacing w:before="0" w:after="0"/>
              <w:jc w:val="center"/>
              <w:rPr>
                <w:b/>
                <w:bCs/>
                <w:sz w:val="18"/>
                <w:szCs w:val="18"/>
              </w:rPr>
            </w:pPr>
          </w:p>
          <w:p w:rsidR="00DD4FD5" w:rsidRPr="00DD4FD5" w:rsidRDefault="00DD4FD5" w:rsidP="00DD4FD5">
            <w:pPr>
              <w:pBdr>
                <w:bottom w:val="single" w:sz="4" w:space="1" w:color="auto"/>
              </w:pBdr>
              <w:spacing w:before="0" w:after="0"/>
              <w:jc w:val="center"/>
              <w:rPr>
                <w:b/>
                <w:bCs/>
                <w:sz w:val="18"/>
                <w:szCs w:val="18"/>
              </w:rPr>
            </w:pPr>
            <w:r w:rsidRPr="00DD4FD5">
              <w:rPr>
                <w:b/>
                <w:bCs/>
                <w:sz w:val="18"/>
                <w:szCs w:val="18"/>
              </w:rPr>
              <w:t>31 March 2014</w:t>
            </w:r>
          </w:p>
        </w:tc>
        <w:tc>
          <w:tcPr>
            <w:tcW w:w="768" w:type="pct"/>
            <w:vAlign w:val="bottom"/>
          </w:tcPr>
          <w:p w:rsidR="00DD4FD5" w:rsidRPr="00DD4FD5" w:rsidRDefault="00DD4FD5" w:rsidP="00DD4FD5">
            <w:pPr>
              <w:pBdr>
                <w:bottom w:val="single" w:sz="4" w:space="1" w:color="auto"/>
              </w:pBdr>
              <w:spacing w:before="0" w:after="0"/>
              <w:jc w:val="center"/>
              <w:rPr>
                <w:sz w:val="18"/>
                <w:szCs w:val="18"/>
              </w:rPr>
            </w:pPr>
            <w:r w:rsidRPr="00DD4FD5">
              <w:rPr>
                <w:b/>
                <w:bCs/>
                <w:sz w:val="18"/>
                <w:szCs w:val="18"/>
              </w:rPr>
              <w:t>31 March 2013</w:t>
            </w:r>
          </w:p>
        </w:tc>
      </w:tr>
      <w:tr w:rsidR="00DD4FD5" w:rsidRPr="00DD4FD5" w:rsidTr="00DD4FD5">
        <w:trPr>
          <w:trHeight w:val="332"/>
        </w:trPr>
        <w:tc>
          <w:tcPr>
            <w:tcW w:w="2776" w:type="pct"/>
          </w:tcPr>
          <w:p w:rsidR="00DD4FD5" w:rsidRPr="00DD4FD5" w:rsidRDefault="00DD4FD5" w:rsidP="00DD4FD5">
            <w:pPr>
              <w:pStyle w:val="NormalWeb"/>
              <w:keepNext/>
              <w:spacing w:before="0" w:after="0"/>
              <w:rPr>
                <w:b/>
                <w:bCs/>
                <w:sz w:val="18"/>
                <w:szCs w:val="18"/>
              </w:rPr>
            </w:pPr>
            <w:r w:rsidRPr="00DD4FD5">
              <w:rPr>
                <w:b/>
                <w:bCs/>
                <w:sz w:val="18"/>
                <w:szCs w:val="18"/>
              </w:rPr>
              <w:t>ASSETS</w:t>
            </w:r>
          </w:p>
        </w:tc>
        <w:tc>
          <w:tcPr>
            <w:tcW w:w="826" w:type="pct"/>
          </w:tcPr>
          <w:p w:rsidR="00DD4FD5" w:rsidRPr="00DD4FD5" w:rsidRDefault="00DD4FD5" w:rsidP="00DD4FD5">
            <w:pPr>
              <w:pStyle w:val="la24"/>
              <w:spacing w:before="0" w:after="0"/>
              <w:jc w:val="right"/>
              <w:rPr>
                <w:noProof w:val="0"/>
                <w:sz w:val="18"/>
                <w:szCs w:val="18"/>
                <w:lang w:val="en-GB"/>
              </w:rPr>
            </w:pPr>
            <w:r w:rsidRPr="00DD4FD5">
              <w:rPr>
                <w:noProof w:val="0"/>
                <w:sz w:val="18"/>
                <w:szCs w:val="18"/>
                <w:lang w:val="en-GB"/>
              </w:rPr>
              <w:t> </w:t>
            </w:r>
          </w:p>
        </w:tc>
        <w:tc>
          <w:tcPr>
            <w:tcW w:w="630" w:type="pct"/>
          </w:tcPr>
          <w:p w:rsidR="00DD4FD5" w:rsidRPr="00DD4FD5" w:rsidRDefault="00DD4FD5" w:rsidP="00DD4FD5">
            <w:pPr>
              <w:pStyle w:val="la24"/>
              <w:spacing w:before="0" w:after="0"/>
              <w:jc w:val="right"/>
              <w:rPr>
                <w:noProof w:val="0"/>
                <w:sz w:val="18"/>
                <w:szCs w:val="18"/>
                <w:lang w:val="en-GB"/>
              </w:rPr>
            </w:pPr>
          </w:p>
        </w:tc>
        <w:tc>
          <w:tcPr>
            <w:tcW w:w="768" w:type="pct"/>
          </w:tcPr>
          <w:p w:rsidR="00DD4FD5" w:rsidRPr="00DD4FD5" w:rsidRDefault="00DD4FD5" w:rsidP="00DD4FD5">
            <w:pPr>
              <w:pStyle w:val="la24"/>
              <w:spacing w:before="0" w:after="0"/>
              <w:jc w:val="right"/>
              <w:rPr>
                <w:noProof w:val="0"/>
                <w:sz w:val="18"/>
                <w:szCs w:val="18"/>
                <w:lang w:val="en-GB"/>
              </w:rPr>
            </w:pPr>
            <w:r w:rsidRPr="00DD4FD5">
              <w:rPr>
                <w:noProof w:val="0"/>
                <w:sz w:val="18"/>
                <w:szCs w:val="18"/>
                <w:lang w:val="en-GB"/>
              </w:rPr>
              <w:t> </w:t>
            </w:r>
          </w:p>
        </w:tc>
      </w:tr>
      <w:tr w:rsidR="00DD4FD5" w:rsidRPr="00DD4FD5" w:rsidTr="00DD4FD5">
        <w:tc>
          <w:tcPr>
            <w:tcW w:w="2776"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rStyle w:val="Style8pt"/>
                <w:sz w:val="18"/>
                <w:szCs w:val="18"/>
              </w:rPr>
              <w:t>Intangible fixed assets</w:t>
            </w:r>
            <w:r w:rsidRPr="00DD4FD5">
              <w:rPr>
                <w:sz w:val="18"/>
                <w:szCs w:val="18"/>
              </w:rPr>
              <w:tab/>
            </w:r>
          </w:p>
        </w:tc>
        <w:tc>
          <w:tcPr>
            <w:tcW w:w="826" w:type="pct"/>
            <w:noWrap/>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21.4</w:t>
            </w:r>
          </w:p>
        </w:tc>
        <w:tc>
          <w:tcPr>
            <w:tcW w:w="630" w:type="pct"/>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23.2</w:t>
            </w:r>
          </w:p>
        </w:tc>
        <w:tc>
          <w:tcPr>
            <w:tcW w:w="768"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24.3</w:t>
            </w:r>
          </w:p>
        </w:tc>
      </w:tr>
      <w:tr w:rsidR="00DD4FD5" w:rsidRPr="00DD4FD5" w:rsidTr="00DD4FD5">
        <w:trPr>
          <w:trHeight w:val="267"/>
        </w:trPr>
        <w:tc>
          <w:tcPr>
            <w:tcW w:w="2776" w:type="pct"/>
          </w:tcPr>
          <w:p w:rsidR="00DD4FD5" w:rsidRPr="00DD4FD5" w:rsidRDefault="00DD4FD5" w:rsidP="00DD4FD5">
            <w:pPr>
              <w:pStyle w:val="NormalWeb"/>
              <w:keepNext/>
              <w:tabs>
                <w:tab w:val="right" w:leader="dot" w:pos="5160"/>
              </w:tabs>
              <w:spacing w:before="0" w:after="0"/>
              <w:ind w:left="240" w:hanging="240"/>
            </w:pPr>
            <w:r w:rsidRPr="00DD4FD5">
              <w:rPr>
                <w:sz w:val="18"/>
                <w:szCs w:val="18"/>
              </w:rPr>
              <w:t>Goodwill</w:t>
            </w:r>
            <w:r w:rsidRPr="00DD4FD5">
              <w:rPr>
                <w:sz w:val="18"/>
                <w:szCs w:val="18"/>
              </w:rPr>
              <w:tab/>
            </w:r>
          </w:p>
        </w:tc>
        <w:tc>
          <w:tcPr>
            <w:tcW w:w="82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10.3</w:t>
            </w:r>
          </w:p>
        </w:tc>
        <w:tc>
          <w:tcPr>
            <w:tcW w:w="630"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10.3</w:t>
            </w:r>
          </w:p>
        </w:tc>
        <w:tc>
          <w:tcPr>
            <w:tcW w:w="768"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10.2</w:t>
            </w:r>
          </w:p>
        </w:tc>
      </w:tr>
      <w:tr w:rsidR="00DD4FD5" w:rsidRPr="00DD4FD5" w:rsidTr="00DD4FD5">
        <w:tc>
          <w:tcPr>
            <w:tcW w:w="2776"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Biological assets</w:t>
            </w:r>
            <w:r w:rsidRPr="00DD4FD5">
              <w:rPr>
                <w:bCs/>
                <w:sz w:val="18"/>
                <w:szCs w:val="18"/>
              </w:rPr>
              <w:tab/>
            </w:r>
          </w:p>
        </w:tc>
        <w:tc>
          <w:tcPr>
            <w:tcW w:w="82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c>
          <w:tcPr>
            <w:tcW w:w="630" w:type="pct"/>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w:t>
            </w:r>
          </w:p>
        </w:tc>
        <w:tc>
          <w:tcPr>
            <w:tcW w:w="768"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r>
      <w:tr w:rsidR="00DD4FD5" w:rsidRPr="00DD4FD5" w:rsidTr="00DD4FD5">
        <w:tc>
          <w:tcPr>
            <w:tcW w:w="2776"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Tangible fixed assets</w:t>
            </w:r>
            <w:r w:rsidRPr="00DD4FD5">
              <w:rPr>
                <w:sz w:val="18"/>
                <w:szCs w:val="18"/>
              </w:rPr>
              <w:tab/>
            </w:r>
          </w:p>
        </w:tc>
        <w:tc>
          <w:tcPr>
            <w:tcW w:w="82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255.7</w:t>
            </w:r>
          </w:p>
        </w:tc>
        <w:tc>
          <w:tcPr>
            <w:tcW w:w="630"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238.5</w:t>
            </w:r>
          </w:p>
        </w:tc>
        <w:tc>
          <w:tcPr>
            <w:tcW w:w="768"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131.4</w:t>
            </w:r>
          </w:p>
        </w:tc>
      </w:tr>
      <w:tr w:rsidR="00DD4FD5" w:rsidRPr="00DD4FD5" w:rsidTr="00DD4FD5">
        <w:tc>
          <w:tcPr>
            <w:tcW w:w="2776"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Investments in associates</w:t>
            </w:r>
            <w:r w:rsidRPr="00DD4FD5">
              <w:rPr>
                <w:sz w:val="18"/>
                <w:szCs w:val="18"/>
              </w:rPr>
              <w:tab/>
            </w:r>
          </w:p>
        </w:tc>
        <w:tc>
          <w:tcPr>
            <w:tcW w:w="82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c>
          <w:tcPr>
            <w:tcW w:w="630"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c>
          <w:tcPr>
            <w:tcW w:w="768"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r>
      <w:tr w:rsidR="00DD4FD5" w:rsidRPr="00DD4FD5" w:rsidTr="00DD4FD5">
        <w:tc>
          <w:tcPr>
            <w:tcW w:w="2776"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Financial fixed assets</w:t>
            </w:r>
            <w:r w:rsidRPr="00DD4FD5">
              <w:rPr>
                <w:sz w:val="18"/>
                <w:szCs w:val="18"/>
              </w:rPr>
              <w:tab/>
            </w:r>
          </w:p>
        </w:tc>
        <w:tc>
          <w:tcPr>
            <w:tcW w:w="82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c>
          <w:tcPr>
            <w:tcW w:w="630"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c>
          <w:tcPr>
            <w:tcW w:w="768"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3.4</w:t>
            </w:r>
          </w:p>
        </w:tc>
      </w:tr>
      <w:tr w:rsidR="00DD4FD5" w:rsidRPr="00DD4FD5" w:rsidTr="00DD4FD5">
        <w:tc>
          <w:tcPr>
            <w:tcW w:w="2776"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Deferred tax assets</w:t>
            </w:r>
            <w:r w:rsidRPr="00DD4FD5">
              <w:rPr>
                <w:sz w:val="18"/>
                <w:szCs w:val="18"/>
              </w:rPr>
              <w:tab/>
            </w:r>
          </w:p>
        </w:tc>
        <w:tc>
          <w:tcPr>
            <w:tcW w:w="82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6.7</w:t>
            </w:r>
          </w:p>
        </w:tc>
        <w:tc>
          <w:tcPr>
            <w:tcW w:w="630" w:type="pct"/>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8.9</w:t>
            </w:r>
          </w:p>
        </w:tc>
        <w:tc>
          <w:tcPr>
            <w:tcW w:w="768"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10.7</w:t>
            </w:r>
          </w:p>
        </w:tc>
      </w:tr>
      <w:tr w:rsidR="00DD4FD5" w:rsidRPr="00DD4FD5" w:rsidTr="00DD4FD5">
        <w:tc>
          <w:tcPr>
            <w:tcW w:w="2776"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Long-term receivables (&gt;1 year)</w:t>
            </w:r>
            <w:r w:rsidRPr="00DD4FD5">
              <w:rPr>
                <w:sz w:val="18"/>
                <w:szCs w:val="18"/>
              </w:rPr>
              <w:tab/>
            </w:r>
          </w:p>
        </w:tc>
        <w:tc>
          <w:tcPr>
            <w:tcW w:w="826"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w:t>
            </w:r>
          </w:p>
        </w:tc>
        <w:tc>
          <w:tcPr>
            <w:tcW w:w="630" w:type="pct"/>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w:t>
            </w:r>
          </w:p>
        </w:tc>
        <w:tc>
          <w:tcPr>
            <w:tcW w:w="768"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0.7</w:t>
            </w:r>
          </w:p>
        </w:tc>
      </w:tr>
      <w:tr w:rsidR="00DD4FD5" w:rsidRPr="00DD4FD5" w:rsidTr="00DD4FD5">
        <w:tc>
          <w:tcPr>
            <w:tcW w:w="2776"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Non-current assets</w:t>
            </w:r>
            <w:r w:rsidRPr="00DD4FD5">
              <w:rPr>
                <w:sz w:val="18"/>
                <w:szCs w:val="18"/>
              </w:rPr>
              <w:tab/>
            </w:r>
          </w:p>
        </w:tc>
        <w:tc>
          <w:tcPr>
            <w:tcW w:w="826" w:type="pct"/>
            <w:noWrap/>
          </w:tcPr>
          <w:p w:rsidR="00DD4FD5" w:rsidRPr="00DD4FD5" w:rsidRDefault="00DD4FD5" w:rsidP="00B91DE5">
            <w:pPr>
              <w:pStyle w:val="NormalWeb"/>
              <w:tabs>
                <w:tab w:val="right" w:pos="720"/>
                <w:tab w:val="decimal" w:pos="760"/>
              </w:tabs>
              <w:spacing w:before="0" w:after="0"/>
              <w:jc w:val="right"/>
              <w:rPr>
                <w:b/>
                <w:sz w:val="18"/>
                <w:szCs w:val="18"/>
              </w:rPr>
            </w:pPr>
            <w:r w:rsidRPr="00DD4FD5">
              <w:rPr>
                <w:b/>
                <w:sz w:val="18"/>
                <w:szCs w:val="18"/>
              </w:rPr>
              <w:t>294.</w:t>
            </w:r>
            <w:r w:rsidR="00B91DE5">
              <w:rPr>
                <w:b/>
                <w:sz w:val="18"/>
                <w:szCs w:val="18"/>
              </w:rPr>
              <w:t>2</w:t>
            </w:r>
          </w:p>
        </w:tc>
        <w:tc>
          <w:tcPr>
            <w:tcW w:w="630" w:type="pct"/>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280.9</w:t>
            </w:r>
          </w:p>
        </w:tc>
        <w:tc>
          <w:tcPr>
            <w:tcW w:w="768"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180.8</w:t>
            </w:r>
          </w:p>
        </w:tc>
      </w:tr>
      <w:tr w:rsidR="00DD4FD5" w:rsidRPr="00DD4FD5" w:rsidTr="00DD4FD5">
        <w:trPr>
          <w:trHeight w:val="267"/>
        </w:trPr>
        <w:tc>
          <w:tcPr>
            <w:tcW w:w="2776"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Biological assets</w:t>
            </w:r>
            <w:r w:rsidRPr="00DD4FD5">
              <w:rPr>
                <w:sz w:val="18"/>
                <w:szCs w:val="18"/>
              </w:rPr>
              <w:tab/>
            </w:r>
          </w:p>
        </w:tc>
        <w:tc>
          <w:tcPr>
            <w:tcW w:w="82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c>
          <w:tcPr>
            <w:tcW w:w="630"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c>
          <w:tcPr>
            <w:tcW w:w="768"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r>
      <w:tr w:rsidR="00DD4FD5" w:rsidRPr="00DD4FD5" w:rsidTr="00DD4FD5">
        <w:trPr>
          <w:trHeight w:val="267"/>
        </w:trPr>
        <w:tc>
          <w:tcPr>
            <w:tcW w:w="2776"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Inventories</w:t>
            </w:r>
            <w:r w:rsidRPr="00DD4FD5">
              <w:rPr>
                <w:sz w:val="18"/>
                <w:szCs w:val="18"/>
              </w:rPr>
              <w:tab/>
            </w:r>
          </w:p>
        </w:tc>
        <w:tc>
          <w:tcPr>
            <w:tcW w:w="82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234.0</w:t>
            </w:r>
          </w:p>
        </w:tc>
        <w:tc>
          <w:tcPr>
            <w:tcW w:w="630"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224.9</w:t>
            </w:r>
          </w:p>
        </w:tc>
        <w:tc>
          <w:tcPr>
            <w:tcW w:w="768"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200.5</w:t>
            </w:r>
          </w:p>
        </w:tc>
      </w:tr>
      <w:tr w:rsidR="00DD4FD5" w:rsidRPr="00DD4FD5" w:rsidTr="00DD4FD5">
        <w:trPr>
          <w:trHeight w:val="267"/>
        </w:trPr>
        <w:tc>
          <w:tcPr>
            <w:tcW w:w="2776"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Amounts receivable</w:t>
            </w:r>
            <w:r w:rsidRPr="00DD4FD5">
              <w:rPr>
                <w:sz w:val="18"/>
                <w:szCs w:val="18"/>
              </w:rPr>
              <w:tab/>
            </w:r>
          </w:p>
        </w:tc>
        <w:tc>
          <w:tcPr>
            <w:tcW w:w="82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80.9</w:t>
            </w:r>
          </w:p>
        </w:tc>
        <w:tc>
          <w:tcPr>
            <w:tcW w:w="630"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84.0</w:t>
            </w:r>
          </w:p>
        </w:tc>
        <w:tc>
          <w:tcPr>
            <w:tcW w:w="768"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85.1</w:t>
            </w:r>
          </w:p>
        </w:tc>
      </w:tr>
      <w:tr w:rsidR="00DD4FD5" w:rsidRPr="00DD4FD5" w:rsidTr="00DD4FD5">
        <w:trPr>
          <w:trHeight w:val="267"/>
        </w:trPr>
        <w:tc>
          <w:tcPr>
            <w:tcW w:w="2776"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Other financial assets</w:t>
            </w:r>
            <w:r w:rsidRPr="00DD4FD5">
              <w:rPr>
                <w:sz w:val="18"/>
                <w:szCs w:val="18"/>
              </w:rPr>
              <w:tab/>
            </w:r>
          </w:p>
        </w:tc>
        <w:tc>
          <w:tcPr>
            <w:tcW w:w="82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0.4</w:t>
            </w:r>
          </w:p>
        </w:tc>
        <w:tc>
          <w:tcPr>
            <w:tcW w:w="630"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c>
          <w:tcPr>
            <w:tcW w:w="768"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0.6</w:t>
            </w:r>
          </w:p>
        </w:tc>
      </w:tr>
      <w:tr w:rsidR="00DD4FD5" w:rsidRPr="00DD4FD5" w:rsidTr="00DD4FD5">
        <w:trPr>
          <w:trHeight w:val="267"/>
        </w:trPr>
        <w:tc>
          <w:tcPr>
            <w:tcW w:w="2776"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Cash and cash equivalents</w:t>
            </w:r>
            <w:r w:rsidRPr="00DD4FD5">
              <w:rPr>
                <w:sz w:val="18"/>
                <w:szCs w:val="18"/>
              </w:rPr>
              <w:tab/>
            </w:r>
          </w:p>
        </w:tc>
        <w:tc>
          <w:tcPr>
            <w:tcW w:w="82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20.5</w:t>
            </w:r>
          </w:p>
        </w:tc>
        <w:tc>
          <w:tcPr>
            <w:tcW w:w="630"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15.0</w:t>
            </w:r>
          </w:p>
        </w:tc>
        <w:tc>
          <w:tcPr>
            <w:tcW w:w="768"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21.8</w:t>
            </w:r>
          </w:p>
        </w:tc>
      </w:tr>
      <w:tr w:rsidR="00DD4FD5" w:rsidRPr="00DD4FD5" w:rsidTr="00DD4FD5">
        <w:trPr>
          <w:trHeight w:val="267"/>
        </w:trPr>
        <w:tc>
          <w:tcPr>
            <w:tcW w:w="2776"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Assets classified as held for sale</w:t>
            </w:r>
            <w:r w:rsidRPr="00DD4FD5">
              <w:rPr>
                <w:sz w:val="18"/>
                <w:szCs w:val="18"/>
              </w:rPr>
              <w:tab/>
            </w:r>
          </w:p>
          <w:p w:rsidR="00DD4FD5" w:rsidRPr="00DD4FD5" w:rsidRDefault="00DD4FD5" w:rsidP="00DD4FD5">
            <w:pPr>
              <w:pStyle w:val="la24"/>
              <w:spacing w:before="0" w:after="0"/>
              <w:rPr>
                <w:sz w:val="18"/>
                <w:szCs w:val="18"/>
              </w:rPr>
            </w:pPr>
            <w:r w:rsidRPr="00DD4FD5">
              <w:rPr>
                <w:noProof w:val="0"/>
                <w:sz w:val="18"/>
                <w:szCs w:val="18"/>
                <w:lang w:val="en-GB"/>
              </w:rPr>
              <w:t> </w:t>
            </w:r>
          </w:p>
        </w:tc>
        <w:tc>
          <w:tcPr>
            <w:tcW w:w="826"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w:t>
            </w:r>
          </w:p>
        </w:tc>
        <w:tc>
          <w:tcPr>
            <w:tcW w:w="630" w:type="pct"/>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w:t>
            </w:r>
          </w:p>
        </w:tc>
        <w:tc>
          <w:tcPr>
            <w:tcW w:w="768"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295.</w:t>
            </w:r>
            <w:r w:rsidR="00B91DE5">
              <w:rPr>
                <w:sz w:val="18"/>
                <w:szCs w:val="18"/>
              </w:rPr>
              <w:t>2</w:t>
            </w:r>
          </w:p>
        </w:tc>
      </w:tr>
      <w:tr w:rsidR="00DD4FD5" w:rsidRPr="00DD4FD5" w:rsidTr="00DD4FD5">
        <w:tc>
          <w:tcPr>
            <w:tcW w:w="2776"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Current assets</w:t>
            </w:r>
            <w:r w:rsidRPr="00DD4FD5">
              <w:rPr>
                <w:sz w:val="18"/>
                <w:szCs w:val="18"/>
              </w:rPr>
              <w:tab/>
            </w:r>
          </w:p>
        </w:tc>
        <w:tc>
          <w:tcPr>
            <w:tcW w:w="826"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335.7</w:t>
            </w:r>
          </w:p>
        </w:tc>
        <w:tc>
          <w:tcPr>
            <w:tcW w:w="630" w:type="pct"/>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323.9</w:t>
            </w:r>
          </w:p>
        </w:tc>
        <w:tc>
          <w:tcPr>
            <w:tcW w:w="768"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603.2</w:t>
            </w:r>
          </w:p>
        </w:tc>
      </w:tr>
      <w:tr w:rsidR="00DD4FD5" w:rsidRPr="00DD4FD5" w:rsidTr="00DD4FD5">
        <w:tc>
          <w:tcPr>
            <w:tcW w:w="2776" w:type="pct"/>
          </w:tcPr>
          <w:p w:rsidR="00DD4FD5" w:rsidRPr="00DD4FD5" w:rsidRDefault="00DD4FD5" w:rsidP="00DD4FD5">
            <w:pPr>
              <w:pStyle w:val="la24"/>
              <w:spacing w:before="0" w:after="0"/>
              <w:rPr>
                <w:noProof w:val="0"/>
                <w:sz w:val="18"/>
                <w:szCs w:val="18"/>
                <w:lang w:val="en-GB"/>
              </w:rPr>
            </w:pPr>
          </w:p>
        </w:tc>
        <w:tc>
          <w:tcPr>
            <w:tcW w:w="826" w:type="pct"/>
          </w:tcPr>
          <w:p w:rsidR="00DD4FD5" w:rsidRPr="00DD4FD5" w:rsidRDefault="00DD4FD5" w:rsidP="00DD4FD5">
            <w:pPr>
              <w:pStyle w:val="rrdsinglerule4"/>
              <w:spacing w:before="0" w:after="0"/>
              <w:jc w:val="right"/>
              <w:rPr>
                <w:sz w:val="18"/>
                <w:szCs w:val="18"/>
                <w:lang w:val="en-GB"/>
              </w:rPr>
            </w:pPr>
          </w:p>
        </w:tc>
        <w:tc>
          <w:tcPr>
            <w:tcW w:w="630" w:type="pct"/>
          </w:tcPr>
          <w:p w:rsidR="00DD4FD5" w:rsidRPr="00DD4FD5" w:rsidRDefault="00DD4FD5" w:rsidP="00DD4FD5">
            <w:pPr>
              <w:pStyle w:val="rrdsinglerule4"/>
              <w:spacing w:before="0" w:after="0"/>
              <w:jc w:val="right"/>
              <w:rPr>
                <w:sz w:val="18"/>
                <w:szCs w:val="18"/>
                <w:lang w:val="en-GB"/>
              </w:rPr>
            </w:pPr>
          </w:p>
        </w:tc>
        <w:tc>
          <w:tcPr>
            <w:tcW w:w="768" w:type="pct"/>
          </w:tcPr>
          <w:p w:rsidR="00DD4FD5" w:rsidRPr="00DD4FD5" w:rsidRDefault="00DD4FD5" w:rsidP="00DD4FD5">
            <w:pPr>
              <w:pStyle w:val="rrdsinglerule4"/>
              <w:spacing w:before="0" w:after="0"/>
              <w:jc w:val="right"/>
              <w:rPr>
                <w:sz w:val="18"/>
                <w:szCs w:val="18"/>
                <w:lang w:val="en-GB"/>
              </w:rPr>
            </w:pPr>
          </w:p>
        </w:tc>
      </w:tr>
      <w:tr w:rsidR="00DD4FD5" w:rsidRPr="005D480F" w:rsidTr="00DD4FD5">
        <w:trPr>
          <w:trHeight w:val="292"/>
        </w:trPr>
        <w:tc>
          <w:tcPr>
            <w:tcW w:w="2776"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Total assets</w:t>
            </w:r>
            <w:r w:rsidRPr="00DD4FD5">
              <w:rPr>
                <w:sz w:val="18"/>
                <w:szCs w:val="18"/>
              </w:rPr>
              <w:tab/>
            </w:r>
          </w:p>
        </w:tc>
        <w:tc>
          <w:tcPr>
            <w:tcW w:w="826" w:type="pct"/>
            <w:noWrap/>
          </w:tcPr>
          <w:p w:rsidR="00DD4FD5" w:rsidRPr="00DD4FD5" w:rsidRDefault="00DD4FD5" w:rsidP="00B91DE5">
            <w:pPr>
              <w:pStyle w:val="NormalWeb"/>
              <w:tabs>
                <w:tab w:val="right" w:pos="720"/>
                <w:tab w:val="decimal" w:pos="760"/>
              </w:tabs>
              <w:spacing w:before="0" w:after="0"/>
              <w:jc w:val="right"/>
              <w:rPr>
                <w:b/>
                <w:sz w:val="18"/>
                <w:szCs w:val="18"/>
              </w:rPr>
            </w:pPr>
            <w:r w:rsidRPr="00DD4FD5">
              <w:rPr>
                <w:b/>
                <w:sz w:val="18"/>
                <w:szCs w:val="18"/>
              </w:rPr>
              <w:t>6</w:t>
            </w:r>
            <w:r w:rsidR="00B91DE5">
              <w:rPr>
                <w:b/>
                <w:sz w:val="18"/>
                <w:szCs w:val="18"/>
              </w:rPr>
              <w:t>29</w:t>
            </w:r>
            <w:r w:rsidRPr="00DD4FD5">
              <w:rPr>
                <w:b/>
                <w:sz w:val="18"/>
                <w:szCs w:val="18"/>
              </w:rPr>
              <w:t>.</w:t>
            </w:r>
            <w:r w:rsidR="00B91DE5">
              <w:rPr>
                <w:b/>
                <w:sz w:val="18"/>
                <w:szCs w:val="18"/>
              </w:rPr>
              <w:t>9</w:t>
            </w:r>
          </w:p>
        </w:tc>
        <w:tc>
          <w:tcPr>
            <w:tcW w:w="630" w:type="pct"/>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604.8</w:t>
            </w:r>
          </w:p>
        </w:tc>
        <w:tc>
          <w:tcPr>
            <w:tcW w:w="768"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784.0</w:t>
            </w:r>
          </w:p>
        </w:tc>
      </w:tr>
    </w:tbl>
    <w:p w:rsidR="003F0BC5" w:rsidRPr="00992199" w:rsidRDefault="003F0BC5" w:rsidP="003F0BC5">
      <w:pPr>
        <w:rPr>
          <w:kern w:val="32"/>
          <w:szCs w:val="20"/>
        </w:rPr>
      </w:pPr>
    </w:p>
    <w:tbl>
      <w:tblPr>
        <w:tblW w:w="5103" w:type="pct"/>
        <w:tblLook w:val="0000" w:firstRow="0" w:lastRow="0" w:firstColumn="0" w:lastColumn="0" w:noHBand="0" w:noVBand="0"/>
      </w:tblPr>
      <w:tblGrid>
        <w:gridCol w:w="5298"/>
        <w:gridCol w:w="1615"/>
        <w:gridCol w:w="1245"/>
        <w:gridCol w:w="1277"/>
      </w:tblGrid>
      <w:tr w:rsidR="00DD4FD5" w:rsidRPr="00DD4FD5" w:rsidTr="00DD4FD5">
        <w:tc>
          <w:tcPr>
            <w:tcW w:w="2807" w:type="pct"/>
            <w:vAlign w:val="center"/>
          </w:tcPr>
          <w:p w:rsidR="00DD4FD5" w:rsidRPr="00DD4FD5" w:rsidRDefault="00DD4FD5" w:rsidP="00DD4FD5">
            <w:pPr>
              <w:pStyle w:val="NormalWeb"/>
              <w:keepNext/>
              <w:spacing w:before="0" w:after="0"/>
              <w:ind w:left="240" w:hanging="240"/>
              <w:jc w:val="left"/>
              <w:rPr>
                <w:bCs/>
                <w:i/>
                <w:sz w:val="18"/>
                <w:szCs w:val="18"/>
              </w:rPr>
            </w:pPr>
            <w:r w:rsidRPr="00DD4FD5">
              <w:rPr>
                <w:bCs/>
                <w:i/>
                <w:sz w:val="18"/>
                <w:szCs w:val="18"/>
              </w:rPr>
              <w:t>(</w:t>
            </w:r>
            <w:r w:rsidR="00E53641">
              <w:rPr>
                <w:bCs/>
                <w:i/>
                <w:sz w:val="18"/>
                <w:szCs w:val="18"/>
              </w:rPr>
              <w:t>EUR </w:t>
            </w:r>
            <w:r w:rsidRPr="00DD4FD5">
              <w:rPr>
                <w:bCs/>
                <w:i/>
                <w:sz w:val="18"/>
                <w:szCs w:val="18"/>
              </w:rPr>
              <w:t>in millions)</w:t>
            </w:r>
          </w:p>
        </w:tc>
        <w:tc>
          <w:tcPr>
            <w:tcW w:w="856" w:type="pct"/>
            <w:vAlign w:val="bottom"/>
          </w:tcPr>
          <w:p w:rsidR="00DD4FD5" w:rsidRPr="00DD4FD5" w:rsidRDefault="00DD4FD5" w:rsidP="00DD4FD5">
            <w:pPr>
              <w:pBdr>
                <w:bottom w:val="single" w:sz="4" w:space="1" w:color="auto"/>
              </w:pBdr>
              <w:spacing w:before="0" w:after="0"/>
              <w:ind w:left="141"/>
              <w:jc w:val="center"/>
              <w:rPr>
                <w:sz w:val="18"/>
                <w:szCs w:val="18"/>
              </w:rPr>
            </w:pPr>
            <w:r w:rsidRPr="00DD4FD5">
              <w:rPr>
                <w:b/>
                <w:bCs/>
                <w:sz w:val="18"/>
                <w:szCs w:val="18"/>
              </w:rPr>
              <w:br/>
              <w:t xml:space="preserve">31 March </w:t>
            </w:r>
            <w:r w:rsidRPr="00DD4FD5">
              <w:rPr>
                <w:b/>
                <w:bCs/>
                <w:sz w:val="18"/>
                <w:szCs w:val="18"/>
              </w:rPr>
              <w:br/>
              <w:t>2015</w:t>
            </w:r>
          </w:p>
        </w:tc>
        <w:tc>
          <w:tcPr>
            <w:tcW w:w="660" w:type="pct"/>
          </w:tcPr>
          <w:p w:rsidR="00DD4FD5" w:rsidRPr="00DD4FD5" w:rsidRDefault="00DD4FD5" w:rsidP="00DD4FD5">
            <w:pPr>
              <w:pBdr>
                <w:bottom w:val="single" w:sz="4" w:space="1" w:color="auto"/>
              </w:pBdr>
              <w:spacing w:before="0" w:after="0"/>
              <w:jc w:val="center"/>
              <w:rPr>
                <w:b/>
                <w:bCs/>
                <w:sz w:val="18"/>
                <w:szCs w:val="18"/>
              </w:rPr>
            </w:pPr>
          </w:p>
          <w:p w:rsidR="00DD4FD5" w:rsidRPr="00DD4FD5" w:rsidRDefault="00DD4FD5" w:rsidP="00DD4FD5">
            <w:pPr>
              <w:pBdr>
                <w:bottom w:val="single" w:sz="4" w:space="1" w:color="auto"/>
              </w:pBdr>
              <w:spacing w:before="0" w:after="0"/>
              <w:jc w:val="center"/>
              <w:rPr>
                <w:b/>
                <w:bCs/>
                <w:sz w:val="18"/>
                <w:szCs w:val="18"/>
              </w:rPr>
            </w:pPr>
            <w:r w:rsidRPr="00DD4FD5">
              <w:rPr>
                <w:b/>
                <w:bCs/>
                <w:sz w:val="18"/>
                <w:szCs w:val="18"/>
              </w:rPr>
              <w:t>31 March 2014</w:t>
            </w:r>
          </w:p>
        </w:tc>
        <w:tc>
          <w:tcPr>
            <w:tcW w:w="677" w:type="pct"/>
            <w:vAlign w:val="bottom"/>
          </w:tcPr>
          <w:p w:rsidR="00DD4FD5" w:rsidRPr="00DD4FD5" w:rsidRDefault="00DD4FD5" w:rsidP="00DD4FD5">
            <w:pPr>
              <w:pBdr>
                <w:bottom w:val="single" w:sz="4" w:space="1" w:color="auto"/>
              </w:pBdr>
              <w:spacing w:before="0" w:after="0"/>
              <w:jc w:val="center"/>
              <w:rPr>
                <w:sz w:val="18"/>
                <w:szCs w:val="18"/>
              </w:rPr>
            </w:pPr>
            <w:r w:rsidRPr="00DD4FD5">
              <w:rPr>
                <w:b/>
                <w:bCs/>
                <w:sz w:val="18"/>
                <w:szCs w:val="18"/>
              </w:rPr>
              <w:t>31 March 2013</w:t>
            </w:r>
          </w:p>
        </w:tc>
      </w:tr>
      <w:tr w:rsidR="00DD4FD5" w:rsidRPr="00DD4FD5" w:rsidTr="00DD4FD5">
        <w:trPr>
          <w:trHeight w:val="332"/>
        </w:trPr>
        <w:tc>
          <w:tcPr>
            <w:tcW w:w="2807" w:type="pct"/>
          </w:tcPr>
          <w:p w:rsidR="00DD4FD5" w:rsidRPr="00DD4FD5" w:rsidRDefault="00DD4FD5" w:rsidP="00DD4FD5">
            <w:pPr>
              <w:pStyle w:val="NormalWeb"/>
              <w:keepNext/>
              <w:spacing w:before="0" w:after="0"/>
              <w:rPr>
                <w:b/>
                <w:bCs/>
                <w:sz w:val="18"/>
                <w:szCs w:val="18"/>
              </w:rPr>
            </w:pPr>
            <w:r w:rsidRPr="00DD4FD5">
              <w:rPr>
                <w:b/>
                <w:bCs/>
                <w:sz w:val="18"/>
                <w:szCs w:val="18"/>
              </w:rPr>
              <w:t>EQUITY AND LIABILITIES</w:t>
            </w:r>
          </w:p>
        </w:tc>
        <w:tc>
          <w:tcPr>
            <w:tcW w:w="856" w:type="pct"/>
          </w:tcPr>
          <w:p w:rsidR="00DD4FD5" w:rsidRPr="00DD4FD5" w:rsidRDefault="00DD4FD5" w:rsidP="00DD4FD5">
            <w:pPr>
              <w:pStyle w:val="la24"/>
              <w:spacing w:before="0" w:after="0"/>
              <w:jc w:val="right"/>
              <w:rPr>
                <w:noProof w:val="0"/>
                <w:sz w:val="18"/>
                <w:szCs w:val="18"/>
                <w:lang w:val="en-GB"/>
              </w:rPr>
            </w:pPr>
            <w:r w:rsidRPr="00DD4FD5">
              <w:rPr>
                <w:noProof w:val="0"/>
                <w:sz w:val="18"/>
                <w:szCs w:val="18"/>
                <w:lang w:val="en-GB"/>
              </w:rPr>
              <w:t> </w:t>
            </w:r>
          </w:p>
        </w:tc>
        <w:tc>
          <w:tcPr>
            <w:tcW w:w="660" w:type="pct"/>
          </w:tcPr>
          <w:p w:rsidR="00DD4FD5" w:rsidRPr="00DD4FD5" w:rsidRDefault="00DD4FD5" w:rsidP="00DD4FD5">
            <w:pPr>
              <w:pStyle w:val="la24"/>
              <w:spacing w:before="0" w:after="0"/>
              <w:jc w:val="right"/>
              <w:rPr>
                <w:noProof w:val="0"/>
                <w:sz w:val="18"/>
                <w:szCs w:val="18"/>
                <w:lang w:val="en-GB"/>
              </w:rPr>
            </w:pPr>
          </w:p>
        </w:tc>
        <w:tc>
          <w:tcPr>
            <w:tcW w:w="677" w:type="pct"/>
          </w:tcPr>
          <w:p w:rsidR="00DD4FD5" w:rsidRPr="00DD4FD5" w:rsidRDefault="00DD4FD5" w:rsidP="00DD4FD5">
            <w:pPr>
              <w:pStyle w:val="la24"/>
              <w:spacing w:before="0" w:after="0"/>
              <w:jc w:val="right"/>
              <w:rPr>
                <w:noProof w:val="0"/>
                <w:sz w:val="18"/>
                <w:szCs w:val="18"/>
                <w:lang w:val="en-GB"/>
              </w:rPr>
            </w:pPr>
            <w:r w:rsidRPr="00DD4FD5">
              <w:rPr>
                <w:noProof w:val="0"/>
                <w:sz w:val="18"/>
                <w:szCs w:val="18"/>
                <w:lang w:val="en-GB"/>
              </w:rPr>
              <w:t> </w:t>
            </w:r>
          </w:p>
        </w:tc>
      </w:tr>
      <w:tr w:rsidR="00DD4FD5" w:rsidRPr="00DD4FD5" w:rsidTr="00DD4FD5">
        <w:tc>
          <w:tcPr>
            <w:tcW w:w="2807"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rStyle w:val="Style8pt"/>
                <w:sz w:val="18"/>
                <w:szCs w:val="18"/>
              </w:rPr>
              <w:t>Share capital</w:t>
            </w:r>
            <w:r w:rsidRPr="00DD4FD5">
              <w:rPr>
                <w:sz w:val="18"/>
                <w:szCs w:val="18"/>
              </w:rPr>
              <w:tab/>
            </w:r>
          </w:p>
        </w:tc>
        <w:tc>
          <w:tcPr>
            <w:tcW w:w="856" w:type="pct"/>
            <w:noWrap/>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97.8</w:t>
            </w:r>
          </w:p>
        </w:tc>
        <w:tc>
          <w:tcPr>
            <w:tcW w:w="660" w:type="pct"/>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97.8</w:t>
            </w:r>
          </w:p>
        </w:tc>
        <w:tc>
          <w:tcPr>
            <w:tcW w:w="677"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154.3</w:t>
            </w:r>
          </w:p>
        </w:tc>
      </w:tr>
      <w:tr w:rsidR="00DD4FD5" w:rsidRPr="00DD4FD5" w:rsidTr="00DD4FD5">
        <w:trPr>
          <w:trHeight w:val="267"/>
        </w:trPr>
        <w:tc>
          <w:tcPr>
            <w:tcW w:w="2807"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Share premium and other capital instruments</w:t>
            </w:r>
            <w:r w:rsidRPr="00DD4FD5">
              <w:rPr>
                <w:sz w:val="18"/>
                <w:szCs w:val="18"/>
              </w:rPr>
              <w:tab/>
            </w:r>
          </w:p>
          <w:p w:rsidR="00DD4FD5" w:rsidRPr="00DD4FD5" w:rsidRDefault="00DD4FD5" w:rsidP="00DD4FD5">
            <w:pPr>
              <w:pStyle w:val="la24"/>
              <w:spacing w:before="0" w:after="0"/>
              <w:rPr>
                <w:sz w:val="18"/>
                <w:szCs w:val="18"/>
              </w:rPr>
            </w:pPr>
            <w:r w:rsidRPr="00DD4FD5">
              <w:rPr>
                <w:noProof w:val="0"/>
                <w:sz w:val="18"/>
                <w:szCs w:val="18"/>
                <w:lang w:val="en-GB"/>
              </w:rPr>
              <w:t> </w:t>
            </w:r>
          </w:p>
        </w:tc>
        <w:tc>
          <w:tcPr>
            <w:tcW w:w="85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14.3</w:t>
            </w:r>
          </w:p>
        </w:tc>
        <w:tc>
          <w:tcPr>
            <w:tcW w:w="660"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14.3</w:t>
            </w:r>
          </w:p>
        </w:tc>
        <w:tc>
          <w:tcPr>
            <w:tcW w:w="677"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14.3</w:t>
            </w:r>
          </w:p>
        </w:tc>
      </w:tr>
      <w:tr w:rsidR="00DD4FD5" w:rsidRPr="00DD4FD5" w:rsidTr="00DD4FD5">
        <w:tc>
          <w:tcPr>
            <w:tcW w:w="2807"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Consolidated reserves</w:t>
            </w:r>
            <w:r w:rsidRPr="00DD4FD5">
              <w:rPr>
                <w:bCs/>
                <w:sz w:val="18"/>
                <w:szCs w:val="18"/>
              </w:rPr>
              <w:tab/>
            </w:r>
          </w:p>
        </w:tc>
        <w:tc>
          <w:tcPr>
            <w:tcW w:w="85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103.5</w:t>
            </w:r>
          </w:p>
        </w:tc>
        <w:tc>
          <w:tcPr>
            <w:tcW w:w="660" w:type="pct"/>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93.1</w:t>
            </w:r>
          </w:p>
        </w:tc>
        <w:tc>
          <w:tcPr>
            <w:tcW w:w="677"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14.4</w:t>
            </w:r>
          </w:p>
        </w:tc>
      </w:tr>
      <w:tr w:rsidR="00DD4FD5" w:rsidRPr="00DD4FD5" w:rsidTr="00DD4FD5">
        <w:tc>
          <w:tcPr>
            <w:tcW w:w="2807"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Cumulative translation adjustments</w:t>
            </w:r>
            <w:r w:rsidRPr="00DD4FD5">
              <w:rPr>
                <w:sz w:val="18"/>
                <w:szCs w:val="18"/>
              </w:rPr>
              <w:tab/>
            </w:r>
          </w:p>
        </w:tc>
        <w:tc>
          <w:tcPr>
            <w:tcW w:w="85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(1.9)</w:t>
            </w:r>
          </w:p>
        </w:tc>
        <w:tc>
          <w:tcPr>
            <w:tcW w:w="660"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(3.0)</w:t>
            </w:r>
          </w:p>
        </w:tc>
        <w:tc>
          <w:tcPr>
            <w:tcW w:w="677"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(3.2)</w:t>
            </w:r>
          </w:p>
        </w:tc>
      </w:tr>
      <w:tr w:rsidR="00DD4FD5" w:rsidRPr="00DD4FD5" w:rsidTr="00DD4FD5">
        <w:tc>
          <w:tcPr>
            <w:tcW w:w="2807"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Non-controlling interests</w:t>
            </w:r>
            <w:r w:rsidRPr="00DD4FD5">
              <w:rPr>
                <w:sz w:val="18"/>
                <w:szCs w:val="18"/>
              </w:rPr>
              <w:tab/>
            </w:r>
          </w:p>
        </w:tc>
        <w:tc>
          <w:tcPr>
            <w:tcW w:w="856"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8.1</w:t>
            </w:r>
          </w:p>
        </w:tc>
        <w:tc>
          <w:tcPr>
            <w:tcW w:w="660" w:type="pct"/>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9.7</w:t>
            </w:r>
          </w:p>
        </w:tc>
        <w:tc>
          <w:tcPr>
            <w:tcW w:w="677"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2.3</w:t>
            </w:r>
          </w:p>
        </w:tc>
      </w:tr>
      <w:tr w:rsidR="00DD4FD5" w:rsidRPr="00DD4FD5" w:rsidTr="00DD4FD5">
        <w:tc>
          <w:tcPr>
            <w:tcW w:w="2807"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Equity</w:t>
            </w:r>
            <w:r w:rsidRPr="00DD4FD5">
              <w:rPr>
                <w:sz w:val="18"/>
                <w:szCs w:val="18"/>
              </w:rPr>
              <w:tab/>
            </w:r>
          </w:p>
        </w:tc>
        <w:tc>
          <w:tcPr>
            <w:tcW w:w="856"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221.8</w:t>
            </w:r>
          </w:p>
        </w:tc>
        <w:tc>
          <w:tcPr>
            <w:tcW w:w="660" w:type="pct"/>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211.9</w:t>
            </w:r>
          </w:p>
        </w:tc>
        <w:tc>
          <w:tcPr>
            <w:tcW w:w="677"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182.2</w:t>
            </w:r>
          </w:p>
        </w:tc>
      </w:tr>
      <w:tr w:rsidR="00DD4FD5" w:rsidRPr="00DD4FD5" w:rsidTr="00DD4FD5">
        <w:tc>
          <w:tcPr>
            <w:tcW w:w="2807"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Provisions for pensions and similar rights</w:t>
            </w:r>
            <w:r w:rsidRPr="00DD4FD5">
              <w:rPr>
                <w:bCs/>
                <w:sz w:val="18"/>
                <w:szCs w:val="18"/>
              </w:rPr>
              <w:tab/>
            </w:r>
          </w:p>
        </w:tc>
        <w:tc>
          <w:tcPr>
            <w:tcW w:w="85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1.6</w:t>
            </w:r>
          </w:p>
        </w:tc>
        <w:tc>
          <w:tcPr>
            <w:tcW w:w="660" w:type="pct"/>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1.7</w:t>
            </w:r>
          </w:p>
        </w:tc>
        <w:tc>
          <w:tcPr>
            <w:tcW w:w="677"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1.5</w:t>
            </w:r>
          </w:p>
        </w:tc>
      </w:tr>
      <w:tr w:rsidR="00DD4FD5" w:rsidRPr="00DD4FD5" w:rsidTr="00DD4FD5">
        <w:tc>
          <w:tcPr>
            <w:tcW w:w="2807"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Other provisions</w:t>
            </w:r>
            <w:r w:rsidRPr="00DD4FD5">
              <w:rPr>
                <w:bCs/>
                <w:sz w:val="18"/>
                <w:szCs w:val="18"/>
              </w:rPr>
              <w:tab/>
            </w:r>
          </w:p>
        </w:tc>
        <w:tc>
          <w:tcPr>
            <w:tcW w:w="85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0.8</w:t>
            </w:r>
          </w:p>
        </w:tc>
        <w:tc>
          <w:tcPr>
            <w:tcW w:w="660" w:type="pct"/>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1.1</w:t>
            </w:r>
          </w:p>
        </w:tc>
        <w:tc>
          <w:tcPr>
            <w:tcW w:w="677"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2.2</w:t>
            </w:r>
          </w:p>
        </w:tc>
      </w:tr>
      <w:tr w:rsidR="00DD4FD5" w:rsidRPr="00DD4FD5" w:rsidTr="00DD4FD5">
        <w:trPr>
          <w:trHeight w:val="267"/>
        </w:trPr>
        <w:tc>
          <w:tcPr>
            <w:tcW w:w="2807"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Financial debts at credit instutions</w:t>
            </w:r>
            <w:r w:rsidRPr="00DD4FD5">
              <w:rPr>
                <w:bCs/>
                <w:sz w:val="18"/>
                <w:szCs w:val="18"/>
              </w:rPr>
              <w:tab/>
            </w:r>
          </w:p>
        </w:tc>
        <w:tc>
          <w:tcPr>
            <w:tcW w:w="85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6.7</w:t>
            </w:r>
          </w:p>
        </w:tc>
        <w:tc>
          <w:tcPr>
            <w:tcW w:w="660" w:type="pct"/>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7.4</w:t>
            </w:r>
          </w:p>
        </w:tc>
        <w:tc>
          <w:tcPr>
            <w:tcW w:w="677"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2.2</w:t>
            </w:r>
          </w:p>
        </w:tc>
      </w:tr>
      <w:tr w:rsidR="00DD4FD5" w:rsidRPr="00DD4FD5" w:rsidTr="00DD4FD5">
        <w:trPr>
          <w:trHeight w:val="267"/>
        </w:trPr>
        <w:tc>
          <w:tcPr>
            <w:tcW w:w="2807"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Interest-bearing liabilities</w:t>
            </w:r>
            <w:r w:rsidRPr="00DD4FD5">
              <w:rPr>
                <w:bCs/>
                <w:sz w:val="18"/>
                <w:szCs w:val="18"/>
              </w:rPr>
              <w:tab/>
            </w:r>
          </w:p>
        </w:tc>
        <w:tc>
          <w:tcPr>
            <w:tcW w:w="85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174.7</w:t>
            </w:r>
          </w:p>
        </w:tc>
        <w:tc>
          <w:tcPr>
            <w:tcW w:w="660" w:type="pct"/>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185.3</w:t>
            </w:r>
          </w:p>
        </w:tc>
        <w:tc>
          <w:tcPr>
            <w:tcW w:w="677"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39.1</w:t>
            </w:r>
          </w:p>
        </w:tc>
      </w:tr>
      <w:tr w:rsidR="00DD4FD5" w:rsidRPr="00DD4FD5" w:rsidTr="00DD4FD5">
        <w:trPr>
          <w:trHeight w:val="267"/>
        </w:trPr>
        <w:tc>
          <w:tcPr>
            <w:tcW w:w="2807"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Other amounts payable</w:t>
            </w:r>
            <w:r w:rsidRPr="00DD4FD5">
              <w:rPr>
                <w:bCs/>
                <w:sz w:val="18"/>
                <w:szCs w:val="18"/>
              </w:rPr>
              <w:tab/>
            </w:r>
          </w:p>
        </w:tc>
        <w:tc>
          <w:tcPr>
            <w:tcW w:w="85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0.8</w:t>
            </w:r>
          </w:p>
        </w:tc>
        <w:tc>
          <w:tcPr>
            <w:tcW w:w="660" w:type="pct"/>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0.4</w:t>
            </w:r>
          </w:p>
        </w:tc>
        <w:tc>
          <w:tcPr>
            <w:tcW w:w="677"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3.1</w:t>
            </w:r>
          </w:p>
        </w:tc>
      </w:tr>
      <w:tr w:rsidR="00DD4FD5" w:rsidRPr="00DD4FD5" w:rsidTr="00DD4FD5">
        <w:trPr>
          <w:trHeight w:val="267"/>
        </w:trPr>
        <w:tc>
          <w:tcPr>
            <w:tcW w:w="2807"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Deferred tax liabilities</w:t>
            </w:r>
            <w:r w:rsidRPr="00DD4FD5">
              <w:rPr>
                <w:sz w:val="18"/>
                <w:szCs w:val="18"/>
              </w:rPr>
              <w:tab/>
            </w:r>
          </w:p>
        </w:tc>
        <w:tc>
          <w:tcPr>
            <w:tcW w:w="856"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23.0</w:t>
            </w:r>
          </w:p>
        </w:tc>
        <w:tc>
          <w:tcPr>
            <w:tcW w:w="660" w:type="pct"/>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25.7</w:t>
            </w:r>
          </w:p>
        </w:tc>
        <w:tc>
          <w:tcPr>
            <w:tcW w:w="677"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24.3</w:t>
            </w:r>
          </w:p>
        </w:tc>
      </w:tr>
      <w:tr w:rsidR="00DD4FD5" w:rsidRPr="00DD4FD5" w:rsidTr="00DD4FD5">
        <w:trPr>
          <w:trHeight w:val="267"/>
        </w:trPr>
        <w:tc>
          <w:tcPr>
            <w:tcW w:w="2807"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Non-current liabilities</w:t>
            </w:r>
            <w:r w:rsidRPr="00DD4FD5">
              <w:rPr>
                <w:sz w:val="18"/>
                <w:szCs w:val="18"/>
              </w:rPr>
              <w:tab/>
            </w:r>
          </w:p>
        </w:tc>
        <w:tc>
          <w:tcPr>
            <w:tcW w:w="856"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207.6</w:t>
            </w:r>
          </w:p>
        </w:tc>
        <w:tc>
          <w:tcPr>
            <w:tcW w:w="660" w:type="pct"/>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221.6</w:t>
            </w:r>
          </w:p>
        </w:tc>
        <w:tc>
          <w:tcPr>
            <w:tcW w:w="677"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72.4</w:t>
            </w:r>
          </w:p>
        </w:tc>
      </w:tr>
      <w:tr w:rsidR="00DD4FD5" w:rsidRPr="00DD4FD5" w:rsidTr="00DD4FD5">
        <w:trPr>
          <w:trHeight w:val="267"/>
        </w:trPr>
        <w:tc>
          <w:tcPr>
            <w:tcW w:w="2807"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Financial debts at credit institutions</w:t>
            </w:r>
            <w:r w:rsidRPr="00DD4FD5">
              <w:rPr>
                <w:sz w:val="18"/>
                <w:szCs w:val="18"/>
              </w:rPr>
              <w:tab/>
            </w:r>
          </w:p>
        </w:tc>
        <w:tc>
          <w:tcPr>
            <w:tcW w:w="85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63.4</w:t>
            </w:r>
          </w:p>
        </w:tc>
        <w:tc>
          <w:tcPr>
            <w:tcW w:w="660"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49.6</w:t>
            </w:r>
          </w:p>
        </w:tc>
        <w:tc>
          <w:tcPr>
            <w:tcW w:w="677"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197.6</w:t>
            </w:r>
          </w:p>
        </w:tc>
      </w:tr>
      <w:tr w:rsidR="00DD4FD5" w:rsidRPr="00DD4FD5" w:rsidTr="00DD4FD5">
        <w:trPr>
          <w:trHeight w:val="267"/>
        </w:trPr>
        <w:tc>
          <w:tcPr>
            <w:tcW w:w="2807"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Interest-bearing liabilities</w:t>
            </w:r>
            <w:r w:rsidRPr="00DD4FD5">
              <w:rPr>
                <w:sz w:val="18"/>
                <w:szCs w:val="18"/>
              </w:rPr>
              <w:tab/>
            </w:r>
          </w:p>
        </w:tc>
        <w:tc>
          <w:tcPr>
            <w:tcW w:w="85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12.0</w:t>
            </w:r>
          </w:p>
        </w:tc>
        <w:tc>
          <w:tcPr>
            <w:tcW w:w="660"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c>
          <w:tcPr>
            <w:tcW w:w="677"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r>
      <w:tr w:rsidR="00DD4FD5" w:rsidRPr="00DD4FD5" w:rsidTr="00DD4FD5">
        <w:trPr>
          <w:trHeight w:val="267"/>
        </w:trPr>
        <w:tc>
          <w:tcPr>
            <w:tcW w:w="2807"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Trade payables</w:t>
            </w:r>
            <w:r w:rsidRPr="00DD4FD5">
              <w:rPr>
                <w:sz w:val="18"/>
                <w:szCs w:val="18"/>
              </w:rPr>
              <w:tab/>
            </w:r>
          </w:p>
        </w:tc>
        <w:tc>
          <w:tcPr>
            <w:tcW w:w="85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93.1</w:t>
            </w:r>
          </w:p>
        </w:tc>
        <w:tc>
          <w:tcPr>
            <w:tcW w:w="660"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93.4</w:t>
            </w:r>
          </w:p>
        </w:tc>
        <w:tc>
          <w:tcPr>
            <w:tcW w:w="677"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138.2</w:t>
            </w:r>
          </w:p>
        </w:tc>
      </w:tr>
      <w:tr w:rsidR="00DD4FD5" w:rsidRPr="00DD4FD5" w:rsidTr="00DD4FD5">
        <w:trPr>
          <w:trHeight w:val="267"/>
        </w:trPr>
        <w:tc>
          <w:tcPr>
            <w:tcW w:w="2807"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Advances received on contracts</w:t>
            </w:r>
            <w:r w:rsidRPr="00DD4FD5">
              <w:rPr>
                <w:sz w:val="18"/>
                <w:szCs w:val="18"/>
              </w:rPr>
              <w:tab/>
            </w:r>
          </w:p>
        </w:tc>
        <w:tc>
          <w:tcPr>
            <w:tcW w:w="85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c>
          <w:tcPr>
            <w:tcW w:w="660"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c>
          <w:tcPr>
            <w:tcW w:w="677"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r>
      <w:tr w:rsidR="00DD4FD5" w:rsidRPr="00DD4FD5" w:rsidTr="00DD4FD5">
        <w:trPr>
          <w:trHeight w:val="267"/>
        </w:trPr>
        <w:tc>
          <w:tcPr>
            <w:tcW w:w="2807"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Tax payable</w:t>
            </w:r>
            <w:r w:rsidRPr="00DD4FD5">
              <w:rPr>
                <w:sz w:val="18"/>
                <w:szCs w:val="18"/>
              </w:rPr>
              <w:tab/>
            </w:r>
          </w:p>
        </w:tc>
        <w:tc>
          <w:tcPr>
            <w:tcW w:w="85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9.8</w:t>
            </w:r>
          </w:p>
        </w:tc>
        <w:tc>
          <w:tcPr>
            <w:tcW w:w="660"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6.4</w:t>
            </w:r>
          </w:p>
        </w:tc>
        <w:tc>
          <w:tcPr>
            <w:tcW w:w="677"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5.1</w:t>
            </w:r>
          </w:p>
        </w:tc>
      </w:tr>
      <w:tr w:rsidR="00DD4FD5" w:rsidRPr="00DD4FD5" w:rsidTr="00DD4FD5">
        <w:trPr>
          <w:trHeight w:val="267"/>
        </w:trPr>
        <w:tc>
          <w:tcPr>
            <w:tcW w:w="2807"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Remuneration and social security</w:t>
            </w:r>
            <w:r w:rsidRPr="00DD4FD5">
              <w:rPr>
                <w:sz w:val="18"/>
                <w:szCs w:val="18"/>
              </w:rPr>
              <w:tab/>
            </w:r>
          </w:p>
          <w:p w:rsidR="00DD4FD5" w:rsidRPr="00DD4FD5" w:rsidRDefault="00DD4FD5" w:rsidP="00DD4FD5">
            <w:pPr>
              <w:pStyle w:val="la24"/>
              <w:spacing w:before="0" w:after="0"/>
              <w:rPr>
                <w:sz w:val="18"/>
                <w:szCs w:val="18"/>
              </w:rPr>
            </w:pPr>
            <w:r w:rsidRPr="00DD4FD5">
              <w:rPr>
                <w:noProof w:val="0"/>
                <w:sz w:val="18"/>
                <w:szCs w:val="18"/>
                <w:lang w:val="en-GB"/>
              </w:rPr>
              <w:t> </w:t>
            </w:r>
          </w:p>
        </w:tc>
        <w:tc>
          <w:tcPr>
            <w:tcW w:w="85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15.6</w:t>
            </w:r>
          </w:p>
        </w:tc>
        <w:tc>
          <w:tcPr>
            <w:tcW w:w="660"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15.1</w:t>
            </w:r>
          </w:p>
        </w:tc>
        <w:tc>
          <w:tcPr>
            <w:tcW w:w="677"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14.8</w:t>
            </w:r>
          </w:p>
        </w:tc>
      </w:tr>
      <w:tr w:rsidR="00DD4FD5" w:rsidRPr="00DD4FD5" w:rsidTr="00DD4FD5">
        <w:trPr>
          <w:trHeight w:val="267"/>
        </w:trPr>
        <w:tc>
          <w:tcPr>
            <w:tcW w:w="2807"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Other amounts payable</w:t>
            </w:r>
            <w:r w:rsidRPr="00DD4FD5">
              <w:rPr>
                <w:sz w:val="18"/>
                <w:szCs w:val="18"/>
              </w:rPr>
              <w:tab/>
            </w:r>
          </w:p>
          <w:p w:rsidR="00DD4FD5" w:rsidRPr="00DD4FD5" w:rsidRDefault="00DD4FD5" w:rsidP="00DD4FD5">
            <w:pPr>
              <w:pStyle w:val="la24"/>
              <w:spacing w:before="0" w:after="0"/>
              <w:rPr>
                <w:sz w:val="18"/>
                <w:szCs w:val="18"/>
              </w:rPr>
            </w:pPr>
            <w:r w:rsidRPr="00DD4FD5">
              <w:rPr>
                <w:noProof w:val="0"/>
                <w:sz w:val="18"/>
                <w:szCs w:val="18"/>
                <w:lang w:val="en-GB"/>
              </w:rPr>
              <w:t> </w:t>
            </w:r>
          </w:p>
        </w:tc>
        <w:tc>
          <w:tcPr>
            <w:tcW w:w="856"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6.6</w:t>
            </w:r>
          </w:p>
        </w:tc>
        <w:tc>
          <w:tcPr>
            <w:tcW w:w="660" w:type="pct"/>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6.8</w:t>
            </w:r>
          </w:p>
        </w:tc>
        <w:tc>
          <w:tcPr>
            <w:tcW w:w="677"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73.7</w:t>
            </w:r>
          </w:p>
        </w:tc>
      </w:tr>
      <w:tr w:rsidR="00DD4FD5" w:rsidRPr="00DD4FD5" w:rsidTr="00DD4FD5">
        <w:trPr>
          <w:trHeight w:val="267"/>
        </w:trPr>
        <w:tc>
          <w:tcPr>
            <w:tcW w:w="2807"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Liabilities related to assets held for sale</w:t>
            </w:r>
            <w:r w:rsidRPr="00DD4FD5">
              <w:rPr>
                <w:sz w:val="18"/>
                <w:szCs w:val="18"/>
              </w:rPr>
              <w:tab/>
            </w:r>
          </w:p>
        </w:tc>
        <w:tc>
          <w:tcPr>
            <w:tcW w:w="856"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w:t>
            </w:r>
          </w:p>
        </w:tc>
        <w:tc>
          <w:tcPr>
            <w:tcW w:w="660" w:type="pct"/>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w:t>
            </w:r>
          </w:p>
        </w:tc>
        <w:tc>
          <w:tcPr>
            <w:tcW w:w="677"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99.6</w:t>
            </w:r>
          </w:p>
        </w:tc>
      </w:tr>
      <w:tr w:rsidR="00DD4FD5" w:rsidRPr="00DD4FD5" w:rsidTr="00DD4FD5">
        <w:tc>
          <w:tcPr>
            <w:tcW w:w="2807"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Current liabilities</w:t>
            </w:r>
            <w:r w:rsidRPr="00DD4FD5">
              <w:rPr>
                <w:sz w:val="18"/>
                <w:szCs w:val="18"/>
              </w:rPr>
              <w:tab/>
            </w:r>
          </w:p>
        </w:tc>
        <w:tc>
          <w:tcPr>
            <w:tcW w:w="856"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200.5</w:t>
            </w:r>
          </w:p>
        </w:tc>
        <w:tc>
          <w:tcPr>
            <w:tcW w:w="660" w:type="pct"/>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171.2</w:t>
            </w:r>
          </w:p>
        </w:tc>
        <w:tc>
          <w:tcPr>
            <w:tcW w:w="677"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529.4</w:t>
            </w:r>
          </w:p>
        </w:tc>
      </w:tr>
      <w:tr w:rsidR="00DD4FD5" w:rsidRPr="00DD4FD5" w:rsidTr="00DD4FD5">
        <w:tc>
          <w:tcPr>
            <w:tcW w:w="2807" w:type="pct"/>
          </w:tcPr>
          <w:p w:rsidR="00DD4FD5" w:rsidRPr="00DD4FD5" w:rsidRDefault="00DD4FD5" w:rsidP="00DD4FD5">
            <w:pPr>
              <w:pStyle w:val="la24"/>
              <w:spacing w:before="0" w:after="0"/>
              <w:rPr>
                <w:noProof w:val="0"/>
                <w:sz w:val="18"/>
                <w:szCs w:val="18"/>
                <w:lang w:val="en-GB"/>
              </w:rPr>
            </w:pPr>
          </w:p>
        </w:tc>
        <w:tc>
          <w:tcPr>
            <w:tcW w:w="856" w:type="pct"/>
          </w:tcPr>
          <w:p w:rsidR="00DD4FD5" w:rsidRPr="00DD4FD5" w:rsidRDefault="00DD4FD5" w:rsidP="00DD4FD5">
            <w:pPr>
              <w:pStyle w:val="rrdsinglerule4"/>
              <w:spacing w:before="0" w:after="0"/>
              <w:jc w:val="right"/>
              <w:rPr>
                <w:sz w:val="18"/>
                <w:szCs w:val="18"/>
                <w:lang w:val="en-GB"/>
              </w:rPr>
            </w:pPr>
          </w:p>
        </w:tc>
        <w:tc>
          <w:tcPr>
            <w:tcW w:w="660" w:type="pct"/>
          </w:tcPr>
          <w:p w:rsidR="00DD4FD5" w:rsidRPr="00DD4FD5" w:rsidRDefault="00DD4FD5" w:rsidP="00DD4FD5">
            <w:pPr>
              <w:pStyle w:val="rrdsinglerule4"/>
              <w:spacing w:before="0" w:after="0"/>
              <w:jc w:val="right"/>
              <w:rPr>
                <w:sz w:val="18"/>
                <w:szCs w:val="18"/>
                <w:lang w:val="en-GB"/>
              </w:rPr>
            </w:pPr>
          </w:p>
        </w:tc>
        <w:tc>
          <w:tcPr>
            <w:tcW w:w="677" w:type="pct"/>
          </w:tcPr>
          <w:p w:rsidR="00DD4FD5" w:rsidRPr="00DD4FD5" w:rsidRDefault="00DD4FD5" w:rsidP="00DD4FD5">
            <w:pPr>
              <w:pStyle w:val="rrdsinglerule4"/>
              <w:spacing w:before="0" w:after="0"/>
              <w:jc w:val="right"/>
              <w:rPr>
                <w:sz w:val="18"/>
                <w:szCs w:val="18"/>
                <w:lang w:val="en-GB"/>
              </w:rPr>
            </w:pPr>
          </w:p>
        </w:tc>
      </w:tr>
      <w:tr w:rsidR="00DD4FD5" w:rsidRPr="005D480F" w:rsidTr="00DD4FD5">
        <w:trPr>
          <w:trHeight w:val="292"/>
        </w:trPr>
        <w:tc>
          <w:tcPr>
            <w:tcW w:w="2807"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lastRenderedPageBreak/>
              <w:t>Total equity and liabilities</w:t>
            </w:r>
            <w:r w:rsidRPr="00DD4FD5">
              <w:rPr>
                <w:sz w:val="18"/>
                <w:szCs w:val="18"/>
              </w:rPr>
              <w:tab/>
            </w:r>
          </w:p>
          <w:p w:rsidR="00DD4FD5" w:rsidRPr="00DD4FD5" w:rsidRDefault="00DD4FD5" w:rsidP="00DD4FD5">
            <w:pPr>
              <w:pStyle w:val="la24"/>
              <w:spacing w:before="0" w:after="0"/>
              <w:rPr>
                <w:b/>
                <w:sz w:val="18"/>
                <w:szCs w:val="18"/>
              </w:rPr>
            </w:pPr>
            <w:r w:rsidRPr="00DD4FD5">
              <w:rPr>
                <w:noProof w:val="0"/>
                <w:sz w:val="18"/>
                <w:szCs w:val="18"/>
                <w:lang w:val="en-GB"/>
              </w:rPr>
              <w:t> </w:t>
            </w:r>
          </w:p>
        </w:tc>
        <w:tc>
          <w:tcPr>
            <w:tcW w:w="856"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629.9</w:t>
            </w:r>
          </w:p>
        </w:tc>
        <w:tc>
          <w:tcPr>
            <w:tcW w:w="660" w:type="pct"/>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604.8</w:t>
            </w:r>
          </w:p>
        </w:tc>
        <w:tc>
          <w:tcPr>
            <w:tcW w:w="677"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784.0</w:t>
            </w:r>
          </w:p>
        </w:tc>
      </w:tr>
    </w:tbl>
    <w:p w:rsidR="003F0BC5" w:rsidRPr="00992199" w:rsidRDefault="003F0BC5" w:rsidP="00353B80">
      <w:pPr>
        <w:pStyle w:val="Firm5L3"/>
        <w:keepNext/>
      </w:pPr>
      <w:r w:rsidRPr="00992199">
        <w:t xml:space="preserve">Cash flow statement as </w:t>
      </w:r>
      <w:r w:rsidR="00DD4FD5">
        <w:t>of and for the financial years</w:t>
      </w:r>
      <w:r w:rsidRPr="00992199">
        <w:t xml:space="preserve"> </w:t>
      </w:r>
      <w:r w:rsidR="005B28E9">
        <w:t xml:space="preserve">ended </w:t>
      </w:r>
      <w:r w:rsidRPr="00992199">
        <w:t>31 March 2015, 31 March 2014 and 31 March 2013</w:t>
      </w:r>
    </w:p>
    <w:tbl>
      <w:tblPr>
        <w:tblW w:w="5103" w:type="pct"/>
        <w:tblLook w:val="0000" w:firstRow="0" w:lastRow="0" w:firstColumn="0" w:lastColumn="0" w:noHBand="0" w:noVBand="0"/>
      </w:tblPr>
      <w:tblGrid>
        <w:gridCol w:w="5384"/>
        <w:gridCol w:w="1585"/>
        <w:gridCol w:w="1217"/>
        <w:gridCol w:w="1249"/>
      </w:tblGrid>
      <w:tr w:rsidR="00DD4FD5" w:rsidRPr="00DD4FD5" w:rsidTr="00DD4FD5">
        <w:tc>
          <w:tcPr>
            <w:tcW w:w="2853" w:type="pct"/>
            <w:vAlign w:val="center"/>
          </w:tcPr>
          <w:p w:rsidR="00DD4FD5" w:rsidRPr="00DD4FD5" w:rsidRDefault="00DD4FD5" w:rsidP="00DD4FD5">
            <w:pPr>
              <w:pStyle w:val="NormalWeb"/>
              <w:keepNext/>
              <w:spacing w:before="0" w:after="0"/>
              <w:ind w:left="240" w:hanging="240"/>
              <w:jc w:val="left"/>
              <w:rPr>
                <w:bCs/>
                <w:i/>
                <w:sz w:val="18"/>
                <w:szCs w:val="18"/>
              </w:rPr>
            </w:pPr>
            <w:r w:rsidRPr="00DD4FD5">
              <w:rPr>
                <w:bCs/>
                <w:i/>
                <w:sz w:val="18"/>
                <w:szCs w:val="18"/>
              </w:rPr>
              <w:t>(</w:t>
            </w:r>
            <w:r w:rsidR="00E53641">
              <w:rPr>
                <w:bCs/>
                <w:i/>
                <w:sz w:val="18"/>
                <w:szCs w:val="18"/>
              </w:rPr>
              <w:t>EUR </w:t>
            </w:r>
            <w:r w:rsidRPr="00DD4FD5">
              <w:rPr>
                <w:bCs/>
                <w:i/>
                <w:sz w:val="18"/>
                <w:szCs w:val="18"/>
              </w:rPr>
              <w:t>in millions)</w:t>
            </w:r>
          </w:p>
        </w:tc>
        <w:tc>
          <w:tcPr>
            <w:tcW w:w="840" w:type="pct"/>
            <w:vAlign w:val="bottom"/>
          </w:tcPr>
          <w:p w:rsidR="00DD4FD5" w:rsidRPr="00DD4FD5" w:rsidRDefault="00DD4FD5" w:rsidP="00DD4FD5">
            <w:pPr>
              <w:pBdr>
                <w:bottom w:val="single" w:sz="4" w:space="1" w:color="auto"/>
              </w:pBdr>
              <w:spacing w:before="0" w:after="0"/>
              <w:ind w:left="368" w:hanging="227"/>
              <w:jc w:val="center"/>
              <w:rPr>
                <w:sz w:val="18"/>
                <w:szCs w:val="18"/>
              </w:rPr>
            </w:pPr>
            <w:r w:rsidRPr="00DD4FD5">
              <w:rPr>
                <w:b/>
                <w:bCs/>
                <w:sz w:val="18"/>
                <w:szCs w:val="18"/>
              </w:rPr>
              <w:t xml:space="preserve">Year ended </w:t>
            </w:r>
            <w:r w:rsidRPr="00DD4FD5">
              <w:rPr>
                <w:b/>
                <w:bCs/>
                <w:sz w:val="18"/>
                <w:szCs w:val="18"/>
              </w:rPr>
              <w:br/>
              <w:t>31 March 2015</w:t>
            </w:r>
          </w:p>
        </w:tc>
        <w:tc>
          <w:tcPr>
            <w:tcW w:w="645" w:type="pct"/>
          </w:tcPr>
          <w:p w:rsidR="00DD4FD5" w:rsidRPr="00DD4FD5" w:rsidRDefault="00DD4FD5" w:rsidP="00DD4FD5">
            <w:pPr>
              <w:pBdr>
                <w:bottom w:val="single" w:sz="4" w:space="1" w:color="auto"/>
              </w:pBdr>
              <w:spacing w:before="0" w:after="0"/>
              <w:jc w:val="center"/>
              <w:rPr>
                <w:b/>
                <w:bCs/>
                <w:sz w:val="18"/>
                <w:szCs w:val="18"/>
              </w:rPr>
            </w:pPr>
            <w:r w:rsidRPr="00DD4FD5">
              <w:rPr>
                <w:b/>
                <w:bCs/>
                <w:sz w:val="18"/>
                <w:szCs w:val="18"/>
              </w:rPr>
              <w:t>Year ended 31 March 2014</w:t>
            </w:r>
          </w:p>
        </w:tc>
        <w:tc>
          <w:tcPr>
            <w:tcW w:w="662" w:type="pct"/>
            <w:vAlign w:val="bottom"/>
          </w:tcPr>
          <w:p w:rsidR="00DD4FD5" w:rsidRPr="00DD4FD5" w:rsidRDefault="00DD4FD5" w:rsidP="00DD4FD5">
            <w:pPr>
              <w:pBdr>
                <w:bottom w:val="single" w:sz="4" w:space="1" w:color="auto"/>
              </w:pBdr>
              <w:spacing w:before="0" w:after="0"/>
              <w:jc w:val="center"/>
              <w:rPr>
                <w:sz w:val="18"/>
                <w:szCs w:val="18"/>
              </w:rPr>
            </w:pPr>
            <w:r w:rsidRPr="00DD4FD5">
              <w:rPr>
                <w:b/>
                <w:bCs/>
                <w:sz w:val="18"/>
                <w:szCs w:val="18"/>
              </w:rPr>
              <w:t>Year ended 31 March</w:t>
            </w:r>
            <w:r w:rsidRPr="00DD4FD5">
              <w:rPr>
                <w:b/>
                <w:bCs/>
                <w:sz w:val="18"/>
                <w:szCs w:val="18"/>
              </w:rPr>
              <w:br/>
              <w:t>2013</w:t>
            </w:r>
          </w:p>
        </w:tc>
      </w:tr>
      <w:tr w:rsidR="00DD4FD5" w:rsidRPr="00DD4FD5" w:rsidTr="00DD4FD5">
        <w:trPr>
          <w:trHeight w:val="332"/>
        </w:trPr>
        <w:tc>
          <w:tcPr>
            <w:tcW w:w="2853" w:type="pct"/>
          </w:tcPr>
          <w:p w:rsidR="00DD4FD5" w:rsidRPr="00DD4FD5" w:rsidRDefault="00DD4FD5" w:rsidP="00DD4FD5">
            <w:pPr>
              <w:pStyle w:val="NormalWeb"/>
              <w:keepNext/>
              <w:spacing w:before="0" w:after="0"/>
              <w:rPr>
                <w:b/>
                <w:bCs/>
                <w:sz w:val="18"/>
                <w:szCs w:val="18"/>
              </w:rPr>
            </w:pPr>
            <w:r w:rsidRPr="00DD4FD5">
              <w:rPr>
                <w:b/>
                <w:bCs/>
                <w:sz w:val="18"/>
                <w:szCs w:val="18"/>
              </w:rPr>
              <w:t>Summary Consolidated Statement of Cashflow</w:t>
            </w:r>
          </w:p>
        </w:tc>
        <w:tc>
          <w:tcPr>
            <w:tcW w:w="840" w:type="pct"/>
          </w:tcPr>
          <w:p w:rsidR="00DD4FD5" w:rsidRPr="00DD4FD5" w:rsidRDefault="00DD4FD5" w:rsidP="00DD4FD5">
            <w:pPr>
              <w:pStyle w:val="la24"/>
              <w:spacing w:before="0" w:after="0"/>
              <w:jc w:val="right"/>
              <w:rPr>
                <w:noProof w:val="0"/>
                <w:sz w:val="18"/>
                <w:szCs w:val="18"/>
                <w:lang w:val="en-GB"/>
              </w:rPr>
            </w:pPr>
            <w:r w:rsidRPr="00DD4FD5">
              <w:rPr>
                <w:noProof w:val="0"/>
                <w:sz w:val="18"/>
                <w:szCs w:val="18"/>
                <w:lang w:val="en-GB"/>
              </w:rPr>
              <w:t> </w:t>
            </w:r>
          </w:p>
        </w:tc>
        <w:tc>
          <w:tcPr>
            <w:tcW w:w="645" w:type="pct"/>
          </w:tcPr>
          <w:p w:rsidR="00DD4FD5" w:rsidRPr="00DD4FD5" w:rsidRDefault="00DD4FD5" w:rsidP="00DD4FD5">
            <w:pPr>
              <w:pStyle w:val="la24"/>
              <w:spacing w:before="0" w:after="0"/>
              <w:jc w:val="right"/>
              <w:rPr>
                <w:noProof w:val="0"/>
                <w:sz w:val="18"/>
                <w:szCs w:val="18"/>
                <w:lang w:val="en-GB"/>
              </w:rPr>
            </w:pPr>
          </w:p>
        </w:tc>
        <w:tc>
          <w:tcPr>
            <w:tcW w:w="662" w:type="pct"/>
          </w:tcPr>
          <w:p w:rsidR="00DD4FD5" w:rsidRPr="00DD4FD5" w:rsidRDefault="00DD4FD5" w:rsidP="00DD4FD5">
            <w:pPr>
              <w:pStyle w:val="la24"/>
              <w:spacing w:before="0" w:after="0"/>
              <w:jc w:val="right"/>
              <w:rPr>
                <w:noProof w:val="0"/>
                <w:sz w:val="18"/>
                <w:szCs w:val="18"/>
                <w:lang w:val="en-GB"/>
              </w:rPr>
            </w:pPr>
            <w:r w:rsidRPr="00DD4FD5">
              <w:rPr>
                <w:noProof w:val="0"/>
                <w:sz w:val="18"/>
                <w:szCs w:val="18"/>
                <w:lang w:val="en-GB"/>
              </w:rPr>
              <w:t> </w:t>
            </w:r>
          </w:p>
        </w:tc>
      </w:tr>
      <w:tr w:rsidR="00B91DE5" w:rsidRPr="00DD4FD5" w:rsidTr="00DD4FD5">
        <w:tc>
          <w:tcPr>
            <w:tcW w:w="2853" w:type="pct"/>
          </w:tcPr>
          <w:p w:rsidR="00B91DE5" w:rsidRPr="00DD4FD5" w:rsidRDefault="00B91DE5" w:rsidP="00DD4FD5">
            <w:pPr>
              <w:pStyle w:val="NormalWeb"/>
              <w:keepNext/>
              <w:tabs>
                <w:tab w:val="right" w:leader="dot" w:pos="5160"/>
              </w:tabs>
              <w:spacing w:before="0" w:after="0"/>
              <w:ind w:left="240" w:hanging="240"/>
              <w:rPr>
                <w:sz w:val="18"/>
                <w:szCs w:val="18"/>
              </w:rPr>
            </w:pPr>
            <w:r w:rsidRPr="00DD4FD5">
              <w:rPr>
                <w:sz w:val="18"/>
                <w:szCs w:val="18"/>
              </w:rPr>
              <w:t>Cash flow from operating activities</w:t>
            </w:r>
            <w:r w:rsidRPr="00DD4FD5">
              <w:rPr>
                <w:sz w:val="18"/>
                <w:szCs w:val="18"/>
              </w:rPr>
              <w:tab/>
            </w:r>
          </w:p>
        </w:tc>
        <w:tc>
          <w:tcPr>
            <w:tcW w:w="840" w:type="pct"/>
            <w:noWrap/>
          </w:tcPr>
          <w:p w:rsidR="00B91DE5" w:rsidRPr="00B91DE5" w:rsidRDefault="00B91DE5" w:rsidP="00E53641">
            <w:pPr>
              <w:pStyle w:val="NormalWeb"/>
              <w:tabs>
                <w:tab w:val="right" w:pos="720"/>
                <w:tab w:val="decimal" w:pos="760"/>
              </w:tabs>
              <w:spacing w:before="0" w:after="0"/>
              <w:jc w:val="right"/>
              <w:rPr>
                <w:bCs/>
                <w:sz w:val="18"/>
                <w:szCs w:val="18"/>
              </w:rPr>
            </w:pPr>
            <w:r w:rsidRPr="00B91DE5">
              <w:rPr>
                <w:bCs/>
                <w:sz w:val="18"/>
                <w:szCs w:val="18"/>
              </w:rPr>
              <w:t>54.8</w:t>
            </w:r>
          </w:p>
        </w:tc>
        <w:tc>
          <w:tcPr>
            <w:tcW w:w="645" w:type="pct"/>
          </w:tcPr>
          <w:p w:rsidR="00B91DE5" w:rsidRPr="00DD4FD5" w:rsidRDefault="00B91DE5" w:rsidP="00DD4FD5">
            <w:pPr>
              <w:pStyle w:val="NormalWeb"/>
              <w:tabs>
                <w:tab w:val="right" w:pos="720"/>
                <w:tab w:val="decimal" w:pos="760"/>
              </w:tabs>
              <w:spacing w:before="0" w:after="0"/>
              <w:jc w:val="right"/>
              <w:rPr>
                <w:bCs/>
                <w:sz w:val="18"/>
                <w:szCs w:val="18"/>
              </w:rPr>
            </w:pPr>
            <w:r w:rsidRPr="00DD4FD5">
              <w:rPr>
                <w:bCs/>
                <w:sz w:val="18"/>
                <w:szCs w:val="18"/>
              </w:rPr>
              <w:t>44.1</w:t>
            </w:r>
          </w:p>
        </w:tc>
        <w:tc>
          <w:tcPr>
            <w:tcW w:w="662" w:type="pct"/>
            <w:noWrap/>
          </w:tcPr>
          <w:p w:rsidR="00B91DE5" w:rsidRPr="00DD4FD5" w:rsidRDefault="00B91DE5" w:rsidP="00DD4FD5">
            <w:pPr>
              <w:pStyle w:val="NormalWeb"/>
              <w:tabs>
                <w:tab w:val="right" w:pos="720"/>
                <w:tab w:val="decimal" w:pos="760"/>
              </w:tabs>
              <w:spacing w:before="0" w:after="0"/>
              <w:jc w:val="right"/>
              <w:rPr>
                <w:sz w:val="18"/>
                <w:szCs w:val="18"/>
              </w:rPr>
            </w:pPr>
            <w:r w:rsidRPr="00DD4FD5">
              <w:rPr>
                <w:sz w:val="18"/>
                <w:szCs w:val="18"/>
              </w:rPr>
              <w:t>39.7</w:t>
            </w:r>
          </w:p>
        </w:tc>
      </w:tr>
      <w:tr w:rsidR="00B91DE5" w:rsidRPr="00DD4FD5" w:rsidTr="00DD4FD5">
        <w:trPr>
          <w:trHeight w:val="267"/>
        </w:trPr>
        <w:tc>
          <w:tcPr>
            <w:tcW w:w="2853" w:type="pct"/>
          </w:tcPr>
          <w:p w:rsidR="00B91DE5" w:rsidRPr="00DD4FD5" w:rsidRDefault="00B91DE5" w:rsidP="00DD4FD5">
            <w:pPr>
              <w:pStyle w:val="NormalWeb"/>
              <w:keepNext/>
              <w:tabs>
                <w:tab w:val="right" w:leader="dot" w:pos="5160"/>
              </w:tabs>
              <w:spacing w:before="0" w:after="0"/>
              <w:ind w:left="240" w:hanging="240"/>
              <w:rPr>
                <w:sz w:val="18"/>
                <w:szCs w:val="18"/>
              </w:rPr>
            </w:pPr>
            <w:r w:rsidRPr="00DD4FD5">
              <w:rPr>
                <w:sz w:val="18"/>
                <w:szCs w:val="18"/>
              </w:rPr>
              <w:t>Increase in working capital (-)/ decrease in working capital (+)</w:t>
            </w:r>
            <w:r w:rsidRPr="00DD4FD5">
              <w:rPr>
                <w:sz w:val="18"/>
                <w:szCs w:val="18"/>
              </w:rPr>
              <w:tab/>
            </w:r>
          </w:p>
          <w:p w:rsidR="00B91DE5" w:rsidRPr="00DD4FD5" w:rsidRDefault="00B91DE5" w:rsidP="00DD4FD5">
            <w:pPr>
              <w:pStyle w:val="la24"/>
              <w:spacing w:before="0" w:after="0"/>
              <w:rPr>
                <w:sz w:val="18"/>
                <w:szCs w:val="18"/>
              </w:rPr>
            </w:pPr>
            <w:r w:rsidRPr="00DD4FD5">
              <w:rPr>
                <w:noProof w:val="0"/>
                <w:sz w:val="18"/>
                <w:szCs w:val="18"/>
                <w:lang w:val="en-GB"/>
              </w:rPr>
              <w:t> </w:t>
            </w:r>
          </w:p>
        </w:tc>
        <w:tc>
          <w:tcPr>
            <w:tcW w:w="840" w:type="pct"/>
            <w:noWrap/>
          </w:tcPr>
          <w:p w:rsidR="00B91DE5" w:rsidRPr="00B91DE5" w:rsidRDefault="00B91DE5" w:rsidP="00E53641">
            <w:pPr>
              <w:pStyle w:val="NormalWeb"/>
              <w:pBdr>
                <w:bottom w:val="single" w:sz="4" w:space="1" w:color="auto"/>
              </w:pBdr>
              <w:tabs>
                <w:tab w:val="right" w:pos="720"/>
                <w:tab w:val="decimal" w:pos="760"/>
              </w:tabs>
              <w:spacing w:before="0" w:after="0"/>
              <w:jc w:val="right"/>
              <w:rPr>
                <w:sz w:val="18"/>
                <w:szCs w:val="18"/>
              </w:rPr>
            </w:pPr>
            <w:r w:rsidRPr="00B91DE5">
              <w:rPr>
                <w:sz w:val="18"/>
                <w:szCs w:val="18"/>
              </w:rPr>
              <w:t>2.6</w:t>
            </w:r>
          </w:p>
        </w:tc>
        <w:tc>
          <w:tcPr>
            <w:tcW w:w="645" w:type="pct"/>
          </w:tcPr>
          <w:p w:rsidR="00B91DE5" w:rsidRPr="00DD4FD5" w:rsidRDefault="00B91DE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(57.7)</w:t>
            </w:r>
          </w:p>
        </w:tc>
        <w:tc>
          <w:tcPr>
            <w:tcW w:w="662" w:type="pct"/>
            <w:noWrap/>
          </w:tcPr>
          <w:p w:rsidR="00B91DE5" w:rsidRPr="00DD4FD5" w:rsidRDefault="00B91DE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1.8</w:t>
            </w:r>
          </w:p>
        </w:tc>
      </w:tr>
      <w:tr w:rsidR="00B91DE5" w:rsidRPr="00DD4FD5" w:rsidTr="00DD4FD5">
        <w:tc>
          <w:tcPr>
            <w:tcW w:w="2853" w:type="pct"/>
          </w:tcPr>
          <w:p w:rsidR="00B91DE5" w:rsidRPr="00DD4FD5" w:rsidRDefault="00B91DE5" w:rsidP="00DD4FD5">
            <w:pPr>
              <w:pStyle w:val="NormalWeb"/>
              <w:keepNext/>
              <w:tabs>
                <w:tab w:val="right" w:leader="dot" w:pos="5160"/>
              </w:tabs>
              <w:spacing w:before="0" w:after="0"/>
              <w:rPr>
                <w:b/>
                <w:sz w:val="18"/>
                <w:szCs w:val="18"/>
              </w:rPr>
            </w:pPr>
            <w:r w:rsidRPr="00DD4FD5">
              <w:rPr>
                <w:b/>
                <w:sz w:val="18"/>
                <w:szCs w:val="18"/>
              </w:rPr>
              <w:t>Net cash flow from operating activities</w:t>
            </w:r>
            <w:r w:rsidRPr="00DD4FD5">
              <w:rPr>
                <w:b/>
                <w:bCs/>
                <w:sz w:val="18"/>
                <w:szCs w:val="18"/>
              </w:rPr>
              <w:tab/>
            </w:r>
          </w:p>
        </w:tc>
        <w:tc>
          <w:tcPr>
            <w:tcW w:w="840" w:type="pct"/>
            <w:noWrap/>
          </w:tcPr>
          <w:p w:rsidR="00B91DE5" w:rsidRPr="00B91DE5" w:rsidRDefault="00B91DE5" w:rsidP="00E53641">
            <w:pPr>
              <w:pStyle w:val="NormalWeb"/>
              <w:tabs>
                <w:tab w:val="right" w:pos="720"/>
                <w:tab w:val="decimal" w:pos="760"/>
              </w:tabs>
              <w:spacing w:before="0" w:after="0"/>
              <w:jc w:val="right"/>
              <w:rPr>
                <w:b/>
                <w:sz w:val="18"/>
                <w:szCs w:val="18"/>
              </w:rPr>
            </w:pPr>
            <w:r w:rsidRPr="00B91DE5">
              <w:rPr>
                <w:b/>
                <w:sz w:val="18"/>
                <w:szCs w:val="18"/>
              </w:rPr>
              <w:t>57.4</w:t>
            </w:r>
          </w:p>
        </w:tc>
        <w:tc>
          <w:tcPr>
            <w:tcW w:w="645" w:type="pct"/>
          </w:tcPr>
          <w:p w:rsidR="00B91DE5" w:rsidRPr="00DD4FD5" w:rsidRDefault="00B91DE5" w:rsidP="00DD4FD5">
            <w:pPr>
              <w:pStyle w:val="NormalWeb"/>
              <w:tabs>
                <w:tab w:val="right" w:pos="720"/>
                <w:tab w:val="decimal" w:pos="760"/>
              </w:tabs>
              <w:spacing w:before="0" w:after="0"/>
              <w:jc w:val="right"/>
              <w:rPr>
                <w:b/>
                <w:bCs/>
                <w:sz w:val="18"/>
                <w:szCs w:val="18"/>
              </w:rPr>
            </w:pPr>
            <w:r w:rsidRPr="00DD4FD5">
              <w:rPr>
                <w:b/>
                <w:bCs/>
                <w:sz w:val="18"/>
                <w:szCs w:val="18"/>
              </w:rPr>
              <w:t>(13.6)</w:t>
            </w:r>
          </w:p>
        </w:tc>
        <w:tc>
          <w:tcPr>
            <w:tcW w:w="662" w:type="pct"/>
            <w:noWrap/>
          </w:tcPr>
          <w:p w:rsidR="00B91DE5" w:rsidRPr="00DD4FD5" w:rsidRDefault="00B91DE5" w:rsidP="00DD4FD5">
            <w:pPr>
              <w:pStyle w:val="NormalWeb"/>
              <w:tabs>
                <w:tab w:val="right" w:pos="720"/>
                <w:tab w:val="decimal" w:pos="760"/>
              </w:tabs>
              <w:spacing w:before="0" w:after="0"/>
              <w:jc w:val="right"/>
              <w:rPr>
                <w:b/>
                <w:sz w:val="18"/>
                <w:szCs w:val="18"/>
              </w:rPr>
            </w:pPr>
            <w:r w:rsidRPr="00DD4FD5">
              <w:rPr>
                <w:b/>
                <w:sz w:val="18"/>
                <w:szCs w:val="18"/>
              </w:rPr>
              <w:t>41.5</w:t>
            </w:r>
          </w:p>
        </w:tc>
      </w:tr>
      <w:tr w:rsidR="00B91DE5" w:rsidRPr="00DD4FD5" w:rsidTr="00DD4FD5">
        <w:tc>
          <w:tcPr>
            <w:tcW w:w="2853" w:type="pct"/>
          </w:tcPr>
          <w:p w:rsidR="00B91DE5" w:rsidRPr="00DD4FD5" w:rsidRDefault="00B91DE5" w:rsidP="00DD4FD5">
            <w:pPr>
              <w:pStyle w:val="NormalWeb"/>
              <w:keepNext/>
              <w:tabs>
                <w:tab w:val="right" w:leader="dot" w:pos="5160"/>
              </w:tabs>
              <w:spacing w:before="0" w:after="0"/>
              <w:ind w:left="240" w:hanging="240"/>
              <w:rPr>
                <w:sz w:val="18"/>
                <w:szCs w:val="18"/>
              </w:rPr>
            </w:pPr>
            <w:r w:rsidRPr="00DD4FD5">
              <w:rPr>
                <w:sz w:val="18"/>
                <w:szCs w:val="18"/>
              </w:rPr>
              <w:t>Cash flow from investing activities</w:t>
            </w:r>
            <w:r w:rsidRPr="00DD4FD5">
              <w:rPr>
                <w:sz w:val="18"/>
                <w:szCs w:val="18"/>
              </w:rPr>
              <w:tab/>
            </w:r>
          </w:p>
        </w:tc>
        <w:tc>
          <w:tcPr>
            <w:tcW w:w="840" w:type="pct"/>
            <w:noWrap/>
          </w:tcPr>
          <w:p w:rsidR="00B91DE5" w:rsidRPr="00B91DE5" w:rsidRDefault="00B91DE5" w:rsidP="00E53641">
            <w:pPr>
              <w:pStyle w:val="NormalWeb"/>
              <w:tabs>
                <w:tab w:val="right" w:pos="720"/>
                <w:tab w:val="decimal" w:pos="760"/>
              </w:tabs>
              <w:spacing w:before="0" w:after="0"/>
              <w:jc w:val="right"/>
              <w:rPr>
                <w:sz w:val="18"/>
                <w:szCs w:val="18"/>
              </w:rPr>
            </w:pPr>
            <w:r w:rsidRPr="00B91DE5">
              <w:rPr>
                <w:sz w:val="18"/>
                <w:szCs w:val="18"/>
              </w:rPr>
              <w:t>(48.4)</w:t>
            </w:r>
          </w:p>
        </w:tc>
        <w:tc>
          <w:tcPr>
            <w:tcW w:w="645" w:type="pct"/>
          </w:tcPr>
          <w:p w:rsidR="00B91DE5" w:rsidRPr="00DD4FD5" w:rsidRDefault="00B91DE5" w:rsidP="00DD4FD5">
            <w:pPr>
              <w:pStyle w:val="NormalWeb"/>
              <w:tabs>
                <w:tab w:val="right" w:pos="720"/>
                <w:tab w:val="decimal" w:pos="760"/>
              </w:tabs>
              <w:spacing w:before="0" w:after="0"/>
              <w:jc w:val="right"/>
              <w:rPr>
                <w:sz w:val="18"/>
                <w:szCs w:val="18"/>
              </w:rPr>
            </w:pPr>
            <w:r w:rsidRPr="00DD4FD5">
              <w:rPr>
                <w:sz w:val="18"/>
                <w:szCs w:val="18"/>
              </w:rPr>
              <w:t>62.1</w:t>
            </w:r>
          </w:p>
        </w:tc>
        <w:tc>
          <w:tcPr>
            <w:tcW w:w="662" w:type="pct"/>
            <w:noWrap/>
          </w:tcPr>
          <w:p w:rsidR="00B91DE5" w:rsidRPr="00DD4FD5" w:rsidRDefault="00B91DE5" w:rsidP="00DD4FD5">
            <w:pPr>
              <w:pStyle w:val="NormalWeb"/>
              <w:tabs>
                <w:tab w:val="right" w:pos="720"/>
                <w:tab w:val="decimal" w:pos="760"/>
              </w:tabs>
              <w:spacing w:before="0" w:after="0"/>
              <w:jc w:val="right"/>
              <w:rPr>
                <w:sz w:val="18"/>
                <w:szCs w:val="18"/>
              </w:rPr>
            </w:pPr>
            <w:r w:rsidRPr="00DD4FD5">
              <w:rPr>
                <w:sz w:val="18"/>
                <w:szCs w:val="18"/>
              </w:rPr>
              <w:t>(20.9)</w:t>
            </w:r>
          </w:p>
        </w:tc>
      </w:tr>
      <w:tr w:rsidR="00B91DE5" w:rsidRPr="00DD4FD5" w:rsidTr="00DD4FD5">
        <w:tc>
          <w:tcPr>
            <w:tcW w:w="2853" w:type="pct"/>
          </w:tcPr>
          <w:p w:rsidR="00B91DE5" w:rsidRPr="00DD4FD5" w:rsidRDefault="00B91DE5" w:rsidP="00DD4FD5">
            <w:pPr>
              <w:pStyle w:val="NormalWeb"/>
              <w:keepNext/>
              <w:tabs>
                <w:tab w:val="right" w:leader="dot" w:pos="5160"/>
              </w:tabs>
              <w:spacing w:before="0" w:after="0"/>
              <w:ind w:left="240" w:hanging="240"/>
              <w:rPr>
                <w:sz w:val="18"/>
                <w:szCs w:val="18"/>
              </w:rPr>
            </w:pPr>
            <w:r w:rsidRPr="00DD4FD5">
              <w:rPr>
                <w:sz w:val="18"/>
                <w:szCs w:val="18"/>
              </w:rPr>
              <w:t>Cash flow from financing activities</w:t>
            </w:r>
            <w:r w:rsidRPr="00DD4FD5">
              <w:rPr>
                <w:sz w:val="18"/>
                <w:szCs w:val="18"/>
              </w:rPr>
              <w:tab/>
            </w:r>
          </w:p>
        </w:tc>
        <w:tc>
          <w:tcPr>
            <w:tcW w:w="840" w:type="pct"/>
            <w:noWrap/>
          </w:tcPr>
          <w:p w:rsidR="00B91DE5" w:rsidRPr="00B91DE5" w:rsidRDefault="00B91DE5" w:rsidP="00E53641">
            <w:pPr>
              <w:pStyle w:val="NormalWeb"/>
              <w:tabs>
                <w:tab w:val="right" w:pos="720"/>
                <w:tab w:val="decimal" w:pos="760"/>
              </w:tabs>
              <w:spacing w:before="0" w:after="0"/>
              <w:jc w:val="right"/>
              <w:rPr>
                <w:sz w:val="18"/>
                <w:szCs w:val="18"/>
              </w:rPr>
            </w:pPr>
            <w:r w:rsidRPr="00B91DE5">
              <w:rPr>
                <w:sz w:val="18"/>
                <w:szCs w:val="18"/>
              </w:rPr>
              <w:t>(0.9)</w:t>
            </w:r>
          </w:p>
        </w:tc>
        <w:tc>
          <w:tcPr>
            <w:tcW w:w="645" w:type="pct"/>
          </w:tcPr>
          <w:p w:rsidR="00B91DE5" w:rsidRPr="00DD4FD5" w:rsidRDefault="00B91DE5" w:rsidP="00DD4FD5">
            <w:pPr>
              <w:pStyle w:val="NormalWeb"/>
              <w:tabs>
                <w:tab w:val="right" w:pos="720"/>
                <w:tab w:val="decimal" w:pos="760"/>
              </w:tabs>
              <w:spacing w:before="0" w:after="0"/>
              <w:jc w:val="right"/>
              <w:rPr>
                <w:sz w:val="18"/>
                <w:szCs w:val="18"/>
              </w:rPr>
            </w:pPr>
            <w:r w:rsidRPr="00DD4FD5">
              <w:rPr>
                <w:sz w:val="18"/>
                <w:szCs w:val="18"/>
              </w:rPr>
              <w:t>(54.7)</w:t>
            </w:r>
          </w:p>
        </w:tc>
        <w:tc>
          <w:tcPr>
            <w:tcW w:w="662" w:type="pct"/>
            <w:noWrap/>
          </w:tcPr>
          <w:p w:rsidR="00B91DE5" w:rsidRPr="00DD4FD5" w:rsidRDefault="00B91DE5" w:rsidP="00DD4FD5">
            <w:pPr>
              <w:pStyle w:val="NormalWeb"/>
              <w:tabs>
                <w:tab w:val="right" w:pos="720"/>
                <w:tab w:val="decimal" w:pos="760"/>
              </w:tabs>
              <w:spacing w:before="0" w:after="0"/>
              <w:jc w:val="right"/>
              <w:rPr>
                <w:sz w:val="18"/>
                <w:szCs w:val="18"/>
              </w:rPr>
            </w:pPr>
            <w:r w:rsidRPr="00DD4FD5">
              <w:rPr>
                <w:sz w:val="18"/>
                <w:szCs w:val="18"/>
              </w:rPr>
              <w:t>(14.3)</w:t>
            </w:r>
          </w:p>
        </w:tc>
      </w:tr>
      <w:tr w:rsidR="00B91DE5" w:rsidRPr="00DD4FD5" w:rsidTr="00DD4FD5">
        <w:tc>
          <w:tcPr>
            <w:tcW w:w="2853" w:type="pct"/>
          </w:tcPr>
          <w:p w:rsidR="00B91DE5" w:rsidRPr="00DD4FD5" w:rsidRDefault="00B91DE5" w:rsidP="00DD4FD5">
            <w:pPr>
              <w:pStyle w:val="NormalWeb"/>
              <w:keepNext/>
              <w:tabs>
                <w:tab w:val="right" w:leader="dot" w:pos="5160"/>
              </w:tabs>
              <w:spacing w:before="0" w:after="0"/>
              <w:ind w:left="240" w:hanging="240"/>
              <w:rPr>
                <w:sz w:val="18"/>
                <w:szCs w:val="18"/>
              </w:rPr>
            </w:pPr>
            <w:r w:rsidRPr="00DD4FD5">
              <w:rPr>
                <w:sz w:val="18"/>
                <w:szCs w:val="18"/>
              </w:rPr>
              <w:t>Effect of exchange rate fluctuation</w:t>
            </w:r>
            <w:r w:rsidRPr="00DD4FD5">
              <w:rPr>
                <w:sz w:val="18"/>
                <w:szCs w:val="18"/>
              </w:rPr>
              <w:tab/>
            </w:r>
          </w:p>
        </w:tc>
        <w:tc>
          <w:tcPr>
            <w:tcW w:w="840" w:type="pct"/>
            <w:noWrap/>
          </w:tcPr>
          <w:p w:rsidR="00B91DE5" w:rsidRPr="00B91DE5" w:rsidRDefault="00B91DE5" w:rsidP="00E53641">
            <w:pPr>
              <w:pStyle w:val="NormalWeb"/>
              <w:pBdr>
                <w:bottom w:val="single" w:sz="4" w:space="1" w:color="auto"/>
              </w:pBdr>
              <w:tabs>
                <w:tab w:val="right" w:pos="720"/>
                <w:tab w:val="decimal" w:pos="760"/>
              </w:tabs>
              <w:spacing w:before="0" w:after="0"/>
              <w:jc w:val="right"/>
              <w:rPr>
                <w:sz w:val="18"/>
                <w:szCs w:val="18"/>
              </w:rPr>
            </w:pPr>
            <w:r w:rsidRPr="00B91DE5">
              <w:rPr>
                <w:sz w:val="18"/>
                <w:szCs w:val="18"/>
              </w:rPr>
              <w:t>(2.6)</w:t>
            </w:r>
          </w:p>
        </w:tc>
        <w:tc>
          <w:tcPr>
            <w:tcW w:w="645" w:type="pct"/>
          </w:tcPr>
          <w:p w:rsidR="00B91DE5" w:rsidRPr="00DD4FD5" w:rsidRDefault="00B91DE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(0.6)</w:t>
            </w:r>
          </w:p>
        </w:tc>
        <w:tc>
          <w:tcPr>
            <w:tcW w:w="662" w:type="pct"/>
            <w:noWrap/>
          </w:tcPr>
          <w:p w:rsidR="00B91DE5" w:rsidRPr="00DD4FD5" w:rsidRDefault="00B91DE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(0.1)</w:t>
            </w:r>
          </w:p>
        </w:tc>
      </w:tr>
      <w:tr w:rsidR="00DD4FD5" w:rsidRPr="00DD4FD5" w:rsidTr="00DD4FD5">
        <w:tc>
          <w:tcPr>
            <w:tcW w:w="2853" w:type="pct"/>
          </w:tcPr>
          <w:p w:rsidR="00DD4FD5" w:rsidRPr="00DD4FD5" w:rsidRDefault="00DD4FD5" w:rsidP="00DD4FD5">
            <w:pPr>
              <w:pStyle w:val="NormalWeb"/>
              <w:keepNext/>
              <w:tabs>
                <w:tab w:val="right" w:leader="dot" w:pos="5160"/>
              </w:tabs>
              <w:spacing w:before="0" w:after="0"/>
              <w:rPr>
                <w:b/>
                <w:sz w:val="18"/>
                <w:szCs w:val="18"/>
              </w:rPr>
            </w:pPr>
            <w:r w:rsidRPr="00DD4FD5">
              <w:rPr>
                <w:b/>
                <w:sz w:val="18"/>
                <w:szCs w:val="18"/>
              </w:rPr>
              <w:t>Free cash flow</w:t>
            </w:r>
            <w:r w:rsidRPr="00DD4FD5">
              <w:rPr>
                <w:b/>
                <w:sz w:val="18"/>
                <w:szCs w:val="18"/>
              </w:rPr>
              <w:tab/>
            </w:r>
          </w:p>
        </w:tc>
        <w:tc>
          <w:tcPr>
            <w:tcW w:w="840"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b/>
                <w:sz w:val="18"/>
                <w:szCs w:val="18"/>
              </w:rPr>
            </w:pPr>
            <w:r w:rsidRPr="00DD4FD5">
              <w:rPr>
                <w:b/>
                <w:sz w:val="18"/>
                <w:szCs w:val="18"/>
              </w:rPr>
              <w:t>5.5</w:t>
            </w:r>
          </w:p>
        </w:tc>
        <w:tc>
          <w:tcPr>
            <w:tcW w:w="645" w:type="pct"/>
          </w:tcPr>
          <w:p w:rsidR="00DD4FD5" w:rsidRPr="00DD4FD5" w:rsidRDefault="00DD4FD5" w:rsidP="00DD4FD5">
            <w:pPr>
              <w:pStyle w:val="NormalWeb"/>
              <w:pBdr>
                <w:bottom w:val="single" w:sz="4" w:space="1" w:color="auto"/>
              </w:pBdr>
              <w:tabs>
                <w:tab w:val="right" w:pos="720"/>
                <w:tab w:val="decimal" w:pos="760"/>
              </w:tabs>
              <w:spacing w:before="0" w:after="0"/>
              <w:jc w:val="right"/>
              <w:rPr>
                <w:b/>
                <w:sz w:val="18"/>
                <w:szCs w:val="18"/>
              </w:rPr>
            </w:pPr>
            <w:r w:rsidRPr="00DD4FD5">
              <w:rPr>
                <w:b/>
                <w:sz w:val="18"/>
                <w:szCs w:val="18"/>
              </w:rPr>
              <w:t>(6.8)</w:t>
            </w:r>
          </w:p>
        </w:tc>
        <w:tc>
          <w:tcPr>
            <w:tcW w:w="662"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b/>
                <w:sz w:val="18"/>
                <w:szCs w:val="18"/>
              </w:rPr>
            </w:pPr>
            <w:r w:rsidRPr="00DD4FD5">
              <w:rPr>
                <w:b/>
                <w:sz w:val="18"/>
                <w:szCs w:val="18"/>
              </w:rPr>
              <w:t>6.2</w:t>
            </w:r>
          </w:p>
        </w:tc>
      </w:tr>
      <w:tr w:rsidR="00DD4FD5" w:rsidRPr="00DD4FD5" w:rsidTr="00DD4FD5">
        <w:tc>
          <w:tcPr>
            <w:tcW w:w="2853"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Cash and cash equivalents, opening balance</w:t>
            </w:r>
            <w:r w:rsidRPr="00DD4FD5">
              <w:rPr>
                <w:sz w:val="18"/>
                <w:szCs w:val="18"/>
              </w:rPr>
              <w:tab/>
            </w:r>
          </w:p>
        </w:tc>
        <w:tc>
          <w:tcPr>
            <w:tcW w:w="840"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15.0</w:t>
            </w:r>
          </w:p>
        </w:tc>
        <w:tc>
          <w:tcPr>
            <w:tcW w:w="645" w:type="pct"/>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21.8</w:t>
            </w:r>
          </w:p>
        </w:tc>
        <w:tc>
          <w:tcPr>
            <w:tcW w:w="662"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15.6</w:t>
            </w:r>
          </w:p>
        </w:tc>
      </w:tr>
      <w:tr w:rsidR="00DD4FD5" w:rsidRPr="005D480F" w:rsidTr="00DD4FD5">
        <w:trPr>
          <w:trHeight w:val="267"/>
        </w:trPr>
        <w:tc>
          <w:tcPr>
            <w:tcW w:w="2853"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b/>
                <w:sz w:val="18"/>
                <w:szCs w:val="18"/>
              </w:rPr>
              <w:t>Cash and cash equivalents, closing balance</w:t>
            </w:r>
            <w:r w:rsidRPr="00DD4FD5">
              <w:rPr>
                <w:sz w:val="18"/>
                <w:szCs w:val="18"/>
              </w:rPr>
              <w:tab/>
            </w:r>
          </w:p>
        </w:tc>
        <w:tc>
          <w:tcPr>
            <w:tcW w:w="840"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20.5</w:t>
            </w:r>
          </w:p>
        </w:tc>
        <w:tc>
          <w:tcPr>
            <w:tcW w:w="645" w:type="pct"/>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15.0</w:t>
            </w:r>
          </w:p>
        </w:tc>
        <w:tc>
          <w:tcPr>
            <w:tcW w:w="662"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21.8</w:t>
            </w:r>
          </w:p>
        </w:tc>
      </w:tr>
    </w:tbl>
    <w:p w:rsidR="003F0BC5" w:rsidRPr="00992199" w:rsidRDefault="003F0BC5" w:rsidP="00353B80">
      <w:pPr>
        <w:pStyle w:val="Firm5L2"/>
        <w:keepNext/>
      </w:pPr>
      <w:bookmarkStart w:id="23" w:name="_Toc420593843"/>
      <w:r w:rsidRPr="00992199">
        <w:t xml:space="preserve">Key figures of </w:t>
      </w:r>
      <w:r w:rsidR="0001690F">
        <w:t>the Univeg Group</w:t>
      </w:r>
      <w:bookmarkEnd w:id="23"/>
    </w:p>
    <w:p w:rsidR="003F0BC5" w:rsidRPr="00992199" w:rsidRDefault="003F0BC5" w:rsidP="003F0BC5">
      <w:pPr>
        <w:rPr>
          <w:szCs w:val="20"/>
        </w:rPr>
      </w:pPr>
      <w:r w:rsidRPr="00992199">
        <w:rPr>
          <w:szCs w:val="20"/>
        </w:rPr>
        <w:t xml:space="preserve">Audited consolidated financial statements of </w:t>
      </w:r>
      <w:r w:rsidR="0001690F">
        <w:rPr>
          <w:szCs w:val="20"/>
        </w:rPr>
        <w:t>the Univeg Group</w:t>
      </w:r>
      <w:r w:rsidRPr="00992199">
        <w:rPr>
          <w:szCs w:val="20"/>
        </w:rPr>
        <w:t xml:space="preserve"> as of and </w:t>
      </w:r>
      <w:r w:rsidR="00ED1BE9">
        <w:rPr>
          <w:szCs w:val="20"/>
        </w:rPr>
        <w:t>for the financial year ended 31 December</w:t>
      </w:r>
      <w:r w:rsidRPr="00992199">
        <w:rPr>
          <w:szCs w:val="20"/>
        </w:rPr>
        <w:t xml:space="preserve"> 2014 (with comparative data as of and </w:t>
      </w:r>
      <w:r w:rsidR="00ED1BE9">
        <w:rPr>
          <w:szCs w:val="20"/>
        </w:rPr>
        <w:t>for the financial year ended 31 December</w:t>
      </w:r>
      <w:r w:rsidRPr="00992199">
        <w:rPr>
          <w:szCs w:val="20"/>
        </w:rPr>
        <w:t xml:space="preserve"> 2013) which have been prepared in accordance with IFRS, and the notes thereto, have been included in this Prospectus.</w:t>
      </w:r>
    </w:p>
    <w:tbl>
      <w:tblPr>
        <w:tblW w:w="5000" w:type="pct"/>
        <w:tblLook w:val="0000" w:firstRow="0" w:lastRow="0" w:firstColumn="0" w:lastColumn="0" w:noHBand="0" w:noVBand="0"/>
      </w:tblPr>
      <w:tblGrid>
        <w:gridCol w:w="6075"/>
        <w:gridCol w:w="1721"/>
        <w:gridCol w:w="1387"/>
        <w:gridCol w:w="62"/>
      </w:tblGrid>
      <w:tr w:rsidR="00DD4FD5" w:rsidRPr="00DD4FD5" w:rsidTr="00DD4FD5">
        <w:tc>
          <w:tcPr>
            <w:tcW w:w="3279" w:type="pct"/>
            <w:vAlign w:val="center"/>
          </w:tcPr>
          <w:p w:rsidR="00DD4FD5" w:rsidRPr="00DD4FD5" w:rsidRDefault="00DD4FD5" w:rsidP="00DD4FD5">
            <w:pPr>
              <w:pStyle w:val="NormalWeb"/>
              <w:keepNext/>
              <w:spacing w:before="0" w:after="0"/>
              <w:ind w:left="240" w:hanging="240"/>
              <w:jc w:val="left"/>
              <w:rPr>
                <w:bCs/>
                <w:i/>
                <w:sz w:val="18"/>
                <w:szCs w:val="18"/>
              </w:rPr>
            </w:pPr>
            <w:r w:rsidRPr="00DD4FD5">
              <w:rPr>
                <w:bCs/>
                <w:i/>
                <w:sz w:val="18"/>
                <w:szCs w:val="18"/>
              </w:rPr>
              <w:t>(</w:t>
            </w:r>
            <w:r w:rsidR="00E53641">
              <w:rPr>
                <w:bCs/>
                <w:i/>
                <w:sz w:val="18"/>
                <w:szCs w:val="18"/>
              </w:rPr>
              <w:t>EUR </w:t>
            </w:r>
            <w:r w:rsidRPr="00DD4FD5">
              <w:rPr>
                <w:bCs/>
                <w:i/>
                <w:sz w:val="18"/>
                <w:szCs w:val="18"/>
              </w:rPr>
              <w:t>in millions)</w:t>
            </w:r>
          </w:p>
        </w:tc>
        <w:tc>
          <w:tcPr>
            <w:tcW w:w="919" w:type="pct"/>
            <w:vAlign w:val="bottom"/>
          </w:tcPr>
          <w:p w:rsidR="00DD4FD5" w:rsidRPr="00DD4FD5" w:rsidRDefault="00DD4FD5" w:rsidP="00DD4FD5">
            <w:pPr>
              <w:pBdr>
                <w:bottom w:val="single" w:sz="4" w:space="1" w:color="auto"/>
              </w:pBdr>
              <w:spacing w:before="0" w:after="0"/>
              <w:ind w:left="368" w:hanging="227"/>
              <w:jc w:val="center"/>
              <w:rPr>
                <w:sz w:val="18"/>
                <w:szCs w:val="18"/>
              </w:rPr>
            </w:pPr>
            <w:r w:rsidRPr="00DD4FD5">
              <w:rPr>
                <w:b/>
                <w:bCs/>
                <w:sz w:val="18"/>
                <w:szCs w:val="18"/>
              </w:rPr>
              <w:t xml:space="preserve">Year ended </w:t>
            </w:r>
            <w:r w:rsidRPr="00DD4FD5">
              <w:rPr>
                <w:b/>
                <w:bCs/>
                <w:sz w:val="18"/>
                <w:szCs w:val="18"/>
              </w:rPr>
              <w:br/>
              <w:t>31 December 2014</w:t>
            </w:r>
          </w:p>
        </w:tc>
        <w:tc>
          <w:tcPr>
            <w:tcW w:w="802" w:type="pct"/>
            <w:gridSpan w:val="2"/>
            <w:vAlign w:val="bottom"/>
          </w:tcPr>
          <w:p w:rsidR="00DD4FD5" w:rsidRPr="00DD4FD5" w:rsidRDefault="00DD4FD5" w:rsidP="00DD4FD5">
            <w:pPr>
              <w:pBdr>
                <w:bottom w:val="single" w:sz="4" w:space="1" w:color="auto"/>
              </w:pBdr>
              <w:spacing w:before="0" w:after="0"/>
              <w:jc w:val="center"/>
              <w:rPr>
                <w:sz w:val="18"/>
                <w:szCs w:val="18"/>
              </w:rPr>
            </w:pPr>
            <w:r w:rsidRPr="00DD4FD5">
              <w:rPr>
                <w:b/>
                <w:bCs/>
                <w:sz w:val="18"/>
                <w:szCs w:val="18"/>
              </w:rPr>
              <w:t xml:space="preserve">Year ended 31 December </w:t>
            </w:r>
            <w:r w:rsidRPr="00DD4FD5">
              <w:rPr>
                <w:b/>
                <w:bCs/>
                <w:sz w:val="18"/>
                <w:szCs w:val="18"/>
              </w:rPr>
              <w:br/>
              <w:t>2013</w:t>
            </w:r>
          </w:p>
        </w:tc>
      </w:tr>
      <w:tr w:rsidR="00DD4FD5" w:rsidRPr="00DD4FD5" w:rsidTr="00DD4FD5">
        <w:trPr>
          <w:trHeight w:val="332"/>
        </w:trPr>
        <w:tc>
          <w:tcPr>
            <w:tcW w:w="3279" w:type="pct"/>
          </w:tcPr>
          <w:p w:rsidR="00DD4FD5" w:rsidRPr="00DD4FD5" w:rsidRDefault="00DD4FD5" w:rsidP="00DD4FD5">
            <w:pPr>
              <w:pStyle w:val="NormalWeb"/>
              <w:keepNext/>
              <w:spacing w:before="0" w:after="0"/>
              <w:rPr>
                <w:b/>
                <w:bCs/>
                <w:sz w:val="18"/>
                <w:szCs w:val="18"/>
              </w:rPr>
            </w:pPr>
            <w:r w:rsidRPr="00DD4FD5">
              <w:rPr>
                <w:b/>
                <w:bCs/>
                <w:sz w:val="18"/>
                <w:szCs w:val="18"/>
              </w:rPr>
              <w:t>Summary Consolidated Statement of Income Data</w:t>
            </w:r>
          </w:p>
        </w:tc>
        <w:tc>
          <w:tcPr>
            <w:tcW w:w="919" w:type="pct"/>
          </w:tcPr>
          <w:p w:rsidR="00DD4FD5" w:rsidRPr="00DD4FD5" w:rsidRDefault="00DD4FD5" w:rsidP="00DD4FD5">
            <w:pPr>
              <w:pStyle w:val="la24"/>
              <w:spacing w:before="0" w:after="0"/>
              <w:jc w:val="right"/>
              <w:rPr>
                <w:noProof w:val="0"/>
                <w:sz w:val="18"/>
                <w:szCs w:val="18"/>
                <w:lang w:val="en-GB"/>
              </w:rPr>
            </w:pPr>
            <w:r w:rsidRPr="00DD4FD5">
              <w:rPr>
                <w:noProof w:val="0"/>
                <w:sz w:val="18"/>
                <w:szCs w:val="18"/>
                <w:lang w:val="en-GB"/>
              </w:rPr>
              <w:t> </w:t>
            </w:r>
          </w:p>
        </w:tc>
        <w:tc>
          <w:tcPr>
            <w:tcW w:w="802" w:type="pct"/>
            <w:gridSpan w:val="2"/>
          </w:tcPr>
          <w:p w:rsidR="00DD4FD5" w:rsidRPr="00DD4FD5" w:rsidRDefault="00DD4FD5" w:rsidP="00DD4FD5">
            <w:pPr>
              <w:pStyle w:val="la24"/>
              <w:spacing w:before="0" w:after="0"/>
              <w:jc w:val="right"/>
              <w:rPr>
                <w:noProof w:val="0"/>
                <w:sz w:val="18"/>
                <w:szCs w:val="18"/>
                <w:lang w:val="en-GB"/>
              </w:rPr>
            </w:pPr>
            <w:r w:rsidRPr="00DD4FD5">
              <w:rPr>
                <w:noProof w:val="0"/>
                <w:sz w:val="18"/>
                <w:szCs w:val="18"/>
                <w:lang w:val="en-GB"/>
              </w:rPr>
              <w:t> </w:t>
            </w:r>
          </w:p>
        </w:tc>
      </w:tr>
      <w:tr w:rsidR="00DD4FD5" w:rsidRPr="00DD4FD5" w:rsidTr="00DD4FD5">
        <w:tc>
          <w:tcPr>
            <w:tcW w:w="3279"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Revenue from sales</w:t>
            </w:r>
            <w:r w:rsidRPr="00DD4FD5">
              <w:rPr>
                <w:sz w:val="18"/>
                <w:szCs w:val="18"/>
              </w:rPr>
              <w:tab/>
            </w:r>
          </w:p>
        </w:tc>
        <w:tc>
          <w:tcPr>
            <w:tcW w:w="919" w:type="pct"/>
            <w:noWrap/>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3,264.7</w:t>
            </w:r>
          </w:p>
        </w:tc>
        <w:tc>
          <w:tcPr>
            <w:tcW w:w="802" w:type="pct"/>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b/>
                <w:bCs/>
                <w:sz w:val="18"/>
                <w:szCs w:val="18"/>
              </w:rPr>
              <w:t>3,134.6</w:t>
            </w:r>
          </w:p>
        </w:tc>
      </w:tr>
      <w:tr w:rsidR="00DD4FD5" w:rsidRPr="00DD4FD5" w:rsidTr="00DD4FD5">
        <w:trPr>
          <w:trHeight w:val="267"/>
        </w:trPr>
        <w:tc>
          <w:tcPr>
            <w:tcW w:w="3279"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Cost of sales</w:t>
            </w:r>
            <w:r w:rsidRPr="00DD4FD5">
              <w:rPr>
                <w:sz w:val="18"/>
                <w:szCs w:val="18"/>
              </w:rPr>
              <w:tab/>
            </w:r>
          </w:p>
          <w:p w:rsidR="00DD4FD5" w:rsidRPr="00DD4FD5" w:rsidRDefault="00DD4FD5" w:rsidP="00DD4FD5">
            <w:pPr>
              <w:pStyle w:val="la24"/>
              <w:spacing w:before="0" w:after="0"/>
              <w:rPr>
                <w:sz w:val="18"/>
                <w:szCs w:val="18"/>
              </w:rPr>
            </w:pPr>
            <w:r w:rsidRPr="00DD4FD5">
              <w:rPr>
                <w:noProof w:val="0"/>
                <w:sz w:val="18"/>
                <w:szCs w:val="18"/>
                <w:lang w:val="en-GB"/>
              </w:rPr>
              <w:t> </w:t>
            </w:r>
          </w:p>
        </w:tc>
        <w:tc>
          <w:tcPr>
            <w:tcW w:w="919"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(3,052.8)</w:t>
            </w:r>
          </w:p>
        </w:tc>
        <w:tc>
          <w:tcPr>
            <w:tcW w:w="802" w:type="pct"/>
            <w:gridSpan w:val="2"/>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(2,925.1)</w:t>
            </w:r>
          </w:p>
        </w:tc>
      </w:tr>
      <w:tr w:rsidR="00DD4FD5" w:rsidRPr="00DD4FD5" w:rsidTr="00DD4FD5">
        <w:tc>
          <w:tcPr>
            <w:tcW w:w="3279"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Gross</w:t>
            </w:r>
            <w:r w:rsidRPr="00DD4FD5">
              <w:rPr>
                <w:b/>
                <w:bCs/>
                <w:sz w:val="18"/>
                <w:szCs w:val="18"/>
              </w:rPr>
              <w:t xml:space="preserve"> profit</w:t>
            </w:r>
            <w:r w:rsidRPr="00DD4FD5">
              <w:rPr>
                <w:bCs/>
                <w:sz w:val="18"/>
                <w:szCs w:val="18"/>
              </w:rPr>
              <w:tab/>
            </w:r>
          </w:p>
        </w:tc>
        <w:tc>
          <w:tcPr>
            <w:tcW w:w="919"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b/>
                <w:bCs/>
                <w:sz w:val="18"/>
                <w:szCs w:val="18"/>
              </w:rPr>
              <w:t>211.9</w:t>
            </w:r>
          </w:p>
        </w:tc>
        <w:tc>
          <w:tcPr>
            <w:tcW w:w="802" w:type="pct"/>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b/>
                <w:bCs/>
                <w:sz w:val="18"/>
                <w:szCs w:val="18"/>
              </w:rPr>
              <w:t>209.5</w:t>
            </w:r>
          </w:p>
        </w:tc>
      </w:tr>
      <w:tr w:rsidR="00DD4FD5" w:rsidRPr="00DD4FD5" w:rsidTr="00DD4FD5">
        <w:tc>
          <w:tcPr>
            <w:tcW w:w="3279"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Selling, marketing and distribution expenses</w:t>
            </w:r>
            <w:r w:rsidRPr="00DD4FD5">
              <w:rPr>
                <w:sz w:val="18"/>
                <w:szCs w:val="18"/>
              </w:rPr>
              <w:tab/>
            </w:r>
          </w:p>
        </w:tc>
        <w:tc>
          <w:tcPr>
            <w:tcW w:w="919"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(64.6)</w:t>
            </w:r>
          </w:p>
        </w:tc>
        <w:tc>
          <w:tcPr>
            <w:tcW w:w="802" w:type="pct"/>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(60.3)</w:t>
            </w:r>
          </w:p>
        </w:tc>
      </w:tr>
      <w:tr w:rsidR="00DD4FD5" w:rsidRPr="00DD4FD5" w:rsidTr="00DD4FD5">
        <w:tc>
          <w:tcPr>
            <w:tcW w:w="3279"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General &amp; administrative expenses</w:t>
            </w:r>
            <w:r w:rsidRPr="00DD4FD5">
              <w:rPr>
                <w:sz w:val="18"/>
                <w:szCs w:val="18"/>
              </w:rPr>
              <w:tab/>
            </w:r>
          </w:p>
        </w:tc>
        <w:tc>
          <w:tcPr>
            <w:tcW w:w="919"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(112.7)</w:t>
            </w:r>
          </w:p>
        </w:tc>
        <w:tc>
          <w:tcPr>
            <w:tcW w:w="802" w:type="pct"/>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(109.5)</w:t>
            </w:r>
          </w:p>
        </w:tc>
      </w:tr>
      <w:tr w:rsidR="00DD4FD5" w:rsidRPr="00DD4FD5" w:rsidTr="00DD4FD5">
        <w:tc>
          <w:tcPr>
            <w:tcW w:w="3279"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Other operating income/(expense), net</w:t>
            </w:r>
            <w:r w:rsidRPr="00DD4FD5">
              <w:rPr>
                <w:sz w:val="18"/>
                <w:szCs w:val="18"/>
              </w:rPr>
              <w:tab/>
            </w:r>
          </w:p>
        </w:tc>
        <w:tc>
          <w:tcPr>
            <w:tcW w:w="919"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3.7</w:t>
            </w:r>
          </w:p>
        </w:tc>
        <w:tc>
          <w:tcPr>
            <w:tcW w:w="802" w:type="pct"/>
            <w:gridSpan w:val="2"/>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1.9</w:t>
            </w:r>
          </w:p>
        </w:tc>
      </w:tr>
      <w:tr w:rsidR="00DD4FD5" w:rsidRPr="00DD4FD5" w:rsidTr="00DD4FD5">
        <w:tc>
          <w:tcPr>
            <w:tcW w:w="3279"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Operating profit/(loss) before non-recurring items</w:t>
            </w:r>
            <w:r w:rsidRPr="00DD4FD5">
              <w:rPr>
                <w:sz w:val="18"/>
                <w:szCs w:val="18"/>
              </w:rPr>
              <w:tab/>
            </w:r>
          </w:p>
        </w:tc>
        <w:tc>
          <w:tcPr>
            <w:tcW w:w="919"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b/>
                <w:bCs/>
                <w:sz w:val="18"/>
                <w:szCs w:val="18"/>
              </w:rPr>
              <w:t>38.3</w:t>
            </w:r>
          </w:p>
        </w:tc>
        <w:tc>
          <w:tcPr>
            <w:tcW w:w="802" w:type="pct"/>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b/>
                <w:bCs/>
                <w:sz w:val="18"/>
                <w:szCs w:val="18"/>
              </w:rPr>
              <w:t>41.6</w:t>
            </w:r>
          </w:p>
        </w:tc>
      </w:tr>
      <w:tr w:rsidR="00DD4FD5" w:rsidRPr="00DD4FD5" w:rsidTr="00DD4FD5">
        <w:tc>
          <w:tcPr>
            <w:tcW w:w="3279"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Non-recurring items</w:t>
            </w:r>
            <w:r w:rsidRPr="00DD4FD5">
              <w:rPr>
                <w:sz w:val="18"/>
                <w:szCs w:val="18"/>
              </w:rPr>
              <w:tab/>
            </w:r>
          </w:p>
        </w:tc>
        <w:tc>
          <w:tcPr>
            <w:tcW w:w="919"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15.0</w:t>
            </w:r>
          </w:p>
        </w:tc>
        <w:tc>
          <w:tcPr>
            <w:tcW w:w="802" w:type="pct"/>
            <w:gridSpan w:val="2"/>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13.9</w:t>
            </w:r>
          </w:p>
        </w:tc>
      </w:tr>
      <w:tr w:rsidR="00DD4FD5" w:rsidRPr="00DD4FD5" w:rsidTr="00DD4FD5">
        <w:tc>
          <w:tcPr>
            <w:tcW w:w="3279"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Operating profit/(loss) after non-recurring items</w:t>
            </w:r>
            <w:r w:rsidRPr="00DD4FD5">
              <w:rPr>
                <w:sz w:val="18"/>
                <w:szCs w:val="18"/>
              </w:rPr>
              <w:tab/>
            </w:r>
          </w:p>
        </w:tc>
        <w:tc>
          <w:tcPr>
            <w:tcW w:w="919"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b/>
                <w:bCs/>
                <w:sz w:val="18"/>
                <w:szCs w:val="18"/>
              </w:rPr>
              <w:t>53.3</w:t>
            </w:r>
          </w:p>
        </w:tc>
        <w:tc>
          <w:tcPr>
            <w:tcW w:w="802" w:type="pct"/>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b/>
                <w:bCs/>
                <w:sz w:val="18"/>
                <w:szCs w:val="18"/>
              </w:rPr>
              <w:t>55.5</w:t>
            </w:r>
          </w:p>
        </w:tc>
      </w:tr>
      <w:tr w:rsidR="00DD4FD5" w:rsidRPr="00DD4FD5" w:rsidTr="00DD4FD5">
        <w:tc>
          <w:tcPr>
            <w:tcW w:w="3279"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Financial income/(expense)</w:t>
            </w:r>
            <w:r w:rsidRPr="00DD4FD5">
              <w:rPr>
                <w:sz w:val="18"/>
                <w:szCs w:val="18"/>
              </w:rPr>
              <w:tab/>
            </w:r>
          </w:p>
        </w:tc>
        <w:tc>
          <w:tcPr>
            <w:tcW w:w="919"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(40.4)</w:t>
            </w:r>
          </w:p>
        </w:tc>
        <w:tc>
          <w:tcPr>
            <w:tcW w:w="802" w:type="pct"/>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(34.1)</w:t>
            </w:r>
          </w:p>
        </w:tc>
      </w:tr>
      <w:tr w:rsidR="00DD4FD5" w:rsidRPr="00DD4FD5" w:rsidTr="00DD4FD5">
        <w:tc>
          <w:tcPr>
            <w:tcW w:w="3279"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Share of profit of equity accounted investments</w:t>
            </w:r>
            <w:r w:rsidRPr="00DD4FD5">
              <w:rPr>
                <w:sz w:val="18"/>
                <w:szCs w:val="18"/>
              </w:rPr>
              <w:tab/>
            </w:r>
          </w:p>
        </w:tc>
        <w:tc>
          <w:tcPr>
            <w:tcW w:w="919"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1.6</w:t>
            </w:r>
          </w:p>
        </w:tc>
        <w:tc>
          <w:tcPr>
            <w:tcW w:w="802" w:type="pct"/>
            <w:gridSpan w:val="2"/>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0.4</w:t>
            </w:r>
          </w:p>
        </w:tc>
      </w:tr>
      <w:tr w:rsidR="00DD4FD5" w:rsidRPr="00DD4FD5" w:rsidTr="00DD4FD5">
        <w:tc>
          <w:tcPr>
            <w:tcW w:w="3279"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Profit/(loss) before income tax</w:t>
            </w:r>
            <w:r w:rsidRPr="00DD4FD5">
              <w:rPr>
                <w:sz w:val="18"/>
                <w:szCs w:val="18"/>
              </w:rPr>
              <w:tab/>
            </w:r>
          </w:p>
        </w:tc>
        <w:tc>
          <w:tcPr>
            <w:tcW w:w="919"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b/>
                <w:bCs/>
                <w:sz w:val="18"/>
                <w:szCs w:val="18"/>
              </w:rPr>
              <w:t>14.5</w:t>
            </w:r>
          </w:p>
        </w:tc>
        <w:tc>
          <w:tcPr>
            <w:tcW w:w="802" w:type="pct"/>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b/>
                <w:bCs/>
                <w:sz w:val="18"/>
                <w:szCs w:val="18"/>
              </w:rPr>
              <w:t>21,9</w:t>
            </w:r>
          </w:p>
        </w:tc>
      </w:tr>
      <w:tr w:rsidR="00DD4FD5" w:rsidRPr="00DD4FD5" w:rsidTr="00DD4FD5">
        <w:trPr>
          <w:trHeight w:val="267"/>
        </w:trPr>
        <w:tc>
          <w:tcPr>
            <w:tcW w:w="3279"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Income tax income/(expense)</w:t>
            </w:r>
            <w:r w:rsidRPr="00DD4FD5">
              <w:rPr>
                <w:sz w:val="18"/>
                <w:szCs w:val="18"/>
              </w:rPr>
              <w:tab/>
            </w:r>
          </w:p>
          <w:p w:rsidR="00DD4FD5" w:rsidRPr="00DD4FD5" w:rsidRDefault="00DD4FD5" w:rsidP="00DD4FD5">
            <w:pPr>
              <w:pStyle w:val="la24"/>
              <w:spacing w:before="0" w:after="0"/>
              <w:rPr>
                <w:sz w:val="18"/>
                <w:szCs w:val="18"/>
              </w:rPr>
            </w:pPr>
            <w:r w:rsidRPr="00DD4FD5">
              <w:rPr>
                <w:noProof w:val="0"/>
                <w:sz w:val="18"/>
                <w:szCs w:val="18"/>
                <w:lang w:val="en-GB"/>
              </w:rPr>
              <w:t> </w:t>
            </w:r>
          </w:p>
        </w:tc>
        <w:tc>
          <w:tcPr>
            <w:tcW w:w="919"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2.1</w:t>
            </w:r>
          </w:p>
        </w:tc>
        <w:tc>
          <w:tcPr>
            <w:tcW w:w="802" w:type="pct"/>
            <w:gridSpan w:val="2"/>
            <w:noWrap/>
          </w:tcPr>
          <w:p w:rsidR="00DD4FD5" w:rsidRPr="00DD4FD5" w:rsidRDefault="00C14169" w:rsidP="00DD4FD5">
            <w:pPr>
              <w:pStyle w:val="NormalWeb"/>
              <w:pBdr>
                <w:bottom w:val="single" w:sz="4" w:space="1" w:color="auto"/>
              </w:pBdr>
              <w:tabs>
                <w:tab w:val="right" w:pos="720"/>
                <w:tab w:val="decimal" w:pos="760"/>
              </w:tabs>
              <w:spacing w:before="0" w:after="0"/>
              <w:jc w:val="right"/>
              <w:rPr>
                <w:sz w:val="18"/>
                <w:szCs w:val="18"/>
              </w:rPr>
            </w:pPr>
            <w:r>
              <w:rPr>
                <w:sz w:val="18"/>
                <w:szCs w:val="18"/>
              </w:rPr>
              <w:t xml:space="preserve"> </w:t>
            </w:r>
            <w:r w:rsidR="00DD4FD5" w:rsidRPr="00DD4FD5">
              <w:rPr>
                <w:sz w:val="18"/>
                <w:szCs w:val="18"/>
              </w:rPr>
              <w:t>(5.6)</w:t>
            </w:r>
          </w:p>
        </w:tc>
      </w:tr>
      <w:tr w:rsidR="00DD4FD5" w:rsidRPr="00DD4FD5" w:rsidTr="00DD4FD5">
        <w:tc>
          <w:tcPr>
            <w:tcW w:w="3279"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Profit/(loss) for the period from continuing operations</w:t>
            </w:r>
            <w:r w:rsidRPr="00DD4FD5">
              <w:rPr>
                <w:sz w:val="18"/>
                <w:szCs w:val="18"/>
              </w:rPr>
              <w:tab/>
            </w:r>
          </w:p>
        </w:tc>
        <w:tc>
          <w:tcPr>
            <w:tcW w:w="919"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b/>
                <w:bCs/>
                <w:sz w:val="18"/>
                <w:szCs w:val="18"/>
              </w:rPr>
              <w:t>16.6</w:t>
            </w:r>
          </w:p>
        </w:tc>
        <w:tc>
          <w:tcPr>
            <w:tcW w:w="802" w:type="pct"/>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b/>
                <w:bCs/>
                <w:sz w:val="18"/>
                <w:szCs w:val="18"/>
              </w:rPr>
              <w:t>16,3</w:t>
            </w:r>
          </w:p>
        </w:tc>
      </w:tr>
      <w:tr w:rsidR="00DD4FD5" w:rsidRPr="00DD4FD5" w:rsidTr="00DD4FD5">
        <w:tc>
          <w:tcPr>
            <w:tcW w:w="3279" w:type="pct"/>
            <w:vMerge w:val="restar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 xml:space="preserve">Discontinued operations </w:t>
            </w:r>
            <w:r w:rsidRPr="00DD4FD5">
              <w:rPr>
                <w:sz w:val="16"/>
                <w:szCs w:val="16"/>
              </w:rPr>
              <w:t>(attributable to owners of the parent)</w:t>
            </w:r>
            <w:r w:rsidRPr="00DD4FD5">
              <w:rPr>
                <w:sz w:val="18"/>
                <w:szCs w:val="18"/>
              </w:rPr>
              <w:tab/>
            </w:r>
          </w:p>
          <w:p w:rsidR="00DD4FD5" w:rsidRPr="00DD4FD5" w:rsidRDefault="00DD4FD5" w:rsidP="00DD4FD5">
            <w:pPr>
              <w:pStyle w:val="la24"/>
              <w:spacing w:before="0" w:after="0"/>
              <w:rPr>
                <w:sz w:val="18"/>
                <w:szCs w:val="18"/>
              </w:rPr>
            </w:pPr>
            <w:r w:rsidRPr="00DD4FD5">
              <w:rPr>
                <w:noProof w:val="0"/>
                <w:sz w:val="18"/>
                <w:szCs w:val="18"/>
                <w:lang w:val="en-GB"/>
              </w:rPr>
              <w:t> </w:t>
            </w:r>
          </w:p>
        </w:tc>
        <w:tc>
          <w:tcPr>
            <w:tcW w:w="919"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w:t>
            </w:r>
          </w:p>
        </w:tc>
        <w:tc>
          <w:tcPr>
            <w:tcW w:w="802" w:type="pct"/>
            <w:gridSpan w:val="2"/>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(0.3)</w:t>
            </w:r>
          </w:p>
        </w:tc>
      </w:tr>
      <w:tr w:rsidR="00DD4FD5" w:rsidRPr="00DD4FD5" w:rsidTr="00DD4FD5">
        <w:tc>
          <w:tcPr>
            <w:tcW w:w="3279" w:type="pct"/>
            <w:vMerge/>
          </w:tcPr>
          <w:p w:rsidR="00DD4FD5" w:rsidRPr="00DD4FD5" w:rsidRDefault="00DD4FD5" w:rsidP="00DD4FD5">
            <w:pPr>
              <w:pStyle w:val="la24"/>
              <w:spacing w:before="0" w:after="0"/>
              <w:rPr>
                <w:noProof w:val="0"/>
                <w:sz w:val="18"/>
                <w:szCs w:val="18"/>
                <w:lang w:val="en-GB"/>
              </w:rPr>
            </w:pPr>
          </w:p>
        </w:tc>
        <w:tc>
          <w:tcPr>
            <w:tcW w:w="919" w:type="pct"/>
          </w:tcPr>
          <w:p w:rsidR="00DD4FD5" w:rsidRPr="00DD4FD5" w:rsidRDefault="00DD4FD5" w:rsidP="00DD4FD5">
            <w:pPr>
              <w:pStyle w:val="rrdsinglerule4"/>
              <w:spacing w:before="0" w:after="0"/>
              <w:jc w:val="right"/>
              <w:rPr>
                <w:sz w:val="18"/>
                <w:szCs w:val="18"/>
                <w:lang w:val="en-GB"/>
              </w:rPr>
            </w:pPr>
          </w:p>
        </w:tc>
        <w:tc>
          <w:tcPr>
            <w:tcW w:w="802" w:type="pct"/>
            <w:gridSpan w:val="2"/>
          </w:tcPr>
          <w:p w:rsidR="00DD4FD5" w:rsidRPr="00DD4FD5" w:rsidRDefault="00DD4FD5" w:rsidP="00DD4FD5">
            <w:pPr>
              <w:pStyle w:val="rrdsinglerule4"/>
              <w:spacing w:before="0" w:after="0"/>
              <w:jc w:val="right"/>
              <w:rPr>
                <w:sz w:val="18"/>
                <w:szCs w:val="18"/>
                <w:lang w:val="en-GB"/>
              </w:rPr>
            </w:pPr>
          </w:p>
        </w:tc>
      </w:tr>
      <w:tr w:rsidR="00DD4FD5" w:rsidRPr="00DD4FD5" w:rsidTr="00DD4FD5">
        <w:trPr>
          <w:trHeight w:val="292"/>
        </w:trPr>
        <w:tc>
          <w:tcPr>
            <w:tcW w:w="3279"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 xml:space="preserve">Profit/(loss) for the period </w:t>
            </w:r>
            <w:r w:rsidRPr="00DD4FD5">
              <w:rPr>
                <w:sz w:val="18"/>
                <w:szCs w:val="18"/>
              </w:rPr>
              <w:tab/>
            </w:r>
          </w:p>
          <w:p w:rsidR="00DD4FD5" w:rsidRPr="00DD4FD5" w:rsidRDefault="00DD4FD5" w:rsidP="00DD4FD5">
            <w:pPr>
              <w:pStyle w:val="la24"/>
              <w:spacing w:before="0" w:after="0"/>
              <w:rPr>
                <w:b/>
                <w:sz w:val="18"/>
                <w:szCs w:val="18"/>
              </w:rPr>
            </w:pPr>
            <w:r w:rsidRPr="00DD4FD5">
              <w:rPr>
                <w:noProof w:val="0"/>
                <w:sz w:val="18"/>
                <w:szCs w:val="18"/>
                <w:lang w:val="en-GB"/>
              </w:rPr>
              <w:t> </w:t>
            </w:r>
          </w:p>
        </w:tc>
        <w:tc>
          <w:tcPr>
            <w:tcW w:w="919"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b/>
                <w:bCs/>
                <w:sz w:val="18"/>
                <w:szCs w:val="18"/>
              </w:rPr>
              <w:t>16.6</w:t>
            </w:r>
          </w:p>
        </w:tc>
        <w:tc>
          <w:tcPr>
            <w:tcW w:w="802" w:type="pct"/>
            <w:gridSpan w:val="2"/>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b/>
                <w:bCs/>
                <w:sz w:val="18"/>
                <w:szCs w:val="18"/>
              </w:rPr>
              <w:t>16.0</w:t>
            </w:r>
          </w:p>
        </w:tc>
      </w:tr>
      <w:tr w:rsidR="00DD4FD5" w:rsidRPr="00DD4FD5" w:rsidTr="00DD4FD5">
        <w:trPr>
          <w:trHeight w:val="292"/>
        </w:trPr>
        <w:tc>
          <w:tcPr>
            <w:tcW w:w="3279"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Attributable to:</w:t>
            </w:r>
          </w:p>
        </w:tc>
        <w:tc>
          <w:tcPr>
            <w:tcW w:w="919" w:type="pct"/>
            <w:noWrap/>
          </w:tcPr>
          <w:p w:rsidR="00DD4FD5" w:rsidRPr="00DD4FD5" w:rsidRDefault="00DD4FD5" w:rsidP="00DD4FD5">
            <w:pPr>
              <w:pStyle w:val="NormalWeb"/>
              <w:tabs>
                <w:tab w:val="right" w:pos="720"/>
                <w:tab w:val="decimal" w:pos="760"/>
              </w:tabs>
              <w:spacing w:before="0" w:after="0"/>
              <w:jc w:val="right"/>
              <w:rPr>
                <w:b/>
                <w:bCs/>
                <w:sz w:val="18"/>
                <w:szCs w:val="18"/>
              </w:rPr>
            </w:pPr>
          </w:p>
        </w:tc>
        <w:tc>
          <w:tcPr>
            <w:tcW w:w="802" w:type="pct"/>
            <w:gridSpan w:val="2"/>
            <w:noWrap/>
          </w:tcPr>
          <w:p w:rsidR="00DD4FD5" w:rsidRPr="00DD4FD5" w:rsidRDefault="00DD4FD5" w:rsidP="00DD4FD5">
            <w:pPr>
              <w:pStyle w:val="NormalWeb"/>
              <w:tabs>
                <w:tab w:val="right" w:pos="720"/>
                <w:tab w:val="decimal" w:pos="760"/>
              </w:tabs>
              <w:spacing w:before="0" w:after="0"/>
              <w:jc w:val="right"/>
              <w:rPr>
                <w:b/>
                <w:bCs/>
                <w:sz w:val="18"/>
                <w:szCs w:val="18"/>
              </w:rPr>
            </w:pPr>
          </w:p>
        </w:tc>
      </w:tr>
      <w:tr w:rsidR="00DD4FD5" w:rsidRPr="00DD4FD5" w:rsidTr="00DD4FD5">
        <w:trPr>
          <w:trHeight w:val="292"/>
        </w:trPr>
        <w:tc>
          <w:tcPr>
            <w:tcW w:w="3279"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sz w:val="18"/>
                <w:szCs w:val="18"/>
              </w:rPr>
              <w:t>- The shareholders of the Univeg Group</w:t>
            </w:r>
          </w:p>
        </w:tc>
        <w:tc>
          <w:tcPr>
            <w:tcW w:w="919" w:type="pct"/>
            <w:noWrap/>
          </w:tcPr>
          <w:p w:rsidR="00DD4FD5" w:rsidRPr="00DD4FD5" w:rsidRDefault="00DD4FD5" w:rsidP="00DD4FD5">
            <w:pPr>
              <w:pStyle w:val="NormalWeb"/>
              <w:tabs>
                <w:tab w:val="right" w:pos="720"/>
                <w:tab w:val="decimal" w:pos="760"/>
              </w:tabs>
              <w:spacing w:before="0" w:after="0"/>
              <w:jc w:val="right"/>
              <w:rPr>
                <w:b/>
                <w:bCs/>
                <w:sz w:val="18"/>
                <w:szCs w:val="18"/>
              </w:rPr>
            </w:pPr>
            <w:r w:rsidRPr="00DD4FD5">
              <w:rPr>
                <w:sz w:val="18"/>
                <w:szCs w:val="18"/>
              </w:rPr>
              <w:t>17.9</w:t>
            </w:r>
          </w:p>
        </w:tc>
        <w:tc>
          <w:tcPr>
            <w:tcW w:w="802" w:type="pct"/>
            <w:gridSpan w:val="2"/>
            <w:noWrap/>
          </w:tcPr>
          <w:p w:rsidR="00DD4FD5" w:rsidRPr="00DD4FD5" w:rsidRDefault="00DD4FD5" w:rsidP="00DD4FD5">
            <w:pPr>
              <w:pStyle w:val="NormalWeb"/>
              <w:tabs>
                <w:tab w:val="right" w:pos="720"/>
                <w:tab w:val="decimal" w:pos="760"/>
              </w:tabs>
              <w:spacing w:before="0" w:after="0"/>
              <w:jc w:val="right"/>
              <w:rPr>
                <w:b/>
                <w:bCs/>
                <w:sz w:val="18"/>
                <w:szCs w:val="18"/>
              </w:rPr>
            </w:pPr>
            <w:r w:rsidRPr="00DD4FD5">
              <w:rPr>
                <w:sz w:val="18"/>
                <w:szCs w:val="18"/>
              </w:rPr>
              <w:t>16.2</w:t>
            </w:r>
          </w:p>
        </w:tc>
      </w:tr>
      <w:tr w:rsidR="00DD4FD5" w:rsidRPr="00DD4FD5" w:rsidTr="00DD4FD5">
        <w:trPr>
          <w:trHeight w:val="292"/>
        </w:trPr>
        <w:tc>
          <w:tcPr>
            <w:tcW w:w="3279"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 Non-controlling interest</w:t>
            </w:r>
          </w:p>
        </w:tc>
        <w:tc>
          <w:tcPr>
            <w:tcW w:w="919"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(1,3)</w:t>
            </w:r>
          </w:p>
        </w:tc>
        <w:tc>
          <w:tcPr>
            <w:tcW w:w="802" w:type="pct"/>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(0,2)</w:t>
            </w:r>
          </w:p>
        </w:tc>
      </w:tr>
      <w:tr w:rsidR="00DD4FD5" w:rsidRPr="00DD4FD5" w:rsidTr="00DD4FD5">
        <w:tc>
          <w:tcPr>
            <w:tcW w:w="3279" w:type="pct"/>
          </w:tcPr>
          <w:p w:rsidR="00DD4FD5" w:rsidRPr="00DD4FD5" w:rsidRDefault="00DD4FD5" w:rsidP="00DD4FD5">
            <w:pPr>
              <w:spacing w:before="0" w:after="0"/>
              <w:rPr>
                <w:sz w:val="18"/>
                <w:szCs w:val="18"/>
              </w:rPr>
            </w:pPr>
          </w:p>
          <w:p w:rsidR="00DD4FD5" w:rsidRPr="00DD4FD5" w:rsidRDefault="00DD4FD5" w:rsidP="00DD4FD5">
            <w:pPr>
              <w:spacing w:before="0" w:after="0"/>
              <w:rPr>
                <w:sz w:val="18"/>
                <w:szCs w:val="18"/>
              </w:rPr>
            </w:pPr>
            <w:r w:rsidRPr="00DD4FD5">
              <w:rPr>
                <w:b/>
                <w:bCs/>
                <w:sz w:val="18"/>
                <w:szCs w:val="18"/>
              </w:rPr>
              <w:t>Other Financial Data</w:t>
            </w:r>
          </w:p>
        </w:tc>
        <w:tc>
          <w:tcPr>
            <w:tcW w:w="919" w:type="pct"/>
          </w:tcPr>
          <w:p w:rsidR="00DD4FD5" w:rsidRPr="00DD4FD5" w:rsidRDefault="00DD4FD5" w:rsidP="00DD4FD5">
            <w:pPr>
              <w:pStyle w:val="la24"/>
              <w:spacing w:before="0" w:after="0"/>
              <w:jc w:val="right"/>
              <w:rPr>
                <w:sz w:val="18"/>
                <w:szCs w:val="18"/>
              </w:rPr>
            </w:pPr>
          </w:p>
        </w:tc>
        <w:tc>
          <w:tcPr>
            <w:tcW w:w="802" w:type="pct"/>
            <w:gridSpan w:val="2"/>
          </w:tcPr>
          <w:p w:rsidR="00DD4FD5" w:rsidRPr="00DD4FD5" w:rsidRDefault="00DD4FD5" w:rsidP="00DD4FD5">
            <w:pPr>
              <w:pStyle w:val="la24"/>
              <w:spacing w:before="0" w:after="0"/>
              <w:jc w:val="right"/>
              <w:rPr>
                <w:sz w:val="18"/>
                <w:szCs w:val="18"/>
              </w:rPr>
            </w:pPr>
          </w:p>
        </w:tc>
      </w:tr>
      <w:tr w:rsidR="00DD4FD5" w:rsidRPr="00DD4FD5" w:rsidTr="00DD4FD5">
        <w:tc>
          <w:tcPr>
            <w:tcW w:w="3279"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EBITDA</w:t>
            </w:r>
            <w:r w:rsidRPr="00DD4FD5">
              <w:rPr>
                <w:sz w:val="18"/>
                <w:szCs w:val="18"/>
              </w:rPr>
              <w:tab/>
            </w:r>
          </w:p>
        </w:tc>
        <w:tc>
          <w:tcPr>
            <w:tcW w:w="919"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b/>
                <w:bCs/>
                <w:sz w:val="18"/>
                <w:szCs w:val="18"/>
              </w:rPr>
              <w:t>86.5</w:t>
            </w:r>
          </w:p>
        </w:tc>
        <w:tc>
          <w:tcPr>
            <w:tcW w:w="802" w:type="pct"/>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b/>
                <w:bCs/>
                <w:sz w:val="18"/>
                <w:szCs w:val="18"/>
              </w:rPr>
              <w:t>84.1</w:t>
            </w:r>
          </w:p>
        </w:tc>
      </w:tr>
      <w:tr w:rsidR="00DD4FD5" w:rsidRPr="00DD4FD5" w:rsidTr="00DD4FD5">
        <w:tc>
          <w:tcPr>
            <w:tcW w:w="3279" w:type="pct"/>
          </w:tcPr>
          <w:p w:rsidR="00DD4FD5" w:rsidRPr="00DD4FD5" w:rsidDel="00196AA3" w:rsidRDefault="00DD4FD5" w:rsidP="00DD4FD5">
            <w:pPr>
              <w:pStyle w:val="NormalWeb"/>
              <w:keepNext/>
              <w:tabs>
                <w:tab w:val="right" w:leader="dot" w:pos="5160"/>
              </w:tabs>
              <w:spacing w:before="0" w:after="0"/>
              <w:ind w:left="240" w:hanging="240"/>
              <w:rPr>
                <w:b/>
                <w:sz w:val="18"/>
                <w:szCs w:val="18"/>
              </w:rPr>
            </w:pPr>
            <w:r w:rsidRPr="00DD4FD5">
              <w:rPr>
                <w:b/>
                <w:sz w:val="18"/>
                <w:szCs w:val="18"/>
              </w:rPr>
              <w:t>EBIT</w:t>
            </w:r>
            <w:r w:rsidRPr="00DD4FD5">
              <w:rPr>
                <w:sz w:val="18"/>
                <w:szCs w:val="18"/>
              </w:rPr>
              <w:tab/>
            </w:r>
          </w:p>
        </w:tc>
        <w:tc>
          <w:tcPr>
            <w:tcW w:w="919" w:type="pct"/>
            <w:noWrap/>
          </w:tcPr>
          <w:p w:rsidR="00DD4FD5" w:rsidRPr="00DD4FD5" w:rsidRDefault="00DD4FD5" w:rsidP="00DD4FD5">
            <w:pPr>
              <w:pStyle w:val="NormalWeb"/>
              <w:tabs>
                <w:tab w:val="right" w:pos="720"/>
                <w:tab w:val="decimal" w:pos="760"/>
                <w:tab w:val="left" w:pos="1353"/>
              </w:tabs>
              <w:spacing w:before="0" w:after="0"/>
              <w:ind w:left="361" w:hanging="361"/>
              <w:jc w:val="right"/>
              <w:rPr>
                <w:b/>
                <w:bCs/>
                <w:sz w:val="18"/>
                <w:szCs w:val="18"/>
              </w:rPr>
            </w:pPr>
            <w:r w:rsidRPr="00DD4FD5">
              <w:rPr>
                <w:b/>
                <w:bCs/>
                <w:sz w:val="18"/>
                <w:szCs w:val="18"/>
              </w:rPr>
              <w:t>56.2</w:t>
            </w:r>
          </w:p>
        </w:tc>
        <w:tc>
          <w:tcPr>
            <w:tcW w:w="802" w:type="pct"/>
            <w:gridSpan w:val="2"/>
            <w:noWrap/>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56.2</w:t>
            </w:r>
          </w:p>
        </w:tc>
      </w:tr>
      <w:tr w:rsidR="00DD4FD5" w:rsidRPr="00DD4FD5" w:rsidTr="00DD4FD5">
        <w:tc>
          <w:tcPr>
            <w:tcW w:w="3279"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b/>
                <w:sz w:val="18"/>
                <w:szCs w:val="18"/>
              </w:rPr>
              <w:t>REBITDA</w:t>
            </w:r>
            <w:r w:rsidRPr="00DD4FD5">
              <w:rPr>
                <w:b/>
                <w:sz w:val="18"/>
                <w:szCs w:val="18"/>
                <w:vertAlign w:val="superscript"/>
              </w:rPr>
              <w:t> </w:t>
            </w:r>
            <w:r w:rsidRPr="00DD4FD5">
              <w:rPr>
                <w:rFonts w:ascii="Times New Roman Bold" w:hAnsi="Times New Roman Bold"/>
                <w:sz w:val="18"/>
                <w:szCs w:val="18"/>
              </w:rPr>
              <w:tab/>
            </w:r>
          </w:p>
        </w:tc>
        <w:tc>
          <w:tcPr>
            <w:tcW w:w="919" w:type="pct"/>
            <w:noWrap/>
          </w:tcPr>
          <w:p w:rsidR="00DD4FD5" w:rsidRPr="00DD4FD5" w:rsidRDefault="00DD4FD5" w:rsidP="00DD4FD5">
            <w:pPr>
              <w:pStyle w:val="NormalWeb"/>
              <w:tabs>
                <w:tab w:val="right" w:pos="720"/>
                <w:tab w:val="decimal" w:pos="760"/>
                <w:tab w:val="left" w:pos="1353"/>
              </w:tabs>
              <w:spacing w:before="0" w:after="0"/>
              <w:ind w:left="361" w:hanging="361"/>
              <w:jc w:val="right"/>
              <w:rPr>
                <w:sz w:val="18"/>
                <w:szCs w:val="18"/>
              </w:rPr>
            </w:pPr>
            <w:r w:rsidRPr="00DD4FD5">
              <w:rPr>
                <w:b/>
                <w:bCs/>
                <w:sz w:val="18"/>
                <w:szCs w:val="18"/>
              </w:rPr>
              <w:t>77.4</w:t>
            </w:r>
          </w:p>
        </w:tc>
        <w:tc>
          <w:tcPr>
            <w:tcW w:w="802" w:type="pct"/>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b/>
                <w:bCs/>
                <w:sz w:val="18"/>
                <w:szCs w:val="18"/>
              </w:rPr>
              <w:t>71.6</w:t>
            </w:r>
          </w:p>
        </w:tc>
      </w:tr>
      <w:tr w:rsidR="00DD4FD5" w:rsidRPr="00DD4FD5" w:rsidTr="00DD4FD5">
        <w:tc>
          <w:tcPr>
            <w:tcW w:w="3279"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b/>
                <w:sz w:val="18"/>
                <w:szCs w:val="18"/>
              </w:rPr>
              <w:t>REBIT</w:t>
            </w:r>
            <w:r w:rsidRPr="00DD4FD5">
              <w:rPr>
                <w:sz w:val="18"/>
                <w:szCs w:val="18"/>
              </w:rPr>
              <w:tab/>
            </w:r>
          </w:p>
        </w:tc>
        <w:tc>
          <w:tcPr>
            <w:tcW w:w="919" w:type="pct"/>
            <w:noWrap/>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41.2</w:t>
            </w:r>
          </w:p>
        </w:tc>
        <w:tc>
          <w:tcPr>
            <w:tcW w:w="802" w:type="pct"/>
            <w:gridSpan w:val="2"/>
            <w:noWrap/>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42.3</w:t>
            </w:r>
          </w:p>
        </w:tc>
      </w:tr>
      <w:tr w:rsidR="00DD4FD5" w:rsidRPr="00DD4FD5" w:rsidTr="00DD4FD5">
        <w:tc>
          <w:tcPr>
            <w:tcW w:w="3279"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Capital expenditures</w:t>
            </w:r>
            <w:r w:rsidRPr="00DD4FD5">
              <w:rPr>
                <w:sz w:val="18"/>
                <w:szCs w:val="18"/>
              </w:rPr>
              <w:tab/>
            </w:r>
          </w:p>
        </w:tc>
        <w:tc>
          <w:tcPr>
            <w:tcW w:w="919"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22.1</w:t>
            </w:r>
          </w:p>
        </w:tc>
        <w:tc>
          <w:tcPr>
            <w:tcW w:w="802" w:type="pct"/>
            <w:gridSpan w:val="2"/>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20.6</w:t>
            </w:r>
          </w:p>
        </w:tc>
      </w:tr>
      <w:tr w:rsidR="00DD4FD5" w:rsidRPr="00DD4FD5" w:rsidTr="00DD4FD5">
        <w:tc>
          <w:tcPr>
            <w:tcW w:w="3279" w:type="pct"/>
          </w:tcPr>
          <w:p w:rsidR="00DD4FD5" w:rsidRPr="00DD4FD5" w:rsidRDefault="00DD4FD5" w:rsidP="00DD4FD5">
            <w:pPr>
              <w:pStyle w:val="NormalWeb"/>
              <w:keepNext/>
              <w:tabs>
                <w:tab w:val="right" w:leader="dot" w:pos="5160"/>
              </w:tabs>
              <w:spacing w:before="0" w:after="0"/>
              <w:ind w:left="240" w:hanging="240"/>
              <w:rPr>
                <w:b/>
                <w:sz w:val="18"/>
                <w:szCs w:val="18"/>
              </w:rPr>
            </w:pPr>
          </w:p>
        </w:tc>
        <w:tc>
          <w:tcPr>
            <w:tcW w:w="919" w:type="pct"/>
            <w:noWrap/>
          </w:tcPr>
          <w:p w:rsidR="00DD4FD5" w:rsidRPr="00DD4FD5" w:rsidRDefault="00DD4FD5" w:rsidP="00DD4FD5">
            <w:pPr>
              <w:pStyle w:val="NormalWeb"/>
              <w:tabs>
                <w:tab w:val="right" w:pos="720"/>
                <w:tab w:val="decimal" w:pos="760"/>
              </w:tabs>
              <w:spacing w:before="0" w:after="0"/>
              <w:jc w:val="right"/>
              <w:rPr>
                <w:b/>
                <w:sz w:val="18"/>
                <w:szCs w:val="18"/>
              </w:rPr>
            </w:pPr>
          </w:p>
        </w:tc>
        <w:tc>
          <w:tcPr>
            <w:tcW w:w="802" w:type="pct"/>
            <w:gridSpan w:val="2"/>
            <w:noWrap/>
          </w:tcPr>
          <w:p w:rsidR="00DD4FD5" w:rsidRPr="00DD4FD5" w:rsidRDefault="00DD4FD5" w:rsidP="00DD4FD5">
            <w:pPr>
              <w:pStyle w:val="NormalWeb"/>
              <w:tabs>
                <w:tab w:val="right" w:pos="720"/>
                <w:tab w:val="decimal" w:pos="760"/>
              </w:tabs>
              <w:spacing w:before="0" w:after="0"/>
              <w:jc w:val="right"/>
              <w:rPr>
                <w:b/>
                <w:sz w:val="18"/>
                <w:szCs w:val="18"/>
              </w:rPr>
            </w:pPr>
          </w:p>
        </w:tc>
      </w:tr>
      <w:tr w:rsidR="00DD4FD5" w:rsidRPr="00DD4FD5" w:rsidTr="00DD4FD5">
        <w:tc>
          <w:tcPr>
            <w:tcW w:w="3279" w:type="pct"/>
          </w:tcPr>
          <w:p w:rsidR="00DD4FD5" w:rsidRPr="00DD4FD5" w:rsidRDefault="00DD4FD5" w:rsidP="00DD4FD5">
            <w:pPr>
              <w:pStyle w:val="NormalWeb"/>
              <w:keepNext/>
              <w:tabs>
                <w:tab w:val="right" w:leader="dot" w:pos="5160"/>
              </w:tabs>
              <w:spacing w:before="0" w:after="0"/>
              <w:ind w:left="240" w:hanging="240"/>
              <w:rPr>
                <w:b/>
                <w:sz w:val="18"/>
                <w:szCs w:val="18"/>
              </w:rPr>
            </w:pPr>
          </w:p>
        </w:tc>
        <w:tc>
          <w:tcPr>
            <w:tcW w:w="919" w:type="pct"/>
            <w:noWrap/>
          </w:tcPr>
          <w:p w:rsidR="00DD4FD5" w:rsidRPr="00DD4FD5" w:rsidRDefault="00DD4FD5" w:rsidP="00DD4FD5">
            <w:pPr>
              <w:pStyle w:val="NormalWeb"/>
              <w:tabs>
                <w:tab w:val="right" w:pos="720"/>
                <w:tab w:val="decimal" w:pos="760"/>
              </w:tabs>
              <w:spacing w:before="0" w:after="0"/>
              <w:jc w:val="right"/>
              <w:rPr>
                <w:b/>
                <w:sz w:val="18"/>
                <w:szCs w:val="18"/>
              </w:rPr>
            </w:pPr>
          </w:p>
        </w:tc>
        <w:tc>
          <w:tcPr>
            <w:tcW w:w="802" w:type="pct"/>
            <w:gridSpan w:val="2"/>
            <w:noWrap/>
          </w:tcPr>
          <w:p w:rsidR="00DD4FD5" w:rsidRPr="00DD4FD5" w:rsidRDefault="00DD4FD5" w:rsidP="00DD4FD5">
            <w:pPr>
              <w:pStyle w:val="NormalWeb"/>
              <w:tabs>
                <w:tab w:val="right" w:pos="720"/>
                <w:tab w:val="decimal" w:pos="760"/>
              </w:tabs>
              <w:spacing w:before="0" w:after="0"/>
              <w:jc w:val="right"/>
              <w:rPr>
                <w:b/>
                <w:sz w:val="18"/>
                <w:szCs w:val="18"/>
              </w:rPr>
            </w:pPr>
          </w:p>
        </w:tc>
      </w:tr>
      <w:tr w:rsidR="00DD4FD5" w:rsidRPr="00DD4FD5" w:rsidTr="00DD4FD5">
        <w:tblPrEx>
          <w:jc w:val="center"/>
          <w:tblCellMar>
            <w:left w:w="0" w:type="dxa"/>
            <w:right w:w="0" w:type="dxa"/>
          </w:tblCellMar>
        </w:tblPrEx>
        <w:trPr>
          <w:gridAfter w:val="1"/>
          <w:wAfter w:w="108" w:type="dxa"/>
          <w:trHeight w:val="70"/>
          <w:tblHeader/>
          <w:jc w:val="center"/>
        </w:trPr>
        <w:tc>
          <w:tcPr>
            <w:tcW w:w="3297" w:type="pct"/>
            <w:vMerge w:val="restart"/>
            <w:vAlign w:val="center"/>
          </w:tcPr>
          <w:p w:rsidR="00DD4FD5" w:rsidRPr="00DD4FD5" w:rsidRDefault="00DD4FD5" w:rsidP="00DD4FD5">
            <w:pPr>
              <w:spacing w:before="0" w:after="0"/>
              <w:jc w:val="left"/>
              <w:rPr>
                <w:sz w:val="18"/>
                <w:szCs w:val="18"/>
              </w:rPr>
            </w:pPr>
            <w:r w:rsidRPr="00DD4FD5">
              <w:rPr>
                <w:bCs/>
                <w:i/>
                <w:sz w:val="18"/>
                <w:szCs w:val="18"/>
              </w:rPr>
              <w:t>(</w:t>
            </w:r>
            <w:r w:rsidR="00E53641">
              <w:rPr>
                <w:bCs/>
                <w:i/>
                <w:sz w:val="18"/>
                <w:szCs w:val="18"/>
              </w:rPr>
              <w:t>EUR </w:t>
            </w:r>
            <w:r w:rsidRPr="00DD4FD5">
              <w:rPr>
                <w:bCs/>
                <w:i/>
                <w:sz w:val="18"/>
                <w:szCs w:val="18"/>
              </w:rPr>
              <w:t>in millions)</w:t>
            </w:r>
            <w:r w:rsidRPr="00DD4FD5">
              <w:rPr>
                <w:sz w:val="18"/>
                <w:szCs w:val="18"/>
              </w:rPr>
              <w:t> </w:t>
            </w:r>
          </w:p>
        </w:tc>
        <w:tc>
          <w:tcPr>
            <w:tcW w:w="942" w:type="pct"/>
            <w:tcMar>
              <w:top w:w="0" w:type="dxa"/>
              <w:left w:w="144" w:type="dxa"/>
              <w:bottom w:w="0" w:type="dxa"/>
              <w:right w:w="0" w:type="dxa"/>
            </w:tcMar>
          </w:tcPr>
          <w:p w:rsidR="00DD4FD5" w:rsidRPr="00DD4FD5" w:rsidRDefault="00DD4FD5" w:rsidP="00DD4FD5">
            <w:pPr>
              <w:pBdr>
                <w:bottom w:val="single" w:sz="4" w:space="1" w:color="auto"/>
              </w:pBdr>
              <w:spacing w:before="0" w:after="0"/>
              <w:jc w:val="center"/>
              <w:rPr>
                <w:b/>
                <w:bCs/>
                <w:sz w:val="18"/>
                <w:szCs w:val="18"/>
              </w:rPr>
            </w:pPr>
            <w:r w:rsidRPr="00DD4FD5">
              <w:rPr>
                <w:b/>
                <w:bCs/>
                <w:sz w:val="18"/>
                <w:szCs w:val="18"/>
              </w:rPr>
              <w:t xml:space="preserve">Year ended 31 December </w:t>
            </w:r>
            <w:r w:rsidRPr="00DD4FD5">
              <w:rPr>
                <w:b/>
                <w:bCs/>
                <w:sz w:val="18"/>
                <w:szCs w:val="18"/>
              </w:rPr>
              <w:br/>
              <w:t>2014</w:t>
            </w:r>
          </w:p>
          <w:p w:rsidR="00DD4FD5" w:rsidRPr="00DD4FD5" w:rsidRDefault="00DD4FD5" w:rsidP="00DD4FD5">
            <w:pPr>
              <w:pStyle w:val="rrdsinglerule4"/>
              <w:pBdr>
                <w:top w:val="none" w:sz="0" w:space="0" w:color="auto"/>
                <w:bottom w:val="single" w:sz="4" w:space="1" w:color="auto"/>
              </w:pBdr>
              <w:spacing w:before="0" w:after="0"/>
              <w:rPr>
                <w:b/>
                <w:bCs/>
                <w:sz w:val="18"/>
                <w:szCs w:val="18"/>
                <w:lang w:val="en-GB"/>
              </w:rPr>
            </w:pPr>
          </w:p>
        </w:tc>
        <w:tc>
          <w:tcPr>
            <w:tcW w:w="761" w:type="pct"/>
            <w:tcMar>
              <w:top w:w="0" w:type="dxa"/>
              <w:left w:w="144" w:type="dxa"/>
              <w:bottom w:w="0" w:type="dxa"/>
              <w:right w:w="0" w:type="dxa"/>
            </w:tcMar>
          </w:tcPr>
          <w:p w:rsidR="00DD4FD5" w:rsidRPr="00DD4FD5" w:rsidRDefault="00DD4FD5" w:rsidP="00DD4FD5">
            <w:pPr>
              <w:pBdr>
                <w:bottom w:val="single" w:sz="4" w:space="1" w:color="auto"/>
              </w:pBdr>
              <w:spacing w:before="0" w:after="0"/>
              <w:jc w:val="center"/>
              <w:rPr>
                <w:b/>
                <w:bCs/>
                <w:sz w:val="18"/>
                <w:szCs w:val="18"/>
              </w:rPr>
            </w:pPr>
            <w:r w:rsidRPr="00DD4FD5">
              <w:rPr>
                <w:b/>
                <w:bCs/>
                <w:sz w:val="18"/>
                <w:szCs w:val="18"/>
              </w:rPr>
              <w:t xml:space="preserve">Year ended 31 December </w:t>
            </w:r>
            <w:r w:rsidRPr="00DD4FD5">
              <w:rPr>
                <w:b/>
                <w:bCs/>
                <w:sz w:val="18"/>
                <w:szCs w:val="18"/>
              </w:rPr>
              <w:br/>
              <w:t>2013</w:t>
            </w:r>
          </w:p>
          <w:p w:rsidR="00DD4FD5" w:rsidRPr="00DD4FD5" w:rsidRDefault="00DD4FD5" w:rsidP="00DD4FD5">
            <w:pPr>
              <w:pStyle w:val="rrdsinglerule4"/>
              <w:pBdr>
                <w:top w:val="none" w:sz="0" w:space="0" w:color="auto"/>
                <w:bottom w:val="single" w:sz="4" w:space="1" w:color="auto"/>
              </w:pBdr>
              <w:spacing w:before="0" w:after="0"/>
              <w:rPr>
                <w:b/>
                <w:bCs/>
                <w:sz w:val="18"/>
                <w:szCs w:val="18"/>
                <w:lang w:val="en-GB"/>
              </w:rPr>
            </w:pPr>
          </w:p>
        </w:tc>
      </w:tr>
      <w:tr w:rsidR="00DD4FD5" w:rsidRPr="00DD4FD5" w:rsidTr="00DD4FD5">
        <w:tblPrEx>
          <w:jc w:val="center"/>
          <w:tblCellMar>
            <w:left w:w="0" w:type="dxa"/>
            <w:right w:w="0" w:type="dxa"/>
          </w:tblCellMar>
        </w:tblPrEx>
        <w:trPr>
          <w:gridAfter w:val="1"/>
          <w:wAfter w:w="108" w:type="dxa"/>
          <w:trHeight w:val="45"/>
          <w:tblHeader/>
          <w:jc w:val="center"/>
        </w:trPr>
        <w:tc>
          <w:tcPr>
            <w:tcW w:w="3297" w:type="pct"/>
            <w:vMerge/>
            <w:tcMar>
              <w:top w:w="0" w:type="dxa"/>
              <w:left w:w="144" w:type="dxa"/>
              <w:bottom w:w="0" w:type="dxa"/>
              <w:right w:w="0" w:type="dxa"/>
            </w:tcMar>
            <w:vAlign w:val="bottom"/>
          </w:tcPr>
          <w:p w:rsidR="00DD4FD5" w:rsidRPr="00DD4FD5" w:rsidRDefault="00DD4FD5" w:rsidP="00DD4FD5">
            <w:pPr>
              <w:pStyle w:val="la24"/>
              <w:keepNext/>
              <w:spacing w:before="0" w:after="0"/>
              <w:rPr>
                <w:noProof w:val="0"/>
                <w:sz w:val="18"/>
                <w:szCs w:val="18"/>
                <w:lang w:val="en-GB"/>
              </w:rPr>
            </w:pPr>
          </w:p>
        </w:tc>
        <w:tc>
          <w:tcPr>
            <w:tcW w:w="1703" w:type="pct"/>
            <w:gridSpan w:val="2"/>
            <w:tcMar>
              <w:top w:w="0" w:type="dxa"/>
              <w:left w:w="144" w:type="dxa"/>
              <w:bottom w:w="0" w:type="dxa"/>
              <w:right w:w="0" w:type="dxa"/>
            </w:tcMar>
            <w:vAlign w:val="bottom"/>
          </w:tcPr>
          <w:p w:rsidR="00DD4FD5" w:rsidRPr="00DD4FD5" w:rsidRDefault="00DD4FD5" w:rsidP="00DD4FD5">
            <w:pPr>
              <w:spacing w:before="0" w:after="0"/>
              <w:jc w:val="right"/>
              <w:rPr>
                <w:b/>
                <w:bCs/>
                <w:sz w:val="18"/>
                <w:szCs w:val="18"/>
              </w:rPr>
            </w:pPr>
          </w:p>
        </w:tc>
      </w:tr>
      <w:tr w:rsidR="00DD4FD5" w:rsidRPr="00DD4FD5" w:rsidTr="00DD4FD5">
        <w:tblPrEx>
          <w:jc w:val="center"/>
          <w:tblCellMar>
            <w:left w:w="0" w:type="dxa"/>
            <w:right w:w="0" w:type="dxa"/>
          </w:tblCellMar>
        </w:tblPrEx>
        <w:trPr>
          <w:gridAfter w:val="1"/>
          <w:wAfter w:w="108" w:type="dxa"/>
          <w:jc w:val="center"/>
        </w:trPr>
        <w:tc>
          <w:tcPr>
            <w:tcW w:w="3297" w:type="pct"/>
          </w:tcPr>
          <w:p w:rsidR="00DD4FD5" w:rsidRPr="00DD4FD5" w:rsidRDefault="00DD4FD5" w:rsidP="00DD4FD5">
            <w:pPr>
              <w:pStyle w:val="NormalWeb"/>
              <w:keepNext/>
              <w:spacing w:before="0" w:after="0"/>
              <w:ind w:left="240" w:hanging="240"/>
              <w:rPr>
                <w:b/>
                <w:bCs/>
                <w:sz w:val="18"/>
                <w:szCs w:val="18"/>
              </w:rPr>
            </w:pPr>
            <w:r w:rsidRPr="00DD4FD5">
              <w:rPr>
                <w:b/>
                <w:bCs/>
                <w:sz w:val="18"/>
                <w:szCs w:val="18"/>
              </w:rPr>
              <w:t>Selected Balance Sheet Data</w:t>
            </w:r>
          </w:p>
        </w:tc>
        <w:tc>
          <w:tcPr>
            <w:tcW w:w="942" w:type="pct"/>
            <w:tcMar>
              <w:top w:w="0" w:type="dxa"/>
              <w:left w:w="144" w:type="dxa"/>
              <w:bottom w:w="0" w:type="dxa"/>
              <w:right w:w="0" w:type="dxa"/>
            </w:tcMar>
            <w:vAlign w:val="bottom"/>
          </w:tcPr>
          <w:p w:rsidR="00DD4FD5" w:rsidRPr="00DD4FD5" w:rsidRDefault="00DD4FD5" w:rsidP="00DD4FD5">
            <w:pPr>
              <w:spacing w:before="0" w:after="0"/>
              <w:jc w:val="right"/>
              <w:rPr>
                <w:b/>
                <w:bCs/>
                <w:sz w:val="18"/>
                <w:szCs w:val="18"/>
              </w:rPr>
            </w:pPr>
          </w:p>
        </w:tc>
        <w:tc>
          <w:tcPr>
            <w:tcW w:w="761" w:type="pct"/>
            <w:tcMar>
              <w:top w:w="0" w:type="dxa"/>
              <w:left w:w="144" w:type="dxa"/>
              <w:bottom w:w="0" w:type="dxa"/>
              <w:right w:w="0" w:type="dxa"/>
            </w:tcMar>
            <w:vAlign w:val="bottom"/>
          </w:tcPr>
          <w:p w:rsidR="00DD4FD5" w:rsidRPr="00DD4FD5" w:rsidRDefault="00DD4FD5" w:rsidP="00DD4FD5">
            <w:pPr>
              <w:spacing w:before="0" w:after="0"/>
              <w:jc w:val="right"/>
              <w:rPr>
                <w:b/>
                <w:bCs/>
                <w:sz w:val="18"/>
                <w:szCs w:val="18"/>
              </w:rPr>
            </w:pPr>
          </w:p>
        </w:tc>
      </w:tr>
      <w:tr w:rsidR="00DD4FD5" w:rsidRPr="00DD4FD5" w:rsidTr="00DD4FD5">
        <w:tblPrEx>
          <w:jc w:val="center"/>
          <w:tblCellMar>
            <w:left w:w="0" w:type="dxa"/>
            <w:right w:w="0" w:type="dxa"/>
          </w:tblCellMar>
        </w:tblPrEx>
        <w:trPr>
          <w:gridAfter w:val="1"/>
          <w:wAfter w:w="108" w:type="dxa"/>
          <w:jc w:val="center"/>
        </w:trPr>
        <w:tc>
          <w:tcPr>
            <w:tcW w:w="3297"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Cash and cash equivalents</w:t>
            </w:r>
            <w:r w:rsidRPr="00DD4FD5">
              <w:rPr>
                <w:sz w:val="18"/>
                <w:szCs w:val="18"/>
              </w:rPr>
              <w:tab/>
            </w:r>
          </w:p>
        </w:tc>
        <w:tc>
          <w:tcPr>
            <w:tcW w:w="942" w:type="pct"/>
            <w:tcMar>
              <w:top w:w="0" w:type="dxa"/>
              <w:left w:w="144" w:type="dxa"/>
              <w:bottom w:w="0" w:type="dxa"/>
              <w:right w:w="0" w:type="dxa"/>
            </w:tcMar>
            <w:vAlign w:val="bottom"/>
          </w:tcPr>
          <w:p w:rsidR="00DD4FD5" w:rsidRPr="00DD4FD5" w:rsidRDefault="00DD4FD5" w:rsidP="00DD4FD5">
            <w:pPr>
              <w:spacing w:before="0" w:after="0"/>
              <w:jc w:val="right"/>
              <w:rPr>
                <w:bCs/>
                <w:sz w:val="18"/>
                <w:szCs w:val="18"/>
              </w:rPr>
            </w:pPr>
            <w:r w:rsidRPr="00DD4FD5">
              <w:rPr>
                <w:bCs/>
                <w:sz w:val="18"/>
                <w:szCs w:val="18"/>
              </w:rPr>
              <w:t>117.9</w:t>
            </w:r>
          </w:p>
        </w:tc>
        <w:tc>
          <w:tcPr>
            <w:tcW w:w="761" w:type="pct"/>
            <w:noWrap/>
            <w:tcMar>
              <w:top w:w="0" w:type="dxa"/>
              <w:left w:w="144" w:type="dxa"/>
              <w:bottom w:w="0" w:type="dxa"/>
              <w:right w:w="0" w:type="dxa"/>
            </w:tcMar>
            <w:vAlign w:val="bottom"/>
          </w:tcPr>
          <w:p w:rsidR="00DD4FD5" w:rsidRPr="00DD4FD5" w:rsidRDefault="00DD4FD5" w:rsidP="00DD4FD5">
            <w:pPr>
              <w:spacing w:before="0" w:after="0"/>
              <w:jc w:val="right"/>
              <w:rPr>
                <w:bCs/>
                <w:sz w:val="18"/>
                <w:szCs w:val="18"/>
              </w:rPr>
            </w:pPr>
            <w:r w:rsidRPr="00DD4FD5">
              <w:rPr>
                <w:bCs/>
                <w:sz w:val="18"/>
                <w:szCs w:val="18"/>
              </w:rPr>
              <w:t>82.8</w:t>
            </w:r>
          </w:p>
        </w:tc>
      </w:tr>
      <w:tr w:rsidR="00DD4FD5" w:rsidRPr="00DD4FD5" w:rsidTr="00DD4FD5">
        <w:tblPrEx>
          <w:jc w:val="center"/>
          <w:tblCellMar>
            <w:left w:w="0" w:type="dxa"/>
            <w:right w:w="0" w:type="dxa"/>
          </w:tblCellMar>
        </w:tblPrEx>
        <w:trPr>
          <w:gridAfter w:val="1"/>
          <w:wAfter w:w="108" w:type="dxa"/>
          <w:jc w:val="center"/>
        </w:trPr>
        <w:tc>
          <w:tcPr>
            <w:tcW w:w="3297" w:type="pct"/>
          </w:tcPr>
          <w:p w:rsidR="00DD4FD5" w:rsidRPr="00DD4FD5" w:rsidRDefault="00DD4FD5" w:rsidP="00DD4FD5">
            <w:pPr>
              <w:pStyle w:val="NormalWeb"/>
              <w:tabs>
                <w:tab w:val="right" w:leader="dot" w:pos="5160"/>
              </w:tabs>
              <w:spacing w:before="0" w:after="0"/>
              <w:ind w:left="240" w:hanging="240"/>
              <w:rPr>
                <w:sz w:val="18"/>
                <w:szCs w:val="18"/>
              </w:rPr>
            </w:pPr>
            <w:r w:rsidRPr="00DD4FD5">
              <w:rPr>
                <w:sz w:val="18"/>
                <w:szCs w:val="18"/>
              </w:rPr>
              <w:t>Total current assets</w:t>
            </w:r>
            <w:r w:rsidRPr="00DD4FD5">
              <w:rPr>
                <w:sz w:val="18"/>
                <w:szCs w:val="18"/>
              </w:rPr>
              <w:tab/>
            </w:r>
          </w:p>
        </w:tc>
        <w:tc>
          <w:tcPr>
            <w:tcW w:w="942" w:type="pct"/>
            <w:noWrap/>
            <w:tcMar>
              <w:top w:w="0" w:type="dxa"/>
              <w:left w:w="144" w:type="dxa"/>
              <w:bottom w:w="0" w:type="dxa"/>
              <w:right w:w="0" w:type="dxa"/>
            </w:tcMar>
            <w:vAlign w:val="bottom"/>
          </w:tcPr>
          <w:p w:rsidR="00DD4FD5" w:rsidRPr="00DD4FD5" w:rsidRDefault="00DD4FD5" w:rsidP="00DD4FD5">
            <w:pPr>
              <w:spacing w:before="0" w:after="0"/>
              <w:jc w:val="right"/>
              <w:rPr>
                <w:bCs/>
                <w:sz w:val="18"/>
                <w:szCs w:val="18"/>
              </w:rPr>
            </w:pPr>
            <w:r w:rsidRPr="00DD4FD5">
              <w:rPr>
                <w:bCs/>
                <w:sz w:val="18"/>
                <w:szCs w:val="18"/>
              </w:rPr>
              <w:t>427.7</w:t>
            </w:r>
          </w:p>
        </w:tc>
        <w:tc>
          <w:tcPr>
            <w:tcW w:w="761" w:type="pct"/>
            <w:noWrap/>
            <w:tcMar>
              <w:top w:w="0" w:type="dxa"/>
              <w:left w:w="144" w:type="dxa"/>
              <w:bottom w:w="0" w:type="dxa"/>
              <w:right w:w="0" w:type="dxa"/>
            </w:tcMar>
            <w:vAlign w:val="bottom"/>
          </w:tcPr>
          <w:p w:rsidR="00DD4FD5" w:rsidRPr="00DD4FD5" w:rsidRDefault="00DD4FD5" w:rsidP="00DD4FD5">
            <w:pPr>
              <w:spacing w:before="0" w:after="0"/>
              <w:jc w:val="right"/>
              <w:rPr>
                <w:bCs/>
                <w:sz w:val="18"/>
                <w:szCs w:val="18"/>
              </w:rPr>
            </w:pPr>
            <w:r w:rsidRPr="00DD4FD5">
              <w:rPr>
                <w:bCs/>
                <w:sz w:val="18"/>
                <w:szCs w:val="18"/>
              </w:rPr>
              <w:t>373.8</w:t>
            </w:r>
          </w:p>
        </w:tc>
      </w:tr>
      <w:tr w:rsidR="00DD4FD5" w:rsidRPr="00DD4FD5" w:rsidTr="00DD4FD5">
        <w:tblPrEx>
          <w:jc w:val="center"/>
          <w:tblCellMar>
            <w:left w:w="0" w:type="dxa"/>
            <w:right w:w="0" w:type="dxa"/>
          </w:tblCellMar>
        </w:tblPrEx>
        <w:trPr>
          <w:gridAfter w:val="1"/>
          <w:wAfter w:w="108" w:type="dxa"/>
          <w:jc w:val="center"/>
        </w:trPr>
        <w:tc>
          <w:tcPr>
            <w:tcW w:w="3297" w:type="pct"/>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Total assets</w:t>
            </w:r>
            <w:r w:rsidRPr="00DD4FD5">
              <w:rPr>
                <w:b/>
                <w:sz w:val="18"/>
                <w:szCs w:val="18"/>
              </w:rPr>
              <w:tab/>
            </w:r>
          </w:p>
        </w:tc>
        <w:tc>
          <w:tcPr>
            <w:tcW w:w="942" w:type="pct"/>
            <w:noWrap/>
            <w:tcMar>
              <w:top w:w="0" w:type="dxa"/>
              <w:left w:w="144" w:type="dxa"/>
              <w:bottom w:w="0" w:type="dxa"/>
              <w:right w:w="0" w:type="dxa"/>
            </w:tcMar>
            <w:vAlign w:val="bottom"/>
          </w:tcPr>
          <w:p w:rsidR="00DD4FD5" w:rsidRPr="00DD4FD5" w:rsidRDefault="00DD4FD5" w:rsidP="00DD4FD5">
            <w:pPr>
              <w:spacing w:before="0" w:after="0"/>
              <w:jc w:val="right"/>
              <w:rPr>
                <w:b/>
                <w:bCs/>
                <w:sz w:val="18"/>
                <w:szCs w:val="18"/>
              </w:rPr>
            </w:pPr>
            <w:r w:rsidRPr="00DD4FD5">
              <w:rPr>
                <w:b/>
                <w:bCs/>
                <w:sz w:val="18"/>
                <w:szCs w:val="18"/>
              </w:rPr>
              <w:t>963.1</w:t>
            </w:r>
          </w:p>
        </w:tc>
        <w:tc>
          <w:tcPr>
            <w:tcW w:w="761" w:type="pct"/>
            <w:noWrap/>
            <w:tcMar>
              <w:top w:w="0" w:type="dxa"/>
              <w:left w:w="144" w:type="dxa"/>
              <w:bottom w:w="0" w:type="dxa"/>
              <w:right w:w="0" w:type="dxa"/>
            </w:tcMar>
            <w:vAlign w:val="bottom"/>
          </w:tcPr>
          <w:p w:rsidR="00DD4FD5" w:rsidRPr="00DD4FD5" w:rsidRDefault="00DD4FD5" w:rsidP="00DD4FD5">
            <w:pPr>
              <w:spacing w:before="0" w:after="0"/>
              <w:jc w:val="right"/>
              <w:rPr>
                <w:b/>
                <w:bCs/>
                <w:sz w:val="18"/>
                <w:szCs w:val="18"/>
              </w:rPr>
            </w:pPr>
            <w:r w:rsidRPr="00DD4FD5">
              <w:rPr>
                <w:b/>
                <w:bCs/>
                <w:sz w:val="18"/>
                <w:szCs w:val="18"/>
              </w:rPr>
              <w:t>920.9</w:t>
            </w:r>
          </w:p>
        </w:tc>
      </w:tr>
      <w:tr w:rsidR="00DD4FD5" w:rsidRPr="00DD4FD5" w:rsidTr="00DD4FD5">
        <w:tblPrEx>
          <w:jc w:val="center"/>
          <w:tblCellMar>
            <w:left w:w="0" w:type="dxa"/>
            <w:right w:w="0" w:type="dxa"/>
          </w:tblCellMar>
        </w:tblPrEx>
        <w:trPr>
          <w:gridAfter w:val="1"/>
          <w:wAfter w:w="108" w:type="dxa"/>
          <w:jc w:val="center"/>
        </w:trPr>
        <w:tc>
          <w:tcPr>
            <w:tcW w:w="3297"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Total equity</w:t>
            </w:r>
            <w:r w:rsidRPr="00DD4FD5">
              <w:rPr>
                <w:sz w:val="18"/>
                <w:szCs w:val="18"/>
              </w:rPr>
              <w:tab/>
            </w:r>
          </w:p>
        </w:tc>
        <w:tc>
          <w:tcPr>
            <w:tcW w:w="942" w:type="pct"/>
            <w:noWrap/>
            <w:tcMar>
              <w:top w:w="0" w:type="dxa"/>
              <w:left w:w="144" w:type="dxa"/>
              <w:bottom w:w="0" w:type="dxa"/>
              <w:right w:w="0" w:type="dxa"/>
            </w:tcMar>
            <w:vAlign w:val="bottom"/>
          </w:tcPr>
          <w:p w:rsidR="00DD4FD5" w:rsidRPr="00DD4FD5" w:rsidRDefault="00DD4FD5" w:rsidP="00DD4FD5">
            <w:pPr>
              <w:spacing w:before="0" w:after="0"/>
              <w:jc w:val="right"/>
              <w:rPr>
                <w:bCs/>
                <w:sz w:val="18"/>
                <w:szCs w:val="18"/>
              </w:rPr>
            </w:pPr>
            <w:r w:rsidRPr="00DD4FD5">
              <w:rPr>
                <w:bCs/>
                <w:sz w:val="18"/>
                <w:szCs w:val="18"/>
              </w:rPr>
              <w:t>46.8</w:t>
            </w:r>
          </w:p>
        </w:tc>
        <w:tc>
          <w:tcPr>
            <w:tcW w:w="761" w:type="pct"/>
            <w:noWrap/>
            <w:tcMar>
              <w:top w:w="0" w:type="dxa"/>
              <w:left w:w="144" w:type="dxa"/>
              <w:bottom w:w="0" w:type="dxa"/>
              <w:right w:w="0" w:type="dxa"/>
            </w:tcMar>
            <w:vAlign w:val="bottom"/>
          </w:tcPr>
          <w:p w:rsidR="00DD4FD5" w:rsidRPr="00DD4FD5" w:rsidRDefault="00DD4FD5" w:rsidP="00DD4FD5">
            <w:pPr>
              <w:spacing w:before="0" w:after="0"/>
              <w:jc w:val="right"/>
              <w:rPr>
                <w:bCs/>
                <w:sz w:val="18"/>
                <w:szCs w:val="18"/>
              </w:rPr>
            </w:pPr>
            <w:r w:rsidRPr="00DD4FD5">
              <w:rPr>
                <w:bCs/>
                <w:sz w:val="18"/>
                <w:szCs w:val="18"/>
              </w:rPr>
              <w:t>29.7</w:t>
            </w:r>
          </w:p>
        </w:tc>
      </w:tr>
      <w:tr w:rsidR="00DD4FD5" w:rsidRPr="00DD4FD5" w:rsidTr="00DD4FD5">
        <w:tblPrEx>
          <w:jc w:val="center"/>
          <w:tblCellMar>
            <w:left w:w="0" w:type="dxa"/>
            <w:right w:w="0" w:type="dxa"/>
          </w:tblCellMar>
        </w:tblPrEx>
        <w:trPr>
          <w:gridAfter w:val="1"/>
          <w:wAfter w:w="108" w:type="dxa"/>
          <w:jc w:val="center"/>
        </w:trPr>
        <w:tc>
          <w:tcPr>
            <w:tcW w:w="3297"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Total current liabilities</w:t>
            </w:r>
            <w:r w:rsidRPr="00DD4FD5">
              <w:rPr>
                <w:sz w:val="18"/>
                <w:szCs w:val="18"/>
              </w:rPr>
              <w:tab/>
            </w:r>
          </w:p>
        </w:tc>
        <w:tc>
          <w:tcPr>
            <w:tcW w:w="942" w:type="pct"/>
            <w:noWrap/>
            <w:tcMar>
              <w:top w:w="0" w:type="dxa"/>
              <w:left w:w="144" w:type="dxa"/>
              <w:bottom w:w="0" w:type="dxa"/>
              <w:right w:w="0" w:type="dxa"/>
            </w:tcMar>
            <w:vAlign w:val="bottom"/>
          </w:tcPr>
          <w:p w:rsidR="00DD4FD5" w:rsidRPr="00DD4FD5" w:rsidRDefault="00DD4FD5" w:rsidP="00DD4FD5">
            <w:pPr>
              <w:spacing w:before="0" w:after="0"/>
              <w:jc w:val="right"/>
              <w:rPr>
                <w:bCs/>
                <w:sz w:val="18"/>
                <w:szCs w:val="18"/>
              </w:rPr>
            </w:pPr>
            <w:r w:rsidRPr="00DD4FD5">
              <w:rPr>
                <w:bCs/>
                <w:sz w:val="18"/>
                <w:szCs w:val="18"/>
              </w:rPr>
              <w:t>581.6</w:t>
            </w:r>
          </w:p>
        </w:tc>
        <w:tc>
          <w:tcPr>
            <w:tcW w:w="761" w:type="pct"/>
            <w:noWrap/>
            <w:tcMar>
              <w:top w:w="0" w:type="dxa"/>
              <w:left w:w="144" w:type="dxa"/>
              <w:bottom w:w="0" w:type="dxa"/>
              <w:right w:w="0" w:type="dxa"/>
            </w:tcMar>
            <w:vAlign w:val="bottom"/>
          </w:tcPr>
          <w:p w:rsidR="00DD4FD5" w:rsidRPr="00DD4FD5" w:rsidRDefault="00DD4FD5" w:rsidP="00DD4FD5">
            <w:pPr>
              <w:spacing w:before="0" w:after="0"/>
              <w:jc w:val="right"/>
              <w:rPr>
                <w:bCs/>
                <w:sz w:val="18"/>
                <w:szCs w:val="18"/>
              </w:rPr>
            </w:pPr>
            <w:r w:rsidRPr="00DD4FD5">
              <w:rPr>
                <w:bCs/>
                <w:sz w:val="18"/>
                <w:szCs w:val="18"/>
              </w:rPr>
              <w:t>532.8</w:t>
            </w:r>
          </w:p>
        </w:tc>
      </w:tr>
      <w:tr w:rsidR="00DD4FD5" w:rsidRPr="004720C2" w:rsidTr="00DD4FD5">
        <w:tblPrEx>
          <w:jc w:val="center"/>
          <w:tblCellMar>
            <w:left w:w="0" w:type="dxa"/>
            <w:right w:w="0" w:type="dxa"/>
          </w:tblCellMar>
        </w:tblPrEx>
        <w:trPr>
          <w:gridAfter w:val="1"/>
          <w:wAfter w:w="108" w:type="dxa"/>
          <w:jc w:val="center"/>
        </w:trPr>
        <w:tc>
          <w:tcPr>
            <w:tcW w:w="3297" w:type="pct"/>
          </w:tcPr>
          <w:p w:rsidR="00DD4FD5" w:rsidRPr="00DD4FD5" w:rsidRDefault="00DD4FD5" w:rsidP="00DD4FD5">
            <w:pPr>
              <w:pStyle w:val="NormalWeb"/>
              <w:tabs>
                <w:tab w:val="right" w:leader="dot" w:pos="5160"/>
              </w:tabs>
              <w:spacing w:before="0" w:after="0"/>
              <w:ind w:left="240" w:hanging="240"/>
              <w:rPr>
                <w:b/>
                <w:sz w:val="18"/>
                <w:szCs w:val="18"/>
              </w:rPr>
            </w:pPr>
            <w:r w:rsidRPr="00DD4FD5">
              <w:rPr>
                <w:b/>
                <w:sz w:val="18"/>
                <w:szCs w:val="18"/>
              </w:rPr>
              <w:t>Total equity and liabilities</w:t>
            </w:r>
            <w:r w:rsidRPr="00DD4FD5">
              <w:rPr>
                <w:b/>
                <w:sz w:val="18"/>
                <w:szCs w:val="18"/>
              </w:rPr>
              <w:tab/>
            </w:r>
          </w:p>
        </w:tc>
        <w:tc>
          <w:tcPr>
            <w:tcW w:w="942" w:type="pct"/>
            <w:noWrap/>
            <w:tcMar>
              <w:top w:w="0" w:type="dxa"/>
              <w:left w:w="144" w:type="dxa"/>
              <w:bottom w:w="0" w:type="dxa"/>
              <w:right w:w="0" w:type="dxa"/>
            </w:tcMar>
            <w:vAlign w:val="bottom"/>
          </w:tcPr>
          <w:p w:rsidR="00DD4FD5" w:rsidRPr="00DD4FD5" w:rsidRDefault="00DD4FD5" w:rsidP="00DD4FD5">
            <w:pPr>
              <w:spacing w:before="0" w:after="0"/>
              <w:jc w:val="right"/>
              <w:rPr>
                <w:b/>
                <w:bCs/>
                <w:sz w:val="18"/>
                <w:szCs w:val="18"/>
              </w:rPr>
            </w:pPr>
            <w:r w:rsidRPr="00DD4FD5">
              <w:rPr>
                <w:b/>
                <w:bCs/>
                <w:sz w:val="18"/>
                <w:szCs w:val="18"/>
              </w:rPr>
              <w:t>963.1</w:t>
            </w:r>
          </w:p>
        </w:tc>
        <w:tc>
          <w:tcPr>
            <w:tcW w:w="761" w:type="pct"/>
            <w:noWrap/>
            <w:tcMar>
              <w:top w:w="0" w:type="dxa"/>
              <w:left w:w="144" w:type="dxa"/>
              <w:bottom w:w="0" w:type="dxa"/>
              <w:right w:w="0" w:type="dxa"/>
            </w:tcMar>
            <w:vAlign w:val="bottom"/>
          </w:tcPr>
          <w:p w:rsidR="00DD4FD5" w:rsidRPr="004720C2" w:rsidRDefault="00DD4FD5" w:rsidP="00DD4FD5">
            <w:pPr>
              <w:spacing w:before="0" w:after="0"/>
              <w:jc w:val="right"/>
              <w:rPr>
                <w:b/>
                <w:bCs/>
                <w:sz w:val="18"/>
                <w:szCs w:val="18"/>
              </w:rPr>
            </w:pPr>
            <w:r w:rsidRPr="00DD4FD5">
              <w:rPr>
                <w:b/>
                <w:bCs/>
                <w:sz w:val="18"/>
                <w:szCs w:val="18"/>
              </w:rPr>
              <w:t>920.9</w:t>
            </w:r>
          </w:p>
        </w:tc>
      </w:tr>
    </w:tbl>
    <w:p w:rsidR="003F0BC5" w:rsidRPr="00992199" w:rsidRDefault="003F0BC5" w:rsidP="003F0BC5">
      <w:pPr>
        <w:rPr>
          <w:szCs w:val="20"/>
        </w:rPr>
      </w:pPr>
      <w:r w:rsidRPr="00992199">
        <w:rPr>
          <w:szCs w:val="20"/>
        </w:rPr>
        <w:t xml:space="preserve">The following is a reconciliation of EBITDA and </w:t>
      </w:r>
      <w:r w:rsidR="006A282E">
        <w:rPr>
          <w:szCs w:val="20"/>
        </w:rPr>
        <w:t>R</w:t>
      </w:r>
      <w:r w:rsidRPr="00992199">
        <w:rPr>
          <w:szCs w:val="20"/>
        </w:rPr>
        <w:t>EBITDA for each of the periods presented above:</w:t>
      </w:r>
    </w:p>
    <w:tbl>
      <w:tblPr>
        <w:tblW w:w="5001" w:type="pct"/>
        <w:jc w:val="center"/>
        <w:tblCellMar>
          <w:left w:w="0" w:type="dxa"/>
          <w:right w:w="0" w:type="dxa"/>
        </w:tblCellMar>
        <w:tblLook w:val="0000" w:firstRow="0" w:lastRow="0" w:firstColumn="0" w:lastColumn="0" w:noHBand="0" w:noVBand="0"/>
      </w:tblPr>
      <w:tblGrid>
        <w:gridCol w:w="6041"/>
        <w:gridCol w:w="1617"/>
        <w:gridCol w:w="1373"/>
      </w:tblGrid>
      <w:tr w:rsidR="00DD4FD5" w:rsidRPr="00DD4FD5" w:rsidTr="00DD4FD5">
        <w:trPr>
          <w:tblHeader/>
          <w:jc w:val="center"/>
        </w:trPr>
        <w:tc>
          <w:tcPr>
            <w:tcW w:w="3345" w:type="pct"/>
            <w:vAlign w:val="center"/>
          </w:tcPr>
          <w:p w:rsidR="00DD4FD5" w:rsidRPr="00DD4FD5" w:rsidRDefault="00DD4FD5" w:rsidP="00DD4FD5">
            <w:pPr>
              <w:spacing w:before="0" w:after="0"/>
              <w:jc w:val="left"/>
              <w:rPr>
                <w:sz w:val="18"/>
                <w:szCs w:val="18"/>
              </w:rPr>
            </w:pPr>
            <w:r w:rsidRPr="00DD4FD5">
              <w:rPr>
                <w:bCs/>
                <w:i/>
                <w:sz w:val="18"/>
                <w:szCs w:val="18"/>
              </w:rPr>
              <w:t>(</w:t>
            </w:r>
            <w:r w:rsidR="00E53641">
              <w:rPr>
                <w:bCs/>
                <w:i/>
                <w:sz w:val="18"/>
                <w:szCs w:val="18"/>
              </w:rPr>
              <w:t>EUR </w:t>
            </w:r>
            <w:r w:rsidRPr="00DD4FD5">
              <w:rPr>
                <w:bCs/>
                <w:i/>
                <w:sz w:val="18"/>
                <w:szCs w:val="18"/>
              </w:rPr>
              <w:t>in millions)</w:t>
            </w:r>
            <w:r w:rsidRPr="00DD4FD5">
              <w:rPr>
                <w:sz w:val="18"/>
                <w:szCs w:val="18"/>
              </w:rPr>
              <w:t> </w:t>
            </w:r>
          </w:p>
        </w:tc>
        <w:tc>
          <w:tcPr>
            <w:tcW w:w="894" w:type="pct"/>
            <w:tcMar>
              <w:top w:w="0" w:type="dxa"/>
              <w:left w:w="144" w:type="dxa"/>
              <w:bottom w:w="0" w:type="dxa"/>
              <w:right w:w="0" w:type="dxa"/>
            </w:tcMar>
          </w:tcPr>
          <w:p w:rsidR="00DD4FD5" w:rsidRPr="00DD4FD5" w:rsidRDefault="00DD4FD5" w:rsidP="00DD4FD5">
            <w:pPr>
              <w:pBdr>
                <w:bottom w:val="single" w:sz="4" w:space="1" w:color="auto"/>
              </w:pBdr>
              <w:tabs>
                <w:tab w:val="right" w:leader="dot" w:pos="7240"/>
              </w:tabs>
              <w:ind w:left="95" w:firstLine="5"/>
              <w:jc w:val="center"/>
              <w:rPr>
                <w:b/>
                <w:sz w:val="18"/>
                <w:szCs w:val="18"/>
              </w:rPr>
            </w:pPr>
            <w:r w:rsidRPr="00DD4FD5">
              <w:rPr>
                <w:b/>
                <w:sz w:val="18"/>
                <w:szCs w:val="18"/>
              </w:rPr>
              <w:t xml:space="preserve">Year ended 31 December </w:t>
            </w:r>
            <w:r w:rsidRPr="00DD4FD5">
              <w:rPr>
                <w:b/>
                <w:sz w:val="18"/>
                <w:szCs w:val="18"/>
              </w:rPr>
              <w:br/>
              <w:t>2014</w:t>
            </w:r>
          </w:p>
        </w:tc>
        <w:tc>
          <w:tcPr>
            <w:tcW w:w="761" w:type="pct"/>
            <w:tcMar>
              <w:top w:w="0" w:type="dxa"/>
              <w:left w:w="144" w:type="dxa"/>
              <w:bottom w:w="0" w:type="dxa"/>
              <w:right w:w="0" w:type="dxa"/>
            </w:tcMar>
          </w:tcPr>
          <w:p w:rsidR="00DD4FD5" w:rsidRPr="00DD4FD5" w:rsidRDefault="00DD4FD5" w:rsidP="00DD4FD5">
            <w:pPr>
              <w:pBdr>
                <w:bottom w:val="single" w:sz="4" w:space="1" w:color="auto"/>
              </w:pBdr>
              <w:tabs>
                <w:tab w:val="right" w:leader="dot" w:pos="7240"/>
              </w:tabs>
              <w:ind w:left="-1"/>
              <w:jc w:val="center"/>
              <w:rPr>
                <w:b/>
                <w:sz w:val="18"/>
                <w:szCs w:val="18"/>
              </w:rPr>
            </w:pPr>
            <w:r w:rsidRPr="00DD4FD5">
              <w:rPr>
                <w:b/>
                <w:sz w:val="18"/>
                <w:szCs w:val="18"/>
              </w:rPr>
              <w:t xml:space="preserve">Year ended 31 December </w:t>
            </w:r>
            <w:r w:rsidRPr="00DD4FD5">
              <w:rPr>
                <w:b/>
                <w:sz w:val="18"/>
                <w:szCs w:val="18"/>
              </w:rPr>
              <w:br/>
              <w:t>2013</w:t>
            </w:r>
          </w:p>
        </w:tc>
      </w:tr>
      <w:tr w:rsidR="00DD4FD5" w:rsidRPr="00DD4FD5" w:rsidTr="00DD4FD5">
        <w:tblPrEx>
          <w:jc w:val="right"/>
        </w:tblPrEx>
        <w:trPr>
          <w:jc w:val="right"/>
        </w:trPr>
        <w:tc>
          <w:tcPr>
            <w:tcW w:w="3345" w:type="pct"/>
          </w:tcPr>
          <w:p w:rsidR="00DD4FD5" w:rsidRPr="00DD4FD5" w:rsidRDefault="00DD4FD5" w:rsidP="00DD4FD5">
            <w:pPr>
              <w:keepNext/>
              <w:tabs>
                <w:tab w:val="right" w:leader="dot" w:pos="5160"/>
              </w:tabs>
              <w:spacing w:before="0" w:after="0"/>
              <w:ind w:left="240" w:hanging="240"/>
              <w:rPr>
                <w:b/>
                <w:sz w:val="18"/>
                <w:szCs w:val="18"/>
              </w:rPr>
            </w:pPr>
            <w:r w:rsidRPr="00DD4FD5">
              <w:rPr>
                <w:b/>
                <w:sz w:val="18"/>
                <w:szCs w:val="18"/>
              </w:rPr>
              <w:t xml:space="preserve">Operating result </w:t>
            </w:r>
            <w:r w:rsidRPr="00DD4FD5">
              <w:rPr>
                <w:sz w:val="18"/>
                <w:szCs w:val="18"/>
              </w:rPr>
              <w:tab/>
            </w:r>
          </w:p>
        </w:tc>
        <w:tc>
          <w:tcPr>
            <w:tcW w:w="895" w:type="pct"/>
            <w:noWrap/>
            <w:tcMar>
              <w:top w:w="0" w:type="dxa"/>
              <w:left w:w="144" w:type="dxa"/>
              <w:bottom w:w="0" w:type="dxa"/>
              <w:right w:w="0" w:type="dxa"/>
            </w:tcMar>
            <w:vAlign w:val="bottom"/>
          </w:tcPr>
          <w:p w:rsidR="00DD4FD5" w:rsidRPr="00DD4FD5" w:rsidRDefault="00DD4FD5" w:rsidP="00DD4FD5">
            <w:pPr>
              <w:spacing w:before="0" w:after="0"/>
              <w:ind w:right="140"/>
              <w:jc w:val="right"/>
              <w:rPr>
                <w:sz w:val="18"/>
                <w:szCs w:val="18"/>
              </w:rPr>
            </w:pPr>
            <w:r w:rsidRPr="00DD4FD5">
              <w:rPr>
                <w:b/>
                <w:bCs/>
                <w:sz w:val="18"/>
                <w:szCs w:val="18"/>
              </w:rPr>
              <w:t>53.3</w:t>
            </w:r>
          </w:p>
        </w:tc>
        <w:tc>
          <w:tcPr>
            <w:tcW w:w="761" w:type="pct"/>
            <w:noWrap/>
            <w:tcMar>
              <w:top w:w="0" w:type="dxa"/>
              <w:left w:w="144" w:type="dxa"/>
              <w:bottom w:w="0" w:type="dxa"/>
              <w:right w:w="0" w:type="dxa"/>
            </w:tcMar>
            <w:vAlign w:val="bottom"/>
          </w:tcPr>
          <w:p w:rsidR="00DD4FD5" w:rsidRPr="00DD4FD5" w:rsidRDefault="00DD4FD5" w:rsidP="00DD4FD5">
            <w:pPr>
              <w:spacing w:before="0" w:after="0"/>
              <w:ind w:right="142"/>
              <w:jc w:val="right"/>
              <w:rPr>
                <w:sz w:val="18"/>
                <w:szCs w:val="18"/>
              </w:rPr>
            </w:pPr>
            <w:r w:rsidRPr="00DD4FD5">
              <w:rPr>
                <w:b/>
                <w:bCs/>
                <w:sz w:val="18"/>
                <w:szCs w:val="18"/>
              </w:rPr>
              <w:t>55.5</w:t>
            </w:r>
          </w:p>
        </w:tc>
      </w:tr>
      <w:tr w:rsidR="00DD4FD5" w:rsidRPr="00DD4FD5" w:rsidTr="00DD4FD5">
        <w:tblPrEx>
          <w:jc w:val="right"/>
        </w:tblPrEx>
        <w:trPr>
          <w:jc w:val="right"/>
        </w:trPr>
        <w:tc>
          <w:tcPr>
            <w:tcW w:w="3345" w:type="pct"/>
          </w:tcPr>
          <w:p w:rsidR="00DD4FD5" w:rsidRPr="00DD4FD5" w:rsidRDefault="00DD4FD5" w:rsidP="00DD4FD5">
            <w:pPr>
              <w:keepNext/>
              <w:tabs>
                <w:tab w:val="right" w:leader="dot" w:pos="5160"/>
              </w:tabs>
              <w:spacing w:before="0" w:after="0"/>
              <w:ind w:left="240" w:hanging="240"/>
              <w:rPr>
                <w:sz w:val="18"/>
                <w:szCs w:val="18"/>
              </w:rPr>
            </w:pPr>
            <w:r w:rsidRPr="00DD4FD5">
              <w:rPr>
                <w:sz w:val="18"/>
                <w:szCs w:val="18"/>
              </w:rPr>
              <w:t>Depreciation and amortisation, share of profit of equity accounted investments and non-controlling interest</w:t>
            </w:r>
            <w:r w:rsidRPr="00DD4FD5">
              <w:rPr>
                <w:sz w:val="18"/>
                <w:szCs w:val="18"/>
              </w:rPr>
              <w:tab/>
            </w:r>
          </w:p>
        </w:tc>
        <w:tc>
          <w:tcPr>
            <w:tcW w:w="895" w:type="pct"/>
            <w:noWrap/>
            <w:tcMar>
              <w:top w:w="0" w:type="dxa"/>
              <w:left w:w="144" w:type="dxa"/>
              <w:bottom w:w="0" w:type="dxa"/>
              <w:right w:w="0" w:type="dxa"/>
            </w:tcMar>
            <w:vAlign w:val="bottom"/>
          </w:tcPr>
          <w:p w:rsidR="00DD4FD5" w:rsidRPr="00DD4FD5" w:rsidRDefault="00DD4FD5" w:rsidP="00DD4FD5">
            <w:pPr>
              <w:pBdr>
                <w:bottom w:val="single" w:sz="4" w:space="1" w:color="auto"/>
              </w:pBdr>
              <w:spacing w:before="0" w:after="0"/>
              <w:ind w:right="140"/>
              <w:jc w:val="right"/>
              <w:rPr>
                <w:sz w:val="18"/>
                <w:szCs w:val="18"/>
              </w:rPr>
            </w:pPr>
            <w:r w:rsidRPr="00DD4FD5">
              <w:rPr>
                <w:sz w:val="18"/>
                <w:szCs w:val="18"/>
              </w:rPr>
              <w:t>33.1</w:t>
            </w:r>
          </w:p>
        </w:tc>
        <w:tc>
          <w:tcPr>
            <w:tcW w:w="761" w:type="pct"/>
            <w:noWrap/>
            <w:tcMar>
              <w:top w:w="0" w:type="dxa"/>
              <w:left w:w="144" w:type="dxa"/>
              <w:bottom w:w="0" w:type="dxa"/>
              <w:right w:w="0" w:type="dxa"/>
            </w:tcMar>
            <w:vAlign w:val="bottom"/>
          </w:tcPr>
          <w:p w:rsidR="00DD4FD5" w:rsidRPr="00DD4FD5" w:rsidRDefault="00DD4FD5" w:rsidP="00DD4FD5">
            <w:pPr>
              <w:pBdr>
                <w:bottom w:val="single" w:sz="4" w:space="1" w:color="auto"/>
              </w:pBdr>
              <w:spacing w:before="0" w:after="0"/>
              <w:ind w:right="142"/>
              <w:jc w:val="right"/>
              <w:rPr>
                <w:sz w:val="18"/>
                <w:szCs w:val="18"/>
              </w:rPr>
            </w:pPr>
            <w:r w:rsidRPr="00DD4FD5">
              <w:rPr>
                <w:sz w:val="18"/>
                <w:szCs w:val="18"/>
              </w:rPr>
              <w:t>28.6</w:t>
            </w:r>
          </w:p>
        </w:tc>
      </w:tr>
      <w:tr w:rsidR="00DD4FD5" w:rsidRPr="00DD4FD5" w:rsidTr="00DD4FD5">
        <w:tblPrEx>
          <w:jc w:val="right"/>
        </w:tblPrEx>
        <w:trPr>
          <w:jc w:val="right"/>
        </w:trPr>
        <w:tc>
          <w:tcPr>
            <w:tcW w:w="3345" w:type="pct"/>
          </w:tcPr>
          <w:p w:rsidR="00DD4FD5" w:rsidRPr="00DD4FD5" w:rsidRDefault="00DD4FD5" w:rsidP="00DD4FD5">
            <w:pPr>
              <w:keepNext/>
              <w:tabs>
                <w:tab w:val="right" w:leader="dot" w:pos="5160"/>
              </w:tabs>
              <w:spacing w:before="0" w:after="0"/>
              <w:ind w:left="240" w:hanging="240"/>
              <w:rPr>
                <w:b/>
                <w:sz w:val="18"/>
                <w:szCs w:val="18"/>
              </w:rPr>
            </w:pPr>
            <w:r w:rsidRPr="00DD4FD5">
              <w:rPr>
                <w:b/>
                <w:sz w:val="18"/>
                <w:szCs w:val="18"/>
              </w:rPr>
              <w:t>EBITDA</w:t>
            </w:r>
            <w:r w:rsidRPr="00DD4FD5">
              <w:rPr>
                <w:sz w:val="18"/>
                <w:szCs w:val="18"/>
              </w:rPr>
              <w:tab/>
            </w:r>
          </w:p>
        </w:tc>
        <w:tc>
          <w:tcPr>
            <w:tcW w:w="895" w:type="pct"/>
            <w:noWrap/>
            <w:tcMar>
              <w:top w:w="0" w:type="dxa"/>
              <w:left w:w="144" w:type="dxa"/>
              <w:bottom w:w="0" w:type="dxa"/>
              <w:right w:w="0" w:type="dxa"/>
            </w:tcMar>
            <w:vAlign w:val="bottom"/>
          </w:tcPr>
          <w:p w:rsidR="00DD4FD5" w:rsidRPr="00DD4FD5" w:rsidRDefault="00DD4FD5" w:rsidP="00DD4FD5">
            <w:pPr>
              <w:spacing w:before="0" w:after="0"/>
              <w:ind w:right="140"/>
              <w:jc w:val="right"/>
              <w:rPr>
                <w:sz w:val="18"/>
                <w:szCs w:val="18"/>
              </w:rPr>
            </w:pPr>
            <w:r w:rsidRPr="00DD4FD5">
              <w:rPr>
                <w:b/>
                <w:bCs/>
                <w:sz w:val="18"/>
                <w:szCs w:val="18"/>
              </w:rPr>
              <w:t>86.4</w:t>
            </w:r>
          </w:p>
        </w:tc>
        <w:tc>
          <w:tcPr>
            <w:tcW w:w="761" w:type="pct"/>
            <w:noWrap/>
            <w:tcMar>
              <w:top w:w="0" w:type="dxa"/>
              <w:left w:w="144" w:type="dxa"/>
              <w:bottom w:w="0" w:type="dxa"/>
              <w:right w:w="0" w:type="dxa"/>
            </w:tcMar>
            <w:vAlign w:val="bottom"/>
          </w:tcPr>
          <w:p w:rsidR="00DD4FD5" w:rsidRPr="00DD4FD5" w:rsidRDefault="00DD4FD5" w:rsidP="00DD4FD5">
            <w:pPr>
              <w:spacing w:before="0" w:after="0"/>
              <w:ind w:right="142"/>
              <w:jc w:val="right"/>
              <w:rPr>
                <w:sz w:val="18"/>
                <w:szCs w:val="18"/>
              </w:rPr>
            </w:pPr>
            <w:r w:rsidRPr="00DD4FD5">
              <w:rPr>
                <w:b/>
                <w:bCs/>
                <w:sz w:val="18"/>
                <w:szCs w:val="18"/>
              </w:rPr>
              <w:t>84.1</w:t>
            </w:r>
          </w:p>
        </w:tc>
      </w:tr>
      <w:tr w:rsidR="00DD4FD5" w:rsidRPr="00DD4FD5" w:rsidTr="00DD4FD5">
        <w:tblPrEx>
          <w:jc w:val="right"/>
        </w:tblPrEx>
        <w:trPr>
          <w:jc w:val="right"/>
        </w:trPr>
        <w:tc>
          <w:tcPr>
            <w:tcW w:w="3345" w:type="pct"/>
          </w:tcPr>
          <w:p w:rsidR="00DD4FD5" w:rsidRPr="00DD4FD5" w:rsidRDefault="00DD4FD5" w:rsidP="00DD4FD5">
            <w:pPr>
              <w:keepNext/>
              <w:tabs>
                <w:tab w:val="right" w:leader="dot" w:pos="5160"/>
              </w:tabs>
              <w:spacing w:before="0" w:after="0"/>
              <w:ind w:left="240" w:hanging="240"/>
              <w:rPr>
                <w:sz w:val="18"/>
                <w:szCs w:val="18"/>
              </w:rPr>
            </w:pPr>
            <w:r w:rsidRPr="00DD4FD5">
              <w:rPr>
                <w:sz w:val="18"/>
                <w:szCs w:val="18"/>
              </w:rPr>
              <w:t>EBITDA from discontinued operations</w:t>
            </w:r>
            <w:r w:rsidRPr="00DD4FD5">
              <w:rPr>
                <w:sz w:val="18"/>
                <w:szCs w:val="18"/>
              </w:rPr>
              <w:tab/>
            </w:r>
          </w:p>
        </w:tc>
        <w:tc>
          <w:tcPr>
            <w:tcW w:w="895" w:type="pct"/>
            <w:noWrap/>
            <w:tcMar>
              <w:top w:w="0" w:type="dxa"/>
              <w:left w:w="144" w:type="dxa"/>
              <w:bottom w:w="0" w:type="dxa"/>
              <w:right w:w="0" w:type="dxa"/>
            </w:tcMar>
            <w:vAlign w:val="bottom"/>
          </w:tcPr>
          <w:p w:rsidR="00DD4FD5" w:rsidRPr="00DD4FD5" w:rsidRDefault="00DD4FD5" w:rsidP="00DD4FD5">
            <w:pPr>
              <w:spacing w:before="0" w:after="0"/>
              <w:ind w:right="140"/>
              <w:jc w:val="right"/>
              <w:rPr>
                <w:sz w:val="18"/>
                <w:szCs w:val="18"/>
              </w:rPr>
            </w:pPr>
            <w:r w:rsidRPr="00DD4FD5">
              <w:rPr>
                <w:sz w:val="18"/>
                <w:szCs w:val="18"/>
              </w:rPr>
              <w:t>6.0</w:t>
            </w:r>
          </w:p>
        </w:tc>
        <w:tc>
          <w:tcPr>
            <w:tcW w:w="761" w:type="pct"/>
            <w:noWrap/>
            <w:tcMar>
              <w:top w:w="0" w:type="dxa"/>
              <w:left w:w="144" w:type="dxa"/>
              <w:bottom w:w="0" w:type="dxa"/>
              <w:right w:w="0" w:type="dxa"/>
            </w:tcMar>
            <w:vAlign w:val="bottom"/>
          </w:tcPr>
          <w:p w:rsidR="00DD4FD5" w:rsidRPr="00DD4FD5" w:rsidRDefault="00DD4FD5" w:rsidP="00DD4FD5">
            <w:pPr>
              <w:spacing w:before="0" w:after="0"/>
              <w:ind w:right="142"/>
              <w:jc w:val="right"/>
              <w:rPr>
                <w:sz w:val="18"/>
                <w:szCs w:val="18"/>
              </w:rPr>
            </w:pPr>
            <w:r w:rsidRPr="00DD4FD5">
              <w:rPr>
                <w:sz w:val="18"/>
                <w:szCs w:val="18"/>
              </w:rPr>
              <w:t>0.6</w:t>
            </w:r>
          </w:p>
        </w:tc>
      </w:tr>
      <w:tr w:rsidR="00DD4FD5" w:rsidRPr="00DD4FD5" w:rsidTr="00DD4FD5">
        <w:tblPrEx>
          <w:jc w:val="right"/>
        </w:tblPrEx>
        <w:trPr>
          <w:jc w:val="right"/>
        </w:trPr>
        <w:tc>
          <w:tcPr>
            <w:tcW w:w="3345" w:type="pct"/>
          </w:tcPr>
          <w:p w:rsidR="00DD4FD5" w:rsidRPr="00DD4FD5" w:rsidRDefault="00DD4FD5" w:rsidP="00DD4FD5">
            <w:pPr>
              <w:keepNext/>
              <w:tabs>
                <w:tab w:val="right" w:leader="dot" w:pos="5160"/>
              </w:tabs>
              <w:spacing w:before="0" w:after="0"/>
              <w:ind w:left="240" w:hanging="240"/>
              <w:rPr>
                <w:sz w:val="18"/>
                <w:szCs w:val="18"/>
              </w:rPr>
            </w:pPr>
            <w:r w:rsidRPr="00DD4FD5">
              <w:rPr>
                <w:sz w:val="18"/>
                <w:szCs w:val="18"/>
              </w:rPr>
              <w:t>Add-back non-recurring items</w:t>
            </w:r>
            <w:r w:rsidRPr="00DD4FD5">
              <w:rPr>
                <w:sz w:val="18"/>
                <w:szCs w:val="18"/>
              </w:rPr>
              <w:tab/>
            </w:r>
          </w:p>
        </w:tc>
        <w:tc>
          <w:tcPr>
            <w:tcW w:w="895" w:type="pct"/>
            <w:tcMar>
              <w:top w:w="0" w:type="dxa"/>
              <w:left w:w="144" w:type="dxa"/>
              <w:bottom w:w="0" w:type="dxa"/>
              <w:right w:w="0" w:type="dxa"/>
            </w:tcMar>
            <w:vAlign w:val="bottom"/>
          </w:tcPr>
          <w:p w:rsidR="00DD4FD5" w:rsidRPr="00DD4FD5" w:rsidRDefault="00DD4FD5" w:rsidP="00DD4FD5">
            <w:pPr>
              <w:pBdr>
                <w:bottom w:val="single" w:sz="4" w:space="1" w:color="auto"/>
              </w:pBdr>
              <w:spacing w:before="0" w:after="0"/>
              <w:ind w:right="140"/>
              <w:jc w:val="right"/>
              <w:rPr>
                <w:sz w:val="18"/>
                <w:szCs w:val="18"/>
              </w:rPr>
            </w:pPr>
            <w:r w:rsidRPr="00DD4FD5">
              <w:rPr>
                <w:sz w:val="18"/>
                <w:szCs w:val="18"/>
              </w:rPr>
              <w:t>(15.0)</w:t>
            </w:r>
          </w:p>
        </w:tc>
        <w:tc>
          <w:tcPr>
            <w:tcW w:w="761" w:type="pct"/>
            <w:tcMar>
              <w:top w:w="0" w:type="dxa"/>
              <w:left w:w="144" w:type="dxa"/>
              <w:bottom w:w="0" w:type="dxa"/>
              <w:right w:w="0" w:type="dxa"/>
            </w:tcMar>
            <w:vAlign w:val="bottom"/>
          </w:tcPr>
          <w:p w:rsidR="00DD4FD5" w:rsidRPr="00DD4FD5" w:rsidRDefault="00DD4FD5" w:rsidP="00DD4FD5">
            <w:pPr>
              <w:pBdr>
                <w:bottom w:val="single" w:sz="4" w:space="1" w:color="auto"/>
              </w:pBdr>
              <w:spacing w:before="0" w:after="0"/>
              <w:ind w:right="142"/>
              <w:jc w:val="right"/>
              <w:rPr>
                <w:sz w:val="18"/>
                <w:szCs w:val="18"/>
              </w:rPr>
            </w:pPr>
            <w:r w:rsidRPr="00DD4FD5">
              <w:rPr>
                <w:sz w:val="18"/>
                <w:szCs w:val="18"/>
              </w:rPr>
              <w:t>(13,1)</w:t>
            </w:r>
          </w:p>
        </w:tc>
      </w:tr>
      <w:tr w:rsidR="00DD4FD5" w:rsidRPr="00C859C3" w:rsidTr="00DD4FD5">
        <w:tblPrEx>
          <w:jc w:val="right"/>
        </w:tblPrEx>
        <w:trPr>
          <w:jc w:val="right"/>
        </w:trPr>
        <w:tc>
          <w:tcPr>
            <w:tcW w:w="3345" w:type="pct"/>
          </w:tcPr>
          <w:p w:rsidR="00DD4FD5" w:rsidRPr="00DD4FD5" w:rsidRDefault="00DD4FD5" w:rsidP="00DD4FD5">
            <w:pPr>
              <w:keepNext/>
              <w:tabs>
                <w:tab w:val="right" w:leader="dot" w:pos="5160"/>
              </w:tabs>
              <w:spacing w:before="0" w:after="0"/>
              <w:ind w:left="240" w:hanging="240"/>
              <w:rPr>
                <w:b/>
                <w:sz w:val="18"/>
                <w:szCs w:val="18"/>
              </w:rPr>
            </w:pPr>
            <w:r w:rsidRPr="00DD4FD5">
              <w:rPr>
                <w:b/>
                <w:sz w:val="18"/>
                <w:szCs w:val="18"/>
              </w:rPr>
              <w:t>REBITDA</w:t>
            </w:r>
            <w:r w:rsidRPr="00DD4FD5">
              <w:rPr>
                <w:sz w:val="18"/>
                <w:szCs w:val="18"/>
              </w:rPr>
              <w:tab/>
            </w:r>
          </w:p>
        </w:tc>
        <w:tc>
          <w:tcPr>
            <w:tcW w:w="895" w:type="pct"/>
            <w:noWrap/>
            <w:tcMar>
              <w:top w:w="0" w:type="dxa"/>
              <w:left w:w="144" w:type="dxa"/>
              <w:bottom w:w="0" w:type="dxa"/>
              <w:right w:w="0" w:type="dxa"/>
            </w:tcMar>
            <w:vAlign w:val="bottom"/>
          </w:tcPr>
          <w:p w:rsidR="00DD4FD5" w:rsidRPr="00DD4FD5" w:rsidRDefault="00DD4FD5" w:rsidP="00DD4FD5">
            <w:pPr>
              <w:spacing w:before="0" w:after="0"/>
              <w:ind w:right="140"/>
              <w:jc w:val="right"/>
              <w:rPr>
                <w:sz w:val="18"/>
                <w:szCs w:val="18"/>
              </w:rPr>
            </w:pPr>
            <w:r w:rsidRPr="00DD4FD5">
              <w:rPr>
                <w:b/>
                <w:bCs/>
                <w:sz w:val="18"/>
                <w:szCs w:val="18"/>
              </w:rPr>
              <w:t>77.4</w:t>
            </w:r>
          </w:p>
        </w:tc>
        <w:tc>
          <w:tcPr>
            <w:tcW w:w="761" w:type="pct"/>
            <w:noWrap/>
            <w:tcMar>
              <w:top w:w="0" w:type="dxa"/>
              <w:left w:w="144" w:type="dxa"/>
              <w:bottom w:w="0" w:type="dxa"/>
              <w:right w:w="0" w:type="dxa"/>
            </w:tcMar>
            <w:vAlign w:val="bottom"/>
          </w:tcPr>
          <w:p w:rsidR="00DD4FD5" w:rsidRPr="00C859C3" w:rsidRDefault="00DD4FD5" w:rsidP="00DD4FD5">
            <w:pPr>
              <w:spacing w:before="0" w:after="0"/>
              <w:ind w:right="142"/>
              <w:jc w:val="right"/>
              <w:rPr>
                <w:sz w:val="18"/>
                <w:szCs w:val="18"/>
              </w:rPr>
            </w:pPr>
            <w:r w:rsidRPr="00DD4FD5">
              <w:rPr>
                <w:b/>
                <w:bCs/>
                <w:sz w:val="18"/>
                <w:szCs w:val="18"/>
              </w:rPr>
              <w:t>71.6</w:t>
            </w:r>
          </w:p>
        </w:tc>
      </w:tr>
    </w:tbl>
    <w:p w:rsidR="003F0BC5" w:rsidRPr="00992199" w:rsidRDefault="003F0BC5" w:rsidP="00353B80">
      <w:pPr>
        <w:pStyle w:val="Firm5L2"/>
        <w:keepNext/>
      </w:pPr>
      <w:bookmarkStart w:id="24" w:name="_Toc420593844"/>
      <w:r w:rsidRPr="00992199">
        <w:t>Key figures of Peatinvest</w:t>
      </w:r>
      <w:bookmarkEnd w:id="24"/>
    </w:p>
    <w:p w:rsidR="003F0BC5" w:rsidRDefault="003F0BC5" w:rsidP="003F0BC5">
      <w:pPr>
        <w:rPr>
          <w:szCs w:val="20"/>
        </w:rPr>
      </w:pPr>
      <w:r w:rsidRPr="00992199">
        <w:rPr>
          <w:szCs w:val="20"/>
        </w:rPr>
        <w:t xml:space="preserve">Audited consolidated financial statements of Peatinvest as of and </w:t>
      </w:r>
      <w:r w:rsidR="005971A0">
        <w:rPr>
          <w:szCs w:val="20"/>
        </w:rPr>
        <w:t>for the financial year ended 30 September</w:t>
      </w:r>
      <w:r w:rsidRPr="00992199">
        <w:rPr>
          <w:szCs w:val="20"/>
        </w:rPr>
        <w:t xml:space="preserve"> 2014 (with comparative data as of and </w:t>
      </w:r>
      <w:r w:rsidR="005971A0">
        <w:rPr>
          <w:szCs w:val="20"/>
        </w:rPr>
        <w:t>for the financial year ended 30 September</w:t>
      </w:r>
      <w:r w:rsidRPr="00992199">
        <w:rPr>
          <w:szCs w:val="20"/>
        </w:rPr>
        <w:t xml:space="preserve"> 2013 and 30 September 2012) which have been prepared in accordance with Belgian GAAP.</w:t>
      </w:r>
    </w:p>
    <w:p w:rsidR="00DD4FD5" w:rsidRPr="00992199" w:rsidRDefault="00DD4FD5" w:rsidP="00353B80">
      <w:pPr>
        <w:pStyle w:val="Firm5L3"/>
        <w:keepNext/>
      </w:pPr>
      <w:r w:rsidRPr="00992199">
        <w:lastRenderedPageBreak/>
        <w:t xml:space="preserve">Income statement as </w:t>
      </w:r>
      <w:r>
        <w:t xml:space="preserve">of and for the financial years ended </w:t>
      </w:r>
      <w:r w:rsidRPr="00992199">
        <w:t>3</w:t>
      </w:r>
      <w:r>
        <w:t>0</w:t>
      </w:r>
      <w:r w:rsidRPr="00992199">
        <w:t> </w:t>
      </w:r>
      <w:r>
        <w:t>September</w:t>
      </w:r>
      <w:r w:rsidRPr="00992199">
        <w:t xml:space="preserve"> 201</w:t>
      </w:r>
      <w:r>
        <w:t>4</w:t>
      </w:r>
      <w:r w:rsidRPr="00992199">
        <w:t>, 3</w:t>
      </w:r>
      <w:r>
        <w:t>0</w:t>
      </w:r>
      <w:r w:rsidRPr="00992199">
        <w:t> </w:t>
      </w:r>
      <w:r>
        <w:t>September</w:t>
      </w:r>
      <w:r w:rsidRPr="00992199">
        <w:t xml:space="preserve"> 201</w:t>
      </w:r>
      <w:r>
        <w:t>3 and</w:t>
      </w:r>
      <w:r w:rsidR="00C14169">
        <w:t xml:space="preserve"> </w:t>
      </w:r>
      <w:r w:rsidRPr="00992199">
        <w:t>3</w:t>
      </w:r>
      <w:r>
        <w:t>0</w:t>
      </w:r>
      <w:r w:rsidRPr="00992199">
        <w:t> </w:t>
      </w:r>
      <w:r>
        <w:t>September</w:t>
      </w:r>
      <w:r w:rsidRPr="00992199">
        <w:t xml:space="preserve"> 201</w:t>
      </w:r>
      <w:r>
        <w:t>2</w:t>
      </w:r>
    </w:p>
    <w:tbl>
      <w:tblPr>
        <w:tblW w:w="0" w:type="auto"/>
        <w:jc w:val="center"/>
        <w:tblLayout w:type="fixed"/>
        <w:tblLook w:val="04A0" w:firstRow="1" w:lastRow="0" w:firstColumn="1" w:lastColumn="0" w:noHBand="0" w:noVBand="1"/>
      </w:tblPr>
      <w:tblGrid>
        <w:gridCol w:w="9245"/>
      </w:tblGrid>
      <w:tr w:rsidR="00DD4FD5" w:rsidRPr="00E90D89" w:rsidTr="00DD4FD5">
        <w:trPr>
          <w:trHeight w:val="255"/>
          <w:tblHeader/>
          <w:jc w:val="center"/>
        </w:trPr>
        <w:tc>
          <w:tcPr>
            <w:tcW w:w="9245" w:type="dxa"/>
            <w:tcBorders>
              <w:top w:val="nil"/>
              <w:left w:val="nil"/>
              <w:bottom w:val="nil"/>
              <w:right w:val="nil"/>
            </w:tcBorders>
            <w:shd w:val="clear" w:color="auto" w:fill="auto"/>
            <w:noWrap/>
            <w:vAlign w:val="bottom"/>
          </w:tcPr>
          <w:p w:rsidR="00DD4FD5" w:rsidRDefault="00DD4FD5" w:rsidP="00DD4FD5">
            <w:pPr>
              <w:spacing w:before="0" w:after="0"/>
              <w:rPr>
                <w:b/>
                <w:bCs/>
                <w:sz w:val="18"/>
                <w:szCs w:val="18"/>
                <w:lang w:eastAsia="en-GB"/>
              </w:rPr>
            </w:pPr>
          </w:p>
          <w:tbl>
            <w:tblPr>
              <w:tblW w:w="11130" w:type="dxa"/>
              <w:jc w:val="center"/>
              <w:tblLayout w:type="fixed"/>
              <w:tblLook w:val="04A0" w:firstRow="1" w:lastRow="0" w:firstColumn="1" w:lastColumn="0" w:noHBand="0" w:noVBand="1"/>
            </w:tblPr>
            <w:tblGrid>
              <w:gridCol w:w="1242"/>
              <w:gridCol w:w="3755"/>
              <w:gridCol w:w="546"/>
              <w:gridCol w:w="1091"/>
              <w:gridCol w:w="921"/>
              <w:gridCol w:w="373"/>
              <w:gridCol w:w="968"/>
              <w:gridCol w:w="303"/>
              <w:gridCol w:w="840"/>
              <w:gridCol w:w="1091"/>
            </w:tblGrid>
            <w:tr w:rsidR="00DD4FD5" w:rsidRPr="003829EE" w:rsidTr="00DD4FD5">
              <w:trPr>
                <w:gridBefore w:val="1"/>
                <w:wBefore w:w="1242" w:type="dxa"/>
                <w:trHeight w:val="255"/>
                <w:jc w:val="center"/>
              </w:trPr>
              <w:tc>
                <w:tcPr>
                  <w:tcW w:w="4301" w:type="dxa"/>
                  <w:gridSpan w:val="2"/>
                  <w:tcBorders>
                    <w:top w:val="nil"/>
                    <w:left w:val="nil"/>
                    <w:bottom w:val="nil"/>
                    <w:right w:val="nil"/>
                  </w:tcBorders>
                  <w:shd w:val="clear" w:color="auto" w:fill="auto"/>
                  <w:noWrap/>
                  <w:vAlign w:val="bottom"/>
                </w:tcPr>
                <w:p w:rsidR="00DD4FD5" w:rsidRPr="003829EE" w:rsidRDefault="00DD4FD5" w:rsidP="00DD4FD5">
                  <w:pPr>
                    <w:spacing w:before="0" w:after="0"/>
                    <w:jc w:val="left"/>
                    <w:rPr>
                      <w:sz w:val="18"/>
                      <w:szCs w:val="18"/>
                      <w:lang w:eastAsia="en-GB"/>
                    </w:rPr>
                  </w:pPr>
                </w:p>
              </w:tc>
              <w:tc>
                <w:tcPr>
                  <w:tcW w:w="1091" w:type="dxa"/>
                  <w:tcBorders>
                    <w:top w:val="nil"/>
                    <w:left w:val="nil"/>
                    <w:bottom w:val="nil"/>
                    <w:right w:val="nil"/>
                  </w:tcBorders>
                  <w:shd w:val="clear" w:color="auto" w:fill="auto"/>
                  <w:noWrap/>
                  <w:vAlign w:val="bottom"/>
                </w:tcPr>
                <w:p w:rsidR="00DD4FD5" w:rsidRPr="003829EE" w:rsidRDefault="00DD4FD5" w:rsidP="00DD4FD5">
                  <w:pPr>
                    <w:spacing w:before="0" w:after="0"/>
                    <w:jc w:val="left"/>
                    <w:rPr>
                      <w:sz w:val="18"/>
                      <w:szCs w:val="18"/>
                      <w:lang w:eastAsia="en-GB"/>
                    </w:rPr>
                  </w:pPr>
                </w:p>
              </w:tc>
              <w:tc>
                <w:tcPr>
                  <w:tcW w:w="921" w:type="dxa"/>
                  <w:tcBorders>
                    <w:top w:val="nil"/>
                    <w:left w:val="nil"/>
                    <w:bottom w:val="nil"/>
                    <w:right w:val="nil"/>
                  </w:tcBorders>
                  <w:shd w:val="clear" w:color="auto" w:fill="auto"/>
                  <w:noWrap/>
                  <w:vAlign w:val="bottom"/>
                </w:tcPr>
                <w:p w:rsidR="00DD4FD5" w:rsidRPr="003829EE" w:rsidRDefault="00DD4FD5" w:rsidP="00DD4FD5">
                  <w:pPr>
                    <w:spacing w:before="0" w:after="0"/>
                    <w:jc w:val="left"/>
                    <w:rPr>
                      <w:sz w:val="18"/>
                      <w:szCs w:val="18"/>
                      <w:lang w:eastAsia="en-GB"/>
                    </w:rPr>
                  </w:pPr>
                </w:p>
              </w:tc>
              <w:tc>
                <w:tcPr>
                  <w:tcW w:w="1341" w:type="dxa"/>
                  <w:gridSpan w:val="2"/>
                  <w:tcBorders>
                    <w:top w:val="nil"/>
                    <w:left w:val="nil"/>
                    <w:bottom w:val="nil"/>
                    <w:right w:val="nil"/>
                  </w:tcBorders>
                  <w:shd w:val="clear" w:color="auto" w:fill="auto"/>
                  <w:noWrap/>
                  <w:vAlign w:val="bottom"/>
                </w:tcPr>
                <w:p w:rsidR="00DD4FD5" w:rsidRPr="003829EE" w:rsidRDefault="00DD4FD5" w:rsidP="00DD4FD5">
                  <w:pPr>
                    <w:spacing w:before="0" w:after="0"/>
                    <w:jc w:val="left"/>
                    <w:rPr>
                      <w:sz w:val="18"/>
                      <w:szCs w:val="18"/>
                      <w:lang w:eastAsia="en-GB"/>
                    </w:rPr>
                  </w:pPr>
                </w:p>
              </w:tc>
              <w:tc>
                <w:tcPr>
                  <w:tcW w:w="1143" w:type="dxa"/>
                  <w:gridSpan w:val="2"/>
                  <w:tcBorders>
                    <w:top w:val="nil"/>
                    <w:left w:val="nil"/>
                    <w:bottom w:val="nil"/>
                    <w:right w:val="nil"/>
                  </w:tcBorders>
                  <w:shd w:val="clear" w:color="auto" w:fill="auto"/>
                  <w:noWrap/>
                  <w:vAlign w:val="bottom"/>
                </w:tcPr>
                <w:p w:rsidR="00DD4FD5" w:rsidRPr="003829EE" w:rsidRDefault="00DD4FD5" w:rsidP="00DD4FD5">
                  <w:pPr>
                    <w:spacing w:before="0" w:after="0"/>
                    <w:jc w:val="left"/>
                    <w:rPr>
                      <w:sz w:val="18"/>
                      <w:szCs w:val="18"/>
                      <w:lang w:eastAsia="en-GB"/>
                    </w:rPr>
                  </w:pPr>
                </w:p>
              </w:tc>
              <w:tc>
                <w:tcPr>
                  <w:tcW w:w="1091" w:type="dxa"/>
                  <w:tcBorders>
                    <w:top w:val="nil"/>
                    <w:left w:val="nil"/>
                    <w:bottom w:val="nil"/>
                    <w:right w:val="nil"/>
                  </w:tcBorders>
                  <w:shd w:val="clear" w:color="auto" w:fill="auto"/>
                  <w:noWrap/>
                  <w:vAlign w:val="bottom"/>
                </w:tcPr>
                <w:p w:rsidR="00DD4FD5" w:rsidRPr="003829EE" w:rsidRDefault="00DD4FD5" w:rsidP="00DD4FD5">
                  <w:pPr>
                    <w:spacing w:before="0" w:after="0"/>
                    <w:jc w:val="left"/>
                    <w:rPr>
                      <w:sz w:val="18"/>
                      <w:szCs w:val="18"/>
                      <w:lang w:eastAsia="en-GB"/>
                    </w:rPr>
                  </w:pPr>
                </w:p>
              </w:tc>
            </w:tr>
            <w:tr w:rsidR="00DD4FD5" w:rsidRPr="00DD4FD5" w:rsidTr="00DD4FD5">
              <w:tblPrEx>
                <w:jc w:val="left"/>
                <w:tblLook w:val="0000" w:firstRow="0" w:lastRow="0" w:firstColumn="0" w:lastColumn="0" w:noHBand="0" w:noVBand="0"/>
              </w:tblPrEx>
              <w:trPr>
                <w:gridAfter w:val="2"/>
                <w:wAfter w:w="1931" w:type="dxa"/>
              </w:trPr>
              <w:tc>
                <w:tcPr>
                  <w:tcW w:w="4997" w:type="dxa"/>
                  <w:gridSpan w:val="2"/>
                  <w:vAlign w:val="center"/>
                </w:tcPr>
                <w:p w:rsidR="00DD4FD5" w:rsidRPr="00DD4FD5" w:rsidRDefault="00DD4FD5" w:rsidP="00DD4FD5">
                  <w:pPr>
                    <w:pStyle w:val="NormalWeb"/>
                    <w:keepNext/>
                    <w:spacing w:before="0" w:after="0"/>
                    <w:ind w:left="240" w:hanging="240"/>
                    <w:jc w:val="left"/>
                    <w:rPr>
                      <w:bCs/>
                      <w:i/>
                      <w:sz w:val="18"/>
                      <w:szCs w:val="18"/>
                    </w:rPr>
                  </w:pPr>
                  <w:r w:rsidRPr="00DD4FD5">
                    <w:rPr>
                      <w:bCs/>
                      <w:i/>
                      <w:sz w:val="18"/>
                      <w:szCs w:val="18"/>
                    </w:rPr>
                    <w:t>(</w:t>
                  </w:r>
                  <w:r w:rsidR="00E53641">
                    <w:rPr>
                      <w:bCs/>
                      <w:i/>
                      <w:sz w:val="18"/>
                      <w:szCs w:val="18"/>
                    </w:rPr>
                    <w:t>EUR </w:t>
                  </w:r>
                  <w:r w:rsidRPr="00DD4FD5">
                    <w:rPr>
                      <w:bCs/>
                      <w:i/>
                      <w:sz w:val="18"/>
                      <w:szCs w:val="18"/>
                    </w:rPr>
                    <w:t>in millions)</w:t>
                  </w:r>
                </w:p>
              </w:tc>
              <w:tc>
                <w:tcPr>
                  <w:tcW w:w="1637" w:type="dxa"/>
                  <w:gridSpan w:val="2"/>
                  <w:vAlign w:val="bottom"/>
                </w:tcPr>
                <w:p w:rsidR="00DD4FD5" w:rsidRPr="00DD4FD5" w:rsidRDefault="00DD4FD5" w:rsidP="00DD4FD5">
                  <w:pPr>
                    <w:pBdr>
                      <w:bottom w:val="single" w:sz="4" w:space="1" w:color="auto"/>
                    </w:pBdr>
                    <w:spacing w:before="0" w:after="0"/>
                    <w:ind w:left="248" w:right="-268" w:hanging="227"/>
                    <w:jc w:val="center"/>
                    <w:rPr>
                      <w:sz w:val="18"/>
                      <w:szCs w:val="18"/>
                    </w:rPr>
                  </w:pPr>
                  <w:r w:rsidRPr="00DD4FD5">
                    <w:rPr>
                      <w:b/>
                      <w:bCs/>
                      <w:sz w:val="18"/>
                      <w:szCs w:val="18"/>
                    </w:rPr>
                    <w:t xml:space="preserve">Year ended </w:t>
                  </w:r>
                  <w:r w:rsidRPr="00DD4FD5">
                    <w:rPr>
                      <w:b/>
                      <w:bCs/>
                      <w:sz w:val="18"/>
                      <w:szCs w:val="18"/>
                    </w:rPr>
                    <w:br/>
                    <w:t>30 September 2014</w:t>
                  </w:r>
                </w:p>
              </w:tc>
              <w:tc>
                <w:tcPr>
                  <w:tcW w:w="1294" w:type="dxa"/>
                  <w:gridSpan w:val="2"/>
                </w:tcPr>
                <w:p w:rsidR="00DD4FD5" w:rsidRPr="00DD4FD5" w:rsidRDefault="00DD4FD5" w:rsidP="00DD4FD5">
                  <w:pPr>
                    <w:pBdr>
                      <w:bottom w:val="single" w:sz="4" w:space="1" w:color="auto"/>
                    </w:pBdr>
                    <w:spacing w:before="0" w:after="0"/>
                    <w:jc w:val="center"/>
                    <w:rPr>
                      <w:b/>
                      <w:bCs/>
                      <w:sz w:val="18"/>
                      <w:szCs w:val="18"/>
                    </w:rPr>
                  </w:pPr>
                  <w:r w:rsidRPr="00DD4FD5">
                    <w:rPr>
                      <w:b/>
                      <w:bCs/>
                      <w:sz w:val="18"/>
                      <w:szCs w:val="18"/>
                    </w:rPr>
                    <w:t>Year ended 30 September 2013</w:t>
                  </w:r>
                </w:p>
              </w:tc>
              <w:tc>
                <w:tcPr>
                  <w:tcW w:w="1271" w:type="dxa"/>
                  <w:gridSpan w:val="2"/>
                  <w:vAlign w:val="bottom"/>
                </w:tcPr>
                <w:p w:rsidR="00DD4FD5" w:rsidRPr="00DD4FD5" w:rsidRDefault="00DD4FD5" w:rsidP="00DD4FD5">
                  <w:pPr>
                    <w:pBdr>
                      <w:bottom w:val="single" w:sz="4" w:space="1" w:color="auto"/>
                    </w:pBdr>
                    <w:spacing w:before="0" w:after="0"/>
                    <w:jc w:val="center"/>
                    <w:rPr>
                      <w:sz w:val="18"/>
                      <w:szCs w:val="18"/>
                    </w:rPr>
                  </w:pPr>
                  <w:r w:rsidRPr="00DD4FD5">
                    <w:rPr>
                      <w:b/>
                      <w:bCs/>
                      <w:sz w:val="18"/>
                      <w:szCs w:val="18"/>
                    </w:rPr>
                    <w:t>Year ended 30 September 2012</w:t>
                  </w:r>
                </w:p>
              </w:tc>
            </w:tr>
            <w:tr w:rsidR="00DD4FD5" w:rsidRPr="00DD4FD5" w:rsidTr="00DD4FD5">
              <w:tblPrEx>
                <w:jc w:val="left"/>
                <w:tblLook w:val="0000" w:firstRow="0" w:lastRow="0" w:firstColumn="0" w:lastColumn="0" w:noHBand="0" w:noVBand="0"/>
              </w:tblPrEx>
              <w:trPr>
                <w:gridAfter w:val="2"/>
                <w:wAfter w:w="1931" w:type="dxa"/>
                <w:trHeight w:val="332"/>
              </w:trPr>
              <w:tc>
                <w:tcPr>
                  <w:tcW w:w="4997" w:type="dxa"/>
                  <w:gridSpan w:val="2"/>
                </w:tcPr>
                <w:p w:rsidR="00DD4FD5" w:rsidRPr="00DD4FD5" w:rsidRDefault="00DD4FD5" w:rsidP="00DD4FD5">
                  <w:pPr>
                    <w:pStyle w:val="NormalWeb"/>
                    <w:keepNext/>
                    <w:spacing w:before="0" w:after="0"/>
                    <w:rPr>
                      <w:b/>
                      <w:bCs/>
                      <w:sz w:val="18"/>
                      <w:szCs w:val="18"/>
                    </w:rPr>
                  </w:pPr>
                  <w:r w:rsidRPr="00DD4FD5">
                    <w:rPr>
                      <w:b/>
                      <w:bCs/>
                      <w:sz w:val="18"/>
                      <w:szCs w:val="18"/>
                    </w:rPr>
                    <w:t>Summary Consolidated Statement of Income Data</w:t>
                  </w:r>
                </w:p>
              </w:tc>
              <w:tc>
                <w:tcPr>
                  <w:tcW w:w="1637" w:type="dxa"/>
                  <w:gridSpan w:val="2"/>
                </w:tcPr>
                <w:p w:rsidR="00DD4FD5" w:rsidRPr="00DD4FD5" w:rsidRDefault="00DD4FD5" w:rsidP="00DD4FD5">
                  <w:pPr>
                    <w:pStyle w:val="la24"/>
                    <w:spacing w:before="0" w:after="0"/>
                    <w:jc w:val="right"/>
                    <w:rPr>
                      <w:noProof w:val="0"/>
                      <w:sz w:val="18"/>
                      <w:szCs w:val="18"/>
                      <w:lang w:val="en-GB"/>
                    </w:rPr>
                  </w:pPr>
                  <w:r w:rsidRPr="00DD4FD5">
                    <w:rPr>
                      <w:noProof w:val="0"/>
                      <w:sz w:val="18"/>
                      <w:szCs w:val="18"/>
                      <w:lang w:val="en-GB"/>
                    </w:rPr>
                    <w:t> </w:t>
                  </w:r>
                </w:p>
              </w:tc>
              <w:tc>
                <w:tcPr>
                  <w:tcW w:w="1294" w:type="dxa"/>
                  <w:gridSpan w:val="2"/>
                </w:tcPr>
                <w:p w:rsidR="00DD4FD5" w:rsidRPr="00DD4FD5" w:rsidRDefault="00DD4FD5" w:rsidP="00DD4FD5">
                  <w:pPr>
                    <w:pStyle w:val="la24"/>
                    <w:spacing w:before="0" w:after="0"/>
                    <w:jc w:val="right"/>
                    <w:rPr>
                      <w:noProof w:val="0"/>
                      <w:sz w:val="18"/>
                      <w:szCs w:val="18"/>
                      <w:lang w:val="en-GB"/>
                    </w:rPr>
                  </w:pPr>
                </w:p>
              </w:tc>
              <w:tc>
                <w:tcPr>
                  <w:tcW w:w="1271" w:type="dxa"/>
                  <w:gridSpan w:val="2"/>
                </w:tcPr>
                <w:p w:rsidR="00DD4FD5" w:rsidRPr="00DD4FD5" w:rsidRDefault="00DD4FD5" w:rsidP="00DD4FD5">
                  <w:pPr>
                    <w:pStyle w:val="la24"/>
                    <w:spacing w:before="0" w:after="0"/>
                    <w:jc w:val="right"/>
                    <w:rPr>
                      <w:noProof w:val="0"/>
                      <w:sz w:val="18"/>
                      <w:szCs w:val="18"/>
                      <w:lang w:val="en-GB"/>
                    </w:rPr>
                  </w:pPr>
                  <w:r w:rsidRPr="00DD4FD5">
                    <w:rPr>
                      <w:noProof w:val="0"/>
                      <w:sz w:val="18"/>
                      <w:szCs w:val="18"/>
                      <w:lang w:val="en-GB"/>
                    </w:rPr>
                    <w:t> </w:t>
                  </w:r>
                </w:p>
              </w:tc>
            </w:tr>
            <w:tr w:rsidR="00DD4FD5" w:rsidRPr="00DD4FD5" w:rsidTr="00DD4FD5">
              <w:tblPrEx>
                <w:jc w:val="left"/>
                <w:tblLook w:val="0000" w:firstRow="0" w:lastRow="0" w:firstColumn="0" w:lastColumn="0" w:noHBand="0" w:noVBand="0"/>
              </w:tblPrEx>
              <w:trPr>
                <w:gridAfter w:val="2"/>
                <w:wAfter w:w="1931" w:type="dxa"/>
              </w:trPr>
              <w:tc>
                <w:tcPr>
                  <w:tcW w:w="4997"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Sales</w:t>
                  </w:r>
                  <w:r w:rsidRPr="00DD4FD5">
                    <w:rPr>
                      <w:sz w:val="18"/>
                      <w:szCs w:val="18"/>
                    </w:rPr>
                    <w:tab/>
                  </w:r>
                </w:p>
              </w:tc>
              <w:tc>
                <w:tcPr>
                  <w:tcW w:w="1637" w:type="dxa"/>
                  <w:gridSpan w:val="2"/>
                  <w:noWrap/>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65.2</w:t>
                  </w:r>
                </w:p>
              </w:tc>
              <w:tc>
                <w:tcPr>
                  <w:tcW w:w="1294" w:type="dxa"/>
                  <w:gridSpan w:val="2"/>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61.7</w:t>
                  </w:r>
                </w:p>
              </w:tc>
              <w:tc>
                <w:tcPr>
                  <w:tcW w:w="1271"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62.3</w:t>
                  </w:r>
                </w:p>
              </w:tc>
            </w:tr>
            <w:tr w:rsidR="00DD4FD5" w:rsidRPr="00DD4FD5" w:rsidTr="00DD4FD5">
              <w:tblPrEx>
                <w:jc w:val="left"/>
                <w:tblLook w:val="0000" w:firstRow="0" w:lastRow="0" w:firstColumn="0" w:lastColumn="0" w:noHBand="0" w:noVBand="0"/>
              </w:tblPrEx>
              <w:trPr>
                <w:gridAfter w:val="2"/>
                <w:wAfter w:w="1931" w:type="dxa"/>
              </w:trPr>
              <w:tc>
                <w:tcPr>
                  <w:tcW w:w="4997"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Increase/decrease (-) in inventories: finished goods and work in progress</w:t>
                  </w:r>
                  <w:r w:rsidRPr="00DD4FD5">
                    <w:rPr>
                      <w:sz w:val="18"/>
                      <w:szCs w:val="18"/>
                    </w:rPr>
                    <w:tab/>
                  </w:r>
                </w:p>
              </w:tc>
              <w:tc>
                <w:tcPr>
                  <w:tcW w:w="1637"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(0.2)</w:t>
                  </w:r>
                </w:p>
              </w:tc>
              <w:tc>
                <w:tcPr>
                  <w:tcW w:w="1294"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1.1</w:t>
                  </w:r>
                </w:p>
              </w:tc>
              <w:tc>
                <w:tcPr>
                  <w:tcW w:w="1271"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0.1</w:t>
                  </w:r>
                </w:p>
              </w:tc>
            </w:tr>
            <w:tr w:rsidR="00DD4FD5" w:rsidRPr="00DD4FD5" w:rsidTr="00DD4FD5">
              <w:tblPrEx>
                <w:jc w:val="left"/>
                <w:tblLook w:val="0000" w:firstRow="0" w:lastRow="0" w:firstColumn="0" w:lastColumn="0" w:noHBand="0" w:noVBand="0"/>
              </w:tblPrEx>
              <w:trPr>
                <w:gridAfter w:val="2"/>
                <w:wAfter w:w="1931" w:type="dxa"/>
                <w:trHeight w:val="267"/>
              </w:trPr>
              <w:tc>
                <w:tcPr>
                  <w:tcW w:w="4997"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Own work capitalised</w:t>
                  </w:r>
                  <w:r w:rsidRPr="00DD4FD5">
                    <w:rPr>
                      <w:sz w:val="18"/>
                      <w:szCs w:val="18"/>
                    </w:rPr>
                    <w:tab/>
                  </w:r>
                </w:p>
                <w:p w:rsidR="00DD4FD5" w:rsidRPr="00DD4FD5" w:rsidRDefault="00DD4FD5" w:rsidP="00DD4FD5">
                  <w:pPr>
                    <w:pStyle w:val="la24"/>
                    <w:spacing w:before="0" w:after="0"/>
                    <w:rPr>
                      <w:sz w:val="18"/>
                      <w:szCs w:val="18"/>
                    </w:rPr>
                  </w:pPr>
                  <w:r w:rsidRPr="00DD4FD5">
                    <w:rPr>
                      <w:noProof w:val="0"/>
                      <w:sz w:val="18"/>
                      <w:szCs w:val="18"/>
                      <w:lang w:val="en-GB"/>
                    </w:rPr>
                    <w:t> </w:t>
                  </w:r>
                </w:p>
              </w:tc>
              <w:tc>
                <w:tcPr>
                  <w:tcW w:w="1637"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c>
                <w:tcPr>
                  <w:tcW w:w="1294"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c>
                <w:tcPr>
                  <w:tcW w:w="1271"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0.1</w:t>
                  </w:r>
                </w:p>
              </w:tc>
            </w:tr>
            <w:tr w:rsidR="00DD4FD5" w:rsidRPr="00DD4FD5" w:rsidTr="00DD4FD5">
              <w:tblPrEx>
                <w:jc w:val="left"/>
                <w:tblLook w:val="0000" w:firstRow="0" w:lastRow="0" w:firstColumn="0" w:lastColumn="0" w:noHBand="0" w:noVBand="0"/>
              </w:tblPrEx>
              <w:trPr>
                <w:gridAfter w:val="2"/>
                <w:wAfter w:w="1931" w:type="dxa"/>
              </w:trPr>
              <w:tc>
                <w:tcPr>
                  <w:tcW w:w="4997"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Other operating income</w:t>
                  </w:r>
                  <w:r w:rsidRPr="00DD4FD5">
                    <w:rPr>
                      <w:bCs/>
                      <w:sz w:val="18"/>
                      <w:szCs w:val="18"/>
                    </w:rPr>
                    <w:tab/>
                  </w:r>
                </w:p>
              </w:tc>
              <w:tc>
                <w:tcPr>
                  <w:tcW w:w="1637"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1.0</w:t>
                  </w:r>
                </w:p>
              </w:tc>
              <w:tc>
                <w:tcPr>
                  <w:tcW w:w="1294" w:type="dxa"/>
                  <w:gridSpan w:val="2"/>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2.6</w:t>
                  </w:r>
                </w:p>
              </w:tc>
              <w:tc>
                <w:tcPr>
                  <w:tcW w:w="1271"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0.7</w:t>
                  </w:r>
                </w:p>
              </w:tc>
            </w:tr>
            <w:tr w:rsidR="00DD4FD5" w:rsidRPr="00DD4FD5" w:rsidTr="00DD4FD5">
              <w:tblPrEx>
                <w:jc w:val="left"/>
                <w:tblLook w:val="0000" w:firstRow="0" w:lastRow="0" w:firstColumn="0" w:lastColumn="0" w:noHBand="0" w:noVBand="0"/>
              </w:tblPrEx>
              <w:trPr>
                <w:gridAfter w:val="2"/>
                <w:wAfter w:w="1931" w:type="dxa"/>
              </w:trPr>
              <w:tc>
                <w:tcPr>
                  <w:tcW w:w="4997"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Raw materials, consumables and goods for resale</w:t>
                  </w:r>
                  <w:r w:rsidRPr="00DD4FD5">
                    <w:rPr>
                      <w:sz w:val="18"/>
                      <w:szCs w:val="18"/>
                    </w:rPr>
                    <w:tab/>
                  </w:r>
                </w:p>
              </w:tc>
              <w:tc>
                <w:tcPr>
                  <w:tcW w:w="1637"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(27.5)</w:t>
                  </w:r>
                </w:p>
              </w:tc>
              <w:tc>
                <w:tcPr>
                  <w:tcW w:w="1294"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(28.5)</w:t>
                  </w:r>
                </w:p>
              </w:tc>
              <w:tc>
                <w:tcPr>
                  <w:tcW w:w="1271"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(27.7)</w:t>
                  </w:r>
                </w:p>
              </w:tc>
            </w:tr>
            <w:tr w:rsidR="00DD4FD5" w:rsidRPr="00DD4FD5" w:rsidTr="00DD4FD5">
              <w:tblPrEx>
                <w:jc w:val="left"/>
                <w:tblLook w:val="0000" w:firstRow="0" w:lastRow="0" w:firstColumn="0" w:lastColumn="0" w:noHBand="0" w:noVBand="0"/>
              </w:tblPrEx>
              <w:trPr>
                <w:gridAfter w:val="2"/>
                <w:wAfter w:w="1931" w:type="dxa"/>
              </w:trPr>
              <w:tc>
                <w:tcPr>
                  <w:tcW w:w="4997"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Services and other goods</w:t>
                  </w:r>
                  <w:r w:rsidRPr="00DD4FD5">
                    <w:rPr>
                      <w:sz w:val="18"/>
                      <w:szCs w:val="18"/>
                    </w:rPr>
                    <w:tab/>
                  </w:r>
                </w:p>
              </w:tc>
              <w:tc>
                <w:tcPr>
                  <w:tcW w:w="1637"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(20.8)</w:t>
                  </w:r>
                </w:p>
              </w:tc>
              <w:tc>
                <w:tcPr>
                  <w:tcW w:w="1294"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(20.1)</w:t>
                  </w:r>
                </w:p>
              </w:tc>
              <w:tc>
                <w:tcPr>
                  <w:tcW w:w="1271"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(20.2)</w:t>
                  </w:r>
                </w:p>
              </w:tc>
            </w:tr>
            <w:tr w:rsidR="00DD4FD5" w:rsidRPr="00DD4FD5" w:rsidTr="00DD4FD5">
              <w:tblPrEx>
                <w:jc w:val="left"/>
                <w:tblLook w:val="0000" w:firstRow="0" w:lastRow="0" w:firstColumn="0" w:lastColumn="0" w:noHBand="0" w:noVBand="0"/>
              </w:tblPrEx>
              <w:trPr>
                <w:gridAfter w:val="2"/>
                <w:wAfter w:w="1931" w:type="dxa"/>
              </w:trPr>
              <w:tc>
                <w:tcPr>
                  <w:tcW w:w="4997"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Personnel costs</w:t>
                  </w:r>
                  <w:r w:rsidRPr="00DD4FD5">
                    <w:rPr>
                      <w:sz w:val="18"/>
                      <w:szCs w:val="18"/>
                    </w:rPr>
                    <w:tab/>
                  </w:r>
                </w:p>
              </w:tc>
              <w:tc>
                <w:tcPr>
                  <w:tcW w:w="1637"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(9.0)</w:t>
                  </w:r>
                </w:p>
              </w:tc>
              <w:tc>
                <w:tcPr>
                  <w:tcW w:w="1294"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(9.2)</w:t>
                  </w:r>
                </w:p>
              </w:tc>
              <w:tc>
                <w:tcPr>
                  <w:tcW w:w="1271"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(9.0)</w:t>
                  </w:r>
                </w:p>
              </w:tc>
            </w:tr>
            <w:tr w:rsidR="00DD4FD5" w:rsidRPr="00DD4FD5" w:rsidTr="00DD4FD5">
              <w:tblPrEx>
                <w:jc w:val="left"/>
                <w:tblLook w:val="0000" w:firstRow="0" w:lastRow="0" w:firstColumn="0" w:lastColumn="0" w:noHBand="0" w:noVBand="0"/>
              </w:tblPrEx>
              <w:trPr>
                <w:gridAfter w:val="2"/>
                <w:wAfter w:w="1931" w:type="dxa"/>
              </w:trPr>
              <w:tc>
                <w:tcPr>
                  <w:tcW w:w="4997"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Depreciation and amortisation</w:t>
                  </w:r>
                  <w:r w:rsidRPr="00DD4FD5">
                    <w:rPr>
                      <w:sz w:val="18"/>
                      <w:szCs w:val="18"/>
                    </w:rPr>
                    <w:tab/>
                  </w:r>
                </w:p>
              </w:tc>
              <w:tc>
                <w:tcPr>
                  <w:tcW w:w="1637"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(3.1)</w:t>
                  </w:r>
                </w:p>
              </w:tc>
              <w:tc>
                <w:tcPr>
                  <w:tcW w:w="1294" w:type="dxa"/>
                  <w:gridSpan w:val="2"/>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(3.3)</w:t>
                  </w:r>
                </w:p>
              </w:tc>
              <w:tc>
                <w:tcPr>
                  <w:tcW w:w="1271"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(2.9)</w:t>
                  </w:r>
                </w:p>
              </w:tc>
            </w:tr>
            <w:tr w:rsidR="00DD4FD5" w:rsidRPr="00DD4FD5" w:rsidTr="00DD4FD5">
              <w:tblPrEx>
                <w:jc w:val="left"/>
                <w:tblLook w:val="0000" w:firstRow="0" w:lastRow="0" w:firstColumn="0" w:lastColumn="0" w:noHBand="0" w:noVBand="0"/>
              </w:tblPrEx>
              <w:trPr>
                <w:gridAfter w:val="2"/>
                <w:wAfter w:w="1931" w:type="dxa"/>
              </w:trPr>
              <w:tc>
                <w:tcPr>
                  <w:tcW w:w="4997"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Impairment losses on assets</w:t>
                  </w:r>
                  <w:r w:rsidRPr="00DD4FD5">
                    <w:rPr>
                      <w:sz w:val="18"/>
                      <w:szCs w:val="18"/>
                    </w:rPr>
                    <w:tab/>
                  </w:r>
                </w:p>
              </w:tc>
              <w:tc>
                <w:tcPr>
                  <w:tcW w:w="1637"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c>
                <w:tcPr>
                  <w:tcW w:w="1294"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(0.2)</w:t>
                  </w:r>
                </w:p>
              </w:tc>
              <w:tc>
                <w:tcPr>
                  <w:tcW w:w="1271"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(0.1)</w:t>
                  </w:r>
                </w:p>
              </w:tc>
            </w:tr>
            <w:tr w:rsidR="00DD4FD5" w:rsidRPr="00DD4FD5" w:rsidTr="00DD4FD5">
              <w:tblPrEx>
                <w:jc w:val="left"/>
                <w:tblLook w:val="0000" w:firstRow="0" w:lastRow="0" w:firstColumn="0" w:lastColumn="0" w:noHBand="0" w:noVBand="0"/>
              </w:tblPrEx>
              <w:trPr>
                <w:gridAfter w:val="2"/>
                <w:wAfter w:w="1931" w:type="dxa"/>
              </w:trPr>
              <w:tc>
                <w:tcPr>
                  <w:tcW w:w="4997"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Provisions</w:t>
                  </w:r>
                  <w:r w:rsidRPr="00DD4FD5">
                    <w:rPr>
                      <w:sz w:val="18"/>
                      <w:szCs w:val="18"/>
                    </w:rPr>
                    <w:tab/>
                  </w:r>
                </w:p>
              </w:tc>
              <w:tc>
                <w:tcPr>
                  <w:tcW w:w="1637"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(0.1)</w:t>
                  </w:r>
                </w:p>
              </w:tc>
              <w:tc>
                <w:tcPr>
                  <w:tcW w:w="1294" w:type="dxa"/>
                  <w:gridSpan w:val="2"/>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w:t>
                  </w:r>
                </w:p>
              </w:tc>
              <w:tc>
                <w:tcPr>
                  <w:tcW w:w="1271"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0.1</w:t>
                  </w:r>
                </w:p>
              </w:tc>
            </w:tr>
            <w:tr w:rsidR="00DD4FD5" w:rsidRPr="00DD4FD5" w:rsidTr="00DD4FD5">
              <w:tblPrEx>
                <w:jc w:val="left"/>
                <w:tblLook w:val="0000" w:firstRow="0" w:lastRow="0" w:firstColumn="0" w:lastColumn="0" w:noHBand="0" w:noVBand="0"/>
              </w:tblPrEx>
              <w:trPr>
                <w:gridAfter w:val="2"/>
                <w:wAfter w:w="1931" w:type="dxa"/>
              </w:trPr>
              <w:tc>
                <w:tcPr>
                  <w:tcW w:w="4997"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Other operating charges</w:t>
                  </w:r>
                  <w:r w:rsidRPr="00DD4FD5">
                    <w:rPr>
                      <w:sz w:val="18"/>
                      <w:szCs w:val="18"/>
                    </w:rPr>
                    <w:tab/>
                  </w:r>
                </w:p>
              </w:tc>
              <w:tc>
                <w:tcPr>
                  <w:tcW w:w="1637"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(1.2)</w:t>
                  </w:r>
                </w:p>
              </w:tc>
              <w:tc>
                <w:tcPr>
                  <w:tcW w:w="1294" w:type="dxa"/>
                  <w:gridSpan w:val="2"/>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(1.2)</w:t>
                  </w:r>
                </w:p>
              </w:tc>
              <w:tc>
                <w:tcPr>
                  <w:tcW w:w="1271"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(1.2)</w:t>
                  </w:r>
                </w:p>
              </w:tc>
            </w:tr>
            <w:tr w:rsidR="00DD4FD5" w:rsidRPr="00DD4FD5" w:rsidTr="00DD4FD5">
              <w:tblPrEx>
                <w:jc w:val="left"/>
                <w:tblLook w:val="0000" w:firstRow="0" w:lastRow="0" w:firstColumn="0" w:lastColumn="0" w:noHBand="0" w:noVBand="0"/>
              </w:tblPrEx>
              <w:trPr>
                <w:gridAfter w:val="2"/>
                <w:wAfter w:w="1931" w:type="dxa"/>
              </w:trPr>
              <w:tc>
                <w:tcPr>
                  <w:tcW w:w="4997"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Other operating charges carried to assets as restructuring costs (-)</w:t>
                  </w:r>
                  <w:r w:rsidRPr="00DD4FD5">
                    <w:rPr>
                      <w:sz w:val="18"/>
                      <w:szCs w:val="18"/>
                    </w:rPr>
                    <w:tab/>
                  </w:r>
                </w:p>
              </w:tc>
              <w:tc>
                <w:tcPr>
                  <w:tcW w:w="1637" w:type="dxa"/>
                  <w:gridSpan w:val="2"/>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w:t>
                  </w:r>
                </w:p>
              </w:tc>
              <w:tc>
                <w:tcPr>
                  <w:tcW w:w="1294" w:type="dxa"/>
                  <w:gridSpan w:val="2"/>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0.2</w:t>
                  </w:r>
                </w:p>
              </w:tc>
              <w:tc>
                <w:tcPr>
                  <w:tcW w:w="1271" w:type="dxa"/>
                  <w:gridSpan w:val="2"/>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0.2</w:t>
                  </w:r>
                </w:p>
              </w:tc>
            </w:tr>
            <w:tr w:rsidR="00DD4FD5" w:rsidRPr="00DD4FD5" w:rsidTr="00DD4FD5">
              <w:tblPrEx>
                <w:jc w:val="left"/>
                <w:tblLook w:val="0000" w:firstRow="0" w:lastRow="0" w:firstColumn="0" w:lastColumn="0" w:noHBand="0" w:noVBand="0"/>
              </w:tblPrEx>
              <w:trPr>
                <w:gridAfter w:val="2"/>
                <w:wAfter w:w="1931" w:type="dxa"/>
              </w:trPr>
              <w:tc>
                <w:tcPr>
                  <w:tcW w:w="4997" w:type="dxa"/>
                  <w:gridSpan w:val="2"/>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Operating result (EBIT)</w:t>
                  </w:r>
                  <w:r w:rsidRPr="00DD4FD5">
                    <w:rPr>
                      <w:sz w:val="18"/>
                      <w:szCs w:val="18"/>
                    </w:rPr>
                    <w:tab/>
                  </w:r>
                </w:p>
              </w:tc>
              <w:tc>
                <w:tcPr>
                  <w:tcW w:w="1637" w:type="dxa"/>
                  <w:gridSpan w:val="2"/>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4.3</w:t>
                  </w:r>
                </w:p>
              </w:tc>
              <w:tc>
                <w:tcPr>
                  <w:tcW w:w="1294" w:type="dxa"/>
                  <w:gridSpan w:val="2"/>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3.1</w:t>
                  </w:r>
                </w:p>
              </w:tc>
              <w:tc>
                <w:tcPr>
                  <w:tcW w:w="1271" w:type="dxa"/>
                  <w:gridSpan w:val="2"/>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2.3</w:t>
                  </w:r>
                </w:p>
              </w:tc>
            </w:tr>
            <w:tr w:rsidR="00750A88" w:rsidRPr="00DD4FD5" w:rsidTr="00DD4FD5">
              <w:tblPrEx>
                <w:jc w:val="left"/>
                <w:tblLook w:val="0000" w:firstRow="0" w:lastRow="0" w:firstColumn="0" w:lastColumn="0" w:noHBand="0" w:noVBand="0"/>
              </w:tblPrEx>
              <w:trPr>
                <w:gridAfter w:val="2"/>
                <w:wAfter w:w="1931" w:type="dxa"/>
              </w:trPr>
              <w:tc>
                <w:tcPr>
                  <w:tcW w:w="4997" w:type="dxa"/>
                  <w:gridSpan w:val="2"/>
                </w:tcPr>
                <w:p w:rsidR="00750A88" w:rsidRPr="00750A88" w:rsidRDefault="00750A88" w:rsidP="00750A88">
                  <w:pPr>
                    <w:pStyle w:val="NormalWeb"/>
                    <w:keepNext/>
                    <w:tabs>
                      <w:tab w:val="right" w:leader="dot" w:pos="5160"/>
                    </w:tabs>
                    <w:spacing w:before="0" w:after="0"/>
                    <w:ind w:left="240" w:hanging="240"/>
                    <w:rPr>
                      <w:b/>
                      <w:sz w:val="18"/>
                      <w:szCs w:val="18"/>
                    </w:rPr>
                  </w:pPr>
                  <w:r w:rsidRPr="00750A88">
                    <w:rPr>
                      <w:b/>
                      <w:sz w:val="18"/>
                      <w:szCs w:val="18"/>
                    </w:rPr>
                    <w:t>Recurring operating result (REBIT)</w:t>
                  </w:r>
                  <w:r w:rsidRPr="00DD4FD5">
                    <w:rPr>
                      <w:sz w:val="18"/>
                      <w:szCs w:val="18"/>
                    </w:rPr>
                    <w:t xml:space="preserve"> </w:t>
                  </w:r>
                  <w:r w:rsidRPr="00DD4FD5">
                    <w:rPr>
                      <w:sz w:val="18"/>
                      <w:szCs w:val="18"/>
                    </w:rPr>
                    <w:tab/>
                  </w:r>
                </w:p>
              </w:tc>
              <w:tc>
                <w:tcPr>
                  <w:tcW w:w="1637" w:type="dxa"/>
                  <w:gridSpan w:val="2"/>
                  <w:noWrap/>
                </w:tcPr>
                <w:p w:rsidR="00750A88" w:rsidRPr="00750A88" w:rsidRDefault="00750A88" w:rsidP="00750A88">
                  <w:pPr>
                    <w:pStyle w:val="NormalWeb"/>
                    <w:tabs>
                      <w:tab w:val="right" w:pos="720"/>
                      <w:tab w:val="decimal" w:pos="760"/>
                    </w:tabs>
                    <w:spacing w:before="0" w:after="0"/>
                    <w:jc w:val="right"/>
                    <w:rPr>
                      <w:b/>
                      <w:sz w:val="18"/>
                      <w:szCs w:val="18"/>
                    </w:rPr>
                  </w:pPr>
                  <w:r w:rsidRPr="00750A88">
                    <w:rPr>
                      <w:b/>
                      <w:sz w:val="18"/>
                      <w:szCs w:val="18"/>
                    </w:rPr>
                    <w:t>4.3</w:t>
                  </w:r>
                </w:p>
              </w:tc>
              <w:tc>
                <w:tcPr>
                  <w:tcW w:w="1294" w:type="dxa"/>
                  <w:gridSpan w:val="2"/>
                </w:tcPr>
                <w:p w:rsidR="00750A88" w:rsidRPr="00750A88" w:rsidRDefault="00750A88" w:rsidP="00750A88">
                  <w:pPr>
                    <w:pStyle w:val="NormalWeb"/>
                    <w:tabs>
                      <w:tab w:val="right" w:pos="720"/>
                      <w:tab w:val="decimal" w:pos="760"/>
                    </w:tabs>
                    <w:spacing w:before="0" w:after="0"/>
                    <w:jc w:val="right"/>
                    <w:rPr>
                      <w:b/>
                      <w:sz w:val="18"/>
                      <w:szCs w:val="18"/>
                    </w:rPr>
                  </w:pPr>
                  <w:r w:rsidRPr="00750A88">
                    <w:rPr>
                      <w:b/>
                      <w:sz w:val="18"/>
                      <w:szCs w:val="18"/>
                    </w:rPr>
                    <w:t>3.1</w:t>
                  </w:r>
                </w:p>
              </w:tc>
              <w:tc>
                <w:tcPr>
                  <w:tcW w:w="1271" w:type="dxa"/>
                  <w:gridSpan w:val="2"/>
                  <w:noWrap/>
                </w:tcPr>
                <w:p w:rsidR="00750A88" w:rsidRPr="00750A88" w:rsidRDefault="00750A88" w:rsidP="00750A88">
                  <w:pPr>
                    <w:pStyle w:val="NormalWeb"/>
                    <w:tabs>
                      <w:tab w:val="right" w:pos="720"/>
                      <w:tab w:val="decimal" w:pos="760"/>
                    </w:tabs>
                    <w:spacing w:before="0" w:after="0"/>
                    <w:jc w:val="right"/>
                    <w:rPr>
                      <w:b/>
                      <w:sz w:val="18"/>
                      <w:szCs w:val="18"/>
                    </w:rPr>
                  </w:pPr>
                  <w:r w:rsidRPr="00750A88">
                    <w:rPr>
                      <w:b/>
                      <w:sz w:val="18"/>
                      <w:szCs w:val="18"/>
                    </w:rPr>
                    <w:t>2.3</w:t>
                  </w:r>
                </w:p>
              </w:tc>
            </w:tr>
            <w:tr w:rsidR="00DD4FD5" w:rsidRPr="00DD4FD5" w:rsidTr="00DD4FD5">
              <w:tblPrEx>
                <w:jc w:val="left"/>
                <w:tblLook w:val="0000" w:firstRow="0" w:lastRow="0" w:firstColumn="0" w:lastColumn="0" w:noHBand="0" w:noVBand="0"/>
              </w:tblPrEx>
              <w:trPr>
                <w:gridAfter w:val="2"/>
                <w:wAfter w:w="1931" w:type="dxa"/>
              </w:trPr>
              <w:tc>
                <w:tcPr>
                  <w:tcW w:w="4997"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Financial income</w:t>
                  </w:r>
                  <w:r w:rsidRPr="00DD4FD5">
                    <w:rPr>
                      <w:sz w:val="18"/>
                      <w:szCs w:val="18"/>
                    </w:rPr>
                    <w:tab/>
                  </w:r>
                </w:p>
              </w:tc>
              <w:tc>
                <w:tcPr>
                  <w:tcW w:w="1637"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0.1</w:t>
                  </w:r>
                </w:p>
              </w:tc>
              <w:tc>
                <w:tcPr>
                  <w:tcW w:w="1294"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0.1</w:t>
                  </w:r>
                </w:p>
              </w:tc>
              <w:tc>
                <w:tcPr>
                  <w:tcW w:w="1271"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0.1</w:t>
                  </w:r>
                </w:p>
              </w:tc>
            </w:tr>
            <w:tr w:rsidR="00DD4FD5" w:rsidRPr="00DD4FD5" w:rsidTr="00DD4FD5">
              <w:tblPrEx>
                <w:jc w:val="left"/>
                <w:tblLook w:val="0000" w:firstRow="0" w:lastRow="0" w:firstColumn="0" w:lastColumn="0" w:noHBand="0" w:noVBand="0"/>
              </w:tblPrEx>
              <w:trPr>
                <w:gridAfter w:val="2"/>
                <w:wAfter w:w="1931" w:type="dxa"/>
              </w:trPr>
              <w:tc>
                <w:tcPr>
                  <w:tcW w:w="4997"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Financial expense</w:t>
                  </w:r>
                  <w:r w:rsidRPr="00DD4FD5">
                    <w:rPr>
                      <w:sz w:val="18"/>
                      <w:szCs w:val="18"/>
                    </w:rPr>
                    <w:tab/>
                  </w:r>
                </w:p>
                <w:p w:rsidR="00DD4FD5" w:rsidRPr="00DD4FD5" w:rsidRDefault="00DD4FD5" w:rsidP="00DD4FD5">
                  <w:pPr>
                    <w:pStyle w:val="la24"/>
                    <w:spacing w:before="0" w:after="0"/>
                    <w:rPr>
                      <w:sz w:val="18"/>
                      <w:szCs w:val="18"/>
                    </w:rPr>
                  </w:pPr>
                  <w:r w:rsidRPr="00DD4FD5">
                    <w:rPr>
                      <w:noProof w:val="0"/>
                      <w:sz w:val="18"/>
                      <w:szCs w:val="18"/>
                      <w:lang w:val="en-GB"/>
                    </w:rPr>
                    <w:t> </w:t>
                  </w:r>
                </w:p>
              </w:tc>
              <w:tc>
                <w:tcPr>
                  <w:tcW w:w="1637" w:type="dxa"/>
                  <w:gridSpan w:val="2"/>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(1.0)</w:t>
                  </w:r>
                </w:p>
              </w:tc>
              <w:tc>
                <w:tcPr>
                  <w:tcW w:w="1294" w:type="dxa"/>
                  <w:gridSpan w:val="2"/>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(1.1)</w:t>
                  </w:r>
                </w:p>
              </w:tc>
              <w:tc>
                <w:tcPr>
                  <w:tcW w:w="1271" w:type="dxa"/>
                  <w:gridSpan w:val="2"/>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(1.0)</w:t>
                  </w:r>
                </w:p>
              </w:tc>
            </w:tr>
            <w:tr w:rsidR="00DD4FD5" w:rsidRPr="00DD4FD5" w:rsidTr="00DD4FD5">
              <w:tblPrEx>
                <w:jc w:val="left"/>
                <w:tblLook w:val="0000" w:firstRow="0" w:lastRow="0" w:firstColumn="0" w:lastColumn="0" w:noHBand="0" w:noVBand="0"/>
              </w:tblPrEx>
              <w:trPr>
                <w:gridAfter w:val="2"/>
                <w:wAfter w:w="1931" w:type="dxa"/>
                <w:trHeight w:val="267"/>
              </w:trPr>
              <w:tc>
                <w:tcPr>
                  <w:tcW w:w="4997" w:type="dxa"/>
                  <w:gridSpan w:val="2"/>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 xml:space="preserve">Operating profit/(loss) after net finance costs </w:t>
                  </w:r>
                  <w:r w:rsidRPr="00DD4FD5">
                    <w:rPr>
                      <w:sz w:val="18"/>
                      <w:szCs w:val="18"/>
                    </w:rPr>
                    <w:tab/>
                  </w:r>
                </w:p>
                <w:p w:rsidR="00DD4FD5" w:rsidRPr="00DD4FD5" w:rsidRDefault="00DD4FD5" w:rsidP="00DD4FD5">
                  <w:pPr>
                    <w:pStyle w:val="la24"/>
                    <w:spacing w:before="0" w:after="0"/>
                    <w:rPr>
                      <w:b/>
                      <w:sz w:val="18"/>
                      <w:szCs w:val="18"/>
                    </w:rPr>
                  </w:pPr>
                  <w:r w:rsidRPr="00DD4FD5">
                    <w:rPr>
                      <w:noProof w:val="0"/>
                      <w:sz w:val="18"/>
                      <w:szCs w:val="18"/>
                      <w:lang w:val="en-GB"/>
                    </w:rPr>
                    <w:t> </w:t>
                  </w:r>
                </w:p>
              </w:tc>
              <w:tc>
                <w:tcPr>
                  <w:tcW w:w="1637" w:type="dxa"/>
                  <w:gridSpan w:val="2"/>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3.4</w:t>
                  </w:r>
                </w:p>
              </w:tc>
              <w:tc>
                <w:tcPr>
                  <w:tcW w:w="1294" w:type="dxa"/>
                  <w:gridSpan w:val="2"/>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2.0</w:t>
                  </w:r>
                </w:p>
              </w:tc>
              <w:tc>
                <w:tcPr>
                  <w:tcW w:w="1271" w:type="dxa"/>
                  <w:gridSpan w:val="2"/>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1.4</w:t>
                  </w:r>
                </w:p>
              </w:tc>
            </w:tr>
            <w:tr w:rsidR="00DD4FD5" w:rsidRPr="00DD4FD5" w:rsidTr="00DD4FD5">
              <w:tblPrEx>
                <w:jc w:val="left"/>
                <w:tblLook w:val="0000" w:firstRow="0" w:lastRow="0" w:firstColumn="0" w:lastColumn="0" w:noHBand="0" w:noVBand="0"/>
              </w:tblPrEx>
              <w:trPr>
                <w:gridAfter w:val="2"/>
                <w:wAfter w:w="1931" w:type="dxa"/>
                <w:trHeight w:val="267"/>
              </w:trPr>
              <w:tc>
                <w:tcPr>
                  <w:tcW w:w="4997"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Extraordinary income</w:t>
                  </w:r>
                  <w:r w:rsidRPr="00DD4FD5">
                    <w:rPr>
                      <w:sz w:val="18"/>
                      <w:szCs w:val="18"/>
                    </w:rPr>
                    <w:tab/>
                  </w:r>
                </w:p>
                <w:p w:rsidR="00DD4FD5" w:rsidRPr="00DD4FD5" w:rsidRDefault="00DD4FD5" w:rsidP="00DD4FD5">
                  <w:pPr>
                    <w:pStyle w:val="la24"/>
                    <w:spacing w:before="0" w:after="0"/>
                    <w:rPr>
                      <w:sz w:val="18"/>
                      <w:szCs w:val="18"/>
                    </w:rPr>
                  </w:pPr>
                  <w:r w:rsidRPr="00DD4FD5">
                    <w:rPr>
                      <w:noProof w:val="0"/>
                      <w:sz w:val="18"/>
                      <w:szCs w:val="18"/>
                      <w:lang w:val="en-GB"/>
                    </w:rPr>
                    <w:t> </w:t>
                  </w:r>
                </w:p>
              </w:tc>
              <w:tc>
                <w:tcPr>
                  <w:tcW w:w="1637"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0.3</w:t>
                  </w:r>
                </w:p>
              </w:tc>
              <w:tc>
                <w:tcPr>
                  <w:tcW w:w="1294"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0.7</w:t>
                  </w:r>
                </w:p>
              </w:tc>
              <w:tc>
                <w:tcPr>
                  <w:tcW w:w="1271"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0.2</w:t>
                  </w:r>
                </w:p>
              </w:tc>
            </w:tr>
            <w:tr w:rsidR="00DD4FD5" w:rsidRPr="00DD4FD5" w:rsidTr="00DD4FD5">
              <w:tblPrEx>
                <w:jc w:val="left"/>
                <w:tblLook w:val="0000" w:firstRow="0" w:lastRow="0" w:firstColumn="0" w:lastColumn="0" w:noHBand="0" w:noVBand="0"/>
              </w:tblPrEx>
              <w:trPr>
                <w:gridAfter w:val="2"/>
                <w:wAfter w:w="1931" w:type="dxa"/>
                <w:trHeight w:val="267"/>
              </w:trPr>
              <w:tc>
                <w:tcPr>
                  <w:tcW w:w="4997"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Extraordinary expense</w:t>
                  </w:r>
                  <w:r w:rsidRPr="00DD4FD5">
                    <w:rPr>
                      <w:sz w:val="18"/>
                      <w:szCs w:val="18"/>
                    </w:rPr>
                    <w:tab/>
                  </w:r>
                </w:p>
                <w:p w:rsidR="00DD4FD5" w:rsidRPr="00DD4FD5" w:rsidRDefault="00DD4FD5" w:rsidP="00DD4FD5">
                  <w:pPr>
                    <w:pStyle w:val="la24"/>
                    <w:spacing w:before="0" w:after="0"/>
                    <w:rPr>
                      <w:sz w:val="18"/>
                      <w:szCs w:val="18"/>
                    </w:rPr>
                  </w:pPr>
                  <w:r w:rsidRPr="00DD4FD5">
                    <w:rPr>
                      <w:noProof w:val="0"/>
                      <w:sz w:val="18"/>
                      <w:szCs w:val="18"/>
                      <w:lang w:val="en-GB"/>
                    </w:rPr>
                    <w:t> </w:t>
                  </w:r>
                </w:p>
              </w:tc>
              <w:tc>
                <w:tcPr>
                  <w:tcW w:w="1637" w:type="dxa"/>
                  <w:gridSpan w:val="2"/>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(0.7)</w:t>
                  </w:r>
                </w:p>
              </w:tc>
              <w:tc>
                <w:tcPr>
                  <w:tcW w:w="1294" w:type="dxa"/>
                  <w:gridSpan w:val="2"/>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(0.7)</w:t>
                  </w:r>
                </w:p>
              </w:tc>
              <w:tc>
                <w:tcPr>
                  <w:tcW w:w="1271" w:type="dxa"/>
                  <w:gridSpan w:val="2"/>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(0.5)</w:t>
                  </w:r>
                </w:p>
              </w:tc>
            </w:tr>
            <w:tr w:rsidR="00DD4FD5" w:rsidRPr="00DD4FD5" w:rsidTr="00DD4FD5">
              <w:tblPrEx>
                <w:jc w:val="left"/>
                <w:tblLook w:val="0000" w:firstRow="0" w:lastRow="0" w:firstColumn="0" w:lastColumn="0" w:noHBand="0" w:noVBand="0"/>
              </w:tblPrEx>
              <w:trPr>
                <w:gridAfter w:val="2"/>
                <w:wAfter w:w="1931" w:type="dxa"/>
              </w:trPr>
              <w:tc>
                <w:tcPr>
                  <w:tcW w:w="4997" w:type="dxa"/>
                  <w:gridSpan w:val="2"/>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Operating profit/(loss) after net finance costs</w:t>
                  </w:r>
                  <w:r w:rsidRPr="00DD4FD5">
                    <w:rPr>
                      <w:sz w:val="18"/>
                      <w:szCs w:val="18"/>
                    </w:rPr>
                    <w:tab/>
                  </w:r>
                </w:p>
              </w:tc>
              <w:tc>
                <w:tcPr>
                  <w:tcW w:w="1637" w:type="dxa"/>
                  <w:gridSpan w:val="2"/>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3.1</w:t>
                  </w:r>
                </w:p>
              </w:tc>
              <w:tc>
                <w:tcPr>
                  <w:tcW w:w="1294" w:type="dxa"/>
                  <w:gridSpan w:val="2"/>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2.0</w:t>
                  </w:r>
                </w:p>
              </w:tc>
              <w:tc>
                <w:tcPr>
                  <w:tcW w:w="1271" w:type="dxa"/>
                  <w:gridSpan w:val="2"/>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1.2</w:t>
                  </w:r>
                </w:p>
              </w:tc>
            </w:tr>
            <w:tr w:rsidR="00DD4FD5" w:rsidRPr="00DD4FD5" w:rsidTr="00DD4FD5">
              <w:tblPrEx>
                <w:jc w:val="left"/>
                <w:tblLook w:val="0000" w:firstRow="0" w:lastRow="0" w:firstColumn="0" w:lastColumn="0" w:noHBand="0" w:noVBand="0"/>
              </w:tblPrEx>
              <w:trPr>
                <w:gridAfter w:val="2"/>
                <w:wAfter w:w="1931" w:type="dxa"/>
              </w:trPr>
              <w:tc>
                <w:tcPr>
                  <w:tcW w:w="4997" w:type="dxa"/>
                  <w:gridSpan w:val="2"/>
                </w:tcPr>
                <w:p w:rsidR="00DD4FD5" w:rsidRPr="00DD4FD5" w:rsidRDefault="00DD4FD5" w:rsidP="00DD4FD5">
                  <w:pPr>
                    <w:pStyle w:val="la24"/>
                    <w:spacing w:before="0" w:after="0"/>
                    <w:rPr>
                      <w:noProof w:val="0"/>
                      <w:sz w:val="18"/>
                      <w:szCs w:val="18"/>
                      <w:lang w:val="en-GB"/>
                    </w:rPr>
                  </w:pPr>
                </w:p>
              </w:tc>
              <w:tc>
                <w:tcPr>
                  <w:tcW w:w="1637" w:type="dxa"/>
                  <w:gridSpan w:val="2"/>
                </w:tcPr>
                <w:p w:rsidR="00DD4FD5" w:rsidRPr="00DD4FD5" w:rsidRDefault="00DD4FD5" w:rsidP="00DD4FD5">
                  <w:pPr>
                    <w:pStyle w:val="rrdsinglerule4"/>
                    <w:spacing w:before="0" w:after="0"/>
                    <w:jc w:val="right"/>
                    <w:rPr>
                      <w:sz w:val="18"/>
                      <w:szCs w:val="18"/>
                      <w:lang w:val="en-GB"/>
                    </w:rPr>
                  </w:pPr>
                </w:p>
              </w:tc>
              <w:tc>
                <w:tcPr>
                  <w:tcW w:w="1294" w:type="dxa"/>
                  <w:gridSpan w:val="2"/>
                </w:tcPr>
                <w:p w:rsidR="00DD4FD5" w:rsidRPr="00DD4FD5" w:rsidRDefault="00DD4FD5" w:rsidP="00DD4FD5">
                  <w:pPr>
                    <w:pStyle w:val="rrdsinglerule4"/>
                    <w:spacing w:before="0" w:after="0"/>
                    <w:jc w:val="right"/>
                    <w:rPr>
                      <w:sz w:val="18"/>
                      <w:szCs w:val="18"/>
                      <w:lang w:val="en-GB"/>
                    </w:rPr>
                  </w:pPr>
                </w:p>
              </w:tc>
              <w:tc>
                <w:tcPr>
                  <w:tcW w:w="1271" w:type="dxa"/>
                  <w:gridSpan w:val="2"/>
                </w:tcPr>
                <w:p w:rsidR="00DD4FD5" w:rsidRPr="00DD4FD5" w:rsidRDefault="00DD4FD5" w:rsidP="00DD4FD5">
                  <w:pPr>
                    <w:pStyle w:val="rrdsinglerule4"/>
                    <w:spacing w:before="0" w:after="0"/>
                    <w:jc w:val="right"/>
                    <w:rPr>
                      <w:sz w:val="18"/>
                      <w:szCs w:val="18"/>
                      <w:lang w:val="en-GB"/>
                    </w:rPr>
                  </w:pPr>
                </w:p>
              </w:tc>
            </w:tr>
            <w:tr w:rsidR="00DD4FD5" w:rsidRPr="00DD4FD5" w:rsidTr="00DD4FD5">
              <w:tblPrEx>
                <w:jc w:val="left"/>
                <w:tblLook w:val="0000" w:firstRow="0" w:lastRow="0" w:firstColumn="0" w:lastColumn="0" w:noHBand="0" w:noVBand="0"/>
              </w:tblPrEx>
              <w:trPr>
                <w:gridAfter w:val="2"/>
                <w:wAfter w:w="1931" w:type="dxa"/>
              </w:trPr>
              <w:tc>
                <w:tcPr>
                  <w:tcW w:w="4997"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Taxes</w:t>
                  </w:r>
                  <w:r w:rsidRPr="00DD4FD5">
                    <w:rPr>
                      <w:sz w:val="18"/>
                      <w:szCs w:val="18"/>
                    </w:rPr>
                    <w:tab/>
                  </w:r>
                </w:p>
              </w:tc>
              <w:tc>
                <w:tcPr>
                  <w:tcW w:w="1637" w:type="dxa"/>
                  <w:gridSpan w:val="2"/>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(0.6)</w:t>
                  </w:r>
                </w:p>
              </w:tc>
              <w:tc>
                <w:tcPr>
                  <w:tcW w:w="1294" w:type="dxa"/>
                  <w:gridSpan w:val="2"/>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(0.4)</w:t>
                  </w:r>
                </w:p>
              </w:tc>
              <w:tc>
                <w:tcPr>
                  <w:tcW w:w="1271" w:type="dxa"/>
                  <w:gridSpan w:val="2"/>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(0.2)</w:t>
                  </w:r>
                </w:p>
              </w:tc>
            </w:tr>
            <w:tr w:rsidR="00DD4FD5" w:rsidRPr="00DD4FD5" w:rsidTr="00DD4FD5">
              <w:tblPrEx>
                <w:jc w:val="left"/>
                <w:tblLook w:val="0000" w:firstRow="0" w:lastRow="0" w:firstColumn="0" w:lastColumn="0" w:noHBand="0" w:noVBand="0"/>
              </w:tblPrEx>
              <w:trPr>
                <w:gridAfter w:val="2"/>
                <w:wAfter w:w="1931" w:type="dxa"/>
                <w:trHeight w:val="465"/>
              </w:trPr>
              <w:tc>
                <w:tcPr>
                  <w:tcW w:w="4997" w:type="dxa"/>
                  <w:gridSpan w:val="2"/>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Profit/(loss) for the period</w:t>
                  </w:r>
                  <w:r w:rsidRPr="00DD4FD5">
                    <w:rPr>
                      <w:sz w:val="18"/>
                      <w:szCs w:val="18"/>
                    </w:rPr>
                    <w:tab/>
                  </w:r>
                </w:p>
                <w:p w:rsidR="00DD4FD5" w:rsidRPr="00DD4FD5" w:rsidRDefault="00DD4FD5" w:rsidP="00DD4FD5">
                  <w:pPr>
                    <w:pStyle w:val="NormalWeb"/>
                    <w:keepNext/>
                    <w:tabs>
                      <w:tab w:val="right" w:leader="dot" w:pos="5160"/>
                    </w:tabs>
                    <w:spacing w:before="0" w:after="0"/>
                    <w:rPr>
                      <w:sz w:val="18"/>
                      <w:szCs w:val="18"/>
                    </w:rPr>
                  </w:pPr>
                  <w:r w:rsidRPr="00DD4FD5">
                    <w:rPr>
                      <w:sz w:val="18"/>
                      <w:szCs w:val="18"/>
                    </w:rPr>
                    <w:t>Attributable to:</w:t>
                  </w:r>
                </w:p>
              </w:tc>
              <w:tc>
                <w:tcPr>
                  <w:tcW w:w="1637" w:type="dxa"/>
                  <w:gridSpan w:val="2"/>
                  <w:noWrap/>
                </w:tcPr>
                <w:p w:rsidR="00DD4FD5" w:rsidRPr="00DD4FD5" w:rsidRDefault="00DD4FD5" w:rsidP="00DD4FD5">
                  <w:pPr>
                    <w:pStyle w:val="NormalWeb"/>
                    <w:pBdr>
                      <w:bottom w:val="single" w:sz="4" w:space="1" w:color="auto"/>
                    </w:pBdr>
                    <w:tabs>
                      <w:tab w:val="right" w:pos="720"/>
                      <w:tab w:val="decimal" w:pos="760"/>
                    </w:tabs>
                    <w:spacing w:before="0" w:after="0"/>
                    <w:jc w:val="right"/>
                    <w:rPr>
                      <w:b/>
                      <w:sz w:val="18"/>
                      <w:szCs w:val="18"/>
                    </w:rPr>
                  </w:pPr>
                  <w:r w:rsidRPr="00DD4FD5">
                    <w:rPr>
                      <w:b/>
                      <w:sz w:val="18"/>
                      <w:szCs w:val="18"/>
                    </w:rPr>
                    <w:t>2.4</w:t>
                  </w:r>
                </w:p>
              </w:tc>
              <w:tc>
                <w:tcPr>
                  <w:tcW w:w="1294" w:type="dxa"/>
                  <w:gridSpan w:val="2"/>
                </w:tcPr>
                <w:p w:rsidR="00DD4FD5" w:rsidRPr="00DD4FD5" w:rsidRDefault="00DD4FD5" w:rsidP="00DD4FD5">
                  <w:pPr>
                    <w:pStyle w:val="NormalWeb"/>
                    <w:pBdr>
                      <w:bottom w:val="single" w:sz="4" w:space="1" w:color="auto"/>
                    </w:pBdr>
                    <w:tabs>
                      <w:tab w:val="right" w:pos="720"/>
                      <w:tab w:val="decimal" w:pos="760"/>
                    </w:tabs>
                    <w:spacing w:before="0" w:after="0"/>
                    <w:jc w:val="right"/>
                    <w:rPr>
                      <w:b/>
                      <w:bCs/>
                      <w:sz w:val="18"/>
                      <w:szCs w:val="18"/>
                    </w:rPr>
                  </w:pPr>
                  <w:r w:rsidRPr="00DD4FD5">
                    <w:rPr>
                      <w:b/>
                      <w:bCs/>
                      <w:sz w:val="18"/>
                      <w:szCs w:val="18"/>
                    </w:rPr>
                    <w:t>1.6</w:t>
                  </w:r>
                </w:p>
              </w:tc>
              <w:tc>
                <w:tcPr>
                  <w:tcW w:w="1271" w:type="dxa"/>
                  <w:gridSpan w:val="2"/>
                  <w:noWrap/>
                </w:tcPr>
                <w:p w:rsidR="00DD4FD5" w:rsidRPr="00DD4FD5" w:rsidRDefault="00DD4FD5" w:rsidP="00DD4FD5">
                  <w:pPr>
                    <w:pStyle w:val="NormalWeb"/>
                    <w:pBdr>
                      <w:bottom w:val="single" w:sz="4" w:space="1" w:color="auto"/>
                    </w:pBdr>
                    <w:tabs>
                      <w:tab w:val="right" w:pos="720"/>
                      <w:tab w:val="decimal" w:pos="760"/>
                    </w:tabs>
                    <w:spacing w:before="0" w:after="0"/>
                    <w:jc w:val="right"/>
                    <w:rPr>
                      <w:b/>
                      <w:sz w:val="18"/>
                      <w:szCs w:val="18"/>
                    </w:rPr>
                  </w:pPr>
                  <w:r w:rsidRPr="00DD4FD5">
                    <w:rPr>
                      <w:b/>
                      <w:sz w:val="18"/>
                      <w:szCs w:val="18"/>
                    </w:rPr>
                    <w:t>1.0</w:t>
                  </w:r>
                </w:p>
              </w:tc>
            </w:tr>
            <w:tr w:rsidR="00DD4FD5" w:rsidRPr="00DD4FD5" w:rsidTr="00DD4FD5">
              <w:tblPrEx>
                <w:jc w:val="left"/>
                <w:tblLook w:val="0000" w:firstRow="0" w:lastRow="0" w:firstColumn="0" w:lastColumn="0" w:noHBand="0" w:noVBand="0"/>
              </w:tblPrEx>
              <w:trPr>
                <w:gridAfter w:val="2"/>
                <w:wAfter w:w="1931" w:type="dxa"/>
                <w:trHeight w:val="302"/>
              </w:trPr>
              <w:tc>
                <w:tcPr>
                  <w:tcW w:w="4997" w:type="dxa"/>
                  <w:gridSpan w:val="2"/>
                </w:tcPr>
                <w:p w:rsidR="00DD4FD5" w:rsidRPr="00DD4FD5" w:rsidRDefault="00DD4FD5" w:rsidP="00DD4FD5">
                  <w:pPr>
                    <w:spacing w:before="0" w:after="0"/>
                    <w:jc w:val="left"/>
                    <w:rPr>
                      <w:bCs/>
                      <w:sz w:val="18"/>
                      <w:szCs w:val="18"/>
                      <w:lang w:eastAsia="en-GB"/>
                    </w:rPr>
                  </w:pPr>
                  <w:r w:rsidRPr="00DD4FD5">
                    <w:rPr>
                      <w:bCs/>
                      <w:sz w:val="18"/>
                      <w:szCs w:val="18"/>
                      <w:lang w:eastAsia="en-GB"/>
                    </w:rPr>
                    <w:t>-</w:t>
                  </w:r>
                  <w:r w:rsidR="00C14169">
                    <w:rPr>
                      <w:bCs/>
                      <w:sz w:val="18"/>
                      <w:szCs w:val="18"/>
                      <w:lang w:eastAsia="en-GB"/>
                    </w:rPr>
                    <w:t xml:space="preserve"> </w:t>
                  </w:r>
                  <w:r w:rsidRPr="00DD4FD5">
                    <w:rPr>
                      <w:bCs/>
                      <w:sz w:val="18"/>
                      <w:szCs w:val="18"/>
                      <w:lang w:eastAsia="en-GB"/>
                    </w:rPr>
                    <w:t>The shareholders of Peatinvest</w:t>
                  </w:r>
                </w:p>
              </w:tc>
              <w:tc>
                <w:tcPr>
                  <w:tcW w:w="1637"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2.4</w:t>
                  </w:r>
                </w:p>
              </w:tc>
              <w:tc>
                <w:tcPr>
                  <w:tcW w:w="1294"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1.6</w:t>
                  </w:r>
                </w:p>
              </w:tc>
              <w:tc>
                <w:tcPr>
                  <w:tcW w:w="1271"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1.0</w:t>
                  </w:r>
                </w:p>
              </w:tc>
            </w:tr>
            <w:tr w:rsidR="00DD4FD5" w:rsidRPr="00DF22C5" w:rsidTr="00DD4FD5">
              <w:tblPrEx>
                <w:jc w:val="left"/>
                <w:tblLook w:val="0000" w:firstRow="0" w:lastRow="0" w:firstColumn="0" w:lastColumn="0" w:noHBand="0" w:noVBand="0"/>
              </w:tblPrEx>
              <w:trPr>
                <w:gridAfter w:val="2"/>
                <w:wAfter w:w="1931" w:type="dxa"/>
                <w:trHeight w:val="465"/>
              </w:trPr>
              <w:tc>
                <w:tcPr>
                  <w:tcW w:w="4997" w:type="dxa"/>
                  <w:gridSpan w:val="2"/>
                </w:tcPr>
                <w:p w:rsidR="00DD4FD5" w:rsidRPr="00DD4FD5" w:rsidRDefault="00DD4FD5" w:rsidP="00DD4FD5">
                  <w:pPr>
                    <w:spacing w:before="0" w:after="0"/>
                    <w:jc w:val="left"/>
                    <w:rPr>
                      <w:bCs/>
                      <w:sz w:val="18"/>
                      <w:szCs w:val="18"/>
                      <w:lang w:eastAsia="en-GB"/>
                    </w:rPr>
                  </w:pPr>
                  <w:r w:rsidRPr="00DD4FD5">
                    <w:rPr>
                      <w:bCs/>
                      <w:sz w:val="18"/>
                      <w:szCs w:val="18"/>
                      <w:lang w:eastAsia="en-GB"/>
                    </w:rPr>
                    <w:t>-</w:t>
                  </w:r>
                  <w:r w:rsidR="00C14169">
                    <w:rPr>
                      <w:bCs/>
                      <w:sz w:val="18"/>
                      <w:szCs w:val="18"/>
                      <w:lang w:eastAsia="en-GB"/>
                    </w:rPr>
                    <w:t xml:space="preserve"> </w:t>
                  </w:r>
                  <w:r w:rsidRPr="00DD4FD5">
                    <w:rPr>
                      <w:bCs/>
                      <w:sz w:val="18"/>
                      <w:szCs w:val="18"/>
                      <w:lang w:eastAsia="en-GB"/>
                    </w:rPr>
                    <w:t>Non-controlling interest</w:t>
                  </w:r>
                </w:p>
              </w:tc>
              <w:tc>
                <w:tcPr>
                  <w:tcW w:w="1637"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c>
                <w:tcPr>
                  <w:tcW w:w="1294"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c>
                <w:tcPr>
                  <w:tcW w:w="1271"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r>
          </w:tbl>
          <w:p w:rsidR="00DD4FD5" w:rsidRPr="00E90D89" w:rsidRDefault="00DD4FD5" w:rsidP="00DD4FD5">
            <w:pPr>
              <w:spacing w:before="0" w:after="0"/>
              <w:rPr>
                <w:sz w:val="18"/>
                <w:szCs w:val="18"/>
              </w:rPr>
            </w:pPr>
          </w:p>
        </w:tc>
      </w:tr>
    </w:tbl>
    <w:p w:rsidR="00DD4FD5" w:rsidRDefault="00DD4FD5" w:rsidP="00353B80">
      <w:pPr>
        <w:pStyle w:val="Firm5L3"/>
        <w:keepNext/>
      </w:pPr>
      <w:r>
        <w:t>Statement of financial position</w:t>
      </w:r>
      <w:r w:rsidRPr="00992199">
        <w:t xml:space="preserve"> as per 3</w:t>
      </w:r>
      <w:r>
        <w:t>0</w:t>
      </w:r>
      <w:r w:rsidRPr="00992199">
        <w:t> </w:t>
      </w:r>
      <w:r>
        <w:t>September</w:t>
      </w:r>
      <w:r w:rsidRPr="00992199">
        <w:t xml:space="preserve"> 201</w:t>
      </w:r>
      <w:r>
        <w:t>4</w:t>
      </w:r>
      <w:r w:rsidRPr="00992199">
        <w:t>, 3</w:t>
      </w:r>
      <w:r>
        <w:t>0</w:t>
      </w:r>
      <w:r w:rsidRPr="00992199">
        <w:t> </w:t>
      </w:r>
      <w:r>
        <w:t>September</w:t>
      </w:r>
      <w:r w:rsidRPr="00992199">
        <w:t xml:space="preserve"> 201</w:t>
      </w:r>
      <w:r>
        <w:t>3 and</w:t>
      </w:r>
      <w:r w:rsidR="00C14169">
        <w:t xml:space="preserve"> </w:t>
      </w:r>
      <w:r w:rsidRPr="00992199">
        <w:t>3</w:t>
      </w:r>
      <w:r>
        <w:t>0</w:t>
      </w:r>
      <w:r w:rsidRPr="00992199">
        <w:t> </w:t>
      </w:r>
      <w:r>
        <w:t>September</w:t>
      </w:r>
      <w:r w:rsidRPr="00992199">
        <w:t xml:space="preserve"> 201</w:t>
      </w:r>
      <w:r>
        <w:t>2</w:t>
      </w:r>
    </w:p>
    <w:tbl>
      <w:tblPr>
        <w:tblW w:w="9464" w:type="dxa"/>
        <w:tblLook w:val="0000" w:firstRow="0" w:lastRow="0" w:firstColumn="0" w:lastColumn="0" w:noHBand="0" w:noVBand="0"/>
      </w:tblPr>
      <w:tblGrid>
        <w:gridCol w:w="5077"/>
        <w:gridCol w:w="55"/>
        <w:gridCol w:w="1529"/>
        <w:gridCol w:w="107"/>
        <w:gridCol w:w="1134"/>
        <w:gridCol w:w="160"/>
        <w:gridCol w:w="1172"/>
        <w:gridCol w:w="230"/>
      </w:tblGrid>
      <w:tr w:rsidR="00DD4FD5" w:rsidRPr="00DD4FD5" w:rsidTr="00DD4FD5">
        <w:trPr>
          <w:gridAfter w:val="1"/>
          <w:wAfter w:w="230" w:type="dxa"/>
        </w:trPr>
        <w:tc>
          <w:tcPr>
            <w:tcW w:w="5077" w:type="dxa"/>
            <w:vAlign w:val="center"/>
          </w:tcPr>
          <w:p w:rsidR="00DD4FD5" w:rsidRPr="00DD4FD5" w:rsidRDefault="00DD4FD5" w:rsidP="00DD4FD5">
            <w:pPr>
              <w:pStyle w:val="NormalWeb"/>
              <w:keepNext/>
              <w:spacing w:before="0" w:after="0"/>
              <w:ind w:left="240" w:hanging="240"/>
              <w:jc w:val="left"/>
              <w:rPr>
                <w:bCs/>
                <w:i/>
                <w:sz w:val="18"/>
                <w:szCs w:val="18"/>
              </w:rPr>
            </w:pPr>
          </w:p>
          <w:p w:rsidR="00DD4FD5" w:rsidRPr="00DD4FD5" w:rsidRDefault="00DD4FD5" w:rsidP="00DD4FD5">
            <w:pPr>
              <w:pStyle w:val="NormalWeb"/>
              <w:keepNext/>
              <w:spacing w:before="0" w:after="0"/>
              <w:ind w:left="240" w:hanging="240"/>
              <w:jc w:val="left"/>
              <w:rPr>
                <w:bCs/>
                <w:i/>
                <w:sz w:val="18"/>
                <w:szCs w:val="18"/>
              </w:rPr>
            </w:pPr>
            <w:r w:rsidRPr="00DD4FD5">
              <w:rPr>
                <w:bCs/>
                <w:i/>
                <w:sz w:val="18"/>
                <w:szCs w:val="18"/>
              </w:rPr>
              <w:t>(</w:t>
            </w:r>
            <w:r w:rsidR="00E53641">
              <w:rPr>
                <w:bCs/>
                <w:i/>
                <w:sz w:val="18"/>
                <w:szCs w:val="18"/>
              </w:rPr>
              <w:t>EUR </w:t>
            </w:r>
            <w:r w:rsidRPr="00DD4FD5">
              <w:rPr>
                <w:bCs/>
                <w:i/>
                <w:sz w:val="18"/>
                <w:szCs w:val="18"/>
              </w:rPr>
              <w:t>in millions)</w:t>
            </w:r>
          </w:p>
        </w:tc>
        <w:tc>
          <w:tcPr>
            <w:tcW w:w="1584" w:type="dxa"/>
            <w:gridSpan w:val="2"/>
            <w:vAlign w:val="bottom"/>
          </w:tcPr>
          <w:p w:rsidR="00DD4FD5" w:rsidRPr="00DD4FD5" w:rsidRDefault="00DD4FD5" w:rsidP="00DD4FD5">
            <w:pPr>
              <w:pBdr>
                <w:bottom w:val="single" w:sz="4" w:space="1" w:color="auto"/>
              </w:pBdr>
              <w:spacing w:before="0" w:after="0"/>
              <w:ind w:left="141"/>
              <w:jc w:val="center"/>
              <w:rPr>
                <w:sz w:val="18"/>
                <w:szCs w:val="18"/>
              </w:rPr>
            </w:pPr>
            <w:r w:rsidRPr="00DD4FD5">
              <w:rPr>
                <w:b/>
                <w:bCs/>
                <w:sz w:val="18"/>
                <w:szCs w:val="18"/>
              </w:rPr>
              <w:br/>
              <w:t xml:space="preserve">30 September </w:t>
            </w:r>
            <w:r w:rsidRPr="00DD4FD5">
              <w:rPr>
                <w:b/>
                <w:bCs/>
                <w:sz w:val="18"/>
                <w:szCs w:val="18"/>
              </w:rPr>
              <w:br/>
              <w:t>2014</w:t>
            </w:r>
          </w:p>
        </w:tc>
        <w:tc>
          <w:tcPr>
            <w:tcW w:w="1241" w:type="dxa"/>
            <w:gridSpan w:val="2"/>
          </w:tcPr>
          <w:p w:rsidR="00DD4FD5" w:rsidRPr="00DD4FD5" w:rsidRDefault="00DD4FD5" w:rsidP="00DD4FD5">
            <w:pPr>
              <w:pBdr>
                <w:bottom w:val="single" w:sz="4" w:space="1" w:color="auto"/>
              </w:pBdr>
              <w:spacing w:before="0" w:after="0"/>
              <w:ind w:right="-150"/>
              <w:jc w:val="center"/>
              <w:rPr>
                <w:b/>
                <w:bCs/>
                <w:sz w:val="18"/>
                <w:szCs w:val="18"/>
              </w:rPr>
            </w:pPr>
          </w:p>
          <w:p w:rsidR="00DD4FD5" w:rsidRPr="00DD4FD5" w:rsidRDefault="00DD4FD5" w:rsidP="00DD4FD5">
            <w:pPr>
              <w:pBdr>
                <w:bottom w:val="single" w:sz="4" w:space="1" w:color="auto"/>
              </w:pBdr>
              <w:spacing w:before="0" w:after="0"/>
              <w:ind w:right="-150"/>
              <w:jc w:val="center"/>
              <w:rPr>
                <w:b/>
                <w:bCs/>
                <w:sz w:val="18"/>
                <w:szCs w:val="18"/>
              </w:rPr>
            </w:pPr>
            <w:r w:rsidRPr="00DD4FD5">
              <w:rPr>
                <w:b/>
                <w:bCs/>
                <w:sz w:val="18"/>
                <w:szCs w:val="18"/>
              </w:rPr>
              <w:t>30 September</w:t>
            </w:r>
            <w:r w:rsidRPr="00DD4FD5">
              <w:rPr>
                <w:b/>
                <w:bCs/>
                <w:sz w:val="18"/>
                <w:szCs w:val="18"/>
              </w:rPr>
              <w:br/>
              <w:t>2013</w:t>
            </w:r>
          </w:p>
        </w:tc>
        <w:tc>
          <w:tcPr>
            <w:tcW w:w="1332" w:type="dxa"/>
            <w:gridSpan w:val="2"/>
            <w:vAlign w:val="bottom"/>
          </w:tcPr>
          <w:p w:rsidR="00DD4FD5" w:rsidRPr="00DD4FD5" w:rsidRDefault="00DD4FD5" w:rsidP="00DD4FD5">
            <w:pPr>
              <w:pBdr>
                <w:bottom w:val="single" w:sz="4" w:space="1" w:color="auto"/>
              </w:pBdr>
              <w:spacing w:before="0" w:after="0"/>
              <w:jc w:val="center"/>
              <w:rPr>
                <w:sz w:val="18"/>
                <w:szCs w:val="18"/>
              </w:rPr>
            </w:pPr>
            <w:r w:rsidRPr="00DD4FD5">
              <w:rPr>
                <w:b/>
                <w:bCs/>
                <w:sz w:val="18"/>
                <w:szCs w:val="18"/>
              </w:rPr>
              <w:t>30 September</w:t>
            </w:r>
            <w:r w:rsidRPr="00DD4FD5">
              <w:rPr>
                <w:b/>
                <w:bCs/>
                <w:sz w:val="18"/>
                <w:szCs w:val="18"/>
              </w:rPr>
              <w:br/>
              <w:t>2012</w:t>
            </w:r>
          </w:p>
        </w:tc>
      </w:tr>
      <w:tr w:rsidR="00DD4FD5" w:rsidRPr="00DD4FD5" w:rsidTr="00DD4FD5">
        <w:trPr>
          <w:gridAfter w:val="1"/>
          <w:wAfter w:w="230" w:type="dxa"/>
          <w:trHeight w:val="332"/>
        </w:trPr>
        <w:tc>
          <w:tcPr>
            <w:tcW w:w="5077" w:type="dxa"/>
          </w:tcPr>
          <w:p w:rsidR="00DD4FD5" w:rsidRPr="00DD4FD5" w:rsidRDefault="00DD4FD5" w:rsidP="00DD4FD5">
            <w:pPr>
              <w:pStyle w:val="NormalWeb"/>
              <w:keepNext/>
              <w:spacing w:before="0" w:after="0"/>
              <w:rPr>
                <w:b/>
                <w:bCs/>
                <w:sz w:val="18"/>
                <w:szCs w:val="18"/>
              </w:rPr>
            </w:pPr>
            <w:r w:rsidRPr="00DD4FD5">
              <w:rPr>
                <w:b/>
                <w:bCs/>
                <w:sz w:val="18"/>
                <w:szCs w:val="18"/>
              </w:rPr>
              <w:t>ASSETS</w:t>
            </w:r>
          </w:p>
        </w:tc>
        <w:tc>
          <w:tcPr>
            <w:tcW w:w="1584" w:type="dxa"/>
            <w:gridSpan w:val="2"/>
          </w:tcPr>
          <w:p w:rsidR="00DD4FD5" w:rsidRPr="00DD4FD5" w:rsidRDefault="00DD4FD5" w:rsidP="00DD4FD5">
            <w:pPr>
              <w:pStyle w:val="la24"/>
              <w:spacing w:before="0" w:after="0"/>
              <w:jc w:val="right"/>
              <w:rPr>
                <w:noProof w:val="0"/>
                <w:sz w:val="18"/>
                <w:szCs w:val="18"/>
                <w:lang w:val="en-GB"/>
              </w:rPr>
            </w:pPr>
            <w:r w:rsidRPr="00DD4FD5">
              <w:rPr>
                <w:noProof w:val="0"/>
                <w:sz w:val="18"/>
                <w:szCs w:val="18"/>
                <w:lang w:val="en-GB"/>
              </w:rPr>
              <w:t> </w:t>
            </w:r>
          </w:p>
        </w:tc>
        <w:tc>
          <w:tcPr>
            <w:tcW w:w="1241" w:type="dxa"/>
            <w:gridSpan w:val="2"/>
          </w:tcPr>
          <w:p w:rsidR="00DD4FD5" w:rsidRPr="00DD4FD5" w:rsidRDefault="00DD4FD5" w:rsidP="00DD4FD5">
            <w:pPr>
              <w:pStyle w:val="la24"/>
              <w:spacing w:before="0" w:after="0"/>
              <w:jc w:val="right"/>
              <w:rPr>
                <w:noProof w:val="0"/>
                <w:sz w:val="18"/>
                <w:szCs w:val="18"/>
                <w:lang w:val="en-GB"/>
              </w:rPr>
            </w:pPr>
          </w:p>
        </w:tc>
        <w:tc>
          <w:tcPr>
            <w:tcW w:w="1332" w:type="dxa"/>
            <w:gridSpan w:val="2"/>
          </w:tcPr>
          <w:p w:rsidR="00DD4FD5" w:rsidRPr="00DD4FD5" w:rsidRDefault="00DD4FD5" w:rsidP="00DD4FD5">
            <w:pPr>
              <w:pStyle w:val="la24"/>
              <w:spacing w:before="0" w:after="0"/>
              <w:jc w:val="right"/>
              <w:rPr>
                <w:noProof w:val="0"/>
                <w:sz w:val="18"/>
                <w:szCs w:val="18"/>
                <w:lang w:val="en-GB"/>
              </w:rPr>
            </w:pPr>
            <w:r w:rsidRPr="00DD4FD5">
              <w:rPr>
                <w:noProof w:val="0"/>
                <w:sz w:val="18"/>
                <w:szCs w:val="18"/>
                <w:lang w:val="en-GB"/>
              </w:rPr>
              <w:t> </w:t>
            </w:r>
          </w:p>
        </w:tc>
      </w:tr>
      <w:tr w:rsidR="00DD4FD5" w:rsidRPr="00DD4FD5" w:rsidTr="00DD4FD5">
        <w:trPr>
          <w:gridAfter w:val="1"/>
          <w:wAfter w:w="230" w:type="dxa"/>
        </w:trPr>
        <w:tc>
          <w:tcPr>
            <w:tcW w:w="5077" w:type="dxa"/>
          </w:tcPr>
          <w:p w:rsidR="00DD4FD5" w:rsidRPr="00DD4FD5" w:rsidRDefault="00DD4FD5" w:rsidP="00DD4FD5">
            <w:pPr>
              <w:pStyle w:val="NormalWeb"/>
              <w:keepNext/>
              <w:tabs>
                <w:tab w:val="right" w:leader="dot" w:pos="5160"/>
              </w:tabs>
              <w:spacing w:before="0" w:after="0"/>
              <w:rPr>
                <w:sz w:val="18"/>
                <w:szCs w:val="18"/>
              </w:rPr>
            </w:pPr>
            <w:r w:rsidRPr="00DD4FD5">
              <w:rPr>
                <w:rStyle w:val="Style8pt"/>
              </w:rPr>
              <w:t>Formation expenses</w:t>
            </w:r>
            <w:r w:rsidRPr="00DD4FD5">
              <w:rPr>
                <w:sz w:val="18"/>
                <w:szCs w:val="18"/>
              </w:rPr>
              <w:tab/>
            </w:r>
          </w:p>
        </w:tc>
        <w:tc>
          <w:tcPr>
            <w:tcW w:w="1584" w:type="dxa"/>
            <w:gridSpan w:val="2"/>
            <w:noWrap/>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0.2</w:t>
            </w:r>
          </w:p>
        </w:tc>
        <w:tc>
          <w:tcPr>
            <w:tcW w:w="1241" w:type="dxa"/>
            <w:gridSpan w:val="2"/>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0.4</w:t>
            </w:r>
          </w:p>
        </w:tc>
        <w:tc>
          <w:tcPr>
            <w:tcW w:w="1332"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0.3</w:t>
            </w:r>
          </w:p>
        </w:tc>
      </w:tr>
      <w:tr w:rsidR="00DD4FD5" w:rsidRPr="00DD4FD5" w:rsidTr="00DD4FD5">
        <w:trPr>
          <w:gridAfter w:val="1"/>
          <w:wAfter w:w="230" w:type="dxa"/>
        </w:trPr>
        <w:tc>
          <w:tcPr>
            <w:tcW w:w="5077" w:type="dxa"/>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rStyle w:val="Style8pt"/>
                <w:sz w:val="18"/>
                <w:szCs w:val="18"/>
              </w:rPr>
              <w:t>Intangible fixed assets</w:t>
            </w:r>
            <w:r w:rsidRPr="00DD4FD5">
              <w:rPr>
                <w:sz w:val="18"/>
                <w:szCs w:val="18"/>
              </w:rPr>
              <w:tab/>
            </w:r>
          </w:p>
        </w:tc>
        <w:tc>
          <w:tcPr>
            <w:tcW w:w="1584" w:type="dxa"/>
            <w:gridSpan w:val="2"/>
            <w:noWrap/>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0.3</w:t>
            </w:r>
          </w:p>
        </w:tc>
        <w:tc>
          <w:tcPr>
            <w:tcW w:w="1241" w:type="dxa"/>
            <w:gridSpan w:val="2"/>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0.3</w:t>
            </w:r>
          </w:p>
        </w:tc>
        <w:tc>
          <w:tcPr>
            <w:tcW w:w="1332"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0.3</w:t>
            </w:r>
          </w:p>
        </w:tc>
      </w:tr>
      <w:tr w:rsidR="00DD4FD5" w:rsidRPr="00DD4FD5" w:rsidTr="00DD4FD5">
        <w:trPr>
          <w:gridAfter w:val="1"/>
          <w:wAfter w:w="230" w:type="dxa"/>
          <w:trHeight w:val="215"/>
        </w:trPr>
        <w:tc>
          <w:tcPr>
            <w:tcW w:w="5077" w:type="dxa"/>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Goodwill</w:t>
            </w:r>
            <w:r w:rsidRPr="00DD4FD5">
              <w:rPr>
                <w:sz w:val="18"/>
                <w:szCs w:val="18"/>
              </w:rPr>
              <w:tab/>
            </w:r>
          </w:p>
          <w:p w:rsidR="00DD4FD5" w:rsidRPr="00DD4FD5" w:rsidRDefault="00DD4FD5" w:rsidP="00DD4FD5">
            <w:pPr>
              <w:pStyle w:val="la24"/>
              <w:spacing w:before="0" w:after="0"/>
              <w:rPr>
                <w:sz w:val="18"/>
                <w:szCs w:val="18"/>
              </w:rPr>
            </w:pPr>
            <w:r w:rsidRPr="00DD4FD5">
              <w:rPr>
                <w:noProof w:val="0"/>
                <w:sz w:val="18"/>
                <w:szCs w:val="18"/>
                <w:lang w:val="en-GB"/>
              </w:rPr>
              <w:t> </w:t>
            </w:r>
          </w:p>
        </w:tc>
        <w:tc>
          <w:tcPr>
            <w:tcW w:w="1584"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0.2</w:t>
            </w:r>
          </w:p>
        </w:tc>
        <w:tc>
          <w:tcPr>
            <w:tcW w:w="1241"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0.3</w:t>
            </w:r>
          </w:p>
        </w:tc>
        <w:tc>
          <w:tcPr>
            <w:tcW w:w="1332"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0.1</w:t>
            </w:r>
          </w:p>
        </w:tc>
      </w:tr>
      <w:tr w:rsidR="00DD4FD5" w:rsidRPr="00DD4FD5" w:rsidTr="00DD4FD5">
        <w:trPr>
          <w:gridAfter w:val="1"/>
          <w:wAfter w:w="230" w:type="dxa"/>
        </w:trPr>
        <w:tc>
          <w:tcPr>
            <w:tcW w:w="5077" w:type="dxa"/>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Tangible fixed assets</w:t>
            </w:r>
            <w:r w:rsidRPr="00DD4FD5">
              <w:rPr>
                <w:sz w:val="18"/>
                <w:szCs w:val="18"/>
              </w:rPr>
              <w:tab/>
            </w:r>
          </w:p>
        </w:tc>
        <w:tc>
          <w:tcPr>
            <w:tcW w:w="1584"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12.9</w:t>
            </w:r>
          </w:p>
        </w:tc>
        <w:tc>
          <w:tcPr>
            <w:tcW w:w="1241"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13.5</w:t>
            </w:r>
          </w:p>
        </w:tc>
        <w:tc>
          <w:tcPr>
            <w:tcW w:w="1332"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13.3</w:t>
            </w:r>
          </w:p>
        </w:tc>
      </w:tr>
      <w:tr w:rsidR="00DD4FD5" w:rsidRPr="00DD4FD5" w:rsidTr="00DD4FD5">
        <w:trPr>
          <w:gridAfter w:val="1"/>
          <w:wAfter w:w="230" w:type="dxa"/>
        </w:trPr>
        <w:tc>
          <w:tcPr>
            <w:tcW w:w="5077" w:type="dxa"/>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Financial fixed assets</w:t>
            </w:r>
            <w:r w:rsidRPr="00DD4FD5">
              <w:rPr>
                <w:sz w:val="18"/>
                <w:szCs w:val="18"/>
              </w:rPr>
              <w:tab/>
            </w:r>
          </w:p>
        </w:tc>
        <w:tc>
          <w:tcPr>
            <w:tcW w:w="1584"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c>
          <w:tcPr>
            <w:tcW w:w="1241"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c>
          <w:tcPr>
            <w:tcW w:w="1332"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r>
      <w:tr w:rsidR="00DD4FD5" w:rsidRPr="00DD4FD5" w:rsidTr="00DD4FD5">
        <w:trPr>
          <w:gridAfter w:val="1"/>
          <w:wAfter w:w="230" w:type="dxa"/>
        </w:trPr>
        <w:tc>
          <w:tcPr>
            <w:tcW w:w="5077" w:type="dxa"/>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Deferred tax assets</w:t>
            </w:r>
            <w:r w:rsidRPr="00DD4FD5">
              <w:rPr>
                <w:sz w:val="18"/>
                <w:szCs w:val="18"/>
              </w:rPr>
              <w:tab/>
            </w:r>
            <w:r w:rsidRPr="00DD4FD5">
              <w:rPr>
                <w:sz w:val="18"/>
                <w:szCs w:val="18"/>
              </w:rPr>
              <w:tab/>
              <w:t>6.7</w:t>
            </w:r>
            <w:r w:rsidRPr="00DD4FD5">
              <w:rPr>
                <w:sz w:val="18"/>
                <w:szCs w:val="18"/>
              </w:rPr>
              <w:tab/>
              <w:t>8.9</w:t>
            </w:r>
            <w:r w:rsidRPr="00DD4FD5">
              <w:rPr>
                <w:sz w:val="18"/>
                <w:szCs w:val="18"/>
              </w:rPr>
              <w:tab/>
              <w:t>10.7</w:t>
            </w:r>
          </w:p>
        </w:tc>
        <w:tc>
          <w:tcPr>
            <w:tcW w:w="1584" w:type="dxa"/>
            <w:gridSpan w:val="2"/>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w:t>
            </w:r>
          </w:p>
        </w:tc>
        <w:tc>
          <w:tcPr>
            <w:tcW w:w="1241" w:type="dxa"/>
            <w:gridSpan w:val="2"/>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w:t>
            </w:r>
          </w:p>
        </w:tc>
        <w:tc>
          <w:tcPr>
            <w:tcW w:w="1332" w:type="dxa"/>
            <w:gridSpan w:val="2"/>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w:t>
            </w:r>
          </w:p>
        </w:tc>
      </w:tr>
      <w:tr w:rsidR="00DD4FD5" w:rsidRPr="00DD4FD5" w:rsidTr="00DD4FD5">
        <w:trPr>
          <w:gridAfter w:val="1"/>
          <w:wAfter w:w="230" w:type="dxa"/>
        </w:trPr>
        <w:tc>
          <w:tcPr>
            <w:tcW w:w="5077" w:type="dxa"/>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Non-current assets</w:t>
            </w:r>
            <w:r w:rsidRPr="00DD4FD5">
              <w:rPr>
                <w:sz w:val="18"/>
                <w:szCs w:val="18"/>
              </w:rPr>
              <w:tab/>
            </w:r>
          </w:p>
        </w:tc>
        <w:tc>
          <w:tcPr>
            <w:tcW w:w="1584" w:type="dxa"/>
            <w:gridSpan w:val="2"/>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13.6</w:t>
            </w:r>
          </w:p>
        </w:tc>
        <w:tc>
          <w:tcPr>
            <w:tcW w:w="1241" w:type="dxa"/>
            <w:gridSpan w:val="2"/>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14.5</w:t>
            </w:r>
          </w:p>
        </w:tc>
        <w:tc>
          <w:tcPr>
            <w:tcW w:w="1332" w:type="dxa"/>
            <w:gridSpan w:val="2"/>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14.1</w:t>
            </w:r>
          </w:p>
        </w:tc>
      </w:tr>
      <w:tr w:rsidR="00DD4FD5" w:rsidRPr="00DD4FD5" w:rsidTr="00DD4FD5">
        <w:trPr>
          <w:gridAfter w:val="1"/>
          <w:wAfter w:w="230" w:type="dxa"/>
          <w:trHeight w:val="267"/>
        </w:trPr>
        <w:tc>
          <w:tcPr>
            <w:tcW w:w="5077" w:type="dxa"/>
          </w:tcPr>
          <w:p w:rsidR="00DD4FD5" w:rsidRPr="00DD4FD5" w:rsidRDefault="00DD4FD5" w:rsidP="00DD4FD5">
            <w:pPr>
              <w:pStyle w:val="NormalWeb"/>
              <w:keepNext/>
              <w:tabs>
                <w:tab w:val="right" w:leader="dot" w:pos="4962"/>
              </w:tabs>
              <w:spacing w:before="0" w:after="0"/>
              <w:ind w:left="240" w:hanging="240"/>
              <w:rPr>
                <w:sz w:val="18"/>
                <w:szCs w:val="18"/>
              </w:rPr>
            </w:pPr>
            <w:r w:rsidRPr="00DD4FD5">
              <w:rPr>
                <w:sz w:val="18"/>
                <w:szCs w:val="18"/>
              </w:rPr>
              <w:t>Inventories</w:t>
            </w:r>
            <w:r w:rsidRPr="00DD4FD5">
              <w:rPr>
                <w:sz w:val="18"/>
                <w:szCs w:val="18"/>
              </w:rPr>
              <w:tab/>
            </w:r>
          </w:p>
        </w:tc>
        <w:tc>
          <w:tcPr>
            <w:tcW w:w="1584"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9.7</w:t>
            </w:r>
          </w:p>
        </w:tc>
        <w:tc>
          <w:tcPr>
            <w:tcW w:w="1241"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10.5</w:t>
            </w:r>
          </w:p>
        </w:tc>
        <w:tc>
          <w:tcPr>
            <w:tcW w:w="1332"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9.8</w:t>
            </w:r>
          </w:p>
        </w:tc>
      </w:tr>
      <w:tr w:rsidR="00DD4FD5" w:rsidRPr="00DD4FD5" w:rsidTr="00DD4FD5">
        <w:trPr>
          <w:gridAfter w:val="1"/>
          <w:wAfter w:w="230" w:type="dxa"/>
          <w:trHeight w:val="267"/>
        </w:trPr>
        <w:tc>
          <w:tcPr>
            <w:tcW w:w="5077" w:type="dxa"/>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Amounts receivable</w:t>
            </w:r>
            <w:r w:rsidRPr="00DD4FD5">
              <w:rPr>
                <w:sz w:val="18"/>
                <w:szCs w:val="18"/>
              </w:rPr>
              <w:tab/>
            </w:r>
          </w:p>
        </w:tc>
        <w:tc>
          <w:tcPr>
            <w:tcW w:w="1584"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9.6</w:t>
            </w:r>
          </w:p>
        </w:tc>
        <w:tc>
          <w:tcPr>
            <w:tcW w:w="1241"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10.4</w:t>
            </w:r>
          </w:p>
        </w:tc>
        <w:tc>
          <w:tcPr>
            <w:tcW w:w="1332"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11.0</w:t>
            </w:r>
          </w:p>
        </w:tc>
      </w:tr>
      <w:tr w:rsidR="00DD4FD5" w:rsidRPr="00DD4FD5" w:rsidTr="00DD4FD5">
        <w:trPr>
          <w:gridAfter w:val="1"/>
          <w:wAfter w:w="230" w:type="dxa"/>
          <w:trHeight w:val="267"/>
        </w:trPr>
        <w:tc>
          <w:tcPr>
            <w:tcW w:w="5077" w:type="dxa"/>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Other financial assets</w:t>
            </w:r>
            <w:r w:rsidRPr="00DD4FD5">
              <w:rPr>
                <w:sz w:val="18"/>
                <w:szCs w:val="18"/>
              </w:rPr>
              <w:tab/>
            </w:r>
          </w:p>
        </w:tc>
        <w:tc>
          <w:tcPr>
            <w:tcW w:w="1584"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0.3</w:t>
            </w:r>
          </w:p>
        </w:tc>
        <w:tc>
          <w:tcPr>
            <w:tcW w:w="1241"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0.3</w:t>
            </w:r>
          </w:p>
        </w:tc>
        <w:tc>
          <w:tcPr>
            <w:tcW w:w="1332"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0.3</w:t>
            </w:r>
          </w:p>
        </w:tc>
      </w:tr>
      <w:tr w:rsidR="00DD4FD5" w:rsidRPr="00DD4FD5" w:rsidTr="00DD4FD5">
        <w:trPr>
          <w:gridAfter w:val="1"/>
          <w:wAfter w:w="230" w:type="dxa"/>
          <w:trHeight w:val="267"/>
        </w:trPr>
        <w:tc>
          <w:tcPr>
            <w:tcW w:w="5077" w:type="dxa"/>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Cash and cash equivalents</w:t>
            </w:r>
            <w:r w:rsidRPr="00DD4FD5">
              <w:rPr>
                <w:sz w:val="18"/>
                <w:szCs w:val="18"/>
              </w:rPr>
              <w:tab/>
            </w:r>
          </w:p>
        </w:tc>
        <w:tc>
          <w:tcPr>
            <w:tcW w:w="1584"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3.2</w:t>
            </w:r>
          </w:p>
        </w:tc>
        <w:tc>
          <w:tcPr>
            <w:tcW w:w="1241"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2.4</w:t>
            </w:r>
          </w:p>
        </w:tc>
        <w:tc>
          <w:tcPr>
            <w:tcW w:w="1332"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2.3</w:t>
            </w:r>
          </w:p>
        </w:tc>
      </w:tr>
      <w:tr w:rsidR="00DD4FD5" w:rsidRPr="00DD4FD5" w:rsidTr="00DD4FD5">
        <w:trPr>
          <w:gridAfter w:val="1"/>
          <w:wAfter w:w="230" w:type="dxa"/>
          <w:trHeight w:val="267"/>
        </w:trPr>
        <w:tc>
          <w:tcPr>
            <w:tcW w:w="5077" w:type="dxa"/>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Deferred charges and accrued income</w:t>
            </w:r>
            <w:r w:rsidRPr="00DD4FD5">
              <w:rPr>
                <w:sz w:val="18"/>
                <w:szCs w:val="18"/>
              </w:rPr>
              <w:tab/>
            </w:r>
          </w:p>
          <w:p w:rsidR="00DD4FD5" w:rsidRPr="00DD4FD5" w:rsidRDefault="00DD4FD5" w:rsidP="00DD4FD5">
            <w:pPr>
              <w:pStyle w:val="la24"/>
              <w:spacing w:before="0" w:after="0"/>
              <w:rPr>
                <w:sz w:val="18"/>
                <w:szCs w:val="18"/>
              </w:rPr>
            </w:pPr>
            <w:r w:rsidRPr="00DD4FD5">
              <w:rPr>
                <w:noProof w:val="0"/>
                <w:sz w:val="18"/>
                <w:szCs w:val="18"/>
                <w:lang w:val="en-GB"/>
              </w:rPr>
              <w:t> </w:t>
            </w:r>
          </w:p>
        </w:tc>
        <w:tc>
          <w:tcPr>
            <w:tcW w:w="1584" w:type="dxa"/>
            <w:gridSpan w:val="2"/>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0.3</w:t>
            </w:r>
          </w:p>
        </w:tc>
        <w:tc>
          <w:tcPr>
            <w:tcW w:w="1241" w:type="dxa"/>
            <w:gridSpan w:val="2"/>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0.3</w:t>
            </w:r>
          </w:p>
        </w:tc>
        <w:tc>
          <w:tcPr>
            <w:tcW w:w="1332" w:type="dxa"/>
            <w:gridSpan w:val="2"/>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0.4</w:t>
            </w:r>
          </w:p>
        </w:tc>
      </w:tr>
      <w:tr w:rsidR="00DD4FD5" w:rsidRPr="00DD4FD5" w:rsidTr="00DD4FD5">
        <w:trPr>
          <w:gridAfter w:val="1"/>
          <w:wAfter w:w="230" w:type="dxa"/>
        </w:trPr>
        <w:tc>
          <w:tcPr>
            <w:tcW w:w="5077" w:type="dxa"/>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Current assets</w:t>
            </w:r>
            <w:r w:rsidRPr="00DD4FD5">
              <w:rPr>
                <w:sz w:val="18"/>
                <w:szCs w:val="18"/>
              </w:rPr>
              <w:tab/>
            </w:r>
          </w:p>
        </w:tc>
        <w:tc>
          <w:tcPr>
            <w:tcW w:w="1584" w:type="dxa"/>
            <w:gridSpan w:val="2"/>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23.2</w:t>
            </w:r>
          </w:p>
        </w:tc>
        <w:tc>
          <w:tcPr>
            <w:tcW w:w="1241" w:type="dxa"/>
            <w:gridSpan w:val="2"/>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24.0</w:t>
            </w:r>
          </w:p>
        </w:tc>
        <w:tc>
          <w:tcPr>
            <w:tcW w:w="1332" w:type="dxa"/>
            <w:gridSpan w:val="2"/>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23.8</w:t>
            </w:r>
          </w:p>
        </w:tc>
      </w:tr>
      <w:tr w:rsidR="00DD4FD5" w:rsidRPr="00DD4FD5" w:rsidTr="00DD4FD5">
        <w:trPr>
          <w:gridAfter w:val="1"/>
          <w:wAfter w:w="230" w:type="dxa"/>
        </w:trPr>
        <w:tc>
          <w:tcPr>
            <w:tcW w:w="5077" w:type="dxa"/>
          </w:tcPr>
          <w:p w:rsidR="00DD4FD5" w:rsidRPr="00DD4FD5" w:rsidRDefault="00DD4FD5" w:rsidP="00DD4FD5">
            <w:pPr>
              <w:pStyle w:val="la24"/>
              <w:spacing w:before="0" w:after="0"/>
              <w:rPr>
                <w:noProof w:val="0"/>
                <w:sz w:val="18"/>
                <w:szCs w:val="18"/>
                <w:lang w:val="en-GB"/>
              </w:rPr>
            </w:pPr>
          </w:p>
        </w:tc>
        <w:tc>
          <w:tcPr>
            <w:tcW w:w="1584" w:type="dxa"/>
            <w:gridSpan w:val="2"/>
          </w:tcPr>
          <w:p w:rsidR="00DD4FD5" w:rsidRPr="00DD4FD5" w:rsidRDefault="00DD4FD5" w:rsidP="00DD4FD5">
            <w:pPr>
              <w:pStyle w:val="rrdsinglerule4"/>
              <w:spacing w:before="0" w:after="0"/>
              <w:jc w:val="right"/>
              <w:rPr>
                <w:sz w:val="18"/>
                <w:szCs w:val="18"/>
                <w:lang w:val="en-GB"/>
              </w:rPr>
            </w:pPr>
          </w:p>
        </w:tc>
        <w:tc>
          <w:tcPr>
            <w:tcW w:w="1241" w:type="dxa"/>
            <w:gridSpan w:val="2"/>
          </w:tcPr>
          <w:p w:rsidR="00DD4FD5" w:rsidRPr="00DD4FD5" w:rsidRDefault="00DD4FD5" w:rsidP="00DD4FD5">
            <w:pPr>
              <w:pStyle w:val="rrdsinglerule4"/>
              <w:spacing w:before="0" w:after="0"/>
              <w:jc w:val="right"/>
              <w:rPr>
                <w:sz w:val="18"/>
                <w:szCs w:val="18"/>
                <w:lang w:val="en-GB"/>
              </w:rPr>
            </w:pPr>
          </w:p>
        </w:tc>
        <w:tc>
          <w:tcPr>
            <w:tcW w:w="1332" w:type="dxa"/>
            <w:gridSpan w:val="2"/>
          </w:tcPr>
          <w:p w:rsidR="00DD4FD5" w:rsidRPr="00DD4FD5" w:rsidRDefault="00DD4FD5" w:rsidP="00DD4FD5">
            <w:pPr>
              <w:pStyle w:val="rrdsinglerule4"/>
              <w:spacing w:before="0" w:after="0"/>
              <w:jc w:val="right"/>
              <w:rPr>
                <w:sz w:val="18"/>
                <w:szCs w:val="18"/>
                <w:lang w:val="en-GB"/>
              </w:rPr>
            </w:pPr>
          </w:p>
        </w:tc>
      </w:tr>
      <w:tr w:rsidR="00DD4FD5" w:rsidRPr="00DD4FD5" w:rsidTr="00DD4FD5">
        <w:trPr>
          <w:gridAfter w:val="1"/>
          <w:wAfter w:w="230" w:type="dxa"/>
          <w:trHeight w:val="292"/>
        </w:trPr>
        <w:tc>
          <w:tcPr>
            <w:tcW w:w="5077" w:type="dxa"/>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lastRenderedPageBreak/>
              <w:t>Total assets</w:t>
            </w:r>
            <w:r w:rsidRPr="00DD4FD5">
              <w:rPr>
                <w:sz w:val="18"/>
                <w:szCs w:val="18"/>
              </w:rPr>
              <w:tab/>
            </w:r>
          </w:p>
          <w:p w:rsidR="00DD4FD5" w:rsidRPr="00DD4FD5" w:rsidRDefault="00DD4FD5" w:rsidP="00DD4FD5">
            <w:pPr>
              <w:pStyle w:val="la24"/>
              <w:spacing w:before="0" w:after="0"/>
              <w:rPr>
                <w:b/>
                <w:sz w:val="18"/>
                <w:szCs w:val="18"/>
              </w:rPr>
            </w:pPr>
            <w:r w:rsidRPr="00DD4FD5">
              <w:rPr>
                <w:noProof w:val="0"/>
                <w:sz w:val="18"/>
                <w:szCs w:val="18"/>
                <w:lang w:val="en-GB"/>
              </w:rPr>
              <w:t> </w:t>
            </w:r>
          </w:p>
        </w:tc>
        <w:tc>
          <w:tcPr>
            <w:tcW w:w="1584" w:type="dxa"/>
            <w:gridSpan w:val="2"/>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36.8</w:t>
            </w:r>
          </w:p>
        </w:tc>
        <w:tc>
          <w:tcPr>
            <w:tcW w:w="1241" w:type="dxa"/>
            <w:gridSpan w:val="2"/>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38.5</w:t>
            </w:r>
          </w:p>
        </w:tc>
        <w:tc>
          <w:tcPr>
            <w:tcW w:w="1332" w:type="dxa"/>
            <w:gridSpan w:val="2"/>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37.9</w:t>
            </w:r>
          </w:p>
        </w:tc>
      </w:tr>
      <w:tr w:rsidR="00DD4FD5" w:rsidRPr="00DD4FD5" w:rsidTr="00DD4FD5">
        <w:tc>
          <w:tcPr>
            <w:tcW w:w="5132" w:type="dxa"/>
            <w:gridSpan w:val="2"/>
            <w:vAlign w:val="center"/>
          </w:tcPr>
          <w:p w:rsidR="00DD4FD5" w:rsidRPr="00DD4FD5" w:rsidRDefault="00DD4FD5" w:rsidP="00DD4FD5">
            <w:pPr>
              <w:pStyle w:val="NormalWeb"/>
              <w:keepNext/>
              <w:spacing w:before="0" w:after="0"/>
              <w:ind w:left="240" w:hanging="240"/>
              <w:jc w:val="left"/>
              <w:rPr>
                <w:bCs/>
                <w:i/>
                <w:sz w:val="18"/>
                <w:szCs w:val="18"/>
              </w:rPr>
            </w:pPr>
            <w:r w:rsidRPr="00DD4FD5">
              <w:rPr>
                <w:bCs/>
                <w:i/>
                <w:sz w:val="18"/>
                <w:szCs w:val="18"/>
              </w:rPr>
              <w:t>(</w:t>
            </w:r>
            <w:r w:rsidR="00E53641">
              <w:rPr>
                <w:bCs/>
                <w:i/>
                <w:sz w:val="18"/>
                <w:szCs w:val="18"/>
              </w:rPr>
              <w:t>EUR </w:t>
            </w:r>
            <w:r w:rsidRPr="00DD4FD5">
              <w:rPr>
                <w:bCs/>
                <w:i/>
                <w:sz w:val="18"/>
                <w:szCs w:val="18"/>
              </w:rPr>
              <w:t>in millions)</w:t>
            </w:r>
          </w:p>
        </w:tc>
        <w:tc>
          <w:tcPr>
            <w:tcW w:w="1636" w:type="dxa"/>
            <w:gridSpan w:val="2"/>
            <w:vAlign w:val="bottom"/>
          </w:tcPr>
          <w:p w:rsidR="00DD4FD5" w:rsidRPr="00DD4FD5" w:rsidRDefault="00DD4FD5" w:rsidP="00DD4FD5">
            <w:pPr>
              <w:pBdr>
                <w:bottom w:val="single" w:sz="4" w:space="1" w:color="auto"/>
              </w:pBdr>
              <w:spacing w:before="0" w:after="0"/>
              <w:ind w:left="141"/>
              <w:jc w:val="center"/>
              <w:rPr>
                <w:sz w:val="18"/>
                <w:szCs w:val="18"/>
              </w:rPr>
            </w:pPr>
            <w:r w:rsidRPr="00DD4FD5">
              <w:rPr>
                <w:b/>
                <w:bCs/>
                <w:sz w:val="18"/>
                <w:szCs w:val="18"/>
              </w:rPr>
              <w:br/>
              <w:t xml:space="preserve">30 September </w:t>
            </w:r>
            <w:r w:rsidRPr="00DD4FD5">
              <w:rPr>
                <w:b/>
                <w:bCs/>
                <w:sz w:val="18"/>
                <w:szCs w:val="18"/>
              </w:rPr>
              <w:br/>
              <w:t>2014</w:t>
            </w:r>
          </w:p>
        </w:tc>
        <w:tc>
          <w:tcPr>
            <w:tcW w:w="1294" w:type="dxa"/>
            <w:gridSpan w:val="2"/>
          </w:tcPr>
          <w:p w:rsidR="00DD4FD5" w:rsidRPr="00DD4FD5" w:rsidRDefault="00DD4FD5" w:rsidP="00DD4FD5">
            <w:pPr>
              <w:pBdr>
                <w:bottom w:val="single" w:sz="4" w:space="1" w:color="auto"/>
              </w:pBdr>
              <w:spacing w:before="0" w:after="0"/>
              <w:ind w:right="-150"/>
              <w:jc w:val="center"/>
              <w:rPr>
                <w:b/>
                <w:bCs/>
                <w:sz w:val="18"/>
                <w:szCs w:val="18"/>
              </w:rPr>
            </w:pPr>
          </w:p>
          <w:p w:rsidR="00DD4FD5" w:rsidRPr="00DD4FD5" w:rsidRDefault="00DD4FD5" w:rsidP="00DD4FD5">
            <w:pPr>
              <w:pBdr>
                <w:bottom w:val="single" w:sz="4" w:space="1" w:color="auto"/>
              </w:pBdr>
              <w:spacing w:before="0" w:after="0"/>
              <w:ind w:right="-150"/>
              <w:jc w:val="center"/>
              <w:rPr>
                <w:b/>
                <w:bCs/>
                <w:sz w:val="18"/>
                <w:szCs w:val="18"/>
              </w:rPr>
            </w:pPr>
            <w:r w:rsidRPr="00DD4FD5">
              <w:rPr>
                <w:b/>
                <w:bCs/>
                <w:sz w:val="18"/>
                <w:szCs w:val="18"/>
              </w:rPr>
              <w:t>30 September</w:t>
            </w:r>
            <w:r w:rsidRPr="00DD4FD5">
              <w:rPr>
                <w:b/>
                <w:bCs/>
                <w:sz w:val="18"/>
                <w:szCs w:val="18"/>
              </w:rPr>
              <w:br/>
              <w:t>2013</w:t>
            </w:r>
          </w:p>
        </w:tc>
        <w:tc>
          <w:tcPr>
            <w:tcW w:w="1402" w:type="dxa"/>
            <w:gridSpan w:val="2"/>
            <w:vAlign w:val="bottom"/>
          </w:tcPr>
          <w:p w:rsidR="00DD4FD5" w:rsidRPr="00DD4FD5" w:rsidRDefault="00DD4FD5" w:rsidP="00DD4FD5">
            <w:pPr>
              <w:pBdr>
                <w:bottom w:val="single" w:sz="4" w:space="1" w:color="auto"/>
              </w:pBdr>
              <w:spacing w:before="0" w:after="0"/>
              <w:jc w:val="center"/>
              <w:rPr>
                <w:sz w:val="18"/>
                <w:szCs w:val="18"/>
              </w:rPr>
            </w:pPr>
            <w:r w:rsidRPr="00DD4FD5">
              <w:rPr>
                <w:b/>
                <w:bCs/>
                <w:sz w:val="18"/>
                <w:szCs w:val="18"/>
              </w:rPr>
              <w:t>30 September</w:t>
            </w:r>
            <w:r w:rsidRPr="00DD4FD5">
              <w:rPr>
                <w:b/>
                <w:bCs/>
                <w:sz w:val="18"/>
                <w:szCs w:val="18"/>
              </w:rPr>
              <w:br/>
              <w:t>2012</w:t>
            </w:r>
          </w:p>
        </w:tc>
      </w:tr>
      <w:tr w:rsidR="00DD4FD5" w:rsidRPr="00DD4FD5" w:rsidTr="00DD4FD5">
        <w:trPr>
          <w:gridAfter w:val="1"/>
          <w:wAfter w:w="230" w:type="dxa"/>
          <w:trHeight w:val="332"/>
        </w:trPr>
        <w:tc>
          <w:tcPr>
            <w:tcW w:w="5132" w:type="dxa"/>
            <w:gridSpan w:val="2"/>
          </w:tcPr>
          <w:p w:rsidR="00DD4FD5" w:rsidRPr="00DD4FD5" w:rsidRDefault="00DD4FD5" w:rsidP="00DD4FD5">
            <w:pPr>
              <w:pStyle w:val="NormalWeb"/>
              <w:keepNext/>
              <w:spacing w:before="0" w:after="0"/>
              <w:rPr>
                <w:b/>
                <w:bCs/>
                <w:sz w:val="18"/>
                <w:szCs w:val="18"/>
              </w:rPr>
            </w:pPr>
            <w:r w:rsidRPr="00DD4FD5">
              <w:rPr>
                <w:b/>
                <w:bCs/>
                <w:sz w:val="18"/>
                <w:szCs w:val="18"/>
              </w:rPr>
              <w:t>EQUITY AND LIABILITIES</w:t>
            </w:r>
          </w:p>
        </w:tc>
        <w:tc>
          <w:tcPr>
            <w:tcW w:w="1636" w:type="dxa"/>
            <w:gridSpan w:val="2"/>
          </w:tcPr>
          <w:p w:rsidR="00DD4FD5" w:rsidRPr="00DD4FD5" w:rsidRDefault="00DD4FD5" w:rsidP="00DD4FD5">
            <w:pPr>
              <w:pStyle w:val="la24"/>
              <w:spacing w:before="0" w:after="0"/>
              <w:jc w:val="right"/>
              <w:rPr>
                <w:noProof w:val="0"/>
                <w:sz w:val="18"/>
                <w:szCs w:val="18"/>
                <w:lang w:val="en-GB"/>
              </w:rPr>
            </w:pPr>
          </w:p>
        </w:tc>
        <w:tc>
          <w:tcPr>
            <w:tcW w:w="1294" w:type="dxa"/>
            <w:gridSpan w:val="2"/>
          </w:tcPr>
          <w:p w:rsidR="00DD4FD5" w:rsidRPr="00DD4FD5" w:rsidRDefault="00DD4FD5" w:rsidP="00DD4FD5">
            <w:pPr>
              <w:pStyle w:val="la24"/>
              <w:spacing w:before="0" w:after="0"/>
              <w:jc w:val="right"/>
              <w:rPr>
                <w:noProof w:val="0"/>
                <w:sz w:val="18"/>
                <w:szCs w:val="18"/>
                <w:lang w:val="en-GB"/>
              </w:rPr>
            </w:pPr>
          </w:p>
        </w:tc>
        <w:tc>
          <w:tcPr>
            <w:tcW w:w="1172" w:type="dxa"/>
          </w:tcPr>
          <w:p w:rsidR="00DD4FD5" w:rsidRPr="00DD4FD5" w:rsidRDefault="00DD4FD5" w:rsidP="00DD4FD5">
            <w:pPr>
              <w:pStyle w:val="la24"/>
              <w:spacing w:before="0" w:after="0"/>
              <w:jc w:val="right"/>
              <w:rPr>
                <w:noProof w:val="0"/>
                <w:sz w:val="18"/>
                <w:szCs w:val="18"/>
                <w:lang w:val="en-GB"/>
              </w:rPr>
            </w:pPr>
          </w:p>
        </w:tc>
      </w:tr>
      <w:tr w:rsidR="00DD4FD5" w:rsidRPr="00DD4FD5" w:rsidTr="00DD4FD5">
        <w:trPr>
          <w:gridAfter w:val="1"/>
          <w:wAfter w:w="230" w:type="dxa"/>
        </w:trPr>
        <w:tc>
          <w:tcPr>
            <w:tcW w:w="5132"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rStyle w:val="Style8pt"/>
                <w:sz w:val="18"/>
                <w:szCs w:val="18"/>
              </w:rPr>
              <w:t>Share capital</w:t>
            </w:r>
            <w:r w:rsidRPr="00DD4FD5">
              <w:rPr>
                <w:sz w:val="18"/>
                <w:szCs w:val="18"/>
              </w:rPr>
              <w:tab/>
            </w:r>
          </w:p>
        </w:tc>
        <w:tc>
          <w:tcPr>
            <w:tcW w:w="1636" w:type="dxa"/>
            <w:gridSpan w:val="2"/>
            <w:noWrap/>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26.0</w:t>
            </w:r>
          </w:p>
        </w:tc>
        <w:tc>
          <w:tcPr>
            <w:tcW w:w="1294" w:type="dxa"/>
            <w:gridSpan w:val="2"/>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26.0</w:t>
            </w:r>
          </w:p>
        </w:tc>
        <w:tc>
          <w:tcPr>
            <w:tcW w:w="1172" w:type="dxa"/>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26.0</w:t>
            </w:r>
          </w:p>
        </w:tc>
      </w:tr>
      <w:tr w:rsidR="00DD4FD5" w:rsidRPr="00DD4FD5" w:rsidTr="00DD4FD5">
        <w:trPr>
          <w:gridAfter w:val="1"/>
          <w:wAfter w:w="230" w:type="dxa"/>
        </w:trPr>
        <w:tc>
          <w:tcPr>
            <w:tcW w:w="5132"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Consolidated reserves</w:t>
            </w:r>
            <w:r w:rsidRPr="00DD4FD5">
              <w:rPr>
                <w:bCs/>
                <w:sz w:val="18"/>
                <w:szCs w:val="18"/>
              </w:rPr>
              <w:tab/>
            </w:r>
          </w:p>
        </w:tc>
        <w:tc>
          <w:tcPr>
            <w:tcW w:w="1636"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(13.5)</w:t>
            </w:r>
          </w:p>
        </w:tc>
        <w:tc>
          <w:tcPr>
            <w:tcW w:w="1294" w:type="dxa"/>
            <w:gridSpan w:val="2"/>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(14.4)</w:t>
            </w:r>
          </w:p>
        </w:tc>
        <w:tc>
          <w:tcPr>
            <w:tcW w:w="1172" w:type="dxa"/>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(16.0)</w:t>
            </w:r>
          </w:p>
        </w:tc>
      </w:tr>
      <w:tr w:rsidR="00DD4FD5" w:rsidRPr="00DD4FD5" w:rsidTr="00DD4FD5">
        <w:trPr>
          <w:gridAfter w:val="1"/>
          <w:wAfter w:w="230" w:type="dxa"/>
        </w:trPr>
        <w:tc>
          <w:tcPr>
            <w:tcW w:w="5132"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Badwill</w:t>
            </w:r>
            <w:r w:rsidRPr="00DD4FD5">
              <w:rPr>
                <w:sz w:val="18"/>
                <w:szCs w:val="18"/>
              </w:rPr>
              <w:tab/>
            </w:r>
          </w:p>
          <w:p w:rsidR="00DD4FD5" w:rsidRPr="00DD4FD5" w:rsidRDefault="00DD4FD5" w:rsidP="00DD4FD5">
            <w:pPr>
              <w:pStyle w:val="la24"/>
              <w:spacing w:before="0" w:after="0"/>
              <w:rPr>
                <w:sz w:val="18"/>
                <w:szCs w:val="18"/>
              </w:rPr>
            </w:pPr>
            <w:r w:rsidRPr="00DD4FD5">
              <w:rPr>
                <w:noProof w:val="0"/>
                <w:sz w:val="18"/>
                <w:szCs w:val="18"/>
                <w:lang w:val="en-GB"/>
              </w:rPr>
              <w:t> </w:t>
            </w:r>
          </w:p>
        </w:tc>
        <w:tc>
          <w:tcPr>
            <w:tcW w:w="1636"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0.3</w:t>
            </w:r>
          </w:p>
        </w:tc>
        <w:tc>
          <w:tcPr>
            <w:tcW w:w="1294"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0.3</w:t>
            </w:r>
          </w:p>
        </w:tc>
        <w:tc>
          <w:tcPr>
            <w:tcW w:w="1172" w:type="dxa"/>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0.2</w:t>
            </w:r>
          </w:p>
        </w:tc>
      </w:tr>
      <w:tr w:rsidR="00DD4FD5" w:rsidRPr="00DD4FD5" w:rsidTr="00DD4FD5">
        <w:trPr>
          <w:gridAfter w:val="1"/>
          <w:wAfter w:w="230" w:type="dxa"/>
        </w:trPr>
        <w:tc>
          <w:tcPr>
            <w:tcW w:w="5132"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Cumulative translation adjustments</w:t>
            </w:r>
            <w:r w:rsidRPr="00DD4FD5">
              <w:rPr>
                <w:sz w:val="18"/>
                <w:szCs w:val="18"/>
              </w:rPr>
              <w:tab/>
            </w:r>
          </w:p>
          <w:p w:rsidR="00DD4FD5" w:rsidRPr="00DD4FD5" w:rsidRDefault="00DD4FD5" w:rsidP="00DD4FD5">
            <w:pPr>
              <w:pStyle w:val="la24"/>
              <w:spacing w:before="0" w:after="0"/>
              <w:rPr>
                <w:sz w:val="18"/>
                <w:szCs w:val="18"/>
              </w:rPr>
            </w:pPr>
            <w:r w:rsidRPr="00DD4FD5">
              <w:rPr>
                <w:noProof w:val="0"/>
                <w:sz w:val="18"/>
                <w:szCs w:val="18"/>
                <w:lang w:val="en-GB"/>
              </w:rPr>
              <w:t> </w:t>
            </w:r>
          </w:p>
        </w:tc>
        <w:tc>
          <w:tcPr>
            <w:tcW w:w="1636"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(0.2)</w:t>
            </w:r>
          </w:p>
        </w:tc>
        <w:tc>
          <w:tcPr>
            <w:tcW w:w="1294"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(0.2)</w:t>
            </w:r>
          </w:p>
        </w:tc>
        <w:tc>
          <w:tcPr>
            <w:tcW w:w="1172" w:type="dxa"/>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(0.3)</w:t>
            </w:r>
          </w:p>
        </w:tc>
      </w:tr>
      <w:tr w:rsidR="00DD4FD5" w:rsidRPr="00DD4FD5" w:rsidTr="00DD4FD5">
        <w:trPr>
          <w:gridAfter w:val="1"/>
          <w:wAfter w:w="230" w:type="dxa"/>
        </w:trPr>
        <w:tc>
          <w:tcPr>
            <w:tcW w:w="5132"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Investment grants</w:t>
            </w:r>
            <w:r w:rsidRPr="00DD4FD5">
              <w:rPr>
                <w:sz w:val="18"/>
                <w:szCs w:val="18"/>
              </w:rPr>
              <w:tab/>
            </w:r>
          </w:p>
          <w:p w:rsidR="00DD4FD5" w:rsidRPr="00DD4FD5" w:rsidRDefault="00DD4FD5" w:rsidP="00DD4FD5">
            <w:pPr>
              <w:pStyle w:val="la24"/>
              <w:spacing w:before="0" w:after="0"/>
              <w:rPr>
                <w:sz w:val="18"/>
                <w:szCs w:val="18"/>
              </w:rPr>
            </w:pPr>
            <w:r w:rsidRPr="00DD4FD5">
              <w:rPr>
                <w:noProof w:val="0"/>
                <w:sz w:val="18"/>
                <w:szCs w:val="18"/>
                <w:lang w:val="en-GB"/>
              </w:rPr>
              <w:t> </w:t>
            </w:r>
          </w:p>
        </w:tc>
        <w:tc>
          <w:tcPr>
            <w:tcW w:w="1636"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0.5</w:t>
            </w:r>
          </w:p>
        </w:tc>
        <w:tc>
          <w:tcPr>
            <w:tcW w:w="1294"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0.4</w:t>
            </w:r>
          </w:p>
        </w:tc>
        <w:tc>
          <w:tcPr>
            <w:tcW w:w="1172" w:type="dxa"/>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w:t>
            </w:r>
          </w:p>
        </w:tc>
      </w:tr>
      <w:tr w:rsidR="00DD4FD5" w:rsidRPr="00DD4FD5" w:rsidTr="00DD4FD5">
        <w:trPr>
          <w:gridAfter w:val="1"/>
          <w:wAfter w:w="230" w:type="dxa"/>
        </w:trPr>
        <w:tc>
          <w:tcPr>
            <w:tcW w:w="5132"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Non-controlling interests</w:t>
            </w:r>
            <w:r w:rsidRPr="00DD4FD5">
              <w:rPr>
                <w:sz w:val="18"/>
                <w:szCs w:val="18"/>
              </w:rPr>
              <w:tab/>
            </w:r>
          </w:p>
        </w:tc>
        <w:tc>
          <w:tcPr>
            <w:tcW w:w="1636" w:type="dxa"/>
            <w:gridSpan w:val="2"/>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w:t>
            </w:r>
          </w:p>
        </w:tc>
        <w:tc>
          <w:tcPr>
            <w:tcW w:w="1294" w:type="dxa"/>
            <w:gridSpan w:val="2"/>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w:t>
            </w:r>
          </w:p>
        </w:tc>
        <w:tc>
          <w:tcPr>
            <w:tcW w:w="1172" w:type="dxa"/>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0.1</w:t>
            </w:r>
          </w:p>
        </w:tc>
      </w:tr>
      <w:tr w:rsidR="00DD4FD5" w:rsidRPr="00DD4FD5" w:rsidTr="00DD4FD5">
        <w:trPr>
          <w:gridAfter w:val="1"/>
          <w:wAfter w:w="230" w:type="dxa"/>
        </w:trPr>
        <w:tc>
          <w:tcPr>
            <w:tcW w:w="5132" w:type="dxa"/>
            <w:gridSpan w:val="2"/>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Equity</w:t>
            </w:r>
            <w:r w:rsidRPr="00DD4FD5">
              <w:rPr>
                <w:sz w:val="18"/>
                <w:szCs w:val="18"/>
              </w:rPr>
              <w:tab/>
            </w:r>
          </w:p>
        </w:tc>
        <w:tc>
          <w:tcPr>
            <w:tcW w:w="1636" w:type="dxa"/>
            <w:gridSpan w:val="2"/>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13.1</w:t>
            </w:r>
          </w:p>
        </w:tc>
        <w:tc>
          <w:tcPr>
            <w:tcW w:w="1294" w:type="dxa"/>
            <w:gridSpan w:val="2"/>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7.3</w:t>
            </w:r>
          </w:p>
        </w:tc>
        <w:tc>
          <w:tcPr>
            <w:tcW w:w="1172" w:type="dxa"/>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8.8</w:t>
            </w:r>
          </w:p>
        </w:tc>
      </w:tr>
      <w:tr w:rsidR="00DD4FD5" w:rsidRPr="00DD4FD5" w:rsidTr="00DD4FD5">
        <w:trPr>
          <w:gridAfter w:val="1"/>
          <w:wAfter w:w="230" w:type="dxa"/>
        </w:trPr>
        <w:tc>
          <w:tcPr>
            <w:tcW w:w="5132"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Other provisions</w:t>
            </w:r>
            <w:r w:rsidRPr="00DD4FD5">
              <w:rPr>
                <w:bCs/>
                <w:sz w:val="18"/>
                <w:szCs w:val="18"/>
              </w:rPr>
              <w:tab/>
            </w:r>
          </w:p>
        </w:tc>
        <w:tc>
          <w:tcPr>
            <w:tcW w:w="1636"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0.5</w:t>
            </w:r>
          </w:p>
        </w:tc>
        <w:tc>
          <w:tcPr>
            <w:tcW w:w="1294" w:type="dxa"/>
            <w:gridSpan w:val="2"/>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0.3</w:t>
            </w:r>
          </w:p>
        </w:tc>
        <w:tc>
          <w:tcPr>
            <w:tcW w:w="1172" w:type="dxa"/>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0.2</w:t>
            </w:r>
          </w:p>
        </w:tc>
      </w:tr>
      <w:tr w:rsidR="00DD4FD5" w:rsidRPr="00DD4FD5" w:rsidTr="00DD4FD5">
        <w:trPr>
          <w:gridAfter w:val="1"/>
          <w:wAfter w:w="230" w:type="dxa"/>
          <w:trHeight w:val="267"/>
        </w:trPr>
        <w:tc>
          <w:tcPr>
            <w:tcW w:w="5132"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Financial debts at credit instutions</w:t>
            </w:r>
            <w:r w:rsidRPr="00DD4FD5">
              <w:rPr>
                <w:bCs/>
                <w:sz w:val="18"/>
                <w:szCs w:val="18"/>
              </w:rPr>
              <w:tab/>
            </w:r>
          </w:p>
        </w:tc>
        <w:tc>
          <w:tcPr>
            <w:tcW w:w="1636"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9.8</w:t>
            </w:r>
          </w:p>
        </w:tc>
        <w:tc>
          <w:tcPr>
            <w:tcW w:w="1294" w:type="dxa"/>
            <w:gridSpan w:val="2"/>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6.9</w:t>
            </w:r>
          </w:p>
        </w:tc>
        <w:tc>
          <w:tcPr>
            <w:tcW w:w="1172" w:type="dxa"/>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8.6</w:t>
            </w:r>
          </w:p>
        </w:tc>
      </w:tr>
      <w:tr w:rsidR="00DD4FD5" w:rsidRPr="00DD4FD5" w:rsidTr="00DD4FD5">
        <w:trPr>
          <w:gridAfter w:val="1"/>
          <w:wAfter w:w="230" w:type="dxa"/>
          <w:trHeight w:val="267"/>
        </w:trPr>
        <w:tc>
          <w:tcPr>
            <w:tcW w:w="5132"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Deferred tax liabilities</w:t>
            </w:r>
            <w:r w:rsidRPr="00DD4FD5">
              <w:rPr>
                <w:sz w:val="18"/>
                <w:szCs w:val="18"/>
              </w:rPr>
              <w:tab/>
            </w:r>
          </w:p>
        </w:tc>
        <w:tc>
          <w:tcPr>
            <w:tcW w:w="1636" w:type="dxa"/>
            <w:gridSpan w:val="2"/>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0.1</w:t>
            </w:r>
          </w:p>
        </w:tc>
        <w:tc>
          <w:tcPr>
            <w:tcW w:w="1294" w:type="dxa"/>
            <w:gridSpan w:val="2"/>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0.1</w:t>
            </w:r>
          </w:p>
        </w:tc>
        <w:tc>
          <w:tcPr>
            <w:tcW w:w="1172" w:type="dxa"/>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0.1</w:t>
            </w:r>
          </w:p>
        </w:tc>
      </w:tr>
      <w:tr w:rsidR="00DD4FD5" w:rsidRPr="00DD4FD5" w:rsidTr="00DD4FD5">
        <w:trPr>
          <w:gridAfter w:val="1"/>
          <w:wAfter w:w="230" w:type="dxa"/>
          <w:trHeight w:val="267"/>
        </w:trPr>
        <w:tc>
          <w:tcPr>
            <w:tcW w:w="5132" w:type="dxa"/>
            <w:gridSpan w:val="2"/>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Non-current liabilities</w:t>
            </w:r>
            <w:r w:rsidRPr="00DD4FD5">
              <w:rPr>
                <w:sz w:val="18"/>
                <w:szCs w:val="18"/>
              </w:rPr>
              <w:tab/>
            </w:r>
          </w:p>
        </w:tc>
        <w:tc>
          <w:tcPr>
            <w:tcW w:w="1636" w:type="dxa"/>
            <w:gridSpan w:val="2"/>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10.4</w:t>
            </w:r>
          </w:p>
        </w:tc>
        <w:tc>
          <w:tcPr>
            <w:tcW w:w="1294" w:type="dxa"/>
            <w:gridSpan w:val="2"/>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7.3</w:t>
            </w:r>
          </w:p>
        </w:tc>
        <w:tc>
          <w:tcPr>
            <w:tcW w:w="1172" w:type="dxa"/>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8.8</w:t>
            </w:r>
          </w:p>
        </w:tc>
      </w:tr>
      <w:tr w:rsidR="00DD4FD5" w:rsidRPr="00DD4FD5" w:rsidTr="00DD4FD5">
        <w:trPr>
          <w:gridAfter w:val="1"/>
          <w:wAfter w:w="230" w:type="dxa"/>
          <w:trHeight w:val="267"/>
        </w:trPr>
        <w:tc>
          <w:tcPr>
            <w:tcW w:w="5132"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Financial debts at credit institutions</w:t>
            </w:r>
            <w:r w:rsidRPr="00DD4FD5">
              <w:rPr>
                <w:sz w:val="18"/>
                <w:szCs w:val="18"/>
              </w:rPr>
              <w:tab/>
            </w:r>
          </w:p>
        </w:tc>
        <w:tc>
          <w:tcPr>
            <w:tcW w:w="1636"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2.5</w:t>
            </w:r>
          </w:p>
        </w:tc>
        <w:tc>
          <w:tcPr>
            <w:tcW w:w="1294"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8.1</w:t>
            </w:r>
          </w:p>
        </w:tc>
        <w:tc>
          <w:tcPr>
            <w:tcW w:w="1172" w:type="dxa"/>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8.6</w:t>
            </w:r>
          </w:p>
        </w:tc>
      </w:tr>
      <w:tr w:rsidR="00DD4FD5" w:rsidRPr="00DD4FD5" w:rsidTr="00DD4FD5">
        <w:trPr>
          <w:gridAfter w:val="1"/>
          <w:wAfter w:w="230" w:type="dxa"/>
          <w:trHeight w:val="267"/>
        </w:trPr>
        <w:tc>
          <w:tcPr>
            <w:tcW w:w="5132"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Trade payables</w:t>
            </w:r>
            <w:r w:rsidRPr="00DD4FD5">
              <w:rPr>
                <w:sz w:val="18"/>
                <w:szCs w:val="18"/>
              </w:rPr>
              <w:tab/>
            </w:r>
          </w:p>
        </w:tc>
        <w:tc>
          <w:tcPr>
            <w:tcW w:w="1636"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8.3</w:t>
            </w:r>
          </w:p>
        </w:tc>
        <w:tc>
          <w:tcPr>
            <w:tcW w:w="1294"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8.2</w:t>
            </w:r>
          </w:p>
        </w:tc>
        <w:tc>
          <w:tcPr>
            <w:tcW w:w="1172" w:type="dxa"/>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7.7</w:t>
            </w:r>
          </w:p>
        </w:tc>
      </w:tr>
      <w:tr w:rsidR="00DD4FD5" w:rsidRPr="00DD4FD5" w:rsidTr="00DD4FD5">
        <w:trPr>
          <w:gridAfter w:val="1"/>
          <w:wAfter w:w="230" w:type="dxa"/>
          <w:trHeight w:val="267"/>
        </w:trPr>
        <w:tc>
          <w:tcPr>
            <w:tcW w:w="5132"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Tax payable</w:t>
            </w:r>
            <w:r w:rsidRPr="00DD4FD5">
              <w:rPr>
                <w:sz w:val="18"/>
                <w:szCs w:val="18"/>
              </w:rPr>
              <w:tab/>
            </w:r>
          </w:p>
        </w:tc>
        <w:tc>
          <w:tcPr>
            <w:tcW w:w="1636"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0.7</w:t>
            </w:r>
          </w:p>
        </w:tc>
        <w:tc>
          <w:tcPr>
            <w:tcW w:w="1294"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0.6</w:t>
            </w:r>
          </w:p>
        </w:tc>
        <w:tc>
          <w:tcPr>
            <w:tcW w:w="1172" w:type="dxa"/>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0.4</w:t>
            </w:r>
          </w:p>
        </w:tc>
      </w:tr>
      <w:tr w:rsidR="00DD4FD5" w:rsidRPr="00DD4FD5" w:rsidTr="00DD4FD5">
        <w:trPr>
          <w:gridAfter w:val="1"/>
          <w:wAfter w:w="230" w:type="dxa"/>
          <w:trHeight w:val="267"/>
        </w:trPr>
        <w:tc>
          <w:tcPr>
            <w:tcW w:w="5132"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Remuneration and social security</w:t>
            </w:r>
            <w:r w:rsidRPr="00DD4FD5">
              <w:rPr>
                <w:sz w:val="18"/>
                <w:szCs w:val="18"/>
              </w:rPr>
              <w:tab/>
            </w:r>
          </w:p>
          <w:p w:rsidR="00DD4FD5" w:rsidRPr="00DD4FD5" w:rsidRDefault="00DD4FD5" w:rsidP="00DD4FD5">
            <w:pPr>
              <w:pStyle w:val="la24"/>
              <w:spacing w:before="0" w:after="0"/>
              <w:rPr>
                <w:sz w:val="18"/>
                <w:szCs w:val="18"/>
              </w:rPr>
            </w:pPr>
            <w:r w:rsidRPr="00DD4FD5">
              <w:rPr>
                <w:noProof w:val="0"/>
                <w:sz w:val="18"/>
                <w:szCs w:val="18"/>
                <w:lang w:val="en-GB"/>
              </w:rPr>
              <w:t> </w:t>
            </w:r>
          </w:p>
        </w:tc>
        <w:tc>
          <w:tcPr>
            <w:tcW w:w="1636"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1.4</w:t>
            </w:r>
          </w:p>
        </w:tc>
        <w:tc>
          <w:tcPr>
            <w:tcW w:w="1294"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1.4</w:t>
            </w:r>
          </w:p>
        </w:tc>
        <w:tc>
          <w:tcPr>
            <w:tcW w:w="1172" w:type="dxa"/>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1.3</w:t>
            </w:r>
          </w:p>
        </w:tc>
      </w:tr>
      <w:tr w:rsidR="00DD4FD5" w:rsidRPr="00DD4FD5" w:rsidTr="00DD4FD5">
        <w:trPr>
          <w:gridAfter w:val="1"/>
          <w:wAfter w:w="230" w:type="dxa"/>
          <w:trHeight w:val="267"/>
        </w:trPr>
        <w:tc>
          <w:tcPr>
            <w:tcW w:w="5132"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Other amounts payable</w:t>
            </w:r>
            <w:r w:rsidRPr="00DD4FD5">
              <w:rPr>
                <w:sz w:val="18"/>
                <w:szCs w:val="18"/>
              </w:rPr>
              <w:tab/>
            </w:r>
          </w:p>
          <w:p w:rsidR="00DD4FD5" w:rsidRPr="00DD4FD5" w:rsidRDefault="00DD4FD5" w:rsidP="00DD4FD5">
            <w:pPr>
              <w:pStyle w:val="la24"/>
              <w:spacing w:before="0" w:after="0"/>
              <w:rPr>
                <w:sz w:val="18"/>
                <w:szCs w:val="18"/>
              </w:rPr>
            </w:pPr>
            <w:r w:rsidRPr="00DD4FD5">
              <w:rPr>
                <w:noProof w:val="0"/>
                <w:sz w:val="18"/>
                <w:szCs w:val="18"/>
                <w:lang w:val="en-GB"/>
              </w:rPr>
              <w:t> </w:t>
            </w:r>
          </w:p>
        </w:tc>
        <w:tc>
          <w:tcPr>
            <w:tcW w:w="1636" w:type="dxa"/>
            <w:gridSpan w:val="2"/>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0.1</w:t>
            </w:r>
          </w:p>
        </w:tc>
        <w:tc>
          <w:tcPr>
            <w:tcW w:w="1294" w:type="dxa"/>
            <w:gridSpan w:val="2"/>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0.1</w:t>
            </w:r>
          </w:p>
        </w:tc>
        <w:tc>
          <w:tcPr>
            <w:tcW w:w="1172" w:type="dxa"/>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0.5</w:t>
            </w:r>
          </w:p>
        </w:tc>
      </w:tr>
      <w:tr w:rsidR="00DD4FD5" w:rsidRPr="00DD4FD5" w:rsidTr="00DD4FD5">
        <w:trPr>
          <w:gridAfter w:val="1"/>
          <w:wAfter w:w="230" w:type="dxa"/>
          <w:trHeight w:val="267"/>
        </w:trPr>
        <w:tc>
          <w:tcPr>
            <w:tcW w:w="5132" w:type="dxa"/>
            <w:gridSpan w:val="2"/>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Accruals and deferred income</w:t>
            </w:r>
            <w:r w:rsidRPr="00DD4FD5">
              <w:rPr>
                <w:sz w:val="18"/>
                <w:szCs w:val="18"/>
              </w:rPr>
              <w:tab/>
            </w:r>
          </w:p>
        </w:tc>
        <w:tc>
          <w:tcPr>
            <w:tcW w:w="1636" w:type="dxa"/>
            <w:gridSpan w:val="2"/>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0.3</w:t>
            </w:r>
          </w:p>
        </w:tc>
        <w:tc>
          <w:tcPr>
            <w:tcW w:w="1294" w:type="dxa"/>
            <w:gridSpan w:val="2"/>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0.7</w:t>
            </w:r>
          </w:p>
        </w:tc>
        <w:tc>
          <w:tcPr>
            <w:tcW w:w="1172" w:type="dxa"/>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0.6</w:t>
            </w:r>
          </w:p>
        </w:tc>
      </w:tr>
      <w:tr w:rsidR="00DD4FD5" w:rsidRPr="00DD4FD5" w:rsidTr="00DD4FD5">
        <w:trPr>
          <w:gridAfter w:val="1"/>
          <w:wAfter w:w="230" w:type="dxa"/>
        </w:trPr>
        <w:tc>
          <w:tcPr>
            <w:tcW w:w="5132" w:type="dxa"/>
            <w:gridSpan w:val="2"/>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Current liabilities</w:t>
            </w:r>
            <w:r w:rsidRPr="00DD4FD5">
              <w:rPr>
                <w:sz w:val="18"/>
                <w:szCs w:val="18"/>
              </w:rPr>
              <w:tab/>
            </w:r>
          </w:p>
        </w:tc>
        <w:tc>
          <w:tcPr>
            <w:tcW w:w="1636" w:type="dxa"/>
            <w:gridSpan w:val="2"/>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13.3</w:t>
            </w:r>
          </w:p>
        </w:tc>
        <w:tc>
          <w:tcPr>
            <w:tcW w:w="1294" w:type="dxa"/>
            <w:gridSpan w:val="2"/>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19.1</w:t>
            </w:r>
          </w:p>
        </w:tc>
        <w:tc>
          <w:tcPr>
            <w:tcW w:w="1172" w:type="dxa"/>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19.2</w:t>
            </w:r>
          </w:p>
        </w:tc>
      </w:tr>
      <w:tr w:rsidR="00DD4FD5" w:rsidRPr="00DD4FD5" w:rsidTr="00DD4FD5">
        <w:trPr>
          <w:gridAfter w:val="1"/>
          <w:wAfter w:w="230" w:type="dxa"/>
        </w:trPr>
        <w:tc>
          <w:tcPr>
            <w:tcW w:w="5132" w:type="dxa"/>
            <w:gridSpan w:val="2"/>
          </w:tcPr>
          <w:p w:rsidR="00DD4FD5" w:rsidRPr="00DD4FD5" w:rsidRDefault="00DD4FD5" w:rsidP="00DD4FD5">
            <w:pPr>
              <w:pStyle w:val="la24"/>
              <w:spacing w:before="0" w:after="0"/>
              <w:rPr>
                <w:noProof w:val="0"/>
                <w:sz w:val="18"/>
                <w:szCs w:val="18"/>
                <w:lang w:val="en-GB"/>
              </w:rPr>
            </w:pPr>
          </w:p>
        </w:tc>
        <w:tc>
          <w:tcPr>
            <w:tcW w:w="1636" w:type="dxa"/>
            <w:gridSpan w:val="2"/>
          </w:tcPr>
          <w:p w:rsidR="00DD4FD5" w:rsidRPr="00DD4FD5" w:rsidRDefault="00DD4FD5" w:rsidP="00DD4FD5">
            <w:pPr>
              <w:pStyle w:val="rrdsinglerule4"/>
              <w:spacing w:before="0" w:after="0"/>
              <w:jc w:val="right"/>
              <w:rPr>
                <w:sz w:val="18"/>
                <w:szCs w:val="18"/>
                <w:lang w:val="en-GB"/>
              </w:rPr>
            </w:pPr>
          </w:p>
        </w:tc>
        <w:tc>
          <w:tcPr>
            <w:tcW w:w="1294" w:type="dxa"/>
            <w:gridSpan w:val="2"/>
          </w:tcPr>
          <w:p w:rsidR="00DD4FD5" w:rsidRPr="00DD4FD5" w:rsidRDefault="00DD4FD5" w:rsidP="00DD4FD5">
            <w:pPr>
              <w:pStyle w:val="rrdsinglerule4"/>
              <w:spacing w:before="0" w:after="0"/>
              <w:jc w:val="right"/>
              <w:rPr>
                <w:sz w:val="18"/>
                <w:szCs w:val="18"/>
                <w:lang w:val="en-GB"/>
              </w:rPr>
            </w:pPr>
          </w:p>
        </w:tc>
        <w:tc>
          <w:tcPr>
            <w:tcW w:w="1172" w:type="dxa"/>
          </w:tcPr>
          <w:p w:rsidR="00DD4FD5" w:rsidRPr="00DD4FD5" w:rsidRDefault="00DD4FD5" w:rsidP="00DD4FD5">
            <w:pPr>
              <w:pStyle w:val="rrdsinglerule4"/>
              <w:spacing w:before="0" w:after="0"/>
              <w:jc w:val="right"/>
              <w:rPr>
                <w:sz w:val="18"/>
                <w:szCs w:val="18"/>
                <w:lang w:val="en-GB"/>
              </w:rPr>
            </w:pPr>
          </w:p>
        </w:tc>
      </w:tr>
      <w:tr w:rsidR="00DD4FD5" w:rsidRPr="005D480F" w:rsidTr="00DD4FD5">
        <w:trPr>
          <w:gridAfter w:val="1"/>
          <w:wAfter w:w="230" w:type="dxa"/>
          <w:trHeight w:val="292"/>
        </w:trPr>
        <w:tc>
          <w:tcPr>
            <w:tcW w:w="5132" w:type="dxa"/>
            <w:gridSpan w:val="2"/>
          </w:tcPr>
          <w:p w:rsidR="00DD4FD5" w:rsidRPr="00DD4FD5" w:rsidRDefault="00DD4FD5" w:rsidP="00DD4FD5">
            <w:pPr>
              <w:pStyle w:val="NormalWeb"/>
              <w:keepNext/>
              <w:tabs>
                <w:tab w:val="right" w:leader="dot" w:pos="5160"/>
              </w:tabs>
              <w:spacing w:before="0" w:after="0"/>
              <w:ind w:left="240" w:hanging="240"/>
              <w:rPr>
                <w:b/>
                <w:sz w:val="18"/>
                <w:szCs w:val="18"/>
              </w:rPr>
            </w:pPr>
            <w:r w:rsidRPr="00DD4FD5">
              <w:rPr>
                <w:b/>
                <w:sz w:val="18"/>
                <w:szCs w:val="18"/>
              </w:rPr>
              <w:t>Total equity and liabilities</w:t>
            </w:r>
            <w:r w:rsidRPr="00DD4FD5">
              <w:rPr>
                <w:sz w:val="18"/>
                <w:szCs w:val="18"/>
              </w:rPr>
              <w:tab/>
            </w:r>
          </w:p>
          <w:p w:rsidR="00DD4FD5" w:rsidRPr="00DD4FD5" w:rsidRDefault="00DD4FD5" w:rsidP="00DD4FD5">
            <w:pPr>
              <w:pStyle w:val="la24"/>
              <w:spacing w:before="0" w:after="0"/>
              <w:rPr>
                <w:b/>
                <w:sz w:val="18"/>
                <w:szCs w:val="18"/>
              </w:rPr>
            </w:pPr>
            <w:r w:rsidRPr="00DD4FD5">
              <w:rPr>
                <w:noProof w:val="0"/>
                <w:sz w:val="18"/>
                <w:szCs w:val="18"/>
                <w:lang w:val="en-GB"/>
              </w:rPr>
              <w:t> </w:t>
            </w:r>
          </w:p>
        </w:tc>
        <w:tc>
          <w:tcPr>
            <w:tcW w:w="1636" w:type="dxa"/>
            <w:gridSpan w:val="2"/>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36.8</w:t>
            </w:r>
          </w:p>
        </w:tc>
        <w:tc>
          <w:tcPr>
            <w:tcW w:w="1294" w:type="dxa"/>
            <w:gridSpan w:val="2"/>
          </w:tcPr>
          <w:p w:rsidR="00DD4FD5" w:rsidRPr="00DD4FD5" w:rsidRDefault="00DD4FD5" w:rsidP="00DD4FD5">
            <w:pPr>
              <w:pStyle w:val="NormalWeb"/>
              <w:tabs>
                <w:tab w:val="right" w:pos="720"/>
                <w:tab w:val="decimal" w:pos="760"/>
              </w:tabs>
              <w:spacing w:before="0" w:after="0"/>
              <w:jc w:val="right"/>
              <w:rPr>
                <w:b/>
                <w:bCs/>
                <w:sz w:val="18"/>
                <w:szCs w:val="18"/>
              </w:rPr>
            </w:pPr>
            <w:r w:rsidRPr="00DD4FD5">
              <w:rPr>
                <w:b/>
                <w:bCs/>
                <w:sz w:val="18"/>
                <w:szCs w:val="18"/>
              </w:rPr>
              <w:t>38.5</w:t>
            </w:r>
          </w:p>
        </w:tc>
        <w:tc>
          <w:tcPr>
            <w:tcW w:w="1172" w:type="dxa"/>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37.9</w:t>
            </w:r>
          </w:p>
        </w:tc>
      </w:tr>
    </w:tbl>
    <w:p w:rsidR="00DD4FD5" w:rsidRDefault="00DD4FD5" w:rsidP="00DD4FD5">
      <w:pPr>
        <w:spacing w:before="0" w:after="0"/>
        <w:jc w:val="left"/>
        <w:rPr>
          <w:b/>
          <w:bCs/>
          <w:szCs w:val="20"/>
          <w:lang w:eastAsia="en-GB"/>
        </w:rPr>
      </w:pPr>
    </w:p>
    <w:p w:rsidR="00DD4FD5" w:rsidRDefault="00DD4FD5" w:rsidP="00DD4FD5">
      <w:pPr>
        <w:spacing w:before="0" w:after="0"/>
        <w:jc w:val="left"/>
      </w:pPr>
      <w:r w:rsidRPr="00992199">
        <w:rPr>
          <w:b/>
          <w:bCs/>
          <w:szCs w:val="20"/>
          <w:lang w:eastAsia="en-GB"/>
        </w:rPr>
        <w:t>CONSOLIDATED CASH FLOW STATEMENT</w:t>
      </w:r>
      <w:r>
        <w:t xml:space="preserve"> </w:t>
      </w:r>
    </w:p>
    <w:tbl>
      <w:tblPr>
        <w:tblW w:w="5000" w:type="pct"/>
        <w:tblLook w:val="0000" w:firstRow="0" w:lastRow="0" w:firstColumn="0" w:lastColumn="0" w:noHBand="0" w:noVBand="0"/>
      </w:tblPr>
      <w:tblGrid>
        <w:gridCol w:w="6183"/>
        <w:gridCol w:w="1659"/>
        <w:gridCol w:w="1403"/>
      </w:tblGrid>
      <w:tr w:rsidR="00DD4FD5" w:rsidRPr="00DD4FD5" w:rsidTr="00DD4FD5">
        <w:trPr>
          <w:trHeight w:val="664"/>
        </w:trPr>
        <w:tc>
          <w:tcPr>
            <w:tcW w:w="3344" w:type="pct"/>
            <w:vAlign w:val="center"/>
          </w:tcPr>
          <w:p w:rsidR="00DD4FD5" w:rsidRPr="00DD4FD5" w:rsidRDefault="00DD4FD5" w:rsidP="00DD4FD5">
            <w:pPr>
              <w:pStyle w:val="NormalWeb"/>
              <w:keepNext/>
              <w:spacing w:before="0" w:after="0"/>
              <w:ind w:left="240" w:hanging="240"/>
              <w:jc w:val="left"/>
              <w:rPr>
                <w:bCs/>
                <w:i/>
                <w:sz w:val="18"/>
                <w:szCs w:val="18"/>
              </w:rPr>
            </w:pPr>
            <w:r w:rsidRPr="00DD4FD5">
              <w:rPr>
                <w:bCs/>
                <w:i/>
                <w:sz w:val="18"/>
                <w:szCs w:val="18"/>
              </w:rPr>
              <w:t>(</w:t>
            </w:r>
            <w:r w:rsidR="00E53641">
              <w:rPr>
                <w:bCs/>
                <w:i/>
                <w:sz w:val="18"/>
                <w:szCs w:val="18"/>
              </w:rPr>
              <w:t>EUR </w:t>
            </w:r>
            <w:r w:rsidRPr="00DD4FD5">
              <w:rPr>
                <w:bCs/>
                <w:i/>
                <w:sz w:val="18"/>
                <w:szCs w:val="18"/>
              </w:rPr>
              <w:t>in millions)</w:t>
            </w:r>
          </w:p>
        </w:tc>
        <w:tc>
          <w:tcPr>
            <w:tcW w:w="897" w:type="pct"/>
            <w:vAlign w:val="bottom"/>
          </w:tcPr>
          <w:p w:rsidR="00DD4FD5" w:rsidRPr="00DD4FD5" w:rsidRDefault="00DD4FD5" w:rsidP="00750A88">
            <w:pPr>
              <w:pBdr>
                <w:bottom w:val="single" w:sz="4" w:space="1" w:color="auto"/>
              </w:pBdr>
              <w:spacing w:before="0" w:after="0"/>
              <w:ind w:left="368" w:hanging="227"/>
              <w:jc w:val="center"/>
              <w:rPr>
                <w:sz w:val="18"/>
                <w:szCs w:val="18"/>
              </w:rPr>
            </w:pPr>
            <w:r w:rsidRPr="00DD4FD5">
              <w:rPr>
                <w:b/>
                <w:bCs/>
                <w:sz w:val="18"/>
                <w:szCs w:val="18"/>
              </w:rPr>
              <w:t xml:space="preserve">Year ended </w:t>
            </w:r>
            <w:r w:rsidRPr="00DD4FD5">
              <w:rPr>
                <w:b/>
                <w:bCs/>
                <w:sz w:val="18"/>
                <w:szCs w:val="18"/>
              </w:rPr>
              <w:br/>
            </w:r>
            <w:r w:rsidR="00750A88">
              <w:rPr>
                <w:b/>
                <w:bCs/>
                <w:sz w:val="18"/>
                <w:szCs w:val="18"/>
              </w:rPr>
              <w:t>30</w:t>
            </w:r>
            <w:r w:rsidRPr="00DD4FD5">
              <w:rPr>
                <w:b/>
                <w:bCs/>
                <w:sz w:val="18"/>
                <w:szCs w:val="18"/>
              </w:rPr>
              <w:t> September 201</w:t>
            </w:r>
            <w:r w:rsidR="00750A88">
              <w:rPr>
                <w:b/>
                <w:bCs/>
                <w:sz w:val="18"/>
                <w:szCs w:val="18"/>
              </w:rPr>
              <w:t>4</w:t>
            </w:r>
          </w:p>
        </w:tc>
        <w:tc>
          <w:tcPr>
            <w:tcW w:w="759" w:type="pct"/>
            <w:vAlign w:val="bottom"/>
          </w:tcPr>
          <w:p w:rsidR="00DD4FD5" w:rsidRPr="00DD4FD5" w:rsidRDefault="00DD4FD5" w:rsidP="00750A88">
            <w:pPr>
              <w:pBdr>
                <w:bottom w:val="single" w:sz="4" w:space="1" w:color="auto"/>
              </w:pBdr>
              <w:spacing w:before="0" w:after="0"/>
              <w:jc w:val="center"/>
              <w:rPr>
                <w:sz w:val="18"/>
                <w:szCs w:val="18"/>
              </w:rPr>
            </w:pPr>
            <w:r w:rsidRPr="00DD4FD5">
              <w:rPr>
                <w:b/>
                <w:bCs/>
                <w:sz w:val="18"/>
                <w:szCs w:val="18"/>
              </w:rPr>
              <w:t xml:space="preserve">Year ended </w:t>
            </w:r>
            <w:r w:rsidR="00750A88">
              <w:rPr>
                <w:b/>
                <w:bCs/>
                <w:sz w:val="18"/>
                <w:szCs w:val="18"/>
              </w:rPr>
              <w:t>30 September</w:t>
            </w:r>
            <w:r w:rsidRPr="00DD4FD5">
              <w:rPr>
                <w:b/>
                <w:bCs/>
                <w:sz w:val="18"/>
                <w:szCs w:val="18"/>
              </w:rPr>
              <w:br/>
              <w:t>201</w:t>
            </w:r>
            <w:r w:rsidR="00750A88">
              <w:rPr>
                <w:b/>
                <w:bCs/>
                <w:sz w:val="18"/>
                <w:szCs w:val="18"/>
              </w:rPr>
              <w:t>3</w:t>
            </w:r>
          </w:p>
        </w:tc>
      </w:tr>
      <w:tr w:rsidR="00DD4FD5" w:rsidRPr="00DD4FD5" w:rsidTr="00DD4FD5">
        <w:trPr>
          <w:trHeight w:val="339"/>
        </w:trPr>
        <w:tc>
          <w:tcPr>
            <w:tcW w:w="3344" w:type="pct"/>
          </w:tcPr>
          <w:p w:rsidR="00DD4FD5" w:rsidRPr="00DD4FD5" w:rsidRDefault="00DD4FD5" w:rsidP="00DD4FD5">
            <w:pPr>
              <w:pStyle w:val="NormalWeb"/>
              <w:keepNext/>
              <w:spacing w:before="0" w:after="0"/>
              <w:rPr>
                <w:b/>
                <w:bCs/>
                <w:sz w:val="18"/>
                <w:szCs w:val="18"/>
              </w:rPr>
            </w:pPr>
            <w:r w:rsidRPr="00DD4FD5">
              <w:rPr>
                <w:b/>
                <w:bCs/>
                <w:sz w:val="18"/>
                <w:szCs w:val="18"/>
              </w:rPr>
              <w:t>Summary Consolidated Statement of Cashflow</w:t>
            </w:r>
          </w:p>
        </w:tc>
        <w:tc>
          <w:tcPr>
            <w:tcW w:w="897" w:type="pct"/>
          </w:tcPr>
          <w:p w:rsidR="00DD4FD5" w:rsidRPr="00DD4FD5" w:rsidRDefault="00DD4FD5" w:rsidP="00DD4FD5">
            <w:pPr>
              <w:pStyle w:val="la24"/>
              <w:spacing w:before="0" w:after="0"/>
              <w:jc w:val="right"/>
              <w:rPr>
                <w:noProof w:val="0"/>
                <w:sz w:val="18"/>
                <w:szCs w:val="18"/>
                <w:lang w:val="en-GB"/>
              </w:rPr>
            </w:pPr>
            <w:r w:rsidRPr="00DD4FD5">
              <w:rPr>
                <w:noProof w:val="0"/>
                <w:sz w:val="18"/>
                <w:szCs w:val="18"/>
                <w:lang w:val="en-GB"/>
              </w:rPr>
              <w:t> </w:t>
            </w:r>
          </w:p>
        </w:tc>
        <w:tc>
          <w:tcPr>
            <w:tcW w:w="759" w:type="pct"/>
          </w:tcPr>
          <w:p w:rsidR="00DD4FD5" w:rsidRPr="00DD4FD5" w:rsidRDefault="00DD4FD5" w:rsidP="00DD4FD5">
            <w:pPr>
              <w:pStyle w:val="la24"/>
              <w:spacing w:before="0" w:after="0"/>
              <w:jc w:val="right"/>
              <w:rPr>
                <w:noProof w:val="0"/>
                <w:sz w:val="18"/>
                <w:szCs w:val="18"/>
                <w:lang w:val="en-GB"/>
              </w:rPr>
            </w:pPr>
            <w:r w:rsidRPr="00DD4FD5">
              <w:rPr>
                <w:noProof w:val="0"/>
                <w:sz w:val="18"/>
                <w:szCs w:val="18"/>
                <w:lang w:val="en-GB"/>
              </w:rPr>
              <w:t> </w:t>
            </w:r>
          </w:p>
        </w:tc>
      </w:tr>
      <w:tr w:rsidR="00DD4FD5" w:rsidRPr="00DD4FD5" w:rsidTr="00DD4FD5">
        <w:trPr>
          <w:trHeight w:val="217"/>
        </w:trPr>
        <w:tc>
          <w:tcPr>
            <w:tcW w:w="3344"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Cash flow from operating activities</w:t>
            </w:r>
            <w:r w:rsidRPr="00DD4FD5">
              <w:rPr>
                <w:sz w:val="18"/>
                <w:szCs w:val="18"/>
              </w:rPr>
              <w:tab/>
            </w:r>
          </w:p>
        </w:tc>
        <w:tc>
          <w:tcPr>
            <w:tcW w:w="897" w:type="pct"/>
            <w:noWrap/>
          </w:tcPr>
          <w:p w:rsidR="00DD4FD5" w:rsidRPr="00DD4FD5" w:rsidRDefault="00DD4FD5" w:rsidP="00DD4FD5">
            <w:pPr>
              <w:pStyle w:val="NormalWeb"/>
              <w:tabs>
                <w:tab w:val="right" w:pos="720"/>
                <w:tab w:val="decimal" w:pos="760"/>
              </w:tabs>
              <w:spacing w:before="0" w:after="0"/>
              <w:jc w:val="right"/>
              <w:rPr>
                <w:bCs/>
                <w:sz w:val="18"/>
                <w:szCs w:val="18"/>
              </w:rPr>
            </w:pPr>
            <w:r w:rsidRPr="00DD4FD5">
              <w:rPr>
                <w:bCs/>
                <w:sz w:val="18"/>
                <w:szCs w:val="18"/>
              </w:rPr>
              <w:t>6.6</w:t>
            </w:r>
          </w:p>
        </w:tc>
        <w:tc>
          <w:tcPr>
            <w:tcW w:w="759"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5.5</w:t>
            </w:r>
          </w:p>
        </w:tc>
      </w:tr>
      <w:tr w:rsidR="00DD4FD5" w:rsidRPr="00DD4FD5" w:rsidTr="00DD4FD5">
        <w:trPr>
          <w:trHeight w:val="272"/>
        </w:trPr>
        <w:tc>
          <w:tcPr>
            <w:tcW w:w="3344"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Increase in working capital (-)/ decrease in working capital (+)</w:t>
            </w:r>
            <w:r w:rsidRPr="00DD4FD5">
              <w:rPr>
                <w:sz w:val="18"/>
                <w:szCs w:val="18"/>
              </w:rPr>
              <w:tab/>
            </w:r>
          </w:p>
          <w:p w:rsidR="00DD4FD5" w:rsidRPr="00DD4FD5" w:rsidRDefault="00DD4FD5" w:rsidP="00DD4FD5">
            <w:pPr>
              <w:pStyle w:val="la24"/>
              <w:spacing w:before="0" w:after="0"/>
              <w:rPr>
                <w:sz w:val="18"/>
                <w:szCs w:val="18"/>
              </w:rPr>
            </w:pPr>
            <w:r w:rsidRPr="00DD4FD5">
              <w:rPr>
                <w:noProof w:val="0"/>
                <w:sz w:val="18"/>
                <w:szCs w:val="18"/>
                <w:lang w:val="en-GB"/>
              </w:rPr>
              <w:t> </w:t>
            </w:r>
          </w:p>
        </w:tc>
        <w:tc>
          <w:tcPr>
            <w:tcW w:w="897"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0.9</w:t>
            </w:r>
          </w:p>
        </w:tc>
        <w:tc>
          <w:tcPr>
            <w:tcW w:w="759"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sz w:val="18"/>
                <w:szCs w:val="18"/>
              </w:rPr>
            </w:pPr>
            <w:r w:rsidRPr="00DD4FD5">
              <w:rPr>
                <w:sz w:val="18"/>
                <w:szCs w:val="18"/>
              </w:rPr>
              <w:t>0.4</w:t>
            </w:r>
          </w:p>
        </w:tc>
      </w:tr>
      <w:tr w:rsidR="00DD4FD5" w:rsidRPr="00DD4FD5" w:rsidTr="00DD4FD5">
        <w:trPr>
          <w:trHeight w:val="217"/>
        </w:trPr>
        <w:tc>
          <w:tcPr>
            <w:tcW w:w="3344" w:type="pct"/>
          </w:tcPr>
          <w:p w:rsidR="00DD4FD5" w:rsidRPr="00DD4FD5" w:rsidRDefault="00DD4FD5" w:rsidP="00DD4FD5">
            <w:pPr>
              <w:pStyle w:val="NormalWeb"/>
              <w:keepNext/>
              <w:tabs>
                <w:tab w:val="right" w:leader="dot" w:pos="5160"/>
              </w:tabs>
              <w:spacing w:before="0" w:after="0"/>
              <w:rPr>
                <w:b/>
                <w:sz w:val="18"/>
                <w:szCs w:val="18"/>
              </w:rPr>
            </w:pPr>
            <w:r w:rsidRPr="00DD4FD5">
              <w:rPr>
                <w:b/>
                <w:sz w:val="18"/>
                <w:szCs w:val="18"/>
              </w:rPr>
              <w:t>Net cash flow from operating activities</w:t>
            </w:r>
            <w:r w:rsidRPr="00DD4FD5">
              <w:rPr>
                <w:b/>
                <w:bCs/>
                <w:sz w:val="18"/>
                <w:szCs w:val="18"/>
              </w:rPr>
              <w:tab/>
            </w:r>
          </w:p>
        </w:tc>
        <w:tc>
          <w:tcPr>
            <w:tcW w:w="897"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7.5</w:t>
            </w:r>
          </w:p>
        </w:tc>
        <w:tc>
          <w:tcPr>
            <w:tcW w:w="759" w:type="pct"/>
            <w:noWrap/>
          </w:tcPr>
          <w:p w:rsidR="00DD4FD5" w:rsidRPr="00DD4FD5" w:rsidRDefault="00DD4FD5" w:rsidP="00DD4FD5">
            <w:pPr>
              <w:pStyle w:val="NormalWeb"/>
              <w:tabs>
                <w:tab w:val="right" w:pos="720"/>
                <w:tab w:val="decimal" w:pos="760"/>
              </w:tabs>
              <w:spacing w:before="0" w:after="0"/>
              <w:jc w:val="right"/>
              <w:rPr>
                <w:b/>
                <w:sz w:val="18"/>
                <w:szCs w:val="18"/>
              </w:rPr>
            </w:pPr>
            <w:r w:rsidRPr="00DD4FD5">
              <w:rPr>
                <w:b/>
                <w:sz w:val="18"/>
                <w:szCs w:val="18"/>
              </w:rPr>
              <w:t>5.9</w:t>
            </w:r>
          </w:p>
        </w:tc>
      </w:tr>
      <w:tr w:rsidR="00DD4FD5" w:rsidRPr="00DD4FD5" w:rsidTr="00DD4FD5">
        <w:trPr>
          <w:trHeight w:val="204"/>
        </w:trPr>
        <w:tc>
          <w:tcPr>
            <w:tcW w:w="3344"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Cash flow from investing activities</w:t>
            </w:r>
            <w:r w:rsidRPr="00DD4FD5">
              <w:rPr>
                <w:sz w:val="18"/>
                <w:szCs w:val="18"/>
              </w:rPr>
              <w:tab/>
            </w:r>
          </w:p>
        </w:tc>
        <w:tc>
          <w:tcPr>
            <w:tcW w:w="897"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(2.5)</w:t>
            </w:r>
          </w:p>
        </w:tc>
        <w:tc>
          <w:tcPr>
            <w:tcW w:w="759"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(3.6)</w:t>
            </w:r>
          </w:p>
        </w:tc>
      </w:tr>
      <w:tr w:rsidR="00DD4FD5" w:rsidRPr="00DD4FD5" w:rsidTr="00DD4FD5">
        <w:trPr>
          <w:trHeight w:val="217"/>
        </w:trPr>
        <w:tc>
          <w:tcPr>
            <w:tcW w:w="3344" w:type="pct"/>
          </w:tcPr>
          <w:p w:rsidR="00DD4FD5" w:rsidRPr="00DD4FD5" w:rsidRDefault="00DD4FD5" w:rsidP="00DD4FD5">
            <w:pPr>
              <w:pStyle w:val="NormalWeb"/>
              <w:keepNext/>
              <w:tabs>
                <w:tab w:val="right" w:leader="dot" w:pos="5160"/>
              </w:tabs>
              <w:spacing w:before="0" w:after="0"/>
              <w:ind w:left="240" w:hanging="240"/>
              <w:rPr>
                <w:sz w:val="18"/>
                <w:szCs w:val="18"/>
              </w:rPr>
            </w:pPr>
            <w:r w:rsidRPr="00DD4FD5">
              <w:rPr>
                <w:sz w:val="18"/>
                <w:szCs w:val="18"/>
              </w:rPr>
              <w:t>Cash flow from financing activities</w:t>
            </w:r>
            <w:r w:rsidRPr="00DD4FD5">
              <w:rPr>
                <w:sz w:val="18"/>
                <w:szCs w:val="18"/>
              </w:rPr>
              <w:tab/>
            </w:r>
          </w:p>
        </w:tc>
        <w:tc>
          <w:tcPr>
            <w:tcW w:w="897"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(4.2)</w:t>
            </w:r>
          </w:p>
        </w:tc>
        <w:tc>
          <w:tcPr>
            <w:tcW w:w="759" w:type="pct"/>
            <w:noWrap/>
          </w:tcPr>
          <w:p w:rsidR="00DD4FD5" w:rsidRPr="00DD4FD5" w:rsidRDefault="00DD4FD5" w:rsidP="00DD4FD5">
            <w:pPr>
              <w:pStyle w:val="NormalWeb"/>
              <w:tabs>
                <w:tab w:val="right" w:pos="720"/>
                <w:tab w:val="decimal" w:pos="760"/>
              </w:tabs>
              <w:spacing w:before="0" w:after="0"/>
              <w:jc w:val="right"/>
              <w:rPr>
                <w:sz w:val="18"/>
                <w:szCs w:val="18"/>
              </w:rPr>
            </w:pPr>
            <w:r w:rsidRPr="00DD4FD5">
              <w:rPr>
                <w:sz w:val="18"/>
                <w:szCs w:val="18"/>
              </w:rPr>
              <w:t>(2.3)</w:t>
            </w:r>
          </w:p>
        </w:tc>
      </w:tr>
      <w:tr w:rsidR="00DD4FD5" w:rsidRPr="003C07F6" w:rsidTr="00DD4FD5">
        <w:trPr>
          <w:trHeight w:val="243"/>
        </w:trPr>
        <w:tc>
          <w:tcPr>
            <w:tcW w:w="3344" w:type="pct"/>
          </w:tcPr>
          <w:p w:rsidR="00DD4FD5" w:rsidRPr="00DD4FD5" w:rsidRDefault="00DD4FD5" w:rsidP="00DD4FD5">
            <w:pPr>
              <w:pStyle w:val="NormalWeb"/>
              <w:keepNext/>
              <w:tabs>
                <w:tab w:val="right" w:leader="dot" w:pos="5160"/>
              </w:tabs>
              <w:spacing w:before="0" w:after="0"/>
              <w:rPr>
                <w:b/>
                <w:sz w:val="18"/>
                <w:szCs w:val="18"/>
              </w:rPr>
            </w:pPr>
            <w:r w:rsidRPr="00DD4FD5">
              <w:rPr>
                <w:b/>
                <w:sz w:val="18"/>
                <w:szCs w:val="18"/>
              </w:rPr>
              <w:t>Free cash flow</w:t>
            </w:r>
            <w:r w:rsidRPr="00DD4FD5">
              <w:rPr>
                <w:b/>
                <w:sz w:val="18"/>
                <w:szCs w:val="18"/>
              </w:rPr>
              <w:tab/>
            </w:r>
          </w:p>
        </w:tc>
        <w:tc>
          <w:tcPr>
            <w:tcW w:w="897"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b/>
                <w:sz w:val="18"/>
                <w:szCs w:val="18"/>
              </w:rPr>
            </w:pPr>
            <w:r w:rsidRPr="00DD4FD5">
              <w:rPr>
                <w:b/>
                <w:sz w:val="18"/>
                <w:szCs w:val="18"/>
              </w:rPr>
              <w:t>0.8</w:t>
            </w:r>
          </w:p>
        </w:tc>
        <w:tc>
          <w:tcPr>
            <w:tcW w:w="759" w:type="pct"/>
            <w:noWrap/>
          </w:tcPr>
          <w:p w:rsidR="00DD4FD5" w:rsidRPr="00DD4FD5" w:rsidRDefault="00DD4FD5" w:rsidP="00DD4FD5">
            <w:pPr>
              <w:pStyle w:val="NormalWeb"/>
              <w:pBdr>
                <w:bottom w:val="single" w:sz="4" w:space="1" w:color="auto"/>
              </w:pBdr>
              <w:tabs>
                <w:tab w:val="right" w:pos="720"/>
                <w:tab w:val="decimal" w:pos="760"/>
              </w:tabs>
              <w:spacing w:before="0" w:after="0"/>
              <w:jc w:val="right"/>
              <w:rPr>
                <w:b/>
                <w:sz w:val="18"/>
                <w:szCs w:val="18"/>
              </w:rPr>
            </w:pPr>
            <w:r w:rsidRPr="00DD4FD5">
              <w:rPr>
                <w:b/>
                <w:sz w:val="18"/>
                <w:szCs w:val="18"/>
              </w:rPr>
              <w:t>0.0</w:t>
            </w:r>
          </w:p>
        </w:tc>
      </w:tr>
    </w:tbl>
    <w:p w:rsidR="003F0BC5" w:rsidRPr="00992199" w:rsidRDefault="003F0BC5" w:rsidP="00353B80">
      <w:pPr>
        <w:pStyle w:val="Firm5L1"/>
        <w:keepNext/>
      </w:pPr>
      <w:bookmarkStart w:id="25" w:name="_Toc420593845"/>
      <w:r w:rsidRPr="00992199">
        <w:t>Decisions and terms of the contributions</w:t>
      </w:r>
      <w:bookmarkEnd w:id="25"/>
    </w:p>
    <w:p w:rsidR="003F0BC5" w:rsidRPr="00992199" w:rsidRDefault="003F0BC5" w:rsidP="00353B80">
      <w:pPr>
        <w:pStyle w:val="Firm5L2"/>
        <w:keepNext/>
      </w:pPr>
      <w:bookmarkStart w:id="26" w:name="_Toc420593846"/>
      <w:r w:rsidRPr="00992199">
        <w:t xml:space="preserve">Contribution of the shares of </w:t>
      </w:r>
      <w:r w:rsidR="0082672E">
        <w:t>Univeg</w:t>
      </w:r>
      <w:bookmarkEnd w:id="26"/>
    </w:p>
    <w:p w:rsidR="003F0BC5" w:rsidRPr="00992199" w:rsidRDefault="003F0BC5" w:rsidP="00353B80">
      <w:pPr>
        <w:pStyle w:val="Firm5L3"/>
        <w:keepNext/>
      </w:pPr>
      <w:r w:rsidRPr="00992199">
        <w:t xml:space="preserve">Overview of the DWB Demerger and the </w:t>
      </w:r>
      <w:r w:rsidR="0082672E">
        <w:t>Univeg</w:t>
      </w:r>
      <w:r w:rsidRPr="00992199">
        <w:t xml:space="preserve"> Contribution – Conditionality with the Peatinvest Contribution</w:t>
      </w:r>
    </w:p>
    <w:p w:rsidR="003F0BC5" w:rsidRPr="00992199" w:rsidRDefault="003F0BC5" w:rsidP="003F0BC5">
      <w:pPr>
        <w:rPr>
          <w:szCs w:val="20"/>
        </w:rPr>
      </w:pPr>
      <w:r w:rsidRPr="00992199">
        <w:rPr>
          <w:szCs w:val="20"/>
        </w:rPr>
        <w:t xml:space="preserve">As a result of the DWB Demerger and the </w:t>
      </w:r>
      <w:r w:rsidR="0082672E">
        <w:rPr>
          <w:szCs w:val="20"/>
        </w:rPr>
        <w:t>Univeg</w:t>
      </w:r>
      <w:r w:rsidRPr="00992199">
        <w:rPr>
          <w:szCs w:val="20"/>
        </w:rPr>
        <w:t xml:space="preserve"> Contribution, all shares of </w:t>
      </w:r>
      <w:r w:rsidR="0082672E">
        <w:rPr>
          <w:szCs w:val="20"/>
        </w:rPr>
        <w:t>Univeg</w:t>
      </w:r>
      <w:r w:rsidRPr="00992199">
        <w:rPr>
          <w:szCs w:val="20"/>
        </w:rPr>
        <w:t xml:space="preserve"> will be transferred to the Company.</w:t>
      </w:r>
    </w:p>
    <w:p w:rsidR="003F0BC5" w:rsidRPr="00992199" w:rsidRDefault="003F0BC5" w:rsidP="003F0BC5">
      <w:pPr>
        <w:rPr>
          <w:szCs w:val="20"/>
        </w:rPr>
      </w:pPr>
      <w:r w:rsidRPr="00992199">
        <w:rPr>
          <w:szCs w:val="20"/>
        </w:rPr>
        <w:t xml:space="preserve">Under the DWB Demerger, DWB will be partially demerged into </w:t>
      </w:r>
      <w:r w:rsidR="002A1AB1">
        <w:rPr>
          <w:szCs w:val="20"/>
        </w:rPr>
        <w:t>Greenyard Foods</w:t>
      </w:r>
      <w:r w:rsidRPr="00992199">
        <w:rPr>
          <w:szCs w:val="20"/>
        </w:rPr>
        <w:t xml:space="preserve"> in accordance with Articles 677 and 728 </w:t>
      </w:r>
      <w:r w:rsidR="0055687C">
        <w:rPr>
          <w:szCs w:val="20"/>
        </w:rPr>
        <w:t>BCC</w:t>
      </w:r>
      <w:r w:rsidRPr="00992199">
        <w:rPr>
          <w:szCs w:val="20"/>
        </w:rPr>
        <w:t xml:space="preserve">. Pursuant to this partial demerger, all shares of </w:t>
      </w:r>
      <w:r w:rsidR="0082672E">
        <w:rPr>
          <w:szCs w:val="20"/>
        </w:rPr>
        <w:t>Univeg</w:t>
      </w:r>
      <w:r w:rsidRPr="00992199">
        <w:rPr>
          <w:szCs w:val="20"/>
        </w:rPr>
        <w:t xml:space="preserve"> held by DWB (amounting to 95.4% of the shares of </w:t>
      </w:r>
      <w:r w:rsidR="0082672E">
        <w:rPr>
          <w:szCs w:val="20"/>
        </w:rPr>
        <w:t>Univeg</w:t>
      </w:r>
      <w:r w:rsidRPr="00992199">
        <w:rPr>
          <w:szCs w:val="20"/>
        </w:rPr>
        <w:t xml:space="preserve">) and a debt of DWB against </w:t>
      </w:r>
      <w:r w:rsidR="0082672E">
        <w:rPr>
          <w:szCs w:val="20"/>
        </w:rPr>
        <w:t>Univeg</w:t>
      </w:r>
      <w:r w:rsidRPr="00992199">
        <w:rPr>
          <w:szCs w:val="20"/>
        </w:rPr>
        <w:t xml:space="preserve"> for an amount of </w:t>
      </w:r>
      <w:r w:rsidR="00E53641">
        <w:rPr>
          <w:szCs w:val="20"/>
        </w:rPr>
        <w:t>EUR </w:t>
      </w:r>
      <w:r w:rsidRPr="00992199">
        <w:rPr>
          <w:szCs w:val="20"/>
        </w:rPr>
        <w:t xml:space="preserve">2,436,901 will be transferred to </w:t>
      </w:r>
      <w:r w:rsidR="002A1AB1">
        <w:rPr>
          <w:szCs w:val="20"/>
        </w:rPr>
        <w:t>Greenyard Foods</w:t>
      </w:r>
      <w:r w:rsidRPr="00992199">
        <w:rPr>
          <w:szCs w:val="20"/>
        </w:rPr>
        <w:t xml:space="preserve"> against the issuance of 20,979,112 New Shares to the shareholders of DWB according to the valuation set out in Section 4.1.2</w:t>
      </w:r>
      <w:r w:rsidR="00916DA0">
        <w:rPr>
          <w:szCs w:val="20"/>
        </w:rPr>
        <w:t xml:space="preserve"> below</w:t>
      </w:r>
      <w:r w:rsidRPr="00992199">
        <w:rPr>
          <w:szCs w:val="20"/>
        </w:rPr>
        <w:t>.</w:t>
      </w:r>
    </w:p>
    <w:p w:rsidR="003F0BC5" w:rsidRPr="00992199" w:rsidRDefault="003F0BC5" w:rsidP="003F0BC5">
      <w:pPr>
        <w:rPr>
          <w:szCs w:val="20"/>
        </w:rPr>
      </w:pPr>
      <w:r w:rsidRPr="00992199">
        <w:rPr>
          <w:szCs w:val="20"/>
        </w:rPr>
        <w:t xml:space="preserve">Under the </w:t>
      </w:r>
      <w:r w:rsidR="0082672E">
        <w:rPr>
          <w:szCs w:val="20"/>
        </w:rPr>
        <w:t>Univeg</w:t>
      </w:r>
      <w:r w:rsidRPr="00992199">
        <w:rPr>
          <w:szCs w:val="20"/>
        </w:rPr>
        <w:t xml:space="preserve"> Contribution, 4.6% of the shares of </w:t>
      </w:r>
      <w:r w:rsidR="0082672E">
        <w:rPr>
          <w:szCs w:val="20"/>
        </w:rPr>
        <w:t>Univeg</w:t>
      </w:r>
      <w:r w:rsidRPr="00992199">
        <w:rPr>
          <w:szCs w:val="20"/>
        </w:rPr>
        <w:t xml:space="preserve"> will be contributed to the share capital of </w:t>
      </w:r>
      <w:r w:rsidR="002A1AB1">
        <w:rPr>
          <w:szCs w:val="20"/>
        </w:rPr>
        <w:t>Greenyard Foods</w:t>
      </w:r>
      <w:r w:rsidRPr="00992199">
        <w:rPr>
          <w:szCs w:val="20"/>
        </w:rPr>
        <w:t xml:space="preserve"> by </w:t>
      </w:r>
      <w:r w:rsidR="00C87D8C">
        <w:rPr>
          <w:szCs w:val="20"/>
        </w:rPr>
        <w:t>STAK FieldLink</w:t>
      </w:r>
      <w:r w:rsidRPr="00992199">
        <w:rPr>
          <w:szCs w:val="20"/>
        </w:rPr>
        <w:t xml:space="preserve"> at the occasion of a share capital increase of </w:t>
      </w:r>
      <w:r w:rsidR="002A1AB1">
        <w:rPr>
          <w:szCs w:val="20"/>
        </w:rPr>
        <w:t>Greenyard Foods</w:t>
      </w:r>
      <w:r w:rsidRPr="00992199">
        <w:rPr>
          <w:szCs w:val="20"/>
        </w:rPr>
        <w:t xml:space="preserve"> against the issuance of 1,019,757 New Shares to </w:t>
      </w:r>
      <w:r w:rsidR="00C87D8C">
        <w:rPr>
          <w:szCs w:val="20"/>
        </w:rPr>
        <w:t>STAK FieldLink</w:t>
      </w:r>
      <w:r w:rsidRPr="00992199">
        <w:rPr>
          <w:szCs w:val="20"/>
        </w:rPr>
        <w:t xml:space="preserve"> according to the valuation set out in Section 4.1.2</w:t>
      </w:r>
      <w:r w:rsidR="00916DA0">
        <w:rPr>
          <w:szCs w:val="20"/>
        </w:rPr>
        <w:t xml:space="preserve"> below</w:t>
      </w:r>
      <w:r w:rsidRPr="00992199">
        <w:rPr>
          <w:szCs w:val="20"/>
        </w:rPr>
        <w:t>.</w:t>
      </w:r>
    </w:p>
    <w:p w:rsidR="003F0BC5" w:rsidRPr="00992199" w:rsidRDefault="003F0BC5" w:rsidP="003F0BC5">
      <w:pPr>
        <w:rPr>
          <w:szCs w:val="20"/>
        </w:rPr>
      </w:pPr>
      <w:r w:rsidRPr="00992199">
        <w:rPr>
          <w:szCs w:val="20"/>
        </w:rPr>
        <w:t xml:space="preserve">The DWB Demerger, the </w:t>
      </w:r>
      <w:r w:rsidR="0082672E">
        <w:rPr>
          <w:szCs w:val="20"/>
        </w:rPr>
        <w:t>Univeg</w:t>
      </w:r>
      <w:r w:rsidRPr="00992199">
        <w:rPr>
          <w:szCs w:val="20"/>
        </w:rPr>
        <w:t xml:space="preserve"> Contribution and the Peatinvest Contribution are conditional on one another.</w:t>
      </w:r>
    </w:p>
    <w:p w:rsidR="00047662" w:rsidRDefault="00047662" w:rsidP="00047662">
      <w:pPr>
        <w:numPr>
          <w:ilvl w:val="2"/>
          <w:numId w:val="7"/>
        </w:numPr>
        <w:outlineLvl w:val="2"/>
        <w:rPr>
          <w:rFonts w:eastAsia="SimSun"/>
          <w:b/>
          <w:szCs w:val="20"/>
        </w:rPr>
      </w:pPr>
      <w:r w:rsidRPr="00047662">
        <w:rPr>
          <w:rFonts w:eastAsia="SimSun"/>
          <w:b/>
          <w:szCs w:val="20"/>
        </w:rPr>
        <w:t xml:space="preserve">Valuation of Greenyard and </w:t>
      </w:r>
      <w:r>
        <w:rPr>
          <w:rFonts w:eastAsia="SimSun"/>
          <w:b/>
          <w:szCs w:val="20"/>
        </w:rPr>
        <w:t>Univeg</w:t>
      </w:r>
      <w:r w:rsidRPr="00047662">
        <w:rPr>
          <w:rFonts w:eastAsia="SimSun"/>
          <w:b/>
          <w:szCs w:val="20"/>
        </w:rPr>
        <w:t xml:space="preserve"> and </w:t>
      </w:r>
      <w:r w:rsidR="00D92168" w:rsidRPr="00047662">
        <w:rPr>
          <w:rFonts w:eastAsia="SimSun"/>
          <w:b/>
          <w:szCs w:val="20"/>
        </w:rPr>
        <w:t>exchange ratio</w:t>
      </w:r>
    </w:p>
    <w:p w:rsidR="00D92168" w:rsidRPr="00BC52E0" w:rsidRDefault="00BC52E0" w:rsidP="00BC52E0">
      <w:pPr>
        <w:rPr>
          <w:szCs w:val="20"/>
        </w:rPr>
      </w:pPr>
      <w:r w:rsidRPr="00BC52E0">
        <w:rPr>
          <w:szCs w:val="20"/>
        </w:rPr>
        <w:t xml:space="preserve">See Section </w:t>
      </w:r>
      <w:r>
        <w:rPr>
          <w:szCs w:val="20"/>
        </w:rPr>
        <w:t xml:space="preserve">4.1.3 </w:t>
      </w:r>
      <w:r w:rsidR="00916DA0">
        <w:rPr>
          <w:szCs w:val="20"/>
        </w:rPr>
        <w:t xml:space="preserve">below </w:t>
      </w:r>
      <w:r>
        <w:rPr>
          <w:szCs w:val="20"/>
        </w:rPr>
        <w:t>and the documents referred to therein.</w:t>
      </w:r>
    </w:p>
    <w:p w:rsidR="003F0BC5" w:rsidRPr="00992199" w:rsidRDefault="003F0BC5" w:rsidP="00353B80">
      <w:pPr>
        <w:pStyle w:val="Firm5L3"/>
        <w:keepNext/>
      </w:pPr>
      <w:r w:rsidRPr="00992199">
        <w:lastRenderedPageBreak/>
        <w:t xml:space="preserve">Approval by the Board of Directors of </w:t>
      </w:r>
      <w:r w:rsidR="002A1AB1">
        <w:t>Greenyard Foods</w:t>
      </w:r>
    </w:p>
    <w:p w:rsidR="003F0BC5" w:rsidRPr="00992199" w:rsidRDefault="003F0BC5" w:rsidP="003F0BC5">
      <w:pPr>
        <w:rPr>
          <w:szCs w:val="20"/>
        </w:rPr>
      </w:pPr>
      <w:r w:rsidRPr="00992199">
        <w:rPr>
          <w:szCs w:val="20"/>
        </w:rPr>
        <w:t xml:space="preserve">The DWB Demerger and the </w:t>
      </w:r>
      <w:r w:rsidR="0082672E">
        <w:rPr>
          <w:szCs w:val="20"/>
        </w:rPr>
        <w:t>Univeg</w:t>
      </w:r>
      <w:r w:rsidRPr="00992199">
        <w:rPr>
          <w:szCs w:val="20"/>
        </w:rPr>
        <w:t xml:space="preserve"> Contribution have been approved by the Board of Directors on 22 April and </w:t>
      </w:r>
      <w:r w:rsidR="005B28E9">
        <w:rPr>
          <w:szCs w:val="20"/>
        </w:rPr>
        <w:t>8</w:t>
      </w:r>
      <w:r w:rsidRPr="00992199">
        <w:rPr>
          <w:szCs w:val="20"/>
        </w:rPr>
        <w:t> May 2015.</w:t>
      </w:r>
    </w:p>
    <w:p w:rsidR="003F0BC5" w:rsidRPr="00992199" w:rsidRDefault="003F0BC5" w:rsidP="00353B80">
      <w:pPr>
        <w:pStyle w:val="Firm5L4"/>
        <w:keepNext/>
      </w:pPr>
      <w:r w:rsidRPr="00992199">
        <w:t xml:space="preserve">Advice of the committee of independent directors under article 524 </w:t>
      </w:r>
      <w:r w:rsidR="0055687C">
        <w:t>BCC</w:t>
      </w:r>
    </w:p>
    <w:p w:rsidR="003F0BC5" w:rsidRPr="00992199" w:rsidRDefault="003F0BC5" w:rsidP="003F0BC5">
      <w:pPr>
        <w:rPr>
          <w:szCs w:val="20"/>
        </w:rPr>
      </w:pPr>
      <w:r w:rsidRPr="00992199">
        <w:rPr>
          <w:szCs w:val="20"/>
        </w:rPr>
        <w:t xml:space="preserve">On </w:t>
      </w:r>
      <w:r w:rsidR="005B28E9">
        <w:rPr>
          <w:szCs w:val="20"/>
        </w:rPr>
        <w:t>8</w:t>
      </w:r>
      <w:r w:rsidRPr="00992199">
        <w:rPr>
          <w:szCs w:val="20"/>
        </w:rPr>
        <w:t xml:space="preserve"> May 2015, a committee of independent directors of </w:t>
      </w:r>
      <w:r w:rsidR="002A1AB1">
        <w:rPr>
          <w:szCs w:val="20"/>
        </w:rPr>
        <w:t>Greenyard Foods</w:t>
      </w:r>
      <w:r w:rsidRPr="00992199">
        <w:rPr>
          <w:szCs w:val="20"/>
        </w:rPr>
        <w:t xml:space="preserve">, assisted by Eubelius CVBA and BNP Paribas Fortis NV as independent experts (the </w:t>
      </w:r>
      <w:r w:rsidRPr="00334917">
        <w:rPr>
          <w:b/>
          <w:i/>
          <w:szCs w:val="20"/>
        </w:rPr>
        <w:t>524 Committee</w:t>
      </w:r>
      <w:r w:rsidRPr="00992199">
        <w:rPr>
          <w:szCs w:val="20"/>
        </w:rPr>
        <w:t xml:space="preserve">), issued its advice on the DWB Demerger and the </w:t>
      </w:r>
      <w:r w:rsidR="0082672E">
        <w:rPr>
          <w:szCs w:val="20"/>
        </w:rPr>
        <w:t>Univeg</w:t>
      </w:r>
      <w:r w:rsidRPr="00992199">
        <w:rPr>
          <w:szCs w:val="20"/>
        </w:rPr>
        <w:t xml:space="preserve"> Contribution in accordance with article 524 </w:t>
      </w:r>
      <w:r w:rsidR="0055687C">
        <w:rPr>
          <w:szCs w:val="20"/>
        </w:rPr>
        <w:t>BCC</w:t>
      </w:r>
      <w:r w:rsidRPr="00992199">
        <w:rPr>
          <w:szCs w:val="20"/>
        </w:rPr>
        <w:t>. The conclusions of such advice read as follows:</w:t>
      </w:r>
    </w:p>
    <w:p w:rsidR="003F0BC5" w:rsidRPr="00992199" w:rsidRDefault="003F0BC5" w:rsidP="003F0BC5">
      <w:pPr>
        <w:rPr>
          <w:b/>
          <w:i/>
          <w:szCs w:val="20"/>
        </w:rPr>
      </w:pPr>
      <w:r w:rsidRPr="00992199">
        <w:rPr>
          <w:b/>
          <w:i/>
          <w:szCs w:val="20"/>
        </w:rPr>
        <w:t>[Note: Conclusions to be added]</w:t>
      </w:r>
    </w:p>
    <w:p w:rsidR="003F0BC5" w:rsidRPr="00992199" w:rsidRDefault="003F0BC5" w:rsidP="00353B80">
      <w:pPr>
        <w:pStyle w:val="Firm5L4"/>
        <w:keepNext/>
      </w:pPr>
      <w:r w:rsidRPr="00992199">
        <w:t>Fairness opinion of the independent expert</w:t>
      </w:r>
    </w:p>
    <w:p w:rsidR="003F0BC5" w:rsidRPr="00992199" w:rsidRDefault="003F0BC5" w:rsidP="003F0BC5">
      <w:pPr>
        <w:rPr>
          <w:szCs w:val="20"/>
        </w:rPr>
      </w:pPr>
      <w:r w:rsidRPr="00992199">
        <w:rPr>
          <w:szCs w:val="20"/>
        </w:rPr>
        <w:t xml:space="preserve">On </w:t>
      </w:r>
      <w:r w:rsidR="00864882">
        <w:rPr>
          <w:szCs w:val="20"/>
        </w:rPr>
        <w:t>12</w:t>
      </w:r>
      <w:r w:rsidRPr="00992199">
        <w:rPr>
          <w:szCs w:val="20"/>
        </w:rPr>
        <w:t xml:space="preserve"> May 2015, </w:t>
      </w:r>
      <w:r w:rsidR="000E1930">
        <w:rPr>
          <w:szCs w:val="20"/>
        </w:rPr>
        <w:t>Lazard SPRL</w:t>
      </w:r>
      <w:r w:rsidRPr="00992199">
        <w:rPr>
          <w:szCs w:val="20"/>
        </w:rPr>
        <w:t xml:space="preserve">, the financial expert appointed by the </w:t>
      </w:r>
      <w:r w:rsidR="000E1930">
        <w:rPr>
          <w:szCs w:val="20"/>
        </w:rPr>
        <w:t>Company</w:t>
      </w:r>
      <w:r w:rsidRPr="00992199">
        <w:rPr>
          <w:szCs w:val="20"/>
        </w:rPr>
        <w:t xml:space="preserve">, issued its fairness opinion on the DWB Demerger and the </w:t>
      </w:r>
      <w:r w:rsidR="0082672E">
        <w:rPr>
          <w:szCs w:val="20"/>
        </w:rPr>
        <w:t>Univeg</w:t>
      </w:r>
      <w:r w:rsidRPr="00992199">
        <w:rPr>
          <w:szCs w:val="20"/>
        </w:rPr>
        <w:t xml:space="preserve"> Contribution</w:t>
      </w:r>
      <w:r w:rsidR="00A76464">
        <w:rPr>
          <w:szCs w:val="20"/>
        </w:rPr>
        <w:t xml:space="preserve"> and the terms of the Partial Demerger and Contribution Agreement in this respect</w:t>
      </w:r>
      <w:r w:rsidRPr="00992199">
        <w:rPr>
          <w:szCs w:val="20"/>
        </w:rPr>
        <w:t>. The conclusions of such opinion read as follows:</w:t>
      </w:r>
    </w:p>
    <w:p w:rsidR="003F0BC5" w:rsidRPr="00900687" w:rsidRDefault="003F0BC5" w:rsidP="003F0BC5">
      <w:pPr>
        <w:rPr>
          <w:b/>
          <w:i/>
          <w:szCs w:val="20"/>
        </w:rPr>
      </w:pPr>
      <w:r w:rsidRPr="00900687">
        <w:rPr>
          <w:b/>
          <w:i/>
          <w:szCs w:val="20"/>
        </w:rPr>
        <w:t>[Note: Conclusions to be added]</w:t>
      </w:r>
    </w:p>
    <w:p w:rsidR="003F0BC5" w:rsidRPr="00992199" w:rsidRDefault="003F0BC5" w:rsidP="00353B80">
      <w:pPr>
        <w:pStyle w:val="Firm5L4"/>
        <w:keepNext/>
      </w:pPr>
      <w:r w:rsidRPr="00992199">
        <w:t xml:space="preserve">Decisions by the Board of Directors of </w:t>
      </w:r>
      <w:r w:rsidR="002A1AB1">
        <w:t>Greenyard Foods</w:t>
      </w:r>
    </w:p>
    <w:p w:rsidR="003F0BC5" w:rsidRPr="00992199" w:rsidRDefault="003F0BC5" w:rsidP="003F0BC5">
      <w:pPr>
        <w:rPr>
          <w:szCs w:val="20"/>
        </w:rPr>
      </w:pPr>
      <w:r w:rsidRPr="00992199">
        <w:rPr>
          <w:szCs w:val="20"/>
        </w:rPr>
        <w:t xml:space="preserve">On </w:t>
      </w:r>
      <w:r w:rsidR="005B28E9">
        <w:rPr>
          <w:szCs w:val="20"/>
        </w:rPr>
        <w:t>8</w:t>
      </w:r>
      <w:r w:rsidRPr="00992199">
        <w:rPr>
          <w:szCs w:val="20"/>
        </w:rPr>
        <w:t xml:space="preserve"> May 2015, </w:t>
      </w:r>
      <w:r w:rsidR="00D47467">
        <w:rPr>
          <w:szCs w:val="20"/>
        </w:rPr>
        <w:t>after deliberarion and having given due consideration to</w:t>
      </w:r>
      <w:r w:rsidRPr="00992199">
        <w:rPr>
          <w:szCs w:val="20"/>
        </w:rPr>
        <w:t xml:space="preserve"> the advice of the 524 Committee and </w:t>
      </w:r>
      <w:r w:rsidR="00D47467">
        <w:rPr>
          <w:szCs w:val="20"/>
        </w:rPr>
        <w:t>a</w:t>
      </w:r>
      <w:r w:rsidRPr="00992199">
        <w:rPr>
          <w:szCs w:val="20"/>
        </w:rPr>
        <w:t xml:space="preserve"> fairness opinion of Lazard</w:t>
      </w:r>
      <w:r w:rsidR="00D47467">
        <w:rPr>
          <w:szCs w:val="20"/>
        </w:rPr>
        <w:t xml:space="preserve"> SPRL</w:t>
      </w:r>
      <w:r w:rsidRPr="00992199">
        <w:rPr>
          <w:szCs w:val="20"/>
        </w:rPr>
        <w:t xml:space="preserve">, the Board of Directors decided to approve the terms of the DWB Demerger and the </w:t>
      </w:r>
      <w:r w:rsidR="0082672E">
        <w:rPr>
          <w:szCs w:val="20"/>
        </w:rPr>
        <w:t>Univeg</w:t>
      </w:r>
      <w:r w:rsidRPr="00992199">
        <w:rPr>
          <w:szCs w:val="20"/>
        </w:rPr>
        <w:t xml:space="preserve"> Contribution as set out in the </w:t>
      </w:r>
      <w:r w:rsidR="00334917">
        <w:rPr>
          <w:szCs w:val="20"/>
        </w:rPr>
        <w:t>joint demerger proposal</w:t>
      </w:r>
      <w:r w:rsidRPr="00992199">
        <w:rPr>
          <w:szCs w:val="20"/>
        </w:rPr>
        <w:t xml:space="preserve"> filed with the commercial registries of Ghent and Antwerp on 23 April 2015 (the </w:t>
      </w:r>
      <w:r w:rsidR="00334917">
        <w:rPr>
          <w:b/>
          <w:i/>
          <w:szCs w:val="20"/>
        </w:rPr>
        <w:t>Joint Demerger Proposal</w:t>
      </w:r>
      <w:r w:rsidRPr="00992199">
        <w:rPr>
          <w:szCs w:val="20"/>
        </w:rPr>
        <w:t>) and in the Partial Demerger and Contribution Agreement.</w:t>
      </w:r>
      <w:r w:rsidR="00334917">
        <w:rPr>
          <w:szCs w:val="20"/>
        </w:rPr>
        <w:t xml:space="preserve"> The Joint Demerger Proposal</w:t>
      </w:r>
      <w:r w:rsidR="00334917" w:rsidRPr="00334917">
        <w:rPr>
          <w:szCs w:val="20"/>
        </w:rPr>
        <w:t xml:space="preserve"> is part of the documents included in the Prospectus by reference as mentioned in Part XIII (</w:t>
      </w:r>
      <w:r w:rsidR="00334917" w:rsidRPr="00CD6C6D">
        <w:rPr>
          <w:i/>
          <w:szCs w:val="20"/>
        </w:rPr>
        <w:t>Documents incorporated by reference</w:t>
      </w:r>
      <w:r w:rsidR="00334917" w:rsidRPr="00334917">
        <w:rPr>
          <w:szCs w:val="20"/>
        </w:rPr>
        <w:t>) of the Prospectus.</w:t>
      </w:r>
    </w:p>
    <w:p w:rsidR="003F0BC5" w:rsidRPr="00992199" w:rsidRDefault="003F0BC5" w:rsidP="00353B80">
      <w:pPr>
        <w:pStyle w:val="Firm5L4"/>
        <w:keepNext/>
      </w:pPr>
      <w:r w:rsidRPr="00992199">
        <w:t>Reports relating to the DWB Demerger</w:t>
      </w:r>
    </w:p>
    <w:p w:rsidR="003F0BC5" w:rsidRPr="00992199" w:rsidRDefault="003F0BC5" w:rsidP="003F0BC5">
      <w:pPr>
        <w:rPr>
          <w:szCs w:val="20"/>
        </w:rPr>
      </w:pPr>
      <w:r w:rsidRPr="00992199">
        <w:rPr>
          <w:szCs w:val="20"/>
        </w:rPr>
        <w:t xml:space="preserve">In accordance with article 731 </w:t>
      </w:r>
      <w:r w:rsidR="0055687C">
        <w:rPr>
          <w:szCs w:val="20"/>
        </w:rPr>
        <w:t>BCC</w:t>
      </w:r>
      <w:r w:rsidRPr="00992199">
        <w:rPr>
          <w:szCs w:val="20"/>
        </w:rPr>
        <w:t xml:space="preserve">, the statutory auditor of </w:t>
      </w:r>
      <w:r w:rsidR="002A1AB1">
        <w:rPr>
          <w:szCs w:val="20"/>
        </w:rPr>
        <w:t>Greenyard Foods</w:t>
      </w:r>
      <w:r w:rsidRPr="00992199">
        <w:rPr>
          <w:szCs w:val="20"/>
        </w:rPr>
        <w:t xml:space="preserve"> issued a report on the DWB Demerger. This report is part of the documents included in the Prospectus by reference as mentioned in Part XIII (</w:t>
      </w:r>
      <w:r w:rsidRPr="00992199">
        <w:rPr>
          <w:i/>
          <w:szCs w:val="20"/>
        </w:rPr>
        <w:t xml:space="preserve">Documents incorporated by </w:t>
      </w:r>
      <w:r w:rsidRPr="00334917">
        <w:rPr>
          <w:i/>
          <w:szCs w:val="20"/>
        </w:rPr>
        <w:t>reference</w:t>
      </w:r>
      <w:r w:rsidRPr="00992199">
        <w:rPr>
          <w:szCs w:val="20"/>
        </w:rPr>
        <w:t>) of the Prospectus.</w:t>
      </w:r>
    </w:p>
    <w:p w:rsidR="003F0BC5" w:rsidRPr="00992199" w:rsidRDefault="003F0BC5" w:rsidP="003F0BC5">
      <w:pPr>
        <w:rPr>
          <w:szCs w:val="20"/>
        </w:rPr>
      </w:pPr>
      <w:r w:rsidRPr="00992199">
        <w:rPr>
          <w:szCs w:val="20"/>
        </w:rPr>
        <w:t xml:space="preserve">In accordance with article 730 </w:t>
      </w:r>
      <w:r w:rsidR="0055687C">
        <w:rPr>
          <w:szCs w:val="20"/>
        </w:rPr>
        <w:t>BCC</w:t>
      </w:r>
      <w:r w:rsidRPr="00992199">
        <w:rPr>
          <w:szCs w:val="20"/>
        </w:rPr>
        <w:t xml:space="preserve">, the Board of Directors issued a report on the DWB Demerger on </w:t>
      </w:r>
      <w:r w:rsidR="00864882">
        <w:rPr>
          <w:szCs w:val="20"/>
        </w:rPr>
        <w:t>19 May</w:t>
      </w:r>
      <w:r w:rsidR="00864882" w:rsidRPr="00992199">
        <w:rPr>
          <w:szCs w:val="20"/>
        </w:rPr>
        <w:t xml:space="preserve"> </w:t>
      </w:r>
      <w:r w:rsidRPr="00992199">
        <w:rPr>
          <w:szCs w:val="20"/>
        </w:rPr>
        <w:t>2015. This report is part of the documents included in the Prospectus by reference as mentioned in Part XIII (</w:t>
      </w:r>
      <w:r w:rsidRPr="00334917">
        <w:rPr>
          <w:i/>
          <w:szCs w:val="20"/>
        </w:rPr>
        <w:t>Documents incorporated by reference</w:t>
      </w:r>
      <w:r w:rsidRPr="00992199">
        <w:rPr>
          <w:szCs w:val="20"/>
        </w:rPr>
        <w:t>) of the Prospectus.</w:t>
      </w:r>
    </w:p>
    <w:p w:rsidR="003F0BC5" w:rsidRPr="00992199" w:rsidRDefault="003F0BC5" w:rsidP="00353B80">
      <w:pPr>
        <w:pStyle w:val="Firm5L4"/>
        <w:keepNext/>
      </w:pPr>
      <w:r w:rsidRPr="00992199">
        <w:t xml:space="preserve">Reports relating to the </w:t>
      </w:r>
      <w:r w:rsidR="0082672E">
        <w:t>Univeg</w:t>
      </w:r>
      <w:r w:rsidRPr="00992199">
        <w:t xml:space="preserve"> Contribution</w:t>
      </w:r>
    </w:p>
    <w:p w:rsidR="003F0BC5" w:rsidRPr="00992199" w:rsidRDefault="003F0BC5" w:rsidP="003F0BC5">
      <w:pPr>
        <w:rPr>
          <w:szCs w:val="20"/>
        </w:rPr>
      </w:pPr>
      <w:r w:rsidRPr="00992199">
        <w:rPr>
          <w:szCs w:val="20"/>
        </w:rPr>
        <w:t xml:space="preserve">In accordance with article 602 </w:t>
      </w:r>
      <w:r w:rsidR="0055687C">
        <w:rPr>
          <w:szCs w:val="20"/>
        </w:rPr>
        <w:t>BCC</w:t>
      </w:r>
      <w:r w:rsidRPr="00992199">
        <w:rPr>
          <w:szCs w:val="20"/>
        </w:rPr>
        <w:t xml:space="preserve">, the statutory auditor of </w:t>
      </w:r>
      <w:r w:rsidR="002A1AB1">
        <w:rPr>
          <w:szCs w:val="20"/>
        </w:rPr>
        <w:t>Greenyard Foods</w:t>
      </w:r>
      <w:r w:rsidRPr="00992199">
        <w:rPr>
          <w:szCs w:val="20"/>
        </w:rPr>
        <w:t xml:space="preserve"> and the Board of Directors issued each a report on the </w:t>
      </w:r>
      <w:r w:rsidR="0082672E">
        <w:rPr>
          <w:szCs w:val="20"/>
        </w:rPr>
        <w:t>Univeg</w:t>
      </w:r>
      <w:r w:rsidRPr="00992199">
        <w:rPr>
          <w:szCs w:val="20"/>
        </w:rPr>
        <w:t xml:space="preserve"> Contribution on [•] 2015.</w:t>
      </w:r>
    </w:p>
    <w:p w:rsidR="003F0BC5" w:rsidRPr="00992199" w:rsidRDefault="003F0BC5" w:rsidP="003F0BC5">
      <w:pPr>
        <w:rPr>
          <w:i/>
          <w:szCs w:val="20"/>
        </w:rPr>
      </w:pPr>
      <w:r w:rsidRPr="00992199">
        <w:rPr>
          <w:szCs w:val="20"/>
        </w:rPr>
        <w:t>The report</w:t>
      </w:r>
      <w:r w:rsidR="00334917">
        <w:rPr>
          <w:szCs w:val="20"/>
        </w:rPr>
        <w:t xml:space="preserve">s of </w:t>
      </w:r>
      <w:r w:rsidRPr="00992199">
        <w:rPr>
          <w:szCs w:val="20"/>
        </w:rPr>
        <w:t xml:space="preserve">the statutory auditor </w:t>
      </w:r>
      <w:r w:rsidR="00334917">
        <w:rPr>
          <w:szCs w:val="20"/>
        </w:rPr>
        <w:t xml:space="preserve">and </w:t>
      </w:r>
      <w:r w:rsidR="00334917" w:rsidRPr="00334917">
        <w:rPr>
          <w:szCs w:val="20"/>
        </w:rPr>
        <w:t xml:space="preserve">the Board of Directors </w:t>
      </w:r>
      <w:r w:rsidR="00334917">
        <w:rPr>
          <w:szCs w:val="20"/>
        </w:rPr>
        <w:t>are</w:t>
      </w:r>
      <w:r w:rsidRPr="00992199">
        <w:rPr>
          <w:szCs w:val="20"/>
        </w:rPr>
        <w:t xml:space="preserve"> part of the documents included in the Prospectus by reference as mentioned in Part XIII (</w:t>
      </w:r>
      <w:r w:rsidRPr="00992199">
        <w:rPr>
          <w:i/>
          <w:szCs w:val="20"/>
        </w:rPr>
        <w:t>Documents incorporated by reference</w:t>
      </w:r>
      <w:r w:rsidRPr="00992199">
        <w:rPr>
          <w:szCs w:val="20"/>
        </w:rPr>
        <w:t>) of the Prospectus.</w:t>
      </w:r>
    </w:p>
    <w:p w:rsidR="003F0BC5" w:rsidRPr="00992199" w:rsidRDefault="003F0BC5" w:rsidP="00353B80">
      <w:pPr>
        <w:pStyle w:val="Firm5L3"/>
        <w:keepNext/>
      </w:pPr>
      <w:r w:rsidRPr="00992199">
        <w:t xml:space="preserve">Convening of </w:t>
      </w:r>
      <w:r w:rsidR="00AA3763">
        <w:t>general shareholders’ meeting</w:t>
      </w:r>
      <w:r w:rsidRPr="00992199">
        <w:t xml:space="preserve"> of </w:t>
      </w:r>
      <w:r w:rsidR="002A1AB1">
        <w:t>Greenyard Foods</w:t>
      </w:r>
    </w:p>
    <w:p w:rsidR="003F0BC5" w:rsidRPr="00992199" w:rsidRDefault="003F0BC5" w:rsidP="003F0BC5">
      <w:pPr>
        <w:rPr>
          <w:szCs w:val="20"/>
        </w:rPr>
      </w:pPr>
      <w:r w:rsidRPr="00992199">
        <w:rPr>
          <w:szCs w:val="20"/>
        </w:rPr>
        <w:t xml:space="preserve">An extraordinary </w:t>
      </w:r>
      <w:r w:rsidR="00AA3763">
        <w:rPr>
          <w:szCs w:val="20"/>
        </w:rPr>
        <w:t>general shareholders’ meeting</w:t>
      </w:r>
      <w:r w:rsidRPr="00992199">
        <w:rPr>
          <w:szCs w:val="20"/>
        </w:rPr>
        <w:t xml:space="preserve"> of </w:t>
      </w:r>
      <w:r w:rsidR="002A1AB1">
        <w:rPr>
          <w:szCs w:val="20"/>
        </w:rPr>
        <w:t>Greenyard Foods</w:t>
      </w:r>
      <w:r w:rsidRPr="00992199">
        <w:rPr>
          <w:szCs w:val="20"/>
        </w:rPr>
        <w:t xml:space="preserve"> has been convened to be held on [19] June 2015 to decide on the DWB Demerger, the </w:t>
      </w:r>
      <w:r w:rsidR="0082672E">
        <w:rPr>
          <w:szCs w:val="20"/>
        </w:rPr>
        <w:t>Univeg</w:t>
      </w:r>
      <w:r w:rsidRPr="00992199">
        <w:rPr>
          <w:szCs w:val="20"/>
        </w:rPr>
        <w:t xml:space="preserve"> Contribution and the Peatinvest Contribution</w:t>
      </w:r>
      <w:r w:rsidR="00A76464">
        <w:rPr>
          <w:szCs w:val="20"/>
        </w:rPr>
        <w:t>, and to approve an amendment of the Articles of Association of the Company to reflect the New Shareholders’ Agreement</w:t>
      </w:r>
      <w:r w:rsidRPr="00992199">
        <w:rPr>
          <w:szCs w:val="20"/>
        </w:rPr>
        <w:t xml:space="preserve">. The extraordinary </w:t>
      </w:r>
      <w:r w:rsidR="00AA3763">
        <w:rPr>
          <w:szCs w:val="20"/>
        </w:rPr>
        <w:t>general shareholders’ meeting</w:t>
      </w:r>
      <w:r w:rsidRPr="00992199">
        <w:rPr>
          <w:szCs w:val="20"/>
        </w:rPr>
        <w:t xml:space="preserve"> will have the following agenda: </w:t>
      </w:r>
      <w:r w:rsidRPr="00992199">
        <w:rPr>
          <w:b/>
          <w:i/>
          <w:szCs w:val="20"/>
        </w:rPr>
        <w:t>[</w:t>
      </w:r>
      <w:r w:rsidR="007B3512">
        <w:rPr>
          <w:b/>
          <w:i/>
          <w:szCs w:val="20"/>
        </w:rPr>
        <w:t xml:space="preserve">Note: </w:t>
      </w:r>
      <w:r w:rsidR="00DF01FB">
        <w:rPr>
          <w:b/>
          <w:i/>
          <w:szCs w:val="20"/>
        </w:rPr>
        <w:t>A</w:t>
      </w:r>
      <w:r w:rsidRPr="00992199">
        <w:rPr>
          <w:b/>
          <w:i/>
          <w:szCs w:val="20"/>
        </w:rPr>
        <w:t>genda to be added]</w:t>
      </w:r>
      <w:r w:rsidRPr="00992199">
        <w:rPr>
          <w:szCs w:val="20"/>
        </w:rPr>
        <w:t>.</w:t>
      </w:r>
    </w:p>
    <w:p w:rsidR="003F0BC5" w:rsidRPr="00992199" w:rsidRDefault="003F0BC5" w:rsidP="00353B80">
      <w:pPr>
        <w:pStyle w:val="Firm5L3"/>
        <w:keepNext/>
      </w:pPr>
      <w:r w:rsidRPr="00992199">
        <w:t>Share exchange and effect of the Contribution</w:t>
      </w:r>
    </w:p>
    <w:p w:rsidR="003F0BC5" w:rsidRPr="00992199" w:rsidRDefault="003F0BC5" w:rsidP="003F0BC5">
      <w:pPr>
        <w:rPr>
          <w:szCs w:val="20"/>
        </w:rPr>
      </w:pPr>
      <w:r w:rsidRPr="00992199">
        <w:rPr>
          <w:szCs w:val="20"/>
        </w:rPr>
        <w:t xml:space="preserve">Further to the DWB Demerger and the </w:t>
      </w:r>
      <w:r w:rsidR="0082672E">
        <w:rPr>
          <w:szCs w:val="20"/>
        </w:rPr>
        <w:t>Univeg</w:t>
      </w:r>
      <w:r w:rsidRPr="00992199">
        <w:rPr>
          <w:szCs w:val="20"/>
        </w:rPr>
        <w:t xml:space="preserve"> Contribution, all shares of </w:t>
      </w:r>
      <w:r w:rsidR="0082672E">
        <w:rPr>
          <w:szCs w:val="20"/>
        </w:rPr>
        <w:t>Univeg</w:t>
      </w:r>
      <w:r w:rsidRPr="00992199">
        <w:rPr>
          <w:szCs w:val="20"/>
        </w:rPr>
        <w:t xml:space="preserve"> will be transferred to </w:t>
      </w:r>
      <w:r w:rsidR="002A1AB1">
        <w:rPr>
          <w:szCs w:val="20"/>
        </w:rPr>
        <w:t>Greenyard Foods</w:t>
      </w:r>
      <w:r w:rsidRPr="00992199">
        <w:rPr>
          <w:szCs w:val="20"/>
        </w:rPr>
        <w:t xml:space="preserve">, and the current shareholders of DWB as well as the </w:t>
      </w:r>
      <w:r w:rsidR="00C87D8C">
        <w:rPr>
          <w:szCs w:val="20"/>
        </w:rPr>
        <w:t>STAK FieldLink</w:t>
      </w:r>
      <w:r w:rsidRPr="00992199">
        <w:rPr>
          <w:szCs w:val="20"/>
        </w:rPr>
        <w:t xml:space="preserve"> will become shareholders of </w:t>
      </w:r>
      <w:r w:rsidR="002A1AB1">
        <w:rPr>
          <w:szCs w:val="20"/>
        </w:rPr>
        <w:t>Greenyard Foods</w:t>
      </w:r>
      <w:r w:rsidRPr="00992199">
        <w:rPr>
          <w:szCs w:val="20"/>
        </w:rPr>
        <w:t>.</w:t>
      </w:r>
    </w:p>
    <w:p w:rsidR="003F0BC5" w:rsidRPr="00992199" w:rsidRDefault="003F0BC5" w:rsidP="003F0BC5">
      <w:pPr>
        <w:rPr>
          <w:szCs w:val="20"/>
        </w:rPr>
      </w:pPr>
      <w:r w:rsidRPr="00992199">
        <w:rPr>
          <w:szCs w:val="20"/>
        </w:rPr>
        <w:t xml:space="preserve">In the context of the DWB Demerger and the </w:t>
      </w:r>
      <w:r w:rsidR="0082672E">
        <w:rPr>
          <w:szCs w:val="20"/>
        </w:rPr>
        <w:t>Univeg</w:t>
      </w:r>
      <w:r w:rsidRPr="00992199">
        <w:rPr>
          <w:szCs w:val="20"/>
        </w:rPr>
        <w:t xml:space="preserve"> Contribution, [1.1</w:t>
      </w:r>
      <w:r w:rsidR="0074141B">
        <w:rPr>
          <w:szCs w:val="20"/>
        </w:rPr>
        <w:t>913</w:t>
      </w:r>
      <w:r w:rsidRPr="00992199">
        <w:rPr>
          <w:szCs w:val="20"/>
        </w:rPr>
        <w:t xml:space="preserve">] New Shares shall be issued per </w:t>
      </w:r>
      <w:r w:rsidR="0082672E">
        <w:rPr>
          <w:szCs w:val="20"/>
        </w:rPr>
        <w:t>Univeg</w:t>
      </w:r>
      <w:r w:rsidRPr="00992199">
        <w:rPr>
          <w:szCs w:val="20"/>
        </w:rPr>
        <w:t xml:space="preserve"> share or about [</w:t>
      </w:r>
      <w:r w:rsidR="0074141B">
        <w:rPr>
          <w:szCs w:val="20"/>
        </w:rPr>
        <w:t>1 1/5</w:t>
      </w:r>
      <w:r w:rsidRPr="00992199">
        <w:rPr>
          <w:szCs w:val="20"/>
        </w:rPr>
        <w:t>] New Shares in exchange of [</w:t>
      </w:r>
      <w:r w:rsidR="0074141B">
        <w:rPr>
          <w:szCs w:val="20"/>
        </w:rPr>
        <w:t>1</w:t>
      </w:r>
      <w:r w:rsidRPr="00992199">
        <w:rPr>
          <w:szCs w:val="20"/>
        </w:rPr>
        <w:t xml:space="preserve">] </w:t>
      </w:r>
      <w:r w:rsidR="0082672E">
        <w:rPr>
          <w:szCs w:val="20"/>
        </w:rPr>
        <w:t>Univeg</w:t>
      </w:r>
      <w:r w:rsidRPr="00992199">
        <w:rPr>
          <w:szCs w:val="20"/>
        </w:rPr>
        <w:t xml:space="preserve"> share.</w:t>
      </w:r>
    </w:p>
    <w:p w:rsidR="003F0BC5" w:rsidRPr="00992199" w:rsidRDefault="003F0BC5" w:rsidP="00353B80">
      <w:pPr>
        <w:pStyle w:val="Firm5L3"/>
        <w:keepNext/>
      </w:pPr>
      <w:r w:rsidRPr="00992199">
        <w:t>Rights attached to the New Shares</w:t>
      </w:r>
    </w:p>
    <w:p w:rsidR="003F0BC5" w:rsidRPr="00992199" w:rsidRDefault="003F0BC5" w:rsidP="003F0BC5">
      <w:pPr>
        <w:rPr>
          <w:szCs w:val="20"/>
        </w:rPr>
      </w:pPr>
      <w:r w:rsidRPr="00992199">
        <w:rPr>
          <w:szCs w:val="20"/>
        </w:rPr>
        <w:t xml:space="preserve">The New Shares issued in the context of the DWB Demerger and the </w:t>
      </w:r>
      <w:r w:rsidR="0082672E">
        <w:rPr>
          <w:szCs w:val="20"/>
        </w:rPr>
        <w:t>Univeg</w:t>
      </w:r>
      <w:r w:rsidRPr="00992199">
        <w:rPr>
          <w:szCs w:val="20"/>
        </w:rPr>
        <w:t xml:space="preserve"> Contribution will benefit from the same rights as the existing Shares.</w:t>
      </w:r>
    </w:p>
    <w:p w:rsidR="003F0BC5" w:rsidRPr="00992199" w:rsidRDefault="003F0BC5" w:rsidP="00353B80">
      <w:pPr>
        <w:pStyle w:val="Firm5L2"/>
        <w:keepNext/>
        <w:keepLines/>
      </w:pPr>
      <w:bookmarkStart w:id="27" w:name="_Toc420593847"/>
      <w:r w:rsidRPr="00992199">
        <w:lastRenderedPageBreak/>
        <w:t>Contribution of the shares of Peatinvest</w:t>
      </w:r>
      <w:bookmarkEnd w:id="27"/>
    </w:p>
    <w:p w:rsidR="003F0BC5" w:rsidRPr="00992199" w:rsidRDefault="003F0BC5" w:rsidP="00353B80">
      <w:pPr>
        <w:pStyle w:val="Firm5L3"/>
        <w:keepNext/>
        <w:keepLines/>
      </w:pPr>
      <w:r w:rsidRPr="00992199">
        <w:t xml:space="preserve">Overview of the Peatinvest Contribution – Conditionality with the DWB Demerger and the </w:t>
      </w:r>
      <w:r w:rsidR="0082672E">
        <w:t>Univeg</w:t>
      </w:r>
      <w:r w:rsidRPr="00992199">
        <w:t xml:space="preserve"> Contribution</w:t>
      </w:r>
    </w:p>
    <w:p w:rsidR="003F0BC5" w:rsidRPr="00992199" w:rsidRDefault="003F0BC5" w:rsidP="00BC52E0">
      <w:pPr>
        <w:rPr>
          <w:szCs w:val="20"/>
        </w:rPr>
      </w:pPr>
      <w:r w:rsidRPr="00992199">
        <w:rPr>
          <w:szCs w:val="20"/>
        </w:rPr>
        <w:t xml:space="preserve">As a result of the Peatinvest Contribution, all shares of Peatinvest will be transferred to the Company. Such shares of Peatinvest will be contributed to the share capital of </w:t>
      </w:r>
      <w:r w:rsidR="002A1AB1">
        <w:rPr>
          <w:szCs w:val="20"/>
        </w:rPr>
        <w:t>Greenyard Foods</w:t>
      </w:r>
      <w:r w:rsidRPr="00992199">
        <w:rPr>
          <w:szCs w:val="20"/>
        </w:rPr>
        <w:t xml:space="preserve"> by the shareholders of Peatinvest at the occasion of a share capital increase of </w:t>
      </w:r>
      <w:r w:rsidR="002A1AB1">
        <w:rPr>
          <w:szCs w:val="20"/>
        </w:rPr>
        <w:t>Greenyard Foods</w:t>
      </w:r>
      <w:r w:rsidRPr="00992199">
        <w:rPr>
          <w:szCs w:val="20"/>
        </w:rPr>
        <w:t xml:space="preserve"> against the issuance of [3,514,196] New Shares to the shareholders of Peatinvest, according to the valuation set out in Section 4.2.2</w:t>
      </w:r>
      <w:r w:rsidR="00916DA0">
        <w:rPr>
          <w:szCs w:val="20"/>
        </w:rPr>
        <w:t xml:space="preserve"> below</w:t>
      </w:r>
      <w:r w:rsidRPr="00992199">
        <w:rPr>
          <w:szCs w:val="20"/>
        </w:rPr>
        <w:t>.</w:t>
      </w:r>
    </w:p>
    <w:p w:rsidR="003F0BC5" w:rsidRPr="00BC52E0" w:rsidRDefault="003F0BC5" w:rsidP="003F0BC5">
      <w:pPr>
        <w:rPr>
          <w:szCs w:val="20"/>
        </w:rPr>
      </w:pPr>
      <w:r w:rsidRPr="00BC52E0">
        <w:rPr>
          <w:szCs w:val="20"/>
        </w:rPr>
        <w:t xml:space="preserve">The DWB Demerger, the </w:t>
      </w:r>
      <w:r w:rsidR="0082672E" w:rsidRPr="00BC52E0">
        <w:rPr>
          <w:szCs w:val="20"/>
        </w:rPr>
        <w:t>Univeg</w:t>
      </w:r>
      <w:r w:rsidRPr="00BC52E0">
        <w:rPr>
          <w:szCs w:val="20"/>
        </w:rPr>
        <w:t xml:space="preserve"> Contribution and the Peatinvest Contribution are conditional on one another.</w:t>
      </w:r>
    </w:p>
    <w:p w:rsidR="003F0BC5" w:rsidRDefault="003F0BC5" w:rsidP="00353B80">
      <w:pPr>
        <w:pStyle w:val="Firm5L3"/>
        <w:keepNext/>
      </w:pPr>
      <w:r w:rsidRPr="00992199">
        <w:t xml:space="preserve">Valuation of </w:t>
      </w:r>
      <w:r w:rsidR="002A1AB1">
        <w:t>Greenyard Foods</w:t>
      </w:r>
      <w:r w:rsidRPr="00992199">
        <w:t xml:space="preserve"> and Peatinvest and exchange ratio</w:t>
      </w:r>
    </w:p>
    <w:p w:rsidR="00BC52E0" w:rsidRPr="00992199" w:rsidRDefault="00BC52E0" w:rsidP="00BC52E0">
      <w:r w:rsidRPr="00BC52E0">
        <w:t>See Section 4.</w:t>
      </w:r>
      <w:r>
        <w:t>2</w:t>
      </w:r>
      <w:r w:rsidRPr="00BC52E0">
        <w:t xml:space="preserve">.3 </w:t>
      </w:r>
      <w:r w:rsidR="00916DA0">
        <w:t xml:space="preserve">below </w:t>
      </w:r>
      <w:r w:rsidRPr="00BC52E0">
        <w:t>and the documents referred to therein.</w:t>
      </w:r>
    </w:p>
    <w:p w:rsidR="003F0BC5" w:rsidRPr="00992199" w:rsidRDefault="003F0BC5" w:rsidP="00353B80">
      <w:pPr>
        <w:pStyle w:val="Firm5L3"/>
        <w:keepNext/>
      </w:pPr>
      <w:r w:rsidRPr="00992199">
        <w:t xml:space="preserve">Approval by the Board of Directors of </w:t>
      </w:r>
      <w:r w:rsidR="002A1AB1">
        <w:t>Greenyard Foods</w:t>
      </w:r>
    </w:p>
    <w:p w:rsidR="003F0BC5" w:rsidRPr="00992199" w:rsidRDefault="003F0BC5" w:rsidP="003F0BC5">
      <w:pPr>
        <w:rPr>
          <w:szCs w:val="20"/>
        </w:rPr>
      </w:pPr>
      <w:r w:rsidRPr="00992199">
        <w:rPr>
          <w:szCs w:val="20"/>
        </w:rPr>
        <w:t xml:space="preserve">The Peatinvest Contribution has been approved by the Board of Directors on 22 April </w:t>
      </w:r>
      <w:r w:rsidR="005B28E9">
        <w:rPr>
          <w:szCs w:val="20"/>
        </w:rPr>
        <w:t xml:space="preserve">2015 </w:t>
      </w:r>
      <w:r w:rsidRPr="00992199">
        <w:rPr>
          <w:szCs w:val="20"/>
        </w:rPr>
        <w:t xml:space="preserve">and </w:t>
      </w:r>
      <w:r w:rsidR="005B28E9">
        <w:rPr>
          <w:szCs w:val="20"/>
        </w:rPr>
        <w:t>8</w:t>
      </w:r>
      <w:r w:rsidRPr="00992199">
        <w:rPr>
          <w:szCs w:val="20"/>
        </w:rPr>
        <w:t> May 2015.</w:t>
      </w:r>
    </w:p>
    <w:p w:rsidR="003F0BC5" w:rsidRPr="00992199" w:rsidRDefault="003F0BC5" w:rsidP="00353B80">
      <w:pPr>
        <w:pStyle w:val="Firm5L4"/>
        <w:keepNext/>
      </w:pPr>
      <w:r w:rsidRPr="00992199">
        <w:t xml:space="preserve">Advice of the committee of independent directors under article 524 </w:t>
      </w:r>
      <w:r w:rsidR="0055687C">
        <w:t>BCC</w:t>
      </w:r>
    </w:p>
    <w:p w:rsidR="003F0BC5" w:rsidRPr="00992199" w:rsidRDefault="003F0BC5" w:rsidP="003F0BC5">
      <w:pPr>
        <w:rPr>
          <w:szCs w:val="20"/>
        </w:rPr>
      </w:pPr>
      <w:r w:rsidRPr="00992199">
        <w:rPr>
          <w:szCs w:val="20"/>
        </w:rPr>
        <w:t xml:space="preserve">On </w:t>
      </w:r>
      <w:r w:rsidR="005B28E9">
        <w:rPr>
          <w:szCs w:val="20"/>
        </w:rPr>
        <w:t>8</w:t>
      </w:r>
      <w:r w:rsidRPr="00992199">
        <w:rPr>
          <w:szCs w:val="20"/>
        </w:rPr>
        <w:t xml:space="preserve"> May 2015, the 524 Committee, issued its advice on the Peatinvest Contribution </w:t>
      </w:r>
      <w:r w:rsidR="0074141B">
        <w:rPr>
          <w:szCs w:val="20"/>
        </w:rPr>
        <w:t>and the terms of the Partial Demerger and Contribution Agreement</w:t>
      </w:r>
      <w:r w:rsidR="0074141B" w:rsidRPr="00992199">
        <w:rPr>
          <w:szCs w:val="20"/>
        </w:rPr>
        <w:t xml:space="preserve"> </w:t>
      </w:r>
      <w:r w:rsidR="0074141B">
        <w:rPr>
          <w:szCs w:val="20"/>
        </w:rPr>
        <w:t xml:space="preserve">in this respect </w:t>
      </w:r>
      <w:r w:rsidRPr="00992199">
        <w:rPr>
          <w:szCs w:val="20"/>
        </w:rPr>
        <w:t xml:space="preserve">in accordance with article 524 </w:t>
      </w:r>
      <w:r w:rsidR="0055687C">
        <w:rPr>
          <w:szCs w:val="20"/>
        </w:rPr>
        <w:t>BCC</w:t>
      </w:r>
      <w:r w:rsidRPr="00992199">
        <w:rPr>
          <w:szCs w:val="20"/>
        </w:rPr>
        <w:t>. The conclusions of such advice read as follows:</w:t>
      </w:r>
    </w:p>
    <w:p w:rsidR="003F0BC5" w:rsidRPr="00992199" w:rsidRDefault="003F0BC5" w:rsidP="003F0BC5">
      <w:pPr>
        <w:rPr>
          <w:b/>
          <w:i/>
          <w:szCs w:val="20"/>
        </w:rPr>
      </w:pPr>
      <w:r w:rsidRPr="00992199">
        <w:rPr>
          <w:b/>
          <w:i/>
          <w:szCs w:val="20"/>
        </w:rPr>
        <w:t>[Note: Conclusions to be added]</w:t>
      </w:r>
    </w:p>
    <w:p w:rsidR="003F0BC5" w:rsidRPr="00992199" w:rsidRDefault="003F0BC5" w:rsidP="00353B80">
      <w:pPr>
        <w:pStyle w:val="Firm5L4"/>
        <w:keepNext/>
      </w:pPr>
      <w:r w:rsidRPr="00992199">
        <w:t>Fairness opinion of the independent expert</w:t>
      </w:r>
    </w:p>
    <w:p w:rsidR="003F0BC5" w:rsidRPr="00992199" w:rsidRDefault="003F0BC5" w:rsidP="003F0BC5">
      <w:pPr>
        <w:rPr>
          <w:szCs w:val="20"/>
        </w:rPr>
      </w:pPr>
      <w:r w:rsidRPr="00992199">
        <w:rPr>
          <w:szCs w:val="20"/>
        </w:rPr>
        <w:t xml:space="preserve">On </w:t>
      </w:r>
      <w:r w:rsidR="00864882">
        <w:rPr>
          <w:szCs w:val="20"/>
        </w:rPr>
        <w:t>12</w:t>
      </w:r>
      <w:r w:rsidR="00864882" w:rsidRPr="00992199">
        <w:rPr>
          <w:szCs w:val="20"/>
        </w:rPr>
        <w:t> </w:t>
      </w:r>
      <w:r w:rsidRPr="00992199">
        <w:rPr>
          <w:szCs w:val="20"/>
        </w:rPr>
        <w:t xml:space="preserve">May 2015, </w:t>
      </w:r>
      <w:r w:rsidR="00D47467">
        <w:rPr>
          <w:szCs w:val="20"/>
        </w:rPr>
        <w:t>Lazard SPRL</w:t>
      </w:r>
      <w:r w:rsidRPr="00992199">
        <w:rPr>
          <w:szCs w:val="20"/>
        </w:rPr>
        <w:t xml:space="preserve">, the independent expert appointed by the </w:t>
      </w:r>
      <w:r w:rsidR="00D47467">
        <w:rPr>
          <w:szCs w:val="20"/>
        </w:rPr>
        <w:t>Company</w:t>
      </w:r>
      <w:r w:rsidRPr="00992199">
        <w:rPr>
          <w:szCs w:val="20"/>
        </w:rPr>
        <w:t>, issued its fairness opinion on the Peatinvest Contribution. The conclusions of such opinion read as follows:</w:t>
      </w:r>
    </w:p>
    <w:p w:rsidR="003F0BC5" w:rsidRPr="00992199" w:rsidRDefault="003F0BC5" w:rsidP="003F0BC5">
      <w:pPr>
        <w:rPr>
          <w:b/>
          <w:i/>
          <w:szCs w:val="20"/>
        </w:rPr>
      </w:pPr>
      <w:r w:rsidRPr="00992199">
        <w:rPr>
          <w:b/>
          <w:i/>
          <w:szCs w:val="20"/>
        </w:rPr>
        <w:t>[Note: Conclusions to be added]</w:t>
      </w:r>
    </w:p>
    <w:p w:rsidR="003F0BC5" w:rsidRPr="00992199" w:rsidRDefault="003F0BC5" w:rsidP="00353B80">
      <w:pPr>
        <w:pStyle w:val="Firm5L4"/>
        <w:keepNext/>
      </w:pPr>
      <w:r w:rsidRPr="00992199">
        <w:t xml:space="preserve">Decisions by the Board of Directors of </w:t>
      </w:r>
      <w:r w:rsidR="002A1AB1">
        <w:t>Greenyard Foods</w:t>
      </w:r>
    </w:p>
    <w:p w:rsidR="003F0BC5" w:rsidRPr="00992199" w:rsidRDefault="003F0BC5" w:rsidP="003F0BC5">
      <w:pPr>
        <w:rPr>
          <w:szCs w:val="20"/>
        </w:rPr>
      </w:pPr>
      <w:r w:rsidRPr="00992199">
        <w:rPr>
          <w:szCs w:val="20"/>
        </w:rPr>
        <w:t xml:space="preserve">On </w:t>
      </w:r>
      <w:r w:rsidR="00864882">
        <w:rPr>
          <w:szCs w:val="20"/>
        </w:rPr>
        <w:t>8</w:t>
      </w:r>
      <w:r w:rsidR="00864882" w:rsidRPr="00992199">
        <w:rPr>
          <w:szCs w:val="20"/>
        </w:rPr>
        <w:t> </w:t>
      </w:r>
      <w:r w:rsidRPr="00992199">
        <w:rPr>
          <w:szCs w:val="20"/>
        </w:rPr>
        <w:t xml:space="preserve">May 2015, </w:t>
      </w:r>
      <w:r w:rsidR="00D47467">
        <w:rPr>
          <w:szCs w:val="20"/>
        </w:rPr>
        <w:t>after deliberarion and having given due consideration to</w:t>
      </w:r>
      <w:r w:rsidR="00D47467" w:rsidRPr="00992199">
        <w:rPr>
          <w:szCs w:val="20"/>
        </w:rPr>
        <w:t xml:space="preserve"> </w:t>
      </w:r>
      <w:r w:rsidRPr="00992199">
        <w:rPr>
          <w:szCs w:val="20"/>
        </w:rPr>
        <w:t>the advice of the 524 Committee and the fairness opinion of Lazard</w:t>
      </w:r>
      <w:r w:rsidR="00D47467">
        <w:rPr>
          <w:szCs w:val="20"/>
        </w:rPr>
        <w:t xml:space="preserve"> SPRL</w:t>
      </w:r>
      <w:r w:rsidRPr="00992199">
        <w:rPr>
          <w:szCs w:val="20"/>
        </w:rPr>
        <w:t>, the Board of Directors decided to approve the terms of the Peatinvest Contribution as set out in the Partial Demerger and Contribution Agreement.</w:t>
      </w:r>
    </w:p>
    <w:p w:rsidR="003F0BC5" w:rsidRPr="00992199" w:rsidRDefault="003F0BC5" w:rsidP="00353B80">
      <w:pPr>
        <w:pStyle w:val="Firm5L4"/>
        <w:keepNext/>
      </w:pPr>
      <w:r w:rsidRPr="00992199">
        <w:t>Reports relating to the Peatinvest Contribution</w:t>
      </w:r>
    </w:p>
    <w:p w:rsidR="003F0BC5" w:rsidRPr="00992199" w:rsidRDefault="003F0BC5" w:rsidP="003F0BC5">
      <w:pPr>
        <w:rPr>
          <w:szCs w:val="20"/>
        </w:rPr>
      </w:pPr>
      <w:r w:rsidRPr="00992199">
        <w:rPr>
          <w:szCs w:val="20"/>
        </w:rPr>
        <w:t xml:space="preserve">In accordance with article 602 </w:t>
      </w:r>
      <w:r w:rsidR="0055687C">
        <w:rPr>
          <w:szCs w:val="20"/>
        </w:rPr>
        <w:t>BCC</w:t>
      </w:r>
      <w:r w:rsidRPr="00992199">
        <w:rPr>
          <w:szCs w:val="20"/>
        </w:rPr>
        <w:t xml:space="preserve">, the statutory auditor of </w:t>
      </w:r>
      <w:r w:rsidR="002A1AB1">
        <w:rPr>
          <w:szCs w:val="20"/>
        </w:rPr>
        <w:t>Greenyard Foods</w:t>
      </w:r>
      <w:r w:rsidRPr="00992199">
        <w:rPr>
          <w:szCs w:val="20"/>
        </w:rPr>
        <w:t xml:space="preserve"> and the Board of Directors issued each a report on the Peatinvest Contribution on [•] May 2015.</w:t>
      </w:r>
    </w:p>
    <w:p w:rsidR="003F0BC5" w:rsidRPr="00992199" w:rsidRDefault="003F0BC5" w:rsidP="003F0BC5">
      <w:pPr>
        <w:rPr>
          <w:szCs w:val="20"/>
        </w:rPr>
      </w:pPr>
      <w:r w:rsidRPr="00992199">
        <w:rPr>
          <w:szCs w:val="20"/>
        </w:rPr>
        <w:t>The report of the auditor and the report of the Board of Directors are part of the documents included in the Prospectus by reference as mentioned in Part XIII (</w:t>
      </w:r>
      <w:r w:rsidRPr="00992199">
        <w:rPr>
          <w:i/>
          <w:szCs w:val="20"/>
        </w:rPr>
        <w:t>Documents incorporated by reference</w:t>
      </w:r>
      <w:r w:rsidRPr="00992199">
        <w:rPr>
          <w:szCs w:val="20"/>
        </w:rPr>
        <w:t>) of the Prospectus.</w:t>
      </w:r>
    </w:p>
    <w:p w:rsidR="003F0BC5" w:rsidRPr="00992199" w:rsidRDefault="003F0BC5" w:rsidP="00353B80">
      <w:pPr>
        <w:pStyle w:val="Firm5L3"/>
        <w:keepNext/>
      </w:pPr>
      <w:r w:rsidRPr="00992199">
        <w:t xml:space="preserve">Convening of </w:t>
      </w:r>
      <w:r w:rsidR="00AA3763">
        <w:t>general shareholders’ meeting</w:t>
      </w:r>
      <w:r w:rsidRPr="00992199">
        <w:t xml:space="preserve"> of </w:t>
      </w:r>
      <w:r w:rsidR="002A1AB1">
        <w:t>Greenyard Foods</w:t>
      </w:r>
    </w:p>
    <w:p w:rsidR="003F0BC5" w:rsidRPr="00992199" w:rsidRDefault="003F0BC5" w:rsidP="003F0BC5">
      <w:pPr>
        <w:rPr>
          <w:szCs w:val="20"/>
        </w:rPr>
      </w:pPr>
      <w:r w:rsidRPr="00992199">
        <w:rPr>
          <w:szCs w:val="20"/>
        </w:rPr>
        <w:t xml:space="preserve">An extraordinary </w:t>
      </w:r>
      <w:r w:rsidR="00AA3763">
        <w:rPr>
          <w:szCs w:val="20"/>
        </w:rPr>
        <w:t>general shareholders’ meeting</w:t>
      </w:r>
      <w:r w:rsidRPr="00992199">
        <w:rPr>
          <w:szCs w:val="20"/>
        </w:rPr>
        <w:t xml:space="preserve"> of </w:t>
      </w:r>
      <w:r w:rsidR="002A1AB1">
        <w:rPr>
          <w:szCs w:val="20"/>
        </w:rPr>
        <w:t>Greenyard Foods</w:t>
      </w:r>
      <w:r w:rsidRPr="00992199">
        <w:rPr>
          <w:szCs w:val="20"/>
        </w:rPr>
        <w:t xml:space="preserve"> has been convened on [19] June 2015 to decide on the DWB Demerger and the </w:t>
      </w:r>
      <w:r w:rsidR="0082672E">
        <w:rPr>
          <w:szCs w:val="20"/>
        </w:rPr>
        <w:t>Univeg</w:t>
      </w:r>
      <w:r w:rsidRPr="00992199">
        <w:rPr>
          <w:szCs w:val="20"/>
        </w:rPr>
        <w:t xml:space="preserve"> Contribution as well as on the Peatinvest Contribution. The extraordinary </w:t>
      </w:r>
      <w:r w:rsidR="00AA3763">
        <w:rPr>
          <w:szCs w:val="20"/>
        </w:rPr>
        <w:t>general shareholders’ meeting</w:t>
      </w:r>
      <w:r w:rsidRPr="00992199">
        <w:rPr>
          <w:szCs w:val="20"/>
        </w:rPr>
        <w:t xml:space="preserve"> will have the following agenda: </w:t>
      </w:r>
      <w:r w:rsidRPr="00992199">
        <w:rPr>
          <w:b/>
          <w:i/>
          <w:szCs w:val="20"/>
        </w:rPr>
        <w:t>[</w:t>
      </w:r>
      <w:r w:rsidR="007B3512">
        <w:rPr>
          <w:b/>
          <w:i/>
          <w:szCs w:val="20"/>
        </w:rPr>
        <w:t xml:space="preserve">Note: </w:t>
      </w:r>
      <w:r w:rsidR="00DF01FB">
        <w:rPr>
          <w:b/>
          <w:i/>
          <w:szCs w:val="20"/>
        </w:rPr>
        <w:t>A</w:t>
      </w:r>
      <w:r w:rsidRPr="00992199">
        <w:rPr>
          <w:b/>
          <w:i/>
          <w:szCs w:val="20"/>
        </w:rPr>
        <w:t>genda to be added]</w:t>
      </w:r>
      <w:r w:rsidRPr="00992199">
        <w:rPr>
          <w:szCs w:val="20"/>
        </w:rPr>
        <w:t>.</w:t>
      </w:r>
    </w:p>
    <w:p w:rsidR="003F0BC5" w:rsidRPr="00992199" w:rsidRDefault="003F0BC5" w:rsidP="00353B80">
      <w:pPr>
        <w:pStyle w:val="Firm5L3"/>
        <w:keepNext/>
      </w:pPr>
      <w:r w:rsidRPr="00992199">
        <w:t>Share exchange and effect of the Contribution</w:t>
      </w:r>
    </w:p>
    <w:p w:rsidR="003F0BC5" w:rsidRPr="00992199" w:rsidRDefault="003F0BC5" w:rsidP="003F0BC5">
      <w:pPr>
        <w:rPr>
          <w:szCs w:val="20"/>
        </w:rPr>
      </w:pPr>
      <w:r w:rsidRPr="00992199">
        <w:rPr>
          <w:szCs w:val="20"/>
        </w:rPr>
        <w:t xml:space="preserve">Further to the Peatinvest Contribution, all shares of Peatinvest will be held by </w:t>
      </w:r>
      <w:r w:rsidR="002A1AB1">
        <w:rPr>
          <w:szCs w:val="20"/>
        </w:rPr>
        <w:t>Greenyard Foods</w:t>
      </w:r>
      <w:r w:rsidRPr="00992199">
        <w:rPr>
          <w:szCs w:val="20"/>
        </w:rPr>
        <w:t xml:space="preserve"> and the current shareholders of Peatinvest will become shareholders of </w:t>
      </w:r>
      <w:r w:rsidR="002A1AB1">
        <w:rPr>
          <w:szCs w:val="20"/>
        </w:rPr>
        <w:t>Greenyard Foods</w:t>
      </w:r>
      <w:r w:rsidRPr="00992199">
        <w:rPr>
          <w:szCs w:val="20"/>
        </w:rPr>
        <w:t>.</w:t>
      </w:r>
    </w:p>
    <w:p w:rsidR="003F0BC5" w:rsidRPr="00992199" w:rsidRDefault="003F0BC5" w:rsidP="003F0BC5">
      <w:pPr>
        <w:rPr>
          <w:szCs w:val="20"/>
        </w:rPr>
      </w:pPr>
      <w:r w:rsidRPr="00992199">
        <w:rPr>
          <w:szCs w:val="20"/>
        </w:rPr>
        <w:t>In the context of the Peatinvest Contribution, [</w:t>
      </w:r>
      <w:r w:rsidR="0074141B">
        <w:rPr>
          <w:szCs w:val="20"/>
        </w:rPr>
        <w:t>225.703</w:t>
      </w:r>
      <w:r w:rsidRPr="00992199">
        <w:rPr>
          <w:szCs w:val="20"/>
        </w:rPr>
        <w:t xml:space="preserve">] New Shares shall be issued per Peatinvest share. </w:t>
      </w:r>
      <w:r w:rsidRPr="00992199">
        <w:rPr>
          <w:b/>
          <w:i/>
          <w:szCs w:val="20"/>
        </w:rPr>
        <w:t>[N</w:t>
      </w:r>
      <w:r w:rsidR="00DF01FB">
        <w:rPr>
          <w:b/>
          <w:i/>
          <w:szCs w:val="20"/>
        </w:rPr>
        <w:t>ot</w:t>
      </w:r>
      <w:r w:rsidR="00E34880">
        <w:rPr>
          <w:b/>
          <w:i/>
          <w:szCs w:val="20"/>
        </w:rPr>
        <w:t>e</w:t>
      </w:r>
      <w:r w:rsidR="00DF01FB">
        <w:rPr>
          <w:b/>
          <w:i/>
          <w:szCs w:val="20"/>
        </w:rPr>
        <w:t>: R</w:t>
      </w:r>
      <w:r w:rsidRPr="00992199">
        <w:rPr>
          <w:b/>
          <w:i/>
          <w:szCs w:val="20"/>
        </w:rPr>
        <w:t>atio to be confirmed]</w:t>
      </w:r>
    </w:p>
    <w:p w:rsidR="003F0BC5" w:rsidRPr="00992199" w:rsidRDefault="003F0BC5" w:rsidP="00353B80">
      <w:pPr>
        <w:pStyle w:val="Firm5L3"/>
        <w:keepNext/>
      </w:pPr>
      <w:r w:rsidRPr="00992199">
        <w:t>Rights attached to the New Shares</w:t>
      </w:r>
    </w:p>
    <w:p w:rsidR="003F0BC5" w:rsidRPr="00992199" w:rsidRDefault="003F0BC5" w:rsidP="003F0BC5">
      <w:pPr>
        <w:rPr>
          <w:szCs w:val="20"/>
        </w:rPr>
      </w:pPr>
      <w:r w:rsidRPr="00992199">
        <w:rPr>
          <w:szCs w:val="20"/>
        </w:rPr>
        <w:t>The New Shares issued in the context of the Peatinvest Contribution will benefit from the same rights as the existing Shares.</w:t>
      </w:r>
    </w:p>
    <w:p w:rsidR="003F0BC5" w:rsidRPr="00992199" w:rsidRDefault="003F0BC5" w:rsidP="00353B80">
      <w:pPr>
        <w:pStyle w:val="Firm5L2"/>
        <w:keepNext/>
      </w:pPr>
      <w:bookmarkStart w:id="28" w:name="_Toc420593848"/>
      <w:r w:rsidRPr="00992199">
        <w:lastRenderedPageBreak/>
        <w:t>Tax consequences of the Contributions</w:t>
      </w:r>
      <w:bookmarkEnd w:id="28"/>
    </w:p>
    <w:p w:rsidR="003F0BC5" w:rsidRPr="00992199" w:rsidRDefault="003F0BC5" w:rsidP="00353B80">
      <w:pPr>
        <w:pStyle w:val="Firm5L3"/>
        <w:keepNext/>
      </w:pPr>
      <w:r w:rsidRPr="00992199">
        <w:t xml:space="preserve">Belgian corporate income tax consequences of the Contributions for </w:t>
      </w:r>
      <w:r w:rsidR="002A1AB1">
        <w:t>Greenyard Foods</w:t>
      </w:r>
    </w:p>
    <w:p w:rsidR="003F0BC5" w:rsidRPr="00992199" w:rsidRDefault="003F0BC5" w:rsidP="00353B80">
      <w:pPr>
        <w:pStyle w:val="Firm5L4"/>
        <w:keepNext/>
      </w:pPr>
      <w:r w:rsidRPr="00992199">
        <w:t>DWB Demerger</w:t>
      </w:r>
    </w:p>
    <w:p w:rsidR="003F0BC5" w:rsidRPr="00992199" w:rsidRDefault="003F0BC5" w:rsidP="003F0BC5">
      <w:pPr>
        <w:rPr>
          <w:szCs w:val="20"/>
        </w:rPr>
      </w:pPr>
      <w:r w:rsidRPr="00992199">
        <w:rPr>
          <w:szCs w:val="20"/>
        </w:rPr>
        <w:t>In Belgium, a domestic partial demerger triggers no taxation if the following conditions are met simultaneously: (i) the beneficiary company is a Belgian resident company, (ii) the transaction is carried out in accordance with the BCC and (iii) the transaction does not have as its principle objective or as one of its principal objectives tax evasion or tax avoidance (</w:t>
      </w:r>
      <w:r w:rsidR="003A6D08">
        <w:rPr>
          <w:i/>
          <w:szCs w:val="20"/>
        </w:rPr>
        <w:t xml:space="preserve">i.e., </w:t>
      </w:r>
      <w:r w:rsidRPr="00992199">
        <w:rPr>
          <w:szCs w:val="20"/>
        </w:rPr>
        <w:t>the so-called business purpose test). These conditions are listed in article 211, §1 of the Belgian Income Tax Code (</w:t>
      </w:r>
      <w:r w:rsidRPr="00992199">
        <w:rPr>
          <w:b/>
          <w:i/>
          <w:szCs w:val="20"/>
        </w:rPr>
        <w:t>BITC</w:t>
      </w:r>
      <w:r w:rsidRPr="00992199">
        <w:rPr>
          <w:szCs w:val="20"/>
        </w:rPr>
        <w:t xml:space="preserve">). Both </w:t>
      </w:r>
      <w:r w:rsidR="002A1AB1">
        <w:rPr>
          <w:szCs w:val="20"/>
        </w:rPr>
        <w:t>Greenyard Foods</w:t>
      </w:r>
      <w:r w:rsidRPr="00992199">
        <w:rPr>
          <w:szCs w:val="20"/>
        </w:rPr>
        <w:t xml:space="preserve"> and DWB are of the opinion that all of the above conditions are satisfied and that the contemplated DWB Demerger should be considered as a tax neutral transaction. Further to article 213 of the BITC, the equity of DWB is transferred to </w:t>
      </w:r>
      <w:r w:rsidR="002A1AB1">
        <w:rPr>
          <w:szCs w:val="20"/>
        </w:rPr>
        <w:t>Greenyard Foods</w:t>
      </w:r>
      <w:r w:rsidRPr="00992199">
        <w:rPr>
          <w:szCs w:val="20"/>
        </w:rPr>
        <w:t xml:space="preserve"> in function of the net fiscal value of the carved-out assets and without altering the tax features of the various equity elements. Hence, the equity increase at the level of </w:t>
      </w:r>
      <w:r w:rsidR="002A1AB1">
        <w:rPr>
          <w:szCs w:val="20"/>
        </w:rPr>
        <w:t>Greenyard Foods</w:t>
      </w:r>
      <w:r w:rsidRPr="00992199">
        <w:rPr>
          <w:szCs w:val="20"/>
        </w:rPr>
        <w:t xml:space="preserve"> will include both fiscally paid-in capital and retained earnings.</w:t>
      </w:r>
    </w:p>
    <w:p w:rsidR="003F0BC5" w:rsidRPr="00992199" w:rsidRDefault="003F0BC5" w:rsidP="003F0BC5">
      <w:pPr>
        <w:rPr>
          <w:szCs w:val="20"/>
        </w:rPr>
      </w:pPr>
      <w:r w:rsidRPr="00992199">
        <w:rPr>
          <w:szCs w:val="20"/>
        </w:rPr>
        <w:t xml:space="preserve">As </w:t>
      </w:r>
      <w:r w:rsidR="002A1AB1">
        <w:rPr>
          <w:szCs w:val="20"/>
        </w:rPr>
        <w:t>Greenyard Foods</w:t>
      </w:r>
      <w:r w:rsidRPr="00992199">
        <w:rPr>
          <w:szCs w:val="20"/>
        </w:rPr>
        <w:t xml:space="preserve"> has available tax losses carried forward, a portion of these tax losses carried forward will be forfeited at the occasion of the tax neutral partial demerger in application of article 206, §2 of the BITC. The portion of tax losses carried forward that will dilute as a result of the DWB Demerger are estimated in the range of 30%. A final number cannot yet be provided as the dilution depends on the net fiscal value of the carved-out assets and the net fiscal value of </w:t>
      </w:r>
      <w:r w:rsidR="002A1AB1">
        <w:rPr>
          <w:szCs w:val="20"/>
        </w:rPr>
        <w:t>Greenyard Foods</w:t>
      </w:r>
      <w:r w:rsidRPr="00992199">
        <w:rPr>
          <w:szCs w:val="20"/>
        </w:rPr>
        <w:t xml:space="preserve"> on the date of the DWB Demerger. Still, the post-DWB Demerger tax losses carried forward are assumed to exceed the recognised losses reported in the consolidated IFRS accounts per 31 March 2015.</w:t>
      </w:r>
    </w:p>
    <w:p w:rsidR="003F0BC5" w:rsidRPr="00992199" w:rsidRDefault="003F0BC5" w:rsidP="003F0BC5">
      <w:pPr>
        <w:rPr>
          <w:szCs w:val="20"/>
        </w:rPr>
      </w:pPr>
      <w:r w:rsidRPr="00992199">
        <w:rPr>
          <w:szCs w:val="20"/>
        </w:rPr>
        <w:t>If the DWB Demerger would however be regarded as a taxable transaction, article 206, §2 of the BITC would not be applicable and the tax losses carried forward would in principle not be forfeited.</w:t>
      </w:r>
    </w:p>
    <w:p w:rsidR="003F0BC5" w:rsidRPr="00992199" w:rsidRDefault="003F0BC5" w:rsidP="00353B80">
      <w:pPr>
        <w:pStyle w:val="Firm5L4"/>
        <w:keepNext/>
      </w:pPr>
      <w:r w:rsidRPr="00992199">
        <w:t xml:space="preserve">The </w:t>
      </w:r>
      <w:r w:rsidR="0082672E">
        <w:t>Univeg</w:t>
      </w:r>
      <w:r w:rsidRPr="00992199">
        <w:t xml:space="preserve"> Contribution and the Peatinvest Contribution</w:t>
      </w:r>
    </w:p>
    <w:p w:rsidR="003F0BC5" w:rsidRPr="00992199" w:rsidRDefault="003F0BC5" w:rsidP="003F0BC5">
      <w:pPr>
        <w:rPr>
          <w:szCs w:val="20"/>
        </w:rPr>
      </w:pPr>
      <w:r w:rsidRPr="00992199">
        <w:rPr>
          <w:szCs w:val="20"/>
        </w:rPr>
        <w:t xml:space="preserve">Considering that the </w:t>
      </w:r>
      <w:r w:rsidR="0082672E">
        <w:rPr>
          <w:szCs w:val="20"/>
        </w:rPr>
        <w:t>Univeg</w:t>
      </w:r>
      <w:r w:rsidRPr="00992199">
        <w:rPr>
          <w:szCs w:val="20"/>
        </w:rPr>
        <w:t xml:space="preserve"> Contribution and the Peatinvest Contribution do not qualify as a contribution of a branch of activities (governed by article 46 of the BITC), they will qualify as taxable operations. As a result, the share capital of </w:t>
      </w:r>
      <w:r w:rsidR="002A1AB1">
        <w:rPr>
          <w:szCs w:val="20"/>
        </w:rPr>
        <w:t>Greenyard Foods</w:t>
      </w:r>
      <w:r w:rsidRPr="00992199">
        <w:rPr>
          <w:szCs w:val="20"/>
        </w:rPr>
        <w:t xml:space="preserve"> will be increased with the fair market value of the contributed (net) assets.</w:t>
      </w:r>
    </w:p>
    <w:p w:rsidR="003F0BC5" w:rsidRPr="00992199" w:rsidRDefault="003F0BC5" w:rsidP="003F0BC5">
      <w:pPr>
        <w:rPr>
          <w:szCs w:val="20"/>
        </w:rPr>
      </w:pPr>
      <w:r w:rsidRPr="00992199">
        <w:rPr>
          <w:szCs w:val="20"/>
        </w:rPr>
        <w:t xml:space="preserve">Contrary to the DWB Demerger (see above), the </w:t>
      </w:r>
      <w:r w:rsidR="0082672E">
        <w:rPr>
          <w:szCs w:val="20"/>
        </w:rPr>
        <w:t>Univeg</w:t>
      </w:r>
      <w:r w:rsidRPr="00992199">
        <w:rPr>
          <w:szCs w:val="20"/>
        </w:rPr>
        <w:t xml:space="preserve"> Contribution and the Peatinvest Contribution will not affect the tax losses carried forward position of </w:t>
      </w:r>
      <w:r w:rsidR="002A1AB1">
        <w:rPr>
          <w:szCs w:val="20"/>
        </w:rPr>
        <w:t>Greenyard Foods</w:t>
      </w:r>
      <w:r w:rsidRPr="00992199">
        <w:rPr>
          <w:szCs w:val="20"/>
        </w:rPr>
        <w:t>.</w:t>
      </w:r>
    </w:p>
    <w:p w:rsidR="003F0BC5" w:rsidRPr="00992199" w:rsidRDefault="003F0BC5" w:rsidP="00353B80">
      <w:pPr>
        <w:pStyle w:val="Firm5L3"/>
        <w:keepNext/>
      </w:pPr>
      <w:r w:rsidRPr="00992199">
        <w:t xml:space="preserve">Tax consequences for the </w:t>
      </w:r>
      <w:r w:rsidR="002A1AB1">
        <w:t>Greenyard Foods</w:t>
      </w:r>
      <w:r w:rsidRPr="00992199">
        <w:t>’ shareholders</w:t>
      </w:r>
    </w:p>
    <w:p w:rsidR="003F0BC5" w:rsidRPr="00992199" w:rsidRDefault="003F0BC5" w:rsidP="003F0BC5">
      <w:pPr>
        <w:rPr>
          <w:szCs w:val="20"/>
        </w:rPr>
      </w:pPr>
      <w:r w:rsidRPr="00992199">
        <w:rPr>
          <w:szCs w:val="20"/>
        </w:rPr>
        <w:t xml:space="preserve">Apart from an erosion of the relative shareholder interest of the existing shareholders, as a result of the New Shares, none of the Contributions will have immediate tax consequences on behalf of the existing shareholders of </w:t>
      </w:r>
      <w:r w:rsidR="002A1AB1">
        <w:rPr>
          <w:szCs w:val="20"/>
        </w:rPr>
        <w:t>Greenyard Foods</w:t>
      </w:r>
      <w:r w:rsidRPr="00992199">
        <w:rPr>
          <w:szCs w:val="20"/>
        </w:rPr>
        <w:t>. Because of the erosion, there may however be a secondary Belgian withholding tax consequence for existing shareholders upon future dividend distributions (as some withholding tax exemption rules or treaty benefits require a minimum shareholding percentage that may no longer be satisfied after the transactions).</w:t>
      </w:r>
    </w:p>
    <w:p w:rsidR="003F0BC5" w:rsidRPr="00992199" w:rsidRDefault="003F0BC5" w:rsidP="00353B80">
      <w:pPr>
        <w:pStyle w:val="Firm5L1"/>
        <w:keepNext/>
      </w:pPr>
      <w:bookmarkStart w:id="29" w:name="_Toc420593849"/>
      <w:r w:rsidRPr="00992199">
        <w:t xml:space="preserve">Listing and delivery of the New Shares </w:t>
      </w:r>
      <w:r w:rsidR="00900687">
        <w:t>resulting from the C</w:t>
      </w:r>
      <w:r w:rsidRPr="00992199">
        <w:t>ontributions</w:t>
      </w:r>
      <w:bookmarkEnd w:id="29"/>
    </w:p>
    <w:p w:rsidR="003F0BC5" w:rsidRPr="00992199" w:rsidRDefault="003F0BC5" w:rsidP="00353B80">
      <w:pPr>
        <w:pStyle w:val="Firm5L2"/>
        <w:keepNext/>
      </w:pPr>
      <w:bookmarkStart w:id="30" w:name="_Toc420593850"/>
      <w:r w:rsidRPr="00992199">
        <w:t>Listing and general information</w:t>
      </w:r>
      <w:bookmarkEnd w:id="30"/>
    </w:p>
    <w:p w:rsidR="003F0BC5" w:rsidRPr="00992199" w:rsidRDefault="003F0BC5" w:rsidP="003F0BC5">
      <w:pPr>
        <w:rPr>
          <w:szCs w:val="20"/>
        </w:rPr>
      </w:pPr>
      <w:r w:rsidRPr="00992199">
        <w:rPr>
          <w:szCs w:val="20"/>
        </w:rPr>
        <w:t>An application has been made by the Company for the listing and admission to trading on the regulated market of Euronext Brussels of all New Shares.</w:t>
      </w:r>
    </w:p>
    <w:p w:rsidR="003F0BC5" w:rsidRPr="00992199" w:rsidRDefault="003F0BC5" w:rsidP="003F0BC5">
      <w:pPr>
        <w:rPr>
          <w:szCs w:val="20"/>
        </w:rPr>
      </w:pPr>
      <w:r w:rsidRPr="00992199">
        <w:rPr>
          <w:szCs w:val="20"/>
        </w:rPr>
        <w:t xml:space="preserve">The admission to trading is expected to take place on </w:t>
      </w:r>
      <w:r w:rsidR="00351F80">
        <w:rPr>
          <w:szCs w:val="20"/>
        </w:rPr>
        <w:t>[19]</w:t>
      </w:r>
      <w:r w:rsidRPr="00992199">
        <w:rPr>
          <w:szCs w:val="20"/>
        </w:rPr>
        <w:t> June 2015.</w:t>
      </w:r>
    </w:p>
    <w:p w:rsidR="003F0BC5" w:rsidRPr="00992199" w:rsidRDefault="003F0BC5" w:rsidP="00353B80">
      <w:pPr>
        <w:pStyle w:val="Firm5L2"/>
        <w:keepNext/>
      </w:pPr>
      <w:bookmarkStart w:id="31" w:name="_Toc420593851"/>
      <w:r w:rsidRPr="00992199">
        <w:t xml:space="preserve">Expenses of </w:t>
      </w:r>
      <w:r w:rsidR="002A1AB1">
        <w:t>Greenyard Foods</w:t>
      </w:r>
      <w:bookmarkEnd w:id="31"/>
    </w:p>
    <w:p w:rsidR="003F0BC5" w:rsidRPr="00992199" w:rsidRDefault="003F0BC5" w:rsidP="003F0BC5">
      <w:pPr>
        <w:rPr>
          <w:szCs w:val="20"/>
        </w:rPr>
      </w:pPr>
      <w:r w:rsidRPr="00992199">
        <w:rPr>
          <w:szCs w:val="20"/>
        </w:rPr>
        <w:t>The costs relating to the issue of the New Shares and the listing include legal, consulting, administrative, audit and other costs (</w:t>
      </w:r>
      <w:r w:rsidR="00E53641">
        <w:rPr>
          <w:szCs w:val="20"/>
        </w:rPr>
        <w:t>EUR </w:t>
      </w:r>
      <w:r w:rsidRPr="00992199">
        <w:rPr>
          <w:szCs w:val="20"/>
        </w:rPr>
        <w:t>[•]), remuneration of the FSMA (</w:t>
      </w:r>
      <w:r w:rsidR="00E53641">
        <w:rPr>
          <w:szCs w:val="20"/>
        </w:rPr>
        <w:t>EUR </w:t>
      </w:r>
      <w:r w:rsidRPr="00992199">
        <w:rPr>
          <w:szCs w:val="20"/>
        </w:rPr>
        <w:t>[•]), legal publications, printing of the Prospectus (</w:t>
      </w:r>
      <w:r w:rsidR="00E53641">
        <w:rPr>
          <w:szCs w:val="20"/>
        </w:rPr>
        <w:t>EUR </w:t>
      </w:r>
      <w:r w:rsidRPr="00992199">
        <w:rPr>
          <w:szCs w:val="20"/>
        </w:rPr>
        <w:t>[•]), advisors and management fees and the fees payable to Euronext Brussels (</w:t>
      </w:r>
      <w:r w:rsidR="00E53641">
        <w:rPr>
          <w:szCs w:val="20"/>
        </w:rPr>
        <w:t>EUR </w:t>
      </w:r>
      <w:r w:rsidRPr="00992199">
        <w:rPr>
          <w:szCs w:val="20"/>
        </w:rPr>
        <w:t>[•]).</w:t>
      </w:r>
    </w:p>
    <w:p w:rsidR="003F0BC5" w:rsidRPr="00992199" w:rsidRDefault="003F0BC5" w:rsidP="003F0BC5">
      <w:pPr>
        <w:rPr>
          <w:szCs w:val="20"/>
        </w:rPr>
      </w:pPr>
      <w:r w:rsidRPr="00992199">
        <w:rPr>
          <w:szCs w:val="20"/>
        </w:rPr>
        <w:t>All these costs will be borne by the Company.</w:t>
      </w:r>
    </w:p>
    <w:p w:rsidR="003F0BC5" w:rsidRPr="00992199" w:rsidRDefault="003F0BC5" w:rsidP="00353B80">
      <w:pPr>
        <w:pStyle w:val="Firm5L2"/>
        <w:keepNext/>
      </w:pPr>
      <w:bookmarkStart w:id="32" w:name="_Toc420593852"/>
      <w:r w:rsidRPr="00992199">
        <w:t>Form of the New Shares and delivery</w:t>
      </w:r>
      <w:bookmarkEnd w:id="32"/>
    </w:p>
    <w:p w:rsidR="003F0BC5" w:rsidRPr="00992199" w:rsidRDefault="003F0BC5" w:rsidP="003F0BC5">
      <w:pPr>
        <w:rPr>
          <w:szCs w:val="20"/>
        </w:rPr>
      </w:pPr>
      <w:r w:rsidRPr="00992199">
        <w:rPr>
          <w:szCs w:val="20"/>
        </w:rPr>
        <w:t>All New Shares will have the same rights and benefits attached to them as the Company’s other Shares. The New Shares will be issued with coupon [•] to [•] and will be traded under the same ISIN code (International Security Identification Number) BE0003765790 and the same trading symbol GRYFO, as the existing Shares, on the regulated market of Euronext Brussels.</w:t>
      </w:r>
    </w:p>
    <w:p w:rsidR="003F0BC5" w:rsidRPr="00992199" w:rsidRDefault="003F0BC5" w:rsidP="003F0BC5">
      <w:pPr>
        <w:rPr>
          <w:szCs w:val="20"/>
        </w:rPr>
      </w:pPr>
      <w:r w:rsidRPr="00992199">
        <w:rPr>
          <w:szCs w:val="20"/>
        </w:rPr>
        <w:lastRenderedPageBreak/>
        <w:t xml:space="preserve">All New Shares shall be delivered through Euroclear </w:t>
      </w:r>
      <w:smartTag w:uri="urn:schemas-microsoft-com:office:smarttags" w:element="country-region">
        <w:smartTag w:uri="urn:schemas-microsoft-com:office:smarttags" w:element="place">
          <w:r w:rsidRPr="00992199">
            <w:rPr>
              <w:szCs w:val="20"/>
            </w:rPr>
            <w:t>Belgium</w:t>
          </w:r>
        </w:smartTag>
      </w:smartTag>
      <w:r w:rsidRPr="00992199">
        <w:rPr>
          <w:szCs w:val="20"/>
        </w:rPr>
        <w:t xml:space="preserve"> on </w:t>
      </w:r>
      <w:r w:rsidR="00351F80">
        <w:rPr>
          <w:szCs w:val="20"/>
        </w:rPr>
        <w:t>[19]</w:t>
      </w:r>
      <w:r w:rsidRPr="00992199">
        <w:rPr>
          <w:szCs w:val="20"/>
        </w:rPr>
        <w:t> June 2015 and will be dematerialised shares.</w:t>
      </w:r>
    </w:p>
    <w:p w:rsidR="003F0BC5" w:rsidRPr="00992199" w:rsidRDefault="003F0BC5" w:rsidP="003F0BC5">
      <w:pPr>
        <w:rPr>
          <w:szCs w:val="20"/>
        </w:rPr>
      </w:pPr>
      <w:r w:rsidRPr="00992199">
        <w:rPr>
          <w:szCs w:val="20"/>
        </w:rPr>
        <w:t>According to Belgian law, investors who, after delivery, wish to convert their New Shares in registered form, should ask the Company to do so, and the Company shall record the New Shares in its share register which is held at the registered office of the Company within a reasonable period of time. Any costs incurred in connect with the conversion of the dematerialised New Shares into registered Shares will be borne by the converting shareholder.</w:t>
      </w:r>
    </w:p>
    <w:p w:rsidR="003F0BC5" w:rsidRPr="00992199" w:rsidRDefault="003F0BC5" w:rsidP="003F0BC5">
      <w:pPr>
        <w:rPr>
          <w:szCs w:val="20"/>
        </w:rPr>
      </w:pPr>
      <w:r w:rsidRPr="00992199">
        <w:rPr>
          <w:szCs w:val="20"/>
        </w:rPr>
        <w:t>All New Shares will be fully paid up on delivery, and freely transferable. Certain shareholders have, however, entered into contractual restrictions. See Section 1.4.2.2 of Part IV (</w:t>
      </w:r>
      <w:r w:rsidRPr="00992199">
        <w:rPr>
          <w:i/>
          <w:szCs w:val="20"/>
        </w:rPr>
        <w:t>The Contributions</w:t>
      </w:r>
      <w:r w:rsidRPr="00992199">
        <w:rPr>
          <w:szCs w:val="20"/>
        </w:rPr>
        <w:t>).</w:t>
      </w:r>
    </w:p>
    <w:p w:rsidR="003F0BC5" w:rsidRPr="00992199" w:rsidRDefault="003F0BC5" w:rsidP="00353B80">
      <w:pPr>
        <w:pStyle w:val="Heading1"/>
        <w:keepNext/>
      </w:pPr>
      <w:bookmarkStart w:id="33" w:name="_Toc420593853"/>
      <w:r w:rsidRPr="00992199">
        <w:lastRenderedPageBreak/>
        <w:t xml:space="preserve">PART V: INFORMATION ABOUT </w:t>
      </w:r>
      <w:r w:rsidR="00B178C7">
        <w:t>the Combined GReenyard Foods Group</w:t>
      </w:r>
      <w:r w:rsidRPr="00992199">
        <w:t xml:space="preserve"> </w:t>
      </w:r>
      <w:r w:rsidRPr="00992199">
        <w:br/>
        <w:t>upon completion of the Contributions</w:t>
      </w:r>
      <w:bookmarkEnd w:id="33"/>
    </w:p>
    <w:p w:rsidR="003F0BC5" w:rsidRPr="00992199" w:rsidRDefault="003F0BC5" w:rsidP="00353B80">
      <w:pPr>
        <w:pStyle w:val="Firm5L1"/>
        <w:keepNext/>
        <w:numPr>
          <w:ilvl w:val="0"/>
          <w:numId w:val="8"/>
        </w:numPr>
      </w:pPr>
      <w:bookmarkStart w:id="34" w:name="_Toc420593854"/>
      <w:r w:rsidRPr="00992199">
        <w:t>Overview</w:t>
      </w:r>
      <w:bookmarkEnd w:id="34"/>
    </w:p>
    <w:p w:rsidR="003F0BC5" w:rsidRDefault="003F0BC5" w:rsidP="00353B80">
      <w:pPr>
        <w:pStyle w:val="Firm5L2"/>
        <w:keepNext/>
      </w:pPr>
      <w:bookmarkStart w:id="35" w:name="_Toc420593855"/>
      <w:r w:rsidRPr="00992199">
        <w:t>General</w:t>
      </w:r>
      <w:bookmarkEnd w:id="35"/>
    </w:p>
    <w:p w:rsidR="00B178C7" w:rsidRPr="00B178C7" w:rsidRDefault="00B178C7" w:rsidP="00B178C7">
      <w:r>
        <w:t>The Company is the holding company of the Combined Greenyard Foods Group.</w:t>
      </w:r>
    </w:p>
    <w:p w:rsidR="003F0BC5" w:rsidRPr="00992199" w:rsidRDefault="003F0BC5" w:rsidP="00353B80">
      <w:pPr>
        <w:pStyle w:val="Firm5L3"/>
        <w:keepNext/>
      </w:pPr>
      <w:r w:rsidRPr="00992199">
        <w:t>Corporate name</w:t>
      </w:r>
    </w:p>
    <w:p w:rsidR="003F0BC5" w:rsidRPr="00992199" w:rsidRDefault="003F0BC5" w:rsidP="003F0BC5">
      <w:pPr>
        <w:rPr>
          <w:szCs w:val="20"/>
        </w:rPr>
      </w:pPr>
      <w:r w:rsidRPr="00992199">
        <w:rPr>
          <w:szCs w:val="20"/>
        </w:rPr>
        <w:t xml:space="preserve">The Company’s legal and commercial name is </w:t>
      </w:r>
      <w:r w:rsidR="00BF553B">
        <w:rPr>
          <w:szCs w:val="20"/>
        </w:rPr>
        <w:t>“</w:t>
      </w:r>
      <w:r w:rsidR="002A1AB1">
        <w:rPr>
          <w:szCs w:val="20"/>
        </w:rPr>
        <w:t>Greenyard Foods</w:t>
      </w:r>
      <w:r w:rsidR="00BF553B">
        <w:rPr>
          <w:szCs w:val="20"/>
        </w:rPr>
        <w:t>”</w:t>
      </w:r>
      <w:r w:rsidRPr="00992199">
        <w:rPr>
          <w:szCs w:val="20"/>
        </w:rPr>
        <w:t>.</w:t>
      </w:r>
    </w:p>
    <w:p w:rsidR="003F0BC5" w:rsidRPr="00992199" w:rsidRDefault="003F0BC5" w:rsidP="00353B80">
      <w:pPr>
        <w:pStyle w:val="Firm5L3"/>
        <w:keepNext/>
      </w:pPr>
      <w:r w:rsidRPr="00992199">
        <w:t>Registered office</w:t>
      </w:r>
    </w:p>
    <w:p w:rsidR="003F0BC5" w:rsidRPr="00992199" w:rsidRDefault="003F0BC5" w:rsidP="003F0BC5">
      <w:pPr>
        <w:rPr>
          <w:szCs w:val="20"/>
        </w:rPr>
      </w:pPr>
      <w:r w:rsidRPr="00992199">
        <w:rPr>
          <w:szCs w:val="20"/>
        </w:rPr>
        <w:t>The Company’s registered office is located at Skaldenstraat 7</w:t>
      </w:r>
      <w:r w:rsidR="00334917">
        <w:rPr>
          <w:szCs w:val="20"/>
        </w:rPr>
        <w:t>C</w:t>
      </w:r>
      <w:r w:rsidRPr="00992199">
        <w:rPr>
          <w:szCs w:val="20"/>
        </w:rPr>
        <w:t xml:space="preserve">, </w:t>
      </w:r>
      <w:r w:rsidR="00334917" w:rsidRPr="00334917">
        <w:rPr>
          <w:szCs w:val="20"/>
        </w:rPr>
        <w:t xml:space="preserve">9042 </w:t>
      </w:r>
      <w:smartTag w:uri="urn:schemas-microsoft-com:office:smarttags" w:element="place">
        <w:smartTag w:uri="urn:schemas-microsoft-com:office:smarttags" w:element="City">
          <w:r w:rsidR="00334917" w:rsidRPr="00334917">
            <w:rPr>
              <w:szCs w:val="20"/>
            </w:rPr>
            <w:t>Ghent</w:t>
          </w:r>
        </w:smartTag>
        <w:r w:rsidR="00334917">
          <w:rPr>
            <w:szCs w:val="20"/>
          </w:rPr>
          <w:t xml:space="preserve">, </w:t>
        </w:r>
        <w:smartTag w:uri="urn:schemas-microsoft-com:office:smarttags" w:element="country-region">
          <w:r w:rsidRPr="00992199">
            <w:rPr>
              <w:szCs w:val="20"/>
            </w:rPr>
            <w:t>Belgium</w:t>
          </w:r>
        </w:smartTag>
      </w:smartTag>
      <w:r w:rsidRPr="00992199">
        <w:rPr>
          <w:szCs w:val="20"/>
        </w:rPr>
        <w:t>.</w:t>
      </w:r>
    </w:p>
    <w:p w:rsidR="003F0BC5" w:rsidRPr="00992199" w:rsidRDefault="003F0BC5" w:rsidP="003F0BC5">
      <w:pPr>
        <w:rPr>
          <w:szCs w:val="20"/>
        </w:rPr>
      </w:pPr>
      <w:r w:rsidRPr="00992199">
        <w:rPr>
          <w:szCs w:val="20"/>
        </w:rPr>
        <w:t xml:space="preserve">The Board of Directors is authorised to transfer the registered office to any other place in </w:t>
      </w:r>
      <w:smartTag w:uri="urn:schemas-microsoft-com:office:smarttags" w:element="country-region">
        <w:smartTag w:uri="urn:schemas-microsoft-com:office:smarttags" w:element="place">
          <w:r w:rsidRPr="00992199">
            <w:rPr>
              <w:szCs w:val="20"/>
            </w:rPr>
            <w:t>Belgium</w:t>
          </w:r>
        </w:smartTag>
      </w:smartTag>
      <w:r w:rsidRPr="00992199">
        <w:rPr>
          <w:szCs w:val="20"/>
        </w:rPr>
        <w:t xml:space="preserve">. The transfer of the registered office will be made public by the Board of Directors in the Annexes to the </w:t>
      </w:r>
      <w:r w:rsidR="00D47467">
        <w:rPr>
          <w:szCs w:val="20"/>
        </w:rPr>
        <w:t>Belgian State Gazette</w:t>
      </w:r>
      <w:r w:rsidRPr="00992199">
        <w:rPr>
          <w:szCs w:val="20"/>
        </w:rPr>
        <w:t>.</w:t>
      </w:r>
    </w:p>
    <w:p w:rsidR="003F0BC5" w:rsidRPr="00992199" w:rsidRDefault="003F0BC5" w:rsidP="003F0BC5">
      <w:pPr>
        <w:rPr>
          <w:szCs w:val="20"/>
        </w:rPr>
      </w:pPr>
      <w:r w:rsidRPr="00992199">
        <w:rPr>
          <w:szCs w:val="20"/>
        </w:rPr>
        <w:t xml:space="preserve">The Company may, by resolution of the Board of Directors, set up branch offices, managing offices, subsidiaries, and agencies at any place in </w:t>
      </w:r>
      <w:smartTag w:uri="urn:schemas-microsoft-com:office:smarttags" w:element="country-region">
        <w:smartTag w:uri="urn:schemas-microsoft-com:office:smarttags" w:element="place">
          <w:r w:rsidRPr="00992199">
            <w:rPr>
              <w:szCs w:val="20"/>
            </w:rPr>
            <w:t>Belgium</w:t>
          </w:r>
        </w:smartTag>
      </w:smartTag>
      <w:r w:rsidRPr="00992199">
        <w:rPr>
          <w:szCs w:val="20"/>
        </w:rPr>
        <w:t xml:space="preserve"> and abroad.</w:t>
      </w:r>
    </w:p>
    <w:p w:rsidR="003F0BC5" w:rsidRPr="00992199" w:rsidRDefault="003F0BC5" w:rsidP="00353B80">
      <w:pPr>
        <w:pStyle w:val="Firm5L3"/>
        <w:keepNext/>
      </w:pPr>
      <w:r w:rsidRPr="00992199">
        <w:t>Incorporation, amendment to the Articles of Association and term</w:t>
      </w:r>
    </w:p>
    <w:p w:rsidR="003F0BC5" w:rsidRPr="00992199" w:rsidRDefault="003F0BC5" w:rsidP="003F0BC5">
      <w:pPr>
        <w:rPr>
          <w:szCs w:val="20"/>
        </w:rPr>
      </w:pPr>
      <w:r w:rsidRPr="00992199">
        <w:rPr>
          <w:szCs w:val="20"/>
        </w:rPr>
        <w:t xml:space="preserve">The Company was incorporated on 16 May 1968 in accordance with a deed published in the Annexes to the </w:t>
      </w:r>
      <w:r w:rsidR="00D47467">
        <w:rPr>
          <w:szCs w:val="20"/>
        </w:rPr>
        <w:t>Belgian State Gazette</w:t>
      </w:r>
      <w:r w:rsidRPr="00992199">
        <w:rPr>
          <w:szCs w:val="20"/>
        </w:rPr>
        <w:t xml:space="preserve"> of 30 May 1968 under number 1303-14.</w:t>
      </w:r>
    </w:p>
    <w:p w:rsidR="003F0BC5" w:rsidRPr="00DF01FB" w:rsidRDefault="003F0BC5" w:rsidP="003F0BC5">
      <w:pPr>
        <w:rPr>
          <w:szCs w:val="20"/>
        </w:rPr>
      </w:pPr>
      <w:r w:rsidRPr="00992199">
        <w:rPr>
          <w:szCs w:val="20"/>
        </w:rPr>
        <w:t>The Articles of Association have been amended on numerous occasions and most recently on [19</w:t>
      </w:r>
      <w:r w:rsidR="001B0F45">
        <w:rPr>
          <w:szCs w:val="20"/>
        </w:rPr>
        <w:t>]</w:t>
      </w:r>
      <w:r w:rsidRPr="00992199">
        <w:rPr>
          <w:szCs w:val="20"/>
        </w:rPr>
        <w:t xml:space="preserve"> September 2014. A General Meeting has been called on [19 June] 2015 to decide on the Transactions </w:t>
      </w:r>
      <w:r w:rsidRPr="00DF01FB">
        <w:rPr>
          <w:szCs w:val="20"/>
        </w:rPr>
        <w:t>and certain amendments to the Articles of Ass</w:t>
      </w:r>
      <w:r w:rsidR="00D47467">
        <w:rPr>
          <w:szCs w:val="20"/>
        </w:rPr>
        <w:t>ociation</w:t>
      </w:r>
      <w:r w:rsidR="0074141B">
        <w:rPr>
          <w:szCs w:val="20"/>
        </w:rPr>
        <w:t xml:space="preserve"> to align them with the New Shareholders’ Agreement</w:t>
      </w:r>
      <w:r w:rsidR="00D47467">
        <w:rPr>
          <w:szCs w:val="20"/>
        </w:rPr>
        <w:t>.</w:t>
      </w:r>
    </w:p>
    <w:p w:rsidR="003F0BC5" w:rsidRPr="00992199" w:rsidRDefault="003F0BC5" w:rsidP="003F0BC5">
      <w:pPr>
        <w:rPr>
          <w:szCs w:val="20"/>
        </w:rPr>
      </w:pPr>
      <w:r w:rsidRPr="00992199">
        <w:rPr>
          <w:szCs w:val="20"/>
        </w:rPr>
        <w:t>The Company was founded for an indefinite term.</w:t>
      </w:r>
    </w:p>
    <w:p w:rsidR="003F0BC5" w:rsidRPr="00992199" w:rsidRDefault="003F0BC5" w:rsidP="003F0BC5">
      <w:pPr>
        <w:rPr>
          <w:szCs w:val="20"/>
        </w:rPr>
      </w:pPr>
      <w:r w:rsidRPr="00992199">
        <w:rPr>
          <w:szCs w:val="20"/>
        </w:rPr>
        <w:t>The Articles of Association are available at the Company’s registered office and on the Company’s website</w:t>
      </w:r>
      <w:r w:rsidR="00334917">
        <w:rPr>
          <w:szCs w:val="20"/>
        </w:rPr>
        <w:t xml:space="preserve"> (</w:t>
      </w:r>
      <w:r w:rsidR="002A1AB1">
        <w:rPr>
          <w:szCs w:val="20"/>
        </w:rPr>
        <w:t>www.greenyardfoods.com</w:t>
      </w:r>
      <w:r w:rsidR="00334917">
        <w:rPr>
          <w:szCs w:val="20"/>
        </w:rPr>
        <w:t>).</w:t>
      </w:r>
    </w:p>
    <w:p w:rsidR="003F0BC5" w:rsidRPr="00992199" w:rsidRDefault="003F0BC5" w:rsidP="00353B80">
      <w:pPr>
        <w:pStyle w:val="Firm5L3"/>
        <w:keepNext/>
      </w:pPr>
      <w:r w:rsidRPr="00992199">
        <w:t>Register of Legal Entities</w:t>
      </w:r>
    </w:p>
    <w:p w:rsidR="003F0BC5" w:rsidRPr="00992199" w:rsidRDefault="003F0BC5" w:rsidP="003F0BC5">
      <w:pPr>
        <w:rPr>
          <w:szCs w:val="20"/>
        </w:rPr>
      </w:pPr>
      <w:r w:rsidRPr="00992199">
        <w:rPr>
          <w:szCs w:val="20"/>
        </w:rPr>
        <w:t>The Company is registered with the register of legal entities (</w:t>
      </w:r>
      <w:r w:rsidRPr="00992199">
        <w:rPr>
          <w:i/>
          <w:szCs w:val="20"/>
        </w:rPr>
        <w:t>rechtspersonenregister</w:t>
      </w:r>
      <w:r w:rsidRPr="00992199">
        <w:rPr>
          <w:szCs w:val="20"/>
        </w:rPr>
        <w:t xml:space="preserve"> – RPR / </w:t>
      </w:r>
      <w:r w:rsidRPr="00992199">
        <w:rPr>
          <w:i/>
          <w:szCs w:val="20"/>
        </w:rPr>
        <w:t>registre des personnes morales</w:t>
      </w:r>
      <w:r w:rsidRPr="00992199">
        <w:rPr>
          <w:szCs w:val="20"/>
        </w:rPr>
        <w:t xml:space="preserve"> – RPM) under enterprise number 0402.777.157 RPR (</w:t>
      </w:r>
      <w:smartTag w:uri="urn:schemas-microsoft-com:office:smarttags" w:element="City">
        <w:r w:rsidRPr="00992199">
          <w:rPr>
            <w:szCs w:val="20"/>
          </w:rPr>
          <w:t>Ghent</w:t>
        </w:r>
      </w:smartTag>
      <w:r w:rsidRPr="00992199">
        <w:rPr>
          <w:szCs w:val="20"/>
        </w:rPr>
        <w:t xml:space="preserve">, division </w:t>
      </w:r>
      <w:smartTag w:uri="urn:schemas-microsoft-com:office:smarttags" w:element="City">
        <w:smartTag w:uri="urn:schemas-microsoft-com:office:smarttags" w:element="place">
          <w:r w:rsidRPr="00992199">
            <w:rPr>
              <w:szCs w:val="20"/>
            </w:rPr>
            <w:t>Ghent</w:t>
          </w:r>
        </w:smartTag>
      </w:smartTag>
      <w:r w:rsidRPr="00992199">
        <w:rPr>
          <w:szCs w:val="20"/>
        </w:rPr>
        <w:t>).</w:t>
      </w:r>
    </w:p>
    <w:p w:rsidR="003F0BC5" w:rsidRPr="00992199" w:rsidRDefault="003F0BC5" w:rsidP="00353B80">
      <w:pPr>
        <w:pStyle w:val="Firm5L3"/>
        <w:keepNext/>
      </w:pPr>
      <w:r w:rsidRPr="00992199">
        <w:t>Legal form</w:t>
      </w:r>
    </w:p>
    <w:p w:rsidR="003F0BC5" w:rsidRPr="00992199" w:rsidRDefault="003F0BC5" w:rsidP="003F0BC5">
      <w:pPr>
        <w:rPr>
          <w:szCs w:val="20"/>
        </w:rPr>
      </w:pPr>
      <w:r w:rsidRPr="00992199">
        <w:rPr>
          <w:szCs w:val="20"/>
        </w:rPr>
        <w:t xml:space="preserve">The Company is a public company with limited liability </w:t>
      </w:r>
      <w:r w:rsidR="00334917">
        <w:rPr>
          <w:szCs w:val="20"/>
        </w:rPr>
        <w:t>(</w:t>
      </w:r>
      <w:r w:rsidR="00334917" w:rsidRPr="00334917">
        <w:rPr>
          <w:i/>
          <w:szCs w:val="20"/>
        </w:rPr>
        <w:t>naamloze vennootschap / société anonyme</w:t>
      </w:r>
      <w:r w:rsidR="00334917" w:rsidRPr="00334917">
        <w:rPr>
          <w:szCs w:val="20"/>
        </w:rPr>
        <w:t>)</w:t>
      </w:r>
      <w:r w:rsidR="00334917">
        <w:rPr>
          <w:szCs w:val="20"/>
        </w:rPr>
        <w:t xml:space="preserve"> </w:t>
      </w:r>
      <w:r w:rsidRPr="00992199">
        <w:rPr>
          <w:szCs w:val="20"/>
        </w:rPr>
        <w:t xml:space="preserve">organised and existing under the laws of </w:t>
      </w:r>
      <w:smartTag w:uri="urn:schemas-microsoft-com:office:smarttags" w:element="country-region">
        <w:smartTag w:uri="urn:schemas-microsoft-com:office:smarttags" w:element="place">
          <w:r w:rsidRPr="00992199">
            <w:rPr>
              <w:szCs w:val="20"/>
            </w:rPr>
            <w:t>Belgium</w:t>
          </w:r>
        </w:smartTag>
      </w:smartTag>
      <w:r w:rsidRPr="00992199">
        <w:rPr>
          <w:szCs w:val="20"/>
        </w:rPr>
        <w:t>. It has the status of a corporation making or having made a public call on savings (</w:t>
      </w:r>
      <w:r w:rsidRPr="00992199">
        <w:rPr>
          <w:i/>
          <w:szCs w:val="20"/>
        </w:rPr>
        <w:t>naamloze vennootschap – NV die een openbaar beroep op het spaarwezen doet of heeft gedaan / société anonyme – SA faisant ou ayant fait appel public à l’épargne</w:t>
      </w:r>
      <w:r w:rsidRPr="00992199">
        <w:rPr>
          <w:szCs w:val="20"/>
        </w:rPr>
        <w:t>).</w:t>
      </w:r>
    </w:p>
    <w:p w:rsidR="003F0BC5" w:rsidRPr="00992199" w:rsidRDefault="003F0BC5" w:rsidP="00353B80">
      <w:pPr>
        <w:pStyle w:val="Firm5L3"/>
        <w:keepNext/>
      </w:pPr>
      <w:r w:rsidRPr="00992199">
        <w:t>Financial year</w:t>
      </w:r>
    </w:p>
    <w:p w:rsidR="003F0BC5" w:rsidRPr="00992199" w:rsidRDefault="003F0BC5" w:rsidP="003F0BC5">
      <w:pPr>
        <w:rPr>
          <w:szCs w:val="20"/>
        </w:rPr>
      </w:pPr>
      <w:r w:rsidRPr="00992199">
        <w:rPr>
          <w:szCs w:val="20"/>
        </w:rPr>
        <w:t>The financial year of the Company starts on 1 April and ends on 31 March.</w:t>
      </w:r>
    </w:p>
    <w:p w:rsidR="003F0BC5" w:rsidRPr="00992199" w:rsidRDefault="003F0BC5" w:rsidP="00353B80">
      <w:pPr>
        <w:pStyle w:val="Firm5L2"/>
        <w:keepNext/>
      </w:pPr>
      <w:bookmarkStart w:id="36" w:name="_Toc420593856"/>
      <w:r w:rsidRPr="00992199">
        <w:t>Business Overview</w:t>
      </w:r>
      <w:bookmarkEnd w:id="36"/>
    </w:p>
    <w:p w:rsidR="003F0BC5" w:rsidRPr="00334917" w:rsidRDefault="00334917" w:rsidP="003F0BC5">
      <w:pPr>
        <w:rPr>
          <w:szCs w:val="20"/>
        </w:rPr>
      </w:pPr>
      <w:r>
        <w:rPr>
          <w:szCs w:val="20"/>
        </w:rPr>
        <w:t>See Sections 2.1.4, 2.2.4 and 2.3.4 of Part IV (</w:t>
      </w:r>
      <w:r>
        <w:rPr>
          <w:i/>
          <w:szCs w:val="20"/>
        </w:rPr>
        <w:t>The Contributions</w:t>
      </w:r>
      <w:r>
        <w:rPr>
          <w:szCs w:val="20"/>
        </w:rPr>
        <w:t>).</w:t>
      </w:r>
    </w:p>
    <w:p w:rsidR="003F0BC5" w:rsidRPr="00992199" w:rsidRDefault="003F0BC5" w:rsidP="00353B80">
      <w:pPr>
        <w:pStyle w:val="Firm5L2"/>
        <w:keepNext/>
      </w:pPr>
      <w:bookmarkStart w:id="37" w:name="_Toc420593857"/>
      <w:r w:rsidRPr="00992199">
        <w:t>Shareholding structure, major shareholders and shareholders’ agreement</w:t>
      </w:r>
      <w:bookmarkEnd w:id="37"/>
    </w:p>
    <w:p w:rsidR="003F0BC5" w:rsidRPr="00992199" w:rsidRDefault="003F0BC5" w:rsidP="00353B80">
      <w:pPr>
        <w:pStyle w:val="Firm5L3"/>
        <w:keepNext/>
      </w:pPr>
      <w:r w:rsidRPr="00992199">
        <w:t>Shareholding structure and major shareholders</w:t>
      </w:r>
    </w:p>
    <w:p w:rsidR="003F0BC5" w:rsidRPr="00992199" w:rsidRDefault="003F0BC5" w:rsidP="003F0BC5">
      <w:pPr>
        <w:rPr>
          <w:szCs w:val="20"/>
        </w:rPr>
      </w:pPr>
      <w:r w:rsidRPr="00992199">
        <w:rPr>
          <w:szCs w:val="20"/>
        </w:rPr>
        <w:t>Upon completion of the Transactions (before the Secondary Sale), to the knowledge of the Company, the Shares held by major shareholders of the Company will be as follows:</w:t>
      </w:r>
    </w:p>
    <w:p w:rsidR="003F0BC5" w:rsidRPr="00992199" w:rsidRDefault="003F0BC5" w:rsidP="003F0BC5">
      <w:pPr>
        <w:rPr>
          <w:szCs w:val="20"/>
        </w:rPr>
      </w:pPr>
      <w:r w:rsidRPr="00992199">
        <w:rPr>
          <w:szCs w:val="20"/>
        </w:rPr>
        <w:t>(i)</w:t>
      </w:r>
      <w:r w:rsidRPr="00992199">
        <w:rPr>
          <w:szCs w:val="20"/>
        </w:rPr>
        <w:tab/>
        <w:t>34.65% will be held by Deprez Holding NV;</w:t>
      </w:r>
    </w:p>
    <w:p w:rsidR="003F0BC5" w:rsidRPr="00992199" w:rsidRDefault="003F0BC5" w:rsidP="003F0BC5">
      <w:pPr>
        <w:rPr>
          <w:szCs w:val="20"/>
        </w:rPr>
      </w:pPr>
      <w:r w:rsidRPr="00992199">
        <w:rPr>
          <w:szCs w:val="20"/>
        </w:rPr>
        <w:t>(ii)</w:t>
      </w:r>
      <w:r w:rsidRPr="00992199">
        <w:rPr>
          <w:szCs w:val="20"/>
        </w:rPr>
        <w:tab/>
        <w:t>11.81% will be held by Gimv-XL;</w:t>
      </w:r>
    </w:p>
    <w:p w:rsidR="003F0BC5" w:rsidRPr="00992199" w:rsidRDefault="003F0BC5" w:rsidP="003F0BC5">
      <w:pPr>
        <w:rPr>
          <w:szCs w:val="20"/>
        </w:rPr>
      </w:pPr>
      <w:r w:rsidRPr="00992199">
        <w:rPr>
          <w:szCs w:val="20"/>
        </w:rPr>
        <w:t>(iii)</w:t>
      </w:r>
      <w:r w:rsidRPr="00992199">
        <w:rPr>
          <w:szCs w:val="20"/>
        </w:rPr>
        <w:tab/>
        <w:t>8.92% will be held by Green Valley SA;</w:t>
      </w:r>
    </w:p>
    <w:p w:rsidR="003F0BC5" w:rsidRPr="00992199" w:rsidRDefault="003F0BC5" w:rsidP="003F0BC5">
      <w:pPr>
        <w:rPr>
          <w:szCs w:val="20"/>
        </w:rPr>
      </w:pPr>
      <w:r w:rsidRPr="00992199">
        <w:rPr>
          <w:szCs w:val="20"/>
        </w:rPr>
        <w:t>(iv)</w:t>
      </w:r>
      <w:r w:rsidRPr="00992199">
        <w:rPr>
          <w:szCs w:val="20"/>
        </w:rPr>
        <w:tab/>
        <w:t>8.92% will be held by Sujajo Investment SA;</w:t>
      </w:r>
    </w:p>
    <w:p w:rsidR="003F0BC5" w:rsidRPr="00992199" w:rsidRDefault="003F0BC5" w:rsidP="003F0BC5">
      <w:pPr>
        <w:rPr>
          <w:szCs w:val="20"/>
        </w:rPr>
      </w:pPr>
      <w:r w:rsidRPr="00992199">
        <w:rPr>
          <w:szCs w:val="20"/>
        </w:rPr>
        <w:t>(v)</w:t>
      </w:r>
      <w:r w:rsidRPr="00992199">
        <w:rPr>
          <w:szCs w:val="20"/>
        </w:rPr>
        <w:tab/>
        <w:t>8.53% will be held by Food Invest Internationa</w:t>
      </w:r>
      <w:r w:rsidR="00CB5F7C">
        <w:rPr>
          <w:szCs w:val="20"/>
        </w:rPr>
        <w:t>l</w:t>
      </w:r>
      <w:r w:rsidRPr="00992199">
        <w:rPr>
          <w:szCs w:val="20"/>
        </w:rPr>
        <w:t>;</w:t>
      </w:r>
    </w:p>
    <w:p w:rsidR="003F0BC5" w:rsidRPr="00992199" w:rsidRDefault="003F0BC5" w:rsidP="003F0BC5">
      <w:pPr>
        <w:rPr>
          <w:szCs w:val="20"/>
        </w:rPr>
      </w:pPr>
      <w:r w:rsidRPr="00992199">
        <w:rPr>
          <w:szCs w:val="20"/>
        </w:rPr>
        <w:lastRenderedPageBreak/>
        <w:t>(vi)</w:t>
      </w:r>
      <w:r w:rsidRPr="00992199">
        <w:rPr>
          <w:szCs w:val="20"/>
        </w:rPr>
        <w:tab/>
        <w:t>7.31% will be held by 2D NV;</w:t>
      </w:r>
    </w:p>
    <w:p w:rsidR="003F0BC5" w:rsidRPr="00992199" w:rsidRDefault="003F0BC5" w:rsidP="003F0BC5">
      <w:pPr>
        <w:rPr>
          <w:szCs w:val="20"/>
        </w:rPr>
      </w:pPr>
      <w:r w:rsidRPr="00992199">
        <w:rPr>
          <w:szCs w:val="20"/>
        </w:rPr>
        <w:t>(vii)</w:t>
      </w:r>
      <w:r w:rsidRPr="00992199">
        <w:rPr>
          <w:szCs w:val="20"/>
        </w:rPr>
        <w:tab/>
        <w:t>4% will be held by AIF;</w:t>
      </w:r>
    </w:p>
    <w:p w:rsidR="003F0BC5" w:rsidRPr="00992199" w:rsidRDefault="003F0BC5" w:rsidP="003F0BC5">
      <w:pPr>
        <w:rPr>
          <w:szCs w:val="20"/>
        </w:rPr>
      </w:pPr>
      <w:r w:rsidRPr="00992199">
        <w:rPr>
          <w:szCs w:val="20"/>
        </w:rPr>
        <w:t>(viii)</w:t>
      </w:r>
      <w:r w:rsidRPr="00992199">
        <w:rPr>
          <w:szCs w:val="20"/>
        </w:rPr>
        <w:tab/>
        <w:t>3.30% will be held by</w:t>
      </w:r>
      <w:r w:rsidR="006734E3">
        <w:rPr>
          <w:szCs w:val="20"/>
        </w:rPr>
        <w:t xml:space="preserve"> Good Company</w:t>
      </w:r>
      <w:r w:rsidRPr="00992199">
        <w:rPr>
          <w:szCs w:val="20"/>
        </w:rPr>
        <w:t xml:space="preserve"> </w:t>
      </w:r>
      <w:r w:rsidR="003A6D08">
        <w:t>civil partnership (</w:t>
      </w:r>
      <w:r w:rsidR="00BF553B">
        <w:t>“</w:t>
      </w:r>
      <w:r w:rsidR="003A6D08">
        <w:rPr>
          <w:i/>
        </w:rPr>
        <w:t>burgerlijke maatschap</w:t>
      </w:r>
      <w:r w:rsidR="00BF553B">
        <w:t>”</w:t>
      </w:r>
      <w:r w:rsidR="003A6D08">
        <w:t>)</w:t>
      </w:r>
      <w:r w:rsidRPr="00992199">
        <w:rPr>
          <w:szCs w:val="20"/>
        </w:rPr>
        <w:t>;</w:t>
      </w:r>
    </w:p>
    <w:p w:rsidR="003F0BC5" w:rsidRPr="00992199" w:rsidRDefault="003F0BC5" w:rsidP="003F0BC5">
      <w:pPr>
        <w:rPr>
          <w:szCs w:val="20"/>
        </w:rPr>
      </w:pPr>
      <w:r w:rsidRPr="00992199">
        <w:rPr>
          <w:szCs w:val="20"/>
        </w:rPr>
        <w:t>(ix)</w:t>
      </w:r>
      <w:r w:rsidRPr="00992199">
        <w:rPr>
          <w:szCs w:val="20"/>
        </w:rPr>
        <w:tab/>
        <w:t xml:space="preserve">2.68% will be held by </w:t>
      </w:r>
      <w:r w:rsidR="00D47467">
        <w:rPr>
          <w:szCs w:val="20"/>
        </w:rPr>
        <w:t xml:space="preserve">the STAK FieldLink and former </w:t>
      </w:r>
      <w:r w:rsidRPr="00992199">
        <w:rPr>
          <w:szCs w:val="20"/>
        </w:rPr>
        <w:t>management</w:t>
      </w:r>
      <w:r w:rsidR="00D47467">
        <w:rPr>
          <w:szCs w:val="20"/>
        </w:rPr>
        <w:t xml:space="preserve"> of the Peatinvest Group</w:t>
      </w:r>
      <w:r w:rsidRPr="00992199">
        <w:rPr>
          <w:szCs w:val="20"/>
        </w:rPr>
        <w:t>;</w:t>
      </w:r>
    </w:p>
    <w:p w:rsidR="003F0BC5" w:rsidRPr="00992199" w:rsidRDefault="003F0BC5" w:rsidP="003F0BC5">
      <w:pPr>
        <w:rPr>
          <w:szCs w:val="20"/>
        </w:rPr>
      </w:pPr>
      <w:r w:rsidRPr="00992199">
        <w:rPr>
          <w:szCs w:val="20"/>
        </w:rPr>
        <w:t>(x)</w:t>
      </w:r>
      <w:r w:rsidRPr="00992199">
        <w:rPr>
          <w:szCs w:val="20"/>
        </w:rPr>
        <w:tab/>
        <w:t>1.45% will be held by UFM;</w:t>
      </w:r>
    </w:p>
    <w:p w:rsidR="003F0BC5" w:rsidRPr="00992199" w:rsidRDefault="003F0BC5" w:rsidP="003F0BC5">
      <w:pPr>
        <w:rPr>
          <w:szCs w:val="20"/>
        </w:rPr>
      </w:pPr>
      <w:r w:rsidRPr="00992199">
        <w:rPr>
          <w:szCs w:val="20"/>
        </w:rPr>
        <w:t>(xi)</w:t>
      </w:r>
      <w:r w:rsidRPr="00992199">
        <w:rPr>
          <w:szCs w:val="20"/>
        </w:rPr>
        <w:tab/>
        <w:t>1.40% will be held by Koramic Finance Company;</w:t>
      </w:r>
    </w:p>
    <w:p w:rsidR="003F0BC5" w:rsidRPr="00992199" w:rsidRDefault="003F0BC5" w:rsidP="003F0BC5">
      <w:pPr>
        <w:rPr>
          <w:szCs w:val="20"/>
        </w:rPr>
      </w:pPr>
      <w:r w:rsidRPr="00992199">
        <w:rPr>
          <w:szCs w:val="20"/>
        </w:rPr>
        <w:t>(xii)</w:t>
      </w:r>
      <w:r w:rsidRPr="00992199">
        <w:rPr>
          <w:szCs w:val="20"/>
        </w:rPr>
        <w:tab/>
        <w:t>1.23% will be held by [Familie Dejonghe];</w:t>
      </w:r>
    </w:p>
    <w:p w:rsidR="003F0BC5" w:rsidRPr="00992199" w:rsidRDefault="00A07615" w:rsidP="003F0BC5">
      <w:pPr>
        <w:rPr>
          <w:szCs w:val="20"/>
        </w:rPr>
      </w:pPr>
      <w:r>
        <w:rPr>
          <w:szCs w:val="20"/>
        </w:rPr>
        <w:t>(xiii)</w:t>
      </w:r>
      <w:r>
        <w:rPr>
          <w:szCs w:val="20"/>
        </w:rPr>
        <w:tab/>
        <w:t>0.31% will be held by Mr</w:t>
      </w:r>
      <w:r w:rsidR="003F0BC5" w:rsidRPr="00992199">
        <w:rPr>
          <w:szCs w:val="20"/>
        </w:rPr>
        <w:t xml:space="preserve"> Johan Vanovenberghe; and</w:t>
      </w:r>
    </w:p>
    <w:p w:rsidR="003F0BC5" w:rsidRPr="00992199" w:rsidRDefault="003F0BC5" w:rsidP="003F0BC5">
      <w:pPr>
        <w:rPr>
          <w:szCs w:val="20"/>
        </w:rPr>
      </w:pPr>
      <w:r w:rsidRPr="00992199">
        <w:rPr>
          <w:szCs w:val="20"/>
        </w:rPr>
        <w:t>(xiv)</w:t>
      </w:r>
      <w:r w:rsidRPr="00992199">
        <w:rPr>
          <w:szCs w:val="20"/>
        </w:rPr>
        <w:tab/>
        <w:t>0.10% will be held by Volys start NV.</w:t>
      </w:r>
    </w:p>
    <w:p w:rsidR="003F0BC5" w:rsidRPr="00992199" w:rsidRDefault="003F0BC5" w:rsidP="003F0BC5">
      <w:pPr>
        <w:rPr>
          <w:szCs w:val="20"/>
        </w:rPr>
      </w:pPr>
      <w:r w:rsidRPr="00992199">
        <w:rPr>
          <w:szCs w:val="20"/>
        </w:rPr>
        <w:t>Deprez Holding NV, Food Invest International, 2D NV and UFM are acting in concert.</w:t>
      </w:r>
      <w:r w:rsidR="00F37DD6" w:rsidRPr="00F37DD6">
        <w:t xml:space="preserve"> </w:t>
      </w:r>
      <w:r w:rsidR="00F37DD6" w:rsidRPr="00F37DD6">
        <w:rPr>
          <w:szCs w:val="20"/>
        </w:rPr>
        <w:t>Jointly, they hold 51.94% of the Shares.</w:t>
      </w:r>
    </w:p>
    <w:p w:rsidR="003F0BC5" w:rsidRPr="00992199" w:rsidRDefault="003F0BC5" w:rsidP="00353B80">
      <w:pPr>
        <w:pStyle w:val="Firm5L3"/>
        <w:keepNext/>
      </w:pPr>
      <w:r w:rsidRPr="00992199">
        <w:t>Shareholders’ agreement</w:t>
      </w:r>
    </w:p>
    <w:p w:rsidR="003F0BC5" w:rsidRPr="00992199" w:rsidRDefault="003F0BC5" w:rsidP="003F0BC5">
      <w:pPr>
        <w:rPr>
          <w:szCs w:val="20"/>
        </w:rPr>
      </w:pPr>
      <w:r w:rsidRPr="00992199">
        <w:rPr>
          <w:szCs w:val="20"/>
        </w:rPr>
        <w:t xml:space="preserve">The two shareholders’ agreements concluded in respect of </w:t>
      </w:r>
      <w:r w:rsidR="002A1AB1">
        <w:rPr>
          <w:szCs w:val="20"/>
        </w:rPr>
        <w:t>Greenyard Foods</w:t>
      </w:r>
      <w:r w:rsidRPr="00992199">
        <w:rPr>
          <w:szCs w:val="20"/>
        </w:rPr>
        <w:t xml:space="preserve"> on 15 February 2012 will terminate by virtue of the Partial Demerger and Contribution Agreement, with effect on the date of completion of the Transactions</w:t>
      </w:r>
      <w:r w:rsidR="008D49ED">
        <w:rPr>
          <w:szCs w:val="20"/>
        </w:rPr>
        <w:t xml:space="preserve"> expected to take place on [19] June 2015</w:t>
      </w:r>
      <w:r w:rsidRPr="00992199">
        <w:rPr>
          <w:szCs w:val="20"/>
        </w:rPr>
        <w:t>. See Section 2.1.2.4 of Part IV (</w:t>
      </w:r>
      <w:r w:rsidRPr="00992199">
        <w:rPr>
          <w:i/>
          <w:szCs w:val="20"/>
        </w:rPr>
        <w:t>The Contributions</w:t>
      </w:r>
      <w:r w:rsidRPr="00992199">
        <w:rPr>
          <w:szCs w:val="20"/>
        </w:rPr>
        <w:t>) for a description of these shareholders’ agreements.</w:t>
      </w:r>
    </w:p>
    <w:p w:rsidR="003F0BC5" w:rsidRPr="00992199" w:rsidRDefault="00A07615" w:rsidP="003F0BC5">
      <w:pPr>
        <w:rPr>
          <w:szCs w:val="20"/>
        </w:rPr>
      </w:pPr>
      <w:r>
        <w:rPr>
          <w:szCs w:val="20"/>
        </w:rPr>
        <w:t>On</w:t>
      </w:r>
      <w:r w:rsidR="003F0BC5" w:rsidRPr="00992199">
        <w:rPr>
          <w:szCs w:val="20"/>
        </w:rPr>
        <w:t xml:space="preserve"> [•] May 2015, Deprez Holding, </w:t>
      </w:r>
      <w:r w:rsidR="00334BBC">
        <w:rPr>
          <w:szCs w:val="20"/>
        </w:rPr>
        <w:t>Mr Hein Deprez</w:t>
      </w:r>
      <w:r w:rsidR="003F0BC5" w:rsidRPr="00992199">
        <w:rPr>
          <w:szCs w:val="20"/>
        </w:rPr>
        <w:t xml:space="preserve">, Food Invest International, Gimv-XL, AIF and </w:t>
      </w:r>
      <w:r w:rsidR="002A1AB1">
        <w:rPr>
          <w:szCs w:val="20"/>
        </w:rPr>
        <w:t>Greenyard Foods</w:t>
      </w:r>
      <w:r w:rsidR="003F0BC5" w:rsidRPr="00992199">
        <w:rPr>
          <w:szCs w:val="20"/>
        </w:rPr>
        <w:t xml:space="preserve"> entered int</w:t>
      </w:r>
      <w:r w:rsidR="008D49ED">
        <w:rPr>
          <w:szCs w:val="20"/>
        </w:rPr>
        <w:t>o a new shareholders’ agreement</w:t>
      </w:r>
      <w:r w:rsidR="00CB5F7C">
        <w:rPr>
          <w:szCs w:val="20"/>
        </w:rPr>
        <w:t xml:space="preserve"> in respect of </w:t>
      </w:r>
      <w:r w:rsidR="002A1AB1">
        <w:rPr>
          <w:szCs w:val="20"/>
        </w:rPr>
        <w:t>Greenyard Foods</w:t>
      </w:r>
      <w:r w:rsidR="003F0BC5" w:rsidRPr="00992199">
        <w:rPr>
          <w:szCs w:val="20"/>
        </w:rPr>
        <w:t xml:space="preserve">. This </w:t>
      </w:r>
      <w:r w:rsidR="00BC18A5">
        <w:rPr>
          <w:szCs w:val="20"/>
        </w:rPr>
        <w:t>shareholders’ agreement</w:t>
      </w:r>
      <w:r w:rsidR="003F0BC5" w:rsidRPr="00992199">
        <w:rPr>
          <w:szCs w:val="20"/>
        </w:rPr>
        <w:t xml:space="preserve"> shall enter into force on the earliest of (i) </w:t>
      </w:r>
      <w:r w:rsidR="008D49ED">
        <w:rPr>
          <w:szCs w:val="20"/>
        </w:rPr>
        <w:t xml:space="preserve">the </w:t>
      </w:r>
      <w:r w:rsidR="003F0BC5" w:rsidRPr="00992199">
        <w:rPr>
          <w:szCs w:val="20"/>
        </w:rPr>
        <w:t xml:space="preserve">date of the Gimv Warrants Exercise or (ii) </w:t>
      </w:r>
      <w:r w:rsidR="008D49ED">
        <w:rPr>
          <w:szCs w:val="20"/>
        </w:rPr>
        <w:t xml:space="preserve">the </w:t>
      </w:r>
      <w:r w:rsidR="003F0BC5" w:rsidRPr="00992199">
        <w:rPr>
          <w:szCs w:val="20"/>
        </w:rPr>
        <w:t xml:space="preserve">completion of the Contributions and will last for a period of </w:t>
      </w:r>
      <w:r w:rsidR="008D49ED">
        <w:rPr>
          <w:szCs w:val="20"/>
        </w:rPr>
        <w:t xml:space="preserve">maximum </w:t>
      </w:r>
      <w:r w:rsidR="003F0BC5" w:rsidRPr="00992199">
        <w:rPr>
          <w:szCs w:val="20"/>
        </w:rPr>
        <w:t>five years. This agreement will terminate automatically with respect to Gimv-XL (except insofar as it relates to the provisions applicable to the Secondary Sale), upon Gimv-XL ceasing to hold 5% of the Shares and with respect to AIF, upon AIF ceasing to hold 5% of the Shares (the 5% threshold will however not apply to AIF during an interim period of two years starting on the date of the Contributions).</w:t>
      </w:r>
    </w:p>
    <w:p w:rsidR="003F0BC5" w:rsidRPr="00992199" w:rsidRDefault="00D47467" w:rsidP="003F0BC5">
      <w:pPr>
        <w:rPr>
          <w:szCs w:val="20"/>
        </w:rPr>
      </w:pPr>
      <w:r>
        <w:rPr>
          <w:szCs w:val="20"/>
        </w:rPr>
        <w:t>This</w:t>
      </w:r>
      <w:r w:rsidR="003F0BC5" w:rsidRPr="00992199">
        <w:rPr>
          <w:szCs w:val="20"/>
        </w:rPr>
        <w:t xml:space="preserve"> shareholders’ agreement contains an obligation for the parties to this shareholders’ agreement to allow each of Gimv-XL and AIF to have at all times one director on the Board of Directors of </w:t>
      </w:r>
      <w:r w:rsidR="002A1AB1">
        <w:rPr>
          <w:szCs w:val="20"/>
        </w:rPr>
        <w:t>Greenyard Foods</w:t>
      </w:r>
      <w:r w:rsidR="003F0BC5" w:rsidRPr="00992199">
        <w:rPr>
          <w:szCs w:val="20"/>
        </w:rPr>
        <w:t xml:space="preserve"> and to vote its shares at any </w:t>
      </w:r>
      <w:r w:rsidR="00AA3763">
        <w:rPr>
          <w:szCs w:val="20"/>
        </w:rPr>
        <w:t>general shareholders’ meeting</w:t>
      </w:r>
      <w:r w:rsidR="003F0BC5" w:rsidRPr="00992199">
        <w:rPr>
          <w:szCs w:val="20"/>
        </w:rPr>
        <w:t xml:space="preserve"> of </w:t>
      </w:r>
      <w:r w:rsidR="002A1AB1">
        <w:rPr>
          <w:szCs w:val="20"/>
        </w:rPr>
        <w:t>Greenyard Foods</w:t>
      </w:r>
      <w:r w:rsidR="003F0BC5" w:rsidRPr="00992199">
        <w:rPr>
          <w:szCs w:val="20"/>
        </w:rPr>
        <w:t xml:space="preserve"> in favour of the nomination of one of the candidates proposed by Gimv–XL and AIF. The right for Gimv-XL and for AIF to have a director on the Board of Director shall respectively terminate when Gimv-XL and AIF hold less than 5% of the Shares</w:t>
      </w:r>
      <w:r w:rsidR="0011360E">
        <w:rPr>
          <w:szCs w:val="20"/>
        </w:rPr>
        <w:t>.</w:t>
      </w:r>
      <w:r w:rsidR="003F0BC5" w:rsidRPr="00992199">
        <w:rPr>
          <w:szCs w:val="20"/>
        </w:rPr>
        <w:t xml:space="preserve"> AIF will however be entitled to have a director on the Board of Directors of </w:t>
      </w:r>
      <w:r w:rsidR="002A1AB1">
        <w:rPr>
          <w:szCs w:val="20"/>
        </w:rPr>
        <w:t>Greenyard Foods</w:t>
      </w:r>
      <w:r w:rsidR="003F0BC5" w:rsidRPr="00992199">
        <w:rPr>
          <w:szCs w:val="20"/>
        </w:rPr>
        <w:t xml:space="preserve"> even if it holds less than 5% of the Shares during an interim period of two years starting on the date of the Contributions. The director appointed upon </w:t>
      </w:r>
      <w:r w:rsidR="008D49ED">
        <w:rPr>
          <w:szCs w:val="20"/>
        </w:rPr>
        <w:t>proposal</w:t>
      </w:r>
      <w:r w:rsidR="003F0BC5" w:rsidRPr="00992199">
        <w:rPr>
          <w:szCs w:val="20"/>
        </w:rPr>
        <w:t xml:space="preserve"> </w:t>
      </w:r>
      <w:r w:rsidR="008D49ED">
        <w:rPr>
          <w:szCs w:val="20"/>
        </w:rPr>
        <w:t>by</w:t>
      </w:r>
      <w:r w:rsidR="003F0BC5" w:rsidRPr="00992199">
        <w:rPr>
          <w:szCs w:val="20"/>
        </w:rPr>
        <w:t xml:space="preserve"> AIF shall be required to resign from its office if AIF has not increased its shareholding in </w:t>
      </w:r>
      <w:r w:rsidR="002A1AB1">
        <w:rPr>
          <w:szCs w:val="20"/>
        </w:rPr>
        <w:t>Greenyard Foods</w:t>
      </w:r>
      <w:r w:rsidR="003F0BC5" w:rsidRPr="00992199">
        <w:rPr>
          <w:szCs w:val="20"/>
        </w:rPr>
        <w:t xml:space="preserve"> above 5% upon termination of</w:t>
      </w:r>
      <w:r w:rsidR="00F13D58">
        <w:rPr>
          <w:szCs w:val="20"/>
        </w:rPr>
        <w:t xml:space="preserve"> </w:t>
      </w:r>
      <w:r w:rsidR="003F0BC5" w:rsidRPr="00992199">
        <w:rPr>
          <w:szCs w:val="20"/>
        </w:rPr>
        <w:t>the interim period of two years.</w:t>
      </w:r>
    </w:p>
    <w:p w:rsidR="003F0BC5" w:rsidRPr="00992199" w:rsidRDefault="003F0BC5" w:rsidP="003F0BC5">
      <w:pPr>
        <w:rPr>
          <w:szCs w:val="20"/>
        </w:rPr>
      </w:pPr>
      <w:r w:rsidRPr="00992199">
        <w:rPr>
          <w:szCs w:val="20"/>
        </w:rPr>
        <w:t xml:space="preserve">This shareholders’ agreement also entitles the director appointed upon </w:t>
      </w:r>
      <w:r w:rsidR="008D49ED">
        <w:rPr>
          <w:szCs w:val="20"/>
        </w:rPr>
        <w:t>proposal</w:t>
      </w:r>
      <w:r w:rsidRPr="00992199">
        <w:rPr>
          <w:szCs w:val="20"/>
        </w:rPr>
        <w:t xml:space="preserve"> by Gimv-XL to receive the same remuneration as the other non-executive directors of the Board of Directors of </w:t>
      </w:r>
      <w:r w:rsidR="002A1AB1">
        <w:rPr>
          <w:szCs w:val="20"/>
        </w:rPr>
        <w:t>Greenyard Foods</w:t>
      </w:r>
      <w:r w:rsidRPr="00992199">
        <w:rPr>
          <w:szCs w:val="20"/>
        </w:rPr>
        <w:t xml:space="preserve"> other than its </w:t>
      </w:r>
      <w:r w:rsidR="008D49ED">
        <w:rPr>
          <w:szCs w:val="20"/>
        </w:rPr>
        <w:t xml:space="preserve">(Executive) </w:t>
      </w:r>
      <w:r w:rsidRPr="00992199">
        <w:rPr>
          <w:szCs w:val="20"/>
        </w:rPr>
        <w:t>Chairman</w:t>
      </w:r>
      <w:r w:rsidR="00CB5F7C">
        <w:rPr>
          <w:szCs w:val="20"/>
        </w:rPr>
        <w:t xml:space="preserve"> and to have access to </w:t>
      </w:r>
      <w:r w:rsidR="002A1AB1">
        <w:rPr>
          <w:szCs w:val="20"/>
        </w:rPr>
        <w:t>Greenyard Foods</w:t>
      </w:r>
      <w:r w:rsidR="00CB5F7C">
        <w:rPr>
          <w:szCs w:val="20"/>
        </w:rPr>
        <w:t xml:space="preserve">’s executive management team under the supervision of the Board of Directors with a view to discussing the business, strategy ans financials of the business units of </w:t>
      </w:r>
      <w:r w:rsidR="002A1AB1">
        <w:rPr>
          <w:szCs w:val="20"/>
        </w:rPr>
        <w:t>Greenyard Foods</w:t>
      </w:r>
      <w:r w:rsidR="00CB5F7C">
        <w:rPr>
          <w:szCs w:val="20"/>
        </w:rPr>
        <w:t>.</w:t>
      </w:r>
    </w:p>
    <w:p w:rsidR="003F0BC5" w:rsidRPr="00992199" w:rsidRDefault="003F0BC5" w:rsidP="003F0BC5">
      <w:pPr>
        <w:rPr>
          <w:szCs w:val="20"/>
        </w:rPr>
      </w:pPr>
      <w:r w:rsidRPr="00992199">
        <w:rPr>
          <w:szCs w:val="20"/>
        </w:rPr>
        <w:t xml:space="preserve">The shareholders’ agreement further </w:t>
      </w:r>
      <w:r w:rsidR="00CB5F7C">
        <w:rPr>
          <w:szCs w:val="20"/>
        </w:rPr>
        <w:t>provides for a lock-up undertaking by</w:t>
      </w:r>
      <w:r w:rsidR="00CB5F7C" w:rsidRPr="00992199">
        <w:rPr>
          <w:szCs w:val="20"/>
        </w:rPr>
        <w:t xml:space="preserve"> </w:t>
      </w:r>
      <w:r w:rsidRPr="00992199">
        <w:rPr>
          <w:szCs w:val="20"/>
        </w:rPr>
        <w:t xml:space="preserve">Deprez Holding </w:t>
      </w:r>
      <w:r w:rsidR="00CB5F7C">
        <w:rPr>
          <w:szCs w:val="20"/>
        </w:rPr>
        <w:t xml:space="preserve">towards Gimv-XL not </w:t>
      </w:r>
      <w:r w:rsidRPr="00992199">
        <w:rPr>
          <w:szCs w:val="20"/>
        </w:rPr>
        <w:t xml:space="preserve">to sell Shares in </w:t>
      </w:r>
      <w:r w:rsidR="002A1AB1">
        <w:rPr>
          <w:szCs w:val="20"/>
        </w:rPr>
        <w:t>Greenyard Foods</w:t>
      </w:r>
      <w:r w:rsidRPr="00992199">
        <w:rPr>
          <w:szCs w:val="20"/>
        </w:rPr>
        <w:t xml:space="preserve"> in such a number that it would hold less than 30% of the Shares in </w:t>
      </w:r>
      <w:r w:rsidR="002A1AB1">
        <w:rPr>
          <w:szCs w:val="20"/>
        </w:rPr>
        <w:t>Greenyard Foods</w:t>
      </w:r>
      <w:r w:rsidRPr="00992199">
        <w:rPr>
          <w:szCs w:val="20"/>
        </w:rPr>
        <w:t xml:space="preserve">. </w:t>
      </w:r>
      <w:r w:rsidR="00CB5F7C">
        <w:rPr>
          <w:szCs w:val="20"/>
        </w:rPr>
        <w:t xml:space="preserve">See Section 1.4.2.2 of </w:t>
      </w:r>
      <w:r w:rsidR="00CB5F7C" w:rsidRPr="00992199">
        <w:rPr>
          <w:szCs w:val="20"/>
        </w:rPr>
        <w:t>Part IV (</w:t>
      </w:r>
      <w:r w:rsidR="00CB5F7C" w:rsidRPr="00992199">
        <w:rPr>
          <w:i/>
          <w:szCs w:val="20"/>
        </w:rPr>
        <w:t>The Contributions</w:t>
      </w:r>
      <w:r w:rsidR="00CB5F7C" w:rsidRPr="00992199">
        <w:rPr>
          <w:szCs w:val="20"/>
        </w:rPr>
        <w:t>) for a description of th</w:t>
      </w:r>
      <w:r w:rsidR="00CB5F7C">
        <w:rPr>
          <w:szCs w:val="20"/>
        </w:rPr>
        <w:t>is lock-up undertaking.</w:t>
      </w:r>
    </w:p>
    <w:p w:rsidR="003F0BC5" w:rsidRDefault="00D47467" w:rsidP="003F0BC5">
      <w:pPr>
        <w:rPr>
          <w:szCs w:val="20"/>
        </w:rPr>
      </w:pPr>
      <w:r>
        <w:rPr>
          <w:szCs w:val="20"/>
        </w:rPr>
        <w:t>Further,</w:t>
      </w:r>
      <w:r w:rsidR="003F0BC5" w:rsidRPr="00992199">
        <w:rPr>
          <w:szCs w:val="20"/>
        </w:rPr>
        <w:t xml:space="preserve"> the shareholders’ agreement contains the provisions relating to the process applying to the Secondary Sale. See Section 1.5 of Part IV (</w:t>
      </w:r>
      <w:r w:rsidR="003F0BC5" w:rsidRPr="00992199">
        <w:rPr>
          <w:i/>
          <w:szCs w:val="20"/>
        </w:rPr>
        <w:t>The Contributions</w:t>
      </w:r>
      <w:r w:rsidR="003F0BC5" w:rsidRPr="00992199">
        <w:rPr>
          <w:szCs w:val="20"/>
        </w:rPr>
        <w:t>) for a description of the Secondary Sale.</w:t>
      </w:r>
    </w:p>
    <w:p w:rsidR="00D47467" w:rsidRPr="00992199" w:rsidRDefault="00D47467" w:rsidP="003F0BC5">
      <w:pPr>
        <w:rPr>
          <w:szCs w:val="20"/>
        </w:rPr>
      </w:pPr>
      <w:r>
        <w:rPr>
          <w:szCs w:val="20"/>
        </w:rPr>
        <w:t>Finally, the shareholders’ agreement contains a tag along right in favour of Gimv-XL.</w:t>
      </w:r>
    </w:p>
    <w:p w:rsidR="003F0BC5" w:rsidRPr="00992199" w:rsidRDefault="003F0BC5" w:rsidP="00353B80">
      <w:pPr>
        <w:pStyle w:val="Firm5L2"/>
        <w:keepNext/>
      </w:pPr>
      <w:bookmarkStart w:id="38" w:name="_Toc420593858"/>
      <w:r w:rsidRPr="00992199">
        <w:lastRenderedPageBreak/>
        <w:t>Group structure and chart</w:t>
      </w:r>
      <w:bookmarkEnd w:id="38"/>
    </w:p>
    <w:p w:rsidR="003F0BC5" w:rsidRPr="00992199" w:rsidRDefault="003F0BC5" w:rsidP="003F0BC5">
      <w:pPr>
        <w:spacing w:after="600"/>
        <w:rPr>
          <w:i/>
          <w:szCs w:val="20"/>
        </w:rPr>
      </w:pPr>
      <w:r w:rsidRPr="00992199">
        <w:rPr>
          <w:i/>
          <w:szCs w:val="20"/>
        </w:rPr>
        <w:object w:dxaOrig="12127" w:dyaOrig="2328">
          <v:shape id="_x0000_i1029" type="#_x0000_t75" style="width:415pt;height:79.45pt" o:ole="">
            <v:imagedata r:id="rId20" o:title=""/>
          </v:shape>
          <o:OLEObject Type="Embed" ProgID="Visio.Drawing.11" ShapeID="_x0000_i1029" DrawAspect="Content" ObjectID="_1597567040" r:id="rId21"/>
        </w:object>
      </w:r>
    </w:p>
    <w:p w:rsidR="003F0BC5" w:rsidRPr="00992199" w:rsidRDefault="003F0BC5" w:rsidP="00353B80">
      <w:pPr>
        <w:pStyle w:val="Firm5L2"/>
        <w:keepNext/>
        <w:keepLines/>
      </w:pPr>
      <w:bookmarkStart w:id="39" w:name="_Toc420593859"/>
      <w:r w:rsidRPr="00992199">
        <w:t>Information on the subsidiaries</w:t>
      </w:r>
      <w:bookmarkEnd w:id="39"/>
    </w:p>
    <w:p w:rsidR="003F0BC5" w:rsidRPr="00992199" w:rsidRDefault="003F0BC5" w:rsidP="00291461">
      <w:pPr>
        <w:keepNext/>
        <w:keepLines/>
        <w:rPr>
          <w:szCs w:val="20"/>
        </w:rPr>
      </w:pPr>
      <w:r w:rsidRPr="00992199">
        <w:rPr>
          <w:szCs w:val="20"/>
        </w:rPr>
        <w:t xml:space="preserve">Upon completion of the Transactions, the subsidiaries of </w:t>
      </w:r>
      <w:r w:rsidR="002A1AB1">
        <w:rPr>
          <w:szCs w:val="20"/>
        </w:rPr>
        <w:t>Greenyard Foods</w:t>
      </w:r>
      <w:r w:rsidRPr="00992199">
        <w:rPr>
          <w:szCs w:val="20"/>
        </w:rPr>
        <w:t xml:space="preserve"> will be as mentioned in Section</w:t>
      </w:r>
      <w:r w:rsidR="00916DA0">
        <w:rPr>
          <w:szCs w:val="20"/>
        </w:rPr>
        <w:t>s 2.1.7, 2.2.8 and 2.3.8</w:t>
      </w:r>
      <w:r w:rsidRPr="00992199">
        <w:rPr>
          <w:szCs w:val="20"/>
        </w:rPr>
        <w:t xml:space="preserve"> of Part IV (</w:t>
      </w:r>
      <w:r w:rsidRPr="00992199">
        <w:rPr>
          <w:i/>
          <w:szCs w:val="20"/>
        </w:rPr>
        <w:t>The Contributions</w:t>
      </w:r>
      <w:r w:rsidRPr="00992199">
        <w:rPr>
          <w:szCs w:val="20"/>
        </w:rPr>
        <w:t>) of this Prospectus.</w:t>
      </w:r>
    </w:p>
    <w:p w:rsidR="003F0BC5" w:rsidRPr="00992199" w:rsidRDefault="003F0BC5" w:rsidP="00353B80">
      <w:pPr>
        <w:pStyle w:val="Firm5L1"/>
        <w:keepNext/>
      </w:pPr>
      <w:bookmarkStart w:id="40" w:name="_Toc420593860"/>
      <w:r w:rsidRPr="00992199">
        <w:t xml:space="preserve">Management and corporate governance of </w:t>
      </w:r>
      <w:r w:rsidR="002A1AB1">
        <w:t>Greenyard Foods</w:t>
      </w:r>
      <w:bookmarkEnd w:id="40"/>
    </w:p>
    <w:p w:rsidR="003F0BC5" w:rsidRPr="00992199" w:rsidRDefault="003F0BC5" w:rsidP="003F0BC5">
      <w:pPr>
        <w:rPr>
          <w:szCs w:val="20"/>
        </w:rPr>
      </w:pPr>
      <w:r w:rsidRPr="00992199">
        <w:rPr>
          <w:szCs w:val="20"/>
        </w:rPr>
        <w:t>This Section describes the management and corporate governance of the Company in place at the date of this Prospectus. A number of modifications to the management and corporate governance of the Company will become effective upon completion of the Transactions. Where relevant, a reference has been included in this Section to the proposed modifications. Reference is made to Section 1 of Part IV (</w:t>
      </w:r>
      <w:r w:rsidRPr="00992199">
        <w:rPr>
          <w:i/>
          <w:szCs w:val="20"/>
        </w:rPr>
        <w:t>The Contributions</w:t>
      </w:r>
      <w:r w:rsidRPr="00992199">
        <w:rPr>
          <w:szCs w:val="20"/>
        </w:rPr>
        <w:t>) for a description of the Transactions, including the conditions to be satisfied with a view to completion of the Transactions.</w:t>
      </w:r>
    </w:p>
    <w:p w:rsidR="003F0BC5" w:rsidRPr="00992199" w:rsidRDefault="003F0BC5" w:rsidP="00353B80">
      <w:pPr>
        <w:pStyle w:val="Firm5L2"/>
        <w:keepNext/>
      </w:pPr>
      <w:bookmarkStart w:id="41" w:name="_Toc420593861"/>
      <w:r w:rsidRPr="00992199">
        <w:t>Overview of corporate governance</w:t>
      </w:r>
      <w:bookmarkEnd w:id="41"/>
    </w:p>
    <w:p w:rsidR="003F0BC5" w:rsidRPr="00992199" w:rsidRDefault="003F0BC5" w:rsidP="003F0BC5">
      <w:pPr>
        <w:rPr>
          <w:szCs w:val="20"/>
        </w:rPr>
      </w:pPr>
      <w:r w:rsidRPr="00992199">
        <w:rPr>
          <w:szCs w:val="20"/>
        </w:rPr>
        <w:t xml:space="preserve">This Section summarises the rules and principles by which the corporate governance of the Company is organised pursuant to the BCC, the Articles of Association and the Company’s Corporate Governance Charter. It is based on the most recent restated Articles of Association as amended by the </w:t>
      </w:r>
      <w:r w:rsidR="00AA3763">
        <w:rPr>
          <w:szCs w:val="20"/>
        </w:rPr>
        <w:t>general shareholders’ meeting</w:t>
      </w:r>
      <w:r w:rsidRPr="00992199">
        <w:rPr>
          <w:szCs w:val="20"/>
        </w:rPr>
        <w:t xml:space="preserve"> of the Company held on 19 September 2014.</w:t>
      </w:r>
    </w:p>
    <w:p w:rsidR="003F0BC5" w:rsidRPr="00992199" w:rsidRDefault="003F0BC5" w:rsidP="003F0BC5">
      <w:pPr>
        <w:rPr>
          <w:szCs w:val="20"/>
        </w:rPr>
      </w:pPr>
      <w:r w:rsidRPr="00992199">
        <w:rPr>
          <w:szCs w:val="20"/>
        </w:rPr>
        <w:t>Pursuant to the Law of 6 April 2010 on the reinforcement of the corporate governance of listed companies and autonomous government enterprises and the amendment of the rules on the exclusion of employment in the bank and financial sector (</w:t>
      </w:r>
      <w:r w:rsidRPr="00992199">
        <w:rPr>
          <w:i/>
          <w:szCs w:val="20"/>
        </w:rPr>
        <w:t>Wet tot versterking van het deugdelijk bestuur bij de genoteerde vennootschappen en de autonome overheidsbedrijven en tot wijziging van de regeling inzake het beroepsverbod in de bank- en financiële sector / Loi visant à renforcer le gouvernement d’entreprise dans les sociétés cotées et les entreprises publiques autonomes et visant à modifier le régime des interdictions professionnelles dans le secteur bancaire et financier</w:t>
      </w:r>
      <w:r w:rsidRPr="00992199">
        <w:rPr>
          <w:szCs w:val="20"/>
        </w:rPr>
        <w:t>), as implemented by the Royal Decree of 6 June 2010 regarding the designation of the corporate governance code on listed companies (</w:t>
      </w:r>
      <w:r w:rsidRPr="00992199">
        <w:rPr>
          <w:i/>
          <w:szCs w:val="20"/>
        </w:rPr>
        <w:t>Koninklijk besluit houdende aanduiding van de na te leven Code inzake deugdelijk bestuur door genoteerde vennootschappen / Arrêté royal portant désignation du Code de gouvernement d’entreprise à respecter par les sociétés cotées</w:t>
      </w:r>
      <w:r w:rsidRPr="00992199">
        <w:rPr>
          <w:szCs w:val="20"/>
        </w:rPr>
        <w:t>), Belgian listed companies should comply with the Belgian Corporate Governance Code issued on 12 March 2009, unless it disclosed the justification why it has decided to deviate from the provisions of the Belgian Corporate Governance Code 2009 (the rule of comply or explain).</w:t>
      </w:r>
    </w:p>
    <w:p w:rsidR="003F0BC5" w:rsidRPr="000C02D7" w:rsidRDefault="003F0BC5" w:rsidP="003F0BC5">
      <w:pPr>
        <w:rPr>
          <w:szCs w:val="20"/>
        </w:rPr>
      </w:pPr>
      <w:r w:rsidRPr="00992199">
        <w:rPr>
          <w:szCs w:val="20"/>
        </w:rPr>
        <w:t>The Corporate Governance Charter meets the rules provided by the Belgian Corporate Governance Code 2009</w:t>
      </w:r>
      <w:r w:rsidR="00007CAE">
        <w:rPr>
          <w:szCs w:val="20"/>
        </w:rPr>
        <w:t>, except as explicit</w:t>
      </w:r>
      <w:r w:rsidR="00D47467">
        <w:rPr>
          <w:szCs w:val="20"/>
        </w:rPr>
        <w:t>ly otherwise stated and justified in the Corporate Governance Charter.</w:t>
      </w:r>
    </w:p>
    <w:p w:rsidR="003F0BC5" w:rsidRPr="00992199" w:rsidRDefault="003F0BC5" w:rsidP="003F0BC5">
      <w:pPr>
        <w:rPr>
          <w:szCs w:val="20"/>
        </w:rPr>
      </w:pPr>
      <w:r w:rsidRPr="00992199">
        <w:rPr>
          <w:szCs w:val="20"/>
        </w:rPr>
        <w:t>The general principles and provisions relating to the role and responsibility, the procedures of appointment and the organisation of the Board of Directors are described in the Corporate Governance Charter of the Company. The Company uses the Belgian Corporate Governance Code 2009 as reference code. The Corporate Governance Charter can be consulted on the Company’s website (</w:t>
      </w:r>
      <w:hyperlink r:id="rId22" w:history="1">
        <w:r w:rsidR="002A1AB1">
          <w:rPr>
            <w:rStyle w:val="Hyperlink"/>
            <w:color w:val="auto"/>
            <w:szCs w:val="20"/>
            <w:u w:val="none"/>
          </w:rPr>
          <w:t>www.greenyardfoods.com</w:t>
        </w:r>
      </w:hyperlink>
      <w:r w:rsidRPr="00992199">
        <w:rPr>
          <w:szCs w:val="20"/>
        </w:rPr>
        <w:t>).</w:t>
      </w:r>
    </w:p>
    <w:p w:rsidR="003F0BC5" w:rsidRPr="00992199" w:rsidRDefault="003F0BC5" w:rsidP="003F0BC5">
      <w:pPr>
        <w:rPr>
          <w:szCs w:val="20"/>
        </w:rPr>
      </w:pPr>
      <w:r w:rsidRPr="00992199">
        <w:rPr>
          <w:szCs w:val="20"/>
        </w:rPr>
        <w:t>The Company closely follows up the developments and adjusts its corporate governance structure where necessary. The Board of Directors revises the Corporate Governance Charter regularly and where necessary, adaptations are made.</w:t>
      </w:r>
    </w:p>
    <w:p w:rsidR="003F0BC5" w:rsidRPr="00992199" w:rsidRDefault="003F0BC5" w:rsidP="003F0BC5">
      <w:pPr>
        <w:rPr>
          <w:szCs w:val="20"/>
        </w:rPr>
      </w:pPr>
      <w:r w:rsidRPr="00992199">
        <w:rPr>
          <w:szCs w:val="20"/>
        </w:rPr>
        <w:t>The Corporate Governance Charter determines that every transaction between the Company or any of its subsidiaries and sole director, sole legal representative of a director</w:t>
      </w:r>
      <w:r w:rsidR="007F2150">
        <w:rPr>
          <w:szCs w:val="20"/>
        </w:rPr>
        <w:t xml:space="preserve">-company or sole member of the </w:t>
      </w:r>
      <w:r w:rsidR="008D49ED">
        <w:rPr>
          <w:szCs w:val="20"/>
        </w:rPr>
        <w:t>Executive Committee</w:t>
      </w:r>
      <w:r w:rsidRPr="00992199">
        <w:rPr>
          <w:szCs w:val="20"/>
        </w:rPr>
        <w:t xml:space="preserve"> needs to be approved upfront by the Board of Directors, regardless of the fact if such a transaction falls under the applicable related-party transactions legal provisions</w:t>
      </w:r>
      <w:r w:rsidR="0074141B">
        <w:rPr>
          <w:szCs w:val="20"/>
        </w:rPr>
        <w:t xml:space="preserve"> included in article 526 BCC</w:t>
      </w:r>
      <w:r w:rsidRPr="00992199">
        <w:rPr>
          <w:szCs w:val="20"/>
        </w:rPr>
        <w:t>. Such a transaction can only be effectuated against standard market conditions.</w:t>
      </w:r>
    </w:p>
    <w:p w:rsidR="003F0BC5" w:rsidRPr="00992199" w:rsidRDefault="003F0BC5" w:rsidP="003F0BC5">
      <w:pPr>
        <w:rPr>
          <w:szCs w:val="20"/>
        </w:rPr>
      </w:pPr>
      <w:r w:rsidRPr="00992199">
        <w:rPr>
          <w:szCs w:val="20"/>
        </w:rPr>
        <w:lastRenderedPageBreak/>
        <w:t>The Board of Directors of the Company of [•] 2015 has approved certain amendments to the Corporate Governance Charter of the Company, which shall become effective upon completion of the Transactions. The main changes can be summarised as follows (see also below in this Section):</w:t>
      </w:r>
    </w:p>
    <w:p w:rsidR="003F0BC5" w:rsidRPr="00992199" w:rsidRDefault="003F0BC5" w:rsidP="00291461">
      <w:pPr>
        <w:pStyle w:val="BulletsL1"/>
      </w:pPr>
      <w:r w:rsidRPr="00992199">
        <w:t xml:space="preserve">the composition of the Board of Directors, the </w:t>
      </w:r>
      <w:r w:rsidR="008D49ED">
        <w:t>Executive Committee</w:t>
      </w:r>
      <w:r w:rsidRPr="00992199">
        <w:t>, the Audit Committee, the Remuneration and Nomination Committee and the Strategic Committee; and</w:t>
      </w:r>
    </w:p>
    <w:p w:rsidR="003F0BC5" w:rsidRPr="00992199" w:rsidRDefault="003F0BC5" w:rsidP="00291461">
      <w:pPr>
        <w:pStyle w:val="BulletsL1"/>
      </w:pPr>
      <w:r w:rsidRPr="00992199">
        <w:t>the role of the Executive Chairman and its remuneration.</w:t>
      </w:r>
    </w:p>
    <w:p w:rsidR="003F0BC5" w:rsidRPr="00992199" w:rsidRDefault="003F0BC5" w:rsidP="00353B80">
      <w:pPr>
        <w:pStyle w:val="Firm5L2"/>
        <w:keepNext/>
      </w:pPr>
      <w:bookmarkStart w:id="42" w:name="_Toc420593862"/>
      <w:r w:rsidRPr="00992199">
        <w:t xml:space="preserve">Board of Directors and </w:t>
      </w:r>
      <w:r w:rsidR="008D49ED">
        <w:t>E</w:t>
      </w:r>
      <w:r w:rsidRPr="00992199">
        <w:t xml:space="preserve">xecutive </w:t>
      </w:r>
      <w:r w:rsidR="008D49ED">
        <w:t>Comittee</w:t>
      </w:r>
      <w:bookmarkEnd w:id="42"/>
    </w:p>
    <w:p w:rsidR="003F0BC5" w:rsidRPr="00992199" w:rsidRDefault="003F0BC5" w:rsidP="00353B80">
      <w:pPr>
        <w:pStyle w:val="Firm5L3"/>
        <w:keepNext/>
      </w:pPr>
      <w:r w:rsidRPr="00992199">
        <w:t>Powers and responsibilities of the Board</w:t>
      </w:r>
    </w:p>
    <w:p w:rsidR="003F0BC5" w:rsidRPr="00992199" w:rsidRDefault="003F0BC5" w:rsidP="003F0BC5">
      <w:pPr>
        <w:rPr>
          <w:szCs w:val="20"/>
        </w:rPr>
      </w:pPr>
      <w:r w:rsidRPr="00992199">
        <w:rPr>
          <w:szCs w:val="20"/>
        </w:rPr>
        <w:t xml:space="preserve">The Board of Directors is the main decision-making body of the Company, and has full power to perform all acts that are necessary or useful to accomplish the Company’s corporate purpose, save for those acts for which only the </w:t>
      </w:r>
      <w:r w:rsidR="00AA3763">
        <w:rPr>
          <w:szCs w:val="20"/>
        </w:rPr>
        <w:t>general shareholders’ meeting</w:t>
      </w:r>
      <w:r w:rsidRPr="00992199">
        <w:rPr>
          <w:szCs w:val="20"/>
        </w:rPr>
        <w:t xml:space="preserve"> of the Company has the required powers in accordance with applicable laws or the Articles of Association. The responsibility for the management of the Company is entrusted to the Board of Directors as a collegial body.</w:t>
      </w:r>
    </w:p>
    <w:p w:rsidR="003F0BC5" w:rsidRPr="00992199" w:rsidRDefault="003F0BC5" w:rsidP="003F0BC5">
      <w:pPr>
        <w:rPr>
          <w:szCs w:val="20"/>
        </w:rPr>
      </w:pPr>
      <w:r w:rsidRPr="00992199">
        <w:rPr>
          <w:szCs w:val="20"/>
        </w:rPr>
        <w:t xml:space="preserve">The role of the Board of Directors is to aim for the long-term success of </w:t>
      </w:r>
      <w:r w:rsidR="002A1AB1">
        <w:rPr>
          <w:szCs w:val="20"/>
        </w:rPr>
        <w:t>Greenyard Foods</w:t>
      </w:r>
      <w:r w:rsidRPr="00992199">
        <w:rPr>
          <w:szCs w:val="20"/>
        </w:rPr>
        <w:t xml:space="preserve"> by means of efficient risk management and control. The Board of Directors decides on the values and the strategy of </w:t>
      </w:r>
      <w:r w:rsidR="002A1AB1">
        <w:rPr>
          <w:szCs w:val="20"/>
        </w:rPr>
        <w:t>Greenyard Foods</w:t>
      </w:r>
      <w:r w:rsidRPr="00992199">
        <w:rPr>
          <w:szCs w:val="20"/>
        </w:rPr>
        <w:t xml:space="preserve">, on its risk profile and on the key elements of its strategy. The Board of Directors procures that the necessary financial and human resources are available to enable </w:t>
      </w:r>
      <w:r w:rsidR="002A1AB1">
        <w:rPr>
          <w:szCs w:val="20"/>
        </w:rPr>
        <w:t>Greenyard Foods</w:t>
      </w:r>
      <w:r w:rsidRPr="00992199">
        <w:rPr>
          <w:szCs w:val="20"/>
        </w:rPr>
        <w:t xml:space="preserve"> to achieve its goals.</w:t>
      </w:r>
    </w:p>
    <w:p w:rsidR="003F0BC5" w:rsidRPr="00992199" w:rsidRDefault="003F0BC5" w:rsidP="003F0BC5">
      <w:pPr>
        <w:rPr>
          <w:szCs w:val="20"/>
        </w:rPr>
      </w:pPr>
      <w:r w:rsidRPr="00992199">
        <w:rPr>
          <w:szCs w:val="20"/>
        </w:rPr>
        <w:t xml:space="preserve">The Board of Directors is of the opinion that first and foremost, a focus on the long term financial return is required. Accordingly, the Board of Directors equally values the interests of the ‘stakeholders’ who are each essential for a successful company: the shareholders and employees of </w:t>
      </w:r>
      <w:r w:rsidR="002A1AB1">
        <w:rPr>
          <w:szCs w:val="20"/>
        </w:rPr>
        <w:t>Greenyard Foods</w:t>
      </w:r>
      <w:r w:rsidRPr="00992199">
        <w:rPr>
          <w:szCs w:val="20"/>
        </w:rPr>
        <w:t xml:space="preserve">, its customers and suppliers, as well as the community and the environment in which </w:t>
      </w:r>
      <w:r w:rsidR="002A1AB1">
        <w:rPr>
          <w:szCs w:val="20"/>
        </w:rPr>
        <w:t>Greenyard Foods</w:t>
      </w:r>
      <w:r w:rsidRPr="00992199">
        <w:rPr>
          <w:szCs w:val="20"/>
        </w:rPr>
        <w:t xml:space="preserve"> operates.</w:t>
      </w:r>
    </w:p>
    <w:p w:rsidR="003F0BC5" w:rsidRPr="00992199" w:rsidRDefault="003F0BC5" w:rsidP="003F0BC5">
      <w:pPr>
        <w:rPr>
          <w:szCs w:val="20"/>
        </w:rPr>
      </w:pPr>
      <w:r w:rsidRPr="00992199">
        <w:rPr>
          <w:szCs w:val="20"/>
        </w:rPr>
        <w:t xml:space="preserve">The Board of Directors has the competence and duty to use effective, necessary and proportional resources to perform its tasks. The entire Board of Directors is accountable on a collegial level to </w:t>
      </w:r>
      <w:r w:rsidR="002A1AB1">
        <w:rPr>
          <w:szCs w:val="20"/>
        </w:rPr>
        <w:t>Greenyard Foods</w:t>
      </w:r>
      <w:r w:rsidRPr="00992199">
        <w:rPr>
          <w:szCs w:val="20"/>
        </w:rPr>
        <w:t xml:space="preserve"> for the appropriate execution of its competences and duties.</w:t>
      </w:r>
    </w:p>
    <w:p w:rsidR="003F0BC5" w:rsidRPr="00992199" w:rsidRDefault="003F0BC5" w:rsidP="003F0BC5">
      <w:pPr>
        <w:rPr>
          <w:szCs w:val="20"/>
        </w:rPr>
      </w:pPr>
      <w:r w:rsidRPr="00992199">
        <w:rPr>
          <w:szCs w:val="20"/>
        </w:rPr>
        <w:t>The Board of Directors encourages an effective dialogue with the shareholders and potential shareholders which is based on a mutual understanding of the goals and expectations.</w:t>
      </w:r>
    </w:p>
    <w:p w:rsidR="003F0BC5" w:rsidRPr="00992199" w:rsidRDefault="003F0BC5" w:rsidP="003F0BC5">
      <w:pPr>
        <w:rPr>
          <w:szCs w:val="20"/>
        </w:rPr>
      </w:pPr>
      <w:r w:rsidRPr="00992199">
        <w:rPr>
          <w:szCs w:val="20"/>
        </w:rPr>
        <w:t>The most important responsibilities of the Board of Directors comprise:</w:t>
      </w:r>
    </w:p>
    <w:p w:rsidR="003F0BC5" w:rsidRPr="00992199" w:rsidRDefault="003F0BC5" w:rsidP="007B5E70">
      <w:pPr>
        <w:pStyle w:val="BulletsL1"/>
      </w:pPr>
      <w:r w:rsidRPr="00992199">
        <w:t xml:space="preserve">periodical review, evaluation and approval of the objectives, strategy and risk profile of </w:t>
      </w:r>
      <w:r w:rsidR="002A1AB1">
        <w:t>Greenyard Foods</w:t>
      </w:r>
      <w:r w:rsidRPr="00992199">
        <w:t>;</w:t>
      </w:r>
    </w:p>
    <w:p w:rsidR="003F0BC5" w:rsidRPr="00992199" w:rsidRDefault="003F0BC5" w:rsidP="007B5E70">
      <w:pPr>
        <w:pStyle w:val="BulletsL1"/>
      </w:pPr>
      <w:r w:rsidRPr="00992199">
        <w:t xml:space="preserve">review, evaluation and approval of the global organisational structure of </w:t>
      </w:r>
      <w:r w:rsidR="002A1AB1">
        <w:t>Greenyard Foods</w:t>
      </w:r>
      <w:r w:rsidRPr="00992199">
        <w:t>;</w:t>
      </w:r>
    </w:p>
    <w:p w:rsidR="003F0BC5" w:rsidRPr="00992199" w:rsidRDefault="003F0BC5" w:rsidP="007B5E70">
      <w:pPr>
        <w:pStyle w:val="BulletsL1"/>
      </w:pPr>
      <w:r w:rsidRPr="00992199">
        <w:t>review, evaluation and approval of the allocation of the main resources and capital investments;</w:t>
      </w:r>
    </w:p>
    <w:p w:rsidR="003F0BC5" w:rsidRPr="00992199" w:rsidRDefault="003F0BC5" w:rsidP="007B5E70">
      <w:pPr>
        <w:pStyle w:val="BulletsL1"/>
      </w:pPr>
      <w:r w:rsidRPr="00992199">
        <w:t>approval of the framework of internal control and risk management, drafted by the Executive Management;</w:t>
      </w:r>
    </w:p>
    <w:p w:rsidR="003F0BC5" w:rsidRPr="00992199" w:rsidRDefault="003F0BC5" w:rsidP="007B5E70">
      <w:pPr>
        <w:pStyle w:val="BulletsL1"/>
      </w:pPr>
      <w:r w:rsidRPr="00992199">
        <w:t>assessment of the implementation of the framework of internal control and risk management, taking into account the assessment of the Audit Committee;</w:t>
      </w:r>
    </w:p>
    <w:p w:rsidR="003F0BC5" w:rsidRPr="00992199" w:rsidRDefault="003F0BC5" w:rsidP="007B5E70">
      <w:pPr>
        <w:pStyle w:val="BulletsL1"/>
      </w:pPr>
      <w:r w:rsidRPr="00992199">
        <w:t>description and publication in the Corporate Governance Charter of the main characteristics of internal control and risk management systems;</w:t>
      </w:r>
    </w:p>
    <w:p w:rsidR="003F0BC5" w:rsidRPr="00992199" w:rsidRDefault="003F0BC5" w:rsidP="007B5E70">
      <w:pPr>
        <w:pStyle w:val="BulletsL1"/>
      </w:pPr>
      <w:r w:rsidRPr="00992199">
        <w:t>approval of the remuneration report, prepared by the Remuneration and Nomination Committee;</w:t>
      </w:r>
    </w:p>
    <w:p w:rsidR="003F0BC5" w:rsidRPr="00992199" w:rsidRDefault="003F0BC5" w:rsidP="007B5E70">
      <w:pPr>
        <w:pStyle w:val="BulletsL1"/>
      </w:pPr>
      <w:r w:rsidRPr="00992199">
        <w:t xml:space="preserve">review of the financial and operational results of </w:t>
      </w:r>
      <w:r w:rsidR="002A1AB1">
        <w:t>Greenyard Foods</w:t>
      </w:r>
      <w:r w:rsidRPr="00992199">
        <w:t>;</w:t>
      </w:r>
    </w:p>
    <w:p w:rsidR="003F0BC5" w:rsidRPr="00992199" w:rsidRDefault="003F0BC5" w:rsidP="007B5E70">
      <w:pPr>
        <w:pStyle w:val="BulletsL1"/>
      </w:pPr>
      <w:r w:rsidRPr="00992199">
        <w:t>taking the necessary measures to guarantee the integrity and the timely publication of the annual accounts and other material financial and non-financial information communicated to the shareholders and potential shareholders;</w:t>
      </w:r>
    </w:p>
    <w:p w:rsidR="003F0BC5" w:rsidRPr="00992199" w:rsidRDefault="003F0BC5" w:rsidP="007B5E70">
      <w:pPr>
        <w:pStyle w:val="BulletsL1"/>
      </w:pPr>
      <w:r w:rsidRPr="00992199">
        <w:t xml:space="preserve">review, evaluation and approval of the budgets and forecasts of </w:t>
      </w:r>
      <w:r w:rsidR="002A1AB1">
        <w:t>Greenyard Foods</w:t>
      </w:r>
      <w:r w:rsidRPr="00992199">
        <w:t>;</w:t>
      </w:r>
    </w:p>
    <w:p w:rsidR="003F0BC5" w:rsidRPr="00992199" w:rsidRDefault="003F0BC5" w:rsidP="007B5E70">
      <w:pPr>
        <w:pStyle w:val="BulletsL1"/>
      </w:pPr>
      <w:r w:rsidRPr="00992199">
        <w:t>supervision of the performance of the statutory auditor and the internal audit function, taking into account the assessment of the Audit Committee;</w:t>
      </w:r>
    </w:p>
    <w:p w:rsidR="003F0BC5" w:rsidRPr="00992199" w:rsidRDefault="003F0BC5" w:rsidP="007B5E70">
      <w:pPr>
        <w:pStyle w:val="BulletsL1"/>
      </w:pPr>
      <w:r w:rsidRPr="00992199">
        <w:t>determination of the structure, competences and obligations of the Executive Management;</w:t>
      </w:r>
    </w:p>
    <w:p w:rsidR="003F0BC5" w:rsidRPr="00992199" w:rsidRDefault="003F0BC5" w:rsidP="007B5E70">
      <w:pPr>
        <w:pStyle w:val="BulletsL1"/>
      </w:pPr>
      <w:r w:rsidRPr="00992199">
        <w:t>supervision of the performance of the Executive Management and the realisation of the strategy;</w:t>
      </w:r>
    </w:p>
    <w:p w:rsidR="003F0BC5" w:rsidRPr="00992199" w:rsidRDefault="003F0BC5" w:rsidP="007B5E70">
      <w:pPr>
        <w:pStyle w:val="BulletsL1"/>
      </w:pPr>
      <w:r w:rsidRPr="00992199">
        <w:lastRenderedPageBreak/>
        <w:t>supervision of the Committees established within the Board of Directors;</w:t>
      </w:r>
    </w:p>
    <w:p w:rsidR="003F0BC5" w:rsidRPr="00992199" w:rsidRDefault="003F0BC5" w:rsidP="007B5E70">
      <w:pPr>
        <w:pStyle w:val="BulletsL1"/>
      </w:pPr>
      <w:r w:rsidRPr="00992199">
        <w:t>approval of the contracts for the appointment of the CEO and other members of the Executive Management, upon advice of the Remuneration and Nomination Committee.</w:t>
      </w:r>
    </w:p>
    <w:p w:rsidR="003F0BC5" w:rsidRPr="00992199" w:rsidRDefault="003F0BC5" w:rsidP="00353B80">
      <w:pPr>
        <w:pStyle w:val="Firm5L3"/>
        <w:keepNext/>
      </w:pPr>
      <w:r w:rsidRPr="00992199">
        <w:t>Composition of the Board</w:t>
      </w:r>
    </w:p>
    <w:p w:rsidR="003F0BC5" w:rsidRPr="00992199" w:rsidRDefault="003F0BC5" w:rsidP="00353B80">
      <w:pPr>
        <w:pStyle w:val="Firm5L4"/>
        <w:keepNext/>
      </w:pPr>
      <w:r w:rsidRPr="00992199">
        <w:rPr>
          <w:lang w:bidi="as-IN"/>
        </w:rPr>
        <w:t>General provisions</w:t>
      </w:r>
    </w:p>
    <w:p w:rsidR="003F0BC5" w:rsidRPr="00992199" w:rsidRDefault="0074141B" w:rsidP="003F0BC5">
      <w:pPr>
        <w:rPr>
          <w:szCs w:val="20"/>
        </w:rPr>
      </w:pPr>
      <w:r>
        <w:rPr>
          <w:szCs w:val="20"/>
        </w:rPr>
        <w:t>At the date of this Prospectus, t</w:t>
      </w:r>
      <w:r w:rsidR="003F0BC5" w:rsidRPr="00992199">
        <w:rPr>
          <w:szCs w:val="20"/>
        </w:rPr>
        <w:t>he Board of Directors consists of a minimum of three directors and a maximum of</w:t>
      </w:r>
      <w:r>
        <w:rPr>
          <w:szCs w:val="20"/>
        </w:rPr>
        <w:t xml:space="preserve"> </w:t>
      </w:r>
      <w:r w:rsidR="00AD2433">
        <w:rPr>
          <w:szCs w:val="20"/>
        </w:rPr>
        <w:t>eleven</w:t>
      </w:r>
      <w:r w:rsidR="003F0BC5" w:rsidRPr="00992199">
        <w:rPr>
          <w:szCs w:val="20"/>
        </w:rPr>
        <w:t xml:space="preserve"> directors.</w:t>
      </w:r>
      <w:r w:rsidR="00D47467">
        <w:rPr>
          <w:szCs w:val="20"/>
        </w:rPr>
        <w:t xml:space="preserve"> Upon completion of the Transactions, the Articles of Association will be amended and provide that the Board of Directors consists of a minimum of three directors. </w:t>
      </w:r>
    </w:p>
    <w:p w:rsidR="003F0BC5" w:rsidRPr="00992199" w:rsidRDefault="003F0BC5" w:rsidP="003F0BC5">
      <w:pPr>
        <w:rPr>
          <w:szCs w:val="20"/>
        </w:rPr>
      </w:pPr>
      <w:r w:rsidRPr="00992199">
        <w:rPr>
          <w:szCs w:val="20"/>
        </w:rPr>
        <w:t>At least half of the directors are non-executive and at least three (3) of them are independent.</w:t>
      </w:r>
    </w:p>
    <w:p w:rsidR="003F0BC5" w:rsidRPr="00992199" w:rsidRDefault="003F0BC5" w:rsidP="003F0BC5">
      <w:pPr>
        <w:rPr>
          <w:szCs w:val="20"/>
        </w:rPr>
      </w:pPr>
      <w:r w:rsidRPr="00992199">
        <w:rPr>
          <w:szCs w:val="20"/>
        </w:rPr>
        <w:t>The composition of the Board of Directors is further determined based on complementarity of competence, experience and knowledge.</w:t>
      </w:r>
    </w:p>
    <w:p w:rsidR="003F0BC5" w:rsidRPr="00992199" w:rsidRDefault="003F0BC5" w:rsidP="003F0BC5">
      <w:pPr>
        <w:rPr>
          <w:szCs w:val="20"/>
        </w:rPr>
      </w:pPr>
      <w:r w:rsidRPr="00992199">
        <w:rPr>
          <w:szCs w:val="20"/>
        </w:rPr>
        <w:t xml:space="preserve">The directors are appointed by the </w:t>
      </w:r>
      <w:r w:rsidR="00AA3763">
        <w:rPr>
          <w:szCs w:val="20"/>
        </w:rPr>
        <w:t>general shareholders’ meeting</w:t>
      </w:r>
      <w:r w:rsidRPr="00992199">
        <w:rPr>
          <w:szCs w:val="20"/>
        </w:rPr>
        <w:t xml:space="preserve"> of the Company.</w:t>
      </w:r>
    </w:p>
    <w:p w:rsidR="003F0BC5" w:rsidRPr="00992199" w:rsidRDefault="003F0BC5" w:rsidP="003F0BC5">
      <w:pPr>
        <w:rPr>
          <w:szCs w:val="20"/>
        </w:rPr>
      </w:pPr>
      <w:r w:rsidRPr="00992199">
        <w:rPr>
          <w:szCs w:val="20"/>
        </w:rPr>
        <w:t xml:space="preserve">The Articles of Association provide that the directors are appointed for a maximum term of six years. The Board of Directors will propose to the </w:t>
      </w:r>
      <w:r w:rsidR="00AA3763">
        <w:rPr>
          <w:szCs w:val="20"/>
        </w:rPr>
        <w:t>general shareholders’ meeting</w:t>
      </w:r>
      <w:r w:rsidRPr="00992199">
        <w:rPr>
          <w:szCs w:val="20"/>
        </w:rPr>
        <w:t xml:space="preserve"> to appoint directors only for a mandate of four years. The mandate ends at the close of the annual </w:t>
      </w:r>
      <w:r w:rsidR="00AA3763">
        <w:rPr>
          <w:szCs w:val="20"/>
        </w:rPr>
        <w:t>general shareholders’ meeting</w:t>
      </w:r>
      <w:r w:rsidRPr="00992199">
        <w:rPr>
          <w:szCs w:val="20"/>
        </w:rPr>
        <w:t xml:space="preserve"> until which the director was appointed. However, the Articles of Association provide that as long as the </w:t>
      </w:r>
      <w:r w:rsidR="00AA3763">
        <w:rPr>
          <w:szCs w:val="20"/>
        </w:rPr>
        <w:t>general shareholders’ meeting</w:t>
      </w:r>
      <w:r w:rsidRPr="00992199">
        <w:rPr>
          <w:szCs w:val="20"/>
        </w:rPr>
        <w:t>, for whatever reason, does not fill in the vacancy, the directors whose mandates have expired shall remain in function. Retiring directors are eligible for reappointment.</w:t>
      </w:r>
    </w:p>
    <w:p w:rsidR="003F0BC5" w:rsidRPr="00992199" w:rsidRDefault="003F0BC5" w:rsidP="003F0BC5">
      <w:pPr>
        <w:rPr>
          <w:szCs w:val="20"/>
        </w:rPr>
      </w:pPr>
      <w:r w:rsidRPr="00992199">
        <w:rPr>
          <w:szCs w:val="20"/>
        </w:rPr>
        <w:t xml:space="preserve">The mandate of the directors may be withdrawn at any time by simple majority in the </w:t>
      </w:r>
      <w:r w:rsidR="00AA3763">
        <w:rPr>
          <w:szCs w:val="20"/>
        </w:rPr>
        <w:t>general shareholders’ meeting</w:t>
      </w:r>
      <w:r w:rsidRPr="00992199">
        <w:rPr>
          <w:szCs w:val="20"/>
        </w:rPr>
        <w:t xml:space="preserve">. The Board of Directors will propose to the </w:t>
      </w:r>
      <w:r w:rsidR="00AA3763">
        <w:rPr>
          <w:szCs w:val="20"/>
        </w:rPr>
        <w:t>general shareholders’ meeting</w:t>
      </w:r>
      <w:r w:rsidRPr="00992199">
        <w:rPr>
          <w:szCs w:val="20"/>
        </w:rPr>
        <w:t xml:space="preserve"> that the mandate of the directors will end at the annual </w:t>
      </w:r>
      <w:r w:rsidR="00AA3763">
        <w:rPr>
          <w:szCs w:val="20"/>
        </w:rPr>
        <w:t>general shareholders’ meeting</w:t>
      </w:r>
      <w:r w:rsidRPr="00992199">
        <w:rPr>
          <w:szCs w:val="20"/>
        </w:rPr>
        <w:t xml:space="preserve"> in the calendar year in which he or she reaches the age of 70.</w:t>
      </w:r>
    </w:p>
    <w:p w:rsidR="003F0BC5" w:rsidRPr="00992199" w:rsidRDefault="003F0BC5" w:rsidP="003F0BC5">
      <w:pPr>
        <w:rPr>
          <w:szCs w:val="20"/>
        </w:rPr>
      </w:pPr>
      <w:r w:rsidRPr="00992199">
        <w:rPr>
          <w:szCs w:val="20"/>
        </w:rPr>
        <w:t xml:space="preserve">Where appropriate, the Board of Directors may propose to the </w:t>
      </w:r>
      <w:r w:rsidR="00AA3763">
        <w:rPr>
          <w:szCs w:val="20"/>
        </w:rPr>
        <w:t>general shareholders’ meeting</w:t>
      </w:r>
      <w:r w:rsidRPr="00992199">
        <w:rPr>
          <w:szCs w:val="20"/>
        </w:rPr>
        <w:t xml:space="preserve"> to allow an exception to the age limit and to extend the mandate of the director.</w:t>
      </w:r>
    </w:p>
    <w:p w:rsidR="003F0BC5" w:rsidRPr="00992199" w:rsidRDefault="003F0BC5" w:rsidP="00353B80">
      <w:pPr>
        <w:pStyle w:val="Firm5L4"/>
        <w:keepNext/>
        <w:rPr>
          <w:lang w:bidi="as-IN"/>
        </w:rPr>
      </w:pPr>
      <w:r w:rsidRPr="00992199">
        <w:rPr>
          <w:lang w:bidi="as-IN"/>
        </w:rPr>
        <w:t>The (Executive) Chairman</w:t>
      </w:r>
    </w:p>
    <w:p w:rsidR="003F0BC5" w:rsidRPr="00992199" w:rsidRDefault="003F635D" w:rsidP="003F0BC5">
      <w:pPr>
        <w:rPr>
          <w:szCs w:val="20"/>
        </w:rPr>
      </w:pPr>
      <w:r>
        <w:rPr>
          <w:szCs w:val="20"/>
        </w:rPr>
        <w:t>The Board of Directors has an executive Chairman, Deprez Invest NV, represented by Mr Hein Deprez.</w:t>
      </w:r>
      <w:r w:rsidR="003F0BC5" w:rsidRPr="00992199">
        <w:rPr>
          <w:szCs w:val="20"/>
        </w:rPr>
        <w:t xml:space="preserve">The Chairman of the Board leads the Board in fulfilling its duties and acts as an intermediary between the shareholders, the Board of Directors and the management of </w:t>
      </w:r>
      <w:r w:rsidR="002A1AB1">
        <w:rPr>
          <w:szCs w:val="20"/>
        </w:rPr>
        <w:t>Greenyard Foods</w:t>
      </w:r>
      <w:r w:rsidR="003F0BC5" w:rsidRPr="00992199">
        <w:rPr>
          <w:szCs w:val="20"/>
        </w:rPr>
        <w:t>. He also takes the lead in all initiatives that promote the effectiveness of the Board of Directors in application of the Corporate Governance Charter.</w:t>
      </w:r>
    </w:p>
    <w:p w:rsidR="0074141B" w:rsidRPr="00992199" w:rsidRDefault="0074141B" w:rsidP="0074141B">
      <w:pPr>
        <w:rPr>
          <w:szCs w:val="20"/>
        </w:rPr>
      </w:pPr>
      <w:r w:rsidRPr="00992199">
        <w:rPr>
          <w:szCs w:val="20"/>
        </w:rPr>
        <w:t>In the context of the meetings of the Board of Directors, the Chairman has the following responsibilities:</w:t>
      </w:r>
      <w:r>
        <w:rPr>
          <w:szCs w:val="20"/>
        </w:rPr>
        <w:t xml:space="preserve"> </w:t>
      </w:r>
    </w:p>
    <w:p w:rsidR="0074141B" w:rsidRPr="00992199" w:rsidRDefault="0074141B" w:rsidP="0074141B">
      <w:pPr>
        <w:pStyle w:val="BulletsL1"/>
        <w:rPr>
          <w:lang w:bidi="as-IN"/>
        </w:rPr>
      </w:pPr>
      <w:r w:rsidRPr="00992199">
        <w:rPr>
          <w:lang w:bidi="as-IN"/>
        </w:rPr>
        <w:t>He takes the lead in the meetings of the Board of Directors to ensure that the proceedings of the Board progress in the most constructive and efficient way possible, in an atmosphere of openness and respect.</w:t>
      </w:r>
    </w:p>
    <w:p w:rsidR="0074141B" w:rsidRPr="00992199" w:rsidRDefault="0074141B" w:rsidP="0074141B">
      <w:pPr>
        <w:pStyle w:val="BulletsL1"/>
        <w:rPr>
          <w:lang w:bidi="as-IN"/>
        </w:rPr>
      </w:pPr>
      <w:r w:rsidRPr="00992199">
        <w:rPr>
          <w:lang w:bidi="as-IN"/>
        </w:rPr>
        <w:t>He plans the meetings of the Board of Directors and is working together with de chairmen of the Committees to coordinate the calendar and the agenda of the meetings of the Committees.</w:t>
      </w:r>
    </w:p>
    <w:p w:rsidR="0074141B" w:rsidRPr="00992199" w:rsidRDefault="0074141B" w:rsidP="0074141B">
      <w:pPr>
        <w:pStyle w:val="BulletsL1"/>
        <w:rPr>
          <w:lang w:bidi="as-IN"/>
        </w:rPr>
      </w:pPr>
      <w:r w:rsidRPr="00992199">
        <w:rPr>
          <w:lang w:bidi="as-IN"/>
        </w:rPr>
        <w:t>He prepares, after consultation with the CEO, the agenda of the Board of Directors.</w:t>
      </w:r>
    </w:p>
    <w:p w:rsidR="0074141B" w:rsidRPr="00992199" w:rsidRDefault="0074141B" w:rsidP="0074141B">
      <w:pPr>
        <w:pStyle w:val="BulletsL1"/>
        <w:rPr>
          <w:lang w:bidi="as-IN"/>
        </w:rPr>
      </w:pPr>
      <w:r w:rsidRPr="00992199">
        <w:rPr>
          <w:lang w:bidi="as-IN"/>
        </w:rPr>
        <w:t>He ensures that written material is distributed among the directors well in advance so that they have sufficient time to go through these documents. Thereby ensuring that all directors receive the same information.</w:t>
      </w:r>
    </w:p>
    <w:p w:rsidR="0074141B" w:rsidRDefault="0074141B" w:rsidP="0074141B">
      <w:pPr>
        <w:pStyle w:val="BulletsL1"/>
        <w:rPr>
          <w:lang w:bidi="as-IN"/>
        </w:rPr>
      </w:pPr>
      <w:r w:rsidRPr="00992199">
        <w:rPr>
          <w:lang w:bidi="as-IN"/>
        </w:rPr>
        <w:t>He has the responsibility to appropriately introduce the new directors. Thereby they become familiar with the responsibilities imposed on them</w:t>
      </w:r>
      <w:r>
        <w:rPr>
          <w:lang w:bidi="as-IN"/>
        </w:rPr>
        <w:t>.</w:t>
      </w:r>
    </w:p>
    <w:p w:rsidR="003F0BC5" w:rsidRPr="00992199" w:rsidRDefault="003F0BC5" w:rsidP="0074141B">
      <w:pPr>
        <w:rPr>
          <w:szCs w:val="20"/>
        </w:rPr>
      </w:pPr>
      <w:r w:rsidRPr="00992199">
        <w:rPr>
          <w:szCs w:val="20"/>
        </w:rPr>
        <w:t xml:space="preserve">The Chairman leads the </w:t>
      </w:r>
      <w:r w:rsidR="00AA3763">
        <w:rPr>
          <w:szCs w:val="20"/>
        </w:rPr>
        <w:t>general shareholders’ meeting</w:t>
      </w:r>
      <w:r w:rsidRPr="00992199">
        <w:rPr>
          <w:szCs w:val="20"/>
        </w:rPr>
        <w:t>s.</w:t>
      </w:r>
    </w:p>
    <w:p w:rsidR="003F0BC5" w:rsidRPr="00992199" w:rsidRDefault="003F0BC5" w:rsidP="003F0BC5">
      <w:pPr>
        <w:rPr>
          <w:szCs w:val="20"/>
        </w:rPr>
      </w:pPr>
      <w:r w:rsidRPr="00992199">
        <w:rPr>
          <w:szCs w:val="20"/>
        </w:rPr>
        <w:t>The Chairman maintains close relationships with the CEO, providing support and advice, while fully respecting the executive responsibilities of the CEO.</w:t>
      </w:r>
    </w:p>
    <w:p w:rsidR="003F0BC5" w:rsidRPr="00992199" w:rsidRDefault="003F0BC5" w:rsidP="003F0BC5">
      <w:pPr>
        <w:rPr>
          <w:szCs w:val="20"/>
        </w:rPr>
      </w:pPr>
      <w:r w:rsidRPr="00992199">
        <w:rPr>
          <w:szCs w:val="20"/>
        </w:rPr>
        <w:t>The Chairman of the Board of Directors is also Chairman of the Strategic Committee, unless otherwise decided by the Executive Board by a two-thirds majority.</w:t>
      </w:r>
    </w:p>
    <w:p w:rsidR="00D47467" w:rsidRDefault="00D47467" w:rsidP="00D47467">
      <w:r w:rsidRPr="00D47467">
        <w:t xml:space="preserve">Upon completion of the Transactions, the Chairman will, in addition to </w:t>
      </w:r>
      <w:r w:rsidR="003F635D">
        <w:t>the customary</w:t>
      </w:r>
      <w:r w:rsidRPr="00D47467">
        <w:t xml:space="preserve"> role as </w:t>
      </w:r>
      <w:r w:rsidR="003F635D">
        <w:t>Chairman</w:t>
      </w:r>
      <w:r w:rsidRPr="00D47467">
        <w:t xml:space="preserve"> and in close collaboration with the CEO, take a much more active role as Executive Chairman. He will be fully </w:t>
      </w:r>
      <w:r w:rsidRPr="00D47467">
        <w:lastRenderedPageBreak/>
        <w:t xml:space="preserve">dedicated to </w:t>
      </w:r>
      <w:r>
        <w:t xml:space="preserve">the </w:t>
      </w:r>
      <w:r w:rsidRPr="00D47467">
        <w:t xml:space="preserve">follow-up on the strategic guidelines and input received from the Strategic Committee. As Executive Chairman he will take a prominent role in facilitating and steering the strategic reflection on the direction of the Combined Greenyard Foods Group and </w:t>
      </w:r>
      <w:r>
        <w:t xml:space="preserve">have an </w:t>
      </w:r>
      <w:r w:rsidRPr="00D47467">
        <w:t xml:space="preserve">active participation in the merger and acquisition strategy of the Combined Greenyard Foods Group and implementation thereof. The Company believes that it will be crucial to have an active Chairman </w:t>
      </w:r>
      <w:r>
        <w:t>who</w:t>
      </w:r>
      <w:r w:rsidRPr="00D47467">
        <w:t xml:space="preserve"> has profound experience in each of the Greenyard Foods Group, Univeg Group and Peatinvest Group in order to steer the strategic direction of the Combined Greenyard Foods Group. As founder and current Chairman of the groups and former CEO of Univeg and Greenyard Foods, the Company believes that Deprez Invest</w:t>
      </w:r>
      <w:r>
        <w:t xml:space="preserve"> NV</w:t>
      </w:r>
      <w:r w:rsidRPr="00D47467">
        <w:t>, represented by Mr Hein Deprez is in the best place to take up this rol.</w:t>
      </w:r>
    </w:p>
    <w:p w:rsidR="003F0BC5" w:rsidRPr="00992199" w:rsidRDefault="003F0BC5" w:rsidP="00D47467">
      <w:pPr>
        <w:pStyle w:val="Firm5L4"/>
        <w:keepNext/>
        <w:rPr>
          <w:lang w:bidi="as-IN"/>
        </w:rPr>
      </w:pPr>
      <w:r w:rsidRPr="00992199">
        <w:rPr>
          <w:lang w:bidi="as-IN"/>
        </w:rPr>
        <w:t>Independent directors</w:t>
      </w:r>
    </w:p>
    <w:p w:rsidR="003F0BC5" w:rsidRPr="00992199" w:rsidRDefault="003F0BC5" w:rsidP="003F0BC5">
      <w:pPr>
        <w:rPr>
          <w:szCs w:val="20"/>
          <w:lang w:bidi="as-IN"/>
        </w:rPr>
      </w:pPr>
      <w:r w:rsidRPr="00992199">
        <w:rPr>
          <w:szCs w:val="20"/>
          <w:lang w:bidi="as-IN"/>
        </w:rPr>
        <w:t>To be considered as independent, a director must at least meet the criteria set out in article 526</w:t>
      </w:r>
      <w:r w:rsidR="003F635D">
        <w:rPr>
          <w:szCs w:val="20"/>
          <w:lang w:bidi="as-IN"/>
        </w:rPr>
        <w:t>ter</w:t>
      </w:r>
      <w:r w:rsidRPr="00992199">
        <w:rPr>
          <w:szCs w:val="20"/>
          <w:lang w:bidi="as-IN"/>
        </w:rPr>
        <w:t xml:space="preserve"> </w:t>
      </w:r>
      <w:r w:rsidR="0055687C">
        <w:rPr>
          <w:szCs w:val="20"/>
          <w:lang w:bidi="as-IN"/>
        </w:rPr>
        <w:t>BCC</w:t>
      </w:r>
      <w:r w:rsidRPr="00992199">
        <w:rPr>
          <w:szCs w:val="20"/>
          <w:lang w:bidi="as-IN"/>
        </w:rPr>
        <w:t>. Directors who were appointed as independent directors before 8 January 2009, will remain independent until reappointed or until 1 April 2015.</w:t>
      </w:r>
    </w:p>
    <w:p w:rsidR="003F0BC5" w:rsidRPr="00992199" w:rsidRDefault="003F0BC5" w:rsidP="003F0BC5">
      <w:pPr>
        <w:rPr>
          <w:szCs w:val="20"/>
          <w:lang w:bidi="as-IN"/>
        </w:rPr>
      </w:pPr>
      <w:r w:rsidRPr="00992199">
        <w:rPr>
          <w:szCs w:val="20"/>
          <w:lang w:bidi="as-IN"/>
        </w:rPr>
        <w:t xml:space="preserve">If an independent director no longer meets these criteria and the criteria laid down in article 526ter </w:t>
      </w:r>
      <w:r w:rsidR="0055687C">
        <w:rPr>
          <w:szCs w:val="20"/>
          <w:lang w:bidi="as-IN"/>
        </w:rPr>
        <w:t>BCC</w:t>
      </w:r>
      <w:r w:rsidRPr="00992199">
        <w:rPr>
          <w:szCs w:val="20"/>
          <w:lang w:bidi="as-IN"/>
        </w:rPr>
        <w:t xml:space="preserve">, he </w:t>
      </w:r>
      <w:r w:rsidR="003F635D">
        <w:rPr>
          <w:szCs w:val="20"/>
          <w:lang w:bidi="as-IN"/>
        </w:rPr>
        <w:t>must</w:t>
      </w:r>
      <w:r w:rsidRPr="00992199">
        <w:rPr>
          <w:szCs w:val="20"/>
          <w:lang w:bidi="as-IN"/>
        </w:rPr>
        <w:t xml:space="preserve"> inform the Board of Directors promptly thereof.</w:t>
      </w:r>
    </w:p>
    <w:p w:rsidR="003F0BC5" w:rsidRPr="00992199" w:rsidRDefault="003F0BC5" w:rsidP="00353B80">
      <w:pPr>
        <w:pStyle w:val="Firm5L3"/>
        <w:keepNext/>
      </w:pPr>
      <w:r w:rsidRPr="00992199">
        <w:t>Information on the directors</w:t>
      </w:r>
      <w:r w:rsidR="0074141B">
        <w:t xml:space="preserve"> before and after completion of the Transactions</w:t>
      </w:r>
    </w:p>
    <w:p w:rsidR="0074141B" w:rsidRDefault="0074141B" w:rsidP="0074141B">
      <w:pPr>
        <w:pStyle w:val="Firm5L4"/>
        <w:keepNext/>
      </w:pPr>
      <w:r>
        <w:rPr>
          <w:lang w:bidi="as-IN"/>
        </w:rPr>
        <w:t>Information</w:t>
      </w:r>
      <w:r>
        <w:t xml:space="preserve"> on the directors before completion of the Transactions</w:t>
      </w:r>
    </w:p>
    <w:p w:rsidR="003F0BC5" w:rsidRPr="00992199" w:rsidRDefault="003F0BC5" w:rsidP="003F0BC5">
      <w:pPr>
        <w:rPr>
          <w:szCs w:val="20"/>
        </w:rPr>
      </w:pPr>
      <w:r w:rsidRPr="00992199">
        <w:rPr>
          <w:szCs w:val="20"/>
        </w:rPr>
        <w:t>On the date of this Prospectus, the Board of Directors is composed of:</w:t>
      </w:r>
    </w:p>
    <w:tbl>
      <w:tblPr>
        <w:tblW w:w="5000" w:type="pct"/>
        <w:tblLook w:val="0000" w:firstRow="0" w:lastRow="0" w:firstColumn="0" w:lastColumn="0" w:noHBand="0" w:noVBand="0"/>
      </w:tblPr>
      <w:tblGrid>
        <w:gridCol w:w="2276"/>
        <w:gridCol w:w="1422"/>
        <w:gridCol w:w="1422"/>
        <w:gridCol w:w="1707"/>
        <w:gridCol w:w="2418"/>
      </w:tblGrid>
      <w:tr w:rsidR="003F0BC5" w:rsidRPr="0011360E" w:rsidTr="00BB0F52">
        <w:trPr>
          <w:trHeight w:val="20"/>
        </w:trPr>
        <w:tc>
          <w:tcPr>
            <w:tcW w:w="1231" w:type="pct"/>
            <w:shd w:val="clear" w:color="auto" w:fill="auto"/>
            <w:vAlign w:val="bottom"/>
          </w:tcPr>
          <w:p w:rsidR="003F0BC5" w:rsidRPr="0011360E" w:rsidRDefault="003F0BC5" w:rsidP="00FE2AF5">
            <w:pPr>
              <w:pBdr>
                <w:bottom w:val="single" w:sz="4" w:space="1" w:color="auto"/>
              </w:pBdr>
              <w:spacing w:before="0" w:after="0"/>
              <w:jc w:val="left"/>
              <w:rPr>
                <w:b/>
                <w:bCs/>
                <w:sz w:val="18"/>
                <w:szCs w:val="18"/>
              </w:rPr>
            </w:pPr>
            <w:r w:rsidRPr="0011360E">
              <w:rPr>
                <w:b/>
                <w:bCs/>
                <w:sz w:val="18"/>
                <w:szCs w:val="18"/>
              </w:rPr>
              <w:t>Director’s name</w:t>
            </w:r>
          </w:p>
        </w:tc>
        <w:tc>
          <w:tcPr>
            <w:tcW w:w="769" w:type="pct"/>
            <w:shd w:val="clear" w:color="auto" w:fill="auto"/>
            <w:vAlign w:val="bottom"/>
          </w:tcPr>
          <w:p w:rsidR="003F0BC5" w:rsidRPr="0011360E" w:rsidRDefault="003F0BC5" w:rsidP="00FE2AF5">
            <w:pPr>
              <w:pBdr>
                <w:bottom w:val="single" w:sz="4" w:space="1" w:color="auto"/>
              </w:pBdr>
              <w:spacing w:before="0" w:after="0"/>
              <w:jc w:val="center"/>
              <w:rPr>
                <w:b/>
                <w:bCs/>
                <w:sz w:val="18"/>
                <w:szCs w:val="18"/>
              </w:rPr>
            </w:pPr>
            <w:r w:rsidRPr="0011360E">
              <w:rPr>
                <w:b/>
                <w:bCs/>
                <w:sz w:val="18"/>
                <w:szCs w:val="18"/>
              </w:rPr>
              <w:t>Date of</w:t>
            </w:r>
          </w:p>
          <w:p w:rsidR="003F0BC5" w:rsidRPr="0011360E" w:rsidRDefault="003F0BC5" w:rsidP="00FE2AF5">
            <w:pPr>
              <w:pBdr>
                <w:bottom w:val="single" w:sz="4" w:space="1" w:color="auto"/>
              </w:pBdr>
              <w:spacing w:before="0" w:after="0"/>
              <w:jc w:val="center"/>
              <w:rPr>
                <w:b/>
                <w:bCs/>
                <w:sz w:val="18"/>
                <w:szCs w:val="18"/>
              </w:rPr>
            </w:pPr>
            <w:r w:rsidRPr="0011360E">
              <w:rPr>
                <w:b/>
                <w:bCs/>
                <w:sz w:val="18"/>
                <w:szCs w:val="18"/>
              </w:rPr>
              <w:t>appointment</w:t>
            </w:r>
          </w:p>
        </w:tc>
        <w:tc>
          <w:tcPr>
            <w:tcW w:w="769" w:type="pct"/>
            <w:shd w:val="clear" w:color="auto" w:fill="auto"/>
            <w:vAlign w:val="bottom"/>
          </w:tcPr>
          <w:p w:rsidR="003F0BC5" w:rsidRPr="0011360E" w:rsidRDefault="003F0BC5" w:rsidP="00FE2AF5">
            <w:pPr>
              <w:pBdr>
                <w:bottom w:val="single" w:sz="4" w:space="1" w:color="auto"/>
              </w:pBdr>
              <w:spacing w:before="0" w:after="0"/>
              <w:jc w:val="center"/>
              <w:rPr>
                <w:b/>
                <w:bCs/>
                <w:sz w:val="18"/>
                <w:szCs w:val="18"/>
              </w:rPr>
            </w:pPr>
            <w:r w:rsidRPr="0011360E">
              <w:rPr>
                <w:b/>
                <w:bCs/>
                <w:sz w:val="18"/>
                <w:szCs w:val="18"/>
              </w:rPr>
              <w:t>Term of office ends on</w:t>
            </w:r>
          </w:p>
        </w:tc>
        <w:tc>
          <w:tcPr>
            <w:tcW w:w="923" w:type="pct"/>
            <w:shd w:val="clear" w:color="auto" w:fill="auto"/>
            <w:vAlign w:val="bottom"/>
          </w:tcPr>
          <w:p w:rsidR="003F0BC5" w:rsidRPr="0011360E" w:rsidRDefault="003F0BC5" w:rsidP="00FE2AF5">
            <w:pPr>
              <w:pBdr>
                <w:bottom w:val="single" w:sz="4" w:space="1" w:color="auto"/>
              </w:pBdr>
              <w:spacing w:before="0" w:after="0"/>
              <w:jc w:val="center"/>
              <w:rPr>
                <w:b/>
                <w:bCs/>
                <w:sz w:val="18"/>
                <w:szCs w:val="18"/>
              </w:rPr>
            </w:pPr>
            <w:r w:rsidRPr="0011360E">
              <w:rPr>
                <w:b/>
                <w:bCs/>
                <w:sz w:val="18"/>
                <w:szCs w:val="18"/>
              </w:rPr>
              <w:t xml:space="preserve">Executive / </w:t>
            </w:r>
            <w:r w:rsidRPr="0011360E">
              <w:rPr>
                <w:b/>
                <w:bCs/>
                <w:sz w:val="18"/>
                <w:szCs w:val="18"/>
              </w:rPr>
              <w:br/>
              <w:t>non-executive</w:t>
            </w:r>
          </w:p>
        </w:tc>
        <w:tc>
          <w:tcPr>
            <w:tcW w:w="1308" w:type="pct"/>
            <w:shd w:val="clear" w:color="auto" w:fill="auto"/>
            <w:vAlign w:val="bottom"/>
          </w:tcPr>
          <w:p w:rsidR="003F0BC5" w:rsidRPr="0011360E" w:rsidRDefault="003F0BC5" w:rsidP="00FE2AF5">
            <w:pPr>
              <w:pBdr>
                <w:bottom w:val="single" w:sz="4" w:space="1" w:color="auto"/>
              </w:pBdr>
              <w:spacing w:before="0" w:after="0"/>
              <w:jc w:val="center"/>
              <w:rPr>
                <w:b/>
                <w:bCs/>
                <w:sz w:val="18"/>
                <w:szCs w:val="18"/>
              </w:rPr>
            </w:pPr>
            <w:r w:rsidRPr="0011360E">
              <w:rPr>
                <w:b/>
                <w:bCs/>
                <w:sz w:val="18"/>
                <w:szCs w:val="18"/>
              </w:rPr>
              <w:t xml:space="preserve">Independent / </w:t>
            </w:r>
            <w:r w:rsidRPr="0011360E">
              <w:rPr>
                <w:b/>
                <w:bCs/>
                <w:sz w:val="18"/>
                <w:szCs w:val="18"/>
              </w:rPr>
              <w:br/>
              <w:t>non-independent</w:t>
            </w:r>
          </w:p>
          <w:p w:rsidR="003F0BC5" w:rsidRPr="0011360E" w:rsidRDefault="003F0BC5" w:rsidP="00FE2AF5">
            <w:pPr>
              <w:pBdr>
                <w:bottom w:val="single" w:sz="4" w:space="1" w:color="auto"/>
              </w:pBdr>
              <w:spacing w:before="0" w:after="0"/>
              <w:jc w:val="center"/>
              <w:rPr>
                <w:b/>
                <w:bCs/>
                <w:sz w:val="18"/>
                <w:szCs w:val="18"/>
              </w:rPr>
            </w:pPr>
            <w:r w:rsidRPr="0011360E">
              <w:rPr>
                <w:b/>
                <w:bCs/>
                <w:sz w:val="18"/>
                <w:szCs w:val="18"/>
              </w:rPr>
              <w:t>director</w:t>
            </w:r>
          </w:p>
        </w:tc>
      </w:tr>
      <w:tr w:rsidR="003F0BC5" w:rsidRPr="0011360E" w:rsidTr="00BB0F52">
        <w:trPr>
          <w:trHeight w:val="20"/>
        </w:trPr>
        <w:tc>
          <w:tcPr>
            <w:tcW w:w="1231" w:type="pct"/>
            <w:shd w:val="clear" w:color="auto" w:fill="auto"/>
            <w:vAlign w:val="bottom"/>
          </w:tcPr>
          <w:p w:rsidR="003F0BC5" w:rsidRPr="0011360E" w:rsidRDefault="003F0BC5" w:rsidP="00FE2AF5">
            <w:pPr>
              <w:spacing w:before="0" w:after="0"/>
              <w:jc w:val="left"/>
              <w:rPr>
                <w:sz w:val="18"/>
                <w:szCs w:val="18"/>
              </w:rPr>
            </w:pPr>
            <w:r w:rsidRPr="0011360E">
              <w:rPr>
                <w:sz w:val="18"/>
                <w:szCs w:val="18"/>
              </w:rPr>
              <w:t>NV Deprez Invest</w:t>
            </w:r>
            <w:r w:rsidRPr="0011360E">
              <w:rPr>
                <w:sz w:val="18"/>
                <w:szCs w:val="18"/>
              </w:rPr>
              <w:br/>
              <w:t xml:space="preserve">p.r. by </w:t>
            </w:r>
            <w:r w:rsidR="00334BBC" w:rsidRPr="0011360E">
              <w:rPr>
                <w:sz w:val="18"/>
                <w:szCs w:val="18"/>
              </w:rPr>
              <w:t>Mr Hein Deprez</w:t>
            </w:r>
          </w:p>
        </w:tc>
        <w:tc>
          <w:tcPr>
            <w:tcW w:w="769"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1/01/2010</w:t>
            </w:r>
          </w:p>
        </w:tc>
        <w:tc>
          <w:tcPr>
            <w:tcW w:w="769"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AGM 2015</w:t>
            </w:r>
          </w:p>
        </w:tc>
        <w:tc>
          <w:tcPr>
            <w:tcW w:w="923"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Non-executive</w:t>
            </w:r>
          </w:p>
        </w:tc>
        <w:tc>
          <w:tcPr>
            <w:tcW w:w="1308"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Non-independent director</w:t>
            </w:r>
          </w:p>
        </w:tc>
      </w:tr>
      <w:tr w:rsidR="003F0BC5" w:rsidRPr="0011360E" w:rsidTr="00BB0F52">
        <w:trPr>
          <w:trHeight w:val="20"/>
        </w:trPr>
        <w:tc>
          <w:tcPr>
            <w:tcW w:w="1231" w:type="pct"/>
            <w:shd w:val="clear" w:color="auto" w:fill="auto"/>
            <w:vAlign w:val="bottom"/>
          </w:tcPr>
          <w:p w:rsidR="003F0BC5" w:rsidRPr="0011360E" w:rsidRDefault="003F0BC5" w:rsidP="00FE2AF5">
            <w:pPr>
              <w:spacing w:before="0" w:after="0"/>
              <w:jc w:val="left"/>
              <w:rPr>
                <w:sz w:val="18"/>
                <w:szCs w:val="18"/>
              </w:rPr>
            </w:pPr>
            <w:r w:rsidRPr="0011360E">
              <w:rPr>
                <w:sz w:val="18"/>
                <w:szCs w:val="18"/>
              </w:rPr>
              <w:t>BVBA The Marble</w:t>
            </w:r>
            <w:r w:rsidRPr="0011360E">
              <w:rPr>
                <w:sz w:val="18"/>
                <w:szCs w:val="18"/>
              </w:rPr>
              <w:br/>
              <w:t>p.r. by Mr Luc Van Nevel</w:t>
            </w:r>
          </w:p>
        </w:tc>
        <w:tc>
          <w:tcPr>
            <w:tcW w:w="769"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1/07/2004</w:t>
            </w:r>
          </w:p>
        </w:tc>
        <w:tc>
          <w:tcPr>
            <w:tcW w:w="769"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AGM 2015</w:t>
            </w:r>
          </w:p>
        </w:tc>
        <w:tc>
          <w:tcPr>
            <w:tcW w:w="923"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Non-executive</w:t>
            </w:r>
          </w:p>
        </w:tc>
        <w:tc>
          <w:tcPr>
            <w:tcW w:w="1308"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Independent director</w:t>
            </w:r>
          </w:p>
        </w:tc>
      </w:tr>
      <w:tr w:rsidR="003F0BC5" w:rsidRPr="0011360E" w:rsidTr="00BB0F52">
        <w:trPr>
          <w:trHeight w:val="20"/>
        </w:trPr>
        <w:tc>
          <w:tcPr>
            <w:tcW w:w="1231" w:type="pct"/>
            <w:shd w:val="clear" w:color="auto" w:fill="auto"/>
            <w:vAlign w:val="bottom"/>
          </w:tcPr>
          <w:p w:rsidR="003F0BC5" w:rsidRPr="0011360E" w:rsidRDefault="003F0BC5" w:rsidP="00FE2AF5">
            <w:pPr>
              <w:spacing w:before="0" w:after="0"/>
              <w:jc w:val="left"/>
              <w:rPr>
                <w:sz w:val="18"/>
                <w:szCs w:val="18"/>
              </w:rPr>
            </w:pPr>
            <w:r w:rsidRPr="0011360E">
              <w:rPr>
                <w:sz w:val="18"/>
                <w:szCs w:val="18"/>
              </w:rPr>
              <w:t>[Frank Donck]</w:t>
            </w:r>
          </w:p>
        </w:tc>
        <w:tc>
          <w:tcPr>
            <w:tcW w:w="769"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20/05/2011</w:t>
            </w:r>
          </w:p>
        </w:tc>
        <w:tc>
          <w:tcPr>
            <w:tcW w:w="769" w:type="pct"/>
            <w:shd w:val="clear" w:color="auto" w:fill="auto"/>
            <w:vAlign w:val="bottom"/>
          </w:tcPr>
          <w:p w:rsidR="003F0BC5" w:rsidRPr="0011360E" w:rsidRDefault="008D49ED" w:rsidP="00FE2AF5">
            <w:pPr>
              <w:spacing w:before="0" w:after="0"/>
              <w:jc w:val="center"/>
              <w:rPr>
                <w:sz w:val="18"/>
                <w:szCs w:val="18"/>
                <w:vertAlign w:val="superscript"/>
              </w:rPr>
            </w:pPr>
            <w:r w:rsidRPr="0011360E">
              <w:rPr>
                <w:sz w:val="18"/>
                <w:szCs w:val="18"/>
              </w:rPr>
              <w:t>15 June 2015</w:t>
            </w:r>
            <w:r w:rsidRPr="0011360E">
              <w:rPr>
                <w:sz w:val="18"/>
                <w:szCs w:val="18"/>
                <w:vertAlign w:val="superscript"/>
              </w:rPr>
              <w:t>*</w:t>
            </w:r>
          </w:p>
        </w:tc>
        <w:tc>
          <w:tcPr>
            <w:tcW w:w="923"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Non-executive</w:t>
            </w:r>
          </w:p>
        </w:tc>
        <w:tc>
          <w:tcPr>
            <w:tcW w:w="1308"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Independent director</w:t>
            </w:r>
          </w:p>
        </w:tc>
      </w:tr>
      <w:tr w:rsidR="003F0BC5" w:rsidRPr="0011360E" w:rsidTr="00BB0F52">
        <w:trPr>
          <w:trHeight w:val="20"/>
        </w:trPr>
        <w:tc>
          <w:tcPr>
            <w:tcW w:w="1231" w:type="pct"/>
            <w:shd w:val="clear" w:color="auto" w:fill="auto"/>
            <w:vAlign w:val="bottom"/>
          </w:tcPr>
          <w:p w:rsidR="003F0BC5" w:rsidRPr="0011360E" w:rsidRDefault="003F0BC5" w:rsidP="00FE2AF5">
            <w:pPr>
              <w:spacing w:before="0" w:after="0"/>
              <w:jc w:val="left"/>
              <w:rPr>
                <w:sz w:val="18"/>
                <w:szCs w:val="18"/>
              </w:rPr>
            </w:pPr>
            <w:r w:rsidRPr="0011360E">
              <w:rPr>
                <w:sz w:val="18"/>
                <w:szCs w:val="18"/>
              </w:rPr>
              <w:t>BVBA Ardiego</w:t>
            </w:r>
            <w:r w:rsidRPr="0011360E">
              <w:rPr>
                <w:sz w:val="18"/>
                <w:szCs w:val="18"/>
              </w:rPr>
              <w:br/>
              <w:t>p.r. by Mr Arthur Goethals</w:t>
            </w:r>
          </w:p>
        </w:tc>
        <w:tc>
          <w:tcPr>
            <w:tcW w:w="769"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20/05/2011</w:t>
            </w:r>
          </w:p>
        </w:tc>
        <w:tc>
          <w:tcPr>
            <w:tcW w:w="769"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AGM 2015</w:t>
            </w:r>
          </w:p>
        </w:tc>
        <w:tc>
          <w:tcPr>
            <w:tcW w:w="923"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Non-executive</w:t>
            </w:r>
          </w:p>
        </w:tc>
        <w:tc>
          <w:tcPr>
            <w:tcW w:w="1308"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Independent director</w:t>
            </w:r>
          </w:p>
        </w:tc>
      </w:tr>
      <w:tr w:rsidR="003F0BC5" w:rsidRPr="0011360E" w:rsidTr="00BB0F52">
        <w:trPr>
          <w:trHeight w:val="20"/>
        </w:trPr>
        <w:tc>
          <w:tcPr>
            <w:tcW w:w="1231" w:type="pct"/>
            <w:shd w:val="clear" w:color="auto" w:fill="auto"/>
            <w:vAlign w:val="bottom"/>
          </w:tcPr>
          <w:p w:rsidR="003F0BC5" w:rsidRPr="0011360E" w:rsidRDefault="003F0BC5" w:rsidP="00A07615">
            <w:pPr>
              <w:spacing w:before="0" w:after="0"/>
              <w:jc w:val="left"/>
              <w:rPr>
                <w:sz w:val="18"/>
                <w:szCs w:val="18"/>
              </w:rPr>
            </w:pPr>
            <w:r w:rsidRPr="0011360E">
              <w:rPr>
                <w:sz w:val="18"/>
                <w:szCs w:val="18"/>
              </w:rPr>
              <w:t>BVBA Management Deprez</w:t>
            </w:r>
            <w:r w:rsidRPr="0011360E">
              <w:rPr>
                <w:sz w:val="18"/>
                <w:szCs w:val="18"/>
              </w:rPr>
              <w:br/>
              <w:t>p.r. by M</w:t>
            </w:r>
            <w:r w:rsidR="00A07615" w:rsidRPr="0011360E">
              <w:rPr>
                <w:sz w:val="18"/>
                <w:szCs w:val="18"/>
              </w:rPr>
              <w:t>s</w:t>
            </w:r>
            <w:r w:rsidRPr="0011360E">
              <w:rPr>
                <w:sz w:val="18"/>
                <w:szCs w:val="18"/>
              </w:rPr>
              <w:t xml:space="preserve"> Veerle Deprez</w:t>
            </w:r>
          </w:p>
        </w:tc>
        <w:tc>
          <w:tcPr>
            <w:tcW w:w="769"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9/11/2005</w:t>
            </w:r>
          </w:p>
        </w:tc>
        <w:tc>
          <w:tcPr>
            <w:tcW w:w="769"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AGM 2015</w:t>
            </w:r>
          </w:p>
        </w:tc>
        <w:tc>
          <w:tcPr>
            <w:tcW w:w="923"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Non-executive</w:t>
            </w:r>
          </w:p>
        </w:tc>
        <w:tc>
          <w:tcPr>
            <w:tcW w:w="1308"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Non-independent director</w:t>
            </w:r>
          </w:p>
        </w:tc>
      </w:tr>
      <w:tr w:rsidR="003F0BC5" w:rsidRPr="0011360E" w:rsidTr="00BB0F52">
        <w:trPr>
          <w:trHeight w:val="20"/>
        </w:trPr>
        <w:tc>
          <w:tcPr>
            <w:tcW w:w="1231" w:type="pct"/>
            <w:shd w:val="clear" w:color="auto" w:fill="auto"/>
            <w:vAlign w:val="bottom"/>
          </w:tcPr>
          <w:p w:rsidR="003F0BC5" w:rsidRPr="0011360E" w:rsidRDefault="003F0BC5" w:rsidP="00FE2AF5">
            <w:pPr>
              <w:spacing w:before="0" w:after="0"/>
              <w:jc w:val="left"/>
              <w:rPr>
                <w:sz w:val="18"/>
                <w:szCs w:val="18"/>
              </w:rPr>
            </w:pPr>
            <w:r w:rsidRPr="0011360E">
              <w:rPr>
                <w:sz w:val="18"/>
                <w:szCs w:val="18"/>
              </w:rPr>
              <w:t>BVBA Bonem</w:t>
            </w:r>
            <w:r w:rsidRPr="0011360E">
              <w:rPr>
                <w:sz w:val="18"/>
                <w:szCs w:val="18"/>
              </w:rPr>
              <w:br/>
              <w:t>p.r. by Mr</w:t>
            </w:r>
            <w:r w:rsidR="00F13D58" w:rsidRPr="0011360E">
              <w:rPr>
                <w:sz w:val="18"/>
                <w:szCs w:val="18"/>
              </w:rPr>
              <w:t xml:space="preserve"> </w:t>
            </w:r>
            <w:r w:rsidRPr="0011360E">
              <w:rPr>
                <w:sz w:val="18"/>
                <w:szCs w:val="18"/>
              </w:rPr>
              <w:t>Marc Ooms</w:t>
            </w:r>
          </w:p>
        </w:tc>
        <w:tc>
          <w:tcPr>
            <w:tcW w:w="769"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9/11/2007</w:t>
            </w:r>
          </w:p>
        </w:tc>
        <w:tc>
          <w:tcPr>
            <w:tcW w:w="769"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AGM 2015</w:t>
            </w:r>
          </w:p>
        </w:tc>
        <w:tc>
          <w:tcPr>
            <w:tcW w:w="923"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Non-executive</w:t>
            </w:r>
          </w:p>
        </w:tc>
        <w:tc>
          <w:tcPr>
            <w:tcW w:w="1308"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Non-independent director</w:t>
            </w:r>
          </w:p>
        </w:tc>
      </w:tr>
      <w:tr w:rsidR="003F0BC5" w:rsidRPr="0011360E" w:rsidTr="00BB0F52">
        <w:trPr>
          <w:trHeight w:val="20"/>
        </w:trPr>
        <w:tc>
          <w:tcPr>
            <w:tcW w:w="1231" w:type="pct"/>
            <w:shd w:val="clear" w:color="auto" w:fill="auto"/>
            <w:vAlign w:val="bottom"/>
          </w:tcPr>
          <w:p w:rsidR="003F0BC5" w:rsidRPr="0011360E" w:rsidRDefault="003F0BC5" w:rsidP="00FE2AF5">
            <w:pPr>
              <w:spacing w:before="0" w:after="0"/>
              <w:jc w:val="left"/>
              <w:rPr>
                <w:sz w:val="18"/>
                <w:szCs w:val="18"/>
              </w:rPr>
            </w:pPr>
            <w:r w:rsidRPr="0011360E">
              <w:rPr>
                <w:sz w:val="18"/>
                <w:szCs w:val="18"/>
              </w:rPr>
              <w:t>Peter Maenhout</w:t>
            </w:r>
          </w:p>
        </w:tc>
        <w:tc>
          <w:tcPr>
            <w:tcW w:w="769"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15/02/2012</w:t>
            </w:r>
          </w:p>
        </w:tc>
        <w:tc>
          <w:tcPr>
            <w:tcW w:w="769"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AGM 2015</w:t>
            </w:r>
          </w:p>
        </w:tc>
        <w:tc>
          <w:tcPr>
            <w:tcW w:w="923"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Non-executive</w:t>
            </w:r>
          </w:p>
        </w:tc>
        <w:tc>
          <w:tcPr>
            <w:tcW w:w="1308"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Non-independent director</w:t>
            </w:r>
          </w:p>
        </w:tc>
      </w:tr>
      <w:tr w:rsidR="003F0BC5" w:rsidRPr="0011360E" w:rsidTr="00BB0F52">
        <w:trPr>
          <w:trHeight w:val="20"/>
        </w:trPr>
        <w:tc>
          <w:tcPr>
            <w:tcW w:w="1231" w:type="pct"/>
            <w:shd w:val="clear" w:color="auto" w:fill="auto"/>
            <w:vAlign w:val="bottom"/>
          </w:tcPr>
          <w:p w:rsidR="003F0BC5" w:rsidRPr="0011360E" w:rsidRDefault="003F0BC5" w:rsidP="00FE2AF5">
            <w:pPr>
              <w:spacing w:before="0" w:after="0"/>
              <w:jc w:val="left"/>
              <w:rPr>
                <w:sz w:val="18"/>
                <w:szCs w:val="18"/>
              </w:rPr>
            </w:pPr>
            <w:r w:rsidRPr="0011360E">
              <w:rPr>
                <w:sz w:val="18"/>
                <w:szCs w:val="18"/>
              </w:rPr>
              <w:t>Thomas Dewever</w:t>
            </w:r>
          </w:p>
        </w:tc>
        <w:tc>
          <w:tcPr>
            <w:tcW w:w="769"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24/01/2014</w:t>
            </w:r>
          </w:p>
        </w:tc>
        <w:tc>
          <w:tcPr>
            <w:tcW w:w="769"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AGM 2015</w:t>
            </w:r>
          </w:p>
        </w:tc>
        <w:tc>
          <w:tcPr>
            <w:tcW w:w="923"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Non-executive</w:t>
            </w:r>
          </w:p>
        </w:tc>
        <w:tc>
          <w:tcPr>
            <w:tcW w:w="1308"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Non-independent director</w:t>
            </w:r>
          </w:p>
        </w:tc>
      </w:tr>
      <w:tr w:rsidR="003F0BC5" w:rsidRPr="0011360E" w:rsidTr="00BB0F52">
        <w:trPr>
          <w:trHeight w:val="20"/>
        </w:trPr>
        <w:tc>
          <w:tcPr>
            <w:tcW w:w="1231" w:type="pct"/>
            <w:shd w:val="clear" w:color="auto" w:fill="auto"/>
            <w:vAlign w:val="bottom"/>
          </w:tcPr>
          <w:p w:rsidR="003F0BC5" w:rsidRPr="0011360E" w:rsidRDefault="003F0BC5" w:rsidP="00FE2AF5">
            <w:pPr>
              <w:spacing w:before="0" w:after="0"/>
              <w:jc w:val="left"/>
              <w:rPr>
                <w:sz w:val="18"/>
                <w:szCs w:val="18"/>
              </w:rPr>
            </w:pPr>
            <w:r w:rsidRPr="0011360E">
              <w:rPr>
                <w:sz w:val="18"/>
                <w:szCs w:val="18"/>
              </w:rPr>
              <w:t>Jozef Marc Rosiers</w:t>
            </w:r>
          </w:p>
        </w:tc>
        <w:tc>
          <w:tcPr>
            <w:tcW w:w="769"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2/12/2011</w:t>
            </w:r>
          </w:p>
        </w:tc>
        <w:tc>
          <w:tcPr>
            <w:tcW w:w="769"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AGM 2015</w:t>
            </w:r>
          </w:p>
        </w:tc>
        <w:tc>
          <w:tcPr>
            <w:tcW w:w="923"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Non-executive</w:t>
            </w:r>
          </w:p>
        </w:tc>
        <w:tc>
          <w:tcPr>
            <w:tcW w:w="1308"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Non-independent director</w:t>
            </w:r>
          </w:p>
        </w:tc>
      </w:tr>
      <w:tr w:rsidR="003F0BC5" w:rsidRPr="0011360E" w:rsidTr="00BB0F52">
        <w:trPr>
          <w:trHeight w:val="20"/>
        </w:trPr>
        <w:tc>
          <w:tcPr>
            <w:tcW w:w="1231" w:type="pct"/>
            <w:shd w:val="clear" w:color="auto" w:fill="auto"/>
            <w:vAlign w:val="bottom"/>
          </w:tcPr>
          <w:p w:rsidR="003F0BC5" w:rsidRPr="0011360E" w:rsidRDefault="003F0BC5" w:rsidP="00FE2AF5">
            <w:pPr>
              <w:spacing w:before="0" w:after="0"/>
              <w:jc w:val="left"/>
              <w:rPr>
                <w:sz w:val="18"/>
                <w:szCs w:val="18"/>
              </w:rPr>
            </w:pPr>
            <w:r w:rsidRPr="0011360E">
              <w:rPr>
                <w:sz w:val="18"/>
                <w:szCs w:val="18"/>
              </w:rPr>
              <w:t>BVBA Mavac</w:t>
            </w:r>
            <w:r w:rsidRPr="0011360E">
              <w:rPr>
                <w:sz w:val="18"/>
                <w:szCs w:val="18"/>
              </w:rPr>
              <w:br/>
              <w:t>p.r. by</w:t>
            </w:r>
            <w:r w:rsidR="00A07615" w:rsidRPr="0011360E">
              <w:rPr>
                <w:sz w:val="18"/>
                <w:szCs w:val="18"/>
              </w:rPr>
              <w:t xml:space="preserve"> Ms</w:t>
            </w:r>
            <w:r w:rsidRPr="0011360E">
              <w:rPr>
                <w:sz w:val="18"/>
                <w:szCs w:val="18"/>
              </w:rPr>
              <w:t xml:space="preserve"> Marleen Vaesen</w:t>
            </w:r>
          </w:p>
        </w:tc>
        <w:tc>
          <w:tcPr>
            <w:tcW w:w="769"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30/08/2013</w:t>
            </w:r>
          </w:p>
        </w:tc>
        <w:tc>
          <w:tcPr>
            <w:tcW w:w="769"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AGM 2015</w:t>
            </w:r>
          </w:p>
        </w:tc>
        <w:tc>
          <w:tcPr>
            <w:tcW w:w="923"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Executive</w:t>
            </w:r>
          </w:p>
          <w:p w:rsidR="003F0BC5" w:rsidRPr="0011360E" w:rsidRDefault="003F0BC5" w:rsidP="00FE2AF5">
            <w:pPr>
              <w:spacing w:before="0" w:after="0"/>
              <w:jc w:val="center"/>
              <w:rPr>
                <w:sz w:val="18"/>
                <w:szCs w:val="18"/>
              </w:rPr>
            </w:pPr>
            <w:r w:rsidRPr="0011360E">
              <w:rPr>
                <w:sz w:val="18"/>
                <w:szCs w:val="18"/>
              </w:rPr>
              <w:t>(CEO)</w:t>
            </w:r>
          </w:p>
        </w:tc>
        <w:tc>
          <w:tcPr>
            <w:tcW w:w="1308"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Non-independent director</w:t>
            </w:r>
          </w:p>
        </w:tc>
      </w:tr>
      <w:tr w:rsidR="003F0BC5" w:rsidRPr="0011360E" w:rsidTr="00BB0F52">
        <w:trPr>
          <w:trHeight w:val="20"/>
        </w:trPr>
        <w:tc>
          <w:tcPr>
            <w:tcW w:w="1231" w:type="pct"/>
            <w:shd w:val="clear" w:color="auto" w:fill="auto"/>
            <w:vAlign w:val="bottom"/>
          </w:tcPr>
          <w:p w:rsidR="003F0BC5" w:rsidRPr="0011360E" w:rsidRDefault="003F0BC5" w:rsidP="00FE2AF5">
            <w:pPr>
              <w:spacing w:before="0" w:after="0"/>
              <w:jc w:val="left"/>
              <w:rPr>
                <w:sz w:val="18"/>
                <w:szCs w:val="18"/>
              </w:rPr>
            </w:pPr>
            <w:r w:rsidRPr="0011360E">
              <w:rPr>
                <w:sz w:val="18"/>
                <w:szCs w:val="18"/>
              </w:rPr>
              <w:t>Hilde Laga</w:t>
            </w:r>
            <w:r w:rsidR="003F635D">
              <w:rPr>
                <w:sz w:val="18"/>
                <w:szCs w:val="18"/>
              </w:rPr>
              <w:t>**</w:t>
            </w:r>
          </w:p>
        </w:tc>
        <w:tc>
          <w:tcPr>
            <w:tcW w:w="769"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15/04/2014</w:t>
            </w:r>
          </w:p>
        </w:tc>
        <w:tc>
          <w:tcPr>
            <w:tcW w:w="769"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AGM 2015</w:t>
            </w:r>
          </w:p>
        </w:tc>
        <w:tc>
          <w:tcPr>
            <w:tcW w:w="923"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Non-executive</w:t>
            </w:r>
          </w:p>
        </w:tc>
        <w:tc>
          <w:tcPr>
            <w:tcW w:w="1308" w:type="pct"/>
            <w:shd w:val="clear" w:color="auto" w:fill="auto"/>
            <w:vAlign w:val="bottom"/>
          </w:tcPr>
          <w:p w:rsidR="003F0BC5" w:rsidRPr="0011360E" w:rsidRDefault="003F0BC5" w:rsidP="00FE2AF5">
            <w:pPr>
              <w:spacing w:before="0" w:after="0"/>
              <w:jc w:val="center"/>
              <w:rPr>
                <w:sz w:val="18"/>
                <w:szCs w:val="18"/>
              </w:rPr>
            </w:pPr>
            <w:r w:rsidRPr="0011360E">
              <w:rPr>
                <w:sz w:val="18"/>
                <w:szCs w:val="18"/>
              </w:rPr>
              <w:t>Independent director</w:t>
            </w:r>
          </w:p>
        </w:tc>
      </w:tr>
    </w:tbl>
    <w:p w:rsidR="003F0BC5" w:rsidRDefault="00E479F5" w:rsidP="00FE2AF5">
      <w:pPr>
        <w:rPr>
          <w:i/>
        </w:rPr>
      </w:pPr>
      <w:r w:rsidRPr="00E479F5">
        <w:rPr>
          <w:i/>
        </w:rPr>
        <w:t>*Frank Donck has resigned with effect as of 15 June 2015. The publication of his resignation is pending.</w:t>
      </w:r>
    </w:p>
    <w:p w:rsidR="003F635D" w:rsidRPr="00E479F5" w:rsidRDefault="003F635D" w:rsidP="003F635D">
      <w:pPr>
        <w:rPr>
          <w:i/>
        </w:rPr>
      </w:pPr>
      <w:r>
        <w:rPr>
          <w:i/>
        </w:rPr>
        <w:t>** Independent director since 15 April 2015.</w:t>
      </w:r>
      <w:r w:rsidR="00C14169">
        <w:rPr>
          <w:i/>
        </w:rPr>
        <w:t xml:space="preserve"> </w:t>
      </w:r>
      <w:r>
        <w:rPr>
          <w:i/>
        </w:rPr>
        <w:t>The co-optation will be submitted for approval to the extraordinary general shareholders’ meeting of the Company on [19] June 2015.</w:t>
      </w:r>
    </w:p>
    <w:p w:rsidR="003F0BC5" w:rsidRPr="00992199" w:rsidRDefault="003F0BC5" w:rsidP="00FE2AF5">
      <w:r w:rsidRPr="00992199">
        <w:t>A brief overview of the relevant experience of the directors is set out below.</w:t>
      </w:r>
    </w:p>
    <w:p w:rsidR="003F0BC5" w:rsidRPr="00FE2AF5" w:rsidRDefault="00007CAE" w:rsidP="00FE2AF5">
      <w:pPr>
        <w:rPr>
          <w:i/>
        </w:rPr>
      </w:pPr>
      <w:r>
        <w:rPr>
          <w:i/>
        </w:rPr>
        <w:t>[</w:t>
      </w:r>
      <w:r w:rsidR="003F0BC5" w:rsidRPr="00FE2AF5">
        <w:rPr>
          <w:i/>
        </w:rPr>
        <w:t xml:space="preserve">Deprez Invest NV, Chairman, represented by </w:t>
      </w:r>
      <w:r w:rsidR="00334BBC">
        <w:rPr>
          <w:i/>
        </w:rPr>
        <w:t>Mr Hein Deprez</w:t>
      </w:r>
      <w:r w:rsidR="003F0BC5" w:rsidRPr="00FE2AF5">
        <w:rPr>
          <w:i/>
        </w:rPr>
        <w:t>, permanent representative Non-executive, non-independent director, representative of the majority shareholder (age 54)</w:t>
      </w:r>
    </w:p>
    <w:p w:rsidR="003F0BC5" w:rsidRPr="00992199" w:rsidRDefault="00334BBC" w:rsidP="003F0BC5">
      <w:pPr>
        <w:rPr>
          <w:szCs w:val="20"/>
        </w:rPr>
      </w:pPr>
      <w:r>
        <w:rPr>
          <w:szCs w:val="20"/>
        </w:rPr>
        <w:t>Mr Hein Deprez</w:t>
      </w:r>
      <w:r w:rsidR="003F0BC5" w:rsidRPr="00992199">
        <w:rPr>
          <w:szCs w:val="20"/>
        </w:rPr>
        <w:t xml:space="preserve"> is - via Deprez Holding, Food Invest International and </w:t>
      </w:r>
      <w:r w:rsidR="003A6D08">
        <w:rPr>
          <w:szCs w:val="20"/>
        </w:rPr>
        <w:t>2D NV</w:t>
      </w:r>
      <w:r w:rsidR="003F0BC5" w:rsidRPr="00992199">
        <w:rPr>
          <w:szCs w:val="20"/>
        </w:rPr>
        <w:t xml:space="preserve"> – the controlling shareholder of </w:t>
      </w:r>
      <w:r w:rsidR="002A1AB1">
        <w:rPr>
          <w:szCs w:val="20"/>
        </w:rPr>
        <w:t>Greenyard Foods</w:t>
      </w:r>
      <w:r w:rsidR="003F0BC5" w:rsidRPr="00992199">
        <w:rPr>
          <w:szCs w:val="20"/>
        </w:rPr>
        <w:t xml:space="preserve">. </w:t>
      </w:r>
      <w:r>
        <w:rPr>
          <w:szCs w:val="20"/>
        </w:rPr>
        <w:t>Mr Hein Deprez</w:t>
      </w:r>
      <w:r w:rsidR="003F0BC5" w:rsidRPr="00992199">
        <w:rPr>
          <w:szCs w:val="20"/>
        </w:rPr>
        <w:t xml:space="preserve"> is also the controlling shareholder of the Univeg Group, where he holds the position of Executive Chairman. On 24 January 2014 </w:t>
      </w:r>
      <w:r>
        <w:rPr>
          <w:szCs w:val="20"/>
        </w:rPr>
        <w:t>Mr Hein Deprez</w:t>
      </w:r>
      <w:r w:rsidR="003F0BC5" w:rsidRPr="00992199">
        <w:rPr>
          <w:szCs w:val="20"/>
        </w:rPr>
        <w:t xml:space="preserve"> was appointed as Chairman of the Board of Directors. Upon completion of the Transactions, </w:t>
      </w:r>
      <w:r>
        <w:rPr>
          <w:szCs w:val="20"/>
        </w:rPr>
        <w:t>Mr Hein Deprez</w:t>
      </w:r>
      <w:r w:rsidR="003F0BC5" w:rsidRPr="00992199">
        <w:rPr>
          <w:szCs w:val="20"/>
        </w:rPr>
        <w:t xml:space="preserve"> will take the role of Executive Chairman (see </w:t>
      </w:r>
      <w:r w:rsidR="00AA3763">
        <w:rPr>
          <w:szCs w:val="20"/>
        </w:rPr>
        <w:t>Section 2.2.2.2</w:t>
      </w:r>
      <w:r w:rsidR="003F0BC5" w:rsidRPr="00992199">
        <w:rPr>
          <w:szCs w:val="20"/>
        </w:rPr>
        <w:t xml:space="preserve"> above).</w:t>
      </w:r>
    </w:p>
    <w:p w:rsidR="003F0BC5" w:rsidRPr="00992199" w:rsidRDefault="00334BBC" w:rsidP="003F0BC5">
      <w:pPr>
        <w:rPr>
          <w:szCs w:val="20"/>
        </w:rPr>
      </w:pPr>
      <w:r>
        <w:rPr>
          <w:szCs w:val="20"/>
        </w:rPr>
        <w:t>Mr Hein Deprez</w:t>
      </w:r>
      <w:r w:rsidR="003F0BC5" w:rsidRPr="00992199">
        <w:rPr>
          <w:szCs w:val="20"/>
        </w:rPr>
        <w:t xml:space="preserve"> is also a member of the board of directors of various other companies, including </w:t>
      </w:r>
      <w:r w:rsidR="003A6D08">
        <w:rPr>
          <w:szCs w:val="20"/>
        </w:rPr>
        <w:t>2D NV</w:t>
      </w:r>
      <w:r w:rsidR="003F0BC5" w:rsidRPr="00992199">
        <w:rPr>
          <w:szCs w:val="20"/>
        </w:rPr>
        <w:t xml:space="preserve"> (as permanent representative of Deprez Invest NV), </w:t>
      </w:r>
      <w:r w:rsidR="0082672E">
        <w:rPr>
          <w:szCs w:val="20"/>
        </w:rPr>
        <w:t>Univeg</w:t>
      </w:r>
      <w:r w:rsidR="003F0BC5" w:rsidRPr="00992199">
        <w:rPr>
          <w:szCs w:val="20"/>
        </w:rPr>
        <w:t xml:space="preserve"> (as permanent representative of Deprez Invest NV), DWB (as permanent representative of Deprez Invest NV), Reuver NV (as permanent representative of Food Invest International), Peatinvest (as permanent representative of Deprez Invest NV), Deprez Immo NV (as permanent representative of Deprez Invest NV), Peltracom NV (as permanent representative of Deprez Invest NV), Agrofino Transport NV (as permanent representative of Deprez Invest NV), Norland NV (as permanent </w:t>
      </w:r>
      <w:r w:rsidR="003F0BC5" w:rsidRPr="00992199">
        <w:rPr>
          <w:szCs w:val="20"/>
        </w:rPr>
        <w:lastRenderedPageBreak/>
        <w:t>representative of Deprez Invest NV), Food Invest International (as permanent representative of Deprez Invest NV).</w:t>
      </w:r>
    </w:p>
    <w:p w:rsidR="003F0BC5" w:rsidRPr="00FE2AF5" w:rsidRDefault="003F0BC5" w:rsidP="00FE2AF5">
      <w:pPr>
        <w:rPr>
          <w:i/>
        </w:rPr>
      </w:pPr>
      <w:r w:rsidRPr="00FE2AF5">
        <w:rPr>
          <w:i/>
        </w:rPr>
        <w:t>The Marble BVBA, independent director, represented by Luc Van Nevel, permanent representative (age 68) - Non-executive, independent director</w:t>
      </w:r>
    </w:p>
    <w:p w:rsidR="003F0BC5" w:rsidRPr="00992199" w:rsidRDefault="003F0BC5" w:rsidP="003F0BC5">
      <w:pPr>
        <w:rPr>
          <w:szCs w:val="20"/>
        </w:rPr>
      </w:pPr>
      <w:r w:rsidRPr="00992199">
        <w:rPr>
          <w:szCs w:val="20"/>
        </w:rPr>
        <w:t xml:space="preserve">Luc Van Nevel was chairman of the Board of Directors of </w:t>
      </w:r>
      <w:r w:rsidR="002A1AB1">
        <w:rPr>
          <w:szCs w:val="20"/>
        </w:rPr>
        <w:t>Greenyard Foods</w:t>
      </w:r>
      <w:r w:rsidRPr="00992199">
        <w:rPr>
          <w:szCs w:val="20"/>
        </w:rPr>
        <w:t xml:space="preserve"> from 2004 through January 2014, after which he continued to serve as an independent director.</w:t>
      </w:r>
    </w:p>
    <w:p w:rsidR="003F0BC5" w:rsidRPr="00992199" w:rsidRDefault="003F0BC5" w:rsidP="003F0BC5">
      <w:pPr>
        <w:rPr>
          <w:szCs w:val="20"/>
        </w:rPr>
      </w:pPr>
      <w:r w:rsidRPr="00992199">
        <w:rPr>
          <w:szCs w:val="20"/>
        </w:rPr>
        <w:t xml:space="preserve">The Marble BVBA was reappointed as non-executive independent director at the annual </w:t>
      </w:r>
      <w:r w:rsidR="00AA3763">
        <w:rPr>
          <w:szCs w:val="20"/>
        </w:rPr>
        <w:t>general shareholders’ meeting</w:t>
      </w:r>
      <w:r w:rsidRPr="00992199">
        <w:rPr>
          <w:szCs w:val="20"/>
        </w:rPr>
        <w:t xml:space="preserve"> of 20 May 2011, and the mandate as director will expire at the close of the annual </w:t>
      </w:r>
      <w:r w:rsidR="00AA3763">
        <w:rPr>
          <w:szCs w:val="20"/>
        </w:rPr>
        <w:t>general shareholders’ meeting</w:t>
      </w:r>
      <w:r w:rsidRPr="00992199">
        <w:rPr>
          <w:szCs w:val="20"/>
        </w:rPr>
        <w:t xml:space="preserve"> of 2015. His mandate has a term of five years.</w:t>
      </w:r>
    </w:p>
    <w:p w:rsidR="003F0BC5" w:rsidRPr="00992199" w:rsidRDefault="003F0BC5" w:rsidP="003F0BC5">
      <w:pPr>
        <w:rPr>
          <w:szCs w:val="20"/>
        </w:rPr>
      </w:pPr>
      <w:r w:rsidRPr="00992199">
        <w:rPr>
          <w:szCs w:val="20"/>
        </w:rPr>
        <w:t>The strengths of Luc Van Nevel are especially situated in the areas of general management, financial and marketing management, mergers and acquisitions, board management and corporate governance.</w:t>
      </w:r>
    </w:p>
    <w:p w:rsidR="003F0BC5" w:rsidRPr="00992199" w:rsidRDefault="003F0BC5" w:rsidP="003F0BC5">
      <w:pPr>
        <w:rPr>
          <w:szCs w:val="20"/>
        </w:rPr>
      </w:pPr>
      <w:r w:rsidRPr="00992199">
        <w:rPr>
          <w:szCs w:val="20"/>
        </w:rPr>
        <w:t>Luc Van Nevel graduated from the RUG (</w:t>
      </w:r>
      <w:smartTag w:uri="urn:schemas-microsoft-com:office:smarttags" w:element="place">
        <w:smartTag w:uri="urn:schemas-microsoft-com:office:smarttags" w:element="PlaceName">
          <w:r w:rsidRPr="00992199">
            <w:rPr>
              <w:szCs w:val="20"/>
            </w:rPr>
            <w:t>Ghent</w:t>
          </w:r>
        </w:smartTag>
        <w:r w:rsidRPr="00992199">
          <w:rPr>
            <w:szCs w:val="20"/>
          </w:rPr>
          <w:t xml:space="preserve"> </w:t>
        </w:r>
        <w:smartTag w:uri="urn:schemas-microsoft-com:office:smarttags" w:element="PlaceType">
          <w:r w:rsidRPr="00992199">
            <w:rPr>
              <w:szCs w:val="20"/>
            </w:rPr>
            <w:t>State</w:t>
          </w:r>
        </w:smartTag>
        <w:r w:rsidRPr="00992199">
          <w:rPr>
            <w:szCs w:val="20"/>
          </w:rPr>
          <w:t xml:space="preserve"> </w:t>
        </w:r>
        <w:smartTag w:uri="urn:schemas-microsoft-com:office:smarttags" w:element="PlaceType">
          <w:r w:rsidRPr="00992199">
            <w:rPr>
              <w:szCs w:val="20"/>
            </w:rPr>
            <w:t>University</w:t>
          </w:r>
        </w:smartTag>
      </w:smartTag>
      <w:r w:rsidRPr="00992199">
        <w:rPr>
          <w:szCs w:val="20"/>
        </w:rPr>
        <w:t>) in 1970 with a master degree in Economics and in 1984 earned a degree in Strategic Marketing at Northwestern University of Chicago.</w:t>
      </w:r>
    </w:p>
    <w:p w:rsidR="003F0BC5" w:rsidRPr="00992199" w:rsidRDefault="003F0BC5" w:rsidP="003F0BC5">
      <w:pPr>
        <w:rPr>
          <w:szCs w:val="20"/>
        </w:rPr>
      </w:pPr>
      <w:r w:rsidRPr="00992199">
        <w:rPr>
          <w:szCs w:val="20"/>
        </w:rPr>
        <w:t>Luc Van Nevel began his career at the audit firm Touche Ross &amp; Co and in 1975 moved to Samsonite, where he first worked within Samsonite Europe in Oudenaarde (</w:t>
      </w:r>
      <w:smartTag w:uri="urn:schemas-microsoft-com:office:smarttags" w:element="country-region">
        <w:r w:rsidRPr="00992199">
          <w:rPr>
            <w:szCs w:val="20"/>
          </w:rPr>
          <w:t>Belgium</w:t>
        </w:r>
      </w:smartTag>
      <w:r w:rsidRPr="00992199">
        <w:rPr>
          <w:szCs w:val="20"/>
        </w:rPr>
        <w:t xml:space="preserve">) for almost 20 years, after which he became head of the Samsonite Corporation in its </w:t>
      </w:r>
      <w:smartTag w:uri="urn:schemas-microsoft-com:office:smarttags" w:element="City">
        <w:smartTag w:uri="urn:schemas-microsoft-com:office:smarttags" w:element="place">
          <w:r w:rsidRPr="00992199">
            <w:rPr>
              <w:szCs w:val="20"/>
            </w:rPr>
            <w:t>Denver</w:t>
          </w:r>
        </w:smartTag>
      </w:smartTag>
      <w:r w:rsidRPr="00992199">
        <w:rPr>
          <w:szCs w:val="20"/>
        </w:rPr>
        <w:t xml:space="preserve"> headquarters. Within the European division he was successively Assistant and European Controller, Vice-President, and President and Managing Director. Within the Samsonite Corporation he held the position of President International Division moving on to Chairman and CEO until his retirement in 2004.</w:t>
      </w:r>
    </w:p>
    <w:p w:rsidR="003F0BC5" w:rsidRPr="00992199" w:rsidRDefault="003F0BC5" w:rsidP="003F0BC5">
      <w:pPr>
        <w:rPr>
          <w:szCs w:val="20"/>
        </w:rPr>
      </w:pPr>
      <w:r w:rsidRPr="00992199">
        <w:rPr>
          <w:szCs w:val="20"/>
        </w:rPr>
        <w:t xml:space="preserve">Luc Van Nevel is a member of the board of directors of several companies, including: La Lorraine Bakery Group (LLBG) NV (as permanent representative of The Marble BVBA), Hevebra NV (as permanent representative of The Marble BVBA), Fedrus Invest NV (as permanent representative of The Marble BVBA), Hout van Steenberge NV (as permanent representative of The Marble BVBA), VNVDB Invest NV, Van Welden NV, Algemeen Ziekenhuis Oudenaarde VZW, Bedrijvencentrum Vlaamse Ardennen NV. He formerly served as Chairman of </w:t>
      </w:r>
      <w:smartTag w:uri="urn:schemas-microsoft-com:office:smarttags" w:element="City">
        <w:r w:rsidRPr="00992199">
          <w:rPr>
            <w:szCs w:val="20"/>
          </w:rPr>
          <w:t>Picanol</w:t>
        </w:r>
      </w:smartTag>
      <w:r w:rsidRPr="00992199">
        <w:rPr>
          <w:szCs w:val="20"/>
        </w:rPr>
        <w:t xml:space="preserve"> </w:t>
      </w:r>
      <w:smartTag w:uri="urn:schemas-microsoft-com:office:smarttags" w:element="State">
        <w:r w:rsidRPr="00992199">
          <w:rPr>
            <w:szCs w:val="20"/>
          </w:rPr>
          <w:t>NV</w:t>
        </w:r>
      </w:smartTag>
      <w:r w:rsidRPr="00992199">
        <w:rPr>
          <w:szCs w:val="20"/>
        </w:rPr>
        <w:t xml:space="preserve"> and </w:t>
      </w:r>
      <w:smartTag w:uri="urn:schemas-microsoft-com:office:smarttags" w:element="place">
        <w:smartTag w:uri="urn:schemas-microsoft-com:office:smarttags" w:element="City">
          <w:r w:rsidRPr="00992199">
            <w:rPr>
              <w:szCs w:val="20"/>
            </w:rPr>
            <w:t>Elia</w:t>
          </w:r>
        </w:smartTag>
        <w:r w:rsidRPr="00992199">
          <w:rPr>
            <w:szCs w:val="20"/>
          </w:rPr>
          <w:t xml:space="preserve"> </w:t>
        </w:r>
        <w:smartTag w:uri="urn:schemas-microsoft-com:office:smarttags" w:element="State">
          <w:r w:rsidRPr="00992199">
            <w:rPr>
              <w:szCs w:val="20"/>
            </w:rPr>
            <w:t>NV</w:t>
          </w:r>
        </w:smartTag>
      </w:smartTag>
      <w:r w:rsidRPr="00992199">
        <w:rPr>
          <w:szCs w:val="20"/>
        </w:rPr>
        <w:t xml:space="preserve"> and as board member of the Jensen Group NV, VRT and other companies.</w:t>
      </w:r>
    </w:p>
    <w:p w:rsidR="003F0BC5" w:rsidRPr="00992199" w:rsidRDefault="003F0BC5" w:rsidP="00FE2AF5">
      <w:r w:rsidRPr="00992199">
        <w:t>In 1990 Luc Van Nevel was named Manager of the Year by Trends Magazine.</w:t>
      </w:r>
    </w:p>
    <w:p w:rsidR="003F0BC5" w:rsidRPr="00FE2AF5" w:rsidRDefault="003F0BC5" w:rsidP="00FE2AF5">
      <w:pPr>
        <w:rPr>
          <w:i/>
        </w:rPr>
      </w:pPr>
      <w:r w:rsidRPr="00FE2AF5">
        <w:rPr>
          <w:i/>
        </w:rPr>
        <w:t>[Frank Donck, independent director</w:t>
      </w:r>
    </w:p>
    <w:p w:rsidR="003F0BC5" w:rsidRPr="00992199" w:rsidRDefault="003F0BC5" w:rsidP="00FE2AF5">
      <w:r w:rsidRPr="00992199">
        <w:t>Frank Donck is managing director of 3D NV. He is also a member of the Belgian Corporate Governance Committee, as well as being chairman of Atenor Groep NV. In addition, he holds several director´s mandates as an independent director.]</w:t>
      </w:r>
    </w:p>
    <w:p w:rsidR="003F0BC5" w:rsidRPr="00992199" w:rsidRDefault="003F0BC5" w:rsidP="003F0BC5">
      <w:pPr>
        <w:rPr>
          <w:i/>
          <w:szCs w:val="20"/>
        </w:rPr>
      </w:pPr>
      <w:r w:rsidRPr="00992199">
        <w:rPr>
          <w:i/>
          <w:szCs w:val="20"/>
        </w:rPr>
        <w:t>Ardiego BVBA, director, represented by Arthur Goethals, permanent representative (age 69) - Non-executive, independent director</w:t>
      </w:r>
    </w:p>
    <w:p w:rsidR="003F0BC5" w:rsidRPr="00992199" w:rsidRDefault="003F0BC5" w:rsidP="003F0BC5">
      <w:pPr>
        <w:rPr>
          <w:szCs w:val="20"/>
        </w:rPr>
      </w:pPr>
      <w:r w:rsidRPr="00992199">
        <w:rPr>
          <w:szCs w:val="20"/>
        </w:rPr>
        <w:t>Arthur Goethals represents Ardiego BVBA in his capacity of permanent representative.</w:t>
      </w:r>
    </w:p>
    <w:p w:rsidR="003F0BC5" w:rsidRPr="00992199" w:rsidRDefault="003F0BC5" w:rsidP="003F0BC5">
      <w:pPr>
        <w:rPr>
          <w:szCs w:val="20"/>
        </w:rPr>
      </w:pPr>
      <w:r w:rsidRPr="00992199">
        <w:rPr>
          <w:szCs w:val="20"/>
        </w:rPr>
        <w:t xml:space="preserve">Ardiego BVBA was appointed as non-executive independent director at the annual </w:t>
      </w:r>
      <w:r w:rsidR="00AA3763">
        <w:rPr>
          <w:szCs w:val="20"/>
        </w:rPr>
        <w:t>general shareholders’ meeting</w:t>
      </w:r>
      <w:r w:rsidRPr="00992199">
        <w:rPr>
          <w:szCs w:val="20"/>
        </w:rPr>
        <w:t xml:space="preserve"> of 20 May 2011, and the mandate as director will expire at the close of the annual </w:t>
      </w:r>
      <w:r w:rsidR="00AA3763">
        <w:rPr>
          <w:szCs w:val="20"/>
        </w:rPr>
        <w:t>general shareholders’ meeting</w:t>
      </w:r>
      <w:r w:rsidRPr="00992199">
        <w:rPr>
          <w:szCs w:val="20"/>
        </w:rPr>
        <w:t xml:space="preserve"> of 2015. Its mandate has a term of five years.</w:t>
      </w:r>
    </w:p>
    <w:p w:rsidR="003F0BC5" w:rsidRPr="00992199" w:rsidRDefault="003F0BC5" w:rsidP="003F0BC5">
      <w:pPr>
        <w:rPr>
          <w:szCs w:val="20"/>
        </w:rPr>
      </w:pPr>
      <w:r w:rsidRPr="00992199">
        <w:rPr>
          <w:szCs w:val="20"/>
        </w:rPr>
        <w:t>Arthur Goethals has many years of knowledge and experience in the retail sector, among others as CEO of Delhaize Belgium NV.</w:t>
      </w:r>
    </w:p>
    <w:p w:rsidR="003F0BC5" w:rsidRPr="00992199" w:rsidRDefault="003F0BC5" w:rsidP="003F0BC5">
      <w:pPr>
        <w:rPr>
          <w:szCs w:val="20"/>
        </w:rPr>
      </w:pPr>
      <w:r w:rsidRPr="00992199">
        <w:rPr>
          <w:szCs w:val="20"/>
        </w:rPr>
        <w:t>Arthur Goethals is also a member of the Board of Directors of several companies, including:, Sleuyter Arena Oostende CVBA, Matexi Group NV (as permanent representative of Ardiego BVBA), Hubisco NV (as permanent representative of Ardiego BVBA), Gault Millau Benelux NV (as permanent representative of Ardiego BVBA), DWB (as permanent representative of Ardiego BVBA) and Basket Club Oostende VZW.</w:t>
      </w:r>
    </w:p>
    <w:p w:rsidR="003F0BC5" w:rsidRPr="00992199" w:rsidRDefault="003F0BC5" w:rsidP="003F0BC5">
      <w:pPr>
        <w:rPr>
          <w:i/>
          <w:szCs w:val="20"/>
        </w:rPr>
      </w:pPr>
      <w:r w:rsidRPr="00992199">
        <w:rPr>
          <w:i/>
          <w:szCs w:val="20"/>
        </w:rPr>
        <w:t>Management Deprez BVBA, director, represented by Veerle Deprez, permanent representative (age 55)</w:t>
      </w:r>
      <w:r w:rsidR="00F13D58">
        <w:rPr>
          <w:i/>
          <w:szCs w:val="20"/>
        </w:rPr>
        <w:t xml:space="preserve"> </w:t>
      </w:r>
      <w:r w:rsidRPr="00992199">
        <w:rPr>
          <w:i/>
          <w:szCs w:val="20"/>
        </w:rPr>
        <w:t>- Non-executive, non-independent director, representative of the majority shareholder</w:t>
      </w:r>
    </w:p>
    <w:p w:rsidR="003F0BC5" w:rsidRPr="00992199" w:rsidRDefault="003F0BC5" w:rsidP="003F0BC5">
      <w:pPr>
        <w:rPr>
          <w:szCs w:val="20"/>
        </w:rPr>
      </w:pPr>
      <w:r w:rsidRPr="00992199">
        <w:rPr>
          <w:szCs w:val="20"/>
        </w:rPr>
        <w:t xml:space="preserve">In her capacity of permanent representative, Veerle Deprez represents Management Deprez BVBA, which was appointed by the Board of Directors´ meeting of 9 November 2005 via cooptation as director to replace Demafin BVBA. The appointment of Management Deprez BVBA as non-executive, non-independent director was ratified during the annual </w:t>
      </w:r>
      <w:r w:rsidR="00AA3763">
        <w:rPr>
          <w:szCs w:val="20"/>
        </w:rPr>
        <w:t>general shareholders’ meeting</w:t>
      </w:r>
      <w:r w:rsidRPr="00992199">
        <w:rPr>
          <w:szCs w:val="20"/>
        </w:rPr>
        <w:t xml:space="preserve"> of 10 November 2006.</w:t>
      </w:r>
    </w:p>
    <w:p w:rsidR="003F0BC5" w:rsidRPr="00992199" w:rsidRDefault="003F0BC5" w:rsidP="003F0BC5">
      <w:pPr>
        <w:rPr>
          <w:szCs w:val="20"/>
        </w:rPr>
      </w:pPr>
      <w:r w:rsidRPr="00992199">
        <w:rPr>
          <w:szCs w:val="20"/>
        </w:rPr>
        <w:lastRenderedPageBreak/>
        <w:t xml:space="preserve">Management Deprez BVBA was reappointed as non-executive, non-independent director at the annual </w:t>
      </w:r>
      <w:r w:rsidR="00AA3763">
        <w:rPr>
          <w:szCs w:val="20"/>
        </w:rPr>
        <w:t>general shareholders’ meeting</w:t>
      </w:r>
      <w:r w:rsidR="00F13D58">
        <w:rPr>
          <w:szCs w:val="20"/>
        </w:rPr>
        <w:t xml:space="preserve"> </w:t>
      </w:r>
      <w:r w:rsidRPr="00992199">
        <w:rPr>
          <w:szCs w:val="20"/>
        </w:rPr>
        <w:t xml:space="preserve">of 20 May 2011, and the mandate as director will expire at the close of the annual </w:t>
      </w:r>
      <w:r w:rsidR="00AA3763">
        <w:rPr>
          <w:szCs w:val="20"/>
        </w:rPr>
        <w:t>general shareholders’ meeting</w:t>
      </w:r>
      <w:r w:rsidRPr="00992199">
        <w:rPr>
          <w:szCs w:val="20"/>
        </w:rPr>
        <w:t xml:space="preserve"> of 2015.</w:t>
      </w:r>
    </w:p>
    <w:p w:rsidR="003F0BC5" w:rsidRPr="00DF01FB" w:rsidRDefault="003F0BC5" w:rsidP="003F0BC5">
      <w:pPr>
        <w:rPr>
          <w:b/>
          <w:i/>
          <w:szCs w:val="20"/>
        </w:rPr>
      </w:pPr>
      <w:r w:rsidRPr="00992199">
        <w:rPr>
          <w:szCs w:val="20"/>
        </w:rPr>
        <w:t xml:space="preserve">Veerle Deprez, together with </w:t>
      </w:r>
      <w:r w:rsidR="00334BBC">
        <w:rPr>
          <w:szCs w:val="20"/>
        </w:rPr>
        <w:t>Mr Hein Deprez</w:t>
      </w:r>
      <w:r w:rsidRPr="00992199">
        <w:rPr>
          <w:szCs w:val="20"/>
        </w:rPr>
        <w:t>, laid the foundations for what would later become the Univeg group. Veerle Deprez also holds several director´s mandates in port-related companies.</w:t>
      </w:r>
    </w:p>
    <w:p w:rsidR="003F0BC5" w:rsidRPr="00992199" w:rsidRDefault="003F0BC5" w:rsidP="003F0BC5">
      <w:pPr>
        <w:rPr>
          <w:szCs w:val="20"/>
        </w:rPr>
      </w:pPr>
      <w:r w:rsidRPr="00992199">
        <w:rPr>
          <w:szCs w:val="20"/>
        </w:rPr>
        <w:t xml:space="preserve">Veerle Deprez is also a member of the board of directors of several companies in her own name (DS Consult NV and De Kraaiberg NV). As permanent representative of Management Deprez BVBA, she is member of the board of directors of Deprez Invest NV, Agrofino Transport BVBA, Food Invest International, </w:t>
      </w:r>
      <w:r w:rsidR="003A6D08">
        <w:rPr>
          <w:szCs w:val="20"/>
        </w:rPr>
        <w:t>2D NV</w:t>
      </w:r>
      <w:r w:rsidRPr="00992199">
        <w:rPr>
          <w:szCs w:val="20"/>
        </w:rPr>
        <w:t xml:space="preserve">, Peatinvest NV, Deprez Holding NV, Reuver NV, Nova Natie NV, Nova Cargo Services NV, Peltracom NV, DWB and </w:t>
      </w:r>
      <w:r w:rsidR="0082672E">
        <w:rPr>
          <w:szCs w:val="20"/>
        </w:rPr>
        <w:t>Univeg</w:t>
      </w:r>
      <w:r w:rsidRPr="00992199">
        <w:rPr>
          <w:szCs w:val="20"/>
        </w:rPr>
        <w:t>.</w:t>
      </w:r>
    </w:p>
    <w:p w:rsidR="003F0BC5" w:rsidRPr="00992199" w:rsidRDefault="003F0BC5" w:rsidP="003F0BC5">
      <w:pPr>
        <w:rPr>
          <w:i/>
          <w:szCs w:val="20"/>
        </w:rPr>
      </w:pPr>
      <w:r w:rsidRPr="00992199">
        <w:rPr>
          <w:i/>
          <w:szCs w:val="20"/>
        </w:rPr>
        <w:t>Bonem BVBA, director, represented by Marc Ooms, permanent representative (age 64) - Non-executive, non-independent director</w:t>
      </w:r>
    </w:p>
    <w:p w:rsidR="003F0BC5" w:rsidRPr="00992199" w:rsidRDefault="003F0BC5" w:rsidP="003F0BC5">
      <w:pPr>
        <w:rPr>
          <w:szCs w:val="20"/>
        </w:rPr>
      </w:pPr>
      <w:r w:rsidRPr="00992199">
        <w:rPr>
          <w:szCs w:val="20"/>
        </w:rPr>
        <w:t>Marc Ooms represents Bonem BVBA in his capacity of permanent representative.</w:t>
      </w:r>
    </w:p>
    <w:p w:rsidR="003F0BC5" w:rsidRPr="00992199" w:rsidRDefault="003F0BC5" w:rsidP="003F0BC5">
      <w:pPr>
        <w:rPr>
          <w:szCs w:val="20"/>
        </w:rPr>
      </w:pPr>
      <w:r w:rsidRPr="00992199">
        <w:rPr>
          <w:szCs w:val="20"/>
        </w:rPr>
        <w:t xml:space="preserve">He was appointed as non-executive, non-independent director by the annual </w:t>
      </w:r>
      <w:r w:rsidR="00AA3763">
        <w:rPr>
          <w:szCs w:val="20"/>
        </w:rPr>
        <w:t>general shareholders’ meeting</w:t>
      </w:r>
      <w:r w:rsidRPr="00992199">
        <w:rPr>
          <w:szCs w:val="20"/>
        </w:rPr>
        <w:t xml:space="preserve"> of 9 November 2007.</w:t>
      </w:r>
    </w:p>
    <w:p w:rsidR="003F0BC5" w:rsidRPr="00992199" w:rsidRDefault="003F0BC5" w:rsidP="003F0BC5">
      <w:pPr>
        <w:rPr>
          <w:szCs w:val="20"/>
        </w:rPr>
      </w:pPr>
      <w:r w:rsidRPr="00992199">
        <w:rPr>
          <w:szCs w:val="20"/>
        </w:rPr>
        <w:t xml:space="preserve">Bonem BVBA was reappointed as non-executive non-independent director at the annual </w:t>
      </w:r>
      <w:r w:rsidR="00AA3763">
        <w:rPr>
          <w:szCs w:val="20"/>
        </w:rPr>
        <w:t>general shareholders’ meeting</w:t>
      </w:r>
      <w:r w:rsidRPr="00992199">
        <w:rPr>
          <w:szCs w:val="20"/>
        </w:rPr>
        <w:t xml:space="preserve"> of 20 May 2011, and the mandate as director will expire at the close of the annual </w:t>
      </w:r>
      <w:r w:rsidR="00AA3763">
        <w:rPr>
          <w:szCs w:val="20"/>
        </w:rPr>
        <w:t>general shareholders’ meeting</w:t>
      </w:r>
      <w:r w:rsidRPr="00992199">
        <w:rPr>
          <w:szCs w:val="20"/>
        </w:rPr>
        <w:t xml:space="preserve"> of 2015. Its mandate has a term of five years.</w:t>
      </w:r>
    </w:p>
    <w:p w:rsidR="003F0BC5" w:rsidRPr="00992199" w:rsidRDefault="003F0BC5" w:rsidP="003F0BC5">
      <w:pPr>
        <w:rPr>
          <w:szCs w:val="20"/>
        </w:rPr>
      </w:pPr>
      <w:r w:rsidRPr="00992199">
        <w:rPr>
          <w:szCs w:val="20"/>
        </w:rPr>
        <w:t xml:space="preserve">Marc Ooms graduated in applied economics (Vlekho, </w:t>
      </w:r>
      <w:smartTag w:uri="urn:schemas-microsoft-com:office:smarttags" w:element="City">
        <w:r w:rsidRPr="00992199">
          <w:rPr>
            <w:szCs w:val="20"/>
          </w:rPr>
          <w:t>Brussels</w:t>
        </w:r>
      </w:smartTag>
      <w:r w:rsidRPr="00992199">
        <w:rPr>
          <w:szCs w:val="20"/>
        </w:rPr>
        <w:t xml:space="preserve">) in 1974 and was during a few years a research assistant at the Department of Applied Economics (KUL, </w:t>
      </w:r>
      <w:smartTag w:uri="urn:schemas-microsoft-com:office:smarttags" w:element="place">
        <w:r w:rsidRPr="00992199">
          <w:rPr>
            <w:szCs w:val="20"/>
          </w:rPr>
          <w:t>Leuven</w:t>
        </w:r>
      </w:smartTag>
      <w:r w:rsidRPr="00992199">
        <w:rPr>
          <w:szCs w:val="20"/>
        </w:rPr>
        <w:t>). He had a long career in the financial sector, among others as managing director of Petercam.</w:t>
      </w:r>
    </w:p>
    <w:p w:rsidR="003F0BC5" w:rsidRPr="00992199" w:rsidRDefault="003F0BC5" w:rsidP="003F0BC5">
      <w:pPr>
        <w:rPr>
          <w:szCs w:val="20"/>
        </w:rPr>
      </w:pPr>
      <w:r w:rsidRPr="00992199">
        <w:rPr>
          <w:szCs w:val="20"/>
        </w:rPr>
        <w:t xml:space="preserve">Marc Ooms is, as permanent representative of Bonem BVBA, a member of the Board of Directors of BMT NV, </w:t>
      </w:r>
      <w:smartTag w:uri="urn:schemas-microsoft-com:office:smarttags" w:element="place">
        <w:smartTag w:uri="urn:schemas-microsoft-com:office:smarttags" w:element="City">
          <w:r w:rsidRPr="00992199">
            <w:rPr>
              <w:szCs w:val="20"/>
            </w:rPr>
            <w:t>IVC</w:t>
          </w:r>
        </w:smartTag>
        <w:r w:rsidRPr="00992199">
          <w:rPr>
            <w:szCs w:val="20"/>
          </w:rPr>
          <w:t xml:space="preserve"> </w:t>
        </w:r>
        <w:smartTag w:uri="urn:schemas-microsoft-com:office:smarttags" w:element="State">
          <w:r w:rsidRPr="00992199">
            <w:rPr>
              <w:szCs w:val="20"/>
            </w:rPr>
            <w:t>NV</w:t>
          </w:r>
        </w:smartTag>
      </w:smartTag>
      <w:r w:rsidRPr="00992199">
        <w:rPr>
          <w:szCs w:val="20"/>
        </w:rPr>
        <w:t xml:space="preserve"> and Sea-Invest Corporation SA.</w:t>
      </w:r>
    </w:p>
    <w:p w:rsidR="003F0BC5" w:rsidRPr="00992199" w:rsidRDefault="003F0BC5" w:rsidP="003F0BC5">
      <w:pPr>
        <w:rPr>
          <w:i/>
          <w:szCs w:val="20"/>
        </w:rPr>
      </w:pPr>
      <w:r w:rsidRPr="00992199">
        <w:rPr>
          <w:i/>
          <w:szCs w:val="20"/>
        </w:rPr>
        <w:t>Peter Maenhout, director (age 50) - Non-executive, non-independent director</w:t>
      </w:r>
    </w:p>
    <w:p w:rsidR="003F0BC5" w:rsidRPr="00992199" w:rsidRDefault="003F0BC5" w:rsidP="003F0BC5">
      <w:pPr>
        <w:rPr>
          <w:szCs w:val="20"/>
        </w:rPr>
      </w:pPr>
      <w:r w:rsidRPr="00992199">
        <w:rPr>
          <w:szCs w:val="20"/>
        </w:rPr>
        <w:t xml:space="preserve">As Executive Vice President, Peter Maenhout is responsible for the Gimv-XL fund and Gimv’s Consumer 2020 investment platform. Before this he headed the </w:t>
      </w:r>
      <w:smartTag w:uri="urn:schemas-microsoft-com:office:smarttags" w:element="place">
        <w:r w:rsidRPr="00992199">
          <w:rPr>
            <w:szCs w:val="20"/>
          </w:rPr>
          <w:t>Benelux</w:t>
        </w:r>
      </w:smartTag>
      <w:r w:rsidRPr="00992199">
        <w:rPr>
          <w:szCs w:val="20"/>
        </w:rPr>
        <w:t xml:space="preserve"> office of the investment advisor Amber Capital. Previously he was active in mergers and acquisitions and capital market transactions at Petercam and Generale Bank.</w:t>
      </w:r>
    </w:p>
    <w:p w:rsidR="003F0BC5" w:rsidRPr="00992199" w:rsidRDefault="003F0BC5" w:rsidP="003F0BC5">
      <w:pPr>
        <w:rPr>
          <w:szCs w:val="20"/>
        </w:rPr>
      </w:pPr>
      <w:r w:rsidRPr="00992199">
        <w:rPr>
          <w:szCs w:val="20"/>
        </w:rPr>
        <w:t xml:space="preserve">Peter Maenhout holds master degrees in International Relations (UG) and Finance (Vlerick) and an MBA from the </w:t>
      </w:r>
      <w:smartTag w:uri="urn:schemas-microsoft-com:office:smarttags" w:element="place">
        <w:smartTag w:uri="urn:schemas-microsoft-com:office:smarttags" w:element="PlaceType">
          <w:r w:rsidRPr="00992199">
            <w:rPr>
              <w:szCs w:val="20"/>
            </w:rPr>
            <w:t>University</w:t>
          </w:r>
        </w:smartTag>
        <w:r w:rsidRPr="00992199">
          <w:rPr>
            <w:szCs w:val="20"/>
          </w:rPr>
          <w:t xml:space="preserve"> of </w:t>
        </w:r>
        <w:smartTag w:uri="urn:schemas-microsoft-com:office:smarttags" w:element="PlaceName">
          <w:r w:rsidRPr="00992199">
            <w:rPr>
              <w:szCs w:val="20"/>
            </w:rPr>
            <w:t>Chicago</w:t>
          </w:r>
        </w:smartTag>
      </w:smartTag>
      <w:r w:rsidRPr="00992199">
        <w:rPr>
          <w:szCs w:val="20"/>
        </w:rPr>
        <w:t>.</w:t>
      </w:r>
    </w:p>
    <w:p w:rsidR="003F0BC5" w:rsidRPr="00992199" w:rsidRDefault="003F0BC5" w:rsidP="003F0BC5">
      <w:pPr>
        <w:rPr>
          <w:szCs w:val="20"/>
        </w:rPr>
      </w:pPr>
      <w:r w:rsidRPr="00992199">
        <w:rPr>
          <w:szCs w:val="20"/>
        </w:rPr>
        <w:t xml:space="preserve">Peter Maenhout was appointed as director by the General Meeting of 15 February 2012. The mandate will expire at the close of the annual </w:t>
      </w:r>
      <w:r w:rsidR="00AA3763">
        <w:rPr>
          <w:szCs w:val="20"/>
        </w:rPr>
        <w:t>general shareholders’ meeting</w:t>
      </w:r>
      <w:r w:rsidRPr="00992199">
        <w:rPr>
          <w:szCs w:val="20"/>
        </w:rPr>
        <w:t xml:space="preserve"> of 2015</w:t>
      </w:r>
    </w:p>
    <w:p w:rsidR="003F0BC5" w:rsidRPr="00FE2AF5" w:rsidRDefault="003F0BC5" w:rsidP="00FE2AF5">
      <w:pPr>
        <w:rPr>
          <w:i/>
        </w:rPr>
      </w:pPr>
      <w:r w:rsidRPr="00FE2AF5">
        <w:rPr>
          <w:i/>
        </w:rPr>
        <w:t>Thomas Dewever, director</w:t>
      </w:r>
    </w:p>
    <w:p w:rsidR="003F0BC5" w:rsidRPr="00992199" w:rsidRDefault="003F0BC5" w:rsidP="003F0BC5">
      <w:pPr>
        <w:rPr>
          <w:szCs w:val="20"/>
        </w:rPr>
      </w:pPr>
      <w:r w:rsidRPr="00992199">
        <w:rPr>
          <w:szCs w:val="20"/>
        </w:rPr>
        <w:t xml:space="preserve">Thomas Dewever is active as </w:t>
      </w:r>
      <w:r w:rsidR="003F635D">
        <w:rPr>
          <w:szCs w:val="20"/>
        </w:rPr>
        <w:t>p</w:t>
      </w:r>
      <w:r w:rsidRPr="00992199">
        <w:rPr>
          <w:szCs w:val="20"/>
        </w:rPr>
        <w:t xml:space="preserve">rincipal at the Gimv since 2009. Prior to that he worked in the Investment Banking Department of Credit Suisse in </w:t>
      </w:r>
      <w:smartTag w:uri="urn:schemas-microsoft-com:office:smarttags" w:element="place">
        <w:smartTag w:uri="urn:schemas-microsoft-com:office:smarttags" w:element="City">
          <w:r w:rsidRPr="00992199">
            <w:rPr>
              <w:szCs w:val="20"/>
            </w:rPr>
            <w:t>London</w:t>
          </w:r>
        </w:smartTag>
      </w:smartTag>
      <w:r w:rsidRPr="00DF01FB">
        <w:rPr>
          <w:b/>
          <w:i/>
          <w:szCs w:val="20"/>
        </w:rPr>
        <w:t>.</w:t>
      </w:r>
    </w:p>
    <w:p w:rsidR="003F0BC5" w:rsidRPr="00FE2AF5" w:rsidRDefault="003F0BC5" w:rsidP="00FE2AF5">
      <w:pPr>
        <w:rPr>
          <w:i/>
        </w:rPr>
      </w:pPr>
      <w:r w:rsidRPr="00FE2AF5">
        <w:rPr>
          <w:i/>
        </w:rPr>
        <w:t>Jozef Marc Rosiers, director (age 58) - Non-executive, non-independent director</w:t>
      </w:r>
    </w:p>
    <w:p w:rsidR="003F0BC5" w:rsidRPr="00992199" w:rsidRDefault="003F0BC5" w:rsidP="003F0BC5">
      <w:pPr>
        <w:rPr>
          <w:szCs w:val="20"/>
        </w:rPr>
      </w:pPr>
      <w:r w:rsidRPr="00992199">
        <w:rPr>
          <w:szCs w:val="20"/>
        </w:rPr>
        <w:t xml:space="preserve">Jozef Marc Rosiers is Chief Executive Officer of AIF CVBA and Advisor of the President at Boerenbond. He is involved in the strategic development of the agricultural sector in </w:t>
      </w:r>
      <w:smartTag w:uri="urn:schemas-microsoft-com:office:smarttags" w:element="country-region">
        <w:smartTag w:uri="urn:schemas-microsoft-com:office:smarttags" w:element="place">
          <w:r w:rsidRPr="00992199">
            <w:rPr>
              <w:szCs w:val="20"/>
            </w:rPr>
            <w:t>Belgium</w:t>
          </w:r>
        </w:smartTag>
      </w:smartTag>
      <w:r w:rsidRPr="00992199">
        <w:rPr>
          <w:szCs w:val="20"/>
        </w:rPr>
        <w:t xml:space="preserve"> and the lobby process to facilitate a sustainable future for the farming business in the Flemish region with a focus on the development of new organisational structures in farming with a focus on intensive cooperation. As CEO of AIF, Jozef Marc Rosiers is member of the Investment committees of Agri Investment Fund (AIF) CVBA en Gimv-AGRI+ Investment fund NV. He also acts as board member of Aveve NV/SA and of Iscal Sugar SA/NV.</w:t>
      </w:r>
    </w:p>
    <w:p w:rsidR="003F0BC5" w:rsidRPr="00992199" w:rsidRDefault="003F0BC5" w:rsidP="003F0BC5">
      <w:pPr>
        <w:rPr>
          <w:szCs w:val="20"/>
        </w:rPr>
      </w:pPr>
      <w:r w:rsidRPr="00992199">
        <w:rPr>
          <w:szCs w:val="20"/>
        </w:rPr>
        <w:t xml:space="preserve">Before he joined the Belgian Farmers’ Union in 2008, Jozef Marc Rosiers was Director-General of the Industry Association of the Belgian Sugar Manufacturers, a non-profit organisation based in </w:t>
      </w:r>
      <w:smartTag w:uri="urn:schemas-microsoft-com:office:smarttags" w:element="City">
        <w:smartTag w:uri="urn:schemas-microsoft-com:office:smarttags" w:element="place">
          <w:r w:rsidRPr="00992199">
            <w:rPr>
              <w:szCs w:val="20"/>
            </w:rPr>
            <w:t>Brussels</w:t>
          </w:r>
        </w:smartTag>
      </w:smartTag>
      <w:r w:rsidRPr="00992199">
        <w:rPr>
          <w:szCs w:val="20"/>
        </w:rPr>
        <w:t xml:space="preserve"> (1996-2008). He was responsible for the lobby process that contributed to the successful reorganisation of the sector. As Director of Strategic Planning of the Van Roey Group (1989-1996), he was responsible for the business plans and budgets, the development of new business activities, management information, critical analysis and reporting from and to the operational companies.</w:t>
      </w:r>
    </w:p>
    <w:p w:rsidR="003F0BC5" w:rsidRPr="00992199" w:rsidRDefault="003F0BC5" w:rsidP="003F0BC5">
      <w:pPr>
        <w:rPr>
          <w:szCs w:val="20"/>
        </w:rPr>
      </w:pPr>
      <w:r w:rsidRPr="00992199">
        <w:rPr>
          <w:szCs w:val="20"/>
        </w:rPr>
        <w:t>Jozef Marc Rosiers has a Master of Science degree in Economics from the London School of Economics (1981) and a Master’s degree in Economics from Katholieke Universiteit Leuven (1980).</w:t>
      </w:r>
    </w:p>
    <w:p w:rsidR="003F0BC5" w:rsidRPr="00992199" w:rsidRDefault="003F0BC5" w:rsidP="003F0BC5">
      <w:pPr>
        <w:rPr>
          <w:szCs w:val="20"/>
        </w:rPr>
      </w:pPr>
      <w:r w:rsidRPr="00992199">
        <w:rPr>
          <w:szCs w:val="20"/>
        </w:rPr>
        <w:lastRenderedPageBreak/>
        <w:t xml:space="preserve">After AIF took over the participation of KBC Private Equity SA/NV, the general meeting of 2 December 2011 appointed Jozef Marc Rosiers as director, replacing Gert Van Huffel, the former director and representative of KBC Private Equity SA/NV in the Board of Directors. The mandate will expire when the annual </w:t>
      </w:r>
      <w:r w:rsidR="00AA3763">
        <w:rPr>
          <w:szCs w:val="20"/>
        </w:rPr>
        <w:t>general shareholders’ meeting</w:t>
      </w:r>
      <w:r w:rsidR="00F13D58">
        <w:rPr>
          <w:szCs w:val="20"/>
        </w:rPr>
        <w:t xml:space="preserve"> </w:t>
      </w:r>
      <w:r w:rsidRPr="00992199">
        <w:rPr>
          <w:szCs w:val="20"/>
        </w:rPr>
        <w:t>of 2015 closes.</w:t>
      </w:r>
    </w:p>
    <w:p w:rsidR="003F0BC5" w:rsidRPr="00992199" w:rsidRDefault="003F0BC5" w:rsidP="003F0BC5">
      <w:pPr>
        <w:rPr>
          <w:i/>
          <w:szCs w:val="20"/>
        </w:rPr>
      </w:pPr>
      <w:r w:rsidRPr="00992199">
        <w:rPr>
          <w:i/>
          <w:szCs w:val="20"/>
        </w:rPr>
        <w:t>Mavac BVBA, managing director, represented by Marleen Vaesen, permanent representative (age 56) - Executive, non-independent director</w:t>
      </w:r>
    </w:p>
    <w:p w:rsidR="003F0BC5" w:rsidRPr="00992199" w:rsidRDefault="003F0BC5" w:rsidP="003F0BC5">
      <w:pPr>
        <w:rPr>
          <w:szCs w:val="20"/>
        </w:rPr>
      </w:pPr>
      <w:r w:rsidRPr="00992199">
        <w:rPr>
          <w:szCs w:val="20"/>
        </w:rPr>
        <w:t>In her capacity of permanent representative, Marleen Vaesen represents Mavac BVBA, which was appointed by the Board of Directors´ meeting of 30 August 2013 via coopt</w:t>
      </w:r>
      <w:r w:rsidR="00E34880">
        <w:rPr>
          <w:szCs w:val="20"/>
        </w:rPr>
        <w:t>ation as director to replace Mr</w:t>
      </w:r>
      <w:r w:rsidRPr="00992199">
        <w:rPr>
          <w:szCs w:val="20"/>
        </w:rPr>
        <w:t xml:space="preserve"> Jean-Michel Jannez. The appointment of Mavac BVBA as executive, non-independent director was ratified during the annual </w:t>
      </w:r>
      <w:r w:rsidR="00AA3763">
        <w:rPr>
          <w:szCs w:val="20"/>
        </w:rPr>
        <w:t>general shareholders’ meeting</w:t>
      </w:r>
      <w:r w:rsidRPr="00992199">
        <w:rPr>
          <w:szCs w:val="20"/>
        </w:rPr>
        <w:t xml:space="preserve"> of 30 September 2013.</w:t>
      </w:r>
    </w:p>
    <w:p w:rsidR="003F0BC5" w:rsidRPr="00992199" w:rsidRDefault="003F0BC5" w:rsidP="003F0BC5">
      <w:pPr>
        <w:rPr>
          <w:szCs w:val="20"/>
        </w:rPr>
      </w:pPr>
      <w:r w:rsidRPr="00992199">
        <w:rPr>
          <w:szCs w:val="20"/>
        </w:rPr>
        <w:t xml:space="preserve">Since 1 November 2012 the day-to-day management of the </w:t>
      </w:r>
      <w:r w:rsidR="002A1AB1">
        <w:rPr>
          <w:szCs w:val="20"/>
        </w:rPr>
        <w:t>Greenyard Foods</w:t>
      </w:r>
      <w:r w:rsidRPr="00992199">
        <w:rPr>
          <w:szCs w:val="20"/>
        </w:rPr>
        <w:t xml:space="preserve"> Group has been exercised by Mavac BVBA, with as </w:t>
      </w:r>
      <w:r w:rsidR="00E34880">
        <w:rPr>
          <w:szCs w:val="20"/>
        </w:rPr>
        <w:t>permanent representative M</w:t>
      </w:r>
      <w:r w:rsidRPr="00992199">
        <w:rPr>
          <w:szCs w:val="20"/>
        </w:rPr>
        <w:t xml:space="preserve">s Marleen Vaesen, CEO of the </w:t>
      </w:r>
      <w:r w:rsidR="002A1AB1">
        <w:rPr>
          <w:szCs w:val="20"/>
        </w:rPr>
        <w:t>Greenyard Foods</w:t>
      </w:r>
      <w:r w:rsidRPr="00992199">
        <w:rPr>
          <w:szCs w:val="20"/>
        </w:rPr>
        <w:t xml:space="preserve"> Group.</w:t>
      </w:r>
    </w:p>
    <w:p w:rsidR="003F0BC5" w:rsidRPr="00992199" w:rsidRDefault="003F0BC5" w:rsidP="003F0BC5">
      <w:pPr>
        <w:rPr>
          <w:szCs w:val="20"/>
          <w:lang w:val="nl-BE"/>
        </w:rPr>
      </w:pPr>
      <w:r w:rsidRPr="00992199">
        <w:rPr>
          <w:szCs w:val="20"/>
        </w:rPr>
        <w:t xml:space="preserve">Marleen Vaesen began her career in 1982 at Procter &amp; Gamble, where she held a number of different marketing positions, the last being European Marketing Manager. In 1999 Marleen Vaesen became General Manager of Douwe Egberts Belgium, a subsidiary of Sara Lee. She was in charge of all the Belgian activities: retail, foodservice and the coffee roasting plant. In 2004 she was appointed Senior Vice President and was responsible for worldwide strategic planning and the development of innovations. As of 2006, as Regional Senior Vice President Coffee &amp; Tea, Marleen Vaesen was responsible for the operating results of ten European Sara Lee sites. Marleen Vaesen earned an Applied Economics degree at the Catholic University of Leuven, an MBA at the </w:t>
      </w:r>
      <w:smartTag w:uri="urn:schemas-microsoft-com:office:smarttags" w:element="PlaceType">
        <w:r w:rsidRPr="00992199">
          <w:rPr>
            <w:szCs w:val="20"/>
          </w:rPr>
          <w:t>University</w:t>
        </w:r>
      </w:smartTag>
      <w:r w:rsidRPr="00992199">
        <w:rPr>
          <w:szCs w:val="20"/>
        </w:rPr>
        <w:t xml:space="preserve"> of </w:t>
      </w:r>
      <w:smartTag w:uri="urn:schemas-microsoft-com:office:smarttags" w:element="PlaceName">
        <w:r w:rsidRPr="00992199">
          <w:rPr>
            <w:szCs w:val="20"/>
          </w:rPr>
          <w:t>Chicago</w:t>
        </w:r>
      </w:smartTag>
      <w:r w:rsidRPr="00992199">
        <w:rPr>
          <w:szCs w:val="20"/>
        </w:rPr>
        <w:t xml:space="preserve">, and participated in the Advanced Management Program at </w:t>
      </w:r>
      <w:smartTag w:uri="urn:schemas-microsoft-com:office:smarttags" w:element="place">
        <w:smartTag w:uri="urn:schemas-microsoft-com:office:smarttags" w:element="PlaceName">
          <w:r w:rsidRPr="00992199">
            <w:rPr>
              <w:szCs w:val="20"/>
            </w:rPr>
            <w:t>Harvard</w:t>
          </w:r>
        </w:smartTag>
        <w:r w:rsidRPr="00992199">
          <w:rPr>
            <w:szCs w:val="20"/>
          </w:rPr>
          <w:t xml:space="preserve"> </w:t>
        </w:r>
        <w:smartTag w:uri="urn:schemas-microsoft-com:office:smarttags" w:element="PlaceName">
          <w:r w:rsidRPr="00992199">
            <w:rPr>
              <w:szCs w:val="20"/>
            </w:rPr>
            <w:t>Business</w:t>
          </w:r>
        </w:smartTag>
        <w:r w:rsidRPr="00992199">
          <w:rPr>
            <w:szCs w:val="20"/>
          </w:rPr>
          <w:t xml:space="preserve"> </w:t>
        </w:r>
        <w:smartTag w:uri="urn:schemas-microsoft-com:office:smarttags" w:element="PlaceType">
          <w:r w:rsidRPr="00992199">
            <w:rPr>
              <w:szCs w:val="20"/>
            </w:rPr>
            <w:t>School</w:t>
          </w:r>
        </w:smartTag>
      </w:smartTag>
      <w:r w:rsidRPr="00992199">
        <w:rPr>
          <w:szCs w:val="20"/>
        </w:rPr>
        <w:t xml:space="preserve">. </w:t>
      </w:r>
      <w:r w:rsidRPr="00992199">
        <w:rPr>
          <w:szCs w:val="20"/>
          <w:lang w:val="nl-BE"/>
        </w:rPr>
        <w:t>Marleen Vaesen is also a director at Van de Velde NV.</w:t>
      </w:r>
    </w:p>
    <w:p w:rsidR="003F0BC5" w:rsidRPr="00992199" w:rsidRDefault="003F0BC5" w:rsidP="003F0BC5">
      <w:pPr>
        <w:rPr>
          <w:i/>
          <w:szCs w:val="20"/>
        </w:rPr>
      </w:pPr>
      <w:r w:rsidRPr="00992199">
        <w:rPr>
          <w:i/>
          <w:szCs w:val="20"/>
        </w:rPr>
        <w:t>Hilde Laga, Professor (age 59) - Non-executive, independent director</w:t>
      </w:r>
    </w:p>
    <w:p w:rsidR="003F0BC5" w:rsidRPr="00992199" w:rsidRDefault="003F0BC5" w:rsidP="003F0BC5">
      <w:pPr>
        <w:rPr>
          <w:szCs w:val="20"/>
          <w:lang w:val="nl-BE"/>
        </w:rPr>
      </w:pPr>
      <w:r w:rsidRPr="00992199">
        <w:rPr>
          <w:szCs w:val="20"/>
        </w:rPr>
        <w:t>Hilde Laga graduated as a Lic. Juris and as a Lic.Notarial at the Catholic University of Leuven and has a PhD in Law, also obtained at the Catholic Universi</w:t>
      </w:r>
      <w:r w:rsidR="00A07615">
        <w:rPr>
          <w:szCs w:val="20"/>
        </w:rPr>
        <w:t xml:space="preserve">ty of Leuven with a thesis on </w:t>
      </w:r>
      <w:r w:rsidR="00BF553B">
        <w:rPr>
          <w:szCs w:val="20"/>
        </w:rPr>
        <w:t>“</w:t>
      </w:r>
      <w:r w:rsidRPr="00992199">
        <w:rPr>
          <w:szCs w:val="20"/>
        </w:rPr>
        <w:t xml:space="preserve">Statuten, statutenwijziging en reglement van inwendige orde getoetst aan algemene beginselen van contractenrecht. </w:t>
      </w:r>
      <w:r w:rsidRPr="00992199">
        <w:rPr>
          <w:szCs w:val="20"/>
          <w:lang w:val="nl-BE"/>
        </w:rPr>
        <w:t>Een toepassing o</w:t>
      </w:r>
      <w:r w:rsidR="00A07615">
        <w:rPr>
          <w:szCs w:val="20"/>
          <w:lang w:val="nl-BE"/>
        </w:rPr>
        <w:t>p de coöperatieve vennootschap</w:t>
      </w:r>
      <w:r w:rsidR="00BF553B">
        <w:rPr>
          <w:szCs w:val="20"/>
          <w:lang w:val="nl-BE"/>
        </w:rPr>
        <w:t>”</w:t>
      </w:r>
      <w:r w:rsidRPr="00992199">
        <w:rPr>
          <w:szCs w:val="20"/>
          <w:lang w:val="nl-BE"/>
        </w:rPr>
        <w:t xml:space="preserve"> (promotor: Prof. dr. W. Van Gerven).</w:t>
      </w:r>
    </w:p>
    <w:p w:rsidR="003F0BC5" w:rsidRPr="00992199" w:rsidRDefault="003F0BC5" w:rsidP="003F0BC5">
      <w:pPr>
        <w:rPr>
          <w:szCs w:val="20"/>
        </w:rPr>
      </w:pPr>
      <w:r w:rsidRPr="00992199">
        <w:rPr>
          <w:szCs w:val="20"/>
        </w:rPr>
        <w:t xml:space="preserve">She was the founder and partner of the law firm </w:t>
      </w:r>
      <w:r w:rsidR="00BF553B">
        <w:rPr>
          <w:szCs w:val="20"/>
        </w:rPr>
        <w:t>“</w:t>
      </w:r>
      <w:r w:rsidRPr="00992199">
        <w:rPr>
          <w:szCs w:val="20"/>
        </w:rPr>
        <w:t>Laga</w:t>
      </w:r>
      <w:r w:rsidR="00BF553B">
        <w:rPr>
          <w:szCs w:val="20"/>
        </w:rPr>
        <w:t>”</w:t>
      </w:r>
      <w:r w:rsidRPr="00992199">
        <w:rPr>
          <w:szCs w:val="20"/>
        </w:rPr>
        <w:t xml:space="preserve">, with offices in </w:t>
      </w:r>
      <w:smartTag w:uri="urn:schemas-microsoft-com:office:smarttags" w:element="City">
        <w:r w:rsidRPr="00992199">
          <w:rPr>
            <w:szCs w:val="20"/>
          </w:rPr>
          <w:t>Brussels</w:t>
        </w:r>
      </w:smartTag>
      <w:r w:rsidRPr="00992199">
        <w:rPr>
          <w:szCs w:val="20"/>
        </w:rPr>
        <w:t xml:space="preserve">, </w:t>
      </w:r>
      <w:smartTag w:uri="urn:schemas-microsoft-com:office:smarttags" w:element="City">
        <w:r w:rsidRPr="00992199">
          <w:rPr>
            <w:szCs w:val="20"/>
          </w:rPr>
          <w:t>Antwerp</w:t>
        </w:r>
      </w:smartTag>
      <w:r w:rsidRPr="00992199">
        <w:rPr>
          <w:szCs w:val="20"/>
        </w:rPr>
        <w:t xml:space="preserve"> and </w:t>
      </w:r>
      <w:smartTag w:uri="urn:schemas-microsoft-com:office:smarttags" w:element="City">
        <w:smartTag w:uri="urn:schemas-microsoft-com:office:smarttags" w:element="place">
          <w:r w:rsidRPr="00992199">
            <w:rPr>
              <w:szCs w:val="20"/>
            </w:rPr>
            <w:t>Kortrijk</w:t>
          </w:r>
        </w:smartTag>
      </w:smartTag>
      <w:r w:rsidRPr="00992199">
        <w:rPr>
          <w:szCs w:val="20"/>
        </w:rPr>
        <w:t>. She was a member of the FSMA (former CBFA) Supervisory Board and Independent Director with NV Elia System Operator. Hilde also was a Judicial Trustee at NV Lernout and Hauspie Speech Products, appointed by the commercial court. She had a Professor Master’s Degree in Corporate Law at the K.U. Brussel and worked as a lawyer at Simont, Gutt &amp; Simont (currently Stibbe).</w:t>
      </w:r>
    </w:p>
    <w:p w:rsidR="003F0BC5" w:rsidRPr="00992199" w:rsidRDefault="003F0BC5" w:rsidP="003F0BC5">
      <w:pPr>
        <w:rPr>
          <w:szCs w:val="20"/>
        </w:rPr>
      </w:pPr>
      <w:r w:rsidRPr="00992199">
        <w:rPr>
          <w:szCs w:val="20"/>
        </w:rPr>
        <w:t>Hilde published several articles in legal publications relating to corporate, financial and contract law and gave lectures on those three topics during national and international conferences.</w:t>
      </w:r>
    </w:p>
    <w:p w:rsidR="003F0BC5" w:rsidRPr="00992199" w:rsidRDefault="003F0BC5" w:rsidP="003F0BC5">
      <w:pPr>
        <w:rPr>
          <w:szCs w:val="20"/>
        </w:rPr>
      </w:pPr>
      <w:r w:rsidRPr="00992199">
        <w:rPr>
          <w:szCs w:val="20"/>
        </w:rPr>
        <w:t>Hilde Laga was a Vlerick-Award 2004 Nominee (together with Peter Piot, Jean-Pierre Hansen and Johan Vande Lanotte) as well as a Manager of the Year 2007 Nominee (Trends Magazine).</w:t>
      </w:r>
    </w:p>
    <w:p w:rsidR="003F0BC5" w:rsidRPr="00992199" w:rsidRDefault="003F0BC5" w:rsidP="003F0BC5">
      <w:pPr>
        <w:rPr>
          <w:szCs w:val="20"/>
        </w:rPr>
      </w:pPr>
      <w:r w:rsidRPr="00992199">
        <w:rPr>
          <w:szCs w:val="20"/>
        </w:rPr>
        <w:t xml:space="preserve">At present, she is Vice-president of the Campaign Board K.U. Leuven (fundraising for the benefit of research into neurodegenerative diseases), Director of vzw Kortrijk.IN and a member of the </w:t>
      </w:r>
      <w:r w:rsidR="00BF553B">
        <w:rPr>
          <w:szCs w:val="20"/>
        </w:rPr>
        <w:t>“</w:t>
      </w:r>
      <w:r w:rsidRPr="00992199">
        <w:rPr>
          <w:szCs w:val="20"/>
        </w:rPr>
        <w:t>vzw Ons Erfdeel</w:t>
      </w:r>
      <w:r w:rsidR="00BF553B">
        <w:rPr>
          <w:szCs w:val="20"/>
        </w:rPr>
        <w:t>”</w:t>
      </w:r>
      <w:r w:rsidRPr="00992199">
        <w:rPr>
          <w:szCs w:val="20"/>
        </w:rPr>
        <w:t xml:space="preserve"> Board of Directors. She is also a member of the King Baudouin Foundation Support Committee, </w:t>
      </w:r>
      <w:smartTag w:uri="urn:schemas-microsoft-com:office:smarttags" w:element="place">
        <w:r w:rsidRPr="00992199">
          <w:rPr>
            <w:szCs w:val="20"/>
          </w:rPr>
          <w:t>West Flanders</w:t>
        </w:r>
      </w:smartTag>
      <w:r w:rsidRPr="00992199">
        <w:rPr>
          <w:szCs w:val="20"/>
        </w:rPr>
        <w:t xml:space="preserve"> division, Member of the Advisory Board Deloitte under the leadership of Count P.Buysse and a member Advisory Board VOKA and Visiting Professor at the Law Faculty K.U. Leuven.</w:t>
      </w:r>
    </w:p>
    <w:p w:rsidR="003F635D" w:rsidRPr="00992199" w:rsidRDefault="003F0BC5" w:rsidP="003F635D">
      <w:pPr>
        <w:rPr>
          <w:szCs w:val="20"/>
        </w:rPr>
      </w:pPr>
      <w:r w:rsidRPr="00992199">
        <w:rPr>
          <w:szCs w:val="20"/>
        </w:rPr>
        <w:t xml:space="preserve">Next to that, Hilde Laga is Member of the Board of Directors of Barco NV, Agfa-Gevaert NV, Gimv/VPM NV and Aedifica NV, Member of </w:t>
      </w:r>
      <w:r w:rsidR="000115E1">
        <w:rPr>
          <w:szCs w:val="20"/>
        </w:rPr>
        <w:t xml:space="preserve">the </w:t>
      </w:r>
      <w:r w:rsidR="00BF553B">
        <w:rPr>
          <w:szCs w:val="20"/>
        </w:rPr>
        <w:t>“</w:t>
      </w:r>
      <w:r w:rsidRPr="00992199">
        <w:rPr>
          <w:szCs w:val="20"/>
        </w:rPr>
        <w:t>Belgische Corporate Governance Commissie</w:t>
      </w:r>
      <w:r w:rsidR="00BF553B">
        <w:rPr>
          <w:szCs w:val="20"/>
        </w:rPr>
        <w:t>”</w:t>
      </w:r>
      <w:r w:rsidRPr="00992199">
        <w:rPr>
          <w:szCs w:val="20"/>
        </w:rPr>
        <w:t xml:space="preserve">, Member of the Board of Directors K.U.Leuven, Member of </w:t>
      </w:r>
      <w:r w:rsidR="00BF553B">
        <w:rPr>
          <w:szCs w:val="20"/>
        </w:rPr>
        <w:t>“</w:t>
      </w:r>
      <w:r w:rsidRPr="00992199">
        <w:rPr>
          <w:szCs w:val="20"/>
        </w:rPr>
        <w:t>Bestuurs- en associatiecomité UZ Leuven Gasthuisberg</w:t>
      </w:r>
      <w:r w:rsidR="00BF553B">
        <w:rPr>
          <w:szCs w:val="20"/>
        </w:rPr>
        <w:t>”</w:t>
      </w:r>
      <w:r w:rsidRPr="00992199">
        <w:rPr>
          <w:szCs w:val="20"/>
        </w:rPr>
        <w:t>, Member of the Advisory Council of RNCI (Remuneration and Nomination Committee Institute).</w:t>
      </w:r>
      <w:r w:rsidR="00007CAE">
        <w:rPr>
          <w:szCs w:val="20"/>
        </w:rPr>
        <w:t>]</w:t>
      </w:r>
    </w:p>
    <w:p w:rsidR="0074141B" w:rsidRDefault="0074141B" w:rsidP="0074141B">
      <w:pPr>
        <w:pStyle w:val="Firm5L4"/>
        <w:keepNext/>
      </w:pPr>
      <w:r>
        <w:rPr>
          <w:lang w:bidi="as-IN"/>
        </w:rPr>
        <w:t>Information</w:t>
      </w:r>
      <w:r>
        <w:t xml:space="preserve"> on the directors before completion of the Transactions</w:t>
      </w:r>
    </w:p>
    <w:p w:rsidR="003F0BC5" w:rsidRPr="00992199" w:rsidRDefault="003F0BC5" w:rsidP="003F635D">
      <w:pPr>
        <w:rPr>
          <w:szCs w:val="20"/>
        </w:rPr>
      </w:pPr>
      <w:r w:rsidRPr="00992199">
        <w:rPr>
          <w:szCs w:val="20"/>
        </w:rPr>
        <w:t>Subject to and effective as of the completion of the Transactions, the Board of Directors shall be composed as follows:</w:t>
      </w:r>
    </w:p>
    <w:tbl>
      <w:tblPr>
        <w:tblW w:w="5000" w:type="pct"/>
        <w:tblLook w:val="0000" w:firstRow="0" w:lastRow="0" w:firstColumn="0" w:lastColumn="0" w:noHBand="0" w:noVBand="0"/>
      </w:tblPr>
      <w:tblGrid>
        <w:gridCol w:w="2276"/>
        <w:gridCol w:w="1422"/>
        <w:gridCol w:w="1422"/>
        <w:gridCol w:w="1707"/>
        <w:gridCol w:w="2418"/>
      </w:tblGrid>
      <w:tr w:rsidR="003F0BC5" w:rsidRPr="00105E1E" w:rsidTr="00BB0F52">
        <w:trPr>
          <w:trHeight w:val="20"/>
        </w:trPr>
        <w:tc>
          <w:tcPr>
            <w:tcW w:w="1231" w:type="pct"/>
            <w:shd w:val="clear" w:color="auto" w:fill="auto"/>
            <w:vAlign w:val="bottom"/>
          </w:tcPr>
          <w:p w:rsidR="003F0BC5" w:rsidRPr="00105E1E" w:rsidRDefault="003F0BC5" w:rsidP="00FE2AF5">
            <w:pPr>
              <w:keepNext/>
              <w:keepLines/>
              <w:pBdr>
                <w:bottom w:val="single" w:sz="4" w:space="1" w:color="auto"/>
              </w:pBdr>
              <w:spacing w:before="0" w:after="0"/>
              <w:jc w:val="left"/>
              <w:rPr>
                <w:b/>
                <w:bCs/>
                <w:sz w:val="18"/>
                <w:szCs w:val="18"/>
              </w:rPr>
            </w:pPr>
            <w:r w:rsidRPr="00105E1E">
              <w:rPr>
                <w:b/>
                <w:bCs/>
                <w:sz w:val="18"/>
                <w:szCs w:val="18"/>
              </w:rPr>
              <w:lastRenderedPageBreak/>
              <w:t>Director’s name</w:t>
            </w:r>
          </w:p>
        </w:tc>
        <w:tc>
          <w:tcPr>
            <w:tcW w:w="769" w:type="pct"/>
            <w:shd w:val="clear" w:color="auto" w:fill="auto"/>
            <w:vAlign w:val="bottom"/>
          </w:tcPr>
          <w:p w:rsidR="003F0BC5" w:rsidRPr="00105E1E" w:rsidRDefault="003F0BC5" w:rsidP="00FE2AF5">
            <w:pPr>
              <w:keepNext/>
              <w:keepLines/>
              <w:pBdr>
                <w:bottom w:val="single" w:sz="4" w:space="1" w:color="auto"/>
              </w:pBdr>
              <w:spacing w:before="0" w:after="0"/>
              <w:jc w:val="center"/>
              <w:rPr>
                <w:b/>
                <w:bCs/>
                <w:sz w:val="18"/>
                <w:szCs w:val="18"/>
              </w:rPr>
            </w:pPr>
            <w:r w:rsidRPr="00105E1E">
              <w:rPr>
                <w:b/>
                <w:bCs/>
                <w:sz w:val="18"/>
                <w:szCs w:val="18"/>
              </w:rPr>
              <w:t>Date of</w:t>
            </w:r>
          </w:p>
          <w:p w:rsidR="003F0BC5" w:rsidRPr="00105E1E" w:rsidRDefault="003F0BC5" w:rsidP="00FE2AF5">
            <w:pPr>
              <w:keepNext/>
              <w:keepLines/>
              <w:pBdr>
                <w:bottom w:val="single" w:sz="4" w:space="1" w:color="auto"/>
              </w:pBdr>
              <w:spacing w:before="0" w:after="0"/>
              <w:jc w:val="center"/>
              <w:rPr>
                <w:b/>
                <w:bCs/>
                <w:sz w:val="18"/>
                <w:szCs w:val="18"/>
              </w:rPr>
            </w:pPr>
            <w:r w:rsidRPr="00105E1E">
              <w:rPr>
                <w:b/>
                <w:bCs/>
                <w:sz w:val="18"/>
                <w:szCs w:val="18"/>
              </w:rPr>
              <w:t>appointment</w:t>
            </w:r>
          </w:p>
        </w:tc>
        <w:tc>
          <w:tcPr>
            <w:tcW w:w="769" w:type="pct"/>
            <w:shd w:val="clear" w:color="auto" w:fill="auto"/>
            <w:vAlign w:val="bottom"/>
          </w:tcPr>
          <w:p w:rsidR="003F0BC5" w:rsidRPr="00105E1E" w:rsidRDefault="003F0BC5" w:rsidP="00FE2AF5">
            <w:pPr>
              <w:keepNext/>
              <w:keepLines/>
              <w:pBdr>
                <w:bottom w:val="single" w:sz="4" w:space="1" w:color="auto"/>
              </w:pBdr>
              <w:spacing w:before="0" w:after="0"/>
              <w:jc w:val="center"/>
              <w:rPr>
                <w:b/>
                <w:bCs/>
                <w:sz w:val="18"/>
                <w:szCs w:val="18"/>
              </w:rPr>
            </w:pPr>
            <w:r w:rsidRPr="00105E1E">
              <w:rPr>
                <w:b/>
                <w:bCs/>
                <w:sz w:val="18"/>
                <w:szCs w:val="18"/>
              </w:rPr>
              <w:t>Term of office ends on</w:t>
            </w:r>
          </w:p>
        </w:tc>
        <w:tc>
          <w:tcPr>
            <w:tcW w:w="923" w:type="pct"/>
            <w:shd w:val="clear" w:color="auto" w:fill="auto"/>
            <w:vAlign w:val="bottom"/>
          </w:tcPr>
          <w:p w:rsidR="003F0BC5" w:rsidRPr="00105E1E" w:rsidRDefault="003F0BC5" w:rsidP="00FE2AF5">
            <w:pPr>
              <w:keepNext/>
              <w:keepLines/>
              <w:pBdr>
                <w:bottom w:val="single" w:sz="4" w:space="1" w:color="auto"/>
              </w:pBdr>
              <w:spacing w:before="0" w:after="0"/>
              <w:jc w:val="center"/>
              <w:rPr>
                <w:b/>
                <w:bCs/>
                <w:sz w:val="18"/>
                <w:szCs w:val="18"/>
              </w:rPr>
            </w:pPr>
            <w:r w:rsidRPr="00105E1E">
              <w:rPr>
                <w:b/>
                <w:bCs/>
                <w:sz w:val="18"/>
                <w:szCs w:val="18"/>
              </w:rPr>
              <w:t xml:space="preserve">Executive / </w:t>
            </w:r>
            <w:r w:rsidRPr="00105E1E">
              <w:rPr>
                <w:b/>
                <w:bCs/>
                <w:sz w:val="18"/>
                <w:szCs w:val="18"/>
              </w:rPr>
              <w:br/>
              <w:t>non-executive</w:t>
            </w:r>
          </w:p>
        </w:tc>
        <w:tc>
          <w:tcPr>
            <w:tcW w:w="1308" w:type="pct"/>
            <w:shd w:val="clear" w:color="auto" w:fill="auto"/>
            <w:vAlign w:val="bottom"/>
          </w:tcPr>
          <w:p w:rsidR="003F0BC5" w:rsidRPr="00105E1E" w:rsidRDefault="003F0BC5" w:rsidP="00FE2AF5">
            <w:pPr>
              <w:keepNext/>
              <w:keepLines/>
              <w:pBdr>
                <w:bottom w:val="single" w:sz="4" w:space="1" w:color="auto"/>
              </w:pBdr>
              <w:spacing w:before="0" w:after="0"/>
              <w:jc w:val="center"/>
              <w:rPr>
                <w:b/>
                <w:bCs/>
                <w:sz w:val="18"/>
                <w:szCs w:val="18"/>
              </w:rPr>
            </w:pPr>
            <w:r w:rsidRPr="00105E1E">
              <w:rPr>
                <w:b/>
                <w:bCs/>
                <w:sz w:val="18"/>
                <w:szCs w:val="18"/>
              </w:rPr>
              <w:t xml:space="preserve">Independent / </w:t>
            </w:r>
            <w:r w:rsidRPr="00105E1E">
              <w:rPr>
                <w:b/>
                <w:bCs/>
                <w:sz w:val="18"/>
                <w:szCs w:val="18"/>
              </w:rPr>
              <w:br/>
              <w:t>non-independent</w:t>
            </w:r>
          </w:p>
          <w:p w:rsidR="003F0BC5" w:rsidRPr="00105E1E" w:rsidRDefault="003F0BC5" w:rsidP="00FE2AF5">
            <w:pPr>
              <w:keepNext/>
              <w:keepLines/>
              <w:pBdr>
                <w:bottom w:val="single" w:sz="4" w:space="1" w:color="auto"/>
              </w:pBdr>
              <w:spacing w:before="0" w:after="0"/>
              <w:jc w:val="center"/>
              <w:rPr>
                <w:b/>
                <w:bCs/>
                <w:sz w:val="18"/>
                <w:szCs w:val="18"/>
              </w:rPr>
            </w:pPr>
            <w:r w:rsidRPr="00105E1E">
              <w:rPr>
                <w:b/>
                <w:bCs/>
                <w:sz w:val="18"/>
                <w:szCs w:val="18"/>
              </w:rPr>
              <w:t>director</w:t>
            </w:r>
          </w:p>
        </w:tc>
      </w:tr>
      <w:tr w:rsidR="003F0BC5" w:rsidRPr="00105E1E" w:rsidTr="00BB0F52">
        <w:trPr>
          <w:trHeight w:val="20"/>
        </w:trPr>
        <w:tc>
          <w:tcPr>
            <w:tcW w:w="1231" w:type="pct"/>
            <w:shd w:val="clear" w:color="auto" w:fill="auto"/>
            <w:vAlign w:val="bottom"/>
          </w:tcPr>
          <w:p w:rsidR="003F0BC5" w:rsidRPr="00105E1E" w:rsidRDefault="003F0BC5" w:rsidP="00FE2AF5">
            <w:pPr>
              <w:keepNext/>
              <w:keepLines/>
              <w:spacing w:before="0" w:after="0"/>
              <w:jc w:val="left"/>
              <w:rPr>
                <w:sz w:val="18"/>
                <w:szCs w:val="18"/>
              </w:rPr>
            </w:pPr>
            <w:r w:rsidRPr="00105E1E">
              <w:rPr>
                <w:sz w:val="18"/>
                <w:szCs w:val="18"/>
              </w:rPr>
              <w:t>NV Deprez Invest</w:t>
            </w:r>
            <w:r w:rsidRPr="00105E1E">
              <w:rPr>
                <w:sz w:val="18"/>
                <w:szCs w:val="18"/>
              </w:rPr>
              <w:br/>
              <w:t xml:space="preserve">p.r. by </w:t>
            </w:r>
            <w:r w:rsidR="00334BBC" w:rsidRPr="00105E1E">
              <w:rPr>
                <w:sz w:val="18"/>
                <w:szCs w:val="18"/>
              </w:rPr>
              <w:t>Mr Hein Deprez</w:t>
            </w:r>
          </w:p>
        </w:tc>
        <w:tc>
          <w:tcPr>
            <w:tcW w:w="769" w:type="pct"/>
            <w:shd w:val="clear" w:color="auto" w:fill="auto"/>
            <w:vAlign w:val="bottom"/>
          </w:tcPr>
          <w:p w:rsidR="003F0BC5" w:rsidRPr="00105E1E" w:rsidRDefault="003F0BC5" w:rsidP="00FE2AF5">
            <w:pPr>
              <w:keepNext/>
              <w:keepLines/>
              <w:spacing w:before="0" w:after="0"/>
              <w:jc w:val="center"/>
              <w:rPr>
                <w:sz w:val="18"/>
                <w:szCs w:val="18"/>
              </w:rPr>
            </w:pPr>
            <w:r w:rsidRPr="00105E1E">
              <w:rPr>
                <w:sz w:val="18"/>
                <w:szCs w:val="18"/>
              </w:rPr>
              <w:t>[19/06/2015]</w:t>
            </w:r>
          </w:p>
        </w:tc>
        <w:tc>
          <w:tcPr>
            <w:tcW w:w="769" w:type="pct"/>
            <w:shd w:val="clear" w:color="auto" w:fill="auto"/>
            <w:vAlign w:val="bottom"/>
          </w:tcPr>
          <w:p w:rsidR="003F0BC5" w:rsidRPr="00105E1E" w:rsidRDefault="003F0BC5" w:rsidP="00FE2AF5">
            <w:pPr>
              <w:keepNext/>
              <w:keepLines/>
              <w:spacing w:before="0" w:after="0"/>
              <w:jc w:val="center"/>
              <w:rPr>
                <w:sz w:val="18"/>
                <w:szCs w:val="18"/>
              </w:rPr>
            </w:pPr>
            <w:r w:rsidRPr="00105E1E">
              <w:rPr>
                <w:sz w:val="18"/>
                <w:szCs w:val="18"/>
              </w:rPr>
              <w:t>AGM 2019</w:t>
            </w:r>
          </w:p>
        </w:tc>
        <w:tc>
          <w:tcPr>
            <w:tcW w:w="923" w:type="pct"/>
            <w:shd w:val="clear" w:color="auto" w:fill="auto"/>
            <w:vAlign w:val="bottom"/>
          </w:tcPr>
          <w:p w:rsidR="003F0BC5" w:rsidRPr="00105E1E" w:rsidRDefault="000115E1" w:rsidP="00FE2AF5">
            <w:pPr>
              <w:keepNext/>
              <w:keepLines/>
              <w:spacing w:before="0" w:after="0"/>
              <w:jc w:val="center"/>
              <w:rPr>
                <w:sz w:val="18"/>
                <w:szCs w:val="18"/>
              </w:rPr>
            </w:pPr>
            <w:r>
              <w:rPr>
                <w:sz w:val="18"/>
                <w:szCs w:val="18"/>
              </w:rPr>
              <w:t>E</w:t>
            </w:r>
            <w:r w:rsidR="003F0BC5" w:rsidRPr="00105E1E">
              <w:rPr>
                <w:sz w:val="18"/>
                <w:szCs w:val="18"/>
              </w:rPr>
              <w:t>xecutive</w:t>
            </w:r>
          </w:p>
        </w:tc>
        <w:tc>
          <w:tcPr>
            <w:tcW w:w="1308" w:type="pct"/>
            <w:shd w:val="clear" w:color="auto" w:fill="auto"/>
            <w:vAlign w:val="bottom"/>
          </w:tcPr>
          <w:p w:rsidR="003F0BC5" w:rsidRPr="00105E1E" w:rsidRDefault="003F0BC5" w:rsidP="00FE2AF5">
            <w:pPr>
              <w:keepNext/>
              <w:keepLines/>
              <w:spacing w:before="0" w:after="0"/>
              <w:jc w:val="center"/>
              <w:rPr>
                <w:sz w:val="18"/>
                <w:szCs w:val="18"/>
              </w:rPr>
            </w:pPr>
            <w:r w:rsidRPr="00105E1E">
              <w:rPr>
                <w:sz w:val="18"/>
                <w:szCs w:val="18"/>
              </w:rPr>
              <w:t>Non-independent director</w:t>
            </w:r>
          </w:p>
        </w:tc>
      </w:tr>
      <w:tr w:rsidR="003F0BC5" w:rsidRPr="00105E1E" w:rsidTr="00BB0F52">
        <w:trPr>
          <w:trHeight w:val="20"/>
        </w:trPr>
        <w:tc>
          <w:tcPr>
            <w:tcW w:w="1231" w:type="pct"/>
            <w:shd w:val="clear" w:color="auto" w:fill="auto"/>
            <w:vAlign w:val="bottom"/>
          </w:tcPr>
          <w:p w:rsidR="003F0BC5" w:rsidRPr="00105E1E" w:rsidRDefault="003F0BC5" w:rsidP="00FE2AF5">
            <w:pPr>
              <w:keepNext/>
              <w:keepLines/>
              <w:spacing w:before="0" w:after="0"/>
              <w:jc w:val="left"/>
              <w:rPr>
                <w:sz w:val="18"/>
                <w:szCs w:val="18"/>
              </w:rPr>
            </w:pPr>
            <w:r w:rsidRPr="00105E1E">
              <w:rPr>
                <w:sz w:val="18"/>
                <w:szCs w:val="18"/>
              </w:rPr>
              <w:t>BVBA The Marble</w:t>
            </w:r>
            <w:r w:rsidRPr="00105E1E">
              <w:rPr>
                <w:sz w:val="18"/>
                <w:szCs w:val="18"/>
              </w:rPr>
              <w:br/>
              <w:t>p.r. by Mr Luc Van Nevel</w:t>
            </w:r>
          </w:p>
        </w:tc>
        <w:tc>
          <w:tcPr>
            <w:tcW w:w="769" w:type="pct"/>
            <w:shd w:val="clear" w:color="auto" w:fill="auto"/>
            <w:vAlign w:val="bottom"/>
          </w:tcPr>
          <w:p w:rsidR="003F0BC5" w:rsidRPr="00105E1E" w:rsidRDefault="003F0BC5" w:rsidP="00FE2AF5">
            <w:pPr>
              <w:keepNext/>
              <w:keepLines/>
              <w:spacing w:before="0" w:after="0"/>
              <w:jc w:val="center"/>
              <w:rPr>
                <w:sz w:val="18"/>
                <w:szCs w:val="18"/>
              </w:rPr>
            </w:pPr>
            <w:r w:rsidRPr="00105E1E">
              <w:rPr>
                <w:sz w:val="18"/>
                <w:szCs w:val="18"/>
              </w:rPr>
              <w:t>[19/06/2015]</w:t>
            </w:r>
          </w:p>
        </w:tc>
        <w:tc>
          <w:tcPr>
            <w:tcW w:w="769" w:type="pct"/>
            <w:shd w:val="clear" w:color="auto" w:fill="auto"/>
            <w:vAlign w:val="bottom"/>
          </w:tcPr>
          <w:p w:rsidR="003F0BC5" w:rsidRPr="00105E1E" w:rsidRDefault="003F0BC5" w:rsidP="00FE2AF5">
            <w:pPr>
              <w:keepNext/>
              <w:keepLines/>
              <w:spacing w:before="0" w:after="0"/>
              <w:jc w:val="center"/>
              <w:rPr>
                <w:sz w:val="18"/>
                <w:szCs w:val="18"/>
              </w:rPr>
            </w:pPr>
            <w:r w:rsidRPr="00105E1E">
              <w:rPr>
                <w:sz w:val="18"/>
                <w:szCs w:val="18"/>
              </w:rPr>
              <w:t>AGM 2019</w:t>
            </w:r>
          </w:p>
        </w:tc>
        <w:tc>
          <w:tcPr>
            <w:tcW w:w="923" w:type="pct"/>
            <w:shd w:val="clear" w:color="auto" w:fill="auto"/>
            <w:vAlign w:val="bottom"/>
          </w:tcPr>
          <w:p w:rsidR="003F0BC5" w:rsidRPr="00105E1E" w:rsidRDefault="003F0BC5" w:rsidP="00FE2AF5">
            <w:pPr>
              <w:keepNext/>
              <w:keepLines/>
              <w:spacing w:before="0" w:after="0"/>
              <w:jc w:val="center"/>
              <w:rPr>
                <w:sz w:val="18"/>
                <w:szCs w:val="18"/>
              </w:rPr>
            </w:pPr>
            <w:r w:rsidRPr="00105E1E">
              <w:rPr>
                <w:sz w:val="18"/>
                <w:szCs w:val="18"/>
              </w:rPr>
              <w:t>Non-executive</w:t>
            </w:r>
          </w:p>
        </w:tc>
        <w:tc>
          <w:tcPr>
            <w:tcW w:w="1308" w:type="pct"/>
            <w:shd w:val="clear" w:color="auto" w:fill="auto"/>
            <w:vAlign w:val="bottom"/>
          </w:tcPr>
          <w:p w:rsidR="003F0BC5" w:rsidRPr="00105E1E" w:rsidRDefault="003F0BC5" w:rsidP="00FE2AF5">
            <w:pPr>
              <w:keepNext/>
              <w:keepLines/>
              <w:spacing w:before="0" w:after="0"/>
              <w:jc w:val="center"/>
              <w:rPr>
                <w:sz w:val="18"/>
                <w:szCs w:val="18"/>
              </w:rPr>
            </w:pPr>
            <w:r w:rsidRPr="00105E1E">
              <w:rPr>
                <w:sz w:val="18"/>
                <w:szCs w:val="18"/>
              </w:rPr>
              <w:t>Independent director</w:t>
            </w:r>
          </w:p>
        </w:tc>
      </w:tr>
      <w:tr w:rsidR="003F0BC5" w:rsidRPr="00105E1E" w:rsidTr="00BB0F52">
        <w:trPr>
          <w:trHeight w:val="20"/>
        </w:trPr>
        <w:tc>
          <w:tcPr>
            <w:tcW w:w="1231" w:type="pct"/>
            <w:shd w:val="clear" w:color="auto" w:fill="auto"/>
            <w:vAlign w:val="bottom"/>
          </w:tcPr>
          <w:p w:rsidR="003F0BC5" w:rsidRPr="00105E1E" w:rsidRDefault="003F0BC5" w:rsidP="00FE2AF5">
            <w:pPr>
              <w:spacing w:before="0" w:after="0"/>
              <w:jc w:val="left"/>
              <w:rPr>
                <w:sz w:val="18"/>
                <w:szCs w:val="18"/>
              </w:rPr>
            </w:pPr>
            <w:r w:rsidRPr="00105E1E">
              <w:rPr>
                <w:sz w:val="18"/>
                <w:szCs w:val="18"/>
              </w:rPr>
              <w:t>[Frank Donck]</w:t>
            </w:r>
          </w:p>
        </w:tc>
        <w:tc>
          <w:tcPr>
            <w:tcW w:w="769" w:type="pct"/>
            <w:shd w:val="clear" w:color="auto" w:fill="auto"/>
            <w:vAlign w:val="bottom"/>
          </w:tcPr>
          <w:p w:rsidR="003F0BC5" w:rsidRPr="00105E1E" w:rsidRDefault="003F0BC5" w:rsidP="00FE2AF5">
            <w:pPr>
              <w:spacing w:before="0" w:after="0"/>
              <w:jc w:val="center"/>
              <w:rPr>
                <w:sz w:val="18"/>
                <w:szCs w:val="18"/>
              </w:rPr>
            </w:pPr>
            <w:r w:rsidRPr="00105E1E">
              <w:rPr>
                <w:sz w:val="18"/>
                <w:szCs w:val="18"/>
              </w:rPr>
              <w:t>20/05/2011</w:t>
            </w:r>
          </w:p>
        </w:tc>
        <w:tc>
          <w:tcPr>
            <w:tcW w:w="769" w:type="pct"/>
            <w:shd w:val="clear" w:color="auto" w:fill="auto"/>
            <w:vAlign w:val="bottom"/>
          </w:tcPr>
          <w:p w:rsidR="003F0BC5" w:rsidRPr="00105E1E" w:rsidRDefault="003F0BC5" w:rsidP="00FE2AF5">
            <w:pPr>
              <w:spacing w:before="0" w:after="0"/>
              <w:jc w:val="center"/>
              <w:rPr>
                <w:sz w:val="18"/>
                <w:szCs w:val="18"/>
              </w:rPr>
            </w:pPr>
            <w:r w:rsidRPr="00105E1E">
              <w:rPr>
                <w:sz w:val="18"/>
                <w:szCs w:val="18"/>
              </w:rPr>
              <w:t>AGM 2015</w:t>
            </w:r>
          </w:p>
        </w:tc>
        <w:tc>
          <w:tcPr>
            <w:tcW w:w="923" w:type="pct"/>
            <w:shd w:val="clear" w:color="auto" w:fill="auto"/>
            <w:vAlign w:val="bottom"/>
          </w:tcPr>
          <w:p w:rsidR="003F0BC5" w:rsidRPr="00105E1E" w:rsidRDefault="003F0BC5" w:rsidP="00FE2AF5">
            <w:pPr>
              <w:spacing w:before="0" w:after="0"/>
              <w:jc w:val="center"/>
              <w:rPr>
                <w:sz w:val="18"/>
                <w:szCs w:val="18"/>
              </w:rPr>
            </w:pPr>
            <w:r w:rsidRPr="00105E1E">
              <w:rPr>
                <w:sz w:val="18"/>
                <w:szCs w:val="18"/>
              </w:rPr>
              <w:t>Non-executive</w:t>
            </w:r>
          </w:p>
        </w:tc>
        <w:tc>
          <w:tcPr>
            <w:tcW w:w="1308" w:type="pct"/>
            <w:shd w:val="clear" w:color="auto" w:fill="auto"/>
            <w:vAlign w:val="bottom"/>
          </w:tcPr>
          <w:p w:rsidR="003F0BC5" w:rsidRPr="00105E1E" w:rsidRDefault="003F0BC5" w:rsidP="00FE2AF5">
            <w:pPr>
              <w:spacing w:before="0" w:after="0"/>
              <w:jc w:val="center"/>
              <w:rPr>
                <w:sz w:val="18"/>
                <w:szCs w:val="18"/>
              </w:rPr>
            </w:pPr>
            <w:r w:rsidRPr="00105E1E">
              <w:rPr>
                <w:sz w:val="18"/>
                <w:szCs w:val="18"/>
              </w:rPr>
              <w:t>Independent director</w:t>
            </w:r>
          </w:p>
        </w:tc>
      </w:tr>
      <w:tr w:rsidR="003F0BC5" w:rsidRPr="00105E1E" w:rsidTr="00BB0F52">
        <w:trPr>
          <w:trHeight w:val="20"/>
        </w:trPr>
        <w:tc>
          <w:tcPr>
            <w:tcW w:w="1231" w:type="pct"/>
            <w:shd w:val="clear" w:color="auto" w:fill="auto"/>
            <w:vAlign w:val="bottom"/>
          </w:tcPr>
          <w:p w:rsidR="003F0BC5" w:rsidRPr="00105E1E" w:rsidRDefault="003F0BC5" w:rsidP="00FE2AF5">
            <w:pPr>
              <w:spacing w:before="0" w:after="0"/>
              <w:jc w:val="left"/>
              <w:rPr>
                <w:sz w:val="18"/>
                <w:szCs w:val="18"/>
              </w:rPr>
            </w:pPr>
            <w:r w:rsidRPr="00105E1E">
              <w:rPr>
                <w:sz w:val="18"/>
                <w:szCs w:val="18"/>
              </w:rPr>
              <w:t>Hilde Laga</w:t>
            </w:r>
          </w:p>
        </w:tc>
        <w:tc>
          <w:tcPr>
            <w:tcW w:w="769" w:type="pct"/>
            <w:shd w:val="clear" w:color="auto" w:fill="auto"/>
            <w:vAlign w:val="bottom"/>
          </w:tcPr>
          <w:p w:rsidR="003F0BC5" w:rsidRPr="00105E1E" w:rsidRDefault="003F0BC5" w:rsidP="00FE2AF5">
            <w:pPr>
              <w:spacing w:before="0" w:after="0"/>
              <w:jc w:val="center"/>
              <w:rPr>
                <w:sz w:val="18"/>
                <w:szCs w:val="18"/>
              </w:rPr>
            </w:pPr>
            <w:r w:rsidRPr="00105E1E">
              <w:rPr>
                <w:sz w:val="18"/>
                <w:szCs w:val="18"/>
              </w:rPr>
              <w:t>[19/06/2015]</w:t>
            </w:r>
          </w:p>
        </w:tc>
        <w:tc>
          <w:tcPr>
            <w:tcW w:w="769" w:type="pct"/>
            <w:shd w:val="clear" w:color="auto" w:fill="auto"/>
            <w:vAlign w:val="bottom"/>
          </w:tcPr>
          <w:p w:rsidR="003F0BC5" w:rsidRPr="00105E1E" w:rsidRDefault="003F0BC5" w:rsidP="00FE2AF5">
            <w:pPr>
              <w:spacing w:before="0" w:after="0"/>
              <w:jc w:val="center"/>
              <w:rPr>
                <w:sz w:val="18"/>
                <w:szCs w:val="18"/>
              </w:rPr>
            </w:pPr>
            <w:r w:rsidRPr="00105E1E">
              <w:rPr>
                <w:sz w:val="18"/>
                <w:szCs w:val="18"/>
              </w:rPr>
              <w:t>AGM 2019</w:t>
            </w:r>
          </w:p>
        </w:tc>
        <w:tc>
          <w:tcPr>
            <w:tcW w:w="923" w:type="pct"/>
            <w:shd w:val="clear" w:color="auto" w:fill="auto"/>
            <w:vAlign w:val="bottom"/>
          </w:tcPr>
          <w:p w:rsidR="003F0BC5" w:rsidRPr="00105E1E" w:rsidRDefault="003F0BC5" w:rsidP="00FE2AF5">
            <w:pPr>
              <w:spacing w:before="0" w:after="0"/>
              <w:jc w:val="center"/>
              <w:rPr>
                <w:sz w:val="18"/>
                <w:szCs w:val="18"/>
              </w:rPr>
            </w:pPr>
            <w:r w:rsidRPr="00105E1E">
              <w:rPr>
                <w:sz w:val="18"/>
                <w:szCs w:val="18"/>
              </w:rPr>
              <w:t>Non-executive</w:t>
            </w:r>
          </w:p>
        </w:tc>
        <w:tc>
          <w:tcPr>
            <w:tcW w:w="1308" w:type="pct"/>
            <w:shd w:val="clear" w:color="auto" w:fill="auto"/>
            <w:vAlign w:val="bottom"/>
          </w:tcPr>
          <w:p w:rsidR="003F0BC5" w:rsidRPr="00105E1E" w:rsidRDefault="003F0BC5" w:rsidP="00FE2AF5">
            <w:pPr>
              <w:spacing w:before="0" w:after="0"/>
              <w:jc w:val="center"/>
              <w:rPr>
                <w:sz w:val="18"/>
                <w:szCs w:val="18"/>
              </w:rPr>
            </w:pPr>
            <w:r w:rsidRPr="00105E1E">
              <w:rPr>
                <w:sz w:val="18"/>
                <w:szCs w:val="18"/>
              </w:rPr>
              <w:t>Independent director</w:t>
            </w:r>
          </w:p>
        </w:tc>
      </w:tr>
      <w:tr w:rsidR="003F0BC5" w:rsidRPr="00105E1E" w:rsidTr="00BB0F52">
        <w:trPr>
          <w:trHeight w:val="20"/>
        </w:trPr>
        <w:tc>
          <w:tcPr>
            <w:tcW w:w="1231" w:type="pct"/>
            <w:shd w:val="clear" w:color="auto" w:fill="auto"/>
            <w:vAlign w:val="bottom"/>
          </w:tcPr>
          <w:p w:rsidR="003F0BC5" w:rsidRPr="00105E1E" w:rsidRDefault="003F0BC5" w:rsidP="00FE2AF5">
            <w:pPr>
              <w:spacing w:before="0" w:after="0"/>
              <w:jc w:val="left"/>
              <w:rPr>
                <w:sz w:val="18"/>
                <w:szCs w:val="18"/>
              </w:rPr>
            </w:pPr>
            <w:r w:rsidRPr="00105E1E">
              <w:rPr>
                <w:sz w:val="18"/>
                <w:szCs w:val="18"/>
              </w:rPr>
              <w:t>BVBA Ardiego</w:t>
            </w:r>
            <w:r w:rsidRPr="00105E1E">
              <w:rPr>
                <w:sz w:val="18"/>
                <w:szCs w:val="18"/>
              </w:rPr>
              <w:br/>
              <w:t>p.r. by Mr Arthur Goethals</w:t>
            </w:r>
          </w:p>
        </w:tc>
        <w:tc>
          <w:tcPr>
            <w:tcW w:w="769" w:type="pct"/>
            <w:shd w:val="clear" w:color="auto" w:fill="auto"/>
            <w:vAlign w:val="bottom"/>
          </w:tcPr>
          <w:p w:rsidR="003F0BC5" w:rsidRPr="00105E1E" w:rsidRDefault="003F0BC5" w:rsidP="00FE2AF5">
            <w:pPr>
              <w:spacing w:before="0" w:after="0"/>
              <w:jc w:val="center"/>
              <w:rPr>
                <w:sz w:val="18"/>
                <w:szCs w:val="18"/>
              </w:rPr>
            </w:pPr>
            <w:r w:rsidRPr="00105E1E">
              <w:rPr>
                <w:sz w:val="18"/>
                <w:szCs w:val="18"/>
              </w:rPr>
              <w:t>[19/06/2015]</w:t>
            </w:r>
          </w:p>
        </w:tc>
        <w:tc>
          <w:tcPr>
            <w:tcW w:w="769" w:type="pct"/>
            <w:shd w:val="clear" w:color="auto" w:fill="auto"/>
            <w:vAlign w:val="bottom"/>
          </w:tcPr>
          <w:p w:rsidR="003F0BC5" w:rsidRPr="00105E1E" w:rsidRDefault="003F0BC5" w:rsidP="00FE2AF5">
            <w:pPr>
              <w:spacing w:before="0" w:after="0"/>
              <w:jc w:val="center"/>
              <w:rPr>
                <w:sz w:val="18"/>
                <w:szCs w:val="18"/>
              </w:rPr>
            </w:pPr>
            <w:r w:rsidRPr="00105E1E">
              <w:rPr>
                <w:sz w:val="18"/>
                <w:szCs w:val="18"/>
              </w:rPr>
              <w:t>AGM 2019</w:t>
            </w:r>
          </w:p>
        </w:tc>
        <w:tc>
          <w:tcPr>
            <w:tcW w:w="923" w:type="pct"/>
            <w:shd w:val="clear" w:color="auto" w:fill="auto"/>
            <w:vAlign w:val="bottom"/>
          </w:tcPr>
          <w:p w:rsidR="003F0BC5" w:rsidRPr="00105E1E" w:rsidRDefault="003F0BC5" w:rsidP="00FE2AF5">
            <w:pPr>
              <w:spacing w:before="0" w:after="0"/>
              <w:jc w:val="center"/>
              <w:rPr>
                <w:sz w:val="18"/>
                <w:szCs w:val="18"/>
              </w:rPr>
            </w:pPr>
            <w:r w:rsidRPr="00105E1E">
              <w:rPr>
                <w:sz w:val="18"/>
                <w:szCs w:val="18"/>
              </w:rPr>
              <w:t>Non-executive</w:t>
            </w:r>
          </w:p>
        </w:tc>
        <w:tc>
          <w:tcPr>
            <w:tcW w:w="1308" w:type="pct"/>
            <w:shd w:val="clear" w:color="auto" w:fill="auto"/>
            <w:vAlign w:val="bottom"/>
          </w:tcPr>
          <w:p w:rsidR="003F0BC5" w:rsidRPr="00105E1E" w:rsidRDefault="003F0BC5" w:rsidP="00FE2AF5">
            <w:pPr>
              <w:spacing w:before="0" w:after="0"/>
              <w:jc w:val="center"/>
              <w:rPr>
                <w:sz w:val="18"/>
                <w:szCs w:val="18"/>
              </w:rPr>
            </w:pPr>
            <w:r w:rsidRPr="00105E1E">
              <w:rPr>
                <w:sz w:val="18"/>
                <w:szCs w:val="18"/>
              </w:rPr>
              <w:t>Independent director</w:t>
            </w:r>
          </w:p>
        </w:tc>
      </w:tr>
      <w:tr w:rsidR="006734E3" w:rsidRPr="00105E1E" w:rsidTr="00BB0F52">
        <w:trPr>
          <w:trHeight w:val="20"/>
        </w:trPr>
        <w:tc>
          <w:tcPr>
            <w:tcW w:w="1231" w:type="pct"/>
            <w:shd w:val="clear" w:color="auto" w:fill="auto"/>
            <w:vAlign w:val="bottom"/>
          </w:tcPr>
          <w:p w:rsidR="006734E3" w:rsidRPr="00105E1E" w:rsidRDefault="006734E3" w:rsidP="00FE2AF5">
            <w:pPr>
              <w:spacing w:before="0" w:after="0"/>
              <w:jc w:val="left"/>
              <w:rPr>
                <w:sz w:val="18"/>
                <w:szCs w:val="18"/>
              </w:rPr>
            </w:pPr>
            <w:r w:rsidRPr="00105E1E">
              <w:rPr>
                <w:sz w:val="18"/>
                <w:szCs w:val="18"/>
              </w:rPr>
              <w:t>BVBA Bonem</w:t>
            </w:r>
            <w:r w:rsidRPr="00105E1E">
              <w:rPr>
                <w:sz w:val="18"/>
                <w:szCs w:val="18"/>
              </w:rPr>
              <w:br/>
              <w:t>p.r. by Mr</w:t>
            </w:r>
            <w:r w:rsidR="00F13D58" w:rsidRPr="00105E1E">
              <w:rPr>
                <w:sz w:val="18"/>
                <w:szCs w:val="18"/>
              </w:rPr>
              <w:t xml:space="preserve"> </w:t>
            </w:r>
            <w:r w:rsidRPr="00105E1E">
              <w:rPr>
                <w:sz w:val="18"/>
                <w:szCs w:val="18"/>
              </w:rPr>
              <w:t>Marc Ooms</w:t>
            </w:r>
          </w:p>
        </w:tc>
        <w:tc>
          <w:tcPr>
            <w:tcW w:w="769"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[19/06/2015]</w:t>
            </w:r>
          </w:p>
        </w:tc>
        <w:tc>
          <w:tcPr>
            <w:tcW w:w="769"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AGM 2019</w:t>
            </w:r>
          </w:p>
        </w:tc>
        <w:tc>
          <w:tcPr>
            <w:tcW w:w="923"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Non-executive</w:t>
            </w:r>
          </w:p>
        </w:tc>
        <w:tc>
          <w:tcPr>
            <w:tcW w:w="1308" w:type="pct"/>
            <w:shd w:val="clear" w:color="auto" w:fill="auto"/>
            <w:vAlign w:val="bottom"/>
          </w:tcPr>
          <w:p w:rsidR="006734E3" w:rsidRPr="00105E1E" w:rsidRDefault="000115E1" w:rsidP="003E14DE">
            <w:pPr>
              <w:spacing w:before="0" w:after="0"/>
              <w:jc w:val="center"/>
              <w:rPr>
                <w:sz w:val="18"/>
                <w:szCs w:val="18"/>
              </w:rPr>
            </w:pPr>
            <w:r>
              <w:rPr>
                <w:sz w:val="18"/>
                <w:szCs w:val="18"/>
              </w:rPr>
              <w:t>Non-</w:t>
            </w:r>
            <w:r w:rsidR="006734E3" w:rsidRPr="00105E1E">
              <w:rPr>
                <w:sz w:val="18"/>
                <w:szCs w:val="18"/>
              </w:rPr>
              <w:t>Independent director</w:t>
            </w:r>
          </w:p>
        </w:tc>
      </w:tr>
      <w:tr w:rsidR="006734E3" w:rsidRPr="00105E1E" w:rsidTr="00BB0F52">
        <w:trPr>
          <w:trHeight w:val="20"/>
        </w:trPr>
        <w:tc>
          <w:tcPr>
            <w:tcW w:w="1231" w:type="pct"/>
            <w:shd w:val="clear" w:color="auto" w:fill="auto"/>
            <w:vAlign w:val="bottom"/>
          </w:tcPr>
          <w:p w:rsidR="006734E3" w:rsidRPr="00105E1E" w:rsidRDefault="006734E3" w:rsidP="00FE2AF5">
            <w:pPr>
              <w:spacing w:before="0" w:after="0"/>
              <w:jc w:val="left"/>
              <w:rPr>
                <w:sz w:val="18"/>
                <w:szCs w:val="18"/>
              </w:rPr>
            </w:pPr>
            <w:r w:rsidRPr="00105E1E">
              <w:rPr>
                <w:sz w:val="18"/>
                <w:szCs w:val="18"/>
              </w:rPr>
              <w:t>Peter Maenhout*</w:t>
            </w:r>
          </w:p>
        </w:tc>
        <w:tc>
          <w:tcPr>
            <w:tcW w:w="769"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[19/06/2015]</w:t>
            </w:r>
          </w:p>
        </w:tc>
        <w:tc>
          <w:tcPr>
            <w:tcW w:w="769"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AGM 2019</w:t>
            </w:r>
          </w:p>
        </w:tc>
        <w:tc>
          <w:tcPr>
            <w:tcW w:w="923"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Non-executive</w:t>
            </w:r>
          </w:p>
        </w:tc>
        <w:tc>
          <w:tcPr>
            <w:tcW w:w="1308"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Non-independent director</w:t>
            </w:r>
          </w:p>
        </w:tc>
      </w:tr>
      <w:tr w:rsidR="006734E3" w:rsidRPr="00105E1E" w:rsidTr="00BB0F52">
        <w:trPr>
          <w:trHeight w:val="20"/>
        </w:trPr>
        <w:tc>
          <w:tcPr>
            <w:tcW w:w="1231" w:type="pct"/>
            <w:shd w:val="clear" w:color="auto" w:fill="auto"/>
            <w:vAlign w:val="bottom"/>
          </w:tcPr>
          <w:p w:rsidR="006734E3" w:rsidRPr="00105E1E" w:rsidRDefault="006734E3" w:rsidP="00FE2AF5">
            <w:pPr>
              <w:spacing w:before="0" w:after="0"/>
              <w:jc w:val="left"/>
              <w:rPr>
                <w:sz w:val="18"/>
                <w:szCs w:val="18"/>
              </w:rPr>
            </w:pPr>
            <w:r w:rsidRPr="00105E1E">
              <w:rPr>
                <w:sz w:val="18"/>
                <w:szCs w:val="18"/>
              </w:rPr>
              <w:t>Jozef Marc Rosiers</w:t>
            </w:r>
            <w:r w:rsidR="00105E1E">
              <w:rPr>
                <w:sz w:val="18"/>
                <w:szCs w:val="18"/>
              </w:rPr>
              <w:t>**</w:t>
            </w:r>
          </w:p>
        </w:tc>
        <w:tc>
          <w:tcPr>
            <w:tcW w:w="769"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[19/06/2015]</w:t>
            </w:r>
          </w:p>
        </w:tc>
        <w:tc>
          <w:tcPr>
            <w:tcW w:w="769"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AGM 2019</w:t>
            </w:r>
          </w:p>
        </w:tc>
        <w:tc>
          <w:tcPr>
            <w:tcW w:w="923"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Non-executive</w:t>
            </w:r>
          </w:p>
        </w:tc>
        <w:tc>
          <w:tcPr>
            <w:tcW w:w="1308"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Non-independent director</w:t>
            </w:r>
          </w:p>
        </w:tc>
      </w:tr>
      <w:tr w:rsidR="006734E3" w:rsidRPr="00105E1E" w:rsidTr="00BB0F52">
        <w:trPr>
          <w:trHeight w:val="20"/>
        </w:trPr>
        <w:tc>
          <w:tcPr>
            <w:tcW w:w="1231" w:type="pct"/>
            <w:shd w:val="clear" w:color="auto" w:fill="auto"/>
            <w:vAlign w:val="bottom"/>
          </w:tcPr>
          <w:p w:rsidR="006734E3" w:rsidRPr="00105E1E" w:rsidRDefault="000115E1" w:rsidP="00FE2AF5">
            <w:pPr>
              <w:spacing w:before="0" w:after="0"/>
              <w:jc w:val="left"/>
              <w:rPr>
                <w:sz w:val="18"/>
                <w:szCs w:val="18"/>
              </w:rPr>
            </w:pPr>
            <w:r>
              <w:rPr>
                <w:sz w:val="18"/>
                <w:szCs w:val="18"/>
              </w:rPr>
              <w:t>Peter Gain</w:t>
            </w:r>
          </w:p>
        </w:tc>
        <w:tc>
          <w:tcPr>
            <w:tcW w:w="769"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[19/06/2015]</w:t>
            </w:r>
          </w:p>
        </w:tc>
        <w:tc>
          <w:tcPr>
            <w:tcW w:w="769"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AGM 2019</w:t>
            </w:r>
          </w:p>
        </w:tc>
        <w:tc>
          <w:tcPr>
            <w:tcW w:w="923"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Non-executive</w:t>
            </w:r>
          </w:p>
        </w:tc>
        <w:tc>
          <w:tcPr>
            <w:tcW w:w="1308" w:type="pct"/>
            <w:shd w:val="clear" w:color="auto" w:fill="auto"/>
            <w:vAlign w:val="bottom"/>
          </w:tcPr>
          <w:p w:rsidR="006734E3" w:rsidRPr="00105E1E" w:rsidRDefault="000115E1" w:rsidP="003E14DE">
            <w:pPr>
              <w:spacing w:before="0" w:after="0"/>
              <w:jc w:val="center"/>
              <w:rPr>
                <w:sz w:val="18"/>
                <w:szCs w:val="18"/>
              </w:rPr>
            </w:pPr>
            <w:r>
              <w:rPr>
                <w:sz w:val="18"/>
                <w:szCs w:val="18"/>
              </w:rPr>
              <w:t>Non-</w:t>
            </w:r>
            <w:r w:rsidR="006734E3" w:rsidRPr="00105E1E">
              <w:rPr>
                <w:sz w:val="18"/>
                <w:szCs w:val="18"/>
              </w:rPr>
              <w:t>Independent director</w:t>
            </w:r>
          </w:p>
        </w:tc>
      </w:tr>
      <w:tr w:rsidR="006734E3" w:rsidRPr="00105E1E" w:rsidTr="00BB0F52">
        <w:trPr>
          <w:trHeight w:val="20"/>
        </w:trPr>
        <w:tc>
          <w:tcPr>
            <w:tcW w:w="1231" w:type="pct"/>
            <w:shd w:val="clear" w:color="auto" w:fill="auto"/>
            <w:vAlign w:val="bottom"/>
          </w:tcPr>
          <w:p w:rsidR="006734E3" w:rsidRPr="00105E1E" w:rsidRDefault="006734E3" w:rsidP="00FE2AF5">
            <w:pPr>
              <w:spacing w:before="0" w:after="0"/>
              <w:jc w:val="left"/>
              <w:rPr>
                <w:sz w:val="18"/>
                <w:szCs w:val="18"/>
              </w:rPr>
            </w:pPr>
            <w:r w:rsidRPr="00105E1E">
              <w:rPr>
                <w:sz w:val="18"/>
                <w:szCs w:val="18"/>
              </w:rPr>
              <w:t>Tom Borma</w:t>
            </w:r>
            <w:r w:rsidR="000115E1">
              <w:rPr>
                <w:sz w:val="18"/>
                <w:szCs w:val="18"/>
              </w:rPr>
              <w:t>n</w:t>
            </w:r>
          </w:p>
        </w:tc>
        <w:tc>
          <w:tcPr>
            <w:tcW w:w="769"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[19/06/2015]</w:t>
            </w:r>
          </w:p>
        </w:tc>
        <w:tc>
          <w:tcPr>
            <w:tcW w:w="769"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AGM 2019</w:t>
            </w:r>
          </w:p>
        </w:tc>
        <w:tc>
          <w:tcPr>
            <w:tcW w:w="923"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Non-executive</w:t>
            </w:r>
          </w:p>
        </w:tc>
        <w:tc>
          <w:tcPr>
            <w:tcW w:w="1308" w:type="pct"/>
            <w:shd w:val="clear" w:color="auto" w:fill="auto"/>
            <w:vAlign w:val="bottom"/>
          </w:tcPr>
          <w:p w:rsidR="006734E3" w:rsidRPr="00105E1E" w:rsidRDefault="000115E1" w:rsidP="003E14DE">
            <w:pPr>
              <w:spacing w:before="0" w:after="0"/>
              <w:jc w:val="center"/>
              <w:rPr>
                <w:sz w:val="18"/>
                <w:szCs w:val="18"/>
              </w:rPr>
            </w:pPr>
            <w:r>
              <w:rPr>
                <w:sz w:val="18"/>
                <w:szCs w:val="18"/>
              </w:rPr>
              <w:t>Non-</w:t>
            </w:r>
            <w:r w:rsidR="006734E3" w:rsidRPr="00105E1E">
              <w:rPr>
                <w:sz w:val="18"/>
                <w:szCs w:val="18"/>
              </w:rPr>
              <w:t>Independent director</w:t>
            </w:r>
          </w:p>
        </w:tc>
      </w:tr>
      <w:tr w:rsidR="006734E3" w:rsidRPr="00105E1E" w:rsidTr="00BB0F52">
        <w:trPr>
          <w:trHeight w:val="20"/>
        </w:trPr>
        <w:tc>
          <w:tcPr>
            <w:tcW w:w="1231" w:type="pct"/>
            <w:shd w:val="clear" w:color="auto" w:fill="auto"/>
            <w:vAlign w:val="bottom"/>
          </w:tcPr>
          <w:p w:rsidR="006734E3" w:rsidRPr="00105E1E" w:rsidRDefault="006734E3" w:rsidP="00A07615">
            <w:pPr>
              <w:spacing w:before="0" w:after="0"/>
              <w:jc w:val="left"/>
              <w:rPr>
                <w:sz w:val="18"/>
                <w:szCs w:val="18"/>
              </w:rPr>
            </w:pPr>
            <w:r w:rsidRPr="00105E1E">
              <w:rPr>
                <w:sz w:val="18"/>
                <w:szCs w:val="18"/>
              </w:rPr>
              <w:t>BVBA Mavac</w:t>
            </w:r>
            <w:r w:rsidRPr="00105E1E">
              <w:rPr>
                <w:sz w:val="18"/>
                <w:szCs w:val="18"/>
              </w:rPr>
              <w:br/>
              <w:t>p.r. by Ms Marleen Vaesen</w:t>
            </w:r>
          </w:p>
        </w:tc>
        <w:tc>
          <w:tcPr>
            <w:tcW w:w="769"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[19/06/2015]</w:t>
            </w:r>
          </w:p>
        </w:tc>
        <w:tc>
          <w:tcPr>
            <w:tcW w:w="769"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AGM 2019</w:t>
            </w:r>
          </w:p>
        </w:tc>
        <w:tc>
          <w:tcPr>
            <w:tcW w:w="923"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Executive</w:t>
            </w:r>
          </w:p>
          <w:p w:rsidR="006734E3" w:rsidRPr="00105E1E" w:rsidRDefault="006734E3" w:rsidP="00FE2AF5">
            <w:pPr>
              <w:spacing w:before="0" w:after="0"/>
              <w:jc w:val="center"/>
              <w:rPr>
                <w:sz w:val="18"/>
                <w:szCs w:val="18"/>
              </w:rPr>
            </w:pPr>
            <w:r w:rsidRPr="00105E1E">
              <w:rPr>
                <w:sz w:val="18"/>
                <w:szCs w:val="18"/>
              </w:rPr>
              <w:t>(CEO)</w:t>
            </w:r>
          </w:p>
        </w:tc>
        <w:tc>
          <w:tcPr>
            <w:tcW w:w="1308"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Non-independent director</w:t>
            </w:r>
          </w:p>
        </w:tc>
      </w:tr>
      <w:tr w:rsidR="006734E3" w:rsidRPr="00105E1E" w:rsidTr="00BB0F52">
        <w:trPr>
          <w:trHeight w:val="20"/>
        </w:trPr>
        <w:tc>
          <w:tcPr>
            <w:tcW w:w="1231" w:type="pct"/>
            <w:shd w:val="clear" w:color="auto" w:fill="auto"/>
            <w:vAlign w:val="bottom"/>
          </w:tcPr>
          <w:p w:rsidR="00E479F5" w:rsidRPr="00105E1E" w:rsidRDefault="00E479F5" w:rsidP="00FE2AF5">
            <w:pPr>
              <w:spacing w:before="0" w:after="0"/>
              <w:jc w:val="left"/>
              <w:rPr>
                <w:sz w:val="18"/>
                <w:szCs w:val="18"/>
              </w:rPr>
            </w:pPr>
            <w:r w:rsidRPr="00105E1E">
              <w:rPr>
                <w:sz w:val="18"/>
                <w:szCs w:val="18"/>
              </w:rPr>
              <w:t>BVBA Argalix</w:t>
            </w:r>
          </w:p>
          <w:p w:rsidR="006734E3" w:rsidRPr="00105E1E" w:rsidRDefault="00105E1E" w:rsidP="00FE2AF5">
            <w:pPr>
              <w:spacing w:before="0" w:after="0"/>
              <w:jc w:val="left"/>
              <w:rPr>
                <w:sz w:val="18"/>
                <w:szCs w:val="18"/>
              </w:rPr>
            </w:pPr>
            <w:r>
              <w:rPr>
                <w:sz w:val="18"/>
                <w:szCs w:val="18"/>
              </w:rPr>
              <w:t xml:space="preserve">p.r. by </w:t>
            </w:r>
            <w:r w:rsidR="006734E3" w:rsidRPr="00105E1E">
              <w:rPr>
                <w:sz w:val="18"/>
                <w:szCs w:val="18"/>
              </w:rPr>
              <w:t>Francis Kint</w:t>
            </w:r>
          </w:p>
        </w:tc>
        <w:tc>
          <w:tcPr>
            <w:tcW w:w="769"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[19/06/2015]</w:t>
            </w:r>
          </w:p>
        </w:tc>
        <w:tc>
          <w:tcPr>
            <w:tcW w:w="769"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AGM 2019</w:t>
            </w:r>
          </w:p>
        </w:tc>
        <w:tc>
          <w:tcPr>
            <w:tcW w:w="923" w:type="pct"/>
            <w:shd w:val="clear" w:color="auto" w:fill="auto"/>
            <w:vAlign w:val="bottom"/>
          </w:tcPr>
          <w:p w:rsidR="006734E3" w:rsidRPr="00105E1E" w:rsidRDefault="00F2529B" w:rsidP="00FE2AF5">
            <w:pPr>
              <w:spacing w:before="0" w:after="0"/>
              <w:jc w:val="center"/>
              <w:rPr>
                <w:sz w:val="18"/>
                <w:szCs w:val="18"/>
              </w:rPr>
            </w:pPr>
            <w:r>
              <w:rPr>
                <w:sz w:val="18"/>
                <w:szCs w:val="18"/>
              </w:rPr>
              <w:t>E</w:t>
            </w:r>
            <w:r w:rsidR="006734E3" w:rsidRPr="00105E1E">
              <w:rPr>
                <w:sz w:val="18"/>
                <w:szCs w:val="18"/>
              </w:rPr>
              <w:t>xecutive</w:t>
            </w:r>
          </w:p>
        </w:tc>
        <w:tc>
          <w:tcPr>
            <w:tcW w:w="1308"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Non-independent director</w:t>
            </w:r>
          </w:p>
        </w:tc>
      </w:tr>
      <w:tr w:rsidR="006734E3" w:rsidRPr="00105E1E" w:rsidTr="00BB0F52">
        <w:trPr>
          <w:trHeight w:val="20"/>
        </w:trPr>
        <w:tc>
          <w:tcPr>
            <w:tcW w:w="1231" w:type="pct"/>
            <w:shd w:val="clear" w:color="auto" w:fill="auto"/>
            <w:vAlign w:val="bottom"/>
          </w:tcPr>
          <w:p w:rsidR="006734E3" w:rsidRPr="00105E1E" w:rsidRDefault="006734E3" w:rsidP="00FE2AF5">
            <w:pPr>
              <w:spacing w:before="0" w:after="0"/>
              <w:jc w:val="left"/>
              <w:rPr>
                <w:sz w:val="18"/>
                <w:szCs w:val="18"/>
              </w:rPr>
            </w:pPr>
            <w:r w:rsidRPr="00105E1E">
              <w:rPr>
                <w:sz w:val="18"/>
                <w:szCs w:val="18"/>
              </w:rPr>
              <w:t>BVBA Management Deprez</w:t>
            </w:r>
            <w:r w:rsidRPr="00105E1E">
              <w:rPr>
                <w:sz w:val="18"/>
                <w:szCs w:val="18"/>
              </w:rPr>
              <w:br/>
              <w:t>p.r. by Mevr. Veerle Deprez</w:t>
            </w:r>
          </w:p>
        </w:tc>
        <w:tc>
          <w:tcPr>
            <w:tcW w:w="769"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[19/06/2015]</w:t>
            </w:r>
          </w:p>
        </w:tc>
        <w:tc>
          <w:tcPr>
            <w:tcW w:w="769"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AGM 2019</w:t>
            </w:r>
          </w:p>
        </w:tc>
        <w:tc>
          <w:tcPr>
            <w:tcW w:w="923"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Non-executive</w:t>
            </w:r>
          </w:p>
        </w:tc>
        <w:tc>
          <w:tcPr>
            <w:tcW w:w="1308"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Non-independent director</w:t>
            </w:r>
          </w:p>
        </w:tc>
      </w:tr>
      <w:tr w:rsidR="006734E3" w:rsidRPr="00105E1E" w:rsidTr="00BB0F52">
        <w:trPr>
          <w:trHeight w:val="20"/>
        </w:trPr>
        <w:tc>
          <w:tcPr>
            <w:tcW w:w="1231" w:type="pct"/>
            <w:shd w:val="clear" w:color="auto" w:fill="auto"/>
            <w:vAlign w:val="bottom"/>
          </w:tcPr>
          <w:p w:rsidR="006734E3" w:rsidRPr="00105E1E" w:rsidRDefault="006734E3" w:rsidP="00FE2AF5">
            <w:pPr>
              <w:spacing w:before="0" w:after="0"/>
              <w:jc w:val="left"/>
              <w:rPr>
                <w:sz w:val="18"/>
                <w:szCs w:val="18"/>
              </w:rPr>
            </w:pPr>
            <w:r w:rsidRPr="00105E1E">
              <w:rPr>
                <w:sz w:val="18"/>
                <w:szCs w:val="18"/>
              </w:rPr>
              <w:t>Charles-Henri Deprez</w:t>
            </w:r>
          </w:p>
        </w:tc>
        <w:tc>
          <w:tcPr>
            <w:tcW w:w="769"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[19/06/2015]</w:t>
            </w:r>
          </w:p>
        </w:tc>
        <w:tc>
          <w:tcPr>
            <w:tcW w:w="769"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AGM 2019</w:t>
            </w:r>
          </w:p>
        </w:tc>
        <w:tc>
          <w:tcPr>
            <w:tcW w:w="923"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Non-executive</w:t>
            </w:r>
          </w:p>
        </w:tc>
        <w:tc>
          <w:tcPr>
            <w:tcW w:w="1308"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Non-independent director</w:t>
            </w:r>
          </w:p>
        </w:tc>
      </w:tr>
      <w:tr w:rsidR="006734E3" w:rsidRPr="00105E1E" w:rsidTr="00BB0F52">
        <w:trPr>
          <w:trHeight w:val="20"/>
        </w:trPr>
        <w:tc>
          <w:tcPr>
            <w:tcW w:w="1231" w:type="pct"/>
            <w:shd w:val="clear" w:color="auto" w:fill="auto"/>
            <w:vAlign w:val="bottom"/>
          </w:tcPr>
          <w:p w:rsidR="006734E3" w:rsidRPr="00105E1E" w:rsidRDefault="006734E3" w:rsidP="00FE2AF5">
            <w:pPr>
              <w:spacing w:before="0" w:after="0"/>
              <w:jc w:val="left"/>
              <w:rPr>
                <w:sz w:val="18"/>
                <w:szCs w:val="18"/>
              </w:rPr>
            </w:pPr>
            <w:r w:rsidRPr="00105E1E">
              <w:rPr>
                <w:sz w:val="18"/>
                <w:szCs w:val="18"/>
              </w:rPr>
              <w:t>BVBA Intal</w:t>
            </w:r>
          </w:p>
          <w:p w:rsidR="006734E3" w:rsidRPr="00105E1E" w:rsidRDefault="00105E1E" w:rsidP="00FE2AF5">
            <w:pPr>
              <w:spacing w:before="0" w:after="0"/>
              <w:jc w:val="left"/>
              <w:rPr>
                <w:sz w:val="18"/>
                <w:szCs w:val="18"/>
              </w:rPr>
            </w:pPr>
            <w:r>
              <w:rPr>
                <w:sz w:val="18"/>
                <w:szCs w:val="18"/>
              </w:rPr>
              <w:t xml:space="preserve">p.r. by </w:t>
            </w:r>
            <w:r w:rsidR="006734E3" w:rsidRPr="00105E1E">
              <w:rPr>
                <w:sz w:val="18"/>
                <w:szCs w:val="18"/>
              </w:rPr>
              <w:t xml:space="preserve">Johan </w:t>
            </w:r>
            <w:r w:rsidR="000115E1">
              <w:rPr>
                <w:sz w:val="18"/>
                <w:szCs w:val="18"/>
              </w:rPr>
              <w:t>Vanoven</w:t>
            </w:r>
            <w:r w:rsidR="006734E3" w:rsidRPr="00105E1E">
              <w:rPr>
                <w:sz w:val="18"/>
                <w:szCs w:val="18"/>
              </w:rPr>
              <w:t>berghe</w:t>
            </w:r>
          </w:p>
        </w:tc>
        <w:tc>
          <w:tcPr>
            <w:tcW w:w="769"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[19/06/2015]</w:t>
            </w:r>
          </w:p>
        </w:tc>
        <w:tc>
          <w:tcPr>
            <w:tcW w:w="769"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AGM 2019</w:t>
            </w:r>
          </w:p>
        </w:tc>
        <w:tc>
          <w:tcPr>
            <w:tcW w:w="923"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Non-executive</w:t>
            </w:r>
          </w:p>
        </w:tc>
        <w:tc>
          <w:tcPr>
            <w:tcW w:w="1308" w:type="pct"/>
            <w:shd w:val="clear" w:color="auto" w:fill="auto"/>
            <w:vAlign w:val="bottom"/>
          </w:tcPr>
          <w:p w:rsidR="006734E3" w:rsidRPr="00105E1E" w:rsidRDefault="006734E3" w:rsidP="00FE2AF5">
            <w:pPr>
              <w:spacing w:before="0" w:after="0"/>
              <w:jc w:val="center"/>
              <w:rPr>
                <w:sz w:val="18"/>
                <w:szCs w:val="18"/>
              </w:rPr>
            </w:pPr>
            <w:r w:rsidRPr="00105E1E">
              <w:rPr>
                <w:sz w:val="18"/>
                <w:szCs w:val="18"/>
              </w:rPr>
              <w:t>Non-independent director</w:t>
            </w:r>
          </w:p>
        </w:tc>
      </w:tr>
    </w:tbl>
    <w:p w:rsidR="003F0BC5" w:rsidRPr="00992199" w:rsidRDefault="000115E1" w:rsidP="003F0BC5">
      <w:pPr>
        <w:rPr>
          <w:i/>
          <w:szCs w:val="20"/>
        </w:rPr>
      </w:pPr>
      <w:r>
        <w:rPr>
          <w:i/>
          <w:szCs w:val="20"/>
        </w:rPr>
        <w:t xml:space="preserve">* Gimv-XL </w:t>
      </w:r>
      <w:r w:rsidR="003F0BC5" w:rsidRPr="00992199">
        <w:rPr>
          <w:i/>
          <w:szCs w:val="20"/>
        </w:rPr>
        <w:t xml:space="preserve">will be entitled to propose a director for appointment as long as </w:t>
      </w:r>
      <w:r>
        <w:rPr>
          <w:i/>
          <w:szCs w:val="20"/>
        </w:rPr>
        <w:t xml:space="preserve">it holds </w:t>
      </w:r>
      <w:r w:rsidR="003F0BC5" w:rsidRPr="00992199">
        <w:rPr>
          <w:i/>
          <w:szCs w:val="20"/>
        </w:rPr>
        <w:t>a participation of at least 5% in the Company.</w:t>
      </w:r>
    </w:p>
    <w:p w:rsidR="003F0BC5" w:rsidRPr="00992199" w:rsidRDefault="003F0BC5" w:rsidP="003F0BC5">
      <w:pPr>
        <w:rPr>
          <w:i/>
          <w:szCs w:val="20"/>
        </w:rPr>
      </w:pPr>
      <w:r w:rsidRPr="00992199">
        <w:rPr>
          <w:i/>
          <w:szCs w:val="20"/>
        </w:rPr>
        <w:t xml:space="preserve">** AIF will be entitled to </w:t>
      </w:r>
      <w:r w:rsidR="00A07615" w:rsidRPr="00992199">
        <w:rPr>
          <w:i/>
          <w:szCs w:val="20"/>
        </w:rPr>
        <w:t>propose</w:t>
      </w:r>
      <w:r w:rsidRPr="00992199">
        <w:rPr>
          <w:i/>
          <w:szCs w:val="20"/>
        </w:rPr>
        <w:t xml:space="preserve"> a director for appointment provided that AIF will hold at least 5% in the Company within two after the completion of the Transactions and shall then remain entitled to propose a director for appointment as long as it continues to hold a participation of at least 5% in the Company.</w:t>
      </w:r>
    </w:p>
    <w:p w:rsidR="003F0BC5" w:rsidRDefault="00007CAE" w:rsidP="003F0BC5">
      <w:pPr>
        <w:rPr>
          <w:szCs w:val="20"/>
        </w:rPr>
      </w:pPr>
      <w:r>
        <w:rPr>
          <w:szCs w:val="20"/>
        </w:rPr>
        <w:t>[</w:t>
      </w:r>
      <w:r w:rsidR="003F0BC5" w:rsidRPr="00992199">
        <w:rPr>
          <w:szCs w:val="20"/>
        </w:rPr>
        <w:t xml:space="preserve">A brief overview of the relevant experience of the </w:t>
      </w:r>
      <w:r w:rsidR="000115E1">
        <w:rPr>
          <w:szCs w:val="20"/>
        </w:rPr>
        <w:t>members of the Board of Directors, s</w:t>
      </w:r>
      <w:r w:rsidR="000115E1" w:rsidRPr="000115E1">
        <w:rPr>
          <w:szCs w:val="20"/>
        </w:rPr>
        <w:t xml:space="preserve">ubject to and effective as of the completion of the Transactions </w:t>
      </w:r>
      <w:r w:rsidR="003F0BC5" w:rsidRPr="00992199">
        <w:rPr>
          <w:szCs w:val="20"/>
        </w:rPr>
        <w:t xml:space="preserve">is set out below. See above for the </w:t>
      </w:r>
      <w:r w:rsidR="000115E1">
        <w:rPr>
          <w:szCs w:val="20"/>
        </w:rPr>
        <w:t>biography</w:t>
      </w:r>
      <w:r w:rsidR="003F0BC5" w:rsidRPr="00992199">
        <w:rPr>
          <w:szCs w:val="20"/>
        </w:rPr>
        <w:t xml:space="preserve"> of the </w:t>
      </w:r>
      <w:r w:rsidR="0083762C">
        <w:rPr>
          <w:szCs w:val="20"/>
        </w:rPr>
        <w:t xml:space="preserve">members of the Board of </w:t>
      </w:r>
      <w:r w:rsidR="000115E1">
        <w:rPr>
          <w:szCs w:val="20"/>
        </w:rPr>
        <w:t xml:space="preserve">Directors who are already </w:t>
      </w:r>
      <w:r w:rsidR="0083762C">
        <w:rPr>
          <w:szCs w:val="20"/>
        </w:rPr>
        <w:t>a member of the Board of Directors</w:t>
      </w:r>
      <w:r w:rsidR="000115E1">
        <w:rPr>
          <w:szCs w:val="20"/>
        </w:rPr>
        <w:t xml:space="preserve"> at</w:t>
      </w:r>
      <w:r w:rsidR="003F0BC5" w:rsidRPr="00992199">
        <w:rPr>
          <w:szCs w:val="20"/>
        </w:rPr>
        <w:t xml:space="preserve"> the date of this Prospectus.</w:t>
      </w:r>
    </w:p>
    <w:p w:rsidR="003F0BC5" w:rsidRPr="00992199" w:rsidRDefault="003F0BC5" w:rsidP="003F0BC5">
      <w:pPr>
        <w:rPr>
          <w:i/>
          <w:szCs w:val="20"/>
        </w:rPr>
      </w:pPr>
      <w:r w:rsidRPr="00992199">
        <w:rPr>
          <w:i/>
          <w:szCs w:val="20"/>
        </w:rPr>
        <w:t>Peter Kennedy Gain (age 40)</w:t>
      </w:r>
      <w:r w:rsidR="00CB6DCF">
        <w:rPr>
          <w:i/>
          <w:szCs w:val="20"/>
        </w:rPr>
        <w:t xml:space="preserve"> – Non-executive, independent director</w:t>
      </w:r>
    </w:p>
    <w:p w:rsidR="003F0BC5" w:rsidRPr="00992199" w:rsidRDefault="003F0BC5" w:rsidP="003F0BC5">
      <w:pPr>
        <w:rPr>
          <w:szCs w:val="20"/>
        </w:rPr>
      </w:pPr>
      <w:r w:rsidRPr="00992199">
        <w:rPr>
          <w:szCs w:val="20"/>
        </w:rPr>
        <w:t>As an entrepreneur, Peter has used his nearly 20 years of experience, predominantly in the mining sector, to build a portfolio of investments around the world. Initially through Beacon Rock Investments (Pty) Ltd and Warrior Coal Investments (Pty) Ltd, companies which he founded in 2005, he helped build a mining group with a range of investments and exploration assets predominantly in the coal sector, including Optimum Coal Ltd, a Johannesburg Stock Exchange listed coal mining company, which was subsequently acquired by Glencore in 2012.</w:t>
      </w:r>
    </w:p>
    <w:p w:rsidR="003F0BC5" w:rsidRPr="00992199" w:rsidRDefault="003F0BC5" w:rsidP="003F0BC5">
      <w:pPr>
        <w:rPr>
          <w:szCs w:val="20"/>
        </w:rPr>
      </w:pPr>
      <w:r w:rsidRPr="00992199">
        <w:rPr>
          <w:szCs w:val="20"/>
        </w:rPr>
        <w:t xml:space="preserve">Before joining Warrior Coal in 2005, Peter was the Commercial Director of Metallon Corporation Ltd, and prior to that the Managing Director of Micofin Corporate Services (Pty) Ltd, a boutique mining and commodity corporate advisory group. In 1997, Peter completed his Bachelors in Business Science at the </w:t>
      </w:r>
      <w:smartTag w:uri="urn:schemas-microsoft-com:office:smarttags" w:element="place">
        <w:smartTag w:uri="urn:schemas-microsoft-com:office:smarttags" w:element="PlaceType">
          <w:r w:rsidRPr="00992199">
            <w:rPr>
              <w:szCs w:val="20"/>
            </w:rPr>
            <w:t>University</w:t>
          </w:r>
        </w:smartTag>
        <w:r w:rsidRPr="00992199">
          <w:rPr>
            <w:szCs w:val="20"/>
          </w:rPr>
          <w:t xml:space="preserve"> of </w:t>
        </w:r>
        <w:smartTag w:uri="urn:schemas-microsoft-com:office:smarttags" w:element="PlaceName">
          <w:r w:rsidRPr="00992199">
            <w:rPr>
              <w:szCs w:val="20"/>
            </w:rPr>
            <w:t>Cape Town</w:t>
          </w:r>
        </w:smartTag>
      </w:smartTag>
      <w:r w:rsidRPr="00992199">
        <w:rPr>
          <w:szCs w:val="20"/>
        </w:rPr>
        <w:t>.</w:t>
      </w:r>
    </w:p>
    <w:p w:rsidR="003F0BC5" w:rsidRPr="00992199" w:rsidRDefault="003F0BC5" w:rsidP="003F0BC5">
      <w:pPr>
        <w:rPr>
          <w:szCs w:val="20"/>
        </w:rPr>
      </w:pPr>
      <w:r w:rsidRPr="00992199">
        <w:rPr>
          <w:szCs w:val="20"/>
        </w:rPr>
        <w:t>In addition to his directorship activities within the Univeg Group, P</w:t>
      </w:r>
      <w:r w:rsidR="00E479F5">
        <w:rPr>
          <w:szCs w:val="20"/>
        </w:rPr>
        <w:t>eter serves as a member of the b</w:t>
      </w:r>
      <w:r w:rsidRPr="00992199">
        <w:rPr>
          <w:szCs w:val="20"/>
        </w:rPr>
        <w:t xml:space="preserve">oard of the Barloworld Transport (Pty) Ltd, a South African based warehousing and logistics group. He is also a board member of various privately held companies based in the </w:t>
      </w:r>
      <w:smartTag w:uri="urn:schemas-microsoft-com:office:smarttags" w:element="country-region">
        <w:r w:rsidRPr="00992199">
          <w:rPr>
            <w:szCs w:val="20"/>
          </w:rPr>
          <w:t>United Kingdom</w:t>
        </w:r>
      </w:smartTag>
      <w:r w:rsidRPr="00992199">
        <w:rPr>
          <w:szCs w:val="20"/>
        </w:rPr>
        <w:t xml:space="preserve">, </w:t>
      </w:r>
      <w:smartTag w:uri="urn:schemas-microsoft-com:office:smarttags" w:element="country-region">
        <w:r w:rsidRPr="00992199">
          <w:rPr>
            <w:szCs w:val="20"/>
          </w:rPr>
          <w:t>South Africa</w:t>
        </w:r>
      </w:smartTag>
      <w:r w:rsidRPr="00992199">
        <w:rPr>
          <w:szCs w:val="20"/>
        </w:rPr>
        <w:t xml:space="preserve"> and </w:t>
      </w:r>
      <w:smartTag w:uri="urn:schemas-microsoft-com:office:smarttags" w:element="country-region">
        <w:smartTag w:uri="urn:schemas-microsoft-com:office:smarttags" w:element="place">
          <w:r w:rsidRPr="00992199">
            <w:rPr>
              <w:szCs w:val="20"/>
            </w:rPr>
            <w:t>Monaco</w:t>
          </w:r>
        </w:smartTag>
      </w:smartTag>
      <w:r w:rsidRPr="00992199">
        <w:rPr>
          <w:szCs w:val="20"/>
        </w:rPr>
        <w:t>.</w:t>
      </w:r>
    </w:p>
    <w:p w:rsidR="003F0BC5" w:rsidRPr="00992199" w:rsidRDefault="003F0BC5" w:rsidP="00FE2AF5">
      <w:pPr>
        <w:keepNext/>
        <w:keepLines/>
        <w:rPr>
          <w:i/>
          <w:szCs w:val="20"/>
        </w:rPr>
      </w:pPr>
      <w:r w:rsidRPr="00992199">
        <w:rPr>
          <w:i/>
          <w:szCs w:val="20"/>
        </w:rPr>
        <w:t>Thomas Ignatius Borman (age 48)</w:t>
      </w:r>
      <w:r w:rsidR="00CB6DCF" w:rsidRPr="00CB6DCF">
        <w:t xml:space="preserve"> </w:t>
      </w:r>
      <w:r w:rsidR="00CB6DCF" w:rsidRPr="00CB6DCF">
        <w:rPr>
          <w:i/>
          <w:szCs w:val="20"/>
        </w:rPr>
        <w:t>– Non-executive, independent director</w:t>
      </w:r>
    </w:p>
    <w:p w:rsidR="003F0BC5" w:rsidRPr="00992199" w:rsidRDefault="003F0BC5" w:rsidP="00FE2AF5">
      <w:pPr>
        <w:keepNext/>
        <w:keepLines/>
        <w:rPr>
          <w:szCs w:val="20"/>
        </w:rPr>
      </w:pPr>
      <w:r w:rsidRPr="00992199">
        <w:rPr>
          <w:szCs w:val="20"/>
        </w:rPr>
        <w:t xml:space="preserve">Tom Borman has an honours degree in accounting, and over 20 years’ experience in the mining and minerals industry. He served in excess of 11 years with the BHP Billiton Group (BHP) in various senior managerial roles including strategy and business development and served as the project manager for the integration of the BHP and </w:t>
      </w:r>
      <w:smartTag w:uri="urn:schemas-microsoft-com:office:smarttags" w:element="place">
        <w:r w:rsidRPr="00992199">
          <w:rPr>
            <w:szCs w:val="20"/>
          </w:rPr>
          <w:t>Billiton</w:t>
        </w:r>
      </w:smartTag>
      <w:r w:rsidRPr="00992199">
        <w:rPr>
          <w:szCs w:val="20"/>
        </w:rPr>
        <w:t xml:space="preserve"> merger.</w:t>
      </w:r>
    </w:p>
    <w:p w:rsidR="003F0BC5" w:rsidRPr="00992199" w:rsidRDefault="003F0BC5" w:rsidP="003F0BC5">
      <w:pPr>
        <w:rPr>
          <w:szCs w:val="20"/>
        </w:rPr>
      </w:pPr>
      <w:r w:rsidRPr="00992199">
        <w:rPr>
          <w:szCs w:val="20"/>
        </w:rPr>
        <w:t xml:space="preserve">He has extensive global business experience, having worked in several countries </w:t>
      </w:r>
      <w:r w:rsidR="00703C66">
        <w:rPr>
          <w:szCs w:val="20"/>
        </w:rPr>
        <w:t xml:space="preserve">including </w:t>
      </w:r>
      <w:smartTag w:uri="urn:schemas-microsoft-com:office:smarttags" w:element="country-region">
        <w:r w:rsidR="00703C66">
          <w:rPr>
            <w:szCs w:val="20"/>
          </w:rPr>
          <w:t>South Africa</w:t>
        </w:r>
      </w:smartTag>
      <w:r w:rsidR="00703C66">
        <w:rPr>
          <w:szCs w:val="20"/>
        </w:rPr>
        <w:t xml:space="preserve">, </w:t>
      </w:r>
      <w:smartTag w:uri="urn:schemas-microsoft-com:office:smarttags" w:element="country-region">
        <w:r w:rsidR="00703C66">
          <w:rPr>
            <w:szCs w:val="20"/>
          </w:rPr>
          <w:t>Kenya</w:t>
        </w:r>
      </w:smartTag>
      <w:r w:rsidR="00703C66">
        <w:rPr>
          <w:szCs w:val="20"/>
        </w:rPr>
        <w:t>, T</w:t>
      </w:r>
      <w:r w:rsidRPr="00992199">
        <w:rPr>
          <w:szCs w:val="20"/>
        </w:rPr>
        <w:t xml:space="preserve">he Netherlands, the </w:t>
      </w:r>
      <w:smartTag w:uri="urn:schemas-microsoft-com:office:smarttags" w:element="country-region">
        <w:r w:rsidRPr="00992199">
          <w:rPr>
            <w:szCs w:val="20"/>
          </w:rPr>
          <w:t>United Kingdom</w:t>
        </w:r>
      </w:smartTag>
      <w:r w:rsidRPr="00992199">
        <w:rPr>
          <w:szCs w:val="20"/>
        </w:rPr>
        <w:t xml:space="preserve"> and </w:t>
      </w:r>
      <w:smartTag w:uri="urn:schemas-microsoft-com:office:smarttags" w:element="country-region">
        <w:smartTag w:uri="urn:schemas-microsoft-com:office:smarttags" w:element="place">
          <w:r w:rsidRPr="00992199">
            <w:rPr>
              <w:szCs w:val="20"/>
            </w:rPr>
            <w:t>Australia</w:t>
          </w:r>
        </w:smartTag>
      </w:smartTag>
      <w:r w:rsidRPr="00992199">
        <w:rPr>
          <w:szCs w:val="20"/>
        </w:rPr>
        <w:t>. Tom was part of the executive management team that established and consolidated the Optimum group of companies, a Johannesburg Stock Exchange (JSE) listed company that was acquired by a Glencore led consortium in March 2012.</w:t>
      </w:r>
    </w:p>
    <w:p w:rsidR="003F0BC5" w:rsidRPr="00992199" w:rsidRDefault="003F0BC5" w:rsidP="003F0BC5">
      <w:pPr>
        <w:rPr>
          <w:szCs w:val="20"/>
        </w:rPr>
      </w:pPr>
      <w:r w:rsidRPr="00992199">
        <w:rPr>
          <w:szCs w:val="20"/>
        </w:rPr>
        <w:lastRenderedPageBreak/>
        <w:t>Tom also serves as a Non-Executive Director of the TSX listed minerals exploration and development company Alphamin Resources Corp, is a Non-Executive Director of the South African based JSE listed company Metmar, a commodities trading company, and Non-Executive Chairman of ASX listed minerals exploration and development company Elemental Minerals Limited. Tom is also a director of Beacon Rock Corporate Services, a company which provides advisory services to the mining industry.</w:t>
      </w:r>
    </w:p>
    <w:p w:rsidR="003F0BC5" w:rsidRPr="00992199" w:rsidRDefault="003F0BC5" w:rsidP="003F0BC5">
      <w:pPr>
        <w:rPr>
          <w:szCs w:val="20"/>
        </w:rPr>
      </w:pPr>
      <w:r w:rsidRPr="00992199">
        <w:rPr>
          <w:szCs w:val="20"/>
        </w:rPr>
        <w:t>More recently, Tom became a director within the Univeg Group.</w:t>
      </w:r>
    </w:p>
    <w:p w:rsidR="003F0BC5" w:rsidRPr="00992199" w:rsidRDefault="00E479F5" w:rsidP="003F0BC5">
      <w:pPr>
        <w:rPr>
          <w:i/>
          <w:szCs w:val="20"/>
        </w:rPr>
      </w:pPr>
      <w:r>
        <w:rPr>
          <w:i/>
          <w:szCs w:val="20"/>
        </w:rPr>
        <w:t xml:space="preserve">Argalix BVBA, represented by </w:t>
      </w:r>
      <w:r w:rsidR="003F0BC5" w:rsidRPr="00992199">
        <w:rPr>
          <w:i/>
          <w:szCs w:val="20"/>
        </w:rPr>
        <w:t>Francis Kint (age [●])</w:t>
      </w:r>
      <w:r>
        <w:rPr>
          <w:i/>
          <w:szCs w:val="20"/>
        </w:rPr>
        <w:t>, permanent representative</w:t>
      </w:r>
      <w:r w:rsidR="00CB6DCF">
        <w:rPr>
          <w:i/>
          <w:szCs w:val="20"/>
        </w:rPr>
        <w:t xml:space="preserve"> </w:t>
      </w:r>
      <w:r w:rsidR="00CB6DCF" w:rsidRPr="00CB6DCF">
        <w:rPr>
          <w:i/>
          <w:szCs w:val="20"/>
        </w:rPr>
        <w:t xml:space="preserve">– </w:t>
      </w:r>
      <w:r w:rsidR="00F2529B">
        <w:rPr>
          <w:i/>
          <w:szCs w:val="20"/>
        </w:rPr>
        <w:t>E</w:t>
      </w:r>
      <w:r w:rsidR="00CB6DCF" w:rsidRPr="00CB6DCF">
        <w:rPr>
          <w:i/>
          <w:szCs w:val="20"/>
        </w:rPr>
        <w:t xml:space="preserve">xecutive, </w:t>
      </w:r>
      <w:r w:rsidR="00CB6DCF">
        <w:rPr>
          <w:i/>
          <w:szCs w:val="20"/>
        </w:rPr>
        <w:t>non-</w:t>
      </w:r>
      <w:r w:rsidR="00CB6DCF" w:rsidRPr="00CB6DCF">
        <w:rPr>
          <w:i/>
          <w:szCs w:val="20"/>
        </w:rPr>
        <w:t>independent director</w:t>
      </w:r>
    </w:p>
    <w:p w:rsidR="003F0BC5" w:rsidRPr="00992199" w:rsidRDefault="003F0BC5" w:rsidP="003F0BC5">
      <w:pPr>
        <w:rPr>
          <w:szCs w:val="20"/>
        </w:rPr>
      </w:pPr>
      <w:r w:rsidRPr="00992199">
        <w:rPr>
          <w:szCs w:val="20"/>
        </w:rPr>
        <w:t xml:space="preserve">Francis Kint is Chief Executive Officer of Univeg Group. Before this he was the Managing Director of Univeg </w:t>
      </w:r>
      <w:smartTag w:uri="urn:schemas-microsoft-com:office:smarttags" w:element="country-region">
        <w:smartTag w:uri="urn:schemas-microsoft-com:office:smarttags" w:element="place">
          <w:r w:rsidRPr="00992199">
            <w:rPr>
              <w:szCs w:val="20"/>
            </w:rPr>
            <w:t>Germany</w:t>
          </w:r>
        </w:smartTag>
      </w:smartTag>
      <w:r w:rsidRPr="00992199">
        <w:rPr>
          <w:szCs w:val="20"/>
        </w:rPr>
        <w:t xml:space="preserve"> (2009) and Head of fruit and vegetable division of Univeg (2009-2013). Before joining Univeg, Francis was the President Europe at Fiskars Brands. Previously, he was the Vice President north and east </w:t>
      </w:r>
      <w:smartTag w:uri="urn:schemas-microsoft-com:office:smarttags" w:element="place">
        <w:r w:rsidRPr="00992199">
          <w:rPr>
            <w:szCs w:val="20"/>
          </w:rPr>
          <w:t>Europe</w:t>
        </w:r>
      </w:smartTag>
      <w:r w:rsidRPr="00992199">
        <w:rPr>
          <w:szCs w:val="20"/>
        </w:rPr>
        <w:t xml:space="preserve"> of Chiquita Brands.</w:t>
      </w:r>
    </w:p>
    <w:p w:rsidR="003F0BC5" w:rsidRDefault="003F0BC5" w:rsidP="003F0BC5">
      <w:pPr>
        <w:rPr>
          <w:szCs w:val="20"/>
        </w:rPr>
      </w:pPr>
      <w:r w:rsidRPr="00992199">
        <w:rPr>
          <w:szCs w:val="20"/>
        </w:rPr>
        <w:t xml:space="preserve">Francis Kint graduated from the </w:t>
      </w:r>
      <w:smartTag w:uri="urn:schemas-microsoft-com:office:smarttags" w:element="PlaceType">
        <w:r w:rsidRPr="00992199">
          <w:rPr>
            <w:szCs w:val="20"/>
          </w:rPr>
          <w:t>University</w:t>
        </w:r>
      </w:smartTag>
      <w:r w:rsidRPr="00992199">
        <w:rPr>
          <w:szCs w:val="20"/>
        </w:rPr>
        <w:t xml:space="preserve"> of </w:t>
      </w:r>
      <w:smartTag w:uri="urn:schemas-microsoft-com:office:smarttags" w:element="PlaceName">
        <w:r w:rsidRPr="00992199">
          <w:rPr>
            <w:szCs w:val="20"/>
          </w:rPr>
          <w:t>Ghent</w:t>
        </w:r>
      </w:smartTag>
      <w:r w:rsidRPr="00992199">
        <w:rPr>
          <w:szCs w:val="20"/>
        </w:rPr>
        <w:t xml:space="preserve"> in 1985 with master degree in Civil engineer and in 1987 earned a degree in Management at </w:t>
      </w:r>
      <w:smartTag w:uri="urn:schemas-microsoft-com:office:smarttags" w:element="place">
        <w:smartTag w:uri="urn:schemas-microsoft-com:office:smarttags" w:element="PlaceName">
          <w:r w:rsidRPr="00992199">
            <w:rPr>
              <w:szCs w:val="20"/>
            </w:rPr>
            <w:t>Vlerick</w:t>
          </w:r>
        </w:smartTag>
        <w:r w:rsidRPr="00992199">
          <w:rPr>
            <w:szCs w:val="20"/>
          </w:rPr>
          <w:t xml:space="preserve"> </w:t>
        </w:r>
        <w:smartTag w:uri="urn:schemas-microsoft-com:office:smarttags" w:element="PlaceName">
          <w:r w:rsidRPr="00992199">
            <w:rPr>
              <w:szCs w:val="20"/>
            </w:rPr>
            <w:t>Leuven</w:t>
          </w:r>
        </w:smartTag>
        <w:r w:rsidRPr="00992199">
          <w:rPr>
            <w:szCs w:val="20"/>
          </w:rPr>
          <w:t xml:space="preserve"> </w:t>
        </w:r>
        <w:smartTag w:uri="urn:schemas-microsoft-com:office:smarttags" w:element="PlaceType">
          <w:r w:rsidRPr="00992199">
            <w:rPr>
              <w:szCs w:val="20"/>
            </w:rPr>
            <w:t>School</w:t>
          </w:r>
        </w:smartTag>
      </w:smartTag>
      <w:r w:rsidRPr="00992199">
        <w:rPr>
          <w:szCs w:val="20"/>
        </w:rPr>
        <w:t>. In 1991, he earned a MBA from INSEAD (</w:t>
      </w:r>
      <w:smartTag w:uri="urn:schemas-microsoft-com:office:smarttags" w:element="City">
        <w:smartTag w:uri="urn:schemas-microsoft-com:office:smarttags" w:element="place">
          <w:r w:rsidRPr="00992199">
            <w:rPr>
              <w:szCs w:val="20"/>
            </w:rPr>
            <w:t>Fontainebleau</w:t>
          </w:r>
        </w:smartTag>
      </w:smartTag>
      <w:r w:rsidRPr="00992199">
        <w:rPr>
          <w:szCs w:val="20"/>
        </w:rPr>
        <w:t>).</w:t>
      </w:r>
    </w:p>
    <w:p w:rsidR="00EC066D" w:rsidRPr="00594A9B" w:rsidRDefault="00EC066D" w:rsidP="003F0BC5">
      <w:pPr>
        <w:rPr>
          <w:i/>
          <w:szCs w:val="20"/>
        </w:rPr>
      </w:pPr>
      <w:r w:rsidRPr="00594A9B">
        <w:rPr>
          <w:i/>
          <w:szCs w:val="20"/>
        </w:rPr>
        <w:t>Charles-Henri Deprez (age 24) – Non-executive, non-independent director</w:t>
      </w:r>
    </w:p>
    <w:p w:rsidR="00EC066D" w:rsidRPr="00EC066D" w:rsidRDefault="00EC066D" w:rsidP="003F0BC5">
      <w:pPr>
        <w:rPr>
          <w:szCs w:val="20"/>
        </w:rPr>
      </w:pPr>
      <w:r w:rsidRPr="00EC066D">
        <w:rPr>
          <w:szCs w:val="20"/>
        </w:rPr>
        <w:t xml:space="preserve">Charles-Henri </w:t>
      </w:r>
      <w:r>
        <w:rPr>
          <w:szCs w:val="20"/>
        </w:rPr>
        <w:t xml:space="preserve">Deprez </w:t>
      </w:r>
      <w:r w:rsidRPr="00EC066D">
        <w:rPr>
          <w:szCs w:val="20"/>
        </w:rPr>
        <w:t xml:space="preserve">started studying applied economics at the </w:t>
      </w:r>
      <w:r>
        <w:rPr>
          <w:szCs w:val="20"/>
        </w:rPr>
        <w:t xml:space="preserve">Catholic </w:t>
      </w:r>
      <w:r w:rsidRPr="00EC066D">
        <w:rPr>
          <w:szCs w:val="20"/>
        </w:rPr>
        <w:t>University of Leuven in September 2009, graduated in June 2013 with honor</w:t>
      </w:r>
      <w:r w:rsidR="000115E1">
        <w:rPr>
          <w:szCs w:val="20"/>
        </w:rPr>
        <w:t>s</w:t>
      </w:r>
      <w:r w:rsidRPr="00EC066D">
        <w:rPr>
          <w:szCs w:val="20"/>
        </w:rPr>
        <w:t xml:space="preserve"> after writing his dissertation about the macro economic situation in </w:t>
      </w:r>
      <w:smartTag w:uri="urn:schemas-microsoft-com:office:smarttags" w:element="country-region">
        <w:smartTag w:uri="urn:schemas-microsoft-com:office:smarttags" w:element="place">
          <w:r w:rsidRPr="00EC066D">
            <w:rPr>
              <w:szCs w:val="20"/>
            </w:rPr>
            <w:t>Argentina</w:t>
          </w:r>
        </w:smartTag>
      </w:smartTag>
      <w:r w:rsidRPr="00EC066D">
        <w:rPr>
          <w:szCs w:val="20"/>
        </w:rPr>
        <w:t xml:space="preserve"> and the effect on the fruit sector. The past eight years he was actively involved in Deprez Holding. Charle</w:t>
      </w:r>
      <w:r>
        <w:rPr>
          <w:szCs w:val="20"/>
        </w:rPr>
        <w:t>s-Henri is a b</w:t>
      </w:r>
      <w:r w:rsidRPr="00EC066D">
        <w:rPr>
          <w:szCs w:val="20"/>
        </w:rPr>
        <w:t xml:space="preserve">oard member </w:t>
      </w:r>
      <w:r>
        <w:rPr>
          <w:szCs w:val="20"/>
        </w:rPr>
        <w:t>of</w:t>
      </w:r>
      <w:r w:rsidRPr="00EC066D">
        <w:rPr>
          <w:szCs w:val="20"/>
        </w:rPr>
        <w:t xml:space="preserve"> Expofrut Argentina SA (a fruit producing company in </w:t>
      </w:r>
      <w:smartTag w:uri="urn:schemas-microsoft-com:office:smarttags" w:element="country-region">
        <w:smartTag w:uri="urn:schemas-microsoft-com:office:smarttags" w:element="place">
          <w:r w:rsidRPr="00EC066D">
            <w:rPr>
              <w:szCs w:val="20"/>
            </w:rPr>
            <w:t>Argentina</w:t>
          </w:r>
        </w:smartTag>
      </w:smartTag>
      <w:r w:rsidRPr="00EC066D">
        <w:rPr>
          <w:szCs w:val="20"/>
        </w:rPr>
        <w:t>), in October 2013 he became executive board member in Expofrut Argentina SA</w:t>
      </w:r>
      <w:r>
        <w:rPr>
          <w:szCs w:val="20"/>
        </w:rPr>
        <w:t xml:space="preserve"> and t</w:t>
      </w:r>
      <w:r w:rsidRPr="00EC066D">
        <w:rPr>
          <w:szCs w:val="20"/>
        </w:rPr>
        <w:t xml:space="preserve">oday he is commercial </w:t>
      </w:r>
      <w:r>
        <w:rPr>
          <w:szCs w:val="20"/>
        </w:rPr>
        <w:t>d</w:t>
      </w:r>
      <w:r w:rsidRPr="00EC066D">
        <w:rPr>
          <w:szCs w:val="20"/>
        </w:rPr>
        <w:t xml:space="preserve">irector in Expofrut Argentina SA. Charles-Henri </w:t>
      </w:r>
      <w:r>
        <w:rPr>
          <w:szCs w:val="20"/>
        </w:rPr>
        <w:t>is also an</w:t>
      </w:r>
      <w:r w:rsidRPr="00EC066D">
        <w:rPr>
          <w:szCs w:val="20"/>
        </w:rPr>
        <w:t xml:space="preserve"> advisor of the board of director of </w:t>
      </w:r>
      <w:r>
        <w:rPr>
          <w:szCs w:val="20"/>
        </w:rPr>
        <w:t>DWB and to the board of directors of Deprez Holding</w:t>
      </w:r>
      <w:r w:rsidRPr="00EC066D">
        <w:rPr>
          <w:szCs w:val="20"/>
        </w:rPr>
        <w:t xml:space="preserve">. </w:t>
      </w:r>
    </w:p>
    <w:p w:rsidR="003F0BC5" w:rsidRPr="00992199" w:rsidRDefault="00CB6DCF" w:rsidP="003F0BC5">
      <w:pPr>
        <w:rPr>
          <w:i/>
          <w:szCs w:val="20"/>
        </w:rPr>
      </w:pPr>
      <w:r>
        <w:rPr>
          <w:i/>
          <w:szCs w:val="20"/>
        </w:rPr>
        <w:t>Intal</w:t>
      </w:r>
      <w:r w:rsidRPr="00CB6DCF">
        <w:rPr>
          <w:i/>
          <w:szCs w:val="20"/>
        </w:rPr>
        <w:t xml:space="preserve"> BVBA, director, represented by</w:t>
      </w:r>
      <w:r w:rsidRPr="00CB6DCF">
        <w:t xml:space="preserve"> </w:t>
      </w:r>
      <w:r w:rsidRPr="00CB6DCF">
        <w:rPr>
          <w:i/>
          <w:szCs w:val="20"/>
        </w:rPr>
        <w:t xml:space="preserve">Johan Vanovenberghe (age 51), permanent representative – Non-executive, </w:t>
      </w:r>
      <w:r>
        <w:rPr>
          <w:i/>
          <w:szCs w:val="20"/>
        </w:rPr>
        <w:t>non-</w:t>
      </w:r>
      <w:r w:rsidRPr="00CB6DCF">
        <w:rPr>
          <w:i/>
          <w:szCs w:val="20"/>
        </w:rPr>
        <w:t>independent director</w:t>
      </w:r>
    </w:p>
    <w:p w:rsidR="00EC066D" w:rsidRPr="00992199" w:rsidRDefault="003F0BC5" w:rsidP="003F0BC5">
      <w:pPr>
        <w:rPr>
          <w:szCs w:val="20"/>
        </w:rPr>
      </w:pPr>
      <w:r w:rsidRPr="00992199">
        <w:rPr>
          <w:szCs w:val="20"/>
        </w:rPr>
        <w:t xml:space="preserve">Johan Vanovenberghe began his career in 1987 at the audit firm Grant Thornton where he worked in various audit capacities and obtained broad experience in the areas of audit and financial structures. He became partner at Grant Thornton in 1995. From 2006 until 2009, he was CFO of the Univeg Group, responsible for all aspects of financial management, and completed in this frame a number of acquisitions across the world. Since 2007 he acts as advisor to the Board of Directors and the board of directors of Peatinvest and has played throughout the years an active role in acquisitions and divestitures for the </w:t>
      </w:r>
      <w:r w:rsidR="002A1AB1">
        <w:rPr>
          <w:szCs w:val="20"/>
        </w:rPr>
        <w:t>Greenyard Foods</w:t>
      </w:r>
      <w:r w:rsidRPr="00992199">
        <w:rPr>
          <w:szCs w:val="20"/>
        </w:rPr>
        <w:t xml:space="preserve"> Grou</w:t>
      </w:r>
      <w:r w:rsidR="0011360E">
        <w:rPr>
          <w:szCs w:val="20"/>
        </w:rPr>
        <w:t>p</w:t>
      </w:r>
      <w:r w:rsidRPr="00992199">
        <w:rPr>
          <w:szCs w:val="20"/>
        </w:rPr>
        <w:t xml:space="preserve"> (such as the acquisition of Noliko and divestment of Lutosa). Since 2009 Johan Vanovenberghe is CFO of Deprez Holding. Besides his engagements in the Univeg Group, Deprez Holding and </w:t>
      </w:r>
      <w:r w:rsidR="0011360E" w:rsidRPr="0011360E">
        <w:rPr>
          <w:szCs w:val="20"/>
        </w:rPr>
        <w:t>the Greenyard Foods Group</w:t>
      </w:r>
      <w:r w:rsidRPr="00992199">
        <w:rPr>
          <w:szCs w:val="20"/>
        </w:rPr>
        <w:t xml:space="preserve">, he is also advisor to the board of directors of MG Real Estate Group, a prominent Belgian real estate developer, and to the board of directors of Edan Business Solutions, a Microsoft Gold Partner specialised in business processes. Johan Vanovenberghe is a member of the </w:t>
      </w:r>
      <w:smartTag w:uri="urn:schemas-microsoft-com:office:smarttags" w:element="place">
        <w:smartTag w:uri="urn:schemas-microsoft-com:office:smarttags" w:element="PlaceType">
          <w:r w:rsidRPr="00992199">
            <w:rPr>
              <w:szCs w:val="20"/>
            </w:rPr>
            <w:t>Institute</w:t>
          </w:r>
        </w:smartTag>
        <w:r w:rsidRPr="00992199">
          <w:rPr>
            <w:szCs w:val="20"/>
          </w:rPr>
          <w:t xml:space="preserve"> of </w:t>
        </w:r>
        <w:smartTag w:uri="urn:schemas-microsoft-com:office:smarttags" w:element="PlaceName">
          <w:r w:rsidRPr="00992199">
            <w:rPr>
              <w:szCs w:val="20"/>
            </w:rPr>
            <w:t>Accountants</w:t>
          </w:r>
        </w:smartTag>
      </w:smartTag>
      <w:r w:rsidRPr="00992199">
        <w:rPr>
          <w:szCs w:val="20"/>
        </w:rPr>
        <w:t xml:space="preserve"> and Tax Advisors since 1992.</w:t>
      </w:r>
      <w:r w:rsidR="00007CAE">
        <w:rPr>
          <w:szCs w:val="20"/>
        </w:rPr>
        <w:t>]</w:t>
      </w:r>
    </w:p>
    <w:p w:rsidR="003F0BC5" w:rsidRPr="00992199" w:rsidRDefault="003F0BC5" w:rsidP="00353B80">
      <w:pPr>
        <w:pStyle w:val="Firm5L3"/>
        <w:keepNext/>
      </w:pPr>
      <w:r w:rsidRPr="00992199">
        <w:t>Executive management</w:t>
      </w:r>
    </w:p>
    <w:p w:rsidR="003F0BC5" w:rsidRPr="00992199" w:rsidRDefault="003F0BC5" w:rsidP="003F0BC5">
      <w:pPr>
        <w:rPr>
          <w:szCs w:val="20"/>
        </w:rPr>
      </w:pPr>
      <w:r w:rsidRPr="00992199">
        <w:rPr>
          <w:szCs w:val="20"/>
        </w:rPr>
        <w:t xml:space="preserve">The Board of Directors has mandated the </w:t>
      </w:r>
      <w:r w:rsidR="008D49ED">
        <w:rPr>
          <w:szCs w:val="20"/>
        </w:rPr>
        <w:t>Executive Committee</w:t>
      </w:r>
      <w:r w:rsidRPr="00992199">
        <w:rPr>
          <w:szCs w:val="20"/>
        </w:rPr>
        <w:t xml:space="preserve"> to undertake the day-to-day activities of t</w:t>
      </w:r>
      <w:r w:rsidR="0083762C">
        <w:rPr>
          <w:szCs w:val="20"/>
        </w:rPr>
        <w:t>he company in the light of the C</w:t>
      </w:r>
      <w:r w:rsidRPr="00992199">
        <w:rPr>
          <w:szCs w:val="20"/>
        </w:rPr>
        <w:t xml:space="preserve">ompany’s values, its approach to risk and the key elements of its policy. The </w:t>
      </w:r>
      <w:r w:rsidR="008D49ED">
        <w:rPr>
          <w:szCs w:val="20"/>
        </w:rPr>
        <w:t>Executive Committee</w:t>
      </w:r>
      <w:r w:rsidRPr="00992199">
        <w:rPr>
          <w:szCs w:val="20"/>
        </w:rPr>
        <w:t xml:space="preserve"> advises the Board of Directors and therefore, does not qualify as an executive committee</w:t>
      </w:r>
      <w:r w:rsidR="008D49ED">
        <w:rPr>
          <w:szCs w:val="20"/>
        </w:rPr>
        <w:t xml:space="preserve"> (</w:t>
      </w:r>
      <w:r w:rsidR="008D49ED">
        <w:rPr>
          <w:i/>
          <w:szCs w:val="20"/>
        </w:rPr>
        <w:t>directiecomité / comité de direction</w:t>
      </w:r>
      <w:r w:rsidR="008D49ED">
        <w:rPr>
          <w:szCs w:val="20"/>
        </w:rPr>
        <w:t>)</w:t>
      </w:r>
      <w:r w:rsidRPr="00992199">
        <w:rPr>
          <w:szCs w:val="20"/>
        </w:rPr>
        <w:t xml:space="preserve"> in the sense of article 524bis </w:t>
      </w:r>
      <w:r w:rsidR="0055687C">
        <w:rPr>
          <w:szCs w:val="20"/>
        </w:rPr>
        <w:t>BCC</w:t>
      </w:r>
      <w:r w:rsidRPr="00992199">
        <w:rPr>
          <w:szCs w:val="20"/>
        </w:rPr>
        <w:t>.</w:t>
      </w:r>
    </w:p>
    <w:p w:rsidR="003F0BC5" w:rsidRPr="00992199" w:rsidRDefault="003F0BC5" w:rsidP="00353B80">
      <w:pPr>
        <w:pStyle w:val="Firm5L4"/>
        <w:keepNext/>
      </w:pPr>
      <w:r w:rsidRPr="00992199">
        <w:t>Composition</w:t>
      </w:r>
    </w:p>
    <w:p w:rsidR="003F0BC5" w:rsidRPr="00992199" w:rsidRDefault="003F0BC5" w:rsidP="003F0BC5">
      <w:pPr>
        <w:rPr>
          <w:szCs w:val="20"/>
        </w:rPr>
      </w:pPr>
      <w:r w:rsidRPr="00992199">
        <w:rPr>
          <w:szCs w:val="20"/>
        </w:rPr>
        <w:t xml:space="preserve">On the date of this Prospectus, the </w:t>
      </w:r>
      <w:r w:rsidR="008D49ED">
        <w:rPr>
          <w:szCs w:val="20"/>
        </w:rPr>
        <w:t>Executive Committee</w:t>
      </w:r>
      <w:r w:rsidRPr="00992199">
        <w:rPr>
          <w:szCs w:val="20"/>
        </w:rPr>
        <w:t xml:space="preserve"> is composed of the following persons:</w:t>
      </w:r>
    </w:p>
    <w:p w:rsidR="003F0BC5" w:rsidRPr="00992199" w:rsidRDefault="003F0BC5" w:rsidP="00BB285C">
      <w:pPr>
        <w:pStyle w:val="BulletsL1"/>
      </w:pPr>
      <w:r w:rsidRPr="00992199">
        <w:t>Mavac BVBA, w</w:t>
      </w:r>
      <w:r w:rsidR="00E34880">
        <w:t>ith permanent representative Ms</w:t>
      </w:r>
      <w:r w:rsidRPr="00992199">
        <w:t xml:space="preserve"> Marleen Vaesen, CEO;</w:t>
      </w:r>
    </w:p>
    <w:p w:rsidR="003F0BC5" w:rsidRPr="00992199" w:rsidRDefault="00A07615" w:rsidP="00BB285C">
      <w:pPr>
        <w:pStyle w:val="BulletsL1"/>
      </w:pPr>
      <w:r>
        <w:t>Ms</w:t>
      </w:r>
      <w:r w:rsidR="003F0BC5" w:rsidRPr="00992199">
        <w:t xml:space="preserve"> Valerie Vanhoutte, CFO;</w:t>
      </w:r>
    </w:p>
    <w:p w:rsidR="003F0BC5" w:rsidRPr="00992199" w:rsidRDefault="003F0BC5" w:rsidP="00BB285C">
      <w:pPr>
        <w:pStyle w:val="BulletsL1"/>
      </w:pPr>
      <w:r w:rsidRPr="00992199">
        <w:t>Haluvan BVBA, w</w:t>
      </w:r>
      <w:r w:rsidR="00E34880">
        <w:t>ith permanent representative Mr</w:t>
      </w:r>
      <w:r w:rsidRPr="00992199">
        <w:t xml:space="preserve"> Hans Luts, responsible for the Frozen Division;</w:t>
      </w:r>
    </w:p>
    <w:p w:rsidR="003F0BC5" w:rsidRPr="00992199" w:rsidRDefault="00A07615" w:rsidP="00BB285C">
      <w:pPr>
        <w:pStyle w:val="BulletsL1"/>
      </w:pPr>
      <w:r>
        <w:t>Mr</w:t>
      </w:r>
      <w:r w:rsidR="003F0BC5" w:rsidRPr="00992199">
        <w:t xml:space="preserve"> Dominiek Stinckens, responsible for the Canning Division.</w:t>
      </w:r>
    </w:p>
    <w:p w:rsidR="003F0BC5" w:rsidRPr="00992199" w:rsidRDefault="003F0BC5" w:rsidP="003F0BC5">
      <w:pPr>
        <w:rPr>
          <w:szCs w:val="20"/>
        </w:rPr>
      </w:pPr>
      <w:r w:rsidRPr="00992199">
        <w:rPr>
          <w:szCs w:val="20"/>
        </w:rPr>
        <w:t xml:space="preserve">On 24 November 2014, </w:t>
      </w:r>
      <w:smartTag w:uri="urn:schemas-microsoft-com:office:smarttags" w:element="place">
        <w:smartTag w:uri="urn:schemas-microsoft-com:office:smarttags" w:element="City">
          <w:r w:rsidRPr="00992199">
            <w:rPr>
              <w:szCs w:val="20"/>
            </w:rPr>
            <w:t>Vijverbos</w:t>
          </w:r>
        </w:smartTag>
        <w:r w:rsidRPr="00992199">
          <w:rPr>
            <w:szCs w:val="20"/>
          </w:rPr>
          <w:t xml:space="preserve"> </w:t>
        </w:r>
        <w:smartTag w:uri="urn:schemas-microsoft-com:office:smarttags" w:element="State">
          <w:r w:rsidRPr="00992199">
            <w:rPr>
              <w:szCs w:val="20"/>
            </w:rPr>
            <w:t>NV</w:t>
          </w:r>
        </w:smartTag>
      </w:smartTag>
      <w:r w:rsidRPr="00992199">
        <w:rPr>
          <w:szCs w:val="20"/>
        </w:rPr>
        <w:t>, w</w:t>
      </w:r>
      <w:r w:rsidR="00E34880">
        <w:rPr>
          <w:szCs w:val="20"/>
        </w:rPr>
        <w:t>ith permanent representative Mr</w:t>
      </w:r>
      <w:r w:rsidRPr="00992199">
        <w:rPr>
          <w:szCs w:val="20"/>
        </w:rPr>
        <w:t xml:space="preserve"> Herwig Dejonghe, resigned as a member of the </w:t>
      </w:r>
      <w:r w:rsidR="008D49ED">
        <w:rPr>
          <w:szCs w:val="20"/>
        </w:rPr>
        <w:t>Executive Committee</w:t>
      </w:r>
      <w:r w:rsidRPr="00992199">
        <w:rPr>
          <w:szCs w:val="20"/>
        </w:rPr>
        <w:t>.</w:t>
      </w:r>
    </w:p>
    <w:p w:rsidR="003F0BC5" w:rsidRPr="00992199" w:rsidRDefault="003F0BC5" w:rsidP="003F0BC5">
      <w:pPr>
        <w:rPr>
          <w:szCs w:val="20"/>
        </w:rPr>
      </w:pPr>
      <w:r w:rsidRPr="00992199">
        <w:rPr>
          <w:szCs w:val="20"/>
        </w:rPr>
        <w:t xml:space="preserve">The Board of Directors of the Company held on 30 April 2015 has decided that, subject to and effective as of the completion of the Transactions, the </w:t>
      </w:r>
      <w:r w:rsidR="008D49ED">
        <w:rPr>
          <w:szCs w:val="20"/>
        </w:rPr>
        <w:t>Executive Committee</w:t>
      </w:r>
      <w:r w:rsidRPr="00992199">
        <w:rPr>
          <w:szCs w:val="20"/>
        </w:rPr>
        <w:t xml:space="preserve"> shall be composed as follows:</w:t>
      </w:r>
    </w:p>
    <w:p w:rsidR="003F0BC5" w:rsidRPr="00992199" w:rsidRDefault="00494BF3" w:rsidP="003F0BC5">
      <w:pPr>
        <w:rPr>
          <w:szCs w:val="20"/>
        </w:rPr>
      </w:pPr>
      <w:r>
        <w:rPr>
          <w:szCs w:val="20"/>
        </w:rPr>
        <w:lastRenderedPageBreak/>
        <w:t>[●]</w:t>
      </w:r>
    </w:p>
    <w:p w:rsidR="003F0BC5" w:rsidRPr="00992199" w:rsidRDefault="003F0BC5" w:rsidP="003F0BC5">
      <w:pPr>
        <w:rPr>
          <w:szCs w:val="20"/>
        </w:rPr>
      </w:pPr>
      <w:r w:rsidRPr="00992199">
        <w:rPr>
          <w:szCs w:val="20"/>
        </w:rPr>
        <w:t xml:space="preserve">Going forward, the </w:t>
      </w:r>
      <w:r w:rsidR="008D49ED">
        <w:rPr>
          <w:szCs w:val="20"/>
        </w:rPr>
        <w:t>Executive Committee</w:t>
      </w:r>
      <w:r w:rsidRPr="00992199">
        <w:rPr>
          <w:szCs w:val="20"/>
        </w:rPr>
        <w:t xml:space="preserve"> shall be assisted by a leadership team composed of key individuals of each of the different business units.</w:t>
      </w:r>
    </w:p>
    <w:p w:rsidR="003F0BC5" w:rsidRPr="00992199" w:rsidRDefault="003F0BC5" w:rsidP="00353B80">
      <w:pPr>
        <w:pStyle w:val="Firm5L4"/>
        <w:keepNext/>
      </w:pPr>
      <w:r w:rsidRPr="00992199">
        <w:t>Role</w:t>
      </w:r>
    </w:p>
    <w:p w:rsidR="003F0BC5" w:rsidRPr="00992199" w:rsidRDefault="003F0BC5" w:rsidP="003F0BC5">
      <w:pPr>
        <w:rPr>
          <w:szCs w:val="20"/>
        </w:rPr>
      </w:pPr>
      <w:r w:rsidRPr="00992199">
        <w:rPr>
          <w:szCs w:val="20"/>
        </w:rPr>
        <w:t xml:space="preserve">The role of the </w:t>
      </w:r>
      <w:r w:rsidR="008D49ED">
        <w:rPr>
          <w:szCs w:val="20"/>
        </w:rPr>
        <w:t>Executive Committee</w:t>
      </w:r>
      <w:r w:rsidRPr="00992199">
        <w:rPr>
          <w:szCs w:val="20"/>
        </w:rPr>
        <w:t xml:space="preserve"> is to guide the management of </w:t>
      </w:r>
      <w:r w:rsidR="002A1AB1">
        <w:rPr>
          <w:szCs w:val="20"/>
        </w:rPr>
        <w:t>Greenyard Foods</w:t>
      </w:r>
      <w:r w:rsidRPr="00992199">
        <w:rPr>
          <w:szCs w:val="20"/>
        </w:rPr>
        <w:t xml:space="preserve"> and to carry out other responsibilities delegated to the </w:t>
      </w:r>
      <w:r w:rsidR="008D49ED">
        <w:rPr>
          <w:szCs w:val="20"/>
        </w:rPr>
        <w:t>Executive Committee</w:t>
      </w:r>
      <w:r w:rsidRPr="00992199">
        <w:rPr>
          <w:szCs w:val="20"/>
        </w:rPr>
        <w:t xml:space="preserve"> by the Board of Directors in accordance with the values, strategies, policies, plans, and budgets established by the Board of Directors. The </w:t>
      </w:r>
      <w:r w:rsidR="008D49ED">
        <w:rPr>
          <w:szCs w:val="20"/>
        </w:rPr>
        <w:t>Executive Committee</w:t>
      </w:r>
      <w:r w:rsidRPr="00992199">
        <w:rPr>
          <w:szCs w:val="20"/>
        </w:rPr>
        <w:t xml:space="preserve"> is jointly responsible for the Company’s policy, the Company’s affairs, and the affairs of group companies affiliated with </w:t>
      </w:r>
      <w:r w:rsidR="002A1AB1">
        <w:rPr>
          <w:szCs w:val="20"/>
        </w:rPr>
        <w:t>Greenyard Foods</w:t>
      </w:r>
      <w:r w:rsidRPr="00992199">
        <w:rPr>
          <w:szCs w:val="20"/>
        </w:rPr>
        <w:t>.</w:t>
      </w:r>
    </w:p>
    <w:p w:rsidR="003F0BC5" w:rsidRPr="00992199" w:rsidRDefault="003F0BC5" w:rsidP="003F0BC5">
      <w:pPr>
        <w:rPr>
          <w:szCs w:val="20"/>
        </w:rPr>
      </w:pPr>
      <w:r w:rsidRPr="00992199">
        <w:rPr>
          <w:szCs w:val="20"/>
        </w:rPr>
        <w:t xml:space="preserve">In the exercise of its role the </w:t>
      </w:r>
      <w:r w:rsidR="008D49ED">
        <w:rPr>
          <w:szCs w:val="20"/>
        </w:rPr>
        <w:t>Executive Committee</w:t>
      </w:r>
      <w:r w:rsidRPr="00992199">
        <w:rPr>
          <w:szCs w:val="20"/>
        </w:rPr>
        <w:t xml:space="preserve"> is responsible for compliance with all relevant laws and regulations.</w:t>
      </w:r>
    </w:p>
    <w:p w:rsidR="003F0BC5" w:rsidRPr="00992199" w:rsidRDefault="003F0BC5" w:rsidP="00353B80">
      <w:pPr>
        <w:pStyle w:val="Firm5L3"/>
        <w:keepNext/>
      </w:pPr>
      <w:r w:rsidRPr="00992199">
        <w:t>Potential conflicts of interest</w:t>
      </w:r>
    </w:p>
    <w:p w:rsidR="003F0BC5" w:rsidRPr="00992199" w:rsidRDefault="003F0BC5" w:rsidP="003F0BC5">
      <w:pPr>
        <w:rPr>
          <w:szCs w:val="20"/>
        </w:rPr>
      </w:pPr>
      <w:r w:rsidRPr="00992199">
        <w:rPr>
          <w:szCs w:val="20"/>
        </w:rPr>
        <w:t xml:space="preserve">According to article 523 </w:t>
      </w:r>
      <w:r w:rsidR="0055687C">
        <w:rPr>
          <w:szCs w:val="20"/>
        </w:rPr>
        <w:t>BCC</w:t>
      </w:r>
      <w:r w:rsidRPr="00992199">
        <w:rPr>
          <w:szCs w:val="20"/>
        </w:rPr>
        <w:t>, a specific procedure needs to be followed in the Board of Directors of the Company if one or more directors could have a direct or indirect conflict of interest of a financial nature with a decision or transaction that is to be resolved upon by the Board of Directors. In such case, the particular director needs to inform the other directors and the statutory auditor of such conflict prior to the meeting of the Board of Directors.</w:t>
      </w:r>
    </w:p>
    <w:p w:rsidR="003F0BC5" w:rsidRPr="00992199" w:rsidRDefault="003F0BC5" w:rsidP="003F0BC5">
      <w:pPr>
        <w:rPr>
          <w:szCs w:val="20"/>
        </w:rPr>
      </w:pPr>
      <w:r w:rsidRPr="00992199">
        <w:rPr>
          <w:szCs w:val="20"/>
        </w:rPr>
        <w:t>Moreover, the director with a conflict of interest cannot participate in the deliberation on this decision or transaction. The declaration of the director on the conflict of interest should be included in the minutes of the Board of Directors as well as a description of the conflict of interest by the Board of Directors and the nature of the concerned decision or transaction.</w:t>
      </w:r>
    </w:p>
    <w:p w:rsidR="003F0BC5" w:rsidRPr="00992199" w:rsidRDefault="003F0BC5" w:rsidP="003F0BC5">
      <w:pPr>
        <w:rPr>
          <w:szCs w:val="20"/>
        </w:rPr>
      </w:pPr>
      <w:r w:rsidRPr="00992199">
        <w:rPr>
          <w:szCs w:val="20"/>
        </w:rPr>
        <w:t>In addition, a justification of the decision or transaction needs to be included in the minutes by the Board of Directors as well as a description of the financial consequences for the Company. The minutes need to be included in the annual report of the Board of Directors. The director having a conflict of interest also needs to inform the statutory auditor about the conflict. The statutory auditor needs to describe the financial consequences of the decision that led to the potential conflict of interest.</w:t>
      </w:r>
    </w:p>
    <w:p w:rsidR="003F0BC5" w:rsidRPr="00992199" w:rsidRDefault="003F0BC5" w:rsidP="00353B80">
      <w:pPr>
        <w:pStyle w:val="Firm5L4"/>
        <w:keepNext/>
      </w:pPr>
      <w:r w:rsidRPr="00992199">
        <w:t>Recent conflicts of interest notified</w:t>
      </w:r>
    </w:p>
    <w:p w:rsidR="003F0BC5" w:rsidRPr="00992199" w:rsidRDefault="003F0BC5" w:rsidP="003F0BC5">
      <w:pPr>
        <w:rPr>
          <w:szCs w:val="20"/>
        </w:rPr>
      </w:pPr>
      <w:r w:rsidRPr="00992199">
        <w:rPr>
          <w:szCs w:val="20"/>
        </w:rPr>
        <w:t xml:space="preserve">In the course of the past </w:t>
      </w:r>
      <w:r w:rsidR="00E479F5">
        <w:rPr>
          <w:szCs w:val="20"/>
        </w:rPr>
        <w:t>three</w:t>
      </w:r>
      <w:r w:rsidRPr="00992199">
        <w:rPr>
          <w:szCs w:val="20"/>
        </w:rPr>
        <w:t xml:space="preserve"> financial years, the following potential conflicts of interest of the directors were notified in accordance with article 523 </w:t>
      </w:r>
      <w:r w:rsidR="0055687C">
        <w:rPr>
          <w:szCs w:val="20"/>
        </w:rPr>
        <w:t>BCC</w:t>
      </w:r>
      <w:r w:rsidRPr="00992199">
        <w:rPr>
          <w:szCs w:val="20"/>
        </w:rPr>
        <w:t>.</w:t>
      </w:r>
    </w:p>
    <w:p w:rsidR="003F0BC5" w:rsidRPr="00992199" w:rsidRDefault="003F0BC5" w:rsidP="003F0BC5">
      <w:pPr>
        <w:rPr>
          <w:i/>
          <w:szCs w:val="20"/>
        </w:rPr>
      </w:pPr>
      <w:r w:rsidRPr="00992199">
        <w:rPr>
          <w:i/>
          <w:szCs w:val="20"/>
        </w:rPr>
        <w:t>Recent</w:t>
      </w:r>
      <w:r w:rsidR="00F13D58">
        <w:rPr>
          <w:i/>
          <w:szCs w:val="20"/>
        </w:rPr>
        <w:t xml:space="preserve"> </w:t>
      </w:r>
      <w:r w:rsidRPr="00992199">
        <w:rPr>
          <w:i/>
          <w:szCs w:val="20"/>
        </w:rPr>
        <w:t>business combi</w:t>
      </w:r>
      <w:r w:rsidR="00A07615">
        <w:rPr>
          <w:i/>
          <w:szCs w:val="20"/>
        </w:rPr>
        <w:t xml:space="preserve">nation between </w:t>
      </w:r>
      <w:r w:rsidR="0011360E">
        <w:rPr>
          <w:i/>
          <w:szCs w:val="20"/>
        </w:rPr>
        <w:t xml:space="preserve">the </w:t>
      </w:r>
      <w:r w:rsidR="002A1AB1">
        <w:rPr>
          <w:i/>
          <w:szCs w:val="20"/>
        </w:rPr>
        <w:t>Greenyard Foods</w:t>
      </w:r>
      <w:r w:rsidR="0011360E">
        <w:rPr>
          <w:i/>
          <w:szCs w:val="20"/>
        </w:rPr>
        <w:t xml:space="preserve"> Group</w:t>
      </w:r>
      <w:r w:rsidR="00A07615">
        <w:rPr>
          <w:i/>
          <w:szCs w:val="20"/>
        </w:rPr>
        <w:t xml:space="preserve">, </w:t>
      </w:r>
      <w:r w:rsidR="0011360E">
        <w:rPr>
          <w:i/>
          <w:szCs w:val="20"/>
        </w:rPr>
        <w:t>the Univeg Group</w:t>
      </w:r>
      <w:r w:rsidRPr="00992199">
        <w:rPr>
          <w:i/>
          <w:szCs w:val="20"/>
        </w:rPr>
        <w:t xml:space="preserve"> and </w:t>
      </w:r>
      <w:r w:rsidR="0011360E">
        <w:rPr>
          <w:i/>
          <w:szCs w:val="20"/>
        </w:rPr>
        <w:t xml:space="preserve">the </w:t>
      </w:r>
      <w:r w:rsidRPr="00992199">
        <w:rPr>
          <w:i/>
          <w:szCs w:val="20"/>
        </w:rPr>
        <w:t>Peatinvest</w:t>
      </w:r>
      <w:r w:rsidR="0011360E">
        <w:rPr>
          <w:i/>
          <w:szCs w:val="20"/>
        </w:rPr>
        <w:t xml:space="preserve"> Group</w:t>
      </w:r>
      <w:r w:rsidRPr="00992199">
        <w:rPr>
          <w:i/>
          <w:szCs w:val="20"/>
        </w:rPr>
        <w:t>:</w:t>
      </w:r>
    </w:p>
    <w:p w:rsidR="003F0BC5" w:rsidRPr="00992199" w:rsidRDefault="003F0BC5" w:rsidP="003F0BC5">
      <w:pPr>
        <w:rPr>
          <w:szCs w:val="20"/>
        </w:rPr>
      </w:pPr>
      <w:r w:rsidRPr="00992199">
        <w:rPr>
          <w:szCs w:val="20"/>
        </w:rPr>
        <w:t xml:space="preserve">During the meeting of the Board of Directors dated 3 March 2015, Deprez Invest NV, Management Deprez BVBA and Bonem BVBA made a declaration pursuant to article 523, §1, Section 4 </w:t>
      </w:r>
      <w:r w:rsidR="0055687C">
        <w:rPr>
          <w:szCs w:val="20"/>
        </w:rPr>
        <w:t>BCC</w:t>
      </w:r>
      <w:r w:rsidRPr="00992199">
        <w:rPr>
          <w:szCs w:val="20"/>
        </w:rPr>
        <w:t xml:space="preserve"> regarding the research on a possible business combi</w:t>
      </w:r>
      <w:r w:rsidR="00A07615">
        <w:rPr>
          <w:szCs w:val="20"/>
        </w:rPr>
        <w:t xml:space="preserve">nation between </w:t>
      </w:r>
      <w:r w:rsidR="0011360E" w:rsidRPr="0011360E">
        <w:rPr>
          <w:szCs w:val="20"/>
        </w:rPr>
        <w:t>the Greenyard Foods Group, the Univeg Group and the Peatinvest Group</w:t>
      </w:r>
      <w:r w:rsidRPr="00992199">
        <w:rPr>
          <w:szCs w:val="20"/>
        </w:rPr>
        <w:t>:</w:t>
      </w:r>
    </w:p>
    <w:p w:rsidR="003F0BC5" w:rsidRPr="00992199" w:rsidRDefault="003F0BC5" w:rsidP="00BB285C">
      <w:pPr>
        <w:pStyle w:val="BulletsL1"/>
      </w:pPr>
      <w:r w:rsidRPr="00992199">
        <w:t xml:space="preserve">Deprez Invest NV, Management Deprez BVBA and Bonem BVBA in their capacity as director being a legal person of </w:t>
      </w:r>
      <w:r w:rsidR="002A1AB1">
        <w:t>Greenyard Foods</w:t>
      </w:r>
      <w:r w:rsidRPr="00992199">
        <w:t xml:space="preserve">, and </w:t>
      </w:r>
      <w:r w:rsidR="00334BBC">
        <w:t>Mr Hein Deprez</w:t>
      </w:r>
      <w:r w:rsidRPr="00992199">
        <w:t xml:space="preserve">, Veerle Deprez and Marc Ooms in their capacity as permanent representative of legal persons being directors, are not merely director and permanent representative of a legal person being a director of </w:t>
      </w:r>
      <w:r w:rsidR="002A1AB1">
        <w:t>Greenyard Foods</w:t>
      </w:r>
      <w:r w:rsidRPr="00992199">
        <w:t xml:space="preserve"> and/or of one of its subsidiaries, but they are also director and permanent representative respectively of the Univeg Group and, directly or indirectly, shareholder of both the Company and its subsidiaries as well </w:t>
      </w:r>
      <w:r w:rsidR="00A07615">
        <w:t xml:space="preserve">as shareholder of </w:t>
      </w:r>
      <w:r w:rsidR="0082672E">
        <w:t>Univeg</w:t>
      </w:r>
      <w:r w:rsidRPr="00992199">
        <w:t xml:space="preserve"> and/or of the subsidiaries of the Univeg Group. The same disclosure of conflict of interest was included in the minutes of the meeting of the Board of Directors dated 20 March 2015 and 27 March 2015.</w:t>
      </w:r>
    </w:p>
    <w:p w:rsidR="003F0BC5" w:rsidRPr="00992199" w:rsidRDefault="003F0BC5" w:rsidP="00BB285C">
      <w:pPr>
        <w:pStyle w:val="BulletsL1"/>
      </w:pPr>
      <w:r w:rsidRPr="00992199">
        <w:t xml:space="preserve">Deprez Invest NV and Management Deprez BVBA in their capacity as director being a legal person of </w:t>
      </w:r>
      <w:r w:rsidR="002A1AB1">
        <w:t>Greenyard Foods</w:t>
      </w:r>
      <w:r w:rsidRPr="00992199">
        <w:t xml:space="preserve"> and </w:t>
      </w:r>
      <w:r w:rsidR="00334BBC">
        <w:t>Mr Hein Deprez</w:t>
      </w:r>
      <w:r w:rsidRPr="00992199">
        <w:t xml:space="preserve"> and Veerle Deprez in their capacity as permanent representative of their respective legal persons being a director are not merely director and permanent representative of a legal person being a director respectively of </w:t>
      </w:r>
      <w:r w:rsidR="002A1AB1">
        <w:t>Greenyard Foods</w:t>
      </w:r>
      <w:r w:rsidRPr="00992199">
        <w:t xml:space="preserve">, but they are also director and permanent representative respectively of Peatinvest or one of its subsidiaries and, directly or indirectly, shareholder of both </w:t>
      </w:r>
      <w:r w:rsidR="002A1AB1">
        <w:t>Greenyard Foods</w:t>
      </w:r>
      <w:r w:rsidRPr="00992199">
        <w:t xml:space="preserve"> and its subsidiaries and Peatinvest and its subsidiaries. The same disclosure of conflict of interest was included in the minutes of the meetings of the Board of Directors dated 20 March 2015 and 27 March 2015.</w:t>
      </w:r>
    </w:p>
    <w:p w:rsidR="003F0BC5" w:rsidRPr="00992199" w:rsidRDefault="000508AB" w:rsidP="00BB285C">
      <w:pPr>
        <w:keepNext/>
        <w:keepLines/>
        <w:rPr>
          <w:i/>
          <w:szCs w:val="20"/>
        </w:rPr>
      </w:pPr>
      <w:r>
        <w:rPr>
          <w:i/>
          <w:szCs w:val="20"/>
        </w:rPr>
        <w:lastRenderedPageBreak/>
        <w:t xml:space="preserve">Gimv </w:t>
      </w:r>
      <w:r w:rsidR="003F0BC5" w:rsidRPr="00992199">
        <w:rPr>
          <w:i/>
          <w:szCs w:val="20"/>
        </w:rPr>
        <w:t>Subordinated Loan:</w:t>
      </w:r>
    </w:p>
    <w:p w:rsidR="003F0BC5" w:rsidRPr="00992199" w:rsidRDefault="003F0BC5" w:rsidP="00BB285C">
      <w:pPr>
        <w:pStyle w:val="BulletsL1"/>
      </w:pPr>
      <w:r w:rsidRPr="00992199">
        <w:t xml:space="preserve">During the meeting of the Board of Directors dated 14 November 2014, Thomas Dewever made a declaration pursuant to article 523, §1, Section 4 </w:t>
      </w:r>
      <w:r w:rsidR="0055687C">
        <w:t>BCC</w:t>
      </w:r>
      <w:r w:rsidRPr="00992199">
        <w:t xml:space="preserve"> regarding the negotiations about the refinancing and the partial repayment of the </w:t>
      </w:r>
      <w:r w:rsidR="000508AB">
        <w:t>Gimv S</w:t>
      </w:r>
      <w:r w:rsidRPr="00992199">
        <w:t xml:space="preserve">ubordinated </w:t>
      </w:r>
      <w:r w:rsidR="000508AB">
        <w:t>L</w:t>
      </w:r>
      <w:r w:rsidRPr="00992199">
        <w:t xml:space="preserve">oan. In this respect, Thomas Dewever has a possible functional conflict of interest of a patrimonial nature as he is on </w:t>
      </w:r>
      <w:r w:rsidR="002A1AB1">
        <w:t>Greenyard Foods</w:t>
      </w:r>
      <w:r w:rsidRPr="00992199">
        <w:t xml:space="preserve">’s Board of Directors acting as Gimv-XL’s representative, which is a shareholder of </w:t>
      </w:r>
      <w:r w:rsidR="002A1AB1">
        <w:t>Greenyard Foods</w:t>
      </w:r>
      <w:r w:rsidRPr="00992199">
        <w:t>.</w:t>
      </w:r>
    </w:p>
    <w:p w:rsidR="003F0BC5" w:rsidRPr="00992199" w:rsidRDefault="003F0BC5" w:rsidP="00BB285C">
      <w:pPr>
        <w:pStyle w:val="BulletsL1"/>
      </w:pPr>
      <w:r w:rsidRPr="00992199">
        <w:t xml:space="preserve">During the meeting of the Board of Directors dated 2 February 2015, Thomas Dewever and Peter Maenhout made a declaration pursuant to article 523, §1, Section 4 </w:t>
      </w:r>
      <w:r w:rsidR="0055687C">
        <w:t>BCC</w:t>
      </w:r>
      <w:r w:rsidRPr="00992199">
        <w:t xml:space="preserve"> regarding the proposed partial repayment of the</w:t>
      </w:r>
      <w:r w:rsidR="000508AB">
        <w:t xml:space="preserve"> Gimv</w:t>
      </w:r>
      <w:r w:rsidRPr="00992199">
        <w:t xml:space="preserve"> </w:t>
      </w:r>
      <w:r w:rsidR="000508AB">
        <w:t>S</w:t>
      </w:r>
      <w:r w:rsidRPr="00992199">
        <w:t>u</w:t>
      </w:r>
      <w:r w:rsidR="000508AB">
        <w:t>bordinated L</w:t>
      </w:r>
      <w:r w:rsidRPr="00992199">
        <w:t xml:space="preserve">oan. Thomas Dewever and Peter Maenhout have a potential functional conflict of interest of a patrimonial nature, as they are on </w:t>
      </w:r>
      <w:r w:rsidR="002A1AB1">
        <w:t>Greenyard Foods</w:t>
      </w:r>
      <w:r w:rsidRPr="00992199">
        <w:t xml:space="preserve">’s Board of Directors, appointed on a proposal from Gimv-XL, and at the same time working at Gimv-XL, which is a shareholder of </w:t>
      </w:r>
      <w:r w:rsidR="002A1AB1">
        <w:t>Greenyard Foods</w:t>
      </w:r>
      <w:r w:rsidRPr="00992199">
        <w:t>.</w:t>
      </w:r>
    </w:p>
    <w:p w:rsidR="003F0BC5" w:rsidRPr="00992199" w:rsidRDefault="003F0BC5" w:rsidP="003F0BC5">
      <w:pPr>
        <w:rPr>
          <w:i/>
          <w:szCs w:val="20"/>
        </w:rPr>
      </w:pPr>
      <w:r w:rsidRPr="00992199">
        <w:rPr>
          <w:i/>
          <w:szCs w:val="20"/>
        </w:rPr>
        <w:t>Acquisition Scana Noliko Real Estate and De Binnenakkers NV:</w:t>
      </w:r>
    </w:p>
    <w:p w:rsidR="003F0BC5" w:rsidRPr="00992199" w:rsidRDefault="003F0BC5" w:rsidP="003F0BC5">
      <w:pPr>
        <w:rPr>
          <w:szCs w:val="20"/>
        </w:rPr>
      </w:pPr>
      <w:r w:rsidRPr="00992199">
        <w:rPr>
          <w:szCs w:val="20"/>
        </w:rPr>
        <w:t xml:space="preserve">During the meeting of the Board of Directors dated 28 August 2013, Deprez Invest NV and its permanent representative </w:t>
      </w:r>
      <w:r w:rsidR="00334BBC">
        <w:rPr>
          <w:szCs w:val="20"/>
        </w:rPr>
        <w:t>Mr Hein Deprez</w:t>
      </w:r>
      <w:r w:rsidRPr="00992199">
        <w:rPr>
          <w:szCs w:val="20"/>
        </w:rPr>
        <w:t xml:space="preserve"> on the one hand and Management Deprez BVBA and its permanent representative Veerle Deprez on the other hand made a declaration pursuant to article 523, §1, Section 4 </w:t>
      </w:r>
      <w:r w:rsidR="0055687C">
        <w:rPr>
          <w:szCs w:val="20"/>
        </w:rPr>
        <w:t>BCC</w:t>
      </w:r>
      <w:r w:rsidRPr="00992199">
        <w:rPr>
          <w:szCs w:val="20"/>
        </w:rPr>
        <w:t xml:space="preserve"> regarding the approval of the acquisition of the shares of Scana Noliko Real Estate NV and De Binnenakkers NV, both subsidiaries of Food Invest International. The latter was owner of Noliko’s industrial production sites located in Bree and Rijkevorsel. Scana Noliko Real Estate NV and De Binnenakkers NV leased the production sites to </w:t>
      </w:r>
      <w:smartTag w:uri="urn:schemas-microsoft-com:office:smarttags" w:element="place">
        <w:smartTag w:uri="urn:schemas-microsoft-com:office:smarttags" w:element="City">
          <w:r w:rsidRPr="00992199">
            <w:rPr>
              <w:szCs w:val="20"/>
            </w:rPr>
            <w:t>Noliko</w:t>
          </w:r>
        </w:smartTag>
        <w:r w:rsidRPr="00992199">
          <w:rPr>
            <w:szCs w:val="20"/>
          </w:rPr>
          <w:t xml:space="preserve"> </w:t>
        </w:r>
        <w:smartTag w:uri="urn:schemas-microsoft-com:office:smarttags" w:element="State">
          <w:r w:rsidRPr="00992199">
            <w:rPr>
              <w:szCs w:val="20"/>
            </w:rPr>
            <w:t>NV</w:t>
          </w:r>
        </w:smartTag>
      </w:smartTag>
      <w:r w:rsidRPr="00992199">
        <w:rPr>
          <w:szCs w:val="20"/>
        </w:rPr>
        <w:t xml:space="preserve">. Due to the transfer of the shares of Noliko Real Estate NV and de Binnenakkers NV, </w:t>
      </w:r>
      <w:r w:rsidR="0011360E">
        <w:rPr>
          <w:szCs w:val="20"/>
          <w:lang w:bidi="as-IN"/>
        </w:rPr>
        <w:t xml:space="preserve">the Greenyard Foods Group </w:t>
      </w:r>
      <w:r w:rsidRPr="00992199">
        <w:rPr>
          <w:szCs w:val="20"/>
        </w:rPr>
        <w:t xml:space="preserve">received ownership of the production sites located in Bree and Rijkevorsel. Deprez Invest NV and its permanent representative </w:t>
      </w:r>
      <w:r w:rsidR="00334BBC">
        <w:rPr>
          <w:szCs w:val="20"/>
        </w:rPr>
        <w:t>Mr Hein Deprez</w:t>
      </w:r>
      <w:r w:rsidRPr="00992199">
        <w:rPr>
          <w:szCs w:val="20"/>
        </w:rPr>
        <w:t xml:space="preserve"> on the one hand and Management Deprez BVBA and its permanent representative Veerle Deprez on the other hand have a potential conflict of interest of a patrimonial nature regarding this item on the agenda as they are director and (indirectly) shareholder of Food Invest International, the Company acting as the counterparty (sellers) in the acquisition of the shares of Scana Noliko Real Estate NV and De Binnenakkers NV by </w:t>
      </w:r>
      <w:r w:rsidR="0011360E">
        <w:rPr>
          <w:szCs w:val="20"/>
          <w:lang w:bidi="as-IN"/>
        </w:rPr>
        <w:t>the Greenyard Foods Group.</w:t>
      </w:r>
    </w:p>
    <w:p w:rsidR="003F0BC5" w:rsidRPr="00992199" w:rsidRDefault="003F0BC5" w:rsidP="003F0BC5">
      <w:pPr>
        <w:rPr>
          <w:i/>
          <w:szCs w:val="20"/>
        </w:rPr>
      </w:pPr>
      <w:r w:rsidRPr="00992199">
        <w:rPr>
          <w:i/>
          <w:szCs w:val="20"/>
        </w:rPr>
        <w:t>UFM Transaction</w:t>
      </w:r>
    </w:p>
    <w:p w:rsidR="003F0BC5" w:rsidRPr="00992199" w:rsidRDefault="003F0BC5" w:rsidP="003F0BC5">
      <w:pPr>
        <w:rPr>
          <w:szCs w:val="20"/>
        </w:rPr>
      </w:pPr>
      <w:r w:rsidRPr="00992199">
        <w:rPr>
          <w:szCs w:val="20"/>
        </w:rPr>
        <w:t xml:space="preserve">Jean-Michel Jannez, Deprez Invest NV and Management Deprez BVBA made a declaration pursuant to article 523, §1, Section 4 </w:t>
      </w:r>
      <w:r w:rsidR="0055687C">
        <w:rPr>
          <w:szCs w:val="20"/>
        </w:rPr>
        <w:t>BCC</w:t>
      </w:r>
      <w:r w:rsidRPr="00992199">
        <w:rPr>
          <w:szCs w:val="20"/>
        </w:rPr>
        <w:t xml:space="preserve"> regarding the negotiations and the draft letter of intent concluded between Pingu</w:t>
      </w:r>
      <w:r w:rsidR="00A07615">
        <w:rPr>
          <w:szCs w:val="20"/>
        </w:rPr>
        <w:t>in NV and UFM concerning the</w:t>
      </w:r>
      <w:r w:rsidRPr="00992199">
        <w:rPr>
          <w:szCs w:val="20"/>
        </w:rPr>
        <w:t xml:space="preserve"> UFM Transaction. In this regard, Jean-Michel Jannez had a potential conflict of interest of a patrimonial nature in his capacity as managing director of UFM. Deprez Invest NV, </w:t>
      </w:r>
      <w:r w:rsidR="00334BBC">
        <w:rPr>
          <w:szCs w:val="20"/>
        </w:rPr>
        <w:t>Mr Hein Deprez</w:t>
      </w:r>
      <w:r w:rsidRPr="00992199">
        <w:rPr>
          <w:szCs w:val="20"/>
        </w:rPr>
        <w:t>, Management Deprez BVBA and Veerl</w:t>
      </w:r>
      <w:r w:rsidR="00E34880">
        <w:rPr>
          <w:szCs w:val="20"/>
        </w:rPr>
        <w:t>e Deprez on the one hand and Mr</w:t>
      </w:r>
      <w:r w:rsidRPr="00992199">
        <w:rPr>
          <w:szCs w:val="20"/>
        </w:rPr>
        <w:t xml:space="preserve"> Jean-Michel Jannez on the other hand have a potential conflict of interest of a patrimonial nature as simultaneously with the UFM Transaction, the transfer of shares held by UFM in Food Invest International was envisaged by Deprez Holding NV. Deprez </w:t>
      </w:r>
      <w:smartTag w:uri="urn:schemas-microsoft-com:office:smarttags" w:element="place">
        <w:smartTag w:uri="urn:schemas-microsoft-com:office:smarttags" w:element="City">
          <w:r w:rsidRPr="00992199">
            <w:rPr>
              <w:szCs w:val="20"/>
            </w:rPr>
            <w:t>Invest</w:t>
          </w:r>
        </w:smartTag>
        <w:r w:rsidRPr="00992199">
          <w:rPr>
            <w:szCs w:val="20"/>
          </w:rPr>
          <w:t xml:space="preserve"> </w:t>
        </w:r>
        <w:smartTag w:uri="urn:schemas-microsoft-com:office:smarttags" w:element="State">
          <w:r w:rsidRPr="00992199">
            <w:rPr>
              <w:szCs w:val="20"/>
            </w:rPr>
            <w:t>NV</w:t>
          </w:r>
        </w:smartTag>
      </w:smartTag>
      <w:r w:rsidRPr="00992199">
        <w:rPr>
          <w:szCs w:val="20"/>
        </w:rPr>
        <w:t xml:space="preserve">, Management Deprez BVBA and Jean-Michel Jannez are directors of Food Invest International. </w:t>
      </w:r>
      <w:r w:rsidR="00334BBC">
        <w:rPr>
          <w:szCs w:val="20"/>
        </w:rPr>
        <w:t>Mr Hein Deprez</w:t>
      </w:r>
      <w:r w:rsidRPr="00992199">
        <w:rPr>
          <w:szCs w:val="20"/>
        </w:rPr>
        <w:t xml:space="preserve"> and Management Deprez BVBA are directors and shareholders of Deprez Holding. Jean-Michel Jannez is managing director of UFM.</w:t>
      </w:r>
    </w:p>
    <w:p w:rsidR="003F0BC5" w:rsidRPr="00992199" w:rsidRDefault="003F0BC5" w:rsidP="003F0BC5">
      <w:pPr>
        <w:rPr>
          <w:i/>
          <w:szCs w:val="20"/>
        </w:rPr>
      </w:pPr>
      <w:r w:rsidRPr="00992199">
        <w:rPr>
          <w:i/>
          <w:szCs w:val="20"/>
        </w:rPr>
        <w:t>Lutosa Transaction</w:t>
      </w:r>
    </w:p>
    <w:p w:rsidR="003F0BC5" w:rsidRPr="00992199" w:rsidRDefault="003F0BC5" w:rsidP="003F0BC5">
      <w:pPr>
        <w:rPr>
          <w:szCs w:val="20"/>
        </w:rPr>
      </w:pPr>
      <w:r w:rsidRPr="00992199">
        <w:rPr>
          <w:szCs w:val="20"/>
        </w:rPr>
        <w:t xml:space="preserve">Deprez </w:t>
      </w:r>
      <w:smartTag w:uri="urn:schemas-microsoft-com:office:smarttags" w:element="place">
        <w:smartTag w:uri="urn:schemas-microsoft-com:office:smarttags" w:element="City">
          <w:r w:rsidRPr="00992199">
            <w:rPr>
              <w:szCs w:val="20"/>
            </w:rPr>
            <w:t>Invest</w:t>
          </w:r>
        </w:smartTag>
        <w:r w:rsidRPr="00992199">
          <w:rPr>
            <w:szCs w:val="20"/>
          </w:rPr>
          <w:t xml:space="preserve"> </w:t>
        </w:r>
        <w:smartTag w:uri="urn:schemas-microsoft-com:office:smarttags" w:element="State">
          <w:r w:rsidRPr="00992199">
            <w:rPr>
              <w:szCs w:val="20"/>
            </w:rPr>
            <w:t>NV</w:t>
          </w:r>
        </w:smartTag>
      </w:smartTag>
      <w:r w:rsidRPr="00992199">
        <w:rPr>
          <w:szCs w:val="20"/>
        </w:rPr>
        <w:t xml:space="preserve"> and Management Deprez BVBA made a declaration pursuant to article 523, §1, Section 4 </w:t>
      </w:r>
      <w:r w:rsidR="0055687C">
        <w:rPr>
          <w:szCs w:val="20"/>
        </w:rPr>
        <w:t>BCC</w:t>
      </w:r>
      <w:r w:rsidRPr="00992199">
        <w:rPr>
          <w:szCs w:val="20"/>
        </w:rPr>
        <w:t xml:space="preserve"> regarding the negotiations and agreements concerning the sale of Lutosa to McCain. In this respect, Deprez Invest NV, </w:t>
      </w:r>
      <w:r w:rsidR="00334BBC">
        <w:rPr>
          <w:szCs w:val="20"/>
        </w:rPr>
        <w:t>Mr Hein Deprez</w:t>
      </w:r>
      <w:r w:rsidRPr="00992199">
        <w:rPr>
          <w:szCs w:val="20"/>
        </w:rPr>
        <w:t xml:space="preserve">, Management Deprez BVBA and Veerle Deprez had a potential conflict of interest of a patrimonial nature, as simultaneously with the Lutosa Transaction, Lutosa’s real estate property was transferred from Deprez Invest NV, Deprez Holding NV and Dreefvelden NV to McCain. Deprez </w:t>
      </w:r>
      <w:smartTag w:uri="urn:schemas-microsoft-com:office:smarttags" w:element="place">
        <w:smartTag w:uri="urn:schemas-microsoft-com:office:smarttags" w:element="City">
          <w:r w:rsidRPr="00992199">
            <w:rPr>
              <w:szCs w:val="20"/>
            </w:rPr>
            <w:t>Invest</w:t>
          </w:r>
        </w:smartTag>
        <w:r w:rsidRPr="00992199">
          <w:rPr>
            <w:szCs w:val="20"/>
          </w:rPr>
          <w:t xml:space="preserve"> </w:t>
        </w:r>
        <w:smartTag w:uri="urn:schemas-microsoft-com:office:smarttags" w:element="State">
          <w:r w:rsidRPr="00992199">
            <w:rPr>
              <w:szCs w:val="20"/>
            </w:rPr>
            <w:t>NV</w:t>
          </w:r>
        </w:smartTag>
      </w:smartTag>
      <w:r w:rsidRPr="00992199">
        <w:rPr>
          <w:szCs w:val="20"/>
        </w:rPr>
        <w:t xml:space="preserve"> and Management Deprez BVBA are directors and shareholders of Deprez Holding. Veerle Deprez is shareholder and director of </w:t>
      </w:r>
      <w:smartTag w:uri="urn:schemas-microsoft-com:office:smarttags" w:element="place">
        <w:smartTag w:uri="urn:schemas-microsoft-com:office:smarttags" w:element="City">
          <w:r w:rsidRPr="00992199">
            <w:rPr>
              <w:szCs w:val="20"/>
            </w:rPr>
            <w:t>Dreefvelden</w:t>
          </w:r>
        </w:smartTag>
        <w:r w:rsidRPr="00992199">
          <w:rPr>
            <w:szCs w:val="20"/>
          </w:rPr>
          <w:t xml:space="preserve"> </w:t>
        </w:r>
        <w:smartTag w:uri="urn:schemas-microsoft-com:office:smarttags" w:element="State">
          <w:r w:rsidRPr="00992199">
            <w:rPr>
              <w:szCs w:val="20"/>
            </w:rPr>
            <w:t>NV</w:t>
          </w:r>
        </w:smartTag>
      </w:smartTag>
      <w:r w:rsidRPr="00992199">
        <w:rPr>
          <w:szCs w:val="20"/>
        </w:rPr>
        <w:t>.</w:t>
      </w:r>
    </w:p>
    <w:p w:rsidR="003F0BC5" w:rsidRPr="00992199" w:rsidRDefault="003F0BC5" w:rsidP="003F0BC5">
      <w:pPr>
        <w:rPr>
          <w:i/>
          <w:szCs w:val="20"/>
        </w:rPr>
      </w:pPr>
      <w:r w:rsidRPr="00992199">
        <w:rPr>
          <w:i/>
          <w:szCs w:val="20"/>
        </w:rPr>
        <w:t>Manschnow Transaction / De Buitenakkers:</w:t>
      </w:r>
    </w:p>
    <w:p w:rsidR="003F0BC5" w:rsidRPr="00992199" w:rsidRDefault="003F0BC5" w:rsidP="00BB285C">
      <w:pPr>
        <w:pStyle w:val="BulletsL1"/>
      </w:pPr>
      <w:r w:rsidRPr="00992199">
        <w:t xml:space="preserve">Deprez Invest NV and its permanent representative </w:t>
      </w:r>
      <w:r w:rsidR="00334BBC">
        <w:t>Mr Hein Deprez</w:t>
      </w:r>
      <w:r w:rsidRPr="00992199">
        <w:t xml:space="preserve"> on the one hand and Management Deprez BVBA and its permanent representative Veerle Deprez on the other hand made a declaration pursuant to article 523, §1, Section 4 </w:t>
      </w:r>
      <w:r w:rsidR="0055687C">
        <w:t>BCC</w:t>
      </w:r>
      <w:r w:rsidRPr="00992199">
        <w:t xml:space="preserve"> regarding the negotiations and the concluding of a lease agreement, as well as the subsequent sale</w:t>
      </w:r>
      <w:r w:rsidR="00730B6F">
        <w:t xml:space="preserve"> of the company De Buitenakkers;</w:t>
      </w:r>
    </w:p>
    <w:p w:rsidR="003F0BC5" w:rsidRPr="00992199" w:rsidRDefault="003F0BC5" w:rsidP="00BB285C">
      <w:pPr>
        <w:pStyle w:val="BulletsL1"/>
      </w:pPr>
      <w:r w:rsidRPr="00992199">
        <w:t xml:space="preserve">Deprez Invest NV is both director of the Company and director of Food Invest International, which is the former co-shareholder of De Buitenakkers NV. Moreover, </w:t>
      </w:r>
      <w:r w:rsidR="00334BBC">
        <w:t>Mr Hein Deprez</w:t>
      </w:r>
      <w:r w:rsidRPr="00992199">
        <w:t>, who is the permanent representative of Deprez Invest NV in the Board of Directors of the Company is also shareholder an</w:t>
      </w:r>
      <w:r w:rsidR="00730B6F">
        <w:t>d director of Deprez Holding NV;</w:t>
      </w:r>
    </w:p>
    <w:p w:rsidR="003F0BC5" w:rsidRPr="00992199" w:rsidRDefault="003F0BC5" w:rsidP="00BB285C">
      <w:pPr>
        <w:pStyle w:val="BulletsL1"/>
      </w:pPr>
      <w:r w:rsidRPr="00992199">
        <w:lastRenderedPageBreak/>
        <w:t>Management Deprez BVBA is both director of the Company and shareholder of Scana Noliko Real Estate NV which is a former co-shareholder of De Buitenakkers NV.</w:t>
      </w:r>
    </w:p>
    <w:p w:rsidR="003F0BC5" w:rsidRPr="00992199" w:rsidRDefault="003F0BC5" w:rsidP="003F0BC5">
      <w:pPr>
        <w:rPr>
          <w:i/>
          <w:szCs w:val="20"/>
        </w:rPr>
      </w:pPr>
      <w:r w:rsidRPr="00992199">
        <w:rPr>
          <w:i/>
          <w:szCs w:val="20"/>
        </w:rPr>
        <w:t>Credit facility</w:t>
      </w:r>
    </w:p>
    <w:p w:rsidR="003F0BC5" w:rsidRPr="00992199" w:rsidRDefault="003F0BC5" w:rsidP="003F0BC5">
      <w:pPr>
        <w:rPr>
          <w:szCs w:val="20"/>
        </w:rPr>
      </w:pPr>
      <w:r w:rsidRPr="00992199">
        <w:rPr>
          <w:szCs w:val="20"/>
        </w:rPr>
        <w:t xml:space="preserve">The Board of Directors of </w:t>
      </w:r>
      <w:r w:rsidR="002A1AB1">
        <w:rPr>
          <w:szCs w:val="20"/>
        </w:rPr>
        <w:t>Greenyard Foods</w:t>
      </w:r>
      <w:r w:rsidRPr="00992199">
        <w:rPr>
          <w:szCs w:val="20"/>
        </w:rPr>
        <w:t xml:space="preserve"> has decided, pursuant to article 524, §5 </w:t>
      </w:r>
      <w:r w:rsidR="0055687C">
        <w:rPr>
          <w:szCs w:val="20"/>
        </w:rPr>
        <w:t>BCC</w:t>
      </w:r>
      <w:r w:rsidRPr="00992199">
        <w:rPr>
          <w:szCs w:val="20"/>
        </w:rPr>
        <w:t>, to grant an authorisation to its subsidiaries Pinguin Langemark NV, De Binnenakkers NV, Noliko NV, Scana Noliko Holding NV and Noliko Real Estate NV to approve the new credit facility and to provide securities (in the context of the approval of the working capital financing dated 16 December 2013).</w:t>
      </w:r>
    </w:p>
    <w:p w:rsidR="003F0BC5" w:rsidRPr="00992199" w:rsidRDefault="003F0BC5" w:rsidP="00353B80">
      <w:pPr>
        <w:pStyle w:val="Firm5L4"/>
        <w:keepNext/>
      </w:pPr>
      <w:r w:rsidRPr="00992199">
        <w:t>Possible conflicts of interest</w:t>
      </w:r>
    </w:p>
    <w:p w:rsidR="003F0BC5" w:rsidRPr="00992199" w:rsidRDefault="003F0BC5" w:rsidP="003F0BC5">
      <w:pPr>
        <w:rPr>
          <w:szCs w:val="20"/>
        </w:rPr>
      </w:pPr>
      <w:r w:rsidRPr="00992199">
        <w:rPr>
          <w:szCs w:val="20"/>
        </w:rPr>
        <w:t xml:space="preserve">Currently, the directors have no other conflicts of interest within the meaning of article 523 </w:t>
      </w:r>
      <w:r w:rsidR="0055687C">
        <w:rPr>
          <w:szCs w:val="20"/>
        </w:rPr>
        <w:t>BCC</w:t>
      </w:r>
      <w:r w:rsidRPr="00992199">
        <w:rPr>
          <w:szCs w:val="20"/>
        </w:rPr>
        <w:t xml:space="preserve"> that have not been notified to the Board of Directors. The Company does not expect any additional potential conflicts of interest as defined in article 523 </w:t>
      </w:r>
      <w:r w:rsidR="0055687C">
        <w:rPr>
          <w:szCs w:val="20"/>
        </w:rPr>
        <w:t>BCC</w:t>
      </w:r>
      <w:r w:rsidRPr="00992199">
        <w:rPr>
          <w:szCs w:val="20"/>
        </w:rPr>
        <w:t>.</w:t>
      </w:r>
    </w:p>
    <w:p w:rsidR="003F0BC5" w:rsidRPr="00992199" w:rsidRDefault="003F0BC5" w:rsidP="003F0BC5">
      <w:pPr>
        <w:rPr>
          <w:szCs w:val="20"/>
        </w:rPr>
      </w:pPr>
      <w:r w:rsidRPr="00992199">
        <w:rPr>
          <w:szCs w:val="20"/>
        </w:rPr>
        <w:t>The renewal or amendment of any of the agreements referred to in Part VIII (</w:t>
      </w:r>
      <w:r w:rsidRPr="00992199">
        <w:rPr>
          <w:i/>
          <w:szCs w:val="20"/>
        </w:rPr>
        <w:t>Related Party Transactions</w:t>
      </w:r>
      <w:r w:rsidRPr="00992199">
        <w:rPr>
          <w:szCs w:val="20"/>
        </w:rPr>
        <w:t>) may give rise to potential conflicts of interest in the future.</w:t>
      </w:r>
    </w:p>
    <w:p w:rsidR="003F0BC5" w:rsidRPr="00992199" w:rsidRDefault="003F0BC5" w:rsidP="003F0BC5">
      <w:pPr>
        <w:rPr>
          <w:szCs w:val="20"/>
        </w:rPr>
      </w:pPr>
      <w:r w:rsidRPr="00992199">
        <w:rPr>
          <w:szCs w:val="20"/>
        </w:rPr>
        <w:t xml:space="preserve">The Company does not expect other additional potential conflicts of interest as defined in article 523 </w:t>
      </w:r>
      <w:r w:rsidR="0055687C">
        <w:rPr>
          <w:szCs w:val="20"/>
        </w:rPr>
        <w:t>BCC</w:t>
      </w:r>
      <w:r w:rsidRPr="00992199">
        <w:rPr>
          <w:szCs w:val="20"/>
        </w:rPr>
        <w:t>.</w:t>
      </w:r>
    </w:p>
    <w:p w:rsidR="003F0BC5" w:rsidRPr="00992199" w:rsidRDefault="003F0BC5" w:rsidP="00353B80">
      <w:pPr>
        <w:pStyle w:val="Firm5L4"/>
        <w:keepNext/>
      </w:pPr>
      <w:r w:rsidRPr="00992199">
        <w:t>Application of article 524 BCC in the framework of the Transactions</w:t>
      </w:r>
    </w:p>
    <w:p w:rsidR="003F0BC5" w:rsidRPr="00992199" w:rsidRDefault="003F0BC5" w:rsidP="003F0BC5">
      <w:pPr>
        <w:rPr>
          <w:szCs w:val="20"/>
        </w:rPr>
      </w:pPr>
      <w:r w:rsidRPr="00992199">
        <w:rPr>
          <w:szCs w:val="20"/>
        </w:rPr>
        <w:t xml:space="preserve">During the meeting of the Board of Directors dated 20 March 2015, it was concluded that article 524 </w:t>
      </w:r>
      <w:r w:rsidR="0055687C">
        <w:rPr>
          <w:szCs w:val="20"/>
        </w:rPr>
        <w:t>BCC</w:t>
      </w:r>
      <w:r w:rsidRPr="00992199">
        <w:rPr>
          <w:szCs w:val="20"/>
        </w:rPr>
        <w:t xml:space="preserve"> will be applicable in the context of the possible business combination between </w:t>
      </w:r>
      <w:r w:rsidR="0011360E" w:rsidRPr="0011360E">
        <w:rPr>
          <w:szCs w:val="20"/>
        </w:rPr>
        <w:t>the Greenyard Foods Group, the Univeg Group and the Peatinvest Group</w:t>
      </w:r>
      <w:r w:rsidRPr="00992199">
        <w:rPr>
          <w:szCs w:val="20"/>
        </w:rPr>
        <w:t xml:space="preserve"> as there will be a relation between a listed company (</w:t>
      </w:r>
      <w:r w:rsidRPr="00992199">
        <w:rPr>
          <w:i/>
          <w:szCs w:val="20"/>
        </w:rPr>
        <w:t>i.e.</w:t>
      </w:r>
      <w:r w:rsidRPr="00992199">
        <w:rPr>
          <w:szCs w:val="20"/>
        </w:rPr>
        <w:t xml:space="preserve">, </w:t>
      </w:r>
      <w:r w:rsidR="002A1AB1">
        <w:rPr>
          <w:szCs w:val="20"/>
        </w:rPr>
        <w:t>Greenyard Foods</w:t>
      </w:r>
      <w:r w:rsidRPr="00992199">
        <w:rPr>
          <w:szCs w:val="20"/>
        </w:rPr>
        <w:t xml:space="preserve">) and an affiliated company (Deprez Holding). As a consequence, this transaction must be subject to a prior independent review by a committee composed of three independent directors. This committee has to be assisted by at least one independent expert appointed by the committee. The expert will be appointed by the independent directors and will be remunerated by </w:t>
      </w:r>
      <w:r w:rsidR="002A1AB1">
        <w:rPr>
          <w:szCs w:val="20"/>
        </w:rPr>
        <w:t>Greenyard Foods</w:t>
      </w:r>
      <w:r w:rsidRPr="00992199">
        <w:rPr>
          <w:szCs w:val="20"/>
        </w:rPr>
        <w:t>.</w:t>
      </w:r>
    </w:p>
    <w:p w:rsidR="003F0BC5" w:rsidRPr="00992199" w:rsidRDefault="003F0BC5" w:rsidP="003F0BC5">
      <w:pPr>
        <w:rPr>
          <w:szCs w:val="20"/>
        </w:rPr>
      </w:pPr>
      <w:r w:rsidRPr="00992199">
        <w:rPr>
          <w:szCs w:val="20"/>
        </w:rPr>
        <w:t>Reference is made to Sections 4.1.3 and 4.2.3 of Part IV (</w:t>
      </w:r>
      <w:r w:rsidRPr="00992199">
        <w:rPr>
          <w:i/>
          <w:szCs w:val="20"/>
        </w:rPr>
        <w:t>The Contributions</w:t>
      </w:r>
      <w:r w:rsidRPr="00992199">
        <w:rPr>
          <w:szCs w:val="20"/>
        </w:rPr>
        <w:t xml:space="preserve">) of this Prospectus regarding the application of article 524 </w:t>
      </w:r>
      <w:r w:rsidR="0055687C">
        <w:rPr>
          <w:szCs w:val="20"/>
        </w:rPr>
        <w:t>BCC</w:t>
      </w:r>
      <w:r w:rsidRPr="00992199">
        <w:rPr>
          <w:szCs w:val="20"/>
        </w:rPr>
        <w:t xml:space="preserve"> in the framework of the Contributions and the advices given by the independent directors committee in this framework.</w:t>
      </w:r>
    </w:p>
    <w:p w:rsidR="003F0BC5" w:rsidRPr="00992199" w:rsidRDefault="003F0BC5" w:rsidP="00353B80">
      <w:pPr>
        <w:pStyle w:val="Firm5L3"/>
        <w:keepNext/>
      </w:pPr>
      <w:r w:rsidRPr="00992199">
        <w:t>Remuneration of members of the Board of Directors and Board committees, and members of senior management</w:t>
      </w:r>
    </w:p>
    <w:p w:rsidR="003F0BC5" w:rsidRPr="00992199" w:rsidRDefault="002A1AB1" w:rsidP="003F0BC5">
      <w:pPr>
        <w:rPr>
          <w:szCs w:val="20"/>
        </w:rPr>
      </w:pPr>
      <w:r>
        <w:rPr>
          <w:szCs w:val="20"/>
        </w:rPr>
        <w:t>Greenyard Foods</w:t>
      </w:r>
      <w:r w:rsidR="003F0BC5" w:rsidRPr="00992199">
        <w:rPr>
          <w:szCs w:val="20"/>
        </w:rPr>
        <w:t xml:space="preserve"> will ensure that the level of remuneration is high enough to attract, retain and motivate directors and members of the </w:t>
      </w:r>
      <w:r w:rsidR="008D49ED">
        <w:rPr>
          <w:szCs w:val="20"/>
        </w:rPr>
        <w:t>Executive Committee</w:t>
      </w:r>
      <w:r w:rsidR="003F0BC5" w:rsidRPr="00992199">
        <w:rPr>
          <w:szCs w:val="20"/>
        </w:rPr>
        <w:t xml:space="preserve"> who meet the profile determined by the Board of Directors.</w:t>
      </w:r>
    </w:p>
    <w:p w:rsidR="003F0BC5" w:rsidRPr="00992199" w:rsidRDefault="003F0BC5" w:rsidP="00353B80">
      <w:pPr>
        <w:pStyle w:val="Firm5L4"/>
        <w:keepNext/>
      </w:pPr>
      <w:r w:rsidRPr="00992199">
        <w:t>Members of the Board of Directors</w:t>
      </w:r>
    </w:p>
    <w:p w:rsidR="003F0BC5" w:rsidRPr="00992199" w:rsidRDefault="003F0BC5" w:rsidP="003F0BC5">
      <w:pPr>
        <w:rPr>
          <w:szCs w:val="20"/>
        </w:rPr>
      </w:pPr>
      <w:r w:rsidRPr="00992199">
        <w:rPr>
          <w:szCs w:val="20"/>
        </w:rPr>
        <w:t xml:space="preserve">The size and the amount of remuneration of the directors is proposed to the </w:t>
      </w:r>
      <w:r w:rsidR="00AA3763">
        <w:rPr>
          <w:szCs w:val="20"/>
        </w:rPr>
        <w:t>general shareholders’ meeting</w:t>
      </w:r>
      <w:r w:rsidRPr="00992199">
        <w:rPr>
          <w:szCs w:val="20"/>
        </w:rPr>
        <w:t xml:space="preserve"> by the Board of Directors on the advice of the Remuneration and Nomination Committee. The remuneration for the members of the Board of Directors shall be in accordance with their general and specific responsibilities and the general international market practice.</w:t>
      </w:r>
    </w:p>
    <w:p w:rsidR="003F0BC5" w:rsidRPr="00992199" w:rsidRDefault="003F0BC5" w:rsidP="00BB285C">
      <w:pPr>
        <w:ind w:left="720" w:hanging="720"/>
        <w:rPr>
          <w:i/>
          <w:szCs w:val="20"/>
        </w:rPr>
      </w:pPr>
      <w:r w:rsidRPr="00992199">
        <w:rPr>
          <w:i/>
          <w:szCs w:val="20"/>
        </w:rPr>
        <w:t>(i)</w:t>
      </w:r>
      <w:r w:rsidRPr="00992199">
        <w:rPr>
          <w:i/>
          <w:szCs w:val="20"/>
        </w:rPr>
        <w:tab/>
        <w:t>Remuneration report</w:t>
      </w:r>
    </w:p>
    <w:p w:rsidR="003F0BC5" w:rsidRPr="00992199" w:rsidRDefault="003F0BC5" w:rsidP="003F0BC5">
      <w:pPr>
        <w:rPr>
          <w:szCs w:val="20"/>
        </w:rPr>
      </w:pPr>
      <w:r w:rsidRPr="00992199">
        <w:rPr>
          <w:szCs w:val="20"/>
        </w:rPr>
        <w:t>A remuneration report is drawn annually by the Remuneration and Nomination Committee.</w:t>
      </w:r>
    </w:p>
    <w:p w:rsidR="003F0BC5" w:rsidRPr="00992199" w:rsidRDefault="003F0BC5" w:rsidP="003F0BC5">
      <w:pPr>
        <w:rPr>
          <w:szCs w:val="20"/>
        </w:rPr>
      </w:pPr>
      <w:r w:rsidRPr="00992199">
        <w:rPr>
          <w:szCs w:val="20"/>
        </w:rPr>
        <w:t>This remuneration report is approved by the Board of Directors.</w:t>
      </w:r>
    </w:p>
    <w:p w:rsidR="003F0BC5" w:rsidRPr="00992199" w:rsidRDefault="003F0BC5" w:rsidP="003F0BC5">
      <w:pPr>
        <w:rPr>
          <w:szCs w:val="20"/>
        </w:rPr>
      </w:pPr>
      <w:r w:rsidRPr="00992199">
        <w:rPr>
          <w:szCs w:val="20"/>
        </w:rPr>
        <w:t>The remuneration report is a specific part of the Corporate Governance Statement and contains the following information: a description of the internal process for (i) the development of a remuneration policy for non-executive directors and members of the executive management, and (ii) determining the level of remuneration for non-executive directors and members of the executive management.</w:t>
      </w:r>
    </w:p>
    <w:p w:rsidR="003F0BC5" w:rsidRPr="00992199" w:rsidRDefault="003F0BC5" w:rsidP="003F0BC5">
      <w:pPr>
        <w:rPr>
          <w:szCs w:val="20"/>
        </w:rPr>
      </w:pPr>
      <w:r w:rsidRPr="00992199">
        <w:rPr>
          <w:szCs w:val="20"/>
        </w:rPr>
        <w:t>The remuneration report also contains a statement about the applicable remuneration policy for the members of the executive management. Any significant change to this remuneration policy, which was implemented since the end of the period covered by the annual report, is clearly mentioned in the remuneration report.</w:t>
      </w:r>
    </w:p>
    <w:p w:rsidR="003F0BC5" w:rsidRPr="00992199" w:rsidRDefault="003F0BC5" w:rsidP="00BB285C">
      <w:pPr>
        <w:ind w:left="720" w:hanging="720"/>
        <w:rPr>
          <w:i/>
          <w:szCs w:val="20"/>
        </w:rPr>
      </w:pPr>
      <w:r w:rsidRPr="00992199">
        <w:rPr>
          <w:i/>
          <w:szCs w:val="20"/>
        </w:rPr>
        <w:t>(ii)</w:t>
      </w:r>
      <w:r w:rsidRPr="00992199">
        <w:rPr>
          <w:i/>
          <w:szCs w:val="20"/>
        </w:rPr>
        <w:tab/>
        <w:t>Non-executive directors</w:t>
      </w:r>
    </w:p>
    <w:p w:rsidR="003F0BC5" w:rsidRPr="00992199" w:rsidRDefault="003F0BC5" w:rsidP="003F0BC5">
      <w:pPr>
        <w:rPr>
          <w:szCs w:val="20"/>
        </w:rPr>
      </w:pPr>
      <w:r w:rsidRPr="00992199">
        <w:rPr>
          <w:szCs w:val="20"/>
        </w:rPr>
        <w:t>The remuneration of the non-executive directors shall be established by the Board of Directors upon recommendation of the Remuneration and Nomination Committee.</w:t>
      </w:r>
    </w:p>
    <w:p w:rsidR="003F0BC5" w:rsidRPr="00992199" w:rsidRDefault="003F0BC5" w:rsidP="003F0BC5">
      <w:pPr>
        <w:rPr>
          <w:szCs w:val="20"/>
        </w:rPr>
      </w:pPr>
      <w:r w:rsidRPr="00992199">
        <w:rPr>
          <w:szCs w:val="20"/>
        </w:rPr>
        <w:t xml:space="preserve">The remuneration of the independent and other non-executive directors consists of a fixed remuneration and attendance fees for attending the meetings of the Board and the Committees of the Board (including attendance </w:t>
      </w:r>
      <w:r w:rsidRPr="00992199">
        <w:rPr>
          <w:szCs w:val="20"/>
        </w:rPr>
        <w:lastRenderedPageBreak/>
        <w:t xml:space="preserve">through video or telephone conference), payable semi-annually. This remuneration amounts to </w:t>
      </w:r>
      <w:r w:rsidR="00E53641">
        <w:rPr>
          <w:szCs w:val="20"/>
        </w:rPr>
        <w:t>EUR </w:t>
      </w:r>
      <w:r w:rsidRPr="00992199">
        <w:rPr>
          <w:szCs w:val="20"/>
        </w:rPr>
        <w:t xml:space="preserve">1,500 per session. In addition, the non-executive directors receive an annual fixed remuneration of </w:t>
      </w:r>
      <w:r w:rsidR="00E53641">
        <w:rPr>
          <w:szCs w:val="20"/>
        </w:rPr>
        <w:t>EUR </w:t>
      </w:r>
      <w:r w:rsidRPr="00992199">
        <w:rPr>
          <w:szCs w:val="20"/>
        </w:rPr>
        <w:t xml:space="preserve">15,000. No variable remuneration is granted to the directors by virtue of their mandate, for performances in the </w:t>
      </w:r>
      <w:r w:rsidR="00EA66F3">
        <w:rPr>
          <w:szCs w:val="20"/>
        </w:rPr>
        <w:t xml:space="preserve">financial year ended </w:t>
      </w:r>
      <w:r w:rsidRPr="00992199">
        <w:rPr>
          <w:szCs w:val="20"/>
        </w:rPr>
        <w:t>on 31 March 2015. There are no pension schemes for the directors, nor have any long-term compensation, severance payments or remuneration in Shares been paid to the directors.</w:t>
      </w:r>
    </w:p>
    <w:p w:rsidR="003F0BC5" w:rsidRPr="00992199" w:rsidRDefault="003F0BC5" w:rsidP="003F0BC5">
      <w:pPr>
        <w:rPr>
          <w:szCs w:val="20"/>
        </w:rPr>
      </w:pPr>
      <w:r w:rsidRPr="00992199">
        <w:rPr>
          <w:szCs w:val="20"/>
        </w:rPr>
        <w:t xml:space="preserve">This takes into account their specific role as Chairman of the Board, Chairman or member of a committee, as well as the responsibilities and time commitment resulting from this role. Hereby, standard market practice is pursued based on the stock listed character and the size and the sector in which </w:t>
      </w:r>
      <w:r w:rsidR="005E6CD3">
        <w:rPr>
          <w:szCs w:val="20"/>
        </w:rPr>
        <w:t xml:space="preserve">the Combined </w:t>
      </w:r>
      <w:r w:rsidR="002A1AB1">
        <w:rPr>
          <w:szCs w:val="20"/>
        </w:rPr>
        <w:t>Greenyard Foods</w:t>
      </w:r>
      <w:r w:rsidRPr="00992199">
        <w:rPr>
          <w:szCs w:val="20"/>
        </w:rPr>
        <w:t xml:space="preserve"> </w:t>
      </w:r>
      <w:r w:rsidR="005E6CD3">
        <w:rPr>
          <w:szCs w:val="20"/>
        </w:rPr>
        <w:t xml:space="preserve">Group </w:t>
      </w:r>
      <w:r w:rsidRPr="00992199">
        <w:rPr>
          <w:szCs w:val="20"/>
        </w:rPr>
        <w:t>is active.</w:t>
      </w:r>
    </w:p>
    <w:p w:rsidR="003F0BC5" w:rsidRPr="00992199" w:rsidRDefault="003F0BC5" w:rsidP="003F0BC5">
      <w:pPr>
        <w:rPr>
          <w:szCs w:val="20"/>
        </w:rPr>
      </w:pPr>
      <w:r w:rsidRPr="00992199">
        <w:rPr>
          <w:szCs w:val="20"/>
        </w:rPr>
        <w:t xml:space="preserve">On the proposal of the Remuneration and Nomination Committee the </w:t>
      </w:r>
      <w:r w:rsidR="00AA3763">
        <w:rPr>
          <w:szCs w:val="20"/>
        </w:rPr>
        <w:t>general shareholders’ meeting</w:t>
      </w:r>
      <w:r w:rsidRPr="00992199">
        <w:rPr>
          <w:szCs w:val="20"/>
        </w:rPr>
        <w:t xml:space="preserve"> may also decide to grant a fixed fee to one or more independent or non-executive directors.</w:t>
      </w:r>
    </w:p>
    <w:p w:rsidR="003F0BC5" w:rsidRPr="00992199" w:rsidRDefault="003F0BC5" w:rsidP="003F0BC5">
      <w:pPr>
        <w:rPr>
          <w:szCs w:val="20"/>
        </w:rPr>
      </w:pPr>
      <w:r w:rsidRPr="00992199">
        <w:rPr>
          <w:szCs w:val="20"/>
        </w:rPr>
        <w:t xml:space="preserve">The Chairman of the Board of Directors only receives a fixed fee, payable quarterly, which amounted for the year 2014 to </w:t>
      </w:r>
      <w:r w:rsidR="00E53641">
        <w:rPr>
          <w:szCs w:val="20"/>
        </w:rPr>
        <w:t>EUR </w:t>
      </w:r>
      <w:r w:rsidRPr="00992199">
        <w:rPr>
          <w:szCs w:val="20"/>
        </w:rPr>
        <w:t xml:space="preserve">90,000. He has no right of attendance fees for meetings of the Board of Directors or the Committees of the Board in which he has a seat. Subject to and effective as of the completion of the Transactions, the remuneration of the Executive Chairman shall amount to </w:t>
      </w:r>
      <w:r w:rsidR="00E53641">
        <w:rPr>
          <w:szCs w:val="20"/>
        </w:rPr>
        <w:t>EUR </w:t>
      </w:r>
      <w:r w:rsidRPr="00992199">
        <w:rPr>
          <w:szCs w:val="20"/>
        </w:rPr>
        <w:t>600,000.</w:t>
      </w:r>
    </w:p>
    <w:p w:rsidR="003F0BC5" w:rsidRPr="00992199" w:rsidRDefault="003F0BC5" w:rsidP="003F0BC5">
      <w:pPr>
        <w:rPr>
          <w:szCs w:val="20"/>
        </w:rPr>
      </w:pPr>
      <w:r w:rsidRPr="00992199">
        <w:rPr>
          <w:szCs w:val="20"/>
        </w:rPr>
        <w:t xml:space="preserve">The remuneration report mentions, on an individual basis, the amount of the remuneration and other benefits that were granted directly or indirectly by </w:t>
      </w:r>
      <w:r w:rsidR="002A1AB1">
        <w:rPr>
          <w:szCs w:val="20"/>
        </w:rPr>
        <w:t>Greenyard Foods</w:t>
      </w:r>
      <w:r w:rsidRPr="00992199">
        <w:rPr>
          <w:szCs w:val="20"/>
        </w:rPr>
        <w:t xml:space="preserve"> or its subsidiaries to the non-executive directors.</w:t>
      </w:r>
    </w:p>
    <w:p w:rsidR="003F0BC5" w:rsidRPr="00992199" w:rsidRDefault="003F0BC5" w:rsidP="00BB285C">
      <w:pPr>
        <w:ind w:left="720" w:hanging="720"/>
        <w:rPr>
          <w:i/>
          <w:szCs w:val="20"/>
        </w:rPr>
      </w:pPr>
      <w:r w:rsidRPr="00992199">
        <w:rPr>
          <w:i/>
          <w:szCs w:val="20"/>
        </w:rPr>
        <w:t>(iii)</w:t>
      </w:r>
      <w:r w:rsidRPr="00992199">
        <w:rPr>
          <w:i/>
          <w:szCs w:val="20"/>
        </w:rPr>
        <w:tab/>
        <w:t>Executive directors</w:t>
      </w:r>
    </w:p>
    <w:p w:rsidR="003F0BC5" w:rsidRPr="00992199" w:rsidRDefault="003F0BC5" w:rsidP="003F0BC5">
      <w:pPr>
        <w:rPr>
          <w:szCs w:val="20"/>
        </w:rPr>
      </w:pPr>
      <w:r w:rsidRPr="00992199">
        <w:rPr>
          <w:szCs w:val="20"/>
        </w:rPr>
        <w:t xml:space="preserve">Directors who hold an executive position in </w:t>
      </w:r>
      <w:r w:rsidR="002A1AB1">
        <w:rPr>
          <w:szCs w:val="20"/>
        </w:rPr>
        <w:t>Greenyard Foods</w:t>
      </w:r>
      <w:r w:rsidRPr="00992199">
        <w:rPr>
          <w:szCs w:val="20"/>
        </w:rPr>
        <w:t xml:space="preserve"> or one of its subsidiaries will not receive any additional compensation for their actions as directors. They enjoy a management fee as members of the </w:t>
      </w:r>
      <w:r w:rsidR="008D49ED">
        <w:rPr>
          <w:szCs w:val="20"/>
        </w:rPr>
        <w:t>Executive Committee</w:t>
      </w:r>
      <w:r w:rsidRPr="00992199">
        <w:rPr>
          <w:szCs w:val="20"/>
        </w:rPr>
        <w:t>.</w:t>
      </w:r>
    </w:p>
    <w:p w:rsidR="003F0BC5" w:rsidRPr="00992199" w:rsidRDefault="003F0BC5" w:rsidP="007F4730">
      <w:pPr>
        <w:ind w:left="720" w:hanging="720"/>
        <w:rPr>
          <w:i/>
          <w:szCs w:val="20"/>
        </w:rPr>
      </w:pPr>
      <w:r w:rsidRPr="00992199">
        <w:rPr>
          <w:i/>
          <w:szCs w:val="20"/>
        </w:rPr>
        <w:t>(iv)</w:t>
      </w:r>
      <w:r w:rsidRPr="00992199">
        <w:rPr>
          <w:i/>
          <w:szCs w:val="20"/>
        </w:rPr>
        <w:tab/>
        <w:t>Overview of the remuneration granted to the directors</w:t>
      </w:r>
    </w:p>
    <w:p w:rsidR="003F0BC5" w:rsidRPr="00992199" w:rsidRDefault="003F0BC5" w:rsidP="003F0BC5">
      <w:pPr>
        <w:rPr>
          <w:szCs w:val="20"/>
        </w:rPr>
      </w:pPr>
      <w:r w:rsidRPr="00992199">
        <w:rPr>
          <w:szCs w:val="20"/>
        </w:rPr>
        <w:t xml:space="preserve">For the </w:t>
      </w:r>
      <w:r w:rsidR="00EA66F3">
        <w:rPr>
          <w:szCs w:val="20"/>
        </w:rPr>
        <w:t xml:space="preserve">financial year ended </w:t>
      </w:r>
      <w:r w:rsidRPr="00992199">
        <w:rPr>
          <w:szCs w:val="20"/>
        </w:rPr>
        <w:t xml:space="preserve">on 31 March 2015, the total remuneration of the Board of Directors with respect to the directorship mandate amounted to </w:t>
      </w:r>
      <w:r w:rsidR="00E53641">
        <w:rPr>
          <w:szCs w:val="20"/>
        </w:rPr>
        <w:t>EUR </w:t>
      </w:r>
      <w:r w:rsidRPr="00992199">
        <w:rPr>
          <w:szCs w:val="20"/>
        </w:rPr>
        <w:t>3</w:t>
      </w:r>
      <w:r w:rsidR="00345414">
        <w:rPr>
          <w:szCs w:val="20"/>
        </w:rPr>
        <w:t>51</w:t>
      </w:r>
      <w:r w:rsidRPr="00992199">
        <w:rPr>
          <w:szCs w:val="20"/>
        </w:rPr>
        <w:t>,</w:t>
      </w:r>
      <w:r w:rsidR="00345414">
        <w:rPr>
          <w:szCs w:val="20"/>
        </w:rPr>
        <w:t>25</w:t>
      </w:r>
      <w:r w:rsidRPr="00992199">
        <w:rPr>
          <w:szCs w:val="20"/>
        </w:rPr>
        <w:t>0.</w:t>
      </w:r>
    </w:p>
    <w:tbl>
      <w:tblPr>
        <w:tblW w:w="8688" w:type="dxa"/>
        <w:jc w:val="center"/>
        <w:tblLayout w:type="fixed"/>
        <w:tblLook w:val="0000" w:firstRow="0" w:lastRow="0" w:firstColumn="0" w:lastColumn="0" w:noHBand="0" w:noVBand="0"/>
      </w:tblPr>
      <w:tblGrid>
        <w:gridCol w:w="4098"/>
        <w:gridCol w:w="1728"/>
        <w:gridCol w:w="1431"/>
        <w:gridCol w:w="1431"/>
      </w:tblGrid>
      <w:tr w:rsidR="00DD4FD5" w:rsidRPr="00DD4FD5" w:rsidTr="00DD4FD5">
        <w:trPr>
          <w:trHeight w:val="255"/>
          <w:jc w:val="center"/>
        </w:trPr>
        <w:tc>
          <w:tcPr>
            <w:tcW w:w="4098" w:type="dxa"/>
            <w:noWrap/>
            <w:vAlign w:val="bottom"/>
          </w:tcPr>
          <w:p w:rsidR="00DD4FD5" w:rsidRPr="00F02F3A" w:rsidRDefault="00DD4FD5" w:rsidP="00DD4FD5">
            <w:pPr>
              <w:keepNext/>
              <w:tabs>
                <w:tab w:val="right" w:leader="dot" w:pos="3686"/>
              </w:tabs>
              <w:spacing w:before="0" w:after="0"/>
              <w:rPr>
                <w:b/>
                <w:bCs/>
                <w:sz w:val="18"/>
                <w:szCs w:val="18"/>
              </w:rPr>
            </w:pPr>
          </w:p>
        </w:tc>
        <w:tc>
          <w:tcPr>
            <w:tcW w:w="1728" w:type="dxa"/>
            <w:vMerge w:val="restart"/>
            <w:vAlign w:val="bottom"/>
          </w:tcPr>
          <w:p w:rsidR="00DD4FD5" w:rsidRPr="00DD4FD5" w:rsidRDefault="00DD4FD5" w:rsidP="00DD4FD5">
            <w:pPr>
              <w:keepNext/>
              <w:pBdr>
                <w:bottom w:val="single" w:sz="4" w:space="1" w:color="auto"/>
              </w:pBdr>
              <w:spacing w:before="0" w:after="0"/>
              <w:jc w:val="right"/>
              <w:rPr>
                <w:b/>
                <w:sz w:val="18"/>
                <w:szCs w:val="18"/>
              </w:rPr>
            </w:pPr>
            <w:r w:rsidRPr="00DD4FD5">
              <w:rPr>
                <w:b/>
                <w:sz w:val="18"/>
                <w:szCs w:val="18"/>
              </w:rPr>
              <w:t>Fixed remuneration</w:t>
            </w:r>
          </w:p>
        </w:tc>
        <w:tc>
          <w:tcPr>
            <w:tcW w:w="1431" w:type="dxa"/>
            <w:vMerge w:val="restart"/>
            <w:vAlign w:val="bottom"/>
          </w:tcPr>
          <w:p w:rsidR="00DD4FD5" w:rsidRPr="00DD4FD5" w:rsidRDefault="00B91DE5" w:rsidP="00DD4FD5">
            <w:pPr>
              <w:keepNext/>
              <w:pBdr>
                <w:bottom w:val="single" w:sz="4" w:space="1" w:color="auto"/>
              </w:pBdr>
              <w:spacing w:before="0" w:after="0"/>
              <w:jc w:val="right"/>
              <w:rPr>
                <w:b/>
                <w:sz w:val="18"/>
                <w:szCs w:val="18"/>
              </w:rPr>
            </w:pPr>
            <w:r>
              <w:rPr>
                <w:b/>
                <w:sz w:val="18"/>
                <w:szCs w:val="18"/>
              </w:rPr>
              <w:t>A</w:t>
            </w:r>
            <w:r w:rsidR="00DD4FD5" w:rsidRPr="00DD4FD5">
              <w:rPr>
                <w:b/>
                <w:sz w:val="18"/>
                <w:szCs w:val="18"/>
              </w:rPr>
              <w:t>ttendance allowances</w:t>
            </w:r>
          </w:p>
        </w:tc>
        <w:tc>
          <w:tcPr>
            <w:tcW w:w="1431" w:type="dxa"/>
            <w:vMerge w:val="restart"/>
            <w:vAlign w:val="bottom"/>
          </w:tcPr>
          <w:p w:rsidR="00DD4FD5" w:rsidRPr="00DD4FD5" w:rsidRDefault="00DD4FD5" w:rsidP="00DD4FD5">
            <w:pPr>
              <w:keepNext/>
              <w:pBdr>
                <w:bottom w:val="single" w:sz="4" w:space="1" w:color="auto"/>
              </w:pBdr>
              <w:spacing w:before="0" w:after="0"/>
              <w:jc w:val="right"/>
              <w:rPr>
                <w:b/>
                <w:sz w:val="18"/>
                <w:szCs w:val="18"/>
              </w:rPr>
            </w:pPr>
            <w:r w:rsidRPr="00DD4FD5">
              <w:rPr>
                <w:b/>
                <w:sz w:val="18"/>
                <w:szCs w:val="18"/>
              </w:rPr>
              <w:t>Total remuneration year ended 31 March 2015</w:t>
            </w:r>
          </w:p>
        </w:tc>
      </w:tr>
      <w:tr w:rsidR="00DD4FD5" w:rsidRPr="00DD4FD5" w:rsidTr="00DD4FD5">
        <w:trPr>
          <w:trHeight w:val="255"/>
          <w:jc w:val="center"/>
        </w:trPr>
        <w:tc>
          <w:tcPr>
            <w:tcW w:w="4098" w:type="dxa"/>
            <w:noWrap/>
            <w:vAlign w:val="center"/>
          </w:tcPr>
          <w:p w:rsidR="00DD4FD5" w:rsidRPr="00DD4FD5" w:rsidRDefault="00DD4FD5" w:rsidP="00DD4FD5">
            <w:pPr>
              <w:tabs>
                <w:tab w:val="right" w:leader="dot" w:pos="3686"/>
              </w:tabs>
              <w:spacing w:before="0" w:after="0"/>
              <w:jc w:val="left"/>
              <w:rPr>
                <w:bCs/>
                <w:i/>
                <w:sz w:val="18"/>
                <w:szCs w:val="18"/>
              </w:rPr>
            </w:pPr>
            <w:r w:rsidRPr="00DD4FD5">
              <w:rPr>
                <w:bCs/>
                <w:i/>
                <w:sz w:val="18"/>
                <w:szCs w:val="18"/>
              </w:rPr>
              <w:t>(</w:t>
            </w:r>
            <w:r w:rsidR="00E53641">
              <w:rPr>
                <w:bCs/>
                <w:i/>
                <w:sz w:val="18"/>
                <w:szCs w:val="18"/>
              </w:rPr>
              <w:t>EUR </w:t>
            </w:r>
            <w:r w:rsidRPr="00DD4FD5">
              <w:rPr>
                <w:bCs/>
                <w:i/>
                <w:sz w:val="18"/>
                <w:szCs w:val="18"/>
              </w:rPr>
              <w:t>in thousands)</w:t>
            </w:r>
          </w:p>
        </w:tc>
        <w:tc>
          <w:tcPr>
            <w:tcW w:w="1728" w:type="dxa"/>
            <w:vMerge/>
            <w:vAlign w:val="bottom"/>
          </w:tcPr>
          <w:p w:rsidR="00DD4FD5" w:rsidRPr="00DD4FD5" w:rsidRDefault="00DD4FD5" w:rsidP="00DD4FD5">
            <w:pPr>
              <w:spacing w:before="0" w:after="0"/>
              <w:rPr>
                <w:sz w:val="18"/>
                <w:szCs w:val="18"/>
              </w:rPr>
            </w:pPr>
          </w:p>
        </w:tc>
        <w:tc>
          <w:tcPr>
            <w:tcW w:w="1431" w:type="dxa"/>
            <w:vMerge/>
            <w:vAlign w:val="bottom"/>
          </w:tcPr>
          <w:p w:rsidR="00DD4FD5" w:rsidRPr="00DD4FD5" w:rsidRDefault="00DD4FD5" w:rsidP="00DD4FD5">
            <w:pPr>
              <w:spacing w:before="0" w:after="0"/>
              <w:rPr>
                <w:sz w:val="18"/>
                <w:szCs w:val="18"/>
              </w:rPr>
            </w:pPr>
          </w:p>
        </w:tc>
        <w:tc>
          <w:tcPr>
            <w:tcW w:w="1431" w:type="dxa"/>
            <w:vMerge/>
            <w:vAlign w:val="bottom"/>
          </w:tcPr>
          <w:p w:rsidR="00DD4FD5" w:rsidRPr="00DD4FD5" w:rsidRDefault="00DD4FD5" w:rsidP="00DD4FD5">
            <w:pPr>
              <w:spacing w:before="0" w:after="0"/>
              <w:rPr>
                <w:sz w:val="18"/>
                <w:szCs w:val="18"/>
              </w:rPr>
            </w:pPr>
          </w:p>
        </w:tc>
      </w:tr>
      <w:tr w:rsidR="00DD4FD5" w:rsidRPr="00DD4FD5" w:rsidTr="00DD4FD5">
        <w:trPr>
          <w:trHeight w:val="255"/>
          <w:jc w:val="center"/>
        </w:trPr>
        <w:tc>
          <w:tcPr>
            <w:tcW w:w="4098" w:type="dxa"/>
            <w:noWrap/>
            <w:vAlign w:val="bottom"/>
          </w:tcPr>
          <w:p w:rsidR="00DD4FD5" w:rsidRPr="00DD4FD5" w:rsidRDefault="00DD4FD5" w:rsidP="00DD4FD5">
            <w:pPr>
              <w:tabs>
                <w:tab w:val="right" w:leader="dot" w:pos="3686"/>
              </w:tabs>
              <w:spacing w:before="0" w:after="0"/>
              <w:rPr>
                <w:sz w:val="18"/>
                <w:szCs w:val="18"/>
              </w:rPr>
            </w:pPr>
            <w:r w:rsidRPr="00DD4FD5">
              <w:rPr>
                <w:sz w:val="18"/>
                <w:szCs w:val="18"/>
              </w:rPr>
              <w:t xml:space="preserve">NV Deprez Invest </w:t>
            </w:r>
            <w:r w:rsidRPr="00DD4FD5">
              <w:rPr>
                <w:sz w:val="18"/>
                <w:szCs w:val="18"/>
              </w:rPr>
              <w:tab/>
            </w:r>
          </w:p>
        </w:tc>
        <w:tc>
          <w:tcPr>
            <w:tcW w:w="1728" w:type="dxa"/>
            <w:noWrap/>
            <w:vAlign w:val="bottom"/>
          </w:tcPr>
          <w:p w:rsidR="00DD4FD5" w:rsidRPr="00DD4FD5" w:rsidRDefault="00DD4FD5" w:rsidP="00DD4FD5">
            <w:pPr>
              <w:spacing w:before="0" w:after="0"/>
              <w:jc w:val="right"/>
              <w:rPr>
                <w:sz w:val="18"/>
                <w:szCs w:val="18"/>
              </w:rPr>
            </w:pPr>
            <w:r w:rsidRPr="00DD4FD5">
              <w:rPr>
                <w:sz w:val="18"/>
                <w:szCs w:val="18"/>
              </w:rPr>
              <w:t>90,00</w:t>
            </w:r>
          </w:p>
        </w:tc>
        <w:tc>
          <w:tcPr>
            <w:tcW w:w="1431" w:type="dxa"/>
            <w:noWrap/>
            <w:vAlign w:val="bottom"/>
          </w:tcPr>
          <w:p w:rsidR="00DD4FD5" w:rsidRPr="00DD4FD5" w:rsidRDefault="00DD4FD5" w:rsidP="00DD4FD5">
            <w:pPr>
              <w:spacing w:before="0" w:after="0"/>
              <w:jc w:val="right"/>
              <w:rPr>
                <w:sz w:val="18"/>
                <w:szCs w:val="18"/>
              </w:rPr>
            </w:pPr>
          </w:p>
        </w:tc>
        <w:tc>
          <w:tcPr>
            <w:tcW w:w="1431" w:type="dxa"/>
            <w:vAlign w:val="bottom"/>
          </w:tcPr>
          <w:p w:rsidR="00DD4FD5" w:rsidRPr="00DD4FD5" w:rsidRDefault="00DD4FD5" w:rsidP="00DD4FD5">
            <w:pPr>
              <w:spacing w:before="0" w:after="0"/>
              <w:jc w:val="right"/>
              <w:rPr>
                <w:sz w:val="18"/>
                <w:szCs w:val="18"/>
              </w:rPr>
            </w:pPr>
            <w:r w:rsidRPr="00DD4FD5">
              <w:rPr>
                <w:sz w:val="18"/>
                <w:szCs w:val="18"/>
              </w:rPr>
              <w:t>90,00</w:t>
            </w:r>
          </w:p>
        </w:tc>
      </w:tr>
      <w:tr w:rsidR="00DD4FD5" w:rsidRPr="00DD4FD5" w:rsidTr="00DD4FD5">
        <w:trPr>
          <w:trHeight w:val="255"/>
          <w:jc w:val="center"/>
        </w:trPr>
        <w:tc>
          <w:tcPr>
            <w:tcW w:w="4098" w:type="dxa"/>
            <w:noWrap/>
            <w:vAlign w:val="bottom"/>
          </w:tcPr>
          <w:p w:rsidR="00DD4FD5" w:rsidRPr="00DD4FD5" w:rsidRDefault="00DD4FD5" w:rsidP="00DD4FD5">
            <w:pPr>
              <w:tabs>
                <w:tab w:val="right" w:leader="dot" w:pos="3686"/>
              </w:tabs>
              <w:spacing w:before="0" w:after="0"/>
              <w:rPr>
                <w:sz w:val="18"/>
                <w:szCs w:val="18"/>
              </w:rPr>
            </w:pPr>
            <w:r w:rsidRPr="00DD4FD5">
              <w:rPr>
                <w:sz w:val="18"/>
                <w:szCs w:val="18"/>
              </w:rPr>
              <w:t>The Marble BVBA</w:t>
            </w:r>
            <w:r w:rsidRPr="00DD4FD5">
              <w:rPr>
                <w:sz w:val="18"/>
                <w:szCs w:val="18"/>
              </w:rPr>
              <w:tab/>
            </w:r>
          </w:p>
        </w:tc>
        <w:tc>
          <w:tcPr>
            <w:tcW w:w="1728" w:type="dxa"/>
            <w:noWrap/>
            <w:vAlign w:val="bottom"/>
          </w:tcPr>
          <w:p w:rsidR="00DD4FD5" w:rsidRPr="00DD4FD5" w:rsidRDefault="00DD4FD5" w:rsidP="00DD4FD5">
            <w:pPr>
              <w:spacing w:before="0" w:after="0"/>
              <w:jc w:val="right"/>
              <w:rPr>
                <w:sz w:val="18"/>
                <w:szCs w:val="18"/>
              </w:rPr>
            </w:pPr>
            <w:r w:rsidRPr="00DD4FD5">
              <w:rPr>
                <w:sz w:val="18"/>
                <w:szCs w:val="18"/>
              </w:rPr>
              <w:t>15,00</w:t>
            </w:r>
          </w:p>
        </w:tc>
        <w:tc>
          <w:tcPr>
            <w:tcW w:w="1431" w:type="dxa"/>
            <w:noWrap/>
            <w:vAlign w:val="bottom"/>
          </w:tcPr>
          <w:p w:rsidR="00DD4FD5" w:rsidRPr="00DD4FD5" w:rsidRDefault="00DD4FD5" w:rsidP="00DD4FD5">
            <w:pPr>
              <w:spacing w:before="0" w:after="0"/>
              <w:jc w:val="right"/>
              <w:rPr>
                <w:sz w:val="18"/>
                <w:szCs w:val="18"/>
              </w:rPr>
            </w:pPr>
            <w:r w:rsidRPr="00DD4FD5">
              <w:rPr>
                <w:sz w:val="18"/>
                <w:szCs w:val="18"/>
              </w:rPr>
              <w:t>21,00</w:t>
            </w:r>
          </w:p>
        </w:tc>
        <w:tc>
          <w:tcPr>
            <w:tcW w:w="1431" w:type="dxa"/>
            <w:vAlign w:val="bottom"/>
          </w:tcPr>
          <w:p w:rsidR="00DD4FD5" w:rsidRPr="00DD4FD5" w:rsidRDefault="00DD4FD5" w:rsidP="00DD4FD5">
            <w:pPr>
              <w:spacing w:before="0" w:after="0"/>
              <w:jc w:val="right"/>
              <w:rPr>
                <w:sz w:val="18"/>
                <w:szCs w:val="18"/>
              </w:rPr>
            </w:pPr>
            <w:r w:rsidRPr="00DD4FD5">
              <w:rPr>
                <w:sz w:val="18"/>
                <w:szCs w:val="18"/>
              </w:rPr>
              <w:t>36,00</w:t>
            </w:r>
          </w:p>
        </w:tc>
      </w:tr>
      <w:tr w:rsidR="00DD4FD5" w:rsidRPr="00DD4FD5" w:rsidTr="00DD4FD5">
        <w:trPr>
          <w:trHeight w:val="255"/>
          <w:jc w:val="center"/>
        </w:trPr>
        <w:tc>
          <w:tcPr>
            <w:tcW w:w="4098" w:type="dxa"/>
            <w:noWrap/>
            <w:vAlign w:val="bottom"/>
          </w:tcPr>
          <w:p w:rsidR="00DD4FD5" w:rsidRPr="00DD4FD5" w:rsidRDefault="00DD4FD5" w:rsidP="00DD4FD5">
            <w:pPr>
              <w:tabs>
                <w:tab w:val="right" w:leader="dot" w:pos="3686"/>
              </w:tabs>
              <w:spacing w:before="0" w:after="0"/>
              <w:rPr>
                <w:sz w:val="18"/>
                <w:szCs w:val="18"/>
              </w:rPr>
            </w:pPr>
            <w:r w:rsidRPr="00DD4FD5">
              <w:rPr>
                <w:sz w:val="18"/>
                <w:szCs w:val="18"/>
              </w:rPr>
              <w:t xml:space="preserve">NV Vijverbos </w:t>
            </w:r>
          </w:p>
        </w:tc>
        <w:tc>
          <w:tcPr>
            <w:tcW w:w="1728" w:type="dxa"/>
            <w:noWrap/>
            <w:vAlign w:val="bottom"/>
          </w:tcPr>
          <w:p w:rsidR="00DD4FD5" w:rsidRPr="00DD4FD5" w:rsidRDefault="00DD4FD5" w:rsidP="00DD4FD5">
            <w:pPr>
              <w:spacing w:before="0" w:after="0"/>
              <w:jc w:val="right"/>
              <w:rPr>
                <w:sz w:val="18"/>
                <w:szCs w:val="18"/>
              </w:rPr>
            </w:pPr>
          </w:p>
        </w:tc>
        <w:tc>
          <w:tcPr>
            <w:tcW w:w="1431" w:type="dxa"/>
            <w:noWrap/>
            <w:vAlign w:val="bottom"/>
          </w:tcPr>
          <w:p w:rsidR="00DD4FD5" w:rsidRPr="00DD4FD5" w:rsidRDefault="00DD4FD5" w:rsidP="00DD4FD5">
            <w:pPr>
              <w:spacing w:before="0" w:after="0"/>
              <w:jc w:val="right"/>
              <w:rPr>
                <w:sz w:val="18"/>
                <w:szCs w:val="18"/>
              </w:rPr>
            </w:pPr>
          </w:p>
        </w:tc>
        <w:tc>
          <w:tcPr>
            <w:tcW w:w="1431" w:type="dxa"/>
            <w:vAlign w:val="bottom"/>
          </w:tcPr>
          <w:p w:rsidR="00DD4FD5" w:rsidRPr="00DD4FD5" w:rsidRDefault="00DD4FD5" w:rsidP="00DD4FD5">
            <w:pPr>
              <w:spacing w:before="0" w:after="0"/>
              <w:jc w:val="right"/>
              <w:rPr>
                <w:sz w:val="18"/>
                <w:szCs w:val="18"/>
              </w:rPr>
            </w:pPr>
          </w:p>
        </w:tc>
      </w:tr>
      <w:tr w:rsidR="00DD4FD5" w:rsidRPr="00DD4FD5" w:rsidTr="00DD4FD5">
        <w:trPr>
          <w:trHeight w:val="255"/>
          <w:jc w:val="center"/>
        </w:trPr>
        <w:tc>
          <w:tcPr>
            <w:tcW w:w="4098" w:type="dxa"/>
            <w:noWrap/>
            <w:vAlign w:val="bottom"/>
          </w:tcPr>
          <w:p w:rsidR="00DD4FD5" w:rsidRPr="00DD4FD5" w:rsidRDefault="00DD4FD5" w:rsidP="00DD4FD5">
            <w:pPr>
              <w:tabs>
                <w:tab w:val="right" w:leader="dot" w:pos="3686"/>
              </w:tabs>
              <w:spacing w:before="0" w:after="0"/>
              <w:rPr>
                <w:sz w:val="18"/>
                <w:szCs w:val="18"/>
              </w:rPr>
            </w:pPr>
            <w:r w:rsidRPr="00DD4FD5">
              <w:rPr>
                <w:sz w:val="18"/>
                <w:szCs w:val="18"/>
              </w:rPr>
              <w:t xml:space="preserve">BVBA Management Deprez </w:t>
            </w:r>
            <w:r w:rsidRPr="00DD4FD5">
              <w:rPr>
                <w:sz w:val="18"/>
                <w:szCs w:val="18"/>
              </w:rPr>
              <w:tab/>
            </w:r>
          </w:p>
        </w:tc>
        <w:tc>
          <w:tcPr>
            <w:tcW w:w="1728" w:type="dxa"/>
            <w:noWrap/>
            <w:vAlign w:val="bottom"/>
          </w:tcPr>
          <w:p w:rsidR="00DD4FD5" w:rsidRPr="00DD4FD5" w:rsidRDefault="00DD4FD5" w:rsidP="00DD4FD5">
            <w:pPr>
              <w:spacing w:before="0" w:after="0"/>
              <w:jc w:val="right"/>
              <w:rPr>
                <w:sz w:val="18"/>
                <w:szCs w:val="18"/>
              </w:rPr>
            </w:pPr>
            <w:r w:rsidRPr="00DD4FD5">
              <w:rPr>
                <w:sz w:val="18"/>
                <w:szCs w:val="18"/>
              </w:rPr>
              <w:t>15,00</w:t>
            </w:r>
          </w:p>
        </w:tc>
        <w:tc>
          <w:tcPr>
            <w:tcW w:w="1431" w:type="dxa"/>
            <w:noWrap/>
            <w:vAlign w:val="bottom"/>
          </w:tcPr>
          <w:p w:rsidR="00DD4FD5" w:rsidRPr="00DD4FD5" w:rsidRDefault="00DD4FD5" w:rsidP="00DD4FD5">
            <w:pPr>
              <w:spacing w:before="0" w:after="0"/>
              <w:jc w:val="right"/>
              <w:rPr>
                <w:sz w:val="18"/>
                <w:szCs w:val="18"/>
              </w:rPr>
            </w:pPr>
            <w:r w:rsidRPr="00DD4FD5">
              <w:rPr>
                <w:sz w:val="18"/>
                <w:szCs w:val="18"/>
              </w:rPr>
              <w:t>19,50</w:t>
            </w:r>
          </w:p>
        </w:tc>
        <w:tc>
          <w:tcPr>
            <w:tcW w:w="1431" w:type="dxa"/>
            <w:vAlign w:val="bottom"/>
          </w:tcPr>
          <w:p w:rsidR="00DD4FD5" w:rsidRPr="00DD4FD5" w:rsidRDefault="00DD4FD5" w:rsidP="00DD4FD5">
            <w:pPr>
              <w:spacing w:before="0" w:after="0"/>
              <w:jc w:val="right"/>
              <w:rPr>
                <w:sz w:val="18"/>
                <w:szCs w:val="18"/>
              </w:rPr>
            </w:pPr>
            <w:r w:rsidRPr="00DD4FD5">
              <w:rPr>
                <w:sz w:val="18"/>
                <w:szCs w:val="18"/>
              </w:rPr>
              <w:t>34,50</w:t>
            </w:r>
          </w:p>
        </w:tc>
      </w:tr>
      <w:tr w:rsidR="00DD4FD5" w:rsidRPr="00DD4FD5" w:rsidTr="00DD4FD5">
        <w:trPr>
          <w:trHeight w:val="255"/>
          <w:jc w:val="center"/>
        </w:trPr>
        <w:tc>
          <w:tcPr>
            <w:tcW w:w="4098" w:type="dxa"/>
            <w:noWrap/>
            <w:vAlign w:val="bottom"/>
          </w:tcPr>
          <w:p w:rsidR="00DD4FD5" w:rsidRPr="00DD4FD5" w:rsidRDefault="00DD4FD5" w:rsidP="00DD4FD5">
            <w:pPr>
              <w:tabs>
                <w:tab w:val="right" w:leader="dot" w:pos="3686"/>
              </w:tabs>
              <w:spacing w:before="0" w:after="0"/>
              <w:rPr>
                <w:sz w:val="18"/>
                <w:szCs w:val="18"/>
              </w:rPr>
            </w:pPr>
            <w:r w:rsidRPr="00DD4FD5">
              <w:rPr>
                <w:sz w:val="18"/>
                <w:szCs w:val="18"/>
              </w:rPr>
              <w:t>BVBA Bonem</w:t>
            </w:r>
            <w:r w:rsidRPr="00DD4FD5">
              <w:rPr>
                <w:sz w:val="18"/>
                <w:szCs w:val="18"/>
              </w:rPr>
              <w:tab/>
            </w:r>
          </w:p>
        </w:tc>
        <w:tc>
          <w:tcPr>
            <w:tcW w:w="1728" w:type="dxa"/>
            <w:noWrap/>
            <w:vAlign w:val="bottom"/>
          </w:tcPr>
          <w:p w:rsidR="00DD4FD5" w:rsidRPr="00DD4FD5" w:rsidRDefault="00DD4FD5" w:rsidP="00DD4FD5">
            <w:pPr>
              <w:spacing w:before="0" w:after="0"/>
              <w:jc w:val="right"/>
              <w:rPr>
                <w:sz w:val="18"/>
                <w:szCs w:val="18"/>
              </w:rPr>
            </w:pPr>
            <w:r w:rsidRPr="00DD4FD5">
              <w:rPr>
                <w:sz w:val="18"/>
                <w:szCs w:val="18"/>
              </w:rPr>
              <w:t>15,00</w:t>
            </w:r>
          </w:p>
        </w:tc>
        <w:tc>
          <w:tcPr>
            <w:tcW w:w="1431" w:type="dxa"/>
            <w:noWrap/>
            <w:vAlign w:val="bottom"/>
          </w:tcPr>
          <w:p w:rsidR="00DD4FD5" w:rsidRPr="00DD4FD5" w:rsidRDefault="00DD4FD5" w:rsidP="00DD4FD5">
            <w:pPr>
              <w:spacing w:before="0" w:after="0"/>
              <w:jc w:val="right"/>
              <w:rPr>
                <w:sz w:val="18"/>
                <w:szCs w:val="18"/>
              </w:rPr>
            </w:pPr>
            <w:r w:rsidRPr="00DD4FD5">
              <w:rPr>
                <w:sz w:val="18"/>
                <w:szCs w:val="18"/>
              </w:rPr>
              <w:t>9,00</w:t>
            </w:r>
          </w:p>
        </w:tc>
        <w:tc>
          <w:tcPr>
            <w:tcW w:w="1431" w:type="dxa"/>
            <w:vAlign w:val="bottom"/>
          </w:tcPr>
          <w:p w:rsidR="00DD4FD5" w:rsidRPr="00DD4FD5" w:rsidRDefault="00DD4FD5" w:rsidP="00DD4FD5">
            <w:pPr>
              <w:spacing w:before="0" w:after="0"/>
              <w:jc w:val="right"/>
              <w:rPr>
                <w:sz w:val="18"/>
                <w:szCs w:val="18"/>
              </w:rPr>
            </w:pPr>
            <w:r w:rsidRPr="00DD4FD5">
              <w:rPr>
                <w:sz w:val="18"/>
                <w:szCs w:val="18"/>
              </w:rPr>
              <w:t>24,00</w:t>
            </w:r>
          </w:p>
        </w:tc>
      </w:tr>
      <w:tr w:rsidR="00DD4FD5" w:rsidRPr="00DD4FD5" w:rsidTr="00DD4FD5">
        <w:trPr>
          <w:trHeight w:val="255"/>
          <w:jc w:val="center"/>
        </w:trPr>
        <w:tc>
          <w:tcPr>
            <w:tcW w:w="4098" w:type="dxa"/>
            <w:noWrap/>
            <w:vAlign w:val="bottom"/>
          </w:tcPr>
          <w:p w:rsidR="00DD4FD5" w:rsidRPr="00DD4FD5" w:rsidRDefault="00DD4FD5" w:rsidP="00DD4FD5">
            <w:pPr>
              <w:tabs>
                <w:tab w:val="right" w:leader="dot" w:pos="3686"/>
              </w:tabs>
              <w:spacing w:before="0" w:after="0"/>
              <w:rPr>
                <w:sz w:val="18"/>
                <w:szCs w:val="18"/>
              </w:rPr>
            </w:pPr>
            <w:r w:rsidRPr="00DD4FD5">
              <w:rPr>
                <w:sz w:val="18"/>
                <w:szCs w:val="18"/>
              </w:rPr>
              <w:t>Frank Donck</w:t>
            </w:r>
            <w:r w:rsidRPr="00DD4FD5">
              <w:rPr>
                <w:sz w:val="18"/>
                <w:szCs w:val="18"/>
              </w:rPr>
              <w:tab/>
            </w:r>
          </w:p>
        </w:tc>
        <w:tc>
          <w:tcPr>
            <w:tcW w:w="1728" w:type="dxa"/>
            <w:noWrap/>
            <w:vAlign w:val="bottom"/>
          </w:tcPr>
          <w:p w:rsidR="00DD4FD5" w:rsidRPr="00DD4FD5" w:rsidRDefault="00DD4FD5" w:rsidP="00DD4FD5">
            <w:pPr>
              <w:spacing w:before="0" w:after="0"/>
              <w:jc w:val="right"/>
              <w:rPr>
                <w:sz w:val="18"/>
                <w:szCs w:val="18"/>
              </w:rPr>
            </w:pPr>
            <w:r w:rsidRPr="00DD4FD5">
              <w:rPr>
                <w:sz w:val="18"/>
                <w:szCs w:val="18"/>
              </w:rPr>
              <w:t>15,00</w:t>
            </w:r>
          </w:p>
        </w:tc>
        <w:tc>
          <w:tcPr>
            <w:tcW w:w="1431" w:type="dxa"/>
            <w:noWrap/>
            <w:vAlign w:val="bottom"/>
          </w:tcPr>
          <w:p w:rsidR="00DD4FD5" w:rsidRPr="00DD4FD5" w:rsidRDefault="00DD4FD5" w:rsidP="00DD4FD5">
            <w:pPr>
              <w:spacing w:before="0" w:after="0"/>
              <w:jc w:val="right"/>
              <w:rPr>
                <w:sz w:val="18"/>
                <w:szCs w:val="18"/>
              </w:rPr>
            </w:pPr>
            <w:r w:rsidRPr="00DD4FD5">
              <w:rPr>
                <w:sz w:val="18"/>
                <w:szCs w:val="18"/>
              </w:rPr>
              <w:t>16,50</w:t>
            </w:r>
          </w:p>
        </w:tc>
        <w:tc>
          <w:tcPr>
            <w:tcW w:w="1431" w:type="dxa"/>
            <w:vAlign w:val="bottom"/>
          </w:tcPr>
          <w:p w:rsidR="00DD4FD5" w:rsidRPr="00DD4FD5" w:rsidRDefault="00DD4FD5" w:rsidP="00DD4FD5">
            <w:pPr>
              <w:spacing w:before="0" w:after="0"/>
              <w:jc w:val="right"/>
              <w:rPr>
                <w:sz w:val="18"/>
                <w:szCs w:val="18"/>
              </w:rPr>
            </w:pPr>
            <w:r w:rsidRPr="00DD4FD5">
              <w:rPr>
                <w:sz w:val="18"/>
                <w:szCs w:val="18"/>
              </w:rPr>
              <w:t>31,50</w:t>
            </w:r>
          </w:p>
        </w:tc>
      </w:tr>
      <w:tr w:rsidR="005530FB" w:rsidRPr="00DD4FD5" w:rsidTr="00DD4FD5">
        <w:trPr>
          <w:trHeight w:val="255"/>
          <w:jc w:val="center"/>
        </w:trPr>
        <w:tc>
          <w:tcPr>
            <w:tcW w:w="4098" w:type="dxa"/>
            <w:noWrap/>
            <w:vAlign w:val="bottom"/>
          </w:tcPr>
          <w:p w:rsidR="005530FB" w:rsidRPr="00DD4FD5" w:rsidRDefault="005530FB" w:rsidP="00DD4FD5">
            <w:pPr>
              <w:tabs>
                <w:tab w:val="right" w:leader="dot" w:pos="3686"/>
              </w:tabs>
              <w:spacing w:before="0" w:after="0"/>
              <w:rPr>
                <w:sz w:val="18"/>
                <w:szCs w:val="18"/>
              </w:rPr>
            </w:pPr>
            <w:r w:rsidRPr="00DD4FD5">
              <w:rPr>
                <w:sz w:val="18"/>
                <w:szCs w:val="18"/>
              </w:rPr>
              <w:t>BVBA Ardiego</w:t>
            </w:r>
            <w:r w:rsidRPr="00DD4FD5">
              <w:rPr>
                <w:sz w:val="18"/>
                <w:szCs w:val="18"/>
              </w:rPr>
              <w:tab/>
            </w:r>
          </w:p>
        </w:tc>
        <w:tc>
          <w:tcPr>
            <w:tcW w:w="1728" w:type="dxa"/>
            <w:noWrap/>
            <w:vAlign w:val="bottom"/>
          </w:tcPr>
          <w:p w:rsidR="005530FB" w:rsidRPr="00DD4FD5" w:rsidRDefault="005530FB" w:rsidP="00DD4FD5">
            <w:pPr>
              <w:spacing w:before="0" w:after="0"/>
              <w:jc w:val="right"/>
              <w:rPr>
                <w:sz w:val="18"/>
                <w:szCs w:val="18"/>
              </w:rPr>
            </w:pPr>
            <w:r w:rsidRPr="00DD4FD5">
              <w:rPr>
                <w:sz w:val="18"/>
                <w:szCs w:val="18"/>
              </w:rPr>
              <w:t>15,00</w:t>
            </w:r>
          </w:p>
        </w:tc>
        <w:tc>
          <w:tcPr>
            <w:tcW w:w="1431" w:type="dxa"/>
            <w:noWrap/>
            <w:vAlign w:val="bottom"/>
          </w:tcPr>
          <w:p w:rsidR="005530FB" w:rsidRPr="00DD4FD5" w:rsidRDefault="005530FB" w:rsidP="00136CB7">
            <w:pPr>
              <w:spacing w:before="0" w:after="0"/>
              <w:jc w:val="right"/>
              <w:rPr>
                <w:sz w:val="18"/>
                <w:szCs w:val="18"/>
              </w:rPr>
            </w:pPr>
            <w:r w:rsidRPr="00DD4FD5">
              <w:rPr>
                <w:sz w:val="18"/>
                <w:szCs w:val="18"/>
              </w:rPr>
              <w:t>16,50</w:t>
            </w:r>
          </w:p>
        </w:tc>
        <w:tc>
          <w:tcPr>
            <w:tcW w:w="1431" w:type="dxa"/>
            <w:vAlign w:val="bottom"/>
          </w:tcPr>
          <w:p w:rsidR="005530FB" w:rsidRPr="00DD4FD5" w:rsidRDefault="005530FB" w:rsidP="00136CB7">
            <w:pPr>
              <w:spacing w:before="0" w:after="0"/>
              <w:jc w:val="right"/>
              <w:rPr>
                <w:sz w:val="18"/>
                <w:szCs w:val="18"/>
              </w:rPr>
            </w:pPr>
            <w:r w:rsidRPr="00DD4FD5">
              <w:rPr>
                <w:sz w:val="18"/>
                <w:szCs w:val="18"/>
              </w:rPr>
              <w:t>31,50</w:t>
            </w:r>
          </w:p>
        </w:tc>
      </w:tr>
      <w:tr w:rsidR="00DD4FD5" w:rsidRPr="00DD4FD5" w:rsidTr="00DD4FD5">
        <w:trPr>
          <w:trHeight w:val="255"/>
          <w:jc w:val="center"/>
        </w:trPr>
        <w:tc>
          <w:tcPr>
            <w:tcW w:w="4098" w:type="dxa"/>
            <w:noWrap/>
            <w:vAlign w:val="bottom"/>
          </w:tcPr>
          <w:p w:rsidR="00DD4FD5" w:rsidRPr="00DD4FD5" w:rsidRDefault="00DD4FD5" w:rsidP="00DD4FD5">
            <w:pPr>
              <w:tabs>
                <w:tab w:val="right" w:leader="dot" w:pos="3686"/>
              </w:tabs>
              <w:spacing w:before="0" w:after="0"/>
              <w:rPr>
                <w:sz w:val="18"/>
                <w:szCs w:val="18"/>
              </w:rPr>
            </w:pPr>
            <w:r w:rsidRPr="00DD4FD5">
              <w:rPr>
                <w:sz w:val="18"/>
                <w:szCs w:val="18"/>
              </w:rPr>
              <w:t>BVBA MAVAC</w:t>
            </w:r>
          </w:p>
        </w:tc>
        <w:tc>
          <w:tcPr>
            <w:tcW w:w="1728" w:type="dxa"/>
            <w:noWrap/>
            <w:vAlign w:val="bottom"/>
          </w:tcPr>
          <w:p w:rsidR="00DD4FD5" w:rsidRPr="00DD4FD5" w:rsidRDefault="00DD4FD5" w:rsidP="00DD4FD5">
            <w:pPr>
              <w:spacing w:before="0" w:after="0"/>
              <w:jc w:val="right"/>
              <w:rPr>
                <w:sz w:val="18"/>
                <w:szCs w:val="18"/>
              </w:rPr>
            </w:pPr>
          </w:p>
        </w:tc>
        <w:tc>
          <w:tcPr>
            <w:tcW w:w="1431" w:type="dxa"/>
            <w:noWrap/>
            <w:vAlign w:val="bottom"/>
          </w:tcPr>
          <w:p w:rsidR="00DD4FD5" w:rsidRPr="00DD4FD5" w:rsidRDefault="00DD4FD5" w:rsidP="00DD4FD5">
            <w:pPr>
              <w:spacing w:before="0" w:after="0"/>
              <w:jc w:val="right"/>
              <w:rPr>
                <w:sz w:val="18"/>
                <w:szCs w:val="18"/>
              </w:rPr>
            </w:pPr>
          </w:p>
        </w:tc>
        <w:tc>
          <w:tcPr>
            <w:tcW w:w="1431" w:type="dxa"/>
            <w:vAlign w:val="bottom"/>
          </w:tcPr>
          <w:p w:rsidR="00DD4FD5" w:rsidRPr="00DD4FD5" w:rsidRDefault="00DD4FD5" w:rsidP="00DD4FD5">
            <w:pPr>
              <w:spacing w:before="0" w:after="0"/>
              <w:jc w:val="right"/>
              <w:rPr>
                <w:sz w:val="18"/>
                <w:szCs w:val="18"/>
              </w:rPr>
            </w:pPr>
          </w:p>
        </w:tc>
      </w:tr>
      <w:tr w:rsidR="00DD4FD5" w:rsidRPr="00DD4FD5" w:rsidTr="00DD4FD5">
        <w:trPr>
          <w:trHeight w:val="255"/>
          <w:jc w:val="center"/>
        </w:trPr>
        <w:tc>
          <w:tcPr>
            <w:tcW w:w="4098" w:type="dxa"/>
            <w:noWrap/>
            <w:vAlign w:val="bottom"/>
          </w:tcPr>
          <w:p w:rsidR="00DD4FD5" w:rsidRPr="00DD4FD5" w:rsidRDefault="00DD4FD5" w:rsidP="00DD4FD5">
            <w:pPr>
              <w:tabs>
                <w:tab w:val="right" w:leader="dot" w:pos="3686"/>
              </w:tabs>
              <w:spacing w:before="0" w:after="0"/>
              <w:rPr>
                <w:sz w:val="18"/>
                <w:szCs w:val="18"/>
              </w:rPr>
            </w:pPr>
            <w:r w:rsidRPr="00DD4FD5">
              <w:rPr>
                <w:sz w:val="18"/>
                <w:szCs w:val="18"/>
              </w:rPr>
              <w:t>Jozef Marc Rosiers</w:t>
            </w:r>
            <w:r w:rsidRPr="00DD4FD5">
              <w:rPr>
                <w:sz w:val="18"/>
                <w:szCs w:val="18"/>
              </w:rPr>
              <w:tab/>
            </w:r>
          </w:p>
        </w:tc>
        <w:tc>
          <w:tcPr>
            <w:tcW w:w="1728" w:type="dxa"/>
            <w:noWrap/>
            <w:vAlign w:val="bottom"/>
          </w:tcPr>
          <w:p w:rsidR="00DD4FD5" w:rsidRPr="00DD4FD5" w:rsidRDefault="00DD4FD5" w:rsidP="00DD4FD5">
            <w:pPr>
              <w:spacing w:before="0" w:after="0"/>
              <w:jc w:val="right"/>
              <w:rPr>
                <w:sz w:val="18"/>
                <w:szCs w:val="18"/>
              </w:rPr>
            </w:pPr>
            <w:r w:rsidRPr="00DD4FD5">
              <w:rPr>
                <w:sz w:val="18"/>
                <w:szCs w:val="18"/>
              </w:rPr>
              <w:t>15,00</w:t>
            </w:r>
          </w:p>
        </w:tc>
        <w:tc>
          <w:tcPr>
            <w:tcW w:w="1431" w:type="dxa"/>
            <w:noWrap/>
            <w:vAlign w:val="bottom"/>
          </w:tcPr>
          <w:p w:rsidR="00DD4FD5" w:rsidRPr="00DD4FD5" w:rsidRDefault="00DD4FD5" w:rsidP="00DD4FD5">
            <w:pPr>
              <w:spacing w:before="0" w:after="0"/>
              <w:jc w:val="right"/>
              <w:rPr>
                <w:sz w:val="18"/>
                <w:szCs w:val="18"/>
              </w:rPr>
            </w:pPr>
            <w:r w:rsidRPr="00DD4FD5">
              <w:rPr>
                <w:sz w:val="18"/>
                <w:szCs w:val="18"/>
              </w:rPr>
              <w:t>15,00</w:t>
            </w:r>
          </w:p>
        </w:tc>
        <w:tc>
          <w:tcPr>
            <w:tcW w:w="1431" w:type="dxa"/>
            <w:vAlign w:val="bottom"/>
          </w:tcPr>
          <w:p w:rsidR="00DD4FD5" w:rsidRPr="00DD4FD5" w:rsidRDefault="00DD4FD5" w:rsidP="00DD4FD5">
            <w:pPr>
              <w:spacing w:before="0" w:after="0"/>
              <w:jc w:val="right"/>
              <w:rPr>
                <w:sz w:val="18"/>
                <w:szCs w:val="18"/>
              </w:rPr>
            </w:pPr>
            <w:r w:rsidRPr="00DD4FD5">
              <w:rPr>
                <w:sz w:val="18"/>
                <w:szCs w:val="18"/>
              </w:rPr>
              <w:t>30,00</w:t>
            </w:r>
          </w:p>
        </w:tc>
      </w:tr>
      <w:tr w:rsidR="00DD4FD5" w:rsidRPr="00DD4FD5" w:rsidTr="00DD4FD5">
        <w:trPr>
          <w:trHeight w:val="255"/>
          <w:jc w:val="center"/>
        </w:trPr>
        <w:tc>
          <w:tcPr>
            <w:tcW w:w="4098" w:type="dxa"/>
            <w:noWrap/>
            <w:vAlign w:val="bottom"/>
          </w:tcPr>
          <w:p w:rsidR="00DD4FD5" w:rsidRPr="00DD4FD5" w:rsidRDefault="00DD4FD5" w:rsidP="00DD4FD5">
            <w:pPr>
              <w:tabs>
                <w:tab w:val="right" w:leader="dot" w:pos="3686"/>
              </w:tabs>
              <w:spacing w:before="0" w:after="0"/>
              <w:rPr>
                <w:sz w:val="18"/>
                <w:szCs w:val="18"/>
              </w:rPr>
            </w:pPr>
            <w:r w:rsidRPr="00DD4FD5">
              <w:rPr>
                <w:sz w:val="18"/>
                <w:szCs w:val="18"/>
              </w:rPr>
              <w:t>Peter Maenhout</w:t>
            </w:r>
            <w:r w:rsidRPr="00DD4FD5">
              <w:rPr>
                <w:sz w:val="18"/>
                <w:szCs w:val="18"/>
              </w:rPr>
              <w:tab/>
            </w:r>
          </w:p>
        </w:tc>
        <w:tc>
          <w:tcPr>
            <w:tcW w:w="1728" w:type="dxa"/>
            <w:noWrap/>
            <w:vAlign w:val="bottom"/>
          </w:tcPr>
          <w:p w:rsidR="00DD4FD5" w:rsidRPr="00DD4FD5" w:rsidRDefault="00DD4FD5" w:rsidP="00DD4FD5">
            <w:pPr>
              <w:spacing w:before="0" w:after="0"/>
              <w:jc w:val="right"/>
              <w:rPr>
                <w:sz w:val="18"/>
                <w:szCs w:val="18"/>
              </w:rPr>
            </w:pPr>
            <w:r w:rsidRPr="00DD4FD5">
              <w:rPr>
                <w:sz w:val="18"/>
                <w:szCs w:val="18"/>
              </w:rPr>
              <w:t>15,00</w:t>
            </w:r>
          </w:p>
        </w:tc>
        <w:tc>
          <w:tcPr>
            <w:tcW w:w="1431" w:type="dxa"/>
            <w:noWrap/>
            <w:vAlign w:val="bottom"/>
          </w:tcPr>
          <w:p w:rsidR="00DD4FD5" w:rsidRPr="00DD4FD5" w:rsidRDefault="00DD4FD5" w:rsidP="00DD4FD5">
            <w:pPr>
              <w:spacing w:before="0" w:after="0"/>
              <w:jc w:val="right"/>
              <w:rPr>
                <w:sz w:val="18"/>
                <w:szCs w:val="18"/>
              </w:rPr>
            </w:pPr>
            <w:r w:rsidRPr="00DD4FD5">
              <w:rPr>
                <w:sz w:val="18"/>
                <w:szCs w:val="18"/>
              </w:rPr>
              <w:t>18,00</w:t>
            </w:r>
          </w:p>
        </w:tc>
        <w:tc>
          <w:tcPr>
            <w:tcW w:w="1431" w:type="dxa"/>
            <w:vAlign w:val="bottom"/>
          </w:tcPr>
          <w:p w:rsidR="00DD4FD5" w:rsidRPr="00DD4FD5" w:rsidRDefault="00DD4FD5" w:rsidP="00DD4FD5">
            <w:pPr>
              <w:spacing w:before="0" w:after="0"/>
              <w:jc w:val="right"/>
              <w:rPr>
                <w:sz w:val="18"/>
                <w:szCs w:val="18"/>
              </w:rPr>
            </w:pPr>
            <w:r w:rsidRPr="00DD4FD5">
              <w:rPr>
                <w:sz w:val="18"/>
                <w:szCs w:val="18"/>
              </w:rPr>
              <w:t>33,00</w:t>
            </w:r>
          </w:p>
        </w:tc>
      </w:tr>
      <w:tr w:rsidR="00DD4FD5" w:rsidRPr="00DD4FD5" w:rsidTr="00DD4FD5">
        <w:trPr>
          <w:trHeight w:val="255"/>
          <w:jc w:val="center"/>
        </w:trPr>
        <w:tc>
          <w:tcPr>
            <w:tcW w:w="4098" w:type="dxa"/>
            <w:noWrap/>
            <w:vAlign w:val="bottom"/>
          </w:tcPr>
          <w:p w:rsidR="00DD4FD5" w:rsidRPr="00DD4FD5" w:rsidRDefault="00DD4FD5" w:rsidP="00DD4FD5">
            <w:pPr>
              <w:tabs>
                <w:tab w:val="right" w:leader="dot" w:pos="3686"/>
              </w:tabs>
              <w:spacing w:before="0" w:after="0"/>
              <w:rPr>
                <w:sz w:val="18"/>
                <w:szCs w:val="18"/>
              </w:rPr>
            </w:pPr>
            <w:r w:rsidRPr="00DD4FD5">
              <w:rPr>
                <w:sz w:val="18"/>
                <w:szCs w:val="18"/>
              </w:rPr>
              <w:t>Thomas Dewever</w:t>
            </w:r>
            <w:r w:rsidRPr="00DD4FD5">
              <w:rPr>
                <w:sz w:val="18"/>
                <w:szCs w:val="18"/>
              </w:rPr>
              <w:tab/>
            </w:r>
          </w:p>
        </w:tc>
        <w:tc>
          <w:tcPr>
            <w:tcW w:w="1728" w:type="dxa"/>
            <w:noWrap/>
            <w:vAlign w:val="bottom"/>
          </w:tcPr>
          <w:p w:rsidR="00DD4FD5" w:rsidRPr="00DD4FD5" w:rsidRDefault="00DD4FD5" w:rsidP="00DD4FD5">
            <w:pPr>
              <w:spacing w:before="0" w:after="0"/>
              <w:jc w:val="right"/>
              <w:rPr>
                <w:sz w:val="18"/>
                <w:szCs w:val="18"/>
              </w:rPr>
            </w:pPr>
            <w:r w:rsidRPr="00DD4FD5">
              <w:rPr>
                <w:sz w:val="18"/>
                <w:szCs w:val="18"/>
              </w:rPr>
              <w:t>15,00</w:t>
            </w:r>
          </w:p>
        </w:tc>
        <w:tc>
          <w:tcPr>
            <w:tcW w:w="1431" w:type="dxa"/>
            <w:noWrap/>
            <w:vAlign w:val="bottom"/>
          </w:tcPr>
          <w:p w:rsidR="00DD4FD5" w:rsidRPr="00DD4FD5" w:rsidRDefault="00DD4FD5" w:rsidP="00DD4FD5">
            <w:pPr>
              <w:spacing w:before="0" w:after="0"/>
              <w:jc w:val="right"/>
              <w:rPr>
                <w:sz w:val="18"/>
                <w:szCs w:val="18"/>
              </w:rPr>
            </w:pPr>
            <w:r w:rsidRPr="00DD4FD5">
              <w:rPr>
                <w:sz w:val="18"/>
                <w:szCs w:val="18"/>
              </w:rPr>
              <w:t>16,50</w:t>
            </w:r>
          </w:p>
        </w:tc>
        <w:tc>
          <w:tcPr>
            <w:tcW w:w="1431" w:type="dxa"/>
            <w:vAlign w:val="bottom"/>
          </w:tcPr>
          <w:p w:rsidR="00DD4FD5" w:rsidRPr="00DD4FD5" w:rsidRDefault="00DD4FD5" w:rsidP="00DD4FD5">
            <w:pPr>
              <w:spacing w:before="0" w:after="0"/>
              <w:jc w:val="right"/>
              <w:rPr>
                <w:sz w:val="18"/>
                <w:szCs w:val="18"/>
              </w:rPr>
            </w:pPr>
            <w:r w:rsidRPr="00DD4FD5">
              <w:rPr>
                <w:sz w:val="18"/>
                <w:szCs w:val="18"/>
              </w:rPr>
              <w:t>31,50</w:t>
            </w:r>
          </w:p>
        </w:tc>
      </w:tr>
      <w:tr w:rsidR="00DD4FD5" w:rsidRPr="00DD4FD5" w:rsidTr="00DD4FD5">
        <w:trPr>
          <w:trHeight w:val="255"/>
          <w:jc w:val="center"/>
        </w:trPr>
        <w:tc>
          <w:tcPr>
            <w:tcW w:w="4098" w:type="dxa"/>
            <w:noWrap/>
            <w:vAlign w:val="bottom"/>
          </w:tcPr>
          <w:p w:rsidR="00DD4FD5" w:rsidRPr="00DD4FD5" w:rsidRDefault="00DD4FD5" w:rsidP="00DD4FD5">
            <w:pPr>
              <w:tabs>
                <w:tab w:val="right" w:leader="dot" w:pos="3686"/>
              </w:tabs>
              <w:spacing w:before="0" w:after="0"/>
              <w:rPr>
                <w:sz w:val="18"/>
                <w:szCs w:val="18"/>
              </w:rPr>
            </w:pPr>
            <w:r w:rsidRPr="00DD4FD5">
              <w:rPr>
                <w:sz w:val="18"/>
                <w:szCs w:val="18"/>
              </w:rPr>
              <w:t>Hilde Laga</w:t>
            </w:r>
            <w:r w:rsidRPr="00DD4FD5">
              <w:rPr>
                <w:sz w:val="18"/>
                <w:szCs w:val="18"/>
              </w:rPr>
              <w:tab/>
            </w:r>
          </w:p>
        </w:tc>
        <w:tc>
          <w:tcPr>
            <w:tcW w:w="1728" w:type="dxa"/>
            <w:tcBorders>
              <w:bottom w:val="single" w:sz="8" w:space="0" w:color="auto"/>
            </w:tcBorders>
            <w:noWrap/>
            <w:vAlign w:val="bottom"/>
          </w:tcPr>
          <w:p w:rsidR="00DD4FD5" w:rsidRPr="00DD4FD5" w:rsidRDefault="00DD4FD5" w:rsidP="00DD4FD5">
            <w:pPr>
              <w:spacing w:before="0" w:after="0"/>
              <w:jc w:val="right"/>
              <w:rPr>
                <w:sz w:val="18"/>
                <w:szCs w:val="18"/>
              </w:rPr>
            </w:pPr>
            <w:r w:rsidRPr="00DD4FD5">
              <w:rPr>
                <w:sz w:val="18"/>
                <w:szCs w:val="18"/>
              </w:rPr>
              <w:t>6,25</w:t>
            </w:r>
          </w:p>
        </w:tc>
        <w:tc>
          <w:tcPr>
            <w:tcW w:w="1431" w:type="dxa"/>
            <w:tcBorders>
              <w:bottom w:val="single" w:sz="8" w:space="0" w:color="auto"/>
            </w:tcBorders>
            <w:noWrap/>
            <w:vAlign w:val="bottom"/>
          </w:tcPr>
          <w:p w:rsidR="00DD4FD5" w:rsidRPr="00DD4FD5" w:rsidRDefault="00DD4FD5" w:rsidP="00DD4FD5">
            <w:pPr>
              <w:spacing w:before="0" w:after="0"/>
              <w:jc w:val="right"/>
              <w:rPr>
                <w:sz w:val="18"/>
                <w:szCs w:val="18"/>
              </w:rPr>
            </w:pPr>
            <w:r w:rsidRPr="00DD4FD5">
              <w:rPr>
                <w:sz w:val="18"/>
                <w:szCs w:val="18"/>
              </w:rPr>
              <w:t>3,00</w:t>
            </w:r>
          </w:p>
        </w:tc>
        <w:tc>
          <w:tcPr>
            <w:tcW w:w="1431" w:type="dxa"/>
            <w:tcBorders>
              <w:bottom w:val="single" w:sz="8" w:space="0" w:color="auto"/>
            </w:tcBorders>
            <w:vAlign w:val="bottom"/>
          </w:tcPr>
          <w:p w:rsidR="00DD4FD5" w:rsidRPr="00DD4FD5" w:rsidRDefault="00DD4FD5" w:rsidP="00DD4FD5">
            <w:pPr>
              <w:spacing w:before="0" w:after="0"/>
              <w:jc w:val="right"/>
              <w:rPr>
                <w:sz w:val="18"/>
                <w:szCs w:val="18"/>
              </w:rPr>
            </w:pPr>
            <w:r w:rsidRPr="00DD4FD5">
              <w:rPr>
                <w:sz w:val="18"/>
                <w:szCs w:val="18"/>
              </w:rPr>
              <w:t>9,25</w:t>
            </w:r>
          </w:p>
        </w:tc>
      </w:tr>
      <w:tr w:rsidR="005530FB" w:rsidRPr="00F02F3A" w:rsidTr="00DD4FD5">
        <w:trPr>
          <w:trHeight w:val="255"/>
          <w:jc w:val="center"/>
        </w:trPr>
        <w:tc>
          <w:tcPr>
            <w:tcW w:w="4098" w:type="dxa"/>
            <w:noWrap/>
            <w:vAlign w:val="bottom"/>
          </w:tcPr>
          <w:p w:rsidR="005530FB" w:rsidRPr="00DD4FD5" w:rsidRDefault="005530FB" w:rsidP="00DD4FD5">
            <w:pPr>
              <w:tabs>
                <w:tab w:val="right" w:leader="dot" w:pos="3686"/>
              </w:tabs>
              <w:spacing w:before="0" w:after="0"/>
              <w:rPr>
                <w:b/>
                <w:bCs/>
                <w:sz w:val="18"/>
                <w:szCs w:val="18"/>
              </w:rPr>
            </w:pPr>
            <w:r w:rsidRPr="00DD4FD5">
              <w:rPr>
                <w:b/>
                <w:bCs/>
                <w:sz w:val="18"/>
                <w:szCs w:val="18"/>
              </w:rPr>
              <w:t>Directors remuneration</w:t>
            </w:r>
            <w:r w:rsidRPr="00DD4FD5">
              <w:rPr>
                <w:bCs/>
                <w:sz w:val="18"/>
                <w:szCs w:val="18"/>
              </w:rPr>
              <w:tab/>
            </w:r>
          </w:p>
        </w:tc>
        <w:tc>
          <w:tcPr>
            <w:tcW w:w="1728" w:type="dxa"/>
            <w:tcBorders>
              <w:top w:val="single" w:sz="8" w:space="0" w:color="auto"/>
              <w:bottom w:val="double" w:sz="4" w:space="0" w:color="auto"/>
            </w:tcBorders>
            <w:noWrap/>
            <w:vAlign w:val="bottom"/>
          </w:tcPr>
          <w:p w:rsidR="005530FB" w:rsidRPr="00DD4FD5" w:rsidRDefault="005530FB" w:rsidP="00DD4FD5">
            <w:pPr>
              <w:spacing w:before="0" w:after="0"/>
              <w:jc w:val="right"/>
              <w:rPr>
                <w:b/>
                <w:bCs/>
                <w:sz w:val="18"/>
                <w:szCs w:val="18"/>
              </w:rPr>
            </w:pPr>
            <w:r w:rsidRPr="00DD4FD5">
              <w:rPr>
                <w:b/>
                <w:bCs/>
                <w:sz w:val="18"/>
                <w:szCs w:val="18"/>
              </w:rPr>
              <w:t>216,25</w:t>
            </w:r>
          </w:p>
        </w:tc>
        <w:tc>
          <w:tcPr>
            <w:tcW w:w="1431" w:type="dxa"/>
            <w:tcBorders>
              <w:top w:val="single" w:sz="8" w:space="0" w:color="auto"/>
              <w:bottom w:val="double" w:sz="4" w:space="0" w:color="auto"/>
            </w:tcBorders>
            <w:noWrap/>
            <w:vAlign w:val="bottom"/>
          </w:tcPr>
          <w:p w:rsidR="005530FB" w:rsidRPr="00494BF3" w:rsidRDefault="005530FB" w:rsidP="00136CB7">
            <w:pPr>
              <w:spacing w:before="0" w:after="0"/>
              <w:jc w:val="right"/>
              <w:rPr>
                <w:b/>
                <w:bCs/>
                <w:sz w:val="18"/>
                <w:szCs w:val="18"/>
              </w:rPr>
            </w:pPr>
            <w:r>
              <w:rPr>
                <w:b/>
                <w:bCs/>
                <w:sz w:val="18"/>
                <w:szCs w:val="18"/>
              </w:rPr>
              <w:t>135,00</w:t>
            </w:r>
          </w:p>
        </w:tc>
        <w:tc>
          <w:tcPr>
            <w:tcW w:w="1431" w:type="dxa"/>
            <w:tcBorders>
              <w:top w:val="single" w:sz="8" w:space="0" w:color="auto"/>
              <w:bottom w:val="double" w:sz="4" w:space="0" w:color="auto"/>
            </w:tcBorders>
            <w:noWrap/>
            <w:vAlign w:val="bottom"/>
          </w:tcPr>
          <w:p w:rsidR="005530FB" w:rsidRPr="00494BF3" w:rsidRDefault="005530FB" w:rsidP="00136CB7">
            <w:pPr>
              <w:spacing w:before="0" w:after="0"/>
              <w:jc w:val="right"/>
              <w:rPr>
                <w:b/>
                <w:bCs/>
                <w:sz w:val="18"/>
                <w:szCs w:val="18"/>
              </w:rPr>
            </w:pPr>
            <w:r>
              <w:rPr>
                <w:b/>
                <w:bCs/>
                <w:sz w:val="18"/>
                <w:szCs w:val="18"/>
              </w:rPr>
              <w:t>351,25</w:t>
            </w:r>
          </w:p>
        </w:tc>
      </w:tr>
    </w:tbl>
    <w:p w:rsidR="003F0BC5" w:rsidRPr="00992199" w:rsidRDefault="003F0BC5" w:rsidP="00353B80">
      <w:pPr>
        <w:pStyle w:val="Firm5L4"/>
        <w:keepNext/>
      </w:pPr>
      <w:r w:rsidRPr="00992199">
        <w:t xml:space="preserve">The CEO and the </w:t>
      </w:r>
      <w:r w:rsidR="008D49ED">
        <w:t>m</w:t>
      </w:r>
      <w:r w:rsidRPr="00992199">
        <w:t xml:space="preserve">embers of the </w:t>
      </w:r>
      <w:r w:rsidR="008D49ED">
        <w:t>Executive Committee</w:t>
      </w:r>
    </w:p>
    <w:p w:rsidR="003F0BC5" w:rsidRPr="00992199" w:rsidRDefault="003F0BC5" w:rsidP="003F0BC5">
      <w:pPr>
        <w:rPr>
          <w:i/>
          <w:szCs w:val="20"/>
        </w:rPr>
      </w:pPr>
      <w:r w:rsidRPr="00992199">
        <w:rPr>
          <w:i/>
          <w:szCs w:val="20"/>
        </w:rPr>
        <w:t>Remuneration policy</w:t>
      </w:r>
    </w:p>
    <w:p w:rsidR="003F0BC5" w:rsidRPr="00992199" w:rsidRDefault="003F0BC5" w:rsidP="003F0BC5">
      <w:pPr>
        <w:rPr>
          <w:szCs w:val="20"/>
        </w:rPr>
      </w:pPr>
      <w:r w:rsidRPr="00992199">
        <w:rPr>
          <w:szCs w:val="20"/>
        </w:rPr>
        <w:t xml:space="preserve">The remuneration of the CEO and the members of the </w:t>
      </w:r>
      <w:r w:rsidR="008D49ED">
        <w:rPr>
          <w:szCs w:val="20"/>
        </w:rPr>
        <w:t>Executive Committee</w:t>
      </w:r>
      <w:r w:rsidRPr="00992199">
        <w:rPr>
          <w:szCs w:val="20"/>
        </w:rPr>
        <w:t xml:space="preserve"> shall be established by the Board of Directors upon recommendation of the Remuneration and Nomination Committee, in accordance with what is provided in the Corporate Governance Charter.</w:t>
      </w:r>
    </w:p>
    <w:p w:rsidR="003F0BC5" w:rsidRPr="00992199" w:rsidRDefault="003F0BC5" w:rsidP="003F0BC5">
      <w:pPr>
        <w:rPr>
          <w:szCs w:val="20"/>
        </w:rPr>
      </w:pPr>
      <w:r w:rsidRPr="00992199">
        <w:rPr>
          <w:szCs w:val="20"/>
        </w:rPr>
        <w:t xml:space="preserve">This remuneration seeks to attract, motivate and retain highly qualified and promising management talent and to align the interests of managers and all stakeholders of </w:t>
      </w:r>
      <w:r w:rsidR="005E6CD3">
        <w:rPr>
          <w:szCs w:val="20"/>
        </w:rPr>
        <w:t>the Combined Greenyard Foods</w:t>
      </w:r>
      <w:r w:rsidR="005E6CD3" w:rsidRPr="00992199">
        <w:rPr>
          <w:szCs w:val="20"/>
        </w:rPr>
        <w:t xml:space="preserve"> </w:t>
      </w:r>
      <w:r w:rsidR="005E6CD3">
        <w:rPr>
          <w:szCs w:val="20"/>
        </w:rPr>
        <w:t>Group</w:t>
      </w:r>
      <w:r w:rsidRPr="00992199">
        <w:rPr>
          <w:szCs w:val="20"/>
        </w:rPr>
        <w:t>. The level and the structure of the remuneration are subject to an annual analysis. This will be carried out based on available benchmark studies of independent external firms.</w:t>
      </w:r>
    </w:p>
    <w:p w:rsidR="003F0BC5" w:rsidRPr="00992199" w:rsidRDefault="003F0BC5" w:rsidP="003F0BC5">
      <w:pPr>
        <w:rPr>
          <w:szCs w:val="20"/>
        </w:rPr>
      </w:pPr>
      <w:r w:rsidRPr="00992199">
        <w:rPr>
          <w:szCs w:val="20"/>
        </w:rPr>
        <w:t xml:space="preserve">The CEO and the members of the </w:t>
      </w:r>
      <w:r w:rsidR="008D49ED">
        <w:rPr>
          <w:szCs w:val="20"/>
        </w:rPr>
        <w:t>Executive Committee</w:t>
      </w:r>
      <w:r w:rsidRPr="00992199">
        <w:rPr>
          <w:szCs w:val="20"/>
        </w:rPr>
        <w:t xml:space="preserve"> receive a fixed remuneration and a variable remuneration in the form of an annual bonus. The variable remuneration or bonus is based on both quantitative </w:t>
      </w:r>
      <w:r w:rsidRPr="00992199">
        <w:rPr>
          <w:szCs w:val="20"/>
        </w:rPr>
        <w:lastRenderedPageBreak/>
        <w:t xml:space="preserve">parameters, taking into account the results of the entire </w:t>
      </w:r>
      <w:r w:rsidR="005E6CD3">
        <w:rPr>
          <w:szCs w:val="20"/>
        </w:rPr>
        <w:t xml:space="preserve">Combined </w:t>
      </w:r>
      <w:r w:rsidR="002A1AB1">
        <w:rPr>
          <w:szCs w:val="20"/>
        </w:rPr>
        <w:t>Greenyard Foods</w:t>
      </w:r>
      <w:r w:rsidRPr="00992199">
        <w:rPr>
          <w:szCs w:val="20"/>
        </w:rPr>
        <w:t xml:space="preserve"> Group, and on qualitative parameters, taking into account the individual performance. When the set targets are achieved, the variable remuneration amounts to 20% to 50% of the remuneration, depending on the function within the </w:t>
      </w:r>
      <w:r w:rsidR="008D49ED">
        <w:rPr>
          <w:szCs w:val="20"/>
        </w:rPr>
        <w:t>Executive Committee</w:t>
      </w:r>
      <w:r w:rsidRPr="00992199">
        <w:rPr>
          <w:szCs w:val="20"/>
        </w:rPr>
        <w:t>.</w:t>
      </w:r>
    </w:p>
    <w:p w:rsidR="003F0BC5" w:rsidRPr="00992199" w:rsidRDefault="003F0BC5" w:rsidP="003F0BC5">
      <w:pPr>
        <w:rPr>
          <w:szCs w:val="20"/>
        </w:rPr>
      </w:pPr>
      <w:r w:rsidRPr="00992199">
        <w:rPr>
          <w:szCs w:val="20"/>
        </w:rPr>
        <w:t xml:space="preserve">The remuneration report lists the criteria for the evaluation of accomplished performance against the objectives, as well as the evaluation period, without prejudice to confidential information on the strategy of </w:t>
      </w:r>
      <w:r w:rsidR="005E6CD3">
        <w:rPr>
          <w:szCs w:val="20"/>
        </w:rPr>
        <w:t>the Combined Greenyard Foods</w:t>
      </w:r>
      <w:r w:rsidR="005E6CD3" w:rsidRPr="00992199">
        <w:rPr>
          <w:szCs w:val="20"/>
        </w:rPr>
        <w:t xml:space="preserve"> </w:t>
      </w:r>
      <w:r w:rsidR="005E6CD3">
        <w:rPr>
          <w:szCs w:val="20"/>
        </w:rPr>
        <w:t>Group</w:t>
      </w:r>
      <w:r w:rsidRPr="00992199">
        <w:rPr>
          <w:szCs w:val="20"/>
        </w:rPr>
        <w:t>.</w:t>
      </w:r>
    </w:p>
    <w:p w:rsidR="003F0BC5" w:rsidRPr="00992199" w:rsidRDefault="003F0BC5" w:rsidP="003F0BC5">
      <w:pPr>
        <w:rPr>
          <w:szCs w:val="20"/>
        </w:rPr>
      </w:pPr>
      <w:r w:rsidRPr="00992199">
        <w:rPr>
          <w:szCs w:val="20"/>
        </w:rPr>
        <w:t xml:space="preserve">Systems under which the CEO or members of the </w:t>
      </w:r>
      <w:r w:rsidR="008D49ED">
        <w:rPr>
          <w:szCs w:val="20"/>
        </w:rPr>
        <w:t>Executive Committee</w:t>
      </w:r>
      <w:r w:rsidRPr="00992199">
        <w:rPr>
          <w:szCs w:val="20"/>
        </w:rPr>
        <w:t xml:space="preserve"> are remunerated in the form of Shares, options or any other right to acquire Shares, are approved by the </w:t>
      </w:r>
      <w:r w:rsidR="00AA3763">
        <w:rPr>
          <w:szCs w:val="20"/>
        </w:rPr>
        <w:t>general shareholders’ meeting</w:t>
      </w:r>
      <w:r w:rsidRPr="00992199">
        <w:rPr>
          <w:szCs w:val="20"/>
        </w:rPr>
        <w:t xml:space="preserve"> in advance through a resolution at the annual </w:t>
      </w:r>
      <w:r w:rsidR="00AA3763">
        <w:rPr>
          <w:szCs w:val="20"/>
        </w:rPr>
        <w:t>general shareholders’ meeting</w:t>
      </w:r>
      <w:r w:rsidRPr="00992199">
        <w:rPr>
          <w:szCs w:val="20"/>
        </w:rPr>
        <w:t>. This approval must concern the system itself, but not the individual assignment of share-based remuneration under the plan.</w:t>
      </w:r>
    </w:p>
    <w:p w:rsidR="003F0BC5" w:rsidRPr="00992199" w:rsidRDefault="003F0BC5" w:rsidP="003F0BC5">
      <w:pPr>
        <w:rPr>
          <w:szCs w:val="20"/>
        </w:rPr>
      </w:pPr>
      <w:r w:rsidRPr="00992199">
        <w:rPr>
          <w:szCs w:val="20"/>
        </w:rPr>
        <w:t xml:space="preserve">The remuneration report mentions the amount of remuneration and other benefits that were granted directly or indirectly by </w:t>
      </w:r>
      <w:r w:rsidR="002A1AB1">
        <w:rPr>
          <w:szCs w:val="20"/>
        </w:rPr>
        <w:t>Greenyard Foods</w:t>
      </w:r>
      <w:r w:rsidRPr="00992199">
        <w:rPr>
          <w:szCs w:val="20"/>
        </w:rPr>
        <w:t xml:space="preserve"> or its subsidiaries to the CEO. In disclosing this information a distinction is made between:</w:t>
      </w:r>
    </w:p>
    <w:p w:rsidR="003F0BC5" w:rsidRPr="00992199" w:rsidRDefault="003F0BC5" w:rsidP="007F4730">
      <w:pPr>
        <w:pStyle w:val="BulletsL1"/>
      </w:pPr>
      <w:r w:rsidRPr="00992199">
        <w:t>the base salary</w:t>
      </w:r>
    </w:p>
    <w:p w:rsidR="003F0BC5" w:rsidRPr="00992199" w:rsidRDefault="003F0BC5" w:rsidP="007F4730">
      <w:pPr>
        <w:pStyle w:val="BulletsL1"/>
      </w:pPr>
      <w:r w:rsidRPr="00992199">
        <w:t>the variable remuneration: for every bonus, indicating the form in which this variable remuneration was paid;</w:t>
      </w:r>
    </w:p>
    <w:p w:rsidR="003F0BC5" w:rsidRPr="00992199" w:rsidRDefault="003F0BC5" w:rsidP="007F4730">
      <w:pPr>
        <w:pStyle w:val="BulletsL1"/>
      </w:pPr>
      <w:r w:rsidRPr="00992199">
        <w:t>the pension: the amounts that were paid during the financial year, with an explanation of the applicable pension schemes;</w:t>
      </w:r>
    </w:p>
    <w:p w:rsidR="003F0BC5" w:rsidRPr="00992199" w:rsidRDefault="003F0BC5" w:rsidP="007F4730">
      <w:pPr>
        <w:pStyle w:val="BulletsL1"/>
      </w:pPr>
      <w:r w:rsidRPr="00992199">
        <w:t>other components of the remuneration, such as cost or value of insurance and fringe benefits, with an explanation of the details of the main topics.</w:t>
      </w:r>
    </w:p>
    <w:p w:rsidR="003F0BC5" w:rsidRPr="00992199" w:rsidRDefault="003F0BC5" w:rsidP="003F0BC5">
      <w:pPr>
        <w:rPr>
          <w:szCs w:val="20"/>
        </w:rPr>
      </w:pPr>
      <w:r w:rsidRPr="00992199">
        <w:rPr>
          <w:szCs w:val="20"/>
        </w:rPr>
        <w:t xml:space="preserve">The remuneration report also mentions the amount, on a global basis, of the remuneration and other benefits that are directly or indirectly granted by </w:t>
      </w:r>
      <w:r w:rsidR="002A1AB1">
        <w:rPr>
          <w:szCs w:val="20"/>
        </w:rPr>
        <w:t>Greenyard Foods</w:t>
      </w:r>
      <w:r w:rsidRPr="00992199">
        <w:rPr>
          <w:szCs w:val="20"/>
        </w:rPr>
        <w:t xml:space="preserve"> or its subsidiaries to the other members of the executive management. Thereto, the same information as with respect to the CEO is made public on a global basis.</w:t>
      </w:r>
    </w:p>
    <w:p w:rsidR="003F0BC5" w:rsidRPr="00992199" w:rsidRDefault="003F0BC5" w:rsidP="003F0BC5">
      <w:pPr>
        <w:rPr>
          <w:i/>
          <w:szCs w:val="20"/>
        </w:rPr>
      </w:pPr>
      <w:r w:rsidRPr="00992199">
        <w:rPr>
          <w:i/>
          <w:szCs w:val="20"/>
        </w:rPr>
        <w:t xml:space="preserve">Remuneration of the CEO for the financial year </w:t>
      </w:r>
      <w:r w:rsidR="0083762C">
        <w:rPr>
          <w:i/>
          <w:szCs w:val="20"/>
        </w:rPr>
        <w:t>ended 31 March 2015</w:t>
      </w:r>
    </w:p>
    <w:p w:rsidR="003F0BC5" w:rsidRPr="00992199" w:rsidRDefault="003F0BC5" w:rsidP="003F0BC5">
      <w:pPr>
        <w:rPr>
          <w:szCs w:val="20"/>
        </w:rPr>
      </w:pPr>
      <w:r w:rsidRPr="00992199">
        <w:rPr>
          <w:szCs w:val="20"/>
        </w:rPr>
        <w:t>The management contract concluded with the current CEO provides a fixed remuneration in which all social charges, taxes and committed contribution arrangements are included. In addition, the CEO receives a variable remuneration.</w:t>
      </w:r>
    </w:p>
    <w:p w:rsidR="003F0BC5" w:rsidRPr="00992199" w:rsidRDefault="003F0BC5" w:rsidP="003F0BC5">
      <w:pPr>
        <w:rPr>
          <w:szCs w:val="20"/>
        </w:rPr>
      </w:pPr>
      <w:r w:rsidRPr="00992199">
        <w:rPr>
          <w:szCs w:val="20"/>
        </w:rPr>
        <w:t xml:space="preserve">The annual fixed remuneration of MAVAC BVBA in its capacity of CEO amounted to </w:t>
      </w:r>
      <w:r w:rsidR="00E53641">
        <w:rPr>
          <w:szCs w:val="20"/>
        </w:rPr>
        <w:t>EUR </w:t>
      </w:r>
      <w:r w:rsidRPr="00992199">
        <w:rPr>
          <w:szCs w:val="20"/>
        </w:rPr>
        <w:t xml:space="preserve">450,000 for the financial year </w:t>
      </w:r>
      <w:r w:rsidR="0083762C" w:rsidRPr="0083762C">
        <w:rPr>
          <w:szCs w:val="20"/>
        </w:rPr>
        <w:t>ended 31 March 2015</w:t>
      </w:r>
      <w:r w:rsidRPr="00992199">
        <w:rPr>
          <w:szCs w:val="20"/>
        </w:rPr>
        <w:t xml:space="preserve">. A variable remuneration of </w:t>
      </w:r>
      <w:r w:rsidR="00E53641">
        <w:rPr>
          <w:szCs w:val="20"/>
        </w:rPr>
        <w:t>EUR </w:t>
      </w:r>
      <w:r w:rsidR="00FE0802">
        <w:rPr>
          <w:szCs w:val="20"/>
        </w:rPr>
        <w:t>265,950</w:t>
      </w:r>
      <w:r w:rsidRPr="00992199">
        <w:rPr>
          <w:szCs w:val="20"/>
        </w:rPr>
        <w:t xml:space="preserve"> has been granted as well as </w:t>
      </w:r>
      <w:r w:rsidR="00E53641">
        <w:rPr>
          <w:szCs w:val="20"/>
        </w:rPr>
        <w:t>EUR </w:t>
      </w:r>
      <w:r w:rsidR="00FE0802">
        <w:rPr>
          <w:szCs w:val="20"/>
        </w:rPr>
        <w:t>22,242</w:t>
      </w:r>
      <w:r w:rsidRPr="00992199">
        <w:rPr>
          <w:szCs w:val="20"/>
        </w:rPr>
        <w:t xml:space="preserve"> expenses. Subject to and effective as of the completion of the Transactions, the remuneration of the CEO shall amount to </w:t>
      </w:r>
      <w:r w:rsidR="00E53641">
        <w:rPr>
          <w:szCs w:val="20"/>
        </w:rPr>
        <w:t>EUR </w:t>
      </w:r>
      <w:r w:rsidRPr="00992199">
        <w:rPr>
          <w:szCs w:val="20"/>
        </w:rPr>
        <w:t>600,000.</w:t>
      </w:r>
    </w:p>
    <w:p w:rsidR="003F0BC5" w:rsidRPr="00992199" w:rsidRDefault="003F0BC5" w:rsidP="003F0BC5">
      <w:pPr>
        <w:rPr>
          <w:szCs w:val="20"/>
        </w:rPr>
      </w:pPr>
      <w:r w:rsidRPr="00992199">
        <w:rPr>
          <w:szCs w:val="20"/>
        </w:rPr>
        <w:t xml:space="preserve">No </w:t>
      </w:r>
      <w:r w:rsidR="00A07615" w:rsidRPr="00992199">
        <w:rPr>
          <w:szCs w:val="20"/>
        </w:rPr>
        <w:t>extra-legal</w:t>
      </w:r>
      <w:r w:rsidRPr="00992199">
        <w:rPr>
          <w:szCs w:val="20"/>
        </w:rPr>
        <w:t xml:space="preserve"> benefits have been paid, not as cash nor as Shares or warrants.</w:t>
      </w:r>
    </w:p>
    <w:p w:rsidR="003F0BC5" w:rsidRPr="00992199" w:rsidRDefault="003F0BC5" w:rsidP="003F0BC5">
      <w:pPr>
        <w:rPr>
          <w:i/>
          <w:szCs w:val="20"/>
        </w:rPr>
      </w:pPr>
      <w:r w:rsidRPr="00992199">
        <w:rPr>
          <w:i/>
          <w:szCs w:val="20"/>
        </w:rPr>
        <w:t xml:space="preserve">Remuneration of the members of the </w:t>
      </w:r>
      <w:r w:rsidR="008D49ED">
        <w:rPr>
          <w:i/>
          <w:szCs w:val="20"/>
        </w:rPr>
        <w:t>Executive Committee</w:t>
      </w:r>
      <w:r w:rsidRPr="00992199">
        <w:rPr>
          <w:i/>
          <w:szCs w:val="20"/>
        </w:rPr>
        <w:t xml:space="preserve"> for the financial year </w:t>
      </w:r>
      <w:r w:rsidR="0083762C" w:rsidRPr="0083762C">
        <w:rPr>
          <w:i/>
          <w:szCs w:val="20"/>
        </w:rPr>
        <w:t xml:space="preserve">ended 31 March 2015 </w:t>
      </w:r>
      <w:r w:rsidRPr="00992199">
        <w:rPr>
          <w:i/>
          <w:szCs w:val="20"/>
        </w:rPr>
        <w:t>(excluding CEO)</w:t>
      </w:r>
    </w:p>
    <w:tbl>
      <w:tblPr>
        <w:tblW w:w="4891" w:type="pct"/>
        <w:jc w:val="center"/>
        <w:tblLook w:val="0000" w:firstRow="0" w:lastRow="0" w:firstColumn="0" w:lastColumn="0" w:noHBand="0" w:noVBand="0"/>
      </w:tblPr>
      <w:tblGrid>
        <w:gridCol w:w="7381"/>
        <w:gridCol w:w="1662"/>
      </w:tblGrid>
      <w:tr w:rsidR="00DD4FD5" w:rsidRPr="00DD4FD5" w:rsidTr="00DD4FD5">
        <w:trPr>
          <w:trHeight w:val="255"/>
          <w:jc w:val="center"/>
        </w:trPr>
        <w:tc>
          <w:tcPr>
            <w:tcW w:w="4081" w:type="pct"/>
            <w:noWrap/>
            <w:vAlign w:val="center"/>
          </w:tcPr>
          <w:p w:rsidR="00DD4FD5" w:rsidRPr="00DD4FD5" w:rsidRDefault="00DD4FD5" w:rsidP="00DD4FD5">
            <w:pPr>
              <w:keepNext/>
              <w:keepLines/>
              <w:tabs>
                <w:tab w:val="right" w:leader="dot" w:pos="6521"/>
              </w:tabs>
              <w:spacing w:before="0" w:after="0"/>
              <w:jc w:val="left"/>
              <w:rPr>
                <w:bCs/>
                <w:i/>
                <w:sz w:val="18"/>
                <w:szCs w:val="18"/>
              </w:rPr>
            </w:pPr>
            <w:r w:rsidRPr="00DD4FD5">
              <w:rPr>
                <w:bCs/>
                <w:i/>
                <w:sz w:val="18"/>
                <w:szCs w:val="18"/>
              </w:rPr>
              <w:t>(</w:t>
            </w:r>
            <w:r w:rsidR="00E53641">
              <w:rPr>
                <w:bCs/>
                <w:i/>
                <w:sz w:val="18"/>
                <w:szCs w:val="18"/>
              </w:rPr>
              <w:t>EUR </w:t>
            </w:r>
            <w:r w:rsidRPr="00DD4FD5">
              <w:rPr>
                <w:bCs/>
                <w:i/>
                <w:sz w:val="18"/>
                <w:szCs w:val="18"/>
              </w:rPr>
              <w:t>in thousands)</w:t>
            </w:r>
          </w:p>
        </w:tc>
        <w:tc>
          <w:tcPr>
            <w:tcW w:w="919" w:type="pct"/>
            <w:vAlign w:val="center"/>
          </w:tcPr>
          <w:p w:rsidR="00DD4FD5" w:rsidRPr="00DD4FD5" w:rsidRDefault="00DD4FD5" w:rsidP="00DD4FD5">
            <w:pPr>
              <w:keepNext/>
              <w:keepLines/>
              <w:pBdr>
                <w:bottom w:val="single" w:sz="4" w:space="1" w:color="auto"/>
              </w:pBdr>
              <w:spacing w:before="0" w:after="0"/>
              <w:jc w:val="right"/>
              <w:rPr>
                <w:b/>
                <w:sz w:val="18"/>
                <w:szCs w:val="18"/>
              </w:rPr>
            </w:pPr>
            <w:r w:rsidRPr="00DD4FD5">
              <w:rPr>
                <w:b/>
                <w:sz w:val="18"/>
                <w:szCs w:val="18"/>
              </w:rPr>
              <w:t xml:space="preserve"> Year ended 31 March 2015</w:t>
            </w:r>
          </w:p>
        </w:tc>
      </w:tr>
      <w:tr w:rsidR="00B91DE5" w:rsidRPr="00DD4FD5" w:rsidTr="00DD4FD5">
        <w:trPr>
          <w:trHeight w:val="255"/>
          <w:jc w:val="center"/>
        </w:trPr>
        <w:tc>
          <w:tcPr>
            <w:tcW w:w="4081" w:type="pct"/>
            <w:noWrap/>
            <w:vAlign w:val="bottom"/>
          </w:tcPr>
          <w:p w:rsidR="00B91DE5" w:rsidRPr="00DD4FD5" w:rsidRDefault="00B91DE5" w:rsidP="00DD4FD5">
            <w:pPr>
              <w:keepNext/>
              <w:keepLines/>
              <w:tabs>
                <w:tab w:val="right" w:leader="dot" w:pos="6521"/>
              </w:tabs>
              <w:spacing w:before="0" w:after="0"/>
              <w:rPr>
                <w:sz w:val="18"/>
                <w:szCs w:val="18"/>
              </w:rPr>
            </w:pPr>
            <w:r w:rsidRPr="00DD4FD5">
              <w:rPr>
                <w:sz w:val="18"/>
                <w:szCs w:val="18"/>
              </w:rPr>
              <w:t>Number of persons on balance sheet date</w:t>
            </w:r>
            <w:r w:rsidRPr="00DD4FD5">
              <w:rPr>
                <w:sz w:val="18"/>
                <w:szCs w:val="18"/>
              </w:rPr>
              <w:tab/>
            </w:r>
          </w:p>
        </w:tc>
        <w:tc>
          <w:tcPr>
            <w:tcW w:w="919" w:type="pct"/>
            <w:noWrap/>
            <w:vAlign w:val="bottom"/>
          </w:tcPr>
          <w:p w:rsidR="00B91DE5" w:rsidRPr="00B91DE5" w:rsidRDefault="00B91DE5" w:rsidP="00E53641">
            <w:pPr>
              <w:keepNext/>
              <w:keepLines/>
              <w:spacing w:before="0" w:after="0"/>
              <w:jc w:val="right"/>
              <w:rPr>
                <w:sz w:val="18"/>
                <w:szCs w:val="18"/>
              </w:rPr>
            </w:pPr>
            <w:r w:rsidRPr="00B91DE5">
              <w:rPr>
                <w:sz w:val="18"/>
                <w:szCs w:val="18"/>
              </w:rPr>
              <w:t>3</w:t>
            </w:r>
          </w:p>
        </w:tc>
      </w:tr>
      <w:tr w:rsidR="00B91DE5" w:rsidRPr="00DD4FD5" w:rsidTr="00DD4FD5">
        <w:trPr>
          <w:trHeight w:val="255"/>
          <w:jc w:val="center"/>
        </w:trPr>
        <w:tc>
          <w:tcPr>
            <w:tcW w:w="4081" w:type="pct"/>
            <w:noWrap/>
            <w:vAlign w:val="bottom"/>
          </w:tcPr>
          <w:p w:rsidR="00B91DE5" w:rsidRPr="00DD4FD5" w:rsidRDefault="00B91DE5" w:rsidP="00DD4FD5">
            <w:pPr>
              <w:keepNext/>
              <w:keepLines/>
              <w:tabs>
                <w:tab w:val="left" w:pos="318"/>
                <w:tab w:val="right" w:leader="dot" w:pos="6521"/>
              </w:tabs>
              <w:spacing w:before="0" w:after="0"/>
              <w:rPr>
                <w:sz w:val="18"/>
                <w:szCs w:val="18"/>
              </w:rPr>
            </w:pPr>
            <w:r w:rsidRPr="00DD4FD5">
              <w:rPr>
                <w:sz w:val="18"/>
                <w:szCs w:val="18"/>
              </w:rPr>
              <w:tab/>
              <w:t>Basic remuneration</w:t>
            </w:r>
            <w:r w:rsidRPr="00DD4FD5">
              <w:rPr>
                <w:sz w:val="18"/>
                <w:szCs w:val="18"/>
              </w:rPr>
              <w:tab/>
            </w:r>
          </w:p>
        </w:tc>
        <w:tc>
          <w:tcPr>
            <w:tcW w:w="919" w:type="pct"/>
            <w:noWrap/>
            <w:vAlign w:val="bottom"/>
          </w:tcPr>
          <w:p w:rsidR="00B91DE5" w:rsidRPr="00B91DE5" w:rsidRDefault="00B91DE5" w:rsidP="00E53641">
            <w:pPr>
              <w:keepNext/>
              <w:keepLines/>
              <w:spacing w:before="0" w:after="0"/>
              <w:jc w:val="right"/>
              <w:rPr>
                <w:sz w:val="18"/>
                <w:szCs w:val="18"/>
              </w:rPr>
            </w:pPr>
            <w:r w:rsidRPr="00B91DE5">
              <w:rPr>
                <w:sz w:val="18"/>
                <w:szCs w:val="18"/>
              </w:rPr>
              <w:t>828</w:t>
            </w:r>
          </w:p>
        </w:tc>
      </w:tr>
      <w:tr w:rsidR="00B91DE5" w:rsidRPr="00DD4FD5" w:rsidTr="00DD4FD5">
        <w:trPr>
          <w:trHeight w:val="255"/>
          <w:jc w:val="center"/>
        </w:trPr>
        <w:tc>
          <w:tcPr>
            <w:tcW w:w="4081" w:type="pct"/>
            <w:noWrap/>
            <w:vAlign w:val="bottom"/>
          </w:tcPr>
          <w:p w:rsidR="00B91DE5" w:rsidRPr="00DD4FD5" w:rsidRDefault="00B91DE5" w:rsidP="00DD4FD5">
            <w:pPr>
              <w:keepNext/>
              <w:keepLines/>
              <w:tabs>
                <w:tab w:val="left" w:pos="318"/>
                <w:tab w:val="right" w:leader="dot" w:pos="6521"/>
              </w:tabs>
              <w:spacing w:before="0" w:after="0"/>
              <w:rPr>
                <w:sz w:val="18"/>
                <w:szCs w:val="18"/>
              </w:rPr>
            </w:pPr>
            <w:r w:rsidRPr="00DD4FD5">
              <w:rPr>
                <w:sz w:val="18"/>
                <w:szCs w:val="18"/>
              </w:rPr>
              <w:tab/>
              <w:t xml:space="preserve">Variable remuneration </w:t>
            </w:r>
            <w:r w:rsidRPr="00DD4FD5">
              <w:rPr>
                <w:sz w:val="18"/>
                <w:szCs w:val="18"/>
              </w:rPr>
              <w:tab/>
            </w:r>
          </w:p>
        </w:tc>
        <w:tc>
          <w:tcPr>
            <w:tcW w:w="919" w:type="pct"/>
            <w:noWrap/>
            <w:vAlign w:val="bottom"/>
          </w:tcPr>
          <w:p w:rsidR="00B91DE5" w:rsidRPr="00B91DE5" w:rsidRDefault="00B91DE5" w:rsidP="00E53641">
            <w:pPr>
              <w:keepNext/>
              <w:keepLines/>
              <w:spacing w:before="0" w:after="0"/>
              <w:jc w:val="right"/>
              <w:rPr>
                <w:sz w:val="18"/>
                <w:szCs w:val="18"/>
              </w:rPr>
            </w:pPr>
            <w:r w:rsidRPr="00B91DE5">
              <w:rPr>
                <w:sz w:val="18"/>
                <w:szCs w:val="18"/>
              </w:rPr>
              <w:t>226</w:t>
            </w:r>
          </w:p>
        </w:tc>
      </w:tr>
      <w:tr w:rsidR="00B91DE5" w:rsidRPr="00DD4FD5" w:rsidTr="00DD4FD5">
        <w:trPr>
          <w:trHeight w:val="255"/>
          <w:jc w:val="center"/>
        </w:trPr>
        <w:tc>
          <w:tcPr>
            <w:tcW w:w="4081" w:type="pct"/>
            <w:noWrap/>
            <w:vAlign w:val="bottom"/>
          </w:tcPr>
          <w:p w:rsidR="00B91DE5" w:rsidRPr="00DD4FD5" w:rsidRDefault="00B91DE5" w:rsidP="00DD4FD5">
            <w:pPr>
              <w:keepNext/>
              <w:keepLines/>
              <w:tabs>
                <w:tab w:val="left" w:pos="318"/>
                <w:tab w:val="right" w:leader="dot" w:pos="6521"/>
              </w:tabs>
              <w:spacing w:before="0" w:after="0"/>
              <w:rPr>
                <w:sz w:val="18"/>
                <w:szCs w:val="18"/>
              </w:rPr>
            </w:pPr>
            <w:r w:rsidRPr="00DD4FD5">
              <w:rPr>
                <w:sz w:val="18"/>
                <w:szCs w:val="18"/>
              </w:rPr>
              <w:tab/>
              <w:t>Other remunerations</w:t>
            </w:r>
            <w:r w:rsidRPr="00DD4FD5">
              <w:rPr>
                <w:sz w:val="18"/>
                <w:szCs w:val="18"/>
              </w:rPr>
              <w:tab/>
            </w:r>
          </w:p>
        </w:tc>
        <w:tc>
          <w:tcPr>
            <w:tcW w:w="919" w:type="pct"/>
            <w:tcBorders>
              <w:bottom w:val="single" w:sz="8" w:space="0" w:color="auto"/>
            </w:tcBorders>
            <w:noWrap/>
            <w:vAlign w:val="bottom"/>
          </w:tcPr>
          <w:p w:rsidR="00B91DE5" w:rsidRPr="00B91DE5" w:rsidRDefault="00B91DE5" w:rsidP="00E53641">
            <w:pPr>
              <w:keepNext/>
              <w:keepLines/>
              <w:spacing w:before="0" w:after="0"/>
              <w:jc w:val="right"/>
              <w:rPr>
                <w:sz w:val="18"/>
                <w:szCs w:val="18"/>
              </w:rPr>
            </w:pPr>
            <w:r w:rsidRPr="00B91DE5">
              <w:rPr>
                <w:sz w:val="18"/>
                <w:szCs w:val="18"/>
              </w:rPr>
              <w:t>71</w:t>
            </w:r>
          </w:p>
        </w:tc>
      </w:tr>
      <w:tr w:rsidR="00B91DE5" w:rsidRPr="00DD4FD5" w:rsidTr="00DD4FD5">
        <w:trPr>
          <w:trHeight w:val="255"/>
          <w:jc w:val="center"/>
        </w:trPr>
        <w:tc>
          <w:tcPr>
            <w:tcW w:w="4081" w:type="pct"/>
            <w:noWrap/>
            <w:vAlign w:val="bottom"/>
          </w:tcPr>
          <w:p w:rsidR="00B91DE5" w:rsidRPr="00DD4FD5" w:rsidRDefault="00B91DE5" w:rsidP="00DD4FD5">
            <w:pPr>
              <w:keepNext/>
              <w:keepLines/>
              <w:tabs>
                <w:tab w:val="left" w:pos="318"/>
                <w:tab w:val="right" w:leader="dot" w:pos="6521"/>
              </w:tabs>
              <w:spacing w:before="0" w:after="0"/>
              <w:rPr>
                <w:sz w:val="18"/>
                <w:szCs w:val="18"/>
              </w:rPr>
            </w:pPr>
            <w:r w:rsidRPr="00B91DE5">
              <w:rPr>
                <w:sz w:val="18"/>
                <w:szCs w:val="18"/>
              </w:rPr>
              <w:tab/>
            </w:r>
            <w:r>
              <w:rPr>
                <w:sz w:val="18"/>
                <w:szCs w:val="18"/>
              </w:rPr>
              <w:t>Pensions</w:t>
            </w:r>
            <w:r w:rsidRPr="00B91DE5">
              <w:rPr>
                <w:sz w:val="18"/>
                <w:szCs w:val="18"/>
              </w:rPr>
              <w:tab/>
            </w:r>
          </w:p>
        </w:tc>
        <w:tc>
          <w:tcPr>
            <w:tcW w:w="919" w:type="pct"/>
            <w:tcBorders>
              <w:bottom w:val="single" w:sz="8" w:space="0" w:color="auto"/>
            </w:tcBorders>
            <w:noWrap/>
            <w:vAlign w:val="bottom"/>
          </w:tcPr>
          <w:p w:rsidR="00B91DE5" w:rsidRPr="00B91DE5" w:rsidRDefault="00B91DE5" w:rsidP="00E53641">
            <w:pPr>
              <w:keepNext/>
              <w:keepLines/>
              <w:spacing w:before="0" w:after="0"/>
              <w:jc w:val="right"/>
              <w:rPr>
                <w:sz w:val="18"/>
                <w:szCs w:val="18"/>
              </w:rPr>
            </w:pPr>
            <w:r w:rsidRPr="00B91DE5">
              <w:rPr>
                <w:sz w:val="18"/>
                <w:szCs w:val="18"/>
              </w:rPr>
              <w:t>26</w:t>
            </w:r>
          </w:p>
        </w:tc>
      </w:tr>
      <w:tr w:rsidR="00B91DE5" w:rsidRPr="00F02F3A" w:rsidTr="00DD4FD5">
        <w:trPr>
          <w:trHeight w:val="255"/>
          <w:jc w:val="center"/>
        </w:trPr>
        <w:tc>
          <w:tcPr>
            <w:tcW w:w="4081" w:type="pct"/>
            <w:noWrap/>
            <w:vAlign w:val="bottom"/>
          </w:tcPr>
          <w:p w:rsidR="00B91DE5" w:rsidRPr="00DD4FD5" w:rsidRDefault="00B91DE5" w:rsidP="00DD4FD5">
            <w:pPr>
              <w:keepNext/>
              <w:keepLines/>
              <w:tabs>
                <w:tab w:val="right" w:leader="dot" w:pos="6521"/>
              </w:tabs>
              <w:spacing w:before="0" w:after="0"/>
              <w:rPr>
                <w:b/>
                <w:bCs/>
                <w:sz w:val="18"/>
                <w:szCs w:val="18"/>
              </w:rPr>
            </w:pPr>
            <w:r w:rsidRPr="00DD4FD5">
              <w:rPr>
                <w:b/>
                <w:bCs/>
                <w:sz w:val="18"/>
                <w:szCs w:val="18"/>
              </w:rPr>
              <w:t>Remuneration members of the Management Committee</w:t>
            </w:r>
            <w:r w:rsidRPr="00DD4FD5">
              <w:rPr>
                <w:b/>
                <w:bCs/>
                <w:sz w:val="18"/>
                <w:szCs w:val="18"/>
              </w:rPr>
              <w:tab/>
            </w:r>
          </w:p>
        </w:tc>
        <w:tc>
          <w:tcPr>
            <w:tcW w:w="919" w:type="pct"/>
            <w:tcBorders>
              <w:top w:val="single" w:sz="8" w:space="0" w:color="auto"/>
              <w:bottom w:val="double" w:sz="4" w:space="0" w:color="auto"/>
            </w:tcBorders>
            <w:noWrap/>
            <w:vAlign w:val="bottom"/>
          </w:tcPr>
          <w:p w:rsidR="00B91DE5" w:rsidRPr="00B91DE5" w:rsidRDefault="00B91DE5" w:rsidP="00E53641">
            <w:pPr>
              <w:keepNext/>
              <w:keepLines/>
              <w:spacing w:before="0" w:after="0"/>
              <w:jc w:val="right"/>
              <w:rPr>
                <w:b/>
                <w:bCs/>
                <w:sz w:val="18"/>
                <w:szCs w:val="18"/>
              </w:rPr>
            </w:pPr>
            <w:r w:rsidRPr="00B91DE5">
              <w:rPr>
                <w:b/>
                <w:bCs/>
                <w:sz w:val="18"/>
                <w:szCs w:val="18"/>
              </w:rPr>
              <w:t>1.152</w:t>
            </w:r>
          </w:p>
        </w:tc>
      </w:tr>
    </w:tbl>
    <w:p w:rsidR="00FE0802" w:rsidRDefault="00FE0802" w:rsidP="00FE0802">
      <w:smartTag w:uri="urn:schemas-microsoft-com:office:smarttags" w:element="place">
        <w:smartTag w:uri="urn:schemas-microsoft-com:office:smarttags" w:element="City">
          <w:r>
            <w:t>Vijverbos</w:t>
          </w:r>
        </w:smartTag>
        <w:r w:rsidR="00344ACC">
          <w:t xml:space="preserve"> </w:t>
        </w:r>
        <w:smartTag w:uri="urn:schemas-microsoft-com:office:smarttags" w:element="State">
          <w:r w:rsidR="00344ACC">
            <w:t>NV</w:t>
          </w:r>
        </w:smartTag>
      </w:smartTag>
      <w:r>
        <w:t xml:space="preserve">, represented by Herwig Dejonghe, terminated </w:t>
      </w:r>
      <w:r w:rsidR="0083762C">
        <w:t>its</w:t>
      </w:r>
      <w:r>
        <w:t xml:space="preserve"> activity as COO in November 2014, which implies that his remuneration is included in the table above for eight months.</w:t>
      </w:r>
    </w:p>
    <w:p w:rsidR="003F0BC5" w:rsidRPr="00992199" w:rsidRDefault="003F0BC5" w:rsidP="003F0BC5">
      <w:pPr>
        <w:rPr>
          <w:szCs w:val="20"/>
        </w:rPr>
      </w:pPr>
      <w:r w:rsidRPr="00992199">
        <w:rPr>
          <w:szCs w:val="20"/>
        </w:rPr>
        <w:t xml:space="preserve">The members of the </w:t>
      </w:r>
      <w:r w:rsidR="008D49ED">
        <w:rPr>
          <w:szCs w:val="20"/>
        </w:rPr>
        <w:t>Executive Committee</w:t>
      </w:r>
      <w:r w:rsidRPr="00992199">
        <w:rPr>
          <w:szCs w:val="20"/>
        </w:rPr>
        <w:t xml:space="preserve"> receive in addition to the fixed remuneration also a variable remuneration. This bonus scheme is mainly based on financial quantitative targets and partially (maximum 25%) on qualitative personal goals related to the execution of the job. This can relate to the efficiency of certain processes, delivery of a number of projects, etc.</w:t>
      </w:r>
    </w:p>
    <w:p w:rsidR="003F0BC5" w:rsidRPr="00992199" w:rsidRDefault="003F0BC5" w:rsidP="003F0BC5">
      <w:pPr>
        <w:rPr>
          <w:szCs w:val="20"/>
        </w:rPr>
      </w:pPr>
      <w:r w:rsidRPr="00992199">
        <w:rPr>
          <w:szCs w:val="20"/>
        </w:rPr>
        <w:lastRenderedPageBreak/>
        <w:t>The evaluation period corresponds to the financial year of the company. The payment occurs in the following year. The quantitative calculation is done by the CFO based on audited figures. The assessment of the results of the personal qualitative goals is done by the CEO in consultation with the Remuneration and Nomination Committee and the Board of Directors. The bonus scheme is annually presented to the Remuneration and Nomination Committee.</w:t>
      </w:r>
    </w:p>
    <w:p w:rsidR="003F0BC5" w:rsidRPr="00992199" w:rsidRDefault="002A1AB1" w:rsidP="003F0BC5">
      <w:pPr>
        <w:rPr>
          <w:szCs w:val="20"/>
        </w:rPr>
      </w:pPr>
      <w:r>
        <w:rPr>
          <w:szCs w:val="20"/>
        </w:rPr>
        <w:t xml:space="preserve">Greenyard Foods </w:t>
      </w:r>
      <w:r w:rsidR="003F0BC5" w:rsidRPr="00992199">
        <w:rPr>
          <w:szCs w:val="20"/>
        </w:rPr>
        <w:t xml:space="preserve">chooses to pay the variable remuneration of the executive directors on a yearly basis, regardless the size of this variable remuneration, and not to spread the payment over several years. This annual payment, in derogation of article 520ter </w:t>
      </w:r>
      <w:r w:rsidR="0055687C">
        <w:rPr>
          <w:szCs w:val="20"/>
        </w:rPr>
        <w:t>BCC</w:t>
      </w:r>
      <w:r w:rsidR="003F0BC5" w:rsidRPr="00992199">
        <w:rPr>
          <w:szCs w:val="20"/>
        </w:rPr>
        <w:t xml:space="preserve">, is presented to the </w:t>
      </w:r>
      <w:r w:rsidR="00AA3763">
        <w:rPr>
          <w:szCs w:val="20"/>
        </w:rPr>
        <w:t>general shareholders’ meeting</w:t>
      </w:r>
      <w:r w:rsidR="003F0BC5" w:rsidRPr="00992199">
        <w:rPr>
          <w:szCs w:val="20"/>
        </w:rPr>
        <w:t xml:space="preserve"> of the Company on 18 September 2015 for ratification.</w:t>
      </w:r>
    </w:p>
    <w:p w:rsidR="003F0BC5" w:rsidRPr="00992199" w:rsidRDefault="003F0BC5" w:rsidP="003F0BC5">
      <w:pPr>
        <w:rPr>
          <w:szCs w:val="20"/>
        </w:rPr>
      </w:pPr>
      <w:r w:rsidRPr="00992199">
        <w:rPr>
          <w:szCs w:val="20"/>
        </w:rPr>
        <w:t>In addition to the yearly bonus scheme, the Remuneration and Nomination Committee can decide on an ad hoc basis to grant an exceptional bonus of the annual remuneration at the occurrence of extraordinary events or when special performances have been delivered that were not planned at the start of the financial year concerned.</w:t>
      </w:r>
    </w:p>
    <w:p w:rsidR="003F0BC5" w:rsidRPr="00992199" w:rsidRDefault="003F0BC5" w:rsidP="003F0BC5">
      <w:pPr>
        <w:rPr>
          <w:szCs w:val="20"/>
        </w:rPr>
      </w:pPr>
      <w:r w:rsidRPr="00992199">
        <w:rPr>
          <w:szCs w:val="20"/>
        </w:rPr>
        <w:t xml:space="preserve">The other remunerations comprise, for the members working under an independent statute, mainly the reimbursement of expenses made at the service of the </w:t>
      </w:r>
      <w:r w:rsidR="002A1AB1">
        <w:rPr>
          <w:szCs w:val="20"/>
        </w:rPr>
        <w:t>Greenyard Foods</w:t>
      </w:r>
      <w:r w:rsidRPr="00992199">
        <w:rPr>
          <w:szCs w:val="20"/>
        </w:rPr>
        <w:t xml:space="preserve"> Group: travel and accommodation expenses, etc. For the members operating as employees, the other remunerations concern the </w:t>
      </w:r>
      <w:r w:rsidR="00A07615" w:rsidRPr="00992199">
        <w:rPr>
          <w:szCs w:val="20"/>
        </w:rPr>
        <w:t>extra-legal</w:t>
      </w:r>
      <w:r w:rsidRPr="00992199">
        <w:rPr>
          <w:szCs w:val="20"/>
        </w:rPr>
        <w:t xml:space="preserve"> advantages such as a company car, pension scheme based on a fixed contribution of the employer (defined contribution) and the reimbursement of travel and accommodation expenses.</w:t>
      </w:r>
    </w:p>
    <w:p w:rsidR="003F0BC5" w:rsidRPr="00992199" w:rsidRDefault="003F0BC5" w:rsidP="003F0BC5">
      <w:pPr>
        <w:rPr>
          <w:szCs w:val="20"/>
        </w:rPr>
      </w:pPr>
      <w:r w:rsidRPr="00992199">
        <w:rPr>
          <w:szCs w:val="20"/>
        </w:rPr>
        <w:t xml:space="preserve">With regard to the members of the </w:t>
      </w:r>
      <w:r w:rsidR="008D49ED">
        <w:rPr>
          <w:szCs w:val="20"/>
        </w:rPr>
        <w:t>Executive Committee</w:t>
      </w:r>
      <w:r w:rsidRPr="00992199">
        <w:rPr>
          <w:szCs w:val="20"/>
        </w:rPr>
        <w:t xml:space="preserve"> who were member of the committee solely during a part of the year, only the relevant months are taken into consideration.</w:t>
      </w:r>
    </w:p>
    <w:p w:rsidR="003F0BC5" w:rsidRPr="00992199" w:rsidRDefault="003F0BC5" w:rsidP="003F0BC5">
      <w:pPr>
        <w:rPr>
          <w:szCs w:val="20"/>
        </w:rPr>
      </w:pPr>
      <w:r w:rsidRPr="00992199">
        <w:rPr>
          <w:szCs w:val="20"/>
        </w:rPr>
        <w:t>During the financial year, no stock options or other rights have been expired or exercised by members of the management team.</w:t>
      </w:r>
    </w:p>
    <w:p w:rsidR="003F0BC5" w:rsidRPr="00992199" w:rsidRDefault="003F0BC5" w:rsidP="00353B80">
      <w:pPr>
        <w:pStyle w:val="Firm5L3"/>
        <w:keepNext/>
      </w:pPr>
      <w:r w:rsidRPr="00992199">
        <w:t>Indemnification and insurance of the directors and members of executive management</w:t>
      </w:r>
    </w:p>
    <w:p w:rsidR="003F0BC5" w:rsidRPr="00992199" w:rsidRDefault="003F0BC5" w:rsidP="003F0BC5">
      <w:pPr>
        <w:rPr>
          <w:b/>
          <w:szCs w:val="20"/>
        </w:rPr>
      </w:pPr>
      <w:r w:rsidRPr="00992199">
        <w:rPr>
          <w:szCs w:val="20"/>
        </w:rPr>
        <w:t xml:space="preserve">As permitted by the Articles of Association, the Company has entered into indemnification arrangements with the directors and relevant members of the </w:t>
      </w:r>
      <w:r w:rsidR="008D49ED">
        <w:rPr>
          <w:szCs w:val="20"/>
        </w:rPr>
        <w:t>Executive Committee</w:t>
      </w:r>
      <w:r w:rsidRPr="00992199">
        <w:rPr>
          <w:szCs w:val="20"/>
        </w:rPr>
        <w:t xml:space="preserve"> and has implemented directors’ and officers’ insurance coverage</w:t>
      </w:r>
      <w:r w:rsidR="00730B6F">
        <w:rPr>
          <w:szCs w:val="20"/>
        </w:rPr>
        <w:t>.</w:t>
      </w:r>
    </w:p>
    <w:p w:rsidR="003F0BC5" w:rsidRPr="00992199" w:rsidRDefault="003F0BC5" w:rsidP="00353B80">
      <w:pPr>
        <w:pStyle w:val="Firm5L3"/>
        <w:keepNext/>
      </w:pPr>
      <w:r w:rsidRPr="00992199">
        <w:t>Service agreements of the directors and members of the executive management</w:t>
      </w:r>
    </w:p>
    <w:p w:rsidR="003F0BC5" w:rsidRPr="00992199" w:rsidRDefault="002A1AB1" w:rsidP="003F0BC5">
      <w:pPr>
        <w:rPr>
          <w:szCs w:val="20"/>
        </w:rPr>
      </w:pPr>
      <w:r>
        <w:rPr>
          <w:szCs w:val="20"/>
        </w:rPr>
        <w:t>Greenyard Foods</w:t>
      </w:r>
      <w:r w:rsidR="003F0BC5" w:rsidRPr="00992199">
        <w:rPr>
          <w:szCs w:val="20"/>
        </w:rPr>
        <w:t xml:space="preserve"> has concluded agreements with its key managers, bein</w:t>
      </w:r>
      <w:r w:rsidR="00E34880">
        <w:rPr>
          <w:szCs w:val="20"/>
        </w:rPr>
        <w:t>g MAVAC BVBA (represented by Ms</w:t>
      </w:r>
      <w:r w:rsidR="003F0BC5" w:rsidRPr="00992199">
        <w:rPr>
          <w:szCs w:val="20"/>
        </w:rPr>
        <w:t xml:space="preserve"> Marleen Vaesen), </w:t>
      </w:r>
      <w:r w:rsidR="00E34880">
        <w:rPr>
          <w:szCs w:val="20"/>
        </w:rPr>
        <w:t>Haluvan BVBA (represented by Mr</w:t>
      </w:r>
      <w:r w:rsidR="003F0BC5" w:rsidRPr="00992199">
        <w:rPr>
          <w:szCs w:val="20"/>
        </w:rPr>
        <w:t xml:space="preserve"> Hans Luts), S</w:t>
      </w:r>
      <w:r w:rsidR="00E34880">
        <w:rPr>
          <w:szCs w:val="20"/>
        </w:rPr>
        <w:t>ilverco BVBA (represented by Mr Jan Ingelbeen), Ms Valerie Vanhoutte and Mr</w:t>
      </w:r>
      <w:r w:rsidR="003F0BC5" w:rsidRPr="00992199">
        <w:rPr>
          <w:szCs w:val="20"/>
        </w:rPr>
        <w:t xml:space="preserve"> Dominique Stinckens (this latter agreement has been concluded with Noliko NV).</w:t>
      </w:r>
    </w:p>
    <w:p w:rsidR="003F0BC5" w:rsidRPr="00992199" w:rsidRDefault="003F0BC5" w:rsidP="003F0BC5">
      <w:pPr>
        <w:rPr>
          <w:szCs w:val="20"/>
        </w:rPr>
      </w:pPr>
      <w:r w:rsidRPr="00992199">
        <w:rPr>
          <w:szCs w:val="20"/>
        </w:rPr>
        <w:t>All of the aforementioned agreements, with the exc</w:t>
      </w:r>
      <w:r w:rsidR="00E34880">
        <w:rPr>
          <w:szCs w:val="20"/>
        </w:rPr>
        <w:t>eption of the agreement with Mr</w:t>
      </w:r>
      <w:r w:rsidRPr="00992199">
        <w:rPr>
          <w:szCs w:val="20"/>
        </w:rPr>
        <w:t xml:space="preserve"> Dominique Stinckens, contain a non-compete clause.</w:t>
      </w:r>
    </w:p>
    <w:p w:rsidR="003F0BC5" w:rsidRPr="00992199" w:rsidRDefault="003F0BC5" w:rsidP="003F0BC5">
      <w:pPr>
        <w:rPr>
          <w:szCs w:val="20"/>
        </w:rPr>
      </w:pPr>
      <w:r w:rsidRPr="00992199">
        <w:rPr>
          <w:szCs w:val="20"/>
        </w:rPr>
        <w:t>A specific notice period is foreseen in the agreement with MAVAC BVBA (12 months), Haluvan BVBA (6 months) and Silverco BVBA (6 mon</w:t>
      </w:r>
      <w:r w:rsidR="00E34880">
        <w:rPr>
          <w:szCs w:val="20"/>
        </w:rPr>
        <w:t>ths). Since the agreement of Mr</w:t>
      </w:r>
      <w:r w:rsidRPr="00992199">
        <w:rPr>
          <w:szCs w:val="20"/>
        </w:rPr>
        <w:t xml:space="preserve"> Dominique Stinckens was already concluded in 1989, he is entitled to a notice period of 26 months.</w:t>
      </w:r>
    </w:p>
    <w:p w:rsidR="003F0BC5" w:rsidRPr="00992199" w:rsidRDefault="003F0BC5" w:rsidP="003F0BC5">
      <w:pPr>
        <w:rPr>
          <w:b/>
          <w:szCs w:val="20"/>
        </w:rPr>
      </w:pPr>
      <w:r w:rsidRPr="00992199">
        <w:rPr>
          <w:szCs w:val="20"/>
        </w:rPr>
        <w:t xml:space="preserve">Upon completion of the Transactions, the key managers of </w:t>
      </w:r>
      <w:r w:rsidR="002A1AB1">
        <w:rPr>
          <w:szCs w:val="20"/>
        </w:rPr>
        <w:t>Greenyard Foods</w:t>
      </w:r>
      <w:r w:rsidRPr="00992199">
        <w:rPr>
          <w:szCs w:val="20"/>
        </w:rPr>
        <w:t xml:space="preserve"> shall be [•]. The agreements concluded with the current managers shall remain in force. The new agreements concluded with the new managers shall provide for a non-compete clause and a notice period of [•] months.</w:t>
      </w:r>
    </w:p>
    <w:p w:rsidR="003F0BC5" w:rsidRPr="00992199" w:rsidRDefault="003F0BC5" w:rsidP="00353B80">
      <w:pPr>
        <w:pStyle w:val="Firm5L3"/>
        <w:keepNext/>
      </w:pPr>
      <w:r w:rsidRPr="00992199">
        <w:t>Shareholdings and stock options of members of the Board of Directors or of members of the senior management</w:t>
      </w:r>
    </w:p>
    <w:p w:rsidR="003F0BC5" w:rsidRPr="00992199" w:rsidRDefault="002A1AB1" w:rsidP="003F0BC5">
      <w:pPr>
        <w:rPr>
          <w:szCs w:val="20"/>
        </w:rPr>
      </w:pPr>
      <w:r>
        <w:rPr>
          <w:szCs w:val="20"/>
        </w:rPr>
        <w:t>Greenyard Foods</w:t>
      </w:r>
      <w:r w:rsidR="003F0BC5" w:rsidRPr="00992199">
        <w:rPr>
          <w:szCs w:val="20"/>
        </w:rPr>
        <w:t xml:space="preserve"> has implemented no stock option plan with its directors and key managers.</w:t>
      </w:r>
    </w:p>
    <w:p w:rsidR="003F0BC5" w:rsidRDefault="003F0BC5" w:rsidP="003F0BC5">
      <w:pPr>
        <w:rPr>
          <w:szCs w:val="20"/>
        </w:rPr>
      </w:pPr>
      <w:r w:rsidRPr="00992199">
        <w:rPr>
          <w:szCs w:val="20"/>
        </w:rPr>
        <w:t>Upon completion of the Transactions, the directors shall own the following shareholding (directly and</w:t>
      </w:r>
      <w:r w:rsidR="00730B6F">
        <w:rPr>
          <w:szCs w:val="20"/>
        </w:rPr>
        <w:t xml:space="preserve"> indirectly) in the Company:</w:t>
      </w:r>
    </w:p>
    <w:tbl>
      <w:tblPr>
        <w:tblW w:w="5000" w:type="pct"/>
        <w:jc w:val="center"/>
        <w:tblLook w:val="0000" w:firstRow="0" w:lastRow="0" w:firstColumn="0" w:lastColumn="0" w:noHBand="0" w:noVBand="0"/>
      </w:tblPr>
      <w:tblGrid>
        <w:gridCol w:w="5220"/>
        <w:gridCol w:w="2200"/>
        <w:gridCol w:w="1825"/>
      </w:tblGrid>
      <w:tr w:rsidR="00730B6F" w:rsidRPr="00730B6F" w:rsidTr="0092220A">
        <w:trPr>
          <w:trHeight w:val="255"/>
          <w:jc w:val="center"/>
        </w:trPr>
        <w:tc>
          <w:tcPr>
            <w:tcW w:w="2823" w:type="pct"/>
            <w:noWrap/>
            <w:vAlign w:val="bottom"/>
          </w:tcPr>
          <w:p w:rsidR="00730B6F" w:rsidRPr="00730B6F" w:rsidRDefault="00730B6F" w:rsidP="00730B6F">
            <w:pPr>
              <w:spacing w:before="0" w:after="0"/>
              <w:rPr>
                <w:b/>
                <w:bCs/>
                <w:sz w:val="18"/>
                <w:szCs w:val="18"/>
              </w:rPr>
            </w:pPr>
            <w:r w:rsidRPr="00730B6F">
              <w:rPr>
                <w:b/>
                <w:bCs/>
                <w:sz w:val="18"/>
                <w:szCs w:val="18"/>
              </w:rPr>
              <w:t>Directors shareholding</w:t>
            </w:r>
          </w:p>
        </w:tc>
        <w:tc>
          <w:tcPr>
            <w:tcW w:w="1190" w:type="pct"/>
            <w:vMerge w:val="restart"/>
            <w:vAlign w:val="bottom"/>
          </w:tcPr>
          <w:p w:rsidR="00730B6F" w:rsidRPr="00730B6F" w:rsidRDefault="00730B6F" w:rsidP="0092220A">
            <w:pPr>
              <w:pBdr>
                <w:bottom w:val="single" w:sz="4" w:space="1" w:color="auto"/>
              </w:pBdr>
              <w:spacing w:before="0" w:after="0"/>
              <w:jc w:val="right"/>
              <w:rPr>
                <w:b/>
                <w:sz w:val="18"/>
                <w:szCs w:val="18"/>
              </w:rPr>
            </w:pPr>
            <w:r w:rsidRPr="00730B6F">
              <w:rPr>
                <w:b/>
                <w:sz w:val="18"/>
                <w:szCs w:val="18"/>
              </w:rPr>
              <w:t>Number of Shares</w:t>
            </w:r>
          </w:p>
        </w:tc>
        <w:tc>
          <w:tcPr>
            <w:tcW w:w="987" w:type="pct"/>
            <w:vMerge w:val="restart"/>
            <w:vAlign w:val="bottom"/>
          </w:tcPr>
          <w:p w:rsidR="00730B6F" w:rsidRPr="00730B6F" w:rsidRDefault="00730B6F" w:rsidP="0092220A">
            <w:pPr>
              <w:pBdr>
                <w:bottom w:val="single" w:sz="4" w:space="1" w:color="auto"/>
              </w:pBdr>
              <w:spacing w:before="0" w:after="0"/>
              <w:jc w:val="right"/>
              <w:rPr>
                <w:b/>
                <w:sz w:val="18"/>
                <w:szCs w:val="18"/>
              </w:rPr>
            </w:pPr>
            <w:r w:rsidRPr="00730B6F">
              <w:rPr>
                <w:b/>
                <w:sz w:val="18"/>
                <w:szCs w:val="18"/>
              </w:rPr>
              <w:t>% of total share capital of the Company</w:t>
            </w:r>
          </w:p>
        </w:tc>
      </w:tr>
      <w:tr w:rsidR="00730B6F" w:rsidRPr="00730B6F" w:rsidTr="00730B6F">
        <w:trPr>
          <w:trHeight w:val="255"/>
          <w:jc w:val="center"/>
        </w:trPr>
        <w:tc>
          <w:tcPr>
            <w:tcW w:w="2823" w:type="pct"/>
            <w:noWrap/>
            <w:vAlign w:val="bottom"/>
          </w:tcPr>
          <w:p w:rsidR="00730B6F" w:rsidRPr="00730B6F" w:rsidRDefault="00730B6F" w:rsidP="0092220A">
            <w:pPr>
              <w:spacing w:before="0" w:after="0"/>
              <w:rPr>
                <w:b/>
                <w:bCs/>
                <w:sz w:val="18"/>
                <w:szCs w:val="18"/>
              </w:rPr>
            </w:pPr>
          </w:p>
        </w:tc>
        <w:tc>
          <w:tcPr>
            <w:tcW w:w="1190" w:type="pct"/>
            <w:vMerge/>
            <w:vAlign w:val="bottom"/>
          </w:tcPr>
          <w:p w:rsidR="00730B6F" w:rsidRPr="00730B6F" w:rsidRDefault="00730B6F" w:rsidP="0092220A">
            <w:pPr>
              <w:spacing w:before="0" w:after="0"/>
              <w:rPr>
                <w:sz w:val="18"/>
                <w:szCs w:val="18"/>
              </w:rPr>
            </w:pPr>
          </w:p>
        </w:tc>
        <w:tc>
          <w:tcPr>
            <w:tcW w:w="987" w:type="pct"/>
            <w:vMerge/>
            <w:vAlign w:val="bottom"/>
          </w:tcPr>
          <w:p w:rsidR="00730B6F" w:rsidRPr="00730B6F" w:rsidRDefault="00730B6F" w:rsidP="0092220A">
            <w:pPr>
              <w:spacing w:before="0" w:after="0"/>
              <w:rPr>
                <w:sz w:val="18"/>
                <w:szCs w:val="18"/>
              </w:rPr>
            </w:pPr>
          </w:p>
        </w:tc>
      </w:tr>
      <w:tr w:rsidR="00730B6F" w:rsidRPr="00730B6F" w:rsidTr="00730B6F">
        <w:trPr>
          <w:trHeight w:val="255"/>
          <w:jc w:val="center"/>
        </w:trPr>
        <w:tc>
          <w:tcPr>
            <w:tcW w:w="2823" w:type="pct"/>
            <w:noWrap/>
            <w:vAlign w:val="bottom"/>
          </w:tcPr>
          <w:p w:rsidR="00730B6F" w:rsidRPr="00730B6F" w:rsidRDefault="00730B6F" w:rsidP="0092220A">
            <w:pPr>
              <w:keepNext/>
              <w:keepLines/>
              <w:spacing w:before="0" w:after="0"/>
              <w:jc w:val="left"/>
              <w:rPr>
                <w:sz w:val="18"/>
                <w:szCs w:val="18"/>
              </w:rPr>
            </w:pPr>
            <w:r w:rsidRPr="00730B6F">
              <w:rPr>
                <w:sz w:val="18"/>
                <w:szCs w:val="18"/>
              </w:rPr>
              <w:t>NV Deprez Invest</w:t>
            </w:r>
            <w:r w:rsidRPr="00730B6F">
              <w:rPr>
                <w:sz w:val="18"/>
                <w:szCs w:val="18"/>
              </w:rPr>
              <w:br/>
              <w:t>p.r. by Mr Hein Deprez</w:t>
            </w:r>
          </w:p>
        </w:tc>
        <w:tc>
          <w:tcPr>
            <w:tcW w:w="1190" w:type="pct"/>
            <w:noWrap/>
            <w:vAlign w:val="bottom"/>
          </w:tcPr>
          <w:p w:rsidR="00730B6F" w:rsidRPr="00730B6F" w:rsidRDefault="00730B6F" w:rsidP="0092220A">
            <w:pPr>
              <w:spacing w:before="0" w:after="0"/>
              <w:jc w:val="right"/>
              <w:rPr>
                <w:sz w:val="18"/>
                <w:szCs w:val="18"/>
              </w:rPr>
            </w:pPr>
            <w:r w:rsidRPr="00730B6F">
              <w:rPr>
                <w:sz w:val="18"/>
                <w:szCs w:val="18"/>
              </w:rPr>
              <w:t>[•]</w:t>
            </w:r>
          </w:p>
        </w:tc>
        <w:tc>
          <w:tcPr>
            <w:tcW w:w="987" w:type="pct"/>
            <w:noWrap/>
            <w:vAlign w:val="bottom"/>
          </w:tcPr>
          <w:p w:rsidR="00730B6F" w:rsidRPr="00730B6F" w:rsidRDefault="00730B6F" w:rsidP="0092220A">
            <w:pPr>
              <w:spacing w:before="0" w:after="0"/>
              <w:jc w:val="right"/>
              <w:rPr>
                <w:sz w:val="18"/>
                <w:szCs w:val="18"/>
              </w:rPr>
            </w:pPr>
            <w:r w:rsidRPr="00730B6F">
              <w:rPr>
                <w:sz w:val="18"/>
                <w:szCs w:val="18"/>
              </w:rPr>
              <w:t>[•]%</w:t>
            </w:r>
          </w:p>
        </w:tc>
      </w:tr>
      <w:tr w:rsidR="00730B6F" w:rsidRPr="00730B6F" w:rsidTr="00730B6F">
        <w:trPr>
          <w:trHeight w:val="255"/>
          <w:jc w:val="center"/>
        </w:trPr>
        <w:tc>
          <w:tcPr>
            <w:tcW w:w="2823" w:type="pct"/>
            <w:noWrap/>
            <w:vAlign w:val="bottom"/>
          </w:tcPr>
          <w:p w:rsidR="00730B6F" w:rsidRPr="00730B6F" w:rsidRDefault="00730B6F" w:rsidP="0092220A">
            <w:pPr>
              <w:keepNext/>
              <w:keepLines/>
              <w:spacing w:before="0" w:after="0"/>
              <w:jc w:val="left"/>
              <w:rPr>
                <w:sz w:val="18"/>
                <w:szCs w:val="18"/>
              </w:rPr>
            </w:pPr>
            <w:r w:rsidRPr="00730B6F">
              <w:rPr>
                <w:sz w:val="18"/>
                <w:szCs w:val="18"/>
              </w:rPr>
              <w:t>BVBA The Marble</w:t>
            </w:r>
            <w:r w:rsidRPr="00730B6F">
              <w:rPr>
                <w:sz w:val="18"/>
                <w:szCs w:val="18"/>
              </w:rPr>
              <w:br/>
              <w:t>p.r. by Mr Luc Van Nevel</w:t>
            </w:r>
          </w:p>
        </w:tc>
        <w:tc>
          <w:tcPr>
            <w:tcW w:w="1190" w:type="pct"/>
            <w:noWrap/>
            <w:vAlign w:val="bottom"/>
          </w:tcPr>
          <w:p w:rsidR="00730B6F" w:rsidRPr="00730B6F" w:rsidRDefault="00730B6F" w:rsidP="0092220A">
            <w:pPr>
              <w:spacing w:before="0" w:after="0"/>
              <w:jc w:val="right"/>
              <w:rPr>
                <w:sz w:val="18"/>
                <w:szCs w:val="18"/>
              </w:rPr>
            </w:pPr>
            <w:r w:rsidRPr="00730B6F">
              <w:rPr>
                <w:sz w:val="18"/>
                <w:szCs w:val="18"/>
              </w:rPr>
              <w:t>[•]</w:t>
            </w:r>
          </w:p>
        </w:tc>
        <w:tc>
          <w:tcPr>
            <w:tcW w:w="987" w:type="pct"/>
            <w:noWrap/>
            <w:vAlign w:val="bottom"/>
          </w:tcPr>
          <w:p w:rsidR="00730B6F" w:rsidRPr="00730B6F" w:rsidRDefault="00730B6F" w:rsidP="0092220A">
            <w:pPr>
              <w:spacing w:before="0" w:after="0"/>
              <w:jc w:val="right"/>
              <w:rPr>
                <w:sz w:val="18"/>
                <w:szCs w:val="18"/>
              </w:rPr>
            </w:pPr>
            <w:r w:rsidRPr="00730B6F">
              <w:rPr>
                <w:sz w:val="18"/>
                <w:szCs w:val="18"/>
              </w:rPr>
              <w:t>[•]%</w:t>
            </w:r>
          </w:p>
        </w:tc>
      </w:tr>
      <w:tr w:rsidR="00730B6F" w:rsidRPr="00730B6F" w:rsidTr="00730B6F">
        <w:trPr>
          <w:trHeight w:val="255"/>
          <w:jc w:val="center"/>
        </w:trPr>
        <w:tc>
          <w:tcPr>
            <w:tcW w:w="2823" w:type="pct"/>
            <w:noWrap/>
            <w:vAlign w:val="bottom"/>
          </w:tcPr>
          <w:p w:rsidR="00730B6F" w:rsidRPr="00730B6F" w:rsidRDefault="00730B6F" w:rsidP="0092220A">
            <w:pPr>
              <w:spacing w:before="0" w:after="0"/>
              <w:jc w:val="left"/>
              <w:rPr>
                <w:sz w:val="18"/>
                <w:szCs w:val="18"/>
              </w:rPr>
            </w:pPr>
            <w:r w:rsidRPr="00730B6F">
              <w:rPr>
                <w:sz w:val="18"/>
                <w:szCs w:val="18"/>
              </w:rPr>
              <w:t>[Frank Donck]</w:t>
            </w:r>
          </w:p>
        </w:tc>
        <w:tc>
          <w:tcPr>
            <w:tcW w:w="1190" w:type="pct"/>
            <w:noWrap/>
            <w:vAlign w:val="bottom"/>
          </w:tcPr>
          <w:p w:rsidR="00730B6F" w:rsidRPr="00730B6F" w:rsidRDefault="00730B6F" w:rsidP="0092220A">
            <w:pPr>
              <w:spacing w:before="0" w:after="0"/>
              <w:jc w:val="right"/>
              <w:rPr>
                <w:sz w:val="18"/>
                <w:szCs w:val="18"/>
              </w:rPr>
            </w:pPr>
            <w:r w:rsidRPr="00730B6F">
              <w:rPr>
                <w:sz w:val="18"/>
                <w:szCs w:val="18"/>
              </w:rPr>
              <w:t>[•]</w:t>
            </w:r>
          </w:p>
        </w:tc>
        <w:tc>
          <w:tcPr>
            <w:tcW w:w="987" w:type="pct"/>
            <w:noWrap/>
            <w:vAlign w:val="bottom"/>
          </w:tcPr>
          <w:p w:rsidR="00730B6F" w:rsidRPr="00730B6F" w:rsidRDefault="00730B6F" w:rsidP="0092220A">
            <w:pPr>
              <w:spacing w:before="0" w:after="0"/>
              <w:jc w:val="right"/>
              <w:rPr>
                <w:sz w:val="18"/>
                <w:szCs w:val="18"/>
              </w:rPr>
            </w:pPr>
            <w:r w:rsidRPr="00730B6F">
              <w:rPr>
                <w:sz w:val="18"/>
                <w:szCs w:val="18"/>
              </w:rPr>
              <w:t>[•]%</w:t>
            </w:r>
          </w:p>
        </w:tc>
      </w:tr>
      <w:tr w:rsidR="00730B6F" w:rsidRPr="00730B6F" w:rsidTr="00730B6F">
        <w:trPr>
          <w:trHeight w:val="255"/>
          <w:jc w:val="center"/>
        </w:trPr>
        <w:tc>
          <w:tcPr>
            <w:tcW w:w="2823" w:type="pct"/>
            <w:noWrap/>
            <w:vAlign w:val="bottom"/>
          </w:tcPr>
          <w:p w:rsidR="00730B6F" w:rsidRPr="00730B6F" w:rsidRDefault="00730B6F" w:rsidP="0092220A">
            <w:pPr>
              <w:spacing w:before="0" w:after="0"/>
              <w:jc w:val="left"/>
              <w:rPr>
                <w:sz w:val="18"/>
                <w:szCs w:val="18"/>
              </w:rPr>
            </w:pPr>
            <w:r w:rsidRPr="00730B6F">
              <w:rPr>
                <w:sz w:val="18"/>
                <w:szCs w:val="18"/>
              </w:rPr>
              <w:lastRenderedPageBreak/>
              <w:t>Hilde Laga</w:t>
            </w:r>
          </w:p>
        </w:tc>
        <w:tc>
          <w:tcPr>
            <w:tcW w:w="1190" w:type="pct"/>
            <w:noWrap/>
            <w:vAlign w:val="bottom"/>
          </w:tcPr>
          <w:p w:rsidR="00730B6F" w:rsidRPr="00730B6F" w:rsidRDefault="00730B6F" w:rsidP="0092220A">
            <w:pPr>
              <w:spacing w:before="0" w:after="0"/>
              <w:jc w:val="right"/>
              <w:rPr>
                <w:sz w:val="18"/>
                <w:szCs w:val="18"/>
              </w:rPr>
            </w:pPr>
            <w:r w:rsidRPr="00730B6F">
              <w:rPr>
                <w:sz w:val="18"/>
                <w:szCs w:val="18"/>
              </w:rPr>
              <w:t>[•]</w:t>
            </w:r>
          </w:p>
        </w:tc>
        <w:tc>
          <w:tcPr>
            <w:tcW w:w="987" w:type="pct"/>
            <w:noWrap/>
            <w:vAlign w:val="bottom"/>
          </w:tcPr>
          <w:p w:rsidR="00730B6F" w:rsidRPr="00730B6F" w:rsidRDefault="00730B6F" w:rsidP="0092220A">
            <w:pPr>
              <w:spacing w:before="0" w:after="0"/>
              <w:jc w:val="right"/>
              <w:rPr>
                <w:sz w:val="18"/>
                <w:szCs w:val="18"/>
              </w:rPr>
            </w:pPr>
            <w:r w:rsidRPr="00730B6F">
              <w:rPr>
                <w:sz w:val="18"/>
                <w:szCs w:val="18"/>
              </w:rPr>
              <w:t>[•]%</w:t>
            </w:r>
          </w:p>
        </w:tc>
      </w:tr>
      <w:tr w:rsidR="00730B6F" w:rsidRPr="00730B6F" w:rsidTr="00730B6F">
        <w:trPr>
          <w:trHeight w:val="255"/>
          <w:jc w:val="center"/>
        </w:trPr>
        <w:tc>
          <w:tcPr>
            <w:tcW w:w="2823" w:type="pct"/>
            <w:noWrap/>
            <w:vAlign w:val="bottom"/>
          </w:tcPr>
          <w:p w:rsidR="00730B6F" w:rsidRPr="00730B6F" w:rsidRDefault="00730B6F" w:rsidP="0092220A">
            <w:pPr>
              <w:spacing w:before="0" w:after="0"/>
              <w:jc w:val="left"/>
              <w:rPr>
                <w:sz w:val="18"/>
                <w:szCs w:val="18"/>
              </w:rPr>
            </w:pPr>
            <w:r w:rsidRPr="00730B6F">
              <w:rPr>
                <w:sz w:val="18"/>
                <w:szCs w:val="18"/>
              </w:rPr>
              <w:t>BVBA Ardiego</w:t>
            </w:r>
            <w:r w:rsidRPr="00730B6F">
              <w:rPr>
                <w:sz w:val="18"/>
                <w:szCs w:val="18"/>
              </w:rPr>
              <w:br/>
              <w:t>p.r. by Mr Arthur Goethals</w:t>
            </w:r>
          </w:p>
        </w:tc>
        <w:tc>
          <w:tcPr>
            <w:tcW w:w="1190" w:type="pct"/>
            <w:noWrap/>
            <w:vAlign w:val="bottom"/>
          </w:tcPr>
          <w:p w:rsidR="00730B6F" w:rsidRPr="00730B6F" w:rsidRDefault="00730B6F" w:rsidP="0092220A">
            <w:pPr>
              <w:spacing w:before="0" w:after="0"/>
              <w:jc w:val="right"/>
              <w:rPr>
                <w:sz w:val="18"/>
                <w:szCs w:val="18"/>
              </w:rPr>
            </w:pPr>
            <w:r w:rsidRPr="00730B6F">
              <w:rPr>
                <w:sz w:val="18"/>
                <w:szCs w:val="18"/>
              </w:rPr>
              <w:t>[•]</w:t>
            </w:r>
          </w:p>
        </w:tc>
        <w:tc>
          <w:tcPr>
            <w:tcW w:w="987" w:type="pct"/>
            <w:noWrap/>
            <w:vAlign w:val="bottom"/>
          </w:tcPr>
          <w:p w:rsidR="00730B6F" w:rsidRPr="00730B6F" w:rsidRDefault="00730B6F" w:rsidP="0092220A">
            <w:pPr>
              <w:spacing w:before="0" w:after="0"/>
              <w:jc w:val="right"/>
              <w:rPr>
                <w:sz w:val="18"/>
                <w:szCs w:val="18"/>
              </w:rPr>
            </w:pPr>
            <w:r w:rsidRPr="00730B6F">
              <w:rPr>
                <w:sz w:val="18"/>
                <w:szCs w:val="18"/>
              </w:rPr>
              <w:t>[•]%</w:t>
            </w:r>
          </w:p>
        </w:tc>
      </w:tr>
      <w:tr w:rsidR="00730B6F" w:rsidRPr="00730B6F" w:rsidTr="00730B6F">
        <w:trPr>
          <w:trHeight w:val="255"/>
          <w:jc w:val="center"/>
        </w:trPr>
        <w:tc>
          <w:tcPr>
            <w:tcW w:w="2823" w:type="pct"/>
            <w:noWrap/>
            <w:vAlign w:val="bottom"/>
          </w:tcPr>
          <w:p w:rsidR="00730B6F" w:rsidRPr="00730B6F" w:rsidRDefault="00730B6F" w:rsidP="0092220A">
            <w:pPr>
              <w:spacing w:before="0" w:after="0"/>
              <w:jc w:val="left"/>
              <w:rPr>
                <w:sz w:val="18"/>
                <w:szCs w:val="18"/>
              </w:rPr>
            </w:pPr>
            <w:r w:rsidRPr="00730B6F">
              <w:rPr>
                <w:sz w:val="18"/>
                <w:szCs w:val="18"/>
              </w:rPr>
              <w:t>BVBA Bonem</w:t>
            </w:r>
            <w:r w:rsidRPr="00730B6F">
              <w:rPr>
                <w:sz w:val="18"/>
                <w:szCs w:val="18"/>
              </w:rPr>
              <w:br/>
              <w:t>p.r. by Mr Marc Ooms</w:t>
            </w:r>
          </w:p>
        </w:tc>
        <w:tc>
          <w:tcPr>
            <w:tcW w:w="1190" w:type="pct"/>
            <w:noWrap/>
            <w:vAlign w:val="bottom"/>
          </w:tcPr>
          <w:p w:rsidR="00730B6F" w:rsidRPr="00730B6F" w:rsidRDefault="00730B6F" w:rsidP="0092220A">
            <w:pPr>
              <w:spacing w:before="0" w:after="0"/>
              <w:jc w:val="right"/>
              <w:rPr>
                <w:sz w:val="18"/>
                <w:szCs w:val="18"/>
              </w:rPr>
            </w:pPr>
            <w:r w:rsidRPr="00730B6F">
              <w:rPr>
                <w:sz w:val="18"/>
                <w:szCs w:val="18"/>
              </w:rPr>
              <w:t>[•]</w:t>
            </w:r>
          </w:p>
        </w:tc>
        <w:tc>
          <w:tcPr>
            <w:tcW w:w="987" w:type="pct"/>
            <w:noWrap/>
            <w:vAlign w:val="bottom"/>
          </w:tcPr>
          <w:p w:rsidR="00730B6F" w:rsidRPr="00730B6F" w:rsidRDefault="00730B6F" w:rsidP="0092220A">
            <w:pPr>
              <w:spacing w:before="0" w:after="0"/>
              <w:jc w:val="right"/>
              <w:rPr>
                <w:sz w:val="18"/>
                <w:szCs w:val="18"/>
              </w:rPr>
            </w:pPr>
            <w:r w:rsidRPr="00730B6F">
              <w:rPr>
                <w:sz w:val="18"/>
                <w:szCs w:val="18"/>
              </w:rPr>
              <w:t>[•]%</w:t>
            </w:r>
          </w:p>
        </w:tc>
      </w:tr>
      <w:tr w:rsidR="00730B6F" w:rsidRPr="00730B6F" w:rsidTr="00730B6F">
        <w:trPr>
          <w:trHeight w:val="255"/>
          <w:jc w:val="center"/>
        </w:trPr>
        <w:tc>
          <w:tcPr>
            <w:tcW w:w="2823" w:type="pct"/>
            <w:noWrap/>
            <w:vAlign w:val="bottom"/>
          </w:tcPr>
          <w:p w:rsidR="00730B6F" w:rsidRPr="00730B6F" w:rsidRDefault="00730B6F" w:rsidP="0092220A">
            <w:pPr>
              <w:spacing w:before="0" w:after="0"/>
              <w:jc w:val="left"/>
              <w:rPr>
                <w:sz w:val="18"/>
                <w:szCs w:val="18"/>
              </w:rPr>
            </w:pPr>
            <w:r w:rsidRPr="00730B6F">
              <w:rPr>
                <w:sz w:val="18"/>
                <w:szCs w:val="18"/>
              </w:rPr>
              <w:t>Peter Maenhout*</w:t>
            </w:r>
          </w:p>
        </w:tc>
        <w:tc>
          <w:tcPr>
            <w:tcW w:w="1190" w:type="pct"/>
            <w:noWrap/>
            <w:vAlign w:val="bottom"/>
          </w:tcPr>
          <w:p w:rsidR="00730B6F" w:rsidRPr="00730B6F" w:rsidRDefault="00730B6F" w:rsidP="0092220A">
            <w:pPr>
              <w:spacing w:before="0" w:after="0"/>
              <w:jc w:val="right"/>
              <w:rPr>
                <w:sz w:val="18"/>
                <w:szCs w:val="18"/>
              </w:rPr>
            </w:pPr>
            <w:r w:rsidRPr="00730B6F">
              <w:rPr>
                <w:sz w:val="18"/>
                <w:szCs w:val="18"/>
              </w:rPr>
              <w:t>[•]</w:t>
            </w:r>
          </w:p>
        </w:tc>
        <w:tc>
          <w:tcPr>
            <w:tcW w:w="987" w:type="pct"/>
            <w:noWrap/>
            <w:vAlign w:val="bottom"/>
          </w:tcPr>
          <w:p w:rsidR="00730B6F" w:rsidRPr="00730B6F" w:rsidRDefault="00730B6F" w:rsidP="0092220A">
            <w:pPr>
              <w:spacing w:before="0" w:after="0"/>
              <w:jc w:val="right"/>
              <w:rPr>
                <w:sz w:val="18"/>
                <w:szCs w:val="18"/>
              </w:rPr>
            </w:pPr>
            <w:r w:rsidRPr="00730B6F">
              <w:rPr>
                <w:sz w:val="18"/>
                <w:szCs w:val="18"/>
              </w:rPr>
              <w:t>[•]%</w:t>
            </w:r>
          </w:p>
        </w:tc>
      </w:tr>
      <w:tr w:rsidR="00730B6F" w:rsidRPr="00730B6F" w:rsidTr="00730B6F">
        <w:trPr>
          <w:trHeight w:val="255"/>
          <w:jc w:val="center"/>
        </w:trPr>
        <w:tc>
          <w:tcPr>
            <w:tcW w:w="2823" w:type="pct"/>
            <w:noWrap/>
            <w:vAlign w:val="bottom"/>
          </w:tcPr>
          <w:p w:rsidR="00730B6F" w:rsidRPr="00730B6F" w:rsidRDefault="00730B6F" w:rsidP="0092220A">
            <w:pPr>
              <w:spacing w:before="0" w:after="0"/>
              <w:jc w:val="left"/>
              <w:rPr>
                <w:sz w:val="18"/>
                <w:szCs w:val="18"/>
              </w:rPr>
            </w:pPr>
            <w:r w:rsidRPr="00730B6F">
              <w:rPr>
                <w:sz w:val="18"/>
                <w:szCs w:val="18"/>
              </w:rPr>
              <w:t>Jozef Marc Rosiers</w:t>
            </w:r>
          </w:p>
        </w:tc>
        <w:tc>
          <w:tcPr>
            <w:tcW w:w="1190" w:type="pct"/>
            <w:noWrap/>
            <w:vAlign w:val="bottom"/>
          </w:tcPr>
          <w:p w:rsidR="00730B6F" w:rsidRPr="00730B6F" w:rsidRDefault="00730B6F" w:rsidP="0092220A">
            <w:pPr>
              <w:spacing w:before="0" w:after="0"/>
              <w:jc w:val="right"/>
              <w:rPr>
                <w:sz w:val="18"/>
                <w:szCs w:val="18"/>
              </w:rPr>
            </w:pPr>
            <w:r w:rsidRPr="00730B6F">
              <w:rPr>
                <w:sz w:val="18"/>
                <w:szCs w:val="18"/>
              </w:rPr>
              <w:t>[•]</w:t>
            </w:r>
          </w:p>
        </w:tc>
        <w:tc>
          <w:tcPr>
            <w:tcW w:w="987" w:type="pct"/>
            <w:noWrap/>
            <w:vAlign w:val="bottom"/>
          </w:tcPr>
          <w:p w:rsidR="00730B6F" w:rsidRPr="00730B6F" w:rsidRDefault="00730B6F" w:rsidP="0092220A">
            <w:pPr>
              <w:spacing w:before="0" w:after="0"/>
              <w:jc w:val="right"/>
              <w:rPr>
                <w:sz w:val="18"/>
                <w:szCs w:val="18"/>
              </w:rPr>
            </w:pPr>
            <w:r w:rsidRPr="00730B6F">
              <w:rPr>
                <w:sz w:val="18"/>
                <w:szCs w:val="18"/>
              </w:rPr>
              <w:t>[•]%</w:t>
            </w:r>
          </w:p>
        </w:tc>
      </w:tr>
      <w:tr w:rsidR="00730B6F" w:rsidRPr="00730B6F" w:rsidTr="00730B6F">
        <w:trPr>
          <w:trHeight w:val="255"/>
          <w:jc w:val="center"/>
        </w:trPr>
        <w:tc>
          <w:tcPr>
            <w:tcW w:w="2823" w:type="pct"/>
            <w:noWrap/>
            <w:vAlign w:val="bottom"/>
          </w:tcPr>
          <w:p w:rsidR="00730B6F" w:rsidRPr="00730B6F" w:rsidRDefault="00B95C66" w:rsidP="0092220A">
            <w:pPr>
              <w:spacing w:before="0" w:after="0"/>
              <w:jc w:val="left"/>
              <w:rPr>
                <w:sz w:val="18"/>
                <w:szCs w:val="18"/>
              </w:rPr>
            </w:pPr>
            <w:r>
              <w:rPr>
                <w:sz w:val="18"/>
                <w:szCs w:val="18"/>
              </w:rPr>
              <w:t>Peter Gain</w:t>
            </w:r>
          </w:p>
        </w:tc>
        <w:tc>
          <w:tcPr>
            <w:tcW w:w="1190" w:type="pct"/>
            <w:noWrap/>
            <w:vAlign w:val="bottom"/>
          </w:tcPr>
          <w:p w:rsidR="00730B6F" w:rsidRPr="00730B6F" w:rsidRDefault="00730B6F" w:rsidP="0092220A">
            <w:pPr>
              <w:spacing w:before="0" w:after="0"/>
              <w:jc w:val="right"/>
              <w:rPr>
                <w:sz w:val="18"/>
                <w:szCs w:val="18"/>
              </w:rPr>
            </w:pPr>
            <w:r w:rsidRPr="00730B6F">
              <w:rPr>
                <w:sz w:val="18"/>
                <w:szCs w:val="18"/>
              </w:rPr>
              <w:t>[•]</w:t>
            </w:r>
          </w:p>
        </w:tc>
        <w:tc>
          <w:tcPr>
            <w:tcW w:w="987" w:type="pct"/>
            <w:noWrap/>
            <w:vAlign w:val="bottom"/>
          </w:tcPr>
          <w:p w:rsidR="00730B6F" w:rsidRPr="00730B6F" w:rsidRDefault="00730B6F" w:rsidP="0092220A">
            <w:pPr>
              <w:spacing w:before="0" w:after="0"/>
              <w:jc w:val="right"/>
              <w:rPr>
                <w:sz w:val="18"/>
                <w:szCs w:val="18"/>
              </w:rPr>
            </w:pPr>
            <w:r w:rsidRPr="00730B6F">
              <w:rPr>
                <w:sz w:val="18"/>
                <w:szCs w:val="18"/>
              </w:rPr>
              <w:t>[•]%</w:t>
            </w:r>
          </w:p>
        </w:tc>
      </w:tr>
      <w:tr w:rsidR="00730B6F" w:rsidRPr="00730B6F" w:rsidTr="00730B6F">
        <w:trPr>
          <w:trHeight w:val="255"/>
          <w:jc w:val="center"/>
        </w:trPr>
        <w:tc>
          <w:tcPr>
            <w:tcW w:w="2823" w:type="pct"/>
            <w:noWrap/>
            <w:vAlign w:val="bottom"/>
          </w:tcPr>
          <w:p w:rsidR="00730B6F" w:rsidRPr="00730B6F" w:rsidRDefault="00730B6F" w:rsidP="0092220A">
            <w:pPr>
              <w:spacing w:before="0" w:after="0"/>
              <w:jc w:val="left"/>
              <w:rPr>
                <w:sz w:val="18"/>
                <w:szCs w:val="18"/>
              </w:rPr>
            </w:pPr>
            <w:r w:rsidRPr="00730B6F">
              <w:rPr>
                <w:sz w:val="18"/>
                <w:szCs w:val="18"/>
              </w:rPr>
              <w:t>Tom Borman*</w:t>
            </w:r>
          </w:p>
        </w:tc>
        <w:tc>
          <w:tcPr>
            <w:tcW w:w="1190" w:type="pct"/>
            <w:noWrap/>
            <w:vAlign w:val="bottom"/>
          </w:tcPr>
          <w:p w:rsidR="00730B6F" w:rsidRPr="00730B6F" w:rsidRDefault="00730B6F" w:rsidP="0092220A">
            <w:pPr>
              <w:spacing w:before="0" w:after="0"/>
              <w:jc w:val="right"/>
              <w:rPr>
                <w:sz w:val="18"/>
                <w:szCs w:val="18"/>
              </w:rPr>
            </w:pPr>
            <w:r w:rsidRPr="00730B6F">
              <w:rPr>
                <w:sz w:val="18"/>
                <w:szCs w:val="18"/>
              </w:rPr>
              <w:t>[•]</w:t>
            </w:r>
          </w:p>
        </w:tc>
        <w:tc>
          <w:tcPr>
            <w:tcW w:w="987" w:type="pct"/>
            <w:noWrap/>
            <w:vAlign w:val="bottom"/>
          </w:tcPr>
          <w:p w:rsidR="00730B6F" w:rsidRPr="00730B6F" w:rsidRDefault="00730B6F" w:rsidP="0092220A">
            <w:pPr>
              <w:spacing w:before="0" w:after="0"/>
              <w:jc w:val="right"/>
              <w:rPr>
                <w:sz w:val="18"/>
                <w:szCs w:val="18"/>
              </w:rPr>
            </w:pPr>
            <w:r w:rsidRPr="00730B6F">
              <w:rPr>
                <w:sz w:val="18"/>
                <w:szCs w:val="18"/>
              </w:rPr>
              <w:t>[•]%</w:t>
            </w:r>
          </w:p>
        </w:tc>
      </w:tr>
      <w:tr w:rsidR="00730B6F" w:rsidRPr="00730B6F" w:rsidTr="00730B6F">
        <w:trPr>
          <w:trHeight w:val="255"/>
          <w:jc w:val="center"/>
        </w:trPr>
        <w:tc>
          <w:tcPr>
            <w:tcW w:w="2823" w:type="pct"/>
            <w:noWrap/>
            <w:vAlign w:val="bottom"/>
          </w:tcPr>
          <w:p w:rsidR="00730B6F" w:rsidRPr="00730B6F" w:rsidRDefault="00730B6F" w:rsidP="0092220A">
            <w:pPr>
              <w:spacing w:before="0" w:after="0"/>
              <w:jc w:val="left"/>
              <w:rPr>
                <w:sz w:val="18"/>
                <w:szCs w:val="18"/>
              </w:rPr>
            </w:pPr>
            <w:r w:rsidRPr="00730B6F">
              <w:rPr>
                <w:sz w:val="18"/>
                <w:szCs w:val="18"/>
              </w:rPr>
              <w:t>BVBA Mavac</w:t>
            </w:r>
            <w:r w:rsidRPr="00730B6F">
              <w:rPr>
                <w:sz w:val="18"/>
                <w:szCs w:val="18"/>
              </w:rPr>
              <w:br/>
              <w:t>p.r. by Ms Marleen Vaesen</w:t>
            </w:r>
          </w:p>
        </w:tc>
        <w:tc>
          <w:tcPr>
            <w:tcW w:w="1190" w:type="pct"/>
            <w:noWrap/>
            <w:vAlign w:val="bottom"/>
          </w:tcPr>
          <w:p w:rsidR="00730B6F" w:rsidRPr="00730B6F" w:rsidRDefault="00730B6F" w:rsidP="0092220A">
            <w:pPr>
              <w:spacing w:before="0" w:after="0"/>
              <w:jc w:val="right"/>
              <w:rPr>
                <w:sz w:val="18"/>
                <w:szCs w:val="18"/>
              </w:rPr>
            </w:pPr>
            <w:r w:rsidRPr="00730B6F">
              <w:rPr>
                <w:sz w:val="18"/>
                <w:szCs w:val="18"/>
              </w:rPr>
              <w:t>[•]</w:t>
            </w:r>
          </w:p>
        </w:tc>
        <w:tc>
          <w:tcPr>
            <w:tcW w:w="987" w:type="pct"/>
            <w:noWrap/>
            <w:vAlign w:val="bottom"/>
          </w:tcPr>
          <w:p w:rsidR="00730B6F" w:rsidRPr="00730B6F" w:rsidRDefault="00730B6F" w:rsidP="0092220A">
            <w:pPr>
              <w:spacing w:before="0" w:after="0"/>
              <w:jc w:val="right"/>
              <w:rPr>
                <w:sz w:val="18"/>
                <w:szCs w:val="18"/>
              </w:rPr>
            </w:pPr>
            <w:r w:rsidRPr="00730B6F">
              <w:rPr>
                <w:sz w:val="18"/>
                <w:szCs w:val="18"/>
              </w:rPr>
              <w:t>[•]%</w:t>
            </w:r>
          </w:p>
        </w:tc>
      </w:tr>
      <w:tr w:rsidR="00730B6F" w:rsidRPr="00730B6F" w:rsidTr="00730B6F">
        <w:trPr>
          <w:trHeight w:val="255"/>
          <w:jc w:val="center"/>
        </w:trPr>
        <w:tc>
          <w:tcPr>
            <w:tcW w:w="2823" w:type="pct"/>
            <w:noWrap/>
            <w:vAlign w:val="bottom"/>
          </w:tcPr>
          <w:p w:rsidR="00730B6F" w:rsidRPr="00730B6F" w:rsidRDefault="00730B6F" w:rsidP="0092220A">
            <w:pPr>
              <w:spacing w:before="0" w:after="0"/>
              <w:jc w:val="left"/>
              <w:rPr>
                <w:sz w:val="18"/>
                <w:szCs w:val="18"/>
              </w:rPr>
            </w:pPr>
            <w:r w:rsidRPr="00730B6F">
              <w:rPr>
                <w:sz w:val="18"/>
                <w:szCs w:val="18"/>
              </w:rPr>
              <w:t>BVBA Argalix</w:t>
            </w:r>
          </w:p>
          <w:p w:rsidR="00730B6F" w:rsidRPr="00730B6F" w:rsidRDefault="00B95C66" w:rsidP="0092220A">
            <w:pPr>
              <w:spacing w:before="0" w:after="0"/>
              <w:jc w:val="left"/>
              <w:rPr>
                <w:sz w:val="18"/>
                <w:szCs w:val="18"/>
              </w:rPr>
            </w:pPr>
            <w:r>
              <w:rPr>
                <w:sz w:val="18"/>
                <w:szCs w:val="18"/>
              </w:rPr>
              <w:t xml:space="preserve">p.r. </w:t>
            </w:r>
            <w:r w:rsidR="00105E1E">
              <w:rPr>
                <w:sz w:val="18"/>
                <w:szCs w:val="18"/>
              </w:rPr>
              <w:t xml:space="preserve">by </w:t>
            </w:r>
            <w:r w:rsidR="00730B6F" w:rsidRPr="00730B6F">
              <w:rPr>
                <w:sz w:val="18"/>
                <w:szCs w:val="18"/>
              </w:rPr>
              <w:t>Francis Kint</w:t>
            </w:r>
          </w:p>
        </w:tc>
        <w:tc>
          <w:tcPr>
            <w:tcW w:w="1190" w:type="pct"/>
            <w:noWrap/>
            <w:vAlign w:val="bottom"/>
          </w:tcPr>
          <w:p w:rsidR="00730B6F" w:rsidRPr="00730B6F" w:rsidRDefault="00730B6F" w:rsidP="0092220A">
            <w:pPr>
              <w:spacing w:before="0" w:after="0"/>
              <w:jc w:val="right"/>
              <w:rPr>
                <w:sz w:val="18"/>
                <w:szCs w:val="18"/>
              </w:rPr>
            </w:pPr>
            <w:r w:rsidRPr="00730B6F">
              <w:rPr>
                <w:sz w:val="18"/>
                <w:szCs w:val="18"/>
              </w:rPr>
              <w:t>[•]</w:t>
            </w:r>
          </w:p>
        </w:tc>
        <w:tc>
          <w:tcPr>
            <w:tcW w:w="987" w:type="pct"/>
            <w:noWrap/>
            <w:vAlign w:val="bottom"/>
          </w:tcPr>
          <w:p w:rsidR="00730B6F" w:rsidRPr="00730B6F" w:rsidRDefault="00730B6F" w:rsidP="0092220A">
            <w:pPr>
              <w:spacing w:before="0" w:after="0"/>
              <w:jc w:val="right"/>
              <w:rPr>
                <w:sz w:val="18"/>
                <w:szCs w:val="18"/>
              </w:rPr>
            </w:pPr>
            <w:r w:rsidRPr="00730B6F">
              <w:rPr>
                <w:sz w:val="18"/>
                <w:szCs w:val="18"/>
              </w:rPr>
              <w:t>[•]%</w:t>
            </w:r>
          </w:p>
        </w:tc>
      </w:tr>
      <w:tr w:rsidR="0092220A" w:rsidRPr="00730B6F" w:rsidTr="00730B6F">
        <w:trPr>
          <w:trHeight w:val="255"/>
          <w:jc w:val="center"/>
        </w:trPr>
        <w:tc>
          <w:tcPr>
            <w:tcW w:w="2823" w:type="pct"/>
            <w:noWrap/>
            <w:vAlign w:val="bottom"/>
          </w:tcPr>
          <w:p w:rsidR="0092220A" w:rsidRPr="00730B6F" w:rsidRDefault="0092220A" w:rsidP="0092220A">
            <w:pPr>
              <w:spacing w:before="0" w:after="0"/>
              <w:jc w:val="left"/>
              <w:rPr>
                <w:sz w:val="18"/>
                <w:szCs w:val="18"/>
              </w:rPr>
            </w:pPr>
            <w:r w:rsidRPr="00730B6F">
              <w:rPr>
                <w:sz w:val="18"/>
                <w:szCs w:val="18"/>
              </w:rPr>
              <w:t>BVBA Management Deprez</w:t>
            </w:r>
            <w:r w:rsidRPr="00730B6F">
              <w:rPr>
                <w:sz w:val="18"/>
                <w:szCs w:val="18"/>
              </w:rPr>
              <w:br/>
              <w:t>p.r. by Mevr. Veerle Deprez</w:t>
            </w:r>
          </w:p>
        </w:tc>
        <w:tc>
          <w:tcPr>
            <w:tcW w:w="1190" w:type="pct"/>
            <w:noWrap/>
            <w:vAlign w:val="bottom"/>
          </w:tcPr>
          <w:p w:rsidR="0092220A" w:rsidRPr="00730B6F" w:rsidRDefault="0092220A" w:rsidP="0092220A">
            <w:pPr>
              <w:spacing w:before="0" w:after="0"/>
              <w:jc w:val="right"/>
              <w:rPr>
                <w:sz w:val="18"/>
                <w:szCs w:val="18"/>
              </w:rPr>
            </w:pPr>
            <w:r w:rsidRPr="00730B6F">
              <w:rPr>
                <w:sz w:val="18"/>
                <w:szCs w:val="18"/>
              </w:rPr>
              <w:t>[•]</w:t>
            </w:r>
          </w:p>
        </w:tc>
        <w:tc>
          <w:tcPr>
            <w:tcW w:w="987" w:type="pct"/>
            <w:noWrap/>
            <w:vAlign w:val="bottom"/>
          </w:tcPr>
          <w:p w:rsidR="0092220A" w:rsidRPr="00730B6F" w:rsidRDefault="0092220A" w:rsidP="0092220A">
            <w:pPr>
              <w:spacing w:before="0" w:after="0"/>
              <w:jc w:val="right"/>
              <w:rPr>
                <w:sz w:val="18"/>
                <w:szCs w:val="18"/>
              </w:rPr>
            </w:pPr>
            <w:r w:rsidRPr="00730B6F">
              <w:rPr>
                <w:sz w:val="18"/>
                <w:szCs w:val="18"/>
              </w:rPr>
              <w:t>[•]%</w:t>
            </w:r>
          </w:p>
        </w:tc>
      </w:tr>
      <w:tr w:rsidR="0092220A" w:rsidRPr="00730B6F" w:rsidTr="00730B6F">
        <w:trPr>
          <w:trHeight w:val="255"/>
          <w:jc w:val="center"/>
        </w:trPr>
        <w:tc>
          <w:tcPr>
            <w:tcW w:w="2823" w:type="pct"/>
            <w:noWrap/>
            <w:vAlign w:val="bottom"/>
          </w:tcPr>
          <w:p w:rsidR="0092220A" w:rsidRPr="00730B6F" w:rsidRDefault="0092220A" w:rsidP="0092220A">
            <w:pPr>
              <w:spacing w:before="0" w:after="0"/>
              <w:jc w:val="left"/>
              <w:rPr>
                <w:sz w:val="18"/>
                <w:szCs w:val="18"/>
              </w:rPr>
            </w:pPr>
            <w:r w:rsidRPr="00730B6F">
              <w:rPr>
                <w:sz w:val="18"/>
                <w:szCs w:val="18"/>
              </w:rPr>
              <w:t>Charles-Henri Deprez</w:t>
            </w:r>
          </w:p>
        </w:tc>
        <w:tc>
          <w:tcPr>
            <w:tcW w:w="1190" w:type="pct"/>
            <w:noWrap/>
            <w:vAlign w:val="bottom"/>
          </w:tcPr>
          <w:p w:rsidR="0092220A" w:rsidRPr="00730B6F" w:rsidRDefault="0092220A" w:rsidP="0092220A">
            <w:pPr>
              <w:spacing w:before="0" w:after="0"/>
              <w:jc w:val="right"/>
              <w:rPr>
                <w:sz w:val="18"/>
                <w:szCs w:val="18"/>
              </w:rPr>
            </w:pPr>
            <w:r w:rsidRPr="00730B6F">
              <w:rPr>
                <w:sz w:val="18"/>
                <w:szCs w:val="18"/>
              </w:rPr>
              <w:t>[•]</w:t>
            </w:r>
          </w:p>
        </w:tc>
        <w:tc>
          <w:tcPr>
            <w:tcW w:w="987" w:type="pct"/>
            <w:noWrap/>
            <w:vAlign w:val="bottom"/>
          </w:tcPr>
          <w:p w:rsidR="0092220A" w:rsidRPr="00730B6F" w:rsidRDefault="0092220A" w:rsidP="0092220A">
            <w:pPr>
              <w:spacing w:before="0" w:after="0"/>
              <w:jc w:val="right"/>
              <w:rPr>
                <w:sz w:val="18"/>
                <w:szCs w:val="18"/>
              </w:rPr>
            </w:pPr>
            <w:r w:rsidRPr="00730B6F">
              <w:rPr>
                <w:sz w:val="18"/>
                <w:szCs w:val="18"/>
              </w:rPr>
              <w:t>[•]%</w:t>
            </w:r>
          </w:p>
        </w:tc>
      </w:tr>
      <w:tr w:rsidR="0092220A" w:rsidRPr="00730B6F" w:rsidTr="00730B6F">
        <w:trPr>
          <w:trHeight w:val="255"/>
          <w:jc w:val="center"/>
        </w:trPr>
        <w:tc>
          <w:tcPr>
            <w:tcW w:w="2823" w:type="pct"/>
            <w:noWrap/>
            <w:vAlign w:val="bottom"/>
          </w:tcPr>
          <w:p w:rsidR="0092220A" w:rsidRPr="0092220A" w:rsidRDefault="0092220A" w:rsidP="0092220A">
            <w:pPr>
              <w:spacing w:before="0" w:after="0"/>
              <w:jc w:val="left"/>
              <w:rPr>
                <w:sz w:val="18"/>
                <w:szCs w:val="18"/>
              </w:rPr>
            </w:pPr>
            <w:r w:rsidRPr="0092220A">
              <w:rPr>
                <w:sz w:val="18"/>
                <w:szCs w:val="18"/>
              </w:rPr>
              <w:t>BVBA Intal</w:t>
            </w:r>
          </w:p>
          <w:p w:rsidR="0092220A" w:rsidRPr="00730B6F" w:rsidRDefault="00B95C66" w:rsidP="0092220A">
            <w:pPr>
              <w:spacing w:before="0" w:after="0"/>
              <w:jc w:val="left"/>
              <w:rPr>
                <w:sz w:val="18"/>
                <w:szCs w:val="18"/>
              </w:rPr>
            </w:pPr>
            <w:r>
              <w:rPr>
                <w:sz w:val="18"/>
                <w:szCs w:val="18"/>
              </w:rPr>
              <w:t xml:space="preserve">p.r. </w:t>
            </w:r>
            <w:r w:rsidR="00105E1E">
              <w:rPr>
                <w:sz w:val="18"/>
                <w:szCs w:val="18"/>
              </w:rPr>
              <w:t xml:space="preserve">by </w:t>
            </w:r>
            <w:r w:rsidR="0092220A" w:rsidRPr="0092220A">
              <w:rPr>
                <w:sz w:val="18"/>
                <w:szCs w:val="18"/>
              </w:rPr>
              <w:t xml:space="preserve">Johan </w:t>
            </w:r>
            <w:r w:rsidR="000115E1">
              <w:rPr>
                <w:sz w:val="18"/>
                <w:szCs w:val="18"/>
              </w:rPr>
              <w:t>Vanoven</w:t>
            </w:r>
            <w:r w:rsidR="0092220A" w:rsidRPr="0092220A">
              <w:rPr>
                <w:sz w:val="18"/>
                <w:szCs w:val="18"/>
              </w:rPr>
              <w:t>berghe</w:t>
            </w:r>
          </w:p>
        </w:tc>
        <w:tc>
          <w:tcPr>
            <w:tcW w:w="1190" w:type="pct"/>
            <w:noWrap/>
            <w:vAlign w:val="bottom"/>
          </w:tcPr>
          <w:p w:rsidR="0092220A" w:rsidRPr="00730B6F" w:rsidRDefault="0092220A" w:rsidP="0092220A">
            <w:pPr>
              <w:spacing w:before="0" w:after="0"/>
              <w:jc w:val="right"/>
              <w:rPr>
                <w:sz w:val="18"/>
                <w:szCs w:val="18"/>
              </w:rPr>
            </w:pPr>
            <w:r w:rsidRPr="0092220A">
              <w:rPr>
                <w:sz w:val="18"/>
                <w:szCs w:val="18"/>
              </w:rPr>
              <w:t>159</w:t>
            </w:r>
            <w:r>
              <w:rPr>
                <w:sz w:val="18"/>
                <w:szCs w:val="18"/>
              </w:rPr>
              <w:t>,</w:t>
            </w:r>
            <w:r w:rsidRPr="0092220A">
              <w:rPr>
                <w:sz w:val="18"/>
                <w:szCs w:val="18"/>
              </w:rPr>
              <w:t>209</w:t>
            </w:r>
            <w:r>
              <w:rPr>
                <w:sz w:val="18"/>
                <w:szCs w:val="18"/>
              </w:rPr>
              <w:t>*</w:t>
            </w:r>
          </w:p>
        </w:tc>
        <w:tc>
          <w:tcPr>
            <w:tcW w:w="987" w:type="pct"/>
            <w:noWrap/>
            <w:vAlign w:val="bottom"/>
          </w:tcPr>
          <w:p w:rsidR="0092220A" w:rsidRPr="00730B6F" w:rsidRDefault="0092220A" w:rsidP="0092220A">
            <w:pPr>
              <w:spacing w:before="0" w:after="0"/>
              <w:jc w:val="right"/>
              <w:rPr>
                <w:sz w:val="18"/>
                <w:szCs w:val="18"/>
              </w:rPr>
            </w:pPr>
          </w:p>
        </w:tc>
      </w:tr>
      <w:tr w:rsidR="00730B6F" w:rsidRPr="00730B6F" w:rsidTr="00730B6F">
        <w:trPr>
          <w:trHeight w:val="255"/>
          <w:jc w:val="center"/>
        </w:trPr>
        <w:tc>
          <w:tcPr>
            <w:tcW w:w="2823" w:type="pct"/>
            <w:noWrap/>
            <w:vAlign w:val="bottom"/>
          </w:tcPr>
          <w:p w:rsidR="00730B6F" w:rsidRPr="00730B6F" w:rsidRDefault="00730B6F" w:rsidP="0092220A">
            <w:pPr>
              <w:tabs>
                <w:tab w:val="right" w:leader="dot" w:pos="4111"/>
              </w:tabs>
              <w:spacing w:before="0" w:after="0"/>
              <w:rPr>
                <w:sz w:val="18"/>
                <w:szCs w:val="18"/>
              </w:rPr>
            </w:pPr>
          </w:p>
        </w:tc>
        <w:tc>
          <w:tcPr>
            <w:tcW w:w="1190" w:type="pct"/>
            <w:noWrap/>
            <w:vAlign w:val="bottom"/>
          </w:tcPr>
          <w:p w:rsidR="00730B6F" w:rsidRPr="00730B6F" w:rsidRDefault="00730B6F" w:rsidP="0092220A">
            <w:pPr>
              <w:spacing w:before="0" w:after="0"/>
              <w:jc w:val="right"/>
              <w:rPr>
                <w:sz w:val="18"/>
                <w:szCs w:val="18"/>
              </w:rPr>
            </w:pPr>
          </w:p>
        </w:tc>
        <w:tc>
          <w:tcPr>
            <w:tcW w:w="987" w:type="pct"/>
            <w:noWrap/>
            <w:vAlign w:val="bottom"/>
          </w:tcPr>
          <w:p w:rsidR="00730B6F" w:rsidRPr="00730B6F" w:rsidRDefault="00730B6F" w:rsidP="0092220A">
            <w:pPr>
              <w:spacing w:before="0" w:after="0"/>
              <w:jc w:val="right"/>
              <w:rPr>
                <w:sz w:val="18"/>
                <w:szCs w:val="18"/>
              </w:rPr>
            </w:pPr>
          </w:p>
        </w:tc>
      </w:tr>
      <w:tr w:rsidR="00730B6F" w:rsidRPr="00730B6F" w:rsidTr="00730B6F">
        <w:trPr>
          <w:trHeight w:val="255"/>
          <w:jc w:val="center"/>
        </w:trPr>
        <w:tc>
          <w:tcPr>
            <w:tcW w:w="2823" w:type="pct"/>
            <w:noWrap/>
            <w:vAlign w:val="bottom"/>
          </w:tcPr>
          <w:p w:rsidR="00730B6F" w:rsidRPr="00730B6F" w:rsidRDefault="00730B6F" w:rsidP="0092220A">
            <w:pPr>
              <w:tabs>
                <w:tab w:val="right" w:leader="dot" w:pos="4111"/>
              </w:tabs>
              <w:spacing w:before="0" w:after="0"/>
              <w:rPr>
                <w:b/>
                <w:bCs/>
                <w:sz w:val="18"/>
                <w:szCs w:val="18"/>
              </w:rPr>
            </w:pPr>
            <w:r w:rsidRPr="00730B6F">
              <w:rPr>
                <w:b/>
                <w:bCs/>
                <w:sz w:val="18"/>
                <w:szCs w:val="18"/>
              </w:rPr>
              <w:t>Total</w:t>
            </w:r>
            <w:r w:rsidRPr="00730B6F">
              <w:rPr>
                <w:bCs/>
                <w:sz w:val="18"/>
                <w:szCs w:val="18"/>
              </w:rPr>
              <w:tab/>
            </w:r>
          </w:p>
        </w:tc>
        <w:tc>
          <w:tcPr>
            <w:tcW w:w="1190" w:type="pct"/>
            <w:noWrap/>
            <w:vAlign w:val="bottom"/>
          </w:tcPr>
          <w:p w:rsidR="00730B6F" w:rsidRPr="00730B6F" w:rsidRDefault="00730B6F" w:rsidP="0092220A">
            <w:pPr>
              <w:spacing w:before="0" w:after="0"/>
              <w:jc w:val="right"/>
              <w:rPr>
                <w:b/>
                <w:sz w:val="18"/>
                <w:szCs w:val="18"/>
              </w:rPr>
            </w:pPr>
            <w:r w:rsidRPr="00730B6F">
              <w:rPr>
                <w:b/>
                <w:sz w:val="18"/>
                <w:szCs w:val="18"/>
              </w:rPr>
              <w:t>[•]</w:t>
            </w:r>
          </w:p>
        </w:tc>
        <w:tc>
          <w:tcPr>
            <w:tcW w:w="987" w:type="pct"/>
            <w:noWrap/>
            <w:vAlign w:val="bottom"/>
          </w:tcPr>
          <w:p w:rsidR="00730B6F" w:rsidRPr="00730B6F" w:rsidRDefault="00730B6F" w:rsidP="0092220A">
            <w:pPr>
              <w:spacing w:before="0" w:after="0"/>
              <w:jc w:val="right"/>
              <w:rPr>
                <w:sz w:val="18"/>
                <w:szCs w:val="18"/>
              </w:rPr>
            </w:pPr>
            <w:r w:rsidRPr="00730B6F">
              <w:rPr>
                <w:sz w:val="18"/>
                <w:szCs w:val="18"/>
              </w:rPr>
              <w:t>[•]%</w:t>
            </w:r>
          </w:p>
        </w:tc>
      </w:tr>
    </w:tbl>
    <w:p w:rsidR="00730B6F" w:rsidRPr="0092220A" w:rsidRDefault="0092220A" w:rsidP="003F0BC5">
      <w:pPr>
        <w:rPr>
          <w:i/>
          <w:szCs w:val="20"/>
        </w:rPr>
      </w:pPr>
      <w:r w:rsidRPr="0092220A">
        <w:rPr>
          <w:i/>
          <w:szCs w:val="20"/>
        </w:rPr>
        <w:t xml:space="preserve">* Johan </w:t>
      </w:r>
      <w:r w:rsidR="000115E1">
        <w:rPr>
          <w:i/>
          <w:szCs w:val="20"/>
        </w:rPr>
        <w:t>Vanoven</w:t>
      </w:r>
      <w:r>
        <w:rPr>
          <w:i/>
          <w:szCs w:val="20"/>
        </w:rPr>
        <w:t xml:space="preserve">berghe shall </w:t>
      </w:r>
      <w:r w:rsidR="00345414">
        <w:rPr>
          <w:i/>
          <w:szCs w:val="20"/>
        </w:rPr>
        <w:t>hold</w:t>
      </w:r>
      <w:r>
        <w:rPr>
          <w:i/>
          <w:szCs w:val="20"/>
        </w:rPr>
        <w:t xml:space="preserve"> 136,364 Shares in person and </w:t>
      </w:r>
      <w:r w:rsidRPr="0092220A">
        <w:rPr>
          <w:i/>
          <w:szCs w:val="20"/>
        </w:rPr>
        <w:t>22</w:t>
      </w:r>
      <w:r>
        <w:rPr>
          <w:i/>
          <w:szCs w:val="20"/>
        </w:rPr>
        <w:t>,</w:t>
      </w:r>
      <w:r w:rsidRPr="0092220A">
        <w:rPr>
          <w:i/>
          <w:szCs w:val="20"/>
        </w:rPr>
        <w:t>845</w:t>
      </w:r>
      <w:r>
        <w:rPr>
          <w:i/>
          <w:szCs w:val="20"/>
        </w:rPr>
        <w:t xml:space="preserve"> through BVBA Intal.</w:t>
      </w:r>
    </w:p>
    <w:p w:rsidR="00762140" w:rsidRDefault="003F0BC5" w:rsidP="003F0BC5">
      <w:pPr>
        <w:rPr>
          <w:szCs w:val="20"/>
        </w:rPr>
      </w:pPr>
      <w:r w:rsidRPr="00992199">
        <w:rPr>
          <w:szCs w:val="20"/>
        </w:rPr>
        <w:t xml:space="preserve">Upon completion of the Transactions, the key managers shall own the following shareholding (directly and indirectly) in the Company: </w:t>
      </w:r>
    </w:p>
    <w:tbl>
      <w:tblPr>
        <w:tblW w:w="5000" w:type="pct"/>
        <w:jc w:val="center"/>
        <w:tblLook w:val="0000" w:firstRow="0" w:lastRow="0" w:firstColumn="0" w:lastColumn="0" w:noHBand="0" w:noVBand="0"/>
      </w:tblPr>
      <w:tblGrid>
        <w:gridCol w:w="5220"/>
        <w:gridCol w:w="2200"/>
        <w:gridCol w:w="1825"/>
      </w:tblGrid>
      <w:tr w:rsidR="0092220A" w:rsidRPr="00730B6F" w:rsidTr="0092220A">
        <w:trPr>
          <w:trHeight w:val="255"/>
          <w:jc w:val="center"/>
        </w:trPr>
        <w:tc>
          <w:tcPr>
            <w:tcW w:w="2823" w:type="pct"/>
            <w:noWrap/>
            <w:vAlign w:val="bottom"/>
          </w:tcPr>
          <w:p w:rsidR="0092220A" w:rsidRPr="00730B6F" w:rsidRDefault="0092220A" w:rsidP="0092220A">
            <w:pPr>
              <w:spacing w:before="0" w:after="0"/>
              <w:rPr>
                <w:b/>
                <w:bCs/>
                <w:sz w:val="18"/>
                <w:szCs w:val="18"/>
              </w:rPr>
            </w:pPr>
            <w:r w:rsidRPr="00730B6F">
              <w:rPr>
                <w:b/>
                <w:bCs/>
                <w:sz w:val="18"/>
                <w:szCs w:val="18"/>
              </w:rPr>
              <w:t>Directors shareholding</w:t>
            </w:r>
          </w:p>
        </w:tc>
        <w:tc>
          <w:tcPr>
            <w:tcW w:w="1190" w:type="pct"/>
            <w:vMerge w:val="restart"/>
            <w:vAlign w:val="bottom"/>
          </w:tcPr>
          <w:p w:rsidR="0092220A" w:rsidRPr="00730B6F" w:rsidRDefault="0092220A" w:rsidP="0092220A">
            <w:pPr>
              <w:pBdr>
                <w:bottom w:val="single" w:sz="4" w:space="1" w:color="auto"/>
              </w:pBdr>
              <w:spacing w:before="0" w:after="0"/>
              <w:jc w:val="right"/>
              <w:rPr>
                <w:b/>
                <w:sz w:val="18"/>
                <w:szCs w:val="18"/>
              </w:rPr>
            </w:pPr>
            <w:r w:rsidRPr="00730B6F">
              <w:rPr>
                <w:b/>
                <w:sz w:val="18"/>
                <w:szCs w:val="18"/>
              </w:rPr>
              <w:t>Number of Shares</w:t>
            </w:r>
          </w:p>
        </w:tc>
        <w:tc>
          <w:tcPr>
            <w:tcW w:w="987" w:type="pct"/>
            <w:vMerge w:val="restart"/>
            <w:vAlign w:val="bottom"/>
          </w:tcPr>
          <w:p w:rsidR="0092220A" w:rsidRPr="00730B6F" w:rsidRDefault="0092220A" w:rsidP="0092220A">
            <w:pPr>
              <w:pBdr>
                <w:bottom w:val="single" w:sz="4" w:space="1" w:color="auto"/>
              </w:pBdr>
              <w:spacing w:before="0" w:after="0"/>
              <w:jc w:val="right"/>
              <w:rPr>
                <w:b/>
                <w:sz w:val="18"/>
                <w:szCs w:val="18"/>
              </w:rPr>
            </w:pPr>
            <w:r w:rsidRPr="00730B6F">
              <w:rPr>
                <w:b/>
                <w:sz w:val="18"/>
                <w:szCs w:val="18"/>
              </w:rPr>
              <w:t>% of total share capital of the Company</w:t>
            </w:r>
          </w:p>
        </w:tc>
      </w:tr>
      <w:tr w:rsidR="0092220A" w:rsidRPr="00730B6F" w:rsidTr="0092220A">
        <w:trPr>
          <w:trHeight w:val="255"/>
          <w:jc w:val="center"/>
        </w:trPr>
        <w:tc>
          <w:tcPr>
            <w:tcW w:w="2823" w:type="pct"/>
            <w:noWrap/>
            <w:vAlign w:val="bottom"/>
          </w:tcPr>
          <w:p w:rsidR="0092220A" w:rsidRPr="00730B6F" w:rsidRDefault="0092220A" w:rsidP="0092220A">
            <w:pPr>
              <w:spacing w:before="0" w:after="0"/>
              <w:rPr>
                <w:b/>
                <w:bCs/>
                <w:sz w:val="18"/>
                <w:szCs w:val="18"/>
              </w:rPr>
            </w:pPr>
          </w:p>
        </w:tc>
        <w:tc>
          <w:tcPr>
            <w:tcW w:w="1190" w:type="pct"/>
            <w:vMerge/>
            <w:vAlign w:val="bottom"/>
          </w:tcPr>
          <w:p w:rsidR="0092220A" w:rsidRPr="00730B6F" w:rsidRDefault="0092220A" w:rsidP="0092220A">
            <w:pPr>
              <w:spacing w:before="0" w:after="0"/>
              <w:rPr>
                <w:sz w:val="18"/>
                <w:szCs w:val="18"/>
              </w:rPr>
            </w:pPr>
          </w:p>
        </w:tc>
        <w:tc>
          <w:tcPr>
            <w:tcW w:w="987" w:type="pct"/>
            <w:vMerge/>
            <w:vAlign w:val="bottom"/>
          </w:tcPr>
          <w:p w:rsidR="0092220A" w:rsidRPr="00730B6F" w:rsidRDefault="0092220A" w:rsidP="0092220A">
            <w:pPr>
              <w:spacing w:before="0" w:after="0"/>
              <w:rPr>
                <w:sz w:val="18"/>
                <w:szCs w:val="18"/>
              </w:rPr>
            </w:pPr>
          </w:p>
        </w:tc>
      </w:tr>
      <w:tr w:rsidR="0092220A" w:rsidRPr="00730B6F" w:rsidTr="0092220A">
        <w:trPr>
          <w:trHeight w:val="255"/>
          <w:jc w:val="center"/>
        </w:trPr>
        <w:tc>
          <w:tcPr>
            <w:tcW w:w="2823" w:type="pct"/>
            <w:noWrap/>
            <w:vAlign w:val="bottom"/>
          </w:tcPr>
          <w:p w:rsidR="0092220A" w:rsidRPr="00730B6F" w:rsidRDefault="0092220A" w:rsidP="0092220A">
            <w:pPr>
              <w:spacing w:before="0" w:after="0"/>
              <w:jc w:val="left"/>
              <w:rPr>
                <w:sz w:val="18"/>
                <w:szCs w:val="18"/>
              </w:rPr>
            </w:pPr>
            <w:r w:rsidRPr="00730B6F">
              <w:rPr>
                <w:sz w:val="18"/>
                <w:szCs w:val="18"/>
              </w:rPr>
              <w:t>[•]</w:t>
            </w:r>
          </w:p>
        </w:tc>
        <w:tc>
          <w:tcPr>
            <w:tcW w:w="1190" w:type="pct"/>
            <w:noWrap/>
            <w:vAlign w:val="bottom"/>
          </w:tcPr>
          <w:p w:rsidR="0092220A" w:rsidRPr="00730B6F" w:rsidRDefault="0092220A" w:rsidP="0092220A">
            <w:pPr>
              <w:spacing w:before="0" w:after="0"/>
              <w:jc w:val="right"/>
              <w:rPr>
                <w:sz w:val="18"/>
                <w:szCs w:val="18"/>
              </w:rPr>
            </w:pPr>
            <w:r w:rsidRPr="00730B6F">
              <w:rPr>
                <w:sz w:val="18"/>
                <w:szCs w:val="18"/>
              </w:rPr>
              <w:t>[•]</w:t>
            </w:r>
          </w:p>
        </w:tc>
        <w:tc>
          <w:tcPr>
            <w:tcW w:w="987" w:type="pct"/>
            <w:noWrap/>
            <w:vAlign w:val="bottom"/>
          </w:tcPr>
          <w:p w:rsidR="0092220A" w:rsidRPr="00730B6F" w:rsidRDefault="0092220A" w:rsidP="0092220A">
            <w:pPr>
              <w:spacing w:before="0" w:after="0"/>
              <w:jc w:val="right"/>
              <w:rPr>
                <w:sz w:val="18"/>
                <w:szCs w:val="18"/>
              </w:rPr>
            </w:pPr>
            <w:r w:rsidRPr="00730B6F">
              <w:rPr>
                <w:sz w:val="18"/>
                <w:szCs w:val="18"/>
              </w:rPr>
              <w:t>[•]%</w:t>
            </w:r>
          </w:p>
        </w:tc>
      </w:tr>
      <w:tr w:rsidR="0092220A" w:rsidRPr="00730B6F" w:rsidTr="0092220A">
        <w:trPr>
          <w:trHeight w:val="255"/>
          <w:jc w:val="center"/>
        </w:trPr>
        <w:tc>
          <w:tcPr>
            <w:tcW w:w="2823" w:type="pct"/>
            <w:noWrap/>
            <w:vAlign w:val="bottom"/>
          </w:tcPr>
          <w:p w:rsidR="0092220A" w:rsidRDefault="0092220A" w:rsidP="0092220A">
            <w:pPr>
              <w:spacing w:before="0" w:after="0"/>
              <w:jc w:val="left"/>
              <w:rPr>
                <w:sz w:val="18"/>
                <w:szCs w:val="18"/>
              </w:rPr>
            </w:pPr>
            <w:r>
              <w:rPr>
                <w:sz w:val="18"/>
                <w:szCs w:val="18"/>
              </w:rPr>
              <w:t>BVBA Sticker Consulting</w:t>
            </w:r>
          </w:p>
          <w:p w:rsidR="0092220A" w:rsidRPr="00730B6F" w:rsidRDefault="0092220A" w:rsidP="0092220A">
            <w:pPr>
              <w:spacing w:before="0" w:after="0"/>
              <w:jc w:val="left"/>
              <w:rPr>
                <w:sz w:val="18"/>
                <w:szCs w:val="18"/>
              </w:rPr>
            </w:pPr>
            <w:r>
              <w:rPr>
                <w:sz w:val="18"/>
                <w:szCs w:val="18"/>
              </w:rPr>
              <w:t>Koen Sticker</w:t>
            </w:r>
          </w:p>
        </w:tc>
        <w:tc>
          <w:tcPr>
            <w:tcW w:w="1190" w:type="pct"/>
            <w:noWrap/>
            <w:vAlign w:val="bottom"/>
          </w:tcPr>
          <w:p w:rsidR="0092220A" w:rsidRPr="00730B6F" w:rsidRDefault="0092220A" w:rsidP="0092220A">
            <w:pPr>
              <w:spacing w:before="0" w:after="0"/>
              <w:jc w:val="right"/>
              <w:rPr>
                <w:sz w:val="18"/>
                <w:szCs w:val="18"/>
              </w:rPr>
            </w:pPr>
            <w:r>
              <w:rPr>
                <w:sz w:val="18"/>
                <w:szCs w:val="18"/>
              </w:rPr>
              <w:t>19,504</w:t>
            </w:r>
          </w:p>
        </w:tc>
        <w:tc>
          <w:tcPr>
            <w:tcW w:w="987" w:type="pct"/>
            <w:noWrap/>
            <w:vAlign w:val="bottom"/>
          </w:tcPr>
          <w:p w:rsidR="0092220A" w:rsidRPr="00730B6F" w:rsidRDefault="0092220A" w:rsidP="0092220A">
            <w:pPr>
              <w:spacing w:before="0" w:after="0"/>
              <w:jc w:val="right"/>
              <w:rPr>
                <w:sz w:val="18"/>
                <w:szCs w:val="18"/>
              </w:rPr>
            </w:pPr>
            <w:r w:rsidRPr="00730B6F">
              <w:rPr>
                <w:sz w:val="18"/>
                <w:szCs w:val="18"/>
              </w:rPr>
              <w:t>[</w:t>
            </w:r>
            <w:r>
              <w:rPr>
                <w:sz w:val="18"/>
                <w:szCs w:val="18"/>
              </w:rPr>
              <w:t>0.04</w:t>
            </w:r>
            <w:r w:rsidRPr="00730B6F">
              <w:rPr>
                <w:sz w:val="18"/>
                <w:szCs w:val="18"/>
              </w:rPr>
              <w:t>]%</w:t>
            </w:r>
          </w:p>
        </w:tc>
      </w:tr>
      <w:tr w:rsidR="0092220A" w:rsidRPr="00730B6F" w:rsidTr="0092220A">
        <w:trPr>
          <w:trHeight w:val="255"/>
          <w:jc w:val="center"/>
        </w:trPr>
        <w:tc>
          <w:tcPr>
            <w:tcW w:w="2823" w:type="pct"/>
            <w:noWrap/>
            <w:vAlign w:val="bottom"/>
          </w:tcPr>
          <w:p w:rsidR="0092220A" w:rsidRPr="00730B6F" w:rsidRDefault="0092220A" w:rsidP="0092220A">
            <w:pPr>
              <w:spacing w:before="0" w:after="0"/>
              <w:jc w:val="left"/>
              <w:rPr>
                <w:sz w:val="18"/>
                <w:szCs w:val="18"/>
              </w:rPr>
            </w:pPr>
            <w:r w:rsidRPr="00730B6F">
              <w:rPr>
                <w:sz w:val="18"/>
                <w:szCs w:val="18"/>
              </w:rPr>
              <w:t>[•]</w:t>
            </w:r>
          </w:p>
        </w:tc>
        <w:tc>
          <w:tcPr>
            <w:tcW w:w="1190" w:type="pct"/>
            <w:noWrap/>
            <w:vAlign w:val="bottom"/>
          </w:tcPr>
          <w:p w:rsidR="0092220A" w:rsidRPr="00730B6F" w:rsidRDefault="0092220A" w:rsidP="0092220A">
            <w:pPr>
              <w:spacing w:before="0" w:after="0"/>
              <w:jc w:val="right"/>
              <w:rPr>
                <w:sz w:val="18"/>
                <w:szCs w:val="18"/>
              </w:rPr>
            </w:pPr>
            <w:r w:rsidRPr="00730B6F">
              <w:rPr>
                <w:sz w:val="18"/>
                <w:szCs w:val="18"/>
              </w:rPr>
              <w:t>[•]</w:t>
            </w:r>
          </w:p>
        </w:tc>
        <w:tc>
          <w:tcPr>
            <w:tcW w:w="987" w:type="pct"/>
            <w:noWrap/>
            <w:vAlign w:val="bottom"/>
          </w:tcPr>
          <w:p w:rsidR="0092220A" w:rsidRPr="00730B6F" w:rsidRDefault="0092220A" w:rsidP="0092220A">
            <w:pPr>
              <w:spacing w:before="0" w:after="0"/>
              <w:jc w:val="right"/>
              <w:rPr>
                <w:sz w:val="18"/>
                <w:szCs w:val="18"/>
              </w:rPr>
            </w:pPr>
            <w:r w:rsidRPr="00730B6F">
              <w:rPr>
                <w:sz w:val="18"/>
                <w:szCs w:val="18"/>
              </w:rPr>
              <w:t>[•]%</w:t>
            </w:r>
          </w:p>
        </w:tc>
      </w:tr>
      <w:tr w:rsidR="0092220A" w:rsidRPr="00730B6F" w:rsidTr="0092220A">
        <w:trPr>
          <w:trHeight w:val="255"/>
          <w:jc w:val="center"/>
        </w:trPr>
        <w:tc>
          <w:tcPr>
            <w:tcW w:w="2823" w:type="pct"/>
            <w:noWrap/>
            <w:vAlign w:val="bottom"/>
          </w:tcPr>
          <w:p w:rsidR="0092220A" w:rsidRPr="00730B6F" w:rsidRDefault="0092220A" w:rsidP="0092220A">
            <w:pPr>
              <w:spacing w:before="0" w:after="0"/>
              <w:jc w:val="left"/>
              <w:rPr>
                <w:sz w:val="18"/>
                <w:szCs w:val="18"/>
              </w:rPr>
            </w:pPr>
            <w:r w:rsidRPr="00730B6F">
              <w:rPr>
                <w:sz w:val="18"/>
                <w:szCs w:val="18"/>
              </w:rPr>
              <w:t>[•]</w:t>
            </w:r>
          </w:p>
        </w:tc>
        <w:tc>
          <w:tcPr>
            <w:tcW w:w="1190" w:type="pct"/>
            <w:noWrap/>
            <w:vAlign w:val="bottom"/>
          </w:tcPr>
          <w:p w:rsidR="0092220A" w:rsidRPr="00730B6F" w:rsidRDefault="0092220A" w:rsidP="0092220A">
            <w:pPr>
              <w:spacing w:before="0" w:after="0"/>
              <w:jc w:val="right"/>
              <w:rPr>
                <w:sz w:val="18"/>
                <w:szCs w:val="18"/>
              </w:rPr>
            </w:pPr>
            <w:r w:rsidRPr="00730B6F">
              <w:rPr>
                <w:sz w:val="18"/>
                <w:szCs w:val="18"/>
              </w:rPr>
              <w:t>[•]</w:t>
            </w:r>
          </w:p>
        </w:tc>
        <w:tc>
          <w:tcPr>
            <w:tcW w:w="987" w:type="pct"/>
            <w:noWrap/>
            <w:vAlign w:val="bottom"/>
          </w:tcPr>
          <w:p w:rsidR="0092220A" w:rsidRPr="00730B6F" w:rsidRDefault="0092220A" w:rsidP="0092220A">
            <w:pPr>
              <w:spacing w:before="0" w:after="0"/>
              <w:jc w:val="right"/>
              <w:rPr>
                <w:sz w:val="18"/>
                <w:szCs w:val="18"/>
              </w:rPr>
            </w:pPr>
            <w:r w:rsidRPr="00730B6F">
              <w:rPr>
                <w:sz w:val="18"/>
                <w:szCs w:val="18"/>
              </w:rPr>
              <w:t>[•]%</w:t>
            </w:r>
          </w:p>
        </w:tc>
      </w:tr>
      <w:tr w:rsidR="0092220A" w:rsidRPr="00730B6F" w:rsidTr="0092220A">
        <w:trPr>
          <w:trHeight w:val="255"/>
          <w:jc w:val="center"/>
        </w:trPr>
        <w:tc>
          <w:tcPr>
            <w:tcW w:w="2823" w:type="pct"/>
            <w:noWrap/>
            <w:vAlign w:val="bottom"/>
          </w:tcPr>
          <w:p w:rsidR="0092220A" w:rsidRPr="00730B6F" w:rsidRDefault="0092220A" w:rsidP="0092220A">
            <w:pPr>
              <w:spacing w:before="0" w:after="0"/>
              <w:jc w:val="left"/>
              <w:rPr>
                <w:sz w:val="18"/>
                <w:szCs w:val="18"/>
              </w:rPr>
            </w:pPr>
            <w:r w:rsidRPr="00730B6F">
              <w:rPr>
                <w:sz w:val="18"/>
                <w:szCs w:val="18"/>
              </w:rPr>
              <w:t>[•]</w:t>
            </w:r>
          </w:p>
        </w:tc>
        <w:tc>
          <w:tcPr>
            <w:tcW w:w="1190" w:type="pct"/>
            <w:noWrap/>
            <w:vAlign w:val="bottom"/>
          </w:tcPr>
          <w:p w:rsidR="0092220A" w:rsidRPr="00730B6F" w:rsidRDefault="0092220A" w:rsidP="0092220A">
            <w:pPr>
              <w:spacing w:before="0" w:after="0"/>
              <w:jc w:val="right"/>
              <w:rPr>
                <w:sz w:val="18"/>
                <w:szCs w:val="18"/>
              </w:rPr>
            </w:pPr>
            <w:r w:rsidRPr="00730B6F">
              <w:rPr>
                <w:sz w:val="18"/>
                <w:szCs w:val="18"/>
              </w:rPr>
              <w:t>[•]</w:t>
            </w:r>
          </w:p>
        </w:tc>
        <w:tc>
          <w:tcPr>
            <w:tcW w:w="987" w:type="pct"/>
            <w:noWrap/>
            <w:vAlign w:val="bottom"/>
          </w:tcPr>
          <w:p w:rsidR="0092220A" w:rsidRPr="00730B6F" w:rsidRDefault="0092220A" w:rsidP="0092220A">
            <w:pPr>
              <w:spacing w:before="0" w:after="0"/>
              <w:jc w:val="right"/>
              <w:rPr>
                <w:sz w:val="18"/>
                <w:szCs w:val="18"/>
              </w:rPr>
            </w:pPr>
            <w:r w:rsidRPr="00730B6F">
              <w:rPr>
                <w:sz w:val="18"/>
                <w:szCs w:val="18"/>
              </w:rPr>
              <w:t>[•]%</w:t>
            </w:r>
          </w:p>
        </w:tc>
      </w:tr>
      <w:tr w:rsidR="0092220A" w:rsidRPr="00730B6F" w:rsidTr="0092220A">
        <w:trPr>
          <w:trHeight w:val="255"/>
          <w:jc w:val="center"/>
        </w:trPr>
        <w:tc>
          <w:tcPr>
            <w:tcW w:w="2823" w:type="pct"/>
            <w:noWrap/>
            <w:vAlign w:val="bottom"/>
          </w:tcPr>
          <w:p w:rsidR="0092220A" w:rsidRPr="00730B6F" w:rsidRDefault="0092220A" w:rsidP="0092220A">
            <w:pPr>
              <w:spacing w:before="0" w:after="0"/>
              <w:jc w:val="left"/>
              <w:rPr>
                <w:sz w:val="18"/>
                <w:szCs w:val="18"/>
              </w:rPr>
            </w:pPr>
            <w:r w:rsidRPr="00730B6F">
              <w:rPr>
                <w:sz w:val="18"/>
                <w:szCs w:val="18"/>
              </w:rPr>
              <w:t>[•]</w:t>
            </w:r>
          </w:p>
        </w:tc>
        <w:tc>
          <w:tcPr>
            <w:tcW w:w="1190" w:type="pct"/>
            <w:noWrap/>
            <w:vAlign w:val="bottom"/>
          </w:tcPr>
          <w:p w:rsidR="0092220A" w:rsidRPr="00730B6F" w:rsidRDefault="0092220A" w:rsidP="0092220A">
            <w:pPr>
              <w:spacing w:before="0" w:after="0"/>
              <w:jc w:val="right"/>
              <w:rPr>
                <w:sz w:val="18"/>
                <w:szCs w:val="18"/>
              </w:rPr>
            </w:pPr>
            <w:r w:rsidRPr="00730B6F">
              <w:rPr>
                <w:sz w:val="18"/>
                <w:szCs w:val="18"/>
              </w:rPr>
              <w:t>[•]</w:t>
            </w:r>
          </w:p>
        </w:tc>
        <w:tc>
          <w:tcPr>
            <w:tcW w:w="987" w:type="pct"/>
            <w:noWrap/>
            <w:vAlign w:val="bottom"/>
          </w:tcPr>
          <w:p w:rsidR="0092220A" w:rsidRPr="00730B6F" w:rsidRDefault="0092220A" w:rsidP="0092220A">
            <w:pPr>
              <w:spacing w:before="0" w:after="0"/>
              <w:jc w:val="right"/>
              <w:rPr>
                <w:sz w:val="18"/>
                <w:szCs w:val="18"/>
              </w:rPr>
            </w:pPr>
            <w:r w:rsidRPr="00730B6F">
              <w:rPr>
                <w:sz w:val="18"/>
                <w:szCs w:val="18"/>
              </w:rPr>
              <w:t>[•]%</w:t>
            </w:r>
          </w:p>
        </w:tc>
      </w:tr>
      <w:tr w:rsidR="0092220A" w:rsidRPr="00730B6F" w:rsidTr="0092220A">
        <w:trPr>
          <w:trHeight w:val="255"/>
          <w:jc w:val="center"/>
        </w:trPr>
        <w:tc>
          <w:tcPr>
            <w:tcW w:w="2823" w:type="pct"/>
            <w:noWrap/>
            <w:vAlign w:val="bottom"/>
          </w:tcPr>
          <w:p w:rsidR="0092220A" w:rsidRPr="00730B6F" w:rsidRDefault="0092220A" w:rsidP="0092220A">
            <w:pPr>
              <w:spacing w:before="0" w:after="0"/>
              <w:jc w:val="left"/>
              <w:rPr>
                <w:sz w:val="18"/>
                <w:szCs w:val="18"/>
              </w:rPr>
            </w:pPr>
            <w:r w:rsidRPr="00730B6F">
              <w:rPr>
                <w:sz w:val="18"/>
                <w:szCs w:val="18"/>
              </w:rPr>
              <w:t>[•]</w:t>
            </w:r>
          </w:p>
        </w:tc>
        <w:tc>
          <w:tcPr>
            <w:tcW w:w="1190" w:type="pct"/>
            <w:noWrap/>
            <w:vAlign w:val="bottom"/>
          </w:tcPr>
          <w:p w:rsidR="0092220A" w:rsidRPr="00730B6F" w:rsidRDefault="0092220A" w:rsidP="0092220A">
            <w:pPr>
              <w:spacing w:before="0" w:after="0"/>
              <w:jc w:val="right"/>
              <w:rPr>
                <w:sz w:val="18"/>
                <w:szCs w:val="18"/>
              </w:rPr>
            </w:pPr>
            <w:r w:rsidRPr="00730B6F">
              <w:rPr>
                <w:sz w:val="18"/>
                <w:szCs w:val="18"/>
              </w:rPr>
              <w:t>[•]</w:t>
            </w:r>
          </w:p>
        </w:tc>
        <w:tc>
          <w:tcPr>
            <w:tcW w:w="987" w:type="pct"/>
            <w:noWrap/>
            <w:vAlign w:val="bottom"/>
          </w:tcPr>
          <w:p w:rsidR="0092220A" w:rsidRPr="00730B6F" w:rsidRDefault="0092220A" w:rsidP="0092220A">
            <w:pPr>
              <w:spacing w:before="0" w:after="0"/>
              <w:jc w:val="right"/>
              <w:rPr>
                <w:sz w:val="18"/>
                <w:szCs w:val="18"/>
              </w:rPr>
            </w:pPr>
            <w:r w:rsidRPr="00730B6F">
              <w:rPr>
                <w:sz w:val="18"/>
                <w:szCs w:val="18"/>
              </w:rPr>
              <w:t>[•]%</w:t>
            </w:r>
          </w:p>
        </w:tc>
      </w:tr>
      <w:tr w:rsidR="0092220A" w:rsidRPr="00730B6F" w:rsidTr="0092220A">
        <w:trPr>
          <w:trHeight w:val="255"/>
          <w:jc w:val="center"/>
        </w:trPr>
        <w:tc>
          <w:tcPr>
            <w:tcW w:w="2823" w:type="pct"/>
            <w:noWrap/>
            <w:vAlign w:val="bottom"/>
          </w:tcPr>
          <w:p w:rsidR="0092220A" w:rsidRPr="00730B6F" w:rsidRDefault="0092220A" w:rsidP="0092220A">
            <w:pPr>
              <w:spacing w:before="0" w:after="0"/>
              <w:jc w:val="left"/>
              <w:rPr>
                <w:sz w:val="18"/>
                <w:szCs w:val="18"/>
              </w:rPr>
            </w:pPr>
            <w:r w:rsidRPr="00730B6F">
              <w:rPr>
                <w:sz w:val="18"/>
                <w:szCs w:val="18"/>
              </w:rPr>
              <w:t>[•]</w:t>
            </w:r>
          </w:p>
        </w:tc>
        <w:tc>
          <w:tcPr>
            <w:tcW w:w="1190" w:type="pct"/>
            <w:noWrap/>
            <w:vAlign w:val="bottom"/>
          </w:tcPr>
          <w:p w:rsidR="0092220A" w:rsidRPr="00730B6F" w:rsidRDefault="0092220A" w:rsidP="0092220A">
            <w:pPr>
              <w:spacing w:before="0" w:after="0"/>
              <w:jc w:val="right"/>
              <w:rPr>
                <w:sz w:val="18"/>
                <w:szCs w:val="18"/>
              </w:rPr>
            </w:pPr>
            <w:r w:rsidRPr="00730B6F">
              <w:rPr>
                <w:sz w:val="18"/>
                <w:szCs w:val="18"/>
              </w:rPr>
              <w:t>[•]</w:t>
            </w:r>
          </w:p>
        </w:tc>
        <w:tc>
          <w:tcPr>
            <w:tcW w:w="987" w:type="pct"/>
            <w:noWrap/>
            <w:vAlign w:val="bottom"/>
          </w:tcPr>
          <w:p w:rsidR="0092220A" w:rsidRPr="00730B6F" w:rsidRDefault="0092220A" w:rsidP="0092220A">
            <w:pPr>
              <w:spacing w:before="0" w:after="0"/>
              <w:jc w:val="right"/>
              <w:rPr>
                <w:sz w:val="18"/>
                <w:szCs w:val="18"/>
              </w:rPr>
            </w:pPr>
            <w:r w:rsidRPr="00730B6F">
              <w:rPr>
                <w:sz w:val="18"/>
                <w:szCs w:val="18"/>
              </w:rPr>
              <w:t>[•]%</w:t>
            </w:r>
          </w:p>
        </w:tc>
      </w:tr>
      <w:tr w:rsidR="0092220A" w:rsidRPr="00730B6F" w:rsidTr="0092220A">
        <w:trPr>
          <w:trHeight w:val="255"/>
          <w:jc w:val="center"/>
        </w:trPr>
        <w:tc>
          <w:tcPr>
            <w:tcW w:w="2823" w:type="pct"/>
            <w:noWrap/>
            <w:vAlign w:val="bottom"/>
          </w:tcPr>
          <w:p w:rsidR="0092220A" w:rsidRPr="00730B6F" w:rsidRDefault="0092220A" w:rsidP="0092220A">
            <w:pPr>
              <w:spacing w:before="0" w:after="0"/>
              <w:jc w:val="left"/>
              <w:rPr>
                <w:sz w:val="18"/>
                <w:szCs w:val="18"/>
              </w:rPr>
            </w:pPr>
            <w:r w:rsidRPr="00730B6F">
              <w:rPr>
                <w:sz w:val="18"/>
                <w:szCs w:val="18"/>
              </w:rPr>
              <w:t>[•]</w:t>
            </w:r>
          </w:p>
        </w:tc>
        <w:tc>
          <w:tcPr>
            <w:tcW w:w="1190" w:type="pct"/>
            <w:noWrap/>
            <w:vAlign w:val="bottom"/>
          </w:tcPr>
          <w:p w:rsidR="0092220A" w:rsidRPr="00730B6F" w:rsidRDefault="0092220A" w:rsidP="0092220A">
            <w:pPr>
              <w:spacing w:before="0" w:after="0"/>
              <w:jc w:val="right"/>
              <w:rPr>
                <w:sz w:val="18"/>
                <w:szCs w:val="18"/>
              </w:rPr>
            </w:pPr>
            <w:r w:rsidRPr="00730B6F">
              <w:rPr>
                <w:sz w:val="18"/>
                <w:szCs w:val="18"/>
              </w:rPr>
              <w:t>[•]</w:t>
            </w:r>
          </w:p>
        </w:tc>
        <w:tc>
          <w:tcPr>
            <w:tcW w:w="987" w:type="pct"/>
            <w:noWrap/>
            <w:vAlign w:val="bottom"/>
          </w:tcPr>
          <w:p w:rsidR="0092220A" w:rsidRPr="00730B6F" w:rsidRDefault="0092220A" w:rsidP="0092220A">
            <w:pPr>
              <w:spacing w:before="0" w:after="0"/>
              <w:jc w:val="right"/>
              <w:rPr>
                <w:sz w:val="18"/>
                <w:szCs w:val="18"/>
              </w:rPr>
            </w:pPr>
            <w:r w:rsidRPr="00730B6F">
              <w:rPr>
                <w:sz w:val="18"/>
                <w:szCs w:val="18"/>
              </w:rPr>
              <w:t>[•]%</w:t>
            </w:r>
          </w:p>
        </w:tc>
      </w:tr>
      <w:tr w:rsidR="0092220A" w:rsidRPr="00730B6F" w:rsidTr="0092220A">
        <w:trPr>
          <w:trHeight w:val="255"/>
          <w:jc w:val="center"/>
        </w:trPr>
        <w:tc>
          <w:tcPr>
            <w:tcW w:w="2823" w:type="pct"/>
            <w:noWrap/>
            <w:vAlign w:val="bottom"/>
          </w:tcPr>
          <w:p w:rsidR="0092220A" w:rsidRPr="00730B6F" w:rsidRDefault="0092220A" w:rsidP="0092220A">
            <w:pPr>
              <w:spacing w:before="0" w:after="0"/>
              <w:jc w:val="left"/>
              <w:rPr>
                <w:sz w:val="18"/>
                <w:szCs w:val="18"/>
              </w:rPr>
            </w:pPr>
            <w:r w:rsidRPr="00730B6F">
              <w:rPr>
                <w:sz w:val="18"/>
                <w:szCs w:val="18"/>
              </w:rPr>
              <w:t>[•]</w:t>
            </w:r>
          </w:p>
        </w:tc>
        <w:tc>
          <w:tcPr>
            <w:tcW w:w="1190" w:type="pct"/>
            <w:noWrap/>
            <w:vAlign w:val="bottom"/>
          </w:tcPr>
          <w:p w:rsidR="0092220A" w:rsidRPr="00730B6F" w:rsidRDefault="0092220A" w:rsidP="0092220A">
            <w:pPr>
              <w:spacing w:before="0" w:after="0"/>
              <w:jc w:val="right"/>
              <w:rPr>
                <w:sz w:val="18"/>
                <w:szCs w:val="18"/>
              </w:rPr>
            </w:pPr>
            <w:r w:rsidRPr="00730B6F">
              <w:rPr>
                <w:sz w:val="18"/>
                <w:szCs w:val="18"/>
              </w:rPr>
              <w:t>[•]</w:t>
            </w:r>
          </w:p>
        </w:tc>
        <w:tc>
          <w:tcPr>
            <w:tcW w:w="987" w:type="pct"/>
            <w:noWrap/>
            <w:vAlign w:val="bottom"/>
          </w:tcPr>
          <w:p w:rsidR="0092220A" w:rsidRPr="00730B6F" w:rsidRDefault="0092220A" w:rsidP="0092220A">
            <w:pPr>
              <w:spacing w:before="0" w:after="0"/>
              <w:jc w:val="right"/>
              <w:rPr>
                <w:sz w:val="18"/>
                <w:szCs w:val="18"/>
              </w:rPr>
            </w:pPr>
            <w:r w:rsidRPr="00730B6F">
              <w:rPr>
                <w:sz w:val="18"/>
                <w:szCs w:val="18"/>
              </w:rPr>
              <w:t>[•]%</w:t>
            </w:r>
          </w:p>
        </w:tc>
      </w:tr>
      <w:tr w:rsidR="0092220A" w:rsidRPr="00730B6F" w:rsidTr="0092220A">
        <w:trPr>
          <w:trHeight w:val="255"/>
          <w:jc w:val="center"/>
        </w:trPr>
        <w:tc>
          <w:tcPr>
            <w:tcW w:w="2823" w:type="pct"/>
            <w:noWrap/>
            <w:vAlign w:val="bottom"/>
          </w:tcPr>
          <w:p w:rsidR="0092220A" w:rsidRPr="00730B6F" w:rsidRDefault="0092220A" w:rsidP="0092220A">
            <w:pPr>
              <w:spacing w:before="0" w:after="0"/>
              <w:jc w:val="left"/>
              <w:rPr>
                <w:sz w:val="18"/>
                <w:szCs w:val="18"/>
              </w:rPr>
            </w:pPr>
            <w:r w:rsidRPr="00730B6F">
              <w:rPr>
                <w:sz w:val="18"/>
                <w:szCs w:val="18"/>
              </w:rPr>
              <w:t>[•]</w:t>
            </w:r>
          </w:p>
        </w:tc>
        <w:tc>
          <w:tcPr>
            <w:tcW w:w="1190" w:type="pct"/>
            <w:noWrap/>
            <w:vAlign w:val="bottom"/>
          </w:tcPr>
          <w:p w:rsidR="0092220A" w:rsidRPr="00730B6F" w:rsidRDefault="0092220A" w:rsidP="0092220A">
            <w:pPr>
              <w:spacing w:before="0" w:after="0"/>
              <w:jc w:val="right"/>
              <w:rPr>
                <w:sz w:val="18"/>
                <w:szCs w:val="18"/>
              </w:rPr>
            </w:pPr>
            <w:r w:rsidRPr="00730B6F">
              <w:rPr>
                <w:sz w:val="18"/>
                <w:szCs w:val="18"/>
              </w:rPr>
              <w:t>[•]</w:t>
            </w:r>
          </w:p>
        </w:tc>
        <w:tc>
          <w:tcPr>
            <w:tcW w:w="987" w:type="pct"/>
            <w:noWrap/>
            <w:vAlign w:val="bottom"/>
          </w:tcPr>
          <w:p w:rsidR="0092220A" w:rsidRPr="00730B6F" w:rsidRDefault="0092220A" w:rsidP="0092220A">
            <w:pPr>
              <w:spacing w:before="0" w:after="0"/>
              <w:jc w:val="right"/>
              <w:rPr>
                <w:sz w:val="18"/>
                <w:szCs w:val="18"/>
              </w:rPr>
            </w:pPr>
            <w:r w:rsidRPr="00730B6F">
              <w:rPr>
                <w:sz w:val="18"/>
                <w:szCs w:val="18"/>
              </w:rPr>
              <w:t>[•]%</w:t>
            </w:r>
          </w:p>
        </w:tc>
      </w:tr>
      <w:tr w:rsidR="0092220A" w:rsidRPr="00730B6F" w:rsidTr="0092220A">
        <w:trPr>
          <w:trHeight w:val="255"/>
          <w:jc w:val="center"/>
        </w:trPr>
        <w:tc>
          <w:tcPr>
            <w:tcW w:w="2823" w:type="pct"/>
            <w:noWrap/>
            <w:vAlign w:val="bottom"/>
          </w:tcPr>
          <w:p w:rsidR="0092220A" w:rsidRPr="00730B6F" w:rsidRDefault="0092220A" w:rsidP="0092220A">
            <w:pPr>
              <w:spacing w:before="0" w:after="0"/>
              <w:jc w:val="left"/>
              <w:rPr>
                <w:sz w:val="18"/>
                <w:szCs w:val="18"/>
              </w:rPr>
            </w:pPr>
            <w:r w:rsidRPr="00730B6F">
              <w:rPr>
                <w:sz w:val="18"/>
                <w:szCs w:val="18"/>
              </w:rPr>
              <w:t>[•]</w:t>
            </w:r>
          </w:p>
        </w:tc>
        <w:tc>
          <w:tcPr>
            <w:tcW w:w="1190" w:type="pct"/>
            <w:noWrap/>
            <w:vAlign w:val="bottom"/>
          </w:tcPr>
          <w:p w:rsidR="0092220A" w:rsidRPr="00730B6F" w:rsidRDefault="0092220A" w:rsidP="0092220A">
            <w:pPr>
              <w:spacing w:before="0" w:after="0"/>
              <w:jc w:val="right"/>
              <w:rPr>
                <w:sz w:val="18"/>
                <w:szCs w:val="18"/>
              </w:rPr>
            </w:pPr>
            <w:r w:rsidRPr="00730B6F">
              <w:rPr>
                <w:sz w:val="18"/>
                <w:szCs w:val="18"/>
              </w:rPr>
              <w:t>[•]</w:t>
            </w:r>
          </w:p>
        </w:tc>
        <w:tc>
          <w:tcPr>
            <w:tcW w:w="987" w:type="pct"/>
            <w:noWrap/>
            <w:vAlign w:val="bottom"/>
          </w:tcPr>
          <w:p w:rsidR="0092220A" w:rsidRPr="00730B6F" w:rsidRDefault="0092220A" w:rsidP="0092220A">
            <w:pPr>
              <w:spacing w:before="0" w:after="0"/>
              <w:jc w:val="right"/>
              <w:rPr>
                <w:sz w:val="18"/>
                <w:szCs w:val="18"/>
              </w:rPr>
            </w:pPr>
            <w:r w:rsidRPr="00730B6F">
              <w:rPr>
                <w:sz w:val="18"/>
                <w:szCs w:val="18"/>
              </w:rPr>
              <w:t>[•]%</w:t>
            </w:r>
          </w:p>
        </w:tc>
      </w:tr>
      <w:tr w:rsidR="0092220A" w:rsidRPr="00730B6F" w:rsidTr="0092220A">
        <w:trPr>
          <w:trHeight w:val="255"/>
          <w:jc w:val="center"/>
        </w:trPr>
        <w:tc>
          <w:tcPr>
            <w:tcW w:w="2823" w:type="pct"/>
            <w:noWrap/>
            <w:vAlign w:val="bottom"/>
          </w:tcPr>
          <w:p w:rsidR="0092220A" w:rsidRPr="00730B6F" w:rsidRDefault="0092220A" w:rsidP="0092220A">
            <w:pPr>
              <w:spacing w:before="0" w:after="0"/>
              <w:jc w:val="left"/>
              <w:rPr>
                <w:sz w:val="18"/>
                <w:szCs w:val="18"/>
              </w:rPr>
            </w:pPr>
            <w:r w:rsidRPr="00730B6F">
              <w:rPr>
                <w:sz w:val="18"/>
                <w:szCs w:val="18"/>
              </w:rPr>
              <w:t>[•]</w:t>
            </w:r>
          </w:p>
        </w:tc>
        <w:tc>
          <w:tcPr>
            <w:tcW w:w="1190" w:type="pct"/>
            <w:noWrap/>
            <w:vAlign w:val="bottom"/>
          </w:tcPr>
          <w:p w:rsidR="0092220A" w:rsidRPr="00730B6F" w:rsidRDefault="0092220A" w:rsidP="0092220A">
            <w:pPr>
              <w:spacing w:before="0" w:after="0"/>
              <w:jc w:val="right"/>
              <w:rPr>
                <w:sz w:val="18"/>
                <w:szCs w:val="18"/>
              </w:rPr>
            </w:pPr>
            <w:r w:rsidRPr="00730B6F">
              <w:rPr>
                <w:sz w:val="18"/>
                <w:szCs w:val="18"/>
              </w:rPr>
              <w:t>[•]</w:t>
            </w:r>
          </w:p>
        </w:tc>
        <w:tc>
          <w:tcPr>
            <w:tcW w:w="987" w:type="pct"/>
            <w:noWrap/>
            <w:vAlign w:val="bottom"/>
          </w:tcPr>
          <w:p w:rsidR="0092220A" w:rsidRPr="00730B6F" w:rsidRDefault="0092220A" w:rsidP="0092220A">
            <w:pPr>
              <w:spacing w:before="0" w:after="0"/>
              <w:jc w:val="right"/>
              <w:rPr>
                <w:sz w:val="18"/>
                <w:szCs w:val="18"/>
              </w:rPr>
            </w:pPr>
            <w:r w:rsidRPr="00730B6F">
              <w:rPr>
                <w:sz w:val="18"/>
                <w:szCs w:val="18"/>
              </w:rPr>
              <w:t>[•]%</w:t>
            </w:r>
          </w:p>
        </w:tc>
      </w:tr>
      <w:tr w:rsidR="0092220A" w:rsidRPr="00730B6F" w:rsidTr="0092220A">
        <w:trPr>
          <w:trHeight w:val="255"/>
          <w:jc w:val="center"/>
        </w:trPr>
        <w:tc>
          <w:tcPr>
            <w:tcW w:w="2823" w:type="pct"/>
            <w:noWrap/>
            <w:vAlign w:val="bottom"/>
          </w:tcPr>
          <w:p w:rsidR="0092220A" w:rsidRPr="00730B6F" w:rsidRDefault="0092220A" w:rsidP="0092220A">
            <w:pPr>
              <w:spacing w:before="0" w:after="0"/>
              <w:jc w:val="left"/>
              <w:rPr>
                <w:sz w:val="18"/>
                <w:szCs w:val="18"/>
              </w:rPr>
            </w:pPr>
            <w:r w:rsidRPr="00730B6F">
              <w:rPr>
                <w:sz w:val="18"/>
                <w:szCs w:val="18"/>
              </w:rPr>
              <w:t>[•]</w:t>
            </w:r>
          </w:p>
        </w:tc>
        <w:tc>
          <w:tcPr>
            <w:tcW w:w="1190" w:type="pct"/>
            <w:noWrap/>
            <w:vAlign w:val="bottom"/>
          </w:tcPr>
          <w:p w:rsidR="0092220A" w:rsidRPr="00730B6F" w:rsidRDefault="0092220A" w:rsidP="0092220A">
            <w:pPr>
              <w:spacing w:before="0" w:after="0"/>
              <w:jc w:val="right"/>
              <w:rPr>
                <w:sz w:val="18"/>
                <w:szCs w:val="18"/>
              </w:rPr>
            </w:pPr>
            <w:r w:rsidRPr="00730B6F">
              <w:rPr>
                <w:sz w:val="18"/>
                <w:szCs w:val="18"/>
              </w:rPr>
              <w:t>[•]</w:t>
            </w:r>
          </w:p>
        </w:tc>
        <w:tc>
          <w:tcPr>
            <w:tcW w:w="987" w:type="pct"/>
            <w:noWrap/>
            <w:vAlign w:val="bottom"/>
          </w:tcPr>
          <w:p w:rsidR="0092220A" w:rsidRPr="00730B6F" w:rsidRDefault="0092220A" w:rsidP="0092220A">
            <w:pPr>
              <w:spacing w:before="0" w:after="0"/>
              <w:jc w:val="right"/>
              <w:rPr>
                <w:sz w:val="18"/>
                <w:szCs w:val="18"/>
              </w:rPr>
            </w:pPr>
            <w:r w:rsidRPr="00730B6F">
              <w:rPr>
                <w:sz w:val="18"/>
                <w:szCs w:val="18"/>
              </w:rPr>
              <w:t>[•]%</w:t>
            </w:r>
          </w:p>
        </w:tc>
      </w:tr>
      <w:tr w:rsidR="0092220A" w:rsidRPr="00730B6F" w:rsidTr="0092220A">
        <w:trPr>
          <w:trHeight w:val="255"/>
          <w:jc w:val="center"/>
        </w:trPr>
        <w:tc>
          <w:tcPr>
            <w:tcW w:w="2823" w:type="pct"/>
            <w:noWrap/>
            <w:vAlign w:val="bottom"/>
          </w:tcPr>
          <w:p w:rsidR="0092220A" w:rsidRPr="00730B6F" w:rsidRDefault="0092220A" w:rsidP="0092220A">
            <w:pPr>
              <w:spacing w:before="0" w:after="0"/>
              <w:jc w:val="left"/>
              <w:rPr>
                <w:sz w:val="18"/>
                <w:szCs w:val="18"/>
              </w:rPr>
            </w:pPr>
            <w:r w:rsidRPr="00730B6F">
              <w:rPr>
                <w:sz w:val="18"/>
                <w:szCs w:val="18"/>
              </w:rPr>
              <w:t>[•]</w:t>
            </w:r>
          </w:p>
        </w:tc>
        <w:tc>
          <w:tcPr>
            <w:tcW w:w="1190" w:type="pct"/>
            <w:noWrap/>
            <w:vAlign w:val="bottom"/>
          </w:tcPr>
          <w:p w:rsidR="0092220A" w:rsidRPr="00730B6F" w:rsidRDefault="0092220A" w:rsidP="0092220A">
            <w:pPr>
              <w:spacing w:before="0" w:after="0"/>
              <w:jc w:val="right"/>
              <w:rPr>
                <w:sz w:val="18"/>
                <w:szCs w:val="18"/>
              </w:rPr>
            </w:pPr>
            <w:r w:rsidRPr="0092220A">
              <w:rPr>
                <w:sz w:val="18"/>
                <w:szCs w:val="18"/>
              </w:rPr>
              <w:t>159</w:t>
            </w:r>
            <w:r>
              <w:rPr>
                <w:sz w:val="18"/>
                <w:szCs w:val="18"/>
              </w:rPr>
              <w:t>,</w:t>
            </w:r>
            <w:r w:rsidRPr="0092220A">
              <w:rPr>
                <w:sz w:val="18"/>
                <w:szCs w:val="18"/>
              </w:rPr>
              <w:t>209</w:t>
            </w:r>
            <w:r>
              <w:rPr>
                <w:sz w:val="18"/>
                <w:szCs w:val="18"/>
              </w:rPr>
              <w:t>*</w:t>
            </w:r>
          </w:p>
        </w:tc>
        <w:tc>
          <w:tcPr>
            <w:tcW w:w="987" w:type="pct"/>
            <w:noWrap/>
            <w:vAlign w:val="bottom"/>
          </w:tcPr>
          <w:p w:rsidR="0092220A" w:rsidRPr="00730B6F" w:rsidRDefault="0092220A" w:rsidP="0092220A">
            <w:pPr>
              <w:spacing w:before="0" w:after="0"/>
              <w:jc w:val="right"/>
              <w:rPr>
                <w:sz w:val="18"/>
                <w:szCs w:val="18"/>
              </w:rPr>
            </w:pPr>
          </w:p>
        </w:tc>
      </w:tr>
      <w:tr w:rsidR="0092220A" w:rsidRPr="00730B6F" w:rsidTr="0092220A">
        <w:trPr>
          <w:trHeight w:val="255"/>
          <w:jc w:val="center"/>
        </w:trPr>
        <w:tc>
          <w:tcPr>
            <w:tcW w:w="2823" w:type="pct"/>
            <w:noWrap/>
            <w:vAlign w:val="bottom"/>
          </w:tcPr>
          <w:p w:rsidR="0092220A" w:rsidRPr="00730B6F" w:rsidRDefault="0092220A" w:rsidP="0092220A">
            <w:pPr>
              <w:tabs>
                <w:tab w:val="right" w:leader="dot" w:pos="4111"/>
              </w:tabs>
              <w:spacing w:before="0" w:after="0"/>
              <w:rPr>
                <w:sz w:val="18"/>
                <w:szCs w:val="18"/>
              </w:rPr>
            </w:pPr>
          </w:p>
        </w:tc>
        <w:tc>
          <w:tcPr>
            <w:tcW w:w="1190" w:type="pct"/>
            <w:noWrap/>
            <w:vAlign w:val="bottom"/>
          </w:tcPr>
          <w:p w:rsidR="0092220A" w:rsidRPr="00730B6F" w:rsidRDefault="0092220A" w:rsidP="0092220A">
            <w:pPr>
              <w:spacing w:before="0" w:after="0"/>
              <w:jc w:val="right"/>
              <w:rPr>
                <w:sz w:val="18"/>
                <w:szCs w:val="18"/>
              </w:rPr>
            </w:pPr>
          </w:p>
        </w:tc>
        <w:tc>
          <w:tcPr>
            <w:tcW w:w="987" w:type="pct"/>
            <w:noWrap/>
            <w:vAlign w:val="bottom"/>
          </w:tcPr>
          <w:p w:rsidR="0092220A" w:rsidRPr="00730B6F" w:rsidRDefault="0092220A" w:rsidP="0092220A">
            <w:pPr>
              <w:spacing w:before="0" w:after="0"/>
              <w:jc w:val="right"/>
              <w:rPr>
                <w:sz w:val="18"/>
                <w:szCs w:val="18"/>
              </w:rPr>
            </w:pPr>
          </w:p>
        </w:tc>
      </w:tr>
      <w:tr w:rsidR="0092220A" w:rsidRPr="00730B6F" w:rsidTr="0092220A">
        <w:trPr>
          <w:trHeight w:val="255"/>
          <w:jc w:val="center"/>
        </w:trPr>
        <w:tc>
          <w:tcPr>
            <w:tcW w:w="2823" w:type="pct"/>
            <w:noWrap/>
            <w:vAlign w:val="bottom"/>
          </w:tcPr>
          <w:p w:rsidR="0092220A" w:rsidRPr="00730B6F" w:rsidRDefault="0092220A" w:rsidP="0092220A">
            <w:pPr>
              <w:tabs>
                <w:tab w:val="right" w:leader="dot" w:pos="4111"/>
              </w:tabs>
              <w:spacing w:before="0" w:after="0"/>
              <w:rPr>
                <w:b/>
                <w:bCs/>
                <w:sz w:val="18"/>
                <w:szCs w:val="18"/>
              </w:rPr>
            </w:pPr>
            <w:r w:rsidRPr="00730B6F">
              <w:rPr>
                <w:b/>
                <w:bCs/>
                <w:sz w:val="18"/>
                <w:szCs w:val="18"/>
              </w:rPr>
              <w:t>Total</w:t>
            </w:r>
            <w:r w:rsidRPr="00730B6F">
              <w:rPr>
                <w:bCs/>
                <w:sz w:val="18"/>
                <w:szCs w:val="18"/>
              </w:rPr>
              <w:tab/>
            </w:r>
          </w:p>
        </w:tc>
        <w:tc>
          <w:tcPr>
            <w:tcW w:w="1190" w:type="pct"/>
            <w:noWrap/>
            <w:vAlign w:val="bottom"/>
          </w:tcPr>
          <w:p w:rsidR="0092220A" w:rsidRPr="00730B6F" w:rsidRDefault="0092220A" w:rsidP="0092220A">
            <w:pPr>
              <w:spacing w:before="0" w:after="0"/>
              <w:jc w:val="right"/>
              <w:rPr>
                <w:b/>
                <w:sz w:val="18"/>
                <w:szCs w:val="18"/>
              </w:rPr>
            </w:pPr>
            <w:r w:rsidRPr="00730B6F">
              <w:rPr>
                <w:b/>
                <w:sz w:val="18"/>
                <w:szCs w:val="18"/>
              </w:rPr>
              <w:t>[•]</w:t>
            </w:r>
          </w:p>
        </w:tc>
        <w:tc>
          <w:tcPr>
            <w:tcW w:w="987" w:type="pct"/>
            <w:noWrap/>
            <w:vAlign w:val="bottom"/>
          </w:tcPr>
          <w:p w:rsidR="0092220A" w:rsidRPr="00730B6F" w:rsidRDefault="0092220A" w:rsidP="0092220A">
            <w:pPr>
              <w:spacing w:before="0" w:after="0"/>
              <w:jc w:val="right"/>
              <w:rPr>
                <w:sz w:val="18"/>
                <w:szCs w:val="18"/>
              </w:rPr>
            </w:pPr>
            <w:r w:rsidRPr="00730B6F">
              <w:rPr>
                <w:sz w:val="18"/>
                <w:szCs w:val="18"/>
              </w:rPr>
              <w:t>[•]%</w:t>
            </w:r>
          </w:p>
        </w:tc>
      </w:tr>
    </w:tbl>
    <w:p w:rsidR="003F0BC5" w:rsidRPr="00992199" w:rsidRDefault="003F0BC5" w:rsidP="00353B80">
      <w:pPr>
        <w:pStyle w:val="Firm5L2"/>
        <w:keepNext/>
      </w:pPr>
      <w:bookmarkStart w:id="43" w:name="_Toc420593863"/>
      <w:r w:rsidRPr="00992199">
        <w:t>Committees of the Board</w:t>
      </w:r>
      <w:bookmarkEnd w:id="43"/>
    </w:p>
    <w:p w:rsidR="003F0BC5" w:rsidRPr="00992199" w:rsidRDefault="003F0BC5" w:rsidP="003F0BC5">
      <w:pPr>
        <w:rPr>
          <w:szCs w:val="20"/>
        </w:rPr>
      </w:pPr>
      <w:r w:rsidRPr="00992199">
        <w:rPr>
          <w:szCs w:val="20"/>
        </w:rPr>
        <w:t xml:space="preserve">The Board of Directors has established a Remuneration and Nomination Committee (the </w:t>
      </w:r>
      <w:r w:rsidRPr="00992199">
        <w:rPr>
          <w:b/>
          <w:i/>
          <w:szCs w:val="20"/>
        </w:rPr>
        <w:t>Remuneration and Nomination Committee</w:t>
      </w:r>
      <w:r w:rsidRPr="00992199">
        <w:rPr>
          <w:szCs w:val="20"/>
        </w:rPr>
        <w:t xml:space="preserve">) and an audit committee (the </w:t>
      </w:r>
      <w:r w:rsidRPr="00992199">
        <w:rPr>
          <w:b/>
          <w:i/>
          <w:szCs w:val="20"/>
        </w:rPr>
        <w:t>Audit Committee</w:t>
      </w:r>
      <w:r w:rsidRPr="00992199">
        <w:rPr>
          <w:szCs w:val="20"/>
        </w:rPr>
        <w:t>). The committees have a mere advisory role.</w:t>
      </w:r>
    </w:p>
    <w:p w:rsidR="003F0BC5" w:rsidRPr="00992199" w:rsidRDefault="003F0BC5" w:rsidP="003F0BC5">
      <w:pPr>
        <w:rPr>
          <w:szCs w:val="20"/>
        </w:rPr>
      </w:pPr>
      <w:r w:rsidRPr="00992199">
        <w:rPr>
          <w:szCs w:val="20"/>
        </w:rPr>
        <w:t>The Board of Directors has determined the terms of reference of each committee with respect to its respective organisation, procedures, policies and activities.</w:t>
      </w:r>
    </w:p>
    <w:p w:rsidR="003F0BC5" w:rsidRPr="00992199" w:rsidRDefault="003F0BC5" w:rsidP="00353B80">
      <w:pPr>
        <w:pStyle w:val="Firm5L3"/>
        <w:keepNext/>
        <w:keepLines/>
      </w:pPr>
      <w:r w:rsidRPr="00992199">
        <w:t>Audit Committee</w:t>
      </w:r>
    </w:p>
    <w:p w:rsidR="003F0BC5" w:rsidRPr="00992199" w:rsidRDefault="003F0BC5" w:rsidP="007F4730">
      <w:pPr>
        <w:keepNext/>
        <w:keepLines/>
        <w:rPr>
          <w:szCs w:val="20"/>
        </w:rPr>
      </w:pPr>
      <w:r w:rsidRPr="00992199">
        <w:rPr>
          <w:szCs w:val="20"/>
        </w:rPr>
        <w:t xml:space="preserve">The Board of Directors has created an Audit Committee in accordance with article 526bis </w:t>
      </w:r>
      <w:r w:rsidR="0055687C">
        <w:rPr>
          <w:szCs w:val="20"/>
        </w:rPr>
        <w:t>BCC</w:t>
      </w:r>
      <w:r w:rsidRPr="00992199">
        <w:rPr>
          <w:szCs w:val="20"/>
        </w:rPr>
        <w:t>.</w:t>
      </w:r>
    </w:p>
    <w:p w:rsidR="003F0BC5" w:rsidRPr="00992199" w:rsidRDefault="003F0BC5" w:rsidP="00353B80">
      <w:pPr>
        <w:pStyle w:val="Firm5L4"/>
        <w:keepNext/>
      </w:pPr>
      <w:r w:rsidRPr="00992199">
        <w:t>Composition</w:t>
      </w:r>
    </w:p>
    <w:p w:rsidR="003F0BC5" w:rsidRPr="00992199" w:rsidRDefault="003F0BC5" w:rsidP="003F0BC5">
      <w:pPr>
        <w:rPr>
          <w:szCs w:val="20"/>
        </w:rPr>
      </w:pPr>
      <w:r w:rsidRPr="00992199">
        <w:rPr>
          <w:szCs w:val="20"/>
        </w:rPr>
        <w:t>On the date of this Prospectus, the Audit Committee consists of four members (directors):</w:t>
      </w:r>
    </w:p>
    <w:p w:rsidR="003F0BC5" w:rsidRPr="00992199" w:rsidRDefault="003F0BC5" w:rsidP="004F6097">
      <w:pPr>
        <w:pStyle w:val="BulletsL1"/>
      </w:pPr>
      <w:r w:rsidRPr="00992199">
        <w:lastRenderedPageBreak/>
        <w:t>Frank Donck (also President of the Audit Committee),</w:t>
      </w:r>
    </w:p>
    <w:p w:rsidR="003F0BC5" w:rsidRPr="00992199" w:rsidRDefault="003F0BC5" w:rsidP="004F6097">
      <w:pPr>
        <w:pStyle w:val="BulletsL1"/>
      </w:pPr>
      <w:r w:rsidRPr="00992199">
        <w:t>The Marble BVBA (represented by its permanent representative Luc Van Nevel),</w:t>
      </w:r>
    </w:p>
    <w:p w:rsidR="003F0BC5" w:rsidRPr="00992199" w:rsidRDefault="003F0BC5" w:rsidP="004F6097">
      <w:pPr>
        <w:pStyle w:val="BulletsL1"/>
      </w:pPr>
      <w:r w:rsidRPr="00992199">
        <w:t>Thomas Dewever, and</w:t>
      </w:r>
    </w:p>
    <w:p w:rsidR="003F0BC5" w:rsidRPr="00992199" w:rsidRDefault="003F0BC5" w:rsidP="004F6097">
      <w:pPr>
        <w:pStyle w:val="BulletsL1"/>
      </w:pPr>
      <w:r w:rsidRPr="00992199">
        <w:t>Management Deprez (represented by its permanent representative Veerle Deprez).</w:t>
      </w:r>
    </w:p>
    <w:p w:rsidR="003F0BC5" w:rsidRPr="00992199" w:rsidRDefault="003F0BC5" w:rsidP="003F0BC5">
      <w:pPr>
        <w:rPr>
          <w:szCs w:val="20"/>
        </w:rPr>
      </w:pPr>
      <w:r w:rsidRPr="00992199">
        <w:rPr>
          <w:szCs w:val="20"/>
        </w:rPr>
        <w:t>Subject to and effective as of the completion of the Transactions, the Audit Committee shall consist of [five] members (directors) and shall be composed as follows:</w:t>
      </w:r>
    </w:p>
    <w:p w:rsidR="003F0BC5" w:rsidRPr="00992199" w:rsidRDefault="003F0BC5" w:rsidP="004F6097">
      <w:pPr>
        <w:pStyle w:val="BulletsL1"/>
      </w:pPr>
      <w:r w:rsidRPr="00992199">
        <w:t>The Marble BVBA (represented by its permanent representative Luc Van Ne</w:t>
      </w:r>
      <w:r w:rsidR="00A07615">
        <w:t>vel) is</w:t>
      </w:r>
      <w:r w:rsidRPr="00992199">
        <w:t xml:space="preserve"> president of the Audit Committee,</w:t>
      </w:r>
    </w:p>
    <w:p w:rsidR="003F0BC5" w:rsidRPr="00992199" w:rsidRDefault="003F0BC5" w:rsidP="004F6097">
      <w:pPr>
        <w:pStyle w:val="BulletsL1"/>
      </w:pPr>
      <w:r w:rsidRPr="00992199">
        <w:t>Hilde Laga,</w:t>
      </w:r>
    </w:p>
    <w:p w:rsidR="003F0BC5" w:rsidRPr="00DF01FB" w:rsidRDefault="003F0BC5" w:rsidP="004F6097">
      <w:pPr>
        <w:pStyle w:val="BulletsL1"/>
      </w:pPr>
      <w:r w:rsidRPr="00DF01FB">
        <w:t>[Peter Maenhout]</w:t>
      </w:r>
    </w:p>
    <w:p w:rsidR="003F0BC5" w:rsidRPr="00992199" w:rsidRDefault="003F0BC5" w:rsidP="004F6097">
      <w:pPr>
        <w:pStyle w:val="BulletsL1"/>
      </w:pPr>
      <w:r w:rsidRPr="00992199">
        <w:t>Tom Borman, and</w:t>
      </w:r>
    </w:p>
    <w:p w:rsidR="003F0BC5" w:rsidRPr="00992199" w:rsidRDefault="003F0BC5" w:rsidP="004F6097">
      <w:pPr>
        <w:pStyle w:val="BulletsL1"/>
      </w:pPr>
      <w:r w:rsidRPr="00992199">
        <w:t>Johan Vanovenberghe.</w:t>
      </w:r>
    </w:p>
    <w:p w:rsidR="003F0BC5" w:rsidRPr="00992199" w:rsidRDefault="003F0BC5" w:rsidP="003F0BC5">
      <w:pPr>
        <w:rPr>
          <w:szCs w:val="20"/>
        </w:rPr>
      </w:pPr>
      <w:r w:rsidRPr="00992199">
        <w:rPr>
          <w:szCs w:val="20"/>
        </w:rPr>
        <w:t>The CFO and the CEO participate to the meetings of the Audit Committee.</w:t>
      </w:r>
    </w:p>
    <w:p w:rsidR="003F0BC5" w:rsidRPr="00992199" w:rsidRDefault="003F0BC5" w:rsidP="003F0BC5">
      <w:pPr>
        <w:rPr>
          <w:szCs w:val="20"/>
        </w:rPr>
      </w:pPr>
      <w:r w:rsidRPr="00992199">
        <w:rPr>
          <w:szCs w:val="20"/>
        </w:rPr>
        <w:t xml:space="preserve">The Audit Committee consists exclusively of non-executive directors. Only </w:t>
      </w:r>
      <w:r w:rsidR="000115E1">
        <w:rPr>
          <w:szCs w:val="20"/>
        </w:rPr>
        <w:t>two members</w:t>
      </w:r>
      <w:r w:rsidRPr="00992199">
        <w:rPr>
          <w:szCs w:val="20"/>
        </w:rPr>
        <w:t xml:space="preserve"> of the Audit Committee, not the majority, </w:t>
      </w:r>
      <w:r w:rsidR="000115E1">
        <w:rPr>
          <w:szCs w:val="20"/>
        </w:rPr>
        <w:t>are</w:t>
      </w:r>
      <w:r w:rsidRPr="00992199">
        <w:rPr>
          <w:szCs w:val="20"/>
        </w:rPr>
        <w:t xml:space="preserve"> independent directors. Thus, the Company derogates from Recommendation 5.2./4 of the Belgian Corporate Governance Code. The Board of Directors acknowledges that the members of the Audit Committee comply with the requirements concerning independence and competence to make a sufficiently impartial judgement.</w:t>
      </w:r>
    </w:p>
    <w:p w:rsidR="003F0BC5" w:rsidRPr="00992199" w:rsidRDefault="003F0BC5" w:rsidP="003F0BC5">
      <w:pPr>
        <w:rPr>
          <w:szCs w:val="20"/>
        </w:rPr>
      </w:pPr>
      <w:r w:rsidRPr="00992199">
        <w:rPr>
          <w:szCs w:val="20"/>
        </w:rPr>
        <w:t xml:space="preserve">The Chairman of the Board of Directors cannot have the function of President of the Audit Committee. The members of the Audit Committee appoint one of its independent directors as President of the Audit Committee. In accordance with article 526bis </w:t>
      </w:r>
      <w:r w:rsidR="0055687C">
        <w:rPr>
          <w:szCs w:val="20"/>
        </w:rPr>
        <w:t>BCC</w:t>
      </w:r>
      <w:r w:rsidRPr="00992199">
        <w:rPr>
          <w:szCs w:val="20"/>
        </w:rPr>
        <w:t xml:space="preserve">, the Board of Directors declares that the </w:t>
      </w:r>
      <w:r w:rsidR="000115E1">
        <w:rPr>
          <w:szCs w:val="20"/>
        </w:rPr>
        <w:t xml:space="preserve">current </w:t>
      </w:r>
      <w:r w:rsidRPr="00992199">
        <w:rPr>
          <w:szCs w:val="20"/>
        </w:rPr>
        <w:t>Presi</w:t>
      </w:r>
      <w:r w:rsidR="00E34880">
        <w:rPr>
          <w:szCs w:val="20"/>
        </w:rPr>
        <w:t>dent of the Audit Committee, Mr</w:t>
      </w:r>
      <w:r w:rsidRPr="00992199">
        <w:rPr>
          <w:szCs w:val="20"/>
        </w:rPr>
        <w:t xml:space="preserve"> Frank Donck, </w:t>
      </w:r>
      <w:r w:rsidR="000115E1">
        <w:rPr>
          <w:szCs w:val="20"/>
        </w:rPr>
        <w:t xml:space="preserve">and the future President, the Marble BVBA (represented by its permanent representative Luc Van Nevel), </w:t>
      </w:r>
      <w:r w:rsidRPr="00992199">
        <w:rPr>
          <w:szCs w:val="20"/>
        </w:rPr>
        <w:t>compl</w:t>
      </w:r>
      <w:r w:rsidR="000115E1">
        <w:rPr>
          <w:szCs w:val="20"/>
        </w:rPr>
        <w:t>y</w:t>
      </w:r>
      <w:r w:rsidRPr="00992199">
        <w:rPr>
          <w:szCs w:val="20"/>
        </w:rPr>
        <w:t xml:space="preserve"> with the independence requirements and competence needs related to accounting and audit.</w:t>
      </w:r>
    </w:p>
    <w:p w:rsidR="003F0BC5" w:rsidRPr="00992199" w:rsidRDefault="003F0BC5" w:rsidP="00353B80">
      <w:pPr>
        <w:pStyle w:val="Firm5L4"/>
        <w:keepNext/>
      </w:pPr>
      <w:r w:rsidRPr="00992199">
        <w:t>Role</w:t>
      </w:r>
    </w:p>
    <w:p w:rsidR="003F0BC5" w:rsidRPr="00992199" w:rsidRDefault="003F0BC5" w:rsidP="003F0BC5">
      <w:pPr>
        <w:rPr>
          <w:szCs w:val="20"/>
        </w:rPr>
      </w:pPr>
      <w:r w:rsidRPr="00992199">
        <w:rPr>
          <w:szCs w:val="20"/>
        </w:rPr>
        <w:t xml:space="preserve">The Audit Committee provides support to the Board of Directors for carrying out its responsibilities of monitoring with the purpose of control to the largest extent. Thereby, the Audit Committee is responsible for (i) monitoring the financial reporting process, (ii) monitoring the efficiency of the internal control and risk management of </w:t>
      </w:r>
      <w:r w:rsidR="002A1AB1">
        <w:rPr>
          <w:szCs w:val="20"/>
        </w:rPr>
        <w:t>Greenyard Foods</w:t>
      </w:r>
      <w:r w:rsidRPr="00992199">
        <w:rPr>
          <w:szCs w:val="20"/>
        </w:rPr>
        <w:t>, (iii) monitoring the internal audit and its efficiency, (iv) monitoring the legal control of the annual accounts and the consolidated annual accounts, including the follow up of questions and recommendations formulated by the statutory auditor, and (v) assessment and monitoring of the independency of the statutory auditor.</w:t>
      </w:r>
    </w:p>
    <w:p w:rsidR="003F0BC5" w:rsidRPr="00992199" w:rsidRDefault="003F0BC5" w:rsidP="003F0BC5">
      <w:pPr>
        <w:rPr>
          <w:szCs w:val="20"/>
        </w:rPr>
      </w:pPr>
      <w:r w:rsidRPr="00992199">
        <w:rPr>
          <w:szCs w:val="20"/>
        </w:rPr>
        <w:t xml:space="preserve">The Audit Committee assists the Board of Directors with the supervision of the integrity of the financial information delivered by </w:t>
      </w:r>
      <w:r w:rsidR="002A1AB1">
        <w:rPr>
          <w:szCs w:val="20"/>
        </w:rPr>
        <w:t>Greenyard Foods</w:t>
      </w:r>
      <w:r w:rsidRPr="00992199">
        <w:rPr>
          <w:szCs w:val="20"/>
        </w:rPr>
        <w:t xml:space="preserve">. More in particular, it supervises the relevancy and the consistency of the accounting standards applied within the </w:t>
      </w:r>
      <w:r w:rsidR="005E6CD3">
        <w:rPr>
          <w:szCs w:val="20"/>
        </w:rPr>
        <w:t>Combined Greenyard Foods</w:t>
      </w:r>
      <w:r w:rsidR="005E6CD3" w:rsidRPr="00992199">
        <w:rPr>
          <w:szCs w:val="20"/>
        </w:rPr>
        <w:t xml:space="preserve"> </w:t>
      </w:r>
      <w:r w:rsidR="005E6CD3">
        <w:rPr>
          <w:szCs w:val="20"/>
        </w:rPr>
        <w:t>Group</w:t>
      </w:r>
      <w:r w:rsidR="000115E1">
        <w:rPr>
          <w:szCs w:val="20"/>
        </w:rPr>
        <w:t xml:space="preserve"> </w:t>
      </w:r>
      <w:r w:rsidRPr="00992199">
        <w:rPr>
          <w:szCs w:val="20"/>
        </w:rPr>
        <w:t xml:space="preserve">and </w:t>
      </w:r>
      <w:r w:rsidR="00102451" w:rsidRPr="00B95C66">
        <w:rPr>
          <w:i/>
          <w:szCs w:val="20"/>
        </w:rPr>
        <w:t>i.a.</w:t>
      </w:r>
      <w:r w:rsidRPr="00992199">
        <w:rPr>
          <w:szCs w:val="20"/>
        </w:rPr>
        <w:t xml:space="preserve"> the criteria used for the consolidation of the accounts of the companies of </w:t>
      </w:r>
      <w:r w:rsidR="00AA3763">
        <w:rPr>
          <w:szCs w:val="20"/>
        </w:rPr>
        <w:t>the</w:t>
      </w:r>
      <w:r w:rsidR="005E6CD3">
        <w:rPr>
          <w:szCs w:val="20"/>
        </w:rPr>
        <w:t xml:space="preserve"> Combined Greenyard Foods</w:t>
      </w:r>
      <w:r w:rsidR="005E6CD3" w:rsidRPr="00992199">
        <w:rPr>
          <w:szCs w:val="20"/>
        </w:rPr>
        <w:t xml:space="preserve"> </w:t>
      </w:r>
      <w:r w:rsidR="005E6CD3">
        <w:rPr>
          <w:szCs w:val="20"/>
        </w:rPr>
        <w:t>Group</w:t>
      </w:r>
      <w:r w:rsidRPr="00992199">
        <w:rPr>
          <w:szCs w:val="20"/>
        </w:rPr>
        <w:t>. This supervision covers the periodic information before it is announced and is based on the audit program used by the Audit Committee. The Audit Committee discusses the financial r</w:t>
      </w:r>
      <w:r w:rsidR="007F2150">
        <w:rPr>
          <w:szCs w:val="20"/>
        </w:rPr>
        <w:t xml:space="preserve">eporting methods with both the </w:t>
      </w:r>
      <w:r w:rsidR="008D49ED">
        <w:rPr>
          <w:szCs w:val="20"/>
        </w:rPr>
        <w:t>Executive Committee</w:t>
      </w:r>
      <w:r w:rsidRPr="00992199">
        <w:rPr>
          <w:szCs w:val="20"/>
        </w:rPr>
        <w:t xml:space="preserve"> and the statutory auditor.</w:t>
      </w:r>
    </w:p>
    <w:p w:rsidR="003F0BC5" w:rsidRPr="00992199" w:rsidRDefault="003F0BC5" w:rsidP="003F0BC5">
      <w:pPr>
        <w:rPr>
          <w:szCs w:val="20"/>
        </w:rPr>
      </w:pPr>
      <w:r w:rsidRPr="00992199">
        <w:rPr>
          <w:szCs w:val="20"/>
        </w:rPr>
        <w:t>At least once a year, the Audit Committee examines the systems of internal control and</w:t>
      </w:r>
      <w:r w:rsidR="007F2150">
        <w:rPr>
          <w:szCs w:val="20"/>
        </w:rPr>
        <w:t xml:space="preserve"> risk management set up by the </w:t>
      </w:r>
      <w:r w:rsidR="008D49ED">
        <w:rPr>
          <w:szCs w:val="20"/>
        </w:rPr>
        <w:t>Executive Committee</w:t>
      </w:r>
      <w:r w:rsidRPr="00992199">
        <w:rPr>
          <w:szCs w:val="20"/>
        </w:rPr>
        <w:t>, with the aim of ensuring that the main risks (including the ones relating to the non-compliance with law and regulations), are decently identified, managed and notified, in accordance with the framework approved by the Board of Directors. The Audit Committee verifies the statements in the annual accounts relating to internal control and risk management.</w:t>
      </w:r>
    </w:p>
    <w:p w:rsidR="003F0BC5" w:rsidRPr="00992199" w:rsidRDefault="003F0BC5" w:rsidP="003F0BC5">
      <w:pPr>
        <w:rPr>
          <w:szCs w:val="20"/>
        </w:rPr>
      </w:pPr>
      <w:r w:rsidRPr="00992199">
        <w:rPr>
          <w:szCs w:val="20"/>
        </w:rPr>
        <w:t>The Audit Committee assesses the working program of the internal auditor, taking into account the complementary role of the internal and external audit functions.</w:t>
      </w:r>
    </w:p>
    <w:p w:rsidR="003F0BC5" w:rsidRPr="00992199" w:rsidRDefault="003F0BC5" w:rsidP="003F0BC5">
      <w:pPr>
        <w:rPr>
          <w:szCs w:val="20"/>
        </w:rPr>
      </w:pPr>
      <w:r w:rsidRPr="00992199">
        <w:rPr>
          <w:szCs w:val="20"/>
        </w:rPr>
        <w:t>The Audit Committee is entrusted with the permanent supervision of the tasks executed by the statutory auditor. It is notified about the work program of the statutory auditor. The statutory audi</w:t>
      </w:r>
      <w:r w:rsidR="00B95C66">
        <w:rPr>
          <w:szCs w:val="20"/>
        </w:rPr>
        <w:t>tor needs to timely inform the Audit C</w:t>
      </w:r>
      <w:r w:rsidRPr="00992199">
        <w:rPr>
          <w:szCs w:val="20"/>
        </w:rPr>
        <w:t>ommittee about all matters arising as a result of the audit.</w:t>
      </w:r>
    </w:p>
    <w:p w:rsidR="003F0BC5" w:rsidRPr="00992199" w:rsidRDefault="003F0BC5" w:rsidP="00353B80">
      <w:pPr>
        <w:pStyle w:val="Firm5L3"/>
        <w:keepNext/>
      </w:pPr>
      <w:r w:rsidRPr="00992199">
        <w:lastRenderedPageBreak/>
        <w:t>Remuneration and Nomination Committee</w:t>
      </w:r>
    </w:p>
    <w:p w:rsidR="003F0BC5" w:rsidRPr="00992199" w:rsidRDefault="003F0BC5" w:rsidP="003F0BC5">
      <w:pPr>
        <w:rPr>
          <w:szCs w:val="20"/>
        </w:rPr>
      </w:pPr>
      <w:r w:rsidRPr="00992199">
        <w:rPr>
          <w:szCs w:val="20"/>
        </w:rPr>
        <w:t xml:space="preserve">The Board of Directors has established a Remuneration and Nomination Committee in accordance with article 526quarter </w:t>
      </w:r>
      <w:r w:rsidR="0055687C">
        <w:rPr>
          <w:szCs w:val="20"/>
        </w:rPr>
        <w:t>BCC</w:t>
      </w:r>
      <w:r w:rsidRPr="00992199">
        <w:rPr>
          <w:szCs w:val="20"/>
        </w:rPr>
        <w:t>.</w:t>
      </w:r>
    </w:p>
    <w:p w:rsidR="003F0BC5" w:rsidRPr="00992199" w:rsidRDefault="003F0BC5" w:rsidP="00353B80">
      <w:pPr>
        <w:pStyle w:val="Firm5L4"/>
        <w:keepNext/>
      </w:pPr>
      <w:r w:rsidRPr="00992199">
        <w:t>Composition</w:t>
      </w:r>
    </w:p>
    <w:p w:rsidR="003F0BC5" w:rsidRPr="00992199" w:rsidRDefault="003F0BC5" w:rsidP="003F0BC5">
      <w:pPr>
        <w:rPr>
          <w:szCs w:val="20"/>
        </w:rPr>
      </w:pPr>
      <w:r w:rsidRPr="00992199">
        <w:rPr>
          <w:szCs w:val="20"/>
        </w:rPr>
        <w:t>On the date of this Prospectus, the Remuneration and Nomination Committee consists of three members (directors):</w:t>
      </w:r>
    </w:p>
    <w:p w:rsidR="003F0BC5" w:rsidRPr="00992199" w:rsidRDefault="003F0BC5" w:rsidP="004F6097">
      <w:pPr>
        <w:pStyle w:val="BulletsL1"/>
      </w:pPr>
      <w:r w:rsidRPr="00992199">
        <w:t>The Marble BVBA (represented by its permanent representative Luc Van Nevel) is president of the Remuneration and Nomination Committee,</w:t>
      </w:r>
    </w:p>
    <w:p w:rsidR="003F0BC5" w:rsidRPr="00992199" w:rsidRDefault="003F0BC5" w:rsidP="004F6097">
      <w:pPr>
        <w:pStyle w:val="BulletsL1"/>
      </w:pPr>
      <w:r w:rsidRPr="00992199">
        <w:t>Ardiego BVBA (represented by its permanent representative Arthur Goethals), and</w:t>
      </w:r>
    </w:p>
    <w:p w:rsidR="003F0BC5" w:rsidRPr="00992199" w:rsidRDefault="003F0BC5" w:rsidP="004F6097">
      <w:pPr>
        <w:pStyle w:val="BulletsL1"/>
      </w:pPr>
      <w:r w:rsidRPr="00992199">
        <w:t>Management Deprez BVBA (represented by its permanent representative Veerle Deprez).</w:t>
      </w:r>
    </w:p>
    <w:p w:rsidR="003F0BC5" w:rsidRPr="00992199" w:rsidRDefault="003F0BC5" w:rsidP="003F0BC5">
      <w:pPr>
        <w:rPr>
          <w:szCs w:val="20"/>
        </w:rPr>
      </w:pPr>
      <w:r w:rsidRPr="00992199">
        <w:rPr>
          <w:szCs w:val="20"/>
        </w:rPr>
        <w:t>Subject to and effective as of the completion of the Transactions, the Remuneration and Nomination Committee shall consist of four members (directors) and shall be composed as follows:</w:t>
      </w:r>
    </w:p>
    <w:p w:rsidR="003F0BC5" w:rsidRPr="00992199" w:rsidRDefault="003F0BC5" w:rsidP="004F6097">
      <w:pPr>
        <w:pStyle w:val="BulletsL1"/>
      </w:pPr>
      <w:r w:rsidRPr="00992199">
        <w:t>Bonem BVBA (represented by its permanent representative Marc Ooms) is president of the Remuneration and Nomination Committee,</w:t>
      </w:r>
    </w:p>
    <w:p w:rsidR="003F0BC5" w:rsidRPr="00992199" w:rsidRDefault="003F0BC5" w:rsidP="004F6097">
      <w:pPr>
        <w:pStyle w:val="BulletsL1"/>
      </w:pPr>
      <w:r w:rsidRPr="00992199">
        <w:t xml:space="preserve">Deprez Invest NV (represented by its permanent representative </w:t>
      </w:r>
      <w:r w:rsidR="00334BBC">
        <w:t>Mr Hein Deprez</w:t>
      </w:r>
      <w:r w:rsidRPr="00992199">
        <w:t>),</w:t>
      </w:r>
    </w:p>
    <w:p w:rsidR="003F0BC5" w:rsidRPr="00992199" w:rsidRDefault="003F0BC5" w:rsidP="004F6097">
      <w:pPr>
        <w:pStyle w:val="BulletsL1"/>
      </w:pPr>
      <w:r w:rsidRPr="00992199">
        <w:t>Ardiego BVBA (represented by its permanent representative Arthur Goethals), and</w:t>
      </w:r>
    </w:p>
    <w:p w:rsidR="003F0BC5" w:rsidRPr="00992199" w:rsidRDefault="003F0BC5" w:rsidP="004F6097">
      <w:pPr>
        <w:pStyle w:val="BulletsL1"/>
      </w:pPr>
      <w:r w:rsidRPr="00992199">
        <w:t>Management Deprez BVBA (represented by its permanent representative Veerle Deprez).</w:t>
      </w:r>
    </w:p>
    <w:p w:rsidR="003F0BC5" w:rsidRPr="00992199" w:rsidRDefault="003F0BC5" w:rsidP="003F0BC5">
      <w:pPr>
        <w:rPr>
          <w:szCs w:val="20"/>
        </w:rPr>
      </w:pPr>
      <w:r w:rsidRPr="00992199">
        <w:rPr>
          <w:szCs w:val="20"/>
        </w:rPr>
        <w:t>The CEO participates to the meetings of the Remuneration and Nomination Committee when it deliberates upon the appointment and remu</w:t>
      </w:r>
      <w:r w:rsidR="007F2150">
        <w:rPr>
          <w:szCs w:val="20"/>
        </w:rPr>
        <w:t xml:space="preserve">neration of the members of the </w:t>
      </w:r>
      <w:r w:rsidR="008D49ED">
        <w:rPr>
          <w:szCs w:val="20"/>
        </w:rPr>
        <w:t>Executive Committee</w:t>
      </w:r>
      <w:r w:rsidRPr="00992199">
        <w:rPr>
          <w:szCs w:val="20"/>
        </w:rPr>
        <w:t>.</w:t>
      </w:r>
    </w:p>
    <w:p w:rsidR="003F0BC5" w:rsidRPr="00992199" w:rsidRDefault="003F0BC5" w:rsidP="003F0BC5">
      <w:pPr>
        <w:rPr>
          <w:szCs w:val="20"/>
        </w:rPr>
      </w:pPr>
      <w:r w:rsidRPr="00992199">
        <w:rPr>
          <w:szCs w:val="20"/>
        </w:rPr>
        <w:t>The President of the Board of Directors is President of the Remuneration and Nomination Committee. He does not preside the committee if it deliberates upon the appointment of his or her successor, nor when it deliberates upon his or her own remuneration package.</w:t>
      </w:r>
    </w:p>
    <w:p w:rsidR="000115E1" w:rsidRDefault="003F0BC5" w:rsidP="000115E1">
      <w:pPr>
        <w:rPr>
          <w:szCs w:val="20"/>
        </w:rPr>
      </w:pPr>
      <w:r w:rsidRPr="00992199">
        <w:rPr>
          <w:szCs w:val="20"/>
        </w:rPr>
        <w:t>The Remuneration and Nomination Committee consists exclusively of non-executive directors. The majority of the members of the Remuneration and Nomination Committee are independent directors.</w:t>
      </w:r>
      <w:r w:rsidR="00C14169">
        <w:rPr>
          <w:szCs w:val="20"/>
        </w:rPr>
        <w:t xml:space="preserve"> </w:t>
      </w:r>
    </w:p>
    <w:p w:rsidR="003F0BC5" w:rsidRPr="00992199" w:rsidRDefault="000115E1" w:rsidP="000115E1">
      <w:pPr>
        <w:rPr>
          <w:szCs w:val="20"/>
        </w:rPr>
      </w:pPr>
      <w:r>
        <w:rPr>
          <w:szCs w:val="20"/>
        </w:rPr>
        <w:t>Upon completion of the Transactions</w:t>
      </w:r>
      <w:r w:rsidR="00AA3231">
        <w:rPr>
          <w:szCs w:val="20"/>
        </w:rPr>
        <w:t>,</w:t>
      </w:r>
      <w:r>
        <w:rPr>
          <w:szCs w:val="20"/>
        </w:rPr>
        <w:t xml:space="preserve"> the majority of the members </w:t>
      </w:r>
      <w:r w:rsidR="00AA3231">
        <w:rPr>
          <w:szCs w:val="20"/>
        </w:rPr>
        <w:t xml:space="preserve">of </w:t>
      </w:r>
      <w:r w:rsidR="00AA3231" w:rsidRPr="00AA3231">
        <w:rPr>
          <w:szCs w:val="20"/>
        </w:rPr>
        <w:t xml:space="preserve">the Remuneration and Nomination Committee </w:t>
      </w:r>
      <w:r>
        <w:rPr>
          <w:szCs w:val="20"/>
        </w:rPr>
        <w:t xml:space="preserve">will no longer by independent directors and one of its members will have be an executive </w:t>
      </w:r>
      <w:r w:rsidR="00AA3231">
        <w:rPr>
          <w:szCs w:val="20"/>
        </w:rPr>
        <w:t xml:space="preserve">member (namely the Chairman). </w:t>
      </w:r>
      <w:r>
        <w:rPr>
          <w:szCs w:val="20"/>
        </w:rPr>
        <w:t>The Company will thus derogate from Recommendation 5.4./1 of the Belg</w:t>
      </w:r>
      <w:r w:rsidR="00222C9F">
        <w:rPr>
          <w:szCs w:val="20"/>
        </w:rPr>
        <w:t>ian Corporate Governance Code. The Company believes that this allows for a Remuneration and Nomination Committee that combines the best industry and remuneration policy expertise.</w:t>
      </w:r>
    </w:p>
    <w:p w:rsidR="003F0BC5" w:rsidRPr="00992199" w:rsidRDefault="003F0BC5" w:rsidP="00353B80">
      <w:pPr>
        <w:pStyle w:val="Firm5L4"/>
        <w:keepNext/>
      </w:pPr>
      <w:r w:rsidRPr="00992199">
        <w:t>Role</w:t>
      </w:r>
    </w:p>
    <w:p w:rsidR="003F0BC5" w:rsidRPr="00992199" w:rsidRDefault="003F0BC5" w:rsidP="003F0BC5">
      <w:pPr>
        <w:rPr>
          <w:szCs w:val="20"/>
        </w:rPr>
      </w:pPr>
      <w:r w:rsidRPr="00992199">
        <w:rPr>
          <w:szCs w:val="20"/>
        </w:rPr>
        <w:t xml:space="preserve">The Board of Directors has established the role, the composition and working of the Remuneration and Nomination Committee in a </w:t>
      </w:r>
      <w:r w:rsidR="00BF553B">
        <w:rPr>
          <w:szCs w:val="20"/>
        </w:rPr>
        <w:t>“</w:t>
      </w:r>
      <w:r w:rsidRPr="00992199">
        <w:rPr>
          <w:szCs w:val="20"/>
        </w:rPr>
        <w:t>Code of the Remuneration and Nomination Committee</w:t>
      </w:r>
      <w:r w:rsidR="00BF553B">
        <w:rPr>
          <w:szCs w:val="20"/>
        </w:rPr>
        <w:t>”</w:t>
      </w:r>
      <w:r w:rsidRPr="00992199">
        <w:rPr>
          <w:szCs w:val="20"/>
        </w:rPr>
        <w:t xml:space="preserve">, attached as annex 4 of the Corporate Governance Charter, set up and approved by the Board of Directors dated 18 March 2014 and to be consulted on the </w:t>
      </w:r>
      <w:r w:rsidR="00B95C66">
        <w:rPr>
          <w:szCs w:val="20"/>
        </w:rPr>
        <w:t xml:space="preserve">Company’s </w:t>
      </w:r>
      <w:r w:rsidRPr="00992199">
        <w:rPr>
          <w:szCs w:val="20"/>
        </w:rPr>
        <w:t>website (</w:t>
      </w:r>
      <w:hyperlink r:id="rId23" w:history="1">
        <w:r w:rsidR="002A1AB1">
          <w:rPr>
            <w:rStyle w:val="Hyperlink"/>
            <w:color w:val="auto"/>
            <w:szCs w:val="20"/>
            <w:u w:val="none"/>
          </w:rPr>
          <w:t>www.greenyardfoods.com</w:t>
        </w:r>
      </w:hyperlink>
      <w:r w:rsidRPr="00992199">
        <w:rPr>
          <w:szCs w:val="20"/>
        </w:rPr>
        <w:t>).</w:t>
      </w:r>
    </w:p>
    <w:p w:rsidR="003F0BC5" w:rsidRPr="00992199" w:rsidRDefault="003F0BC5" w:rsidP="003F0BC5">
      <w:pPr>
        <w:rPr>
          <w:szCs w:val="20"/>
        </w:rPr>
      </w:pPr>
      <w:r w:rsidRPr="00992199">
        <w:rPr>
          <w:szCs w:val="20"/>
        </w:rPr>
        <w:t>The Remuneration and Nomination Committee supports the Board of Directors with all matters relating to the appointment and remuneration of th</w:t>
      </w:r>
      <w:r w:rsidR="007F2150">
        <w:rPr>
          <w:szCs w:val="20"/>
        </w:rPr>
        <w:t xml:space="preserve">e directors and members of the </w:t>
      </w:r>
      <w:r w:rsidR="008D49ED">
        <w:rPr>
          <w:szCs w:val="20"/>
        </w:rPr>
        <w:t>Executive Committee</w:t>
      </w:r>
      <w:r w:rsidRPr="00992199">
        <w:rPr>
          <w:szCs w:val="20"/>
        </w:rPr>
        <w:t xml:space="preserve"> and with the matters for which the Board of Directors or the President of the Board of Directors wants to consult the Remuneration and Nomination Committee for advice. Concerning the appointment policy, the proposals done by the relevant parties, including management and the shareholders, are taken into consideration.</w:t>
      </w:r>
    </w:p>
    <w:p w:rsidR="003F0BC5" w:rsidRPr="00992199" w:rsidRDefault="003F0BC5" w:rsidP="003F0BC5">
      <w:pPr>
        <w:rPr>
          <w:szCs w:val="20"/>
        </w:rPr>
      </w:pPr>
      <w:r w:rsidRPr="00992199">
        <w:rPr>
          <w:szCs w:val="20"/>
        </w:rPr>
        <w:t>The remuneration policy that is proposed by the Remuneration and Nomination Committee to the Board of Directors, consists at least the following elements: (i) the main contractual provisions, including the most important characteristics of pension schemes and exit arrangements, and (ii) the main elements determining the remuneration, including performance criteria, benefits in kind and the relative importance of each part of the remuneration.</w:t>
      </w:r>
    </w:p>
    <w:p w:rsidR="003F0BC5" w:rsidRPr="00992199" w:rsidRDefault="003F0BC5" w:rsidP="003F0BC5">
      <w:pPr>
        <w:rPr>
          <w:szCs w:val="20"/>
        </w:rPr>
      </w:pPr>
      <w:r w:rsidRPr="00992199">
        <w:rPr>
          <w:szCs w:val="20"/>
        </w:rPr>
        <w:t>Thereby, the Remuneration and Nomination Committee gives recommendations about the individual remuneration of the directors and the members of the management, including bonuses and long term incentives, whether or not stock-linked compensation, in the form of stock options or other financial instruments.</w:t>
      </w:r>
    </w:p>
    <w:p w:rsidR="003F0BC5" w:rsidRPr="00992199" w:rsidRDefault="003F0BC5" w:rsidP="00353B80">
      <w:pPr>
        <w:pStyle w:val="Firm5L3"/>
        <w:keepNext/>
      </w:pPr>
      <w:r w:rsidRPr="00992199">
        <w:lastRenderedPageBreak/>
        <w:t>Strategic Committee</w:t>
      </w:r>
    </w:p>
    <w:p w:rsidR="003F0BC5" w:rsidRPr="00992199" w:rsidRDefault="003F0BC5" w:rsidP="003F0BC5">
      <w:pPr>
        <w:rPr>
          <w:szCs w:val="20"/>
        </w:rPr>
      </w:pPr>
      <w:r w:rsidRPr="00992199">
        <w:rPr>
          <w:szCs w:val="20"/>
        </w:rPr>
        <w:t>The Board of Directors has established a Strategic Committee.</w:t>
      </w:r>
    </w:p>
    <w:p w:rsidR="003F0BC5" w:rsidRPr="00992199" w:rsidRDefault="003F0BC5" w:rsidP="00353B80">
      <w:pPr>
        <w:pStyle w:val="Firm5L4"/>
        <w:keepNext/>
      </w:pPr>
      <w:r w:rsidRPr="00992199">
        <w:t>Composition</w:t>
      </w:r>
    </w:p>
    <w:p w:rsidR="003F0BC5" w:rsidRPr="00992199" w:rsidRDefault="003F0BC5" w:rsidP="003F0BC5">
      <w:pPr>
        <w:rPr>
          <w:szCs w:val="20"/>
        </w:rPr>
      </w:pPr>
      <w:r w:rsidRPr="00992199">
        <w:rPr>
          <w:szCs w:val="20"/>
        </w:rPr>
        <w:t>On the date of this Prospectus, the Strategic Committee consists of five members (directors):</w:t>
      </w:r>
    </w:p>
    <w:p w:rsidR="003F0BC5" w:rsidRPr="00992199" w:rsidRDefault="003F0BC5" w:rsidP="004F6097">
      <w:pPr>
        <w:pStyle w:val="BulletsL1"/>
      </w:pPr>
      <w:r w:rsidRPr="00992199">
        <w:t xml:space="preserve">Deprez Invest NV (represented by its permanent representative </w:t>
      </w:r>
      <w:r w:rsidR="00334BBC">
        <w:t>Mr Hein Deprez</w:t>
      </w:r>
      <w:r w:rsidRPr="00992199">
        <w:t>),</w:t>
      </w:r>
    </w:p>
    <w:p w:rsidR="003F0BC5" w:rsidRPr="00992199" w:rsidRDefault="003F0BC5" w:rsidP="004F6097">
      <w:pPr>
        <w:pStyle w:val="BulletsL1"/>
      </w:pPr>
      <w:r w:rsidRPr="00992199">
        <w:t>Ardiego BVBA (represented by its permanent representative Arthur Goethals),</w:t>
      </w:r>
    </w:p>
    <w:p w:rsidR="003F0BC5" w:rsidRPr="00992199" w:rsidRDefault="003F0BC5" w:rsidP="004F6097">
      <w:pPr>
        <w:pStyle w:val="BulletsL1"/>
      </w:pPr>
      <w:r w:rsidRPr="00992199">
        <w:t>Peter Maenhout,</w:t>
      </w:r>
    </w:p>
    <w:p w:rsidR="003F0BC5" w:rsidRPr="00992199" w:rsidRDefault="003F0BC5" w:rsidP="004F6097">
      <w:pPr>
        <w:pStyle w:val="BulletsL1"/>
      </w:pPr>
      <w:r w:rsidRPr="00992199">
        <w:t>Jozef Marc Rosiers,</w:t>
      </w:r>
    </w:p>
    <w:p w:rsidR="003F0BC5" w:rsidRPr="00992199" w:rsidRDefault="003F0BC5" w:rsidP="00105E1E">
      <w:pPr>
        <w:pStyle w:val="BulletsL1"/>
      </w:pPr>
      <w:r w:rsidRPr="00992199">
        <w:t>Mavac BVBA</w:t>
      </w:r>
      <w:r w:rsidR="00105E1E">
        <w:t xml:space="preserve"> </w:t>
      </w:r>
      <w:r w:rsidR="00105E1E" w:rsidRPr="00105E1E">
        <w:t xml:space="preserve">(represented by its permanent representative </w:t>
      </w:r>
      <w:r w:rsidR="00E34880">
        <w:t>Ms</w:t>
      </w:r>
      <w:r w:rsidRPr="00992199">
        <w:t xml:space="preserve"> Marleen Vaesen</w:t>
      </w:r>
      <w:r w:rsidR="00105E1E">
        <w:t>)</w:t>
      </w:r>
      <w:r w:rsidRPr="00992199">
        <w:t>.</w:t>
      </w:r>
    </w:p>
    <w:p w:rsidR="003F0BC5" w:rsidRPr="00992199" w:rsidRDefault="003F0BC5" w:rsidP="003F0BC5">
      <w:pPr>
        <w:rPr>
          <w:kern w:val="20"/>
          <w:szCs w:val="20"/>
        </w:rPr>
      </w:pPr>
      <w:r w:rsidRPr="00992199">
        <w:rPr>
          <w:kern w:val="20"/>
          <w:szCs w:val="20"/>
        </w:rPr>
        <w:t xml:space="preserve">On 24 November 2014, </w:t>
      </w:r>
      <w:smartTag w:uri="urn:schemas-microsoft-com:office:smarttags" w:element="place">
        <w:smartTag w:uri="urn:schemas-microsoft-com:office:smarttags" w:element="City">
          <w:r w:rsidRPr="00992199">
            <w:rPr>
              <w:kern w:val="20"/>
              <w:szCs w:val="20"/>
            </w:rPr>
            <w:t>Vijverbos</w:t>
          </w:r>
        </w:smartTag>
        <w:r w:rsidRPr="00992199">
          <w:rPr>
            <w:kern w:val="20"/>
            <w:szCs w:val="20"/>
          </w:rPr>
          <w:t xml:space="preserve"> </w:t>
        </w:r>
        <w:smartTag w:uri="urn:schemas-microsoft-com:office:smarttags" w:element="State">
          <w:r w:rsidRPr="00992199">
            <w:rPr>
              <w:kern w:val="20"/>
              <w:szCs w:val="20"/>
            </w:rPr>
            <w:t>NV</w:t>
          </w:r>
        </w:smartTag>
      </w:smartTag>
      <w:r w:rsidRPr="00992199">
        <w:rPr>
          <w:kern w:val="20"/>
          <w:szCs w:val="20"/>
        </w:rPr>
        <w:t>, w</w:t>
      </w:r>
      <w:r w:rsidR="00E34880">
        <w:rPr>
          <w:kern w:val="20"/>
          <w:szCs w:val="20"/>
        </w:rPr>
        <w:t>ith permanent representative Mr</w:t>
      </w:r>
      <w:r w:rsidRPr="00992199">
        <w:rPr>
          <w:kern w:val="20"/>
          <w:szCs w:val="20"/>
        </w:rPr>
        <w:t xml:space="preserve"> Herwig Dejonghe, resigned as a member of the </w:t>
      </w:r>
      <w:r w:rsidR="008D49ED">
        <w:rPr>
          <w:kern w:val="20"/>
          <w:szCs w:val="20"/>
        </w:rPr>
        <w:t>Executive Committee</w:t>
      </w:r>
      <w:r w:rsidRPr="00992199">
        <w:rPr>
          <w:kern w:val="20"/>
          <w:szCs w:val="20"/>
        </w:rPr>
        <w:t>.</w:t>
      </w:r>
    </w:p>
    <w:p w:rsidR="003F0BC5" w:rsidRPr="00992199" w:rsidRDefault="003F0BC5" w:rsidP="003F0BC5">
      <w:pPr>
        <w:rPr>
          <w:szCs w:val="20"/>
        </w:rPr>
      </w:pPr>
      <w:r w:rsidRPr="00992199">
        <w:rPr>
          <w:szCs w:val="20"/>
        </w:rPr>
        <w:t>Subject to and effective as of the completion of the Transactions, the Strategic Committee shall consist of seven members (directors) and shall be composed as follows:</w:t>
      </w:r>
    </w:p>
    <w:p w:rsidR="003F0BC5" w:rsidRPr="00992199" w:rsidRDefault="003F0BC5" w:rsidP="004F6097">
      <w:pPr>
        <w:pStyle w:val="BulletsL1"/>
      </w:pPr>
      <w:r w:rsidRPr="00992199">
        <w:t xml:space="preserve">Deprez Invest NV (represented by its permanent representative </w:t>
      </w:r>
      <w:r w:rsidR="00334BBC">
        <w:t>Mr Hein Deprez</w:t>
      </w:r>
      <w:r w:rsidR="00105E1E">
        <w:t>) is p</w:t>
      </w:r>
      <w:r w:rsidRPr="00992199">
        <w:t>resident of the Strategic Committee,</w:t>
      </w:r>
    </w:p>
    <w:p w:rsidR="003F0BC5" w:rsidRPr="00992199" w:rsidRDefault="003F0BC5" w:rsidP="00B95C66">
      <w:pPr>
        <w:pStyle w:val="BulletsL1"/>
      </w:pPr>
      <w:r w:rsidRPr="00992199">
        <w:t>Jozef Marc Rosiers,</w:t>
      </w:r>
    </w:p>
    <w:p w:rsidR="003F0BC5" w:rsidRPr="00992199" w:rsidRDefault="003F0BC5" w:rsidP="00B95C66">
      <w:pPr>
        <w:pStyle w:val="BulletsL1"/>
      </w:pPr>
      <w:r w:rsidRPr="00992199">
        <w:t>Peter Maenhout,</w:t>
      </w:r>
    </w:p>
    <w:p w:rsidR="003F0BC5" w:rsidRPr="00992199" w:rsidRDefault="003F0BC5" w:rsidP="00B95C66">
      <w:pPr>
        <w:pStyle w:val="BulletsL1"/>
      </w:pPr>
      <w:r w:rsidRPr="00992199">
        <w:t>Peter Gain,</w:t>
      </w:r>
    </w:p>
    <w:p w:rsidR="003F0BC5" w:rsidRPr="00992199" w:rsidRDefault="003F0BC5" w:rsidP="00B95C66">
      <w:pPr>
        <w:pStyle w:val="BulletsL1"/>
      </w:pPr>
      <w:r w:rsidRPr="00992199">
        <w:t>Mavac BVBA</w:t>
      </w:r>
      <w:r w:rsidR="00B95C66">
        <w:t xml:space="preserve"> (</w:t>
      </w:r>
      <w:r w:rsidR="00B95C66" w:rsidRPr="00B95C66">
        <w:t>represented by its permanent representative</w:t>
      </w:r>
      <w:r w:rsidR="00E34880">
        <w:t xml:space="preserve"> Ms</w:t>
      </w:r>
      <w:r w:rsidRPr="00992199">
        <w:t xml:space="preserve"> Marleen Vaesen</w:t>
      </w:r>
      <w:r w:rsidR="00B95C66">
        <w:t>)</w:t>
      </w:r>
      <w:r w:rsidRPr="00992199">
        <w:t>,</w:t>
      </w:r>
    </w:p>
    <w:p w:rsidR="003F0BC5" w:rsidRPr="00992199" w:rsidRDefault="00B95C66" w:rsidP="004F6097">
      <w:pPr>
        <w:pStyle w:val="BulletsL1"/>
      </w:pPr>
      <w:r>
        <w:t xml:space="preserve">Argalix BVBA, (represented by its permanent representative </w:t>
      </w:r>
      <w:r w:rsidR="003F0BC5" w:rsidRPr="00992199">
        <w:t>Francis Kint</w:t>
      </w:r>
      <w:r>
        <w:t>)</w:t>
      </w:r>
      <w:r w:rsidR="003F0BC5" w:rsidRPr="00992199">
        <w:t>, and</w:t>
      </w:r>
    </w:p>
    <w:p w:rsidR="003F0BC5" w:rsidRPr="00992199" w:rsidRDefault="003F0BC5" w:rsidP="004F6097">
      <w:pPr>
        <w:pStyle w:val="BulletsL1"/>
      </w:pPr>
      <w:r w:rsidRPr="00992199">
        <w:t>Ardiego BVBA (represented by its permanent representative Arthur Goethals).</w:t>
      </w:r>
    </w:p>
    <w:p w:rsidR="003F0BC5" w:rsidRPr="00992199" w:rsidRDefault="003F0BC5" w:rsidP="003F0BC5">
      <w:pPr>
        <w:rPr>
          <w:kern w:val="20"/>
          <w:szCs w:val="20"/>
        </w:rPr>
      </w:pPr>
      <w:r w:rsidRPr="00992199">
        <w:rPr>
          <w:kern w:val="20"/>
          <w:szCs w:val="20"/>
        </w:rPr>
        <w:t>The Strategic Committee meets at least three times per financial year.</w:t>
      </w:r>
    </w:p>
    <w:p w:rsidR="003F0BC5" w:rsidRPr="00992199" w:rsidRDefault="003F0BC5" w:rsidP="00353B80">
      <w:pPr>
        <w:pStyle w:val="Firm5L4"/>
        <w:keepNext/>
      </w:pPr>
      <w:r w:rsidRPr="00992199">
        <w:t>Role</w:t>
      </w:r>
    </w:p>
    <w:p w:rsidR="003F0BC5" w:rsidRPr="00992199" w:rsidRDefault="003F0BC5" w:rsidP="003F0BC5">
      <w:pPr>
        <w:rPr>
          <w:kern w:val="20"/>
          <w:szCs w:val="20"/>
        </w:rPr>
      </w:pPr>
      <w:r w:rsidRPr="00992199">
        <w:rPr>
          <w:kern w:val="20"/>
          <w:szCs w:val="20"/>
        </w:rPr>
        <w:t>The Strategic Committee has the assignment to advise the Board of Directors with regards to the guidelines of the general policy and strategy of the enterprise and mergers and acquisitions. The focus of the Strategic Committee lies a.o. with Agro and production until marketing and sales, strategic orientation, expansion politics, strategic human resources policy, etc.</w:t>
      </w:r>
    </w:p>
    <w:p w:rsidR="003F0BC5" w:rsidRPr="00992199" w:rsidRDefault="003F0BC5" w:rsidP="003F0BC5">
      <w:pPr>
        <w:rPr>
          <w:kern w:val="20"/>
          <w:szCs w:val="20"/>
        </w:rPr>
      </w:pPr>
      <w:r w:rsidRPr="00992199">
        <w:rPr>
          <w:kern w:val="20"/>
          <w:szCs w:val="20"/>
        </w:rPr>
        <w:t xml:space="preserve">The Strategic Committee discussed the following </w:t>
      </w:r>
      <w:r w:rsidR="00105E1E">
        <w:rPr>
          <w:kern w:val="20"/>
          <w:szCs w:val="20"/>
        </w:rPr>
        <w:t>matters</w:t>
      </w:r>
      <w:r w:rsidRPr="00992199">
        <w:rPr>
          <w:kern w:val="20"/>
          <w:szCs w:val="20"/>
        </w:rPr>
        <w:t xml:space="preserve"> in the financial year end</w:t>
      </w:r>
      <w:r w:rsidR="00105E1E">
        <w:rPr>
          <w:kern w:val="20"/>
          <w:szCs w:val="20"/>
        </w:rPr>
        <w:t>ed</w:t>
      </w:r>
      <w:r w:rsidRPr="00992199">
        <w:rPr>
          <w:kern w:val="20"/>
          <w:szCs w:val="20"/>
        </w:rPr>
        <w:t xml:space="preserve"> on 31 March 2015.</w:t>
      </w:r>
    </w:p>
    <w:p w:rsidR="003F0BC5" w:rsidRPr="00992199" w:rsidRDefault="003F0BC5" w:rsidP="004F6097">
      <w:pPr>
        <w:pStyle w:val="BulletsL1"/>
      </w:pPr>
      <w:r w:rsidRPr="00992199">
        <w:t>Defining agenda points for financial years 2014/2015 and 2015/2016</w:t>
      </w:r>
    </w:p>
    <w:p w:rsidR="003F0BC5" w:rsidRPr="00992199" w:rsidRDefault="003F0BC5" w:rsidP="004F6097">
      <w:pPr>
        <w:pStyle w:val="BulletsL1"/>
      </w:pPr>
      <w:r w:rsidRPr="00992199">
        <w:t>Agro strategic plan</w:t>
      </w:r>
    </w:p>
    <w:p w:rsidR="003F0BC5" w:rsidRPr="00992199" w:rsidRDefault="003F0BC5" w:rsidP="005E6CD3">
      <w:pPr>
        <w:pStyle w:val="BulletsL1"/>
      </w:pPr>
      <w:r w:rsidRPr="00992199">
        <w:t xml:space="preserve">Strategic and financial long term plan for </w:t>
      </w:r>
      <w:r w:rsidR="005E6CD3" w:rsidRPr="005E6CD3">
        <w:t>the Combined Greenyard Foods Group</w:t>
      </w:r>
      <w:r w:rsidRPr="00992199">
        <w:t>, the Frozen Division and Canning Division</w:t>
      </w:r>
    </w:p>
    <w:p w:rsidR="003F0BC5" w:rsidRPr="00762140" w:rsidRDefault="003F0BC5" w:rsidP="004F6097">
      <w:pPr>
        <w:pStyle w:val="BulletsL1"/>
      </w:pPr>
      <w:r w:rsidRPr="00762140">
        <w:t xml:space="preserve">Evaluation of the </w:t>
      </w:r>
      <w:r w:rsidRPr="00762140">
        <w:rPr>
          <w:kern w:val="20"/>
        </w:rPr>
        <w:t>functioning</w:t>
      </w:r>
      <w:r w:rsidRPr="00762140">
        <w:t xml:space="preserve"> of the Strategic Committee</w:t>
      </w:r>
    </w:p>
    <w:p w:rsidR="003F0BC5" w:rsidRPr="00762140" w:rsidRDefault="003F0BC5" w:rsidP="00353B80">
      <w:pPr>
        <w:pStyle w:val="Firm5L1"/>
        <w:keepNext/>
      </w:pPr>
      <w:bookmarkStart w:id="44" w:name="_Toc420593864"/>
      <w:r w:rsidRPr="00762140">
        <w:t>Employees</w:t>
      </w:r>
      <w:bookmarkEnd w:id="44"/>
    </w:p>
    <w:p w:rsidR="003F0BC5" w:rsidRPr="00762140" w:rsidRDefault="003F0BC5" w:rsidP="003F0BC5">
      <w:pPr>
        <w:rPr>
          <w:szCs w:val="20"/>
        </w:rPr>
      </w:pPr>
      <w:r w:rsidRPr="00762140">
        <w:rPr>
          <w:szCs w:val="20"/>
        </w:rPr>
        <w:t>See Part IV (</w:t>
      </w:r>
      <w:r w:rsidRPr="00762140">
        <w:rPr>
          <w:i/>
          <w:szCs w:val="20"/>
        </w:rPr>
        <w:t>The Contributions</w:t>
      </w:r>
      <w:r w:rsidRPr="00762140">
        <w:rPr>
          <w:szCs w:val="20"/>
        </w:rPr>
        <w:t>).</w:t>
      </w:r>
    </w:p>
    <w:p w:rsidR="003F0BC5" w:rsidRPr="00762140" w:rsidRDefault="003F0BC5" w:rsidP="00353B80">
      <w:pPr>
        <w:pStyle w:val="Firm5L1"/>
        <w:keepNext/>
      </w:pPr>
      <w:bookmarkStart w:id="45" w:name="_Toc420593865"/>
      <w:r w:rsidRPr="00762140">
        <w:t>Properties</w:t>
      </w:r>
      <w:bookmarkEnd w:id="45"/>
    </w:p>
    <w:p w:rsidR="003F0BC5" w:rsidRPr="00762140" w:rsidRDefault="003F0BC5" w:rsidP="00D921A5">
      <w:r w:rsidRPr="00762140">
        <w:t>See Part IV (</w:t>
      </w:r>
      <w:r w:rsidRPr="00762140">
        <w:rPr>
          <w:i/>
        </w:rPr>
        <w:t>The Contributions</w:t>
      </w:r>
      <w:r w:rsidRPr="00762140">
        <w:t>).</w:t>
      </w:r>
    </w:p>
    <w:p w:rsidR="003F0BC5" w:rsidRPr="00762140" w:rsidRDefault="003F0BC5" w:rsidP="00353B80">
      <w:pPr>
        <w:pStyle w:val="Firm5L1"/>
        <w:keepNext/>
      </w:pPr>
      <w:bookmarkStart w:id="46" w:name="_Toc420593866"/>
      <w:r w:rsidRPr="00762140">
        <w:t>Research, development, patents and licences</w:t>
      </w:r>
      <w:bookmarkEnd w:id="46"/>
    </w:p>
    <w:p w:rsidR="003F0BC5" w:rsidRPr="00762140" w:rsidRDefault="003F0BC5" w:rsidP="00D921A5">
      <w:r w:rsidRPr="00762140">
        <w:t>See Part IV (</w:t>
      </w:r>
      <w:r w:rsidRPr="00136CB7">
        <w:rPr>
          <w:i/>
        </w:rPr>
        <w:t>The Contributions</w:t>
      </w:r>
      <w:r w:rsidRPr="00762140">
        <w:t>).</w:t>
      </w:r>
    </w:p>
    <w:p w:rsidR="003F0BC5" w:rsidRPr="00992199" w:rsidRDefault="003F0BC5" w:rsidP="00353B80">
      <w:pPr>
        <w:pStyle w:val="Firm5L1"/>
        <w:keepNext/>
        <w:rPr>
          <w:caps/>
        </w:rPr>
      </w:pPr>
      <w:bookmarkStart w:id="47" w:name="_Toc420593867"/>
      <w:r w:rsidRPr="00992199">
        <w:lastRenderedPageBreak/>
        <w:t xml:space="preserve">Financial information concerning </w:t>
      </w:r>
      <w:r w:rsidR="002A1AB1">
        <w:t>Greenyard Foods</w:t>
      </w:r>
      <w:r w:rsidRPr="00992199">
        <w:t>’s assets and liabilities, financial position and profits and losses</w:t>
      </w:r>
      <w:bookmarkEnd w:id="47"/>
    </w:p>
    <w:p w:rsidR="003F0BC5" w:rsidRDefault="003F0BC5" w:rsidP="00353B80">
      <w:pPr>
        <w:pStyle w:val="Firm5L2"/>
        <w:keepNext/>
      </w:pPr>
      <w:bookmarkStart w:id="48" w:name="_Toc420593868"/>
      <w:r w:rsidRPr="00992199">
        <w:t>Selected consolidated pro forma information</w:t>
      </w:r>
      <w:bookmarkEnd w:id="48"/>
    </w:p>
    <w:p w:rsidR="00EE30F6" w:rsidRPr="00EE30F6" w:rsidRDefault="00EE30F6" w:rsidP="00EE30F6">
      <w:r>
        <w:t>[•]</w:t>
      </w:r>
    </w:p>
    <w:p w:rsidR="003F0BC5" w:rsidRPr="00992199" w:rsidRDefault="003F0BC5" w:rsidP="00353B80">
      <w:pPr>
        <w:pStyle w:val="Firm5L2"/>
        <w:keepNext/>
      </w:pPr>
      <w:bookmarkStart w:id="49" w:name="_Toc420593869"/>
      <w:r w:rsidRPr="00992199">
        <w:t>Dividend policy</w:t>
      </w:r>
      <w:bookmarkEnd w:id="49"/>
    </w:p>
    <w:p w:rsidR="003F0BC5" w:rsidRPr="00992199" w:rsidRDefault="00F37DD6" w:rsidP="003F0BC5">
      <w:pPr>
        <w:rPr>
          <w:szCs w:val="20"/>
        </w:rPr>
      </w:pPr>
      <w:r w:rsidRPr="00992199">
        <w:rPr>
          <w:szCs w:val="20"/>
        </w:rPr>
        <w:t>The</w:t>
      </w:r>
      <w:r>
        <w:rPr>
          <w:szCs w:val="20"/>
        </w:rPr>
        <w:t xml:space="preserve"> </w:t>
      </w:r>
      <w:r w:rsidRPr="00992199">
        <w:rPr>
          <w:szCs w:val="20"/>
        </w:rPr>
        <w:t>dividend policy of the Company </w:t>
      </w:r>
      <w:r>
        <w:rPr>
          <w:szCs w:val="20"/>
        </w:rPr>
        <w:t xml:space="preserve">aims </w:t>
      </w:r>
      <w:r w:rsidR="0083762C">
        <w:rPr>
          <w:szCs w:val="20"/>
        </w:rPr>
        <w:t xml:space="preserve">at </w:t>
      </w:r>
      <w:r>
        <w:rPr>
          <w:szCs w:val="20"/>
        </w:rPr>
        <w:t>a</w:t>
      </w:r>
      <w:r w:rsidRPr="00992199">
        <w:rPr>
          <w:szCs w:val="20"/>
        </w:rPr>
        <w:t xml:space="preserve"> pay ratio instead of </w:t>
      </w:r>
      <w:r>
        <w:rPr>
          <w:szCs w:val="20"/>
        </w:rPr>
        <w:t xml:space="preserve">a </w:t>
      </w:r>
      <w:r w:rsidRPr="00992199">
        <w:rPr>
          <w:szCs w:val="20"/>
        </w:rPr>
        <w:t>fixed dividend</w:t>
      </w:r>
      <w:r>
        <w:rPr>
          <w:szCs w:val="20"/>
        </w:rPr>
        <w:t xml:space="preserve"> per</w:t>
      </w:r>
      <w:r w:rsidRPr="00992199">
        <w:rPr>
          <w:szCs w:val="20"/>
        </w:rPr>
        <w:t xml:space="preserve"> share. The pay ratio is </w:t>
      </w:r>
      <w:r>
        <w:rPr>
          <w:szCs w:val="20"/>
        </w:rPr>
        <w:t xml:space="preserve">a </w:t>
      </w:r>
      <w:r w:rsidRPr="00992199">
        <w:rPr>
          <w:szCs w:val="20"/>
        </w:rPr>
        <w:t xml:space="preserve">minimum </w:t>
      </w:r>
      <w:r>
        <w:rPr>
          <w:szCs w:val="20"/>
        </w:rPr>
        <w:t xml:space="preserve">of </w:t>
      </w:r>
      <w:r w:rsidRPr="00992199">
        <w:rPr>
          <w:szCs w:val="20"/>
        </w:rPr>
        <w:t xml:space="preserve">15% on net recurrent profit. This </w:t>
      </w:r>
      <w:r>
        <w:rPr>
          <w:szCs w:val="20"/>
        </w:rPr>
        <w:t xml:space="preserve">dividend policy by the Company will </w:t>
      </w:r>
      <w:r w:rsidRPr="00992199">
        <w:rPr>
          <w:szCs w:val="20"/>
        </w:rPr>
        <w:t>be reconfirmed by the Board of Directors on an annual basis</w:t>
      </w:r>
      <w:r w:rsidR="003F0BC5" w:rsidRPr="00992199">
        <w:rPr>
          <w:szCs w:val="20"/>
        </w:rPr>
        <w:t>.</w:t>
      </w:r>
    </w:p>
    <w:p w:rsidR="003F0BC5" w:rsidRDefault="003F0BC5" w:rsidP="00353B80">
      <w:pPr>
        <w:pStyle w:val="Firm5L2"/>
        <w:keepNext/>
      </w:pPr>
      <w:bookmarkStart w:id="50" w:name="_Toc420593870"/>
      <w:r w:rsidRPr="00992199">
        <w:t>Legal and arbitration proceedings</w:t>
      </w:r>
      <w:bookmarkEnd w:id="50"/>
    </w:p>
    <w:p w:rsidR="00D01B48" w:rsidRDefault="002A1AB1" w:rsidP="00353B80">
      <w:pPr>
        <w:pStyle w:val="Firm5L3"/>
        <w:keepNext/>
      </w:pPr>
      <w:r>
        <w:t>Greenyard Foods</w:t>
      </w:r>
    </w:p>
    <w:p w:rsidR="00D01B48" w:rsidRPr="00992199" w:rsidRDefault="005E6CD3" w:rsidP="00D01B48">
      <w:pPr>
        <w:rPr>
          <w:szCs w:val="20"/>
        </w:rPr>
      </w:pPr>
      <w:r>
        <w:rPr>
          <w:szCs w:val="20"/>
          <w:lang w:eastAsia="en-GB"/>
        </w:rPr>
        <w:t xml:space="preserve">The </w:t>
      </w:r>
      <w:r w:rsidR="002A1AB1">
        <w:rPr>
          <w:szCs w:val="20"/>
          <w:lang w:eastAsia="en-GB"/>
        </w:rPr>
        <w:t>Greenyard Foods</w:t>
      </w:r>
      <w:r w:rsidR="00D01B48" w:rsidRPr="00992199">
        <w:rPr>
          <w:szCs w:val="20"/>
          <w:lang w:eastAsia="en-GB"/>
        </w:rPr>
        <w:t xml:space="preserve"> </w:t>
      </w:r>
      <w:r>
        <w:rPr>
          <w:szCs w:val="20"/>
          <w:lang w:eastAsia="en-GB"/>
        </w:rPr>
        <w:t xml:space="preserve">Group </w:t>
      </w:r>
      <w:r w:rsidR="00D01B48" w:rsidRPr="00992199">
        <w:rPr>
          <w:szCs w:val="20"/>
          <w:lang w:eastAsia="en-GB"/>
        </w:rPr>
        <w:t>is involved in the following procedures:</w:t>
      </w:r>
    </w:p>
    <w:p w:rsidR="00D01B48" w:rsidRPr="00F35405" w:rsidRDefault="00D01B48" w:rsidP="00353B80">
      <w:pPr>
        <w:pStyle w:val="Firm5L4"/>
        <w:keepNext/>
      </w:pPr>
      <w:r w:rsidRPr="00F35405">
        <w:t>Dispute Pinguin Salads BVBA</w:t>
      </w:r>
    </w:p>
    <w:p w:rsidR="00D01B48" w:rsidRPr="00992199" w:rsidRDefault="00D01B48" w:rsidP="00D01B48">
      <w:pPr>
        <w:rPr>
          <w:szCs w:val="20"/>
        </w:rPr>
      </w:pPr>
      <w:r w:rsidRPr="00992199">
        <w:rPr>
          <w:szCs w:val="20"/>
          <w:lang w:eastAsia="en-GB"/>
        </w:rPr>
        <w:t xml:space="preserve">In the framework of a labour accident, the court of appeal held that Pinguin Salads is solely responsible and that the insurer does not have to indemnify Pinguin Salads BVBA. An expert has been appointed to calculate the </w:t>
      </w:r>
      <w:r w:rsidR="00BF553B">
        <w:rPr>
          <w:szCs w:val="20"/>
          <w:lang w:eastAsia="en-GB"/>
        </w:rPr>
        <w:t>“</w:t>
      </w:r>
      <w:r w:rsidRPr="00992199">
        <w:rPr>
          <w:szCs w:val="20"/>
          <w:lang w:eastAsia="en-GB"/>
        </w:rPr>
        <w:t>additional damages</w:t>
      </w:r>
      <w:r w:rsidR="00BF553B">
        <w:rPr>
          <w:szCs w:val="20"/>
          <w:lang w:eastAsia="en-GB"/>
        </w:rPr>
        <w:t>”</w:t>
      </w:r>
      <w:r w:rsidRPr="00992199">
        <w:rPr>
          <w:szCs w:val="20"/>
          <w:lang w:eastAsia="en-GB"/>
        </w:rPr>
        <w:t xml:space="preserve">. Notwithstanding the court’s decision, the insurer has paid damages to the employee and there could be a possibility that the insurer would claim the amount of the damages paid from Pinguin Salads BVBA. The total potential financial impact is not known at this moment and no provision has been recorded. Pinguin Salads BVBA summoned company </w:t>
      </w:r>
      <w:r w:rsidR="00BF553B">
        <w:rPr>
          <w:szCs w:val="20"/>
          <w:lang w:eastAsia="en-GB"/>
        </w:rPr>
        <w:t>“</w:t>
      </w:r>
      <w:r w:rsidRPr="00992199">
        <w:rPr>
          <w:szCs w:val="20"/>
          <w:lang w:eastAsia="en-GB"/>
        </w:rPr>
        <w:t>FAMM</w:t>
      </w:r>
      <w:r w:rsidR="00BF553B">
        <w:rPr>
          <w:szCs w:val="20"/>
          <w:lang w:eastAsia="en-GB"/>
        </w:rPr>
        <w:t>”</w:t>
      </w:r>
      <w:r w:rsidRPr="00992199">
        <w:rPr>
          <w:szCs w:val="20"/>
          <w:lang w:eastAsia="en-GB"/>
        </w:rPr>
        <w:t xml:space="preserve"> (which is the producer of the machinery that was concerned in the work accident), these legal proceedings are pending.</w:t>
      </w:r>
    </w:p>
    <w:p w:rsidR="00D01B48" w:rsidRPr="00F35405" w:rsidRDefault="00D01B48" w:rsidP="00353B80">
      <w:pPr>
        <w:pStyle w:val="Firm5L4"/>
        <w:keepNext/>
      </w:pPr>
      <w:r w:rsidRPr="00F35405">
        <w:t xml:space="preserve">Environmental dispute </w:t>
      </w:r>
      <w:r w:rsidR="005E6CD3">
        <w:t xml:space="preserve">Greenyard </w:t>
      </w:r>
      <w:r w:rsidR="002A1AB1">
        <w:t>Foods</w:t>
      </w:r>
    </w:p>
    <w:p w:rsidR="00D01B48" w:rsidRPr="00992199" w:rsidRDefault="002A1AB1" w:rsidP="00D01B48">
      <w:pPr>
        <w:rPr>
          <w:szCs w:val="20"/>
        </w:rPr>
      </w:pPr>
      <w:r>
        <w:rPr>
          <w:szCs w:val="20"/>
          <w:lang w:eastAsia="en-GB"/>
        </w:rPr>
        <w:t>Greenyard Foods</w:t>
      </w:r>
      <w:r w:rsidR="00D01B48" w:rsidRPr="00992199">
        <w:rPr>
          <w:szCs w:val="20"/>
          <w:lang w:eastAsia="en-GB"/>
        </w:rPr>
        <w:t xml:space="preserve"> is accused of unauthorised water discharge (originating from a cauliflower washing installation) in a creek instead of in the </w:t>
      </w:r>
      <w:r w:rsidR="00BF553B">
        <w:rPr>
          <w:szCs w:val="20"/>
          <w:lang w:eastAsia="en-GB"/>
        </w:rPr>
        <w:t>“</w:t>
      </w:r>
      <w:r w:rsidR="00D01B48" w:rsidRPr="00992199">
        <w:rPr>
          <w:szCs w:val="20"/>
          <w:lang w:eastAsia="en-GB"/>
        </w:rPr>
        <w:t>WZI</w:t>
      </w:r>
      <w:r w:rsidR="00BF553B">
        <w:rPr>
          <w:szCs w:val="20"/>
          <w:lang w:eastAsia="en-GB"/>
        </w:rPr>
        <w:t>”</w:t>
      </w:r>
      <w:r w:rsidR="00D01B48" w:rsidRPr="00992199">
        <w:rPr>
          <w:szCs w:val="20"/>
          <w:lang w:eastAsia="en-GB"/>
        </w:rPr>
        <w:t xml:space="preserve"> (watering system). The Flemish Environment Agency (VMM) claims </w:t>
      </w:r>
      <w:r w:rsidR="00E53641">
        <w:rPr>
          <w:szCs w:val="20"/>
          <w:lang w:eastAsia="en-GB"/>
        </w:rPr>
        <w:t>EUR </w:t>
      </w:r>
      <w:r w:rsidR="00D01B48" w:rsidRPr="00992199">
        <w:rPr>
          <w:szCs w:val="20"/>
          <w:lang w:eastAsia="en-GB"/>
        </w:rPr>
        <w:t xml:space="preserve">304,328.90 and </w:t>
      </w:r>
      <w:r>
        <w:rPr>
          <w:szCs w:val="20"/>
          <w:lang w:eastAsia="en-GB"/>
        </w:rPr>
        <w:t>Greenyard Foods</w:t>
      </w:r>
      <w:r w:rsidR="00D01B48" w:rsidRPr="00992199">
        <w:rPr>
          <w:szCs w:val="20"/>
          <w:lang w:eastAsia="en-GB"/>
        </w:rPr>
        <w:t xml:space="preserve"> has made a provision for such amount. </w:t>
      </w:r>
      <w:r>
        <w:rPr>
          <w:szCs w:val="20"/>
          <w:lang w:eastAsia="en-GB"/>
        </w:rPr>
        <w:t>Greenyard Foods</w:t>
      </w:r>
      <w:r w:rsidR="00D01B48" w:rsidRPr="00992199">
        <w:rPr>
          <w:szCs w:val="20"/>
          <w:lang w:eastAsia="en-GB"/>
        </w:rPr>
        <w:t xml:space="preserve"> has filed an opposition against this claim stating that the water discharge occurred beyond its knowledge.</w:t>
      </w:r>
    </w:p>
    <w:p w:rsidR="00D01B48" w:rsidRDefault="00D01B48" w:rsidP="00353B80">
      <w:pPr>
        <w:pStyle w:val="Firm5L4"/>
        <w:keepNext/>
      </w:pPr>
      <w:r w:rsidRPr="00F35405">
        <w:t>Ta</w:t>
      </w:r>
      <w:r w:rsidRPr="00D01B48">
        <w:t>x dispute D’Aucy do Brasil Ltda</w:t>
      </w:r>
    </w:p>
    <w:p w:rsidR="00D01B48" w:rsidRPr="00D01B48" w:rsidRDefault="00D01B48" w:rsidP="00F35405">
      <w:pPr>
        <w:rPr>
          <w:szCs w:val="20"/>
        </w:rPr>
      </w:pPr>
      <w:r w:rsidRPr="00D01B48">
        <w:rPr>
          <w:szCs w:val="20"/>
        </w:rPr>
        <w:t xml:space="preserve">D’Aucy do Brasil Ltda has received a carto consulta from the state of Sao Paolo which allows it to apply 0% </w:t>
      </w:r>
      <w:r w:rsidRPr="00D01B48">
        <w:rPr>
          <w:szCs w:val="20"/>
          <w:lang w:eastAsia="en-GB"/>
        </w:rPr>
        <w:t>ICMS</w:t>
      </w:r>
      <w:r w:rsidRPr="00D01B48">
        <w:rPr>
          <w:szCs w:val="20"/>
        </w:rPr>
        <w:t xml:space="preserve"> (Tax on Circulation of Goods and Services) since frozen vegetables are considered basic and natural products and no ICMS is payable on such products. The local tax authorities consider that the ICMS is however payable on the importation of frozen vegetables and impose an administrative penalty. This is a general practice for the whole industry of frozen vegetables. The total litigations of </w:t>
      </w:r>
      <w:r w:rsidR="002A1AB1">
        <w:rPr>
          <w:szCs w:val="20"/>
        </w:rPr>
        <w:t>Greenyard Foods</w:t>
      </w:r>
      <w:r w:rsidRPr="00D01B48">
        <w:rPr>
          <w:szCs w:val="20"/>
        </w:rPr>
        <w:t xml:space="preserve"> amount to RUSD</w:t>
      </w:r>
      <w:r w:rsidR="00F13D58">
        <w:rPr>
          <w:szCs w:val="20"/>
        </w:rPr>
        <w:t xml:space="preserve"> </w:t>
      </w:r>
      <w:r w:rsidRPr="00D01B48">
        <w:rPr>
          <w:szCs w:val="20"/>
        </w:rPr>
        <w:t>22,500,000 (being ICMS tax of RUSD</w:t>
      </w:r>
      <w:r w:rsidR="00F13D58">
        <w:rPr>
          <w:szCs w:val="20"/>
        </w:rPr>
        <w:t xml:space="preserve"> </w:t>
      </w:r>
      <w:r w:rsidRPr="00D01B48">
        <w:rPr>
          <w:szCs w:val="20"/>
        </w:rPr>
        <w:t>18,400,000 and penalties of RUSD</w:t>
      </w:r>
      <w:r w:rsidR="00F13D58">
        <w:rPr>
          <w:szCs w:val="20"/>
        </w:rPr>
        <w:t xml:space="preserve"> </w:t>
      </w:r>
      <w:r w:rsidRPr="00D01B48">
        <w:rPr>
          <w:szCs w:val="20"/>
        </w:rPr>
        <w:t xml:space="preserve">4,100,000). </w:t>
      </w:r>
      <w:r w:rsidR="002A1AB1">
        <w:rPr>
          <w:szCs w:val="20"/>
        </w:rPr>
        <w:t>Greenyard Foods</w:t>
      </w:r>
      <w:r w:rsidRPr="00D01B48">
        <w:rPr>
          <w:szCs w:val="20"/>
        </w:rPr>
        <w:t xml:space="preserve"> is of the opinion that no ICMS is payable and considers therefore these claims as contingent liabilities since the conditions for recording a provision are not met.</w:t>
      </w:r>
    </w:p>
    <w:p w:rsidR="00D01B48" w:rsidRDefault="002A1AB1" w:rsidP="00F35405">
      <w:pPr>
        <w:rPr>
          <w:szCs w:val="20"/>
        </w:rPr>
      </w:pPr>
      <w:r>
        <w:rPr>
          <w:szCs w:val="20"/>
        </w:rPr>
        <w:t>Greenyard Foods</w:t>
      </w:r>
      <w:r w:rsidR="00D01B48" w:rsidRPr="00992199">
        <w:rPr>
          <w:szCs w:val="20"/>
        </w:rPr>
        <w:t xml:space="preserve"> has a right of recourse against the CECAB group for the ICMS claims between 2010 and September 2011 (the date on which </w:t>
      </w:r>
      <w:r>
        <w:rPr>
          <w:szCs w:val="20"/>
        </w:rPr>
        <w:t>Greenyard Foods</w:t>
      </w:r>
      <w:r w:rsidR="00D01B48" w:rsidRPr="00992199">
        <w:rPr>
          <w:szCs w:val="20"/>
        </w:rPr>
        <w:t xml:space="preserve"> has acquired the CECAB operations in </w:t>
      </w:r>
      <w:smartTag w:uri="urn:schemas-microsoft-com:office:smarttags" w:element="country-region">
        <w:smartTag w:uri="urn:schemas-microsoft-com:office:smarttags" w:element="place">
          <w:r w:rsidR="00D01B48" w:rsidRPr="00992199">
            <w:rPr>
              <w:szCs w:val="20"/>
            </w:rPr>
            <w:t>Brazil</w:t>
          </w:r>
        </w:smartTag>
      </w:smartTag>
      <w:r w:rsidR="00D01B48" w:rsidRPr="00992199">
        <w:rPr>
          <w:szCs w:val="20"/>
        </w:rPr>
        <w:t>).</w:t>
      </w:r>
    </w:p>
    <w:p w:rsidR="005F185A" w:rsidRDefault="005F185A" w:rsidP="00353B80">
      <w:pPr>
        <w:pStyle w:val="Firm5L3"/>
        <w:keepNext/>
      </w:pPr>
      <w:r>
        <w:t>The Univeg Group</w:t>
      </w:r>
    </w:p>
    <w:p w:rsidR="005F185A" w:rsidRPr="005F185A" w:rsidRDefault="005F185A" w:rsidP="00353B80">
      <w:pPr>
        <w:pStyle w:val="Firm5L4"/>
        <w:keepNext/>
      </w:pPr>
      <w:r>
        <w:t>Banana claim</w:t>
      </w:r>
    </w:p>
    <w:p w:rsidR="002E649F" w:rsidRPr="00136CB7" w:rsidRDefault="002E649F" w:rsidP="002E649F">
      <w:pPr>
        <w:rPr>
          <w:szCs w:val="20"/>
        </w:rPr>
      </w:pPr>
      <w:r w:rsidRPr="00136CB7">
        <w:rPr>
          <w:szCs w:val="20"/>
        </w:rPr>
        <w:t xml:space="preserve">In 2002, </w:t>
      </w:r>
      <w:r>
        <w:rPr>
          <w:szCs w:val="20"/>
        </w:rPr>
        <w:t>Univeg</w:t>
      </w:r>
      <w:r w:rsidRPr="00136CB7">
        <w:rPr>
          <w:szCs w:val="20"/>
        </w:rPr>
        <w:t xml:space="preserve"> Import Italia S.r.l. (formerly known as Bocchi Import Italia S.r.l) received a claim from the Italian, Greek and Portuguese tax authorities, for an aggregate amount of about </w:t>
      </w:r>
      <w:r>
        <w:rPr>
          <w:szCs w:val="20"/>
        </w:rPr>
        <w:t>EUR 5,800,000</w:t>
      </w:r>
      <w:r w:rsidRPr="00136CB7">
        <w:rPr>
          <w:szCs w:val="20"/>
        </w:rPr>
        <w:t xml:space="preserve"> (including penalties and interests), relating to custom duties which were allegedly not paid on the import of bananas from October 1998 to November 1999. The tax authorities claimed that false licenses were used by the company for trading bananas. </w:t>
      </w:r>
      <w:r>
        <w:rPr>
          <w:szCs w:val="20"/>
        </w:rPr>
        <w:t>Pending its appeal with the Italian Supreme court of a judgment in its disfavour, the Univeg Group proposed a</w:t>
      </w:r>
      <w:r w:rsidRPr="00136CB7">
        <w:rPr>
          <w:szCs w:val="20"/>
        </w:rPr>
        <w:t xml:space="preserve"> settlement </w:t>
      </w:r>
      <w:r>
        <w:rPr>
          <w:szCs w:val="20"/>
        </w:rPr>
        <w:t>to</w:t>
      </w:r>
      <w:r w:rsidRPr="00136CB7">
        <w:rPr>
          <w:szCs w:val="20"/>
        </w:rPr>
        <w:t xml:space="preserve"> the Italian </w:t>
      </w:r>
      <w:r>
        <w:rPr>
          <w:szCs w:val="20"/>
        </w:rPr>
        <w:t>tax</w:t>
      </w:r>
      <w:r w:rsidRPr="00136CB7">
        <w:rPr>
          <w:szCs w:val="20"/>
        </w:rPr>
        <w:t xml:space="preserve"> authorities for a total amount (including interests) of EUR</w:t>
      </w:r>
      <w:r>
        <w:rPr>
          <w:szCs w:val="20"/>
        </w:rPr>
        <w:t> </w:t>
      </w:r>
      <w:r w:rsidRPr="00136CB7">
        <w:rPr>
          <w:szCs w:val="20"/>
        </w:rPr>
        <w:t xml:space="preserve">3,600,000. </w:t>
      </w:r>
      <w:r>
        <w:rPr>
          <w:szCs w:val="20"/>
        </w:rPr>
        <w:t>I</w:t>
      </w:r>
      <w:r w:rsidRPr="00136CB7">
        <w:rPr>
          <w:szCs w:val="20"/>
        </w:rPr>
        <w:t xml:space="preserve">n </w:t>
      </w:r>
      <w:smartTag w:uri="urn:schemas-microsoft-com:office:smarttags" w:element="country-region">
        <w:r w:rsidRPr="00136CB7">
          <w:rPr>
            <w:szCs w:val="20"/>
          </w:rPr>
          <w:t>Portugal</w:t>
        </w:r>
      </w:smartTag>
      <w:r w:rsidRPr="00136CB7">
        <w:rPr>
          <w:szCs w:val="20"/>
        </w:rPr>
        <w:t xml:space="preserve"> and </w:t>
      </w:r>
      <w:smartTag w:uri="urn:schemas-microsoft-com:office:smarttags" w:element="country-region">
        <w:smartTag w:uri="urn:schemas-microsoft-com:office:smarttags" w:element="place">
          <w:r w:rsidRPr="00136CB7">
            <w:rPr>
              <w:szCs w:val="20"/>
            </w:rPr>
            <w:t>Greece</w:t>
          </w:r>
        </w:smartTag>
      </w:smartTag>
      <w:r w:rsidRPr="00136CB7">
        <w:rPr>
          <w:szCs w:val="20"/>
        </w:rPr>
        <w:t xml:space="preserve">, the </w:t>
      </w:r>
      <w:r>
        <w:rPr>
          <w:szCs w:val="20"/>
        </w:rPr>
        <w:t xml:space="preserve">Univeg </w:t>
      </w:r>
      <w:r w:rsidRPr="00136CB7">
        <w:rPr>
          <w:szCs w:val="20"/>
        </w:rPr>
        <w:t xml:space="preserve">Group prevailed in first instance against the tax authorities, which then appealed. </w:t>
      </w:r>
      <w:r>
        <w:rPr>
          <w:szCs w:val="20"/>
        </w:rPr>
        <w:t xml:space="preserve">Such </w:t>
      </w:r>
      <w:r w:rsidRPr="00136CB7">
        <w:rPr>
          <w:szCs w:val="20"/>
        </w:rPr>
        <w:t xml:space="preserve">appeals are </w:t>
      </w:r>
      <w:r>
        <w:rPr>
          <w:szCs w:val="20"/>
        </w:rPr>
        <w:t>at the date of this Prospectus still</w:t>
      </w:r>
      <w:r w:rsidRPr="00136CB7">
        <w:rPr>
          <w:szCs w:val="20"/>
        </w:rPr>
        <w:t xml:space="preserve"> pending.</w:t>
      </w:r>
      <w:r w:rsidRPr="00136CB7">
        <w:t xml:space="preserve"> </w:t>
      </w:r>
      <w:r w:rsidRPr="00136CB7">
        <w:rPr>
          <w:szCs w:val="20"/>
        </w:rPr>
        <w:t xml:space="preserve">The total estimated maximum amount of the claims in </w:t>
      </w:r>
      <w:smartTag w:uri="urn:schemas-microsoft-com:office:smarttags" w:element="country-region">
        <w:r w:rsidRPr="00136CB7">
          <w:rPr>
            <w:szCs w:val="20"/>
          </w:rPr>
          <w:t>Portugal</w:t>
        </w:r>
      </w:smartTag>
      <w:r w:rsidRPr="00136CB7">
        <w:rPr>
          <w:szCs w:val="20"/>
        </w:rPr>
        <w:t xml:space="preserve"> and </w:t>
      </w:r>
      <w:smartTag w:uri="urn:schemas-microsoft-com:office:smarttags" w:element="country-region">
        <w:smartTag w:uri="urn:schemas-microsoft-com:office:smarttags" w:element="place">
          <w:r w:rsidRPr="00136CB7">
            <w:rPr>
              <w:szCs w:val="20"/>
            </w:rPr>
            <w:t>Greece</w:t>
          </w:r>
        </w:smartTag>
      </w:smartTag>
      <w:r w:rsidRPr="00136CB7">
        <w:rPr>
          <w:szCs w:val="20"/>
        </w:rPr>
        <w:t xml:space="preserve"> is EUR</w:t>
      </w:r>
      <w:r>
        <w:rPr>
          <w:szCs w:val="20"/>
        </w:rPr>
        <w:t> </w:t>
      </w:r>
      <w:r w:rsidRPr="00136CB7">
        <w:rPr>
          <w:szCs w:val="20"/>
        </w:rPr>
        <w:t xml:space="preserve">3,000,000. The Univeg Group </w:t>
      </w:r>
      <w:r>
        <w:rPr>
          <w:szCs w:val="20"/>
        </w:rPr>
        <w:t xml:space="preserve">has taken </w:t>
      </w:r>
      <w:r w:rsidRPr="00136CB7">
        <w:rPr>
          <w:szCs w:val="20"/>
        </w:rPr>
        <w:t>a provision of EUR 4,700,000 (still including the settled Italian case</w:t>
      </w:r>
      <w:r>
        <w:rPr>
          <w:szCs w:val="20"/>
        </w:rPr>
        <w:t xml:space="preserve"> pending any settlement</w:t>
      </w:r>
      <w:r w:rsidRPr="00136CB7">
        <w:rPr>
          <w:szCs w:val="20"/>
        </w:rPr>
        <w:t>)</w:t>
      </w:r>
      <w:r>
        <w:rPr>
          <w:szCs w:val="20"/>
        </w:rPr>
        <w:t xml:space="preserve"> in respect of this litigation</w:t>
      </w:r>
      <w:r w:rsidRPr="00136CB7">
        <w:rPr>
          <w:szCs w:val="20"/>
        </w:rPr>
        <w:t>.</w:t>
      </w:r>
    </w:p>
    <w:p w:rsidR="005F185A" w:rsidRPr="005F185A" w:rsidRDefault="00567460" w:rsidP="00353B80">
      <w:pPr>
        <w:pStyle w:val="Firm5L4"/>
        <w:keepNext/>
      </w:pPr>
      <w:r>
        <w:t>Garlic claim</w:t>
      </w:r>
    </w:p>
    <w:p w:rsidR="0092281E" w:rsidRPr="005F185A" w:rsidRDefault="0092281E" w:rsidP="0092281E">
      <w:r w:rsidRPr="00136CB7">
        <w:t xml:space="preserve">In total, 31 claims have been brought against </w:t>
      </w:r>
      <w:r w:rsidRPr="0092281E">
        <w:t xml:space="preserve">Univeg Import Italia S.r.l. (formerly known as Bocchi Import Italia S.r.l) </w:t>
      </w:r>
      <w:r w:rsidRPr="00136CB7">
        <w:t xml:space="preserve">and other </w:t>
      </w:r>
      <w:r>
        <w:t xml:space="preserve">Univeg </w:t>
      </w:r>
      <w:r w:rsidRPr="00136CB7">
        <w:t xml:space="preserve">Group companies regarding the custom clearance of garlic imported from </w:t>
      </w:r>
      <w:smartTag w:uri="urn:schemas-microsoft-com:office:smarttags" w:element="country-region">
        <w:smartTag w:uri="urn:schemas-microsoft-com:office:smarttags" w:element="place">
          <w:r w:rsidRPr="00136CB7">
            <w:t>China</w:t>
          </w:r>
        </w:smartTag>
      </w:smartTag>
      <w:r w:rsidRPr="00136CB7">
        <w:t xml:space="preserve"> in the </w:t>
      </w:r>
      <w:r w:rsidRPr="00136CB7">
        <w:lastRenderedPageBreak/>
        <w:t xml:space="preserve">period 2005-2007. The claims relate to the fact that at the time of export, </w:t>
      </w:r>
      <w:r w:rsidRPr="0092281E">
        <w:t xml:space="preserve">Univeg Import Italia S.r.l. </w:t>
      </w:r>
      <w:r w:rsidRPr="00136CB7">
        <w:t xml:space="preserve">had not yet identified the final customers and therefore issued the required documents in the name of </w:t>
      </w:r>
      <w:r w:rsidRPr="0092281E">
        <w:t xml:space="preserve">Univeg Import Italia S.r.l. </w:t>
      </w:r>
      <w:r w:rsidRPr="00136CB7">
        <w:t xml:space="preserve">which then paid the customs invoice. Once the </w:t>
      </w:r>
      <w:r w:rsidRPr="0092281E">
        <w:rPr>
          <w:szCs w:val="20"/>
        </w:rPr>
        <w:t>final</w:t>
      </w:r>
      <w:r w:rsidRPr="00136CB7">
        <w:t xml:space="preserve"> customers were identified, the Chinese importer issued credit notes to </w:t>
      </w:r>
      <w:r w:rsidRPr="0092281E">
        <w:t xml:space="preserve">Univeg Import Italia S.r.l. </w:t>
      </w:r>
      <w:r w:rsidRPr="00136CB7">
        <w:t xml:space="preserve">and issued correct invoices to the final customers. The tax authorities allege that this amounts to the prohibited sale of licenses. Out of the 31 claims, the company has won 24 in first instance, and one on appeal, six claims were lost in first instance, </w:t>
      </w:r>
      <w:r>
        <w:t>and four on appeal</w:t>
      </w:r>
      <w:r w:rsidR="00CC5E45">
        <w:t>,</w:t>
      </w:r>
      <w:r>
        <w:t xml:space="preserve"> </w:t>
      </w:r>
      <w:r w:rsidRPr="00136CB7">
        <w:t>and for one claim the company did not pursue legal proceedings because of the limited size of the amount</w:t>
      </w:r>
      <w:r>
        <w:t xml:space="preserve">. For the cases already decided on appeal, an appeal has been filed </w:t>
      </w:r>
      <w:r w:rsidRPr="0092281E">
        <w:t>before the Italian Supreme Court</w:t>
      </w:r>
      <w:r>
        <w:t xml:space="preserve">. </w:t>
      </w:r>
      <w:r w:rsidRPr="0092281E">
        <w:t xml:space="preserve">The total estimated amount of the claims is </w:t>
      </w:r>
      <w:r w:rsidR="00E53641">
        <w:t>EUR </w:t>
      </w:r>
      <w:r w:rsidRPr="0092281E">
        <w:t>2,478,716</w:t>
      </w:r>
      <w:r w:rsidR="00CC5E45">
        <w:t>,</w:t>
      </w:r>
      <w:r w:rsidRPr="0092281E">
        <w:t xml:space="preserve"> of which </w:t>
      </w:r>
      <w:r w:rsidR="00E53641">
        <w:t>EUR </w:t>
      </w:r>
      <w:r w:rsidRPr="0092281E">
        <w:t xml:space="preserve">685,943 was already paid. No provision has been booked as the Univeg Group </w:t>
      </w:r>
      <w:r w:rsidR="00CC5E45">
        <w:t>believes it will</w:t>
      </w:r>
      <w:r w:rsidRPr="0092281E">
        <w:t xml:space="preserve"> win these case</w:t>
      </w:r>
      <w:r w:rsidR="00CC5E45">
        <w:t>s</w:t>
      </w:r>
      <w:r w:rsidRPr="0092281E">
        <w:t>.</w:t>
      </w:r>
    </w:p>
    <w:p w:rsidR="005F185A" w:rsidRPr="005F185A" w:rsidRDefault="005F185A" w:rsidP="00353B80">
      <w:pPr>
        <w:pStyle w:val="Firm5L4"/>
        <w:keepNext/>
      </w:pPr>
      <w:r w:rsidRPr="005F185A">
        <w:t>Bulbex case</w:t>
      </w:r>
    </w:p>
    <w:p w:rsidR="002E649F" w:rsidRPr="00D01B48" w:rsidRDefault="002E649F" w:rsidP="002E649F">
      <w:pPr>
        <w:rPr>
          <w:szCs w:val="20"/>
        </w:rPr>
      </w:pPr>
      <w:r w:rsidRPr="00CC5E45">
        <w:rPr>
          <w:szCs w:val="20"/>
        </w:rPr>
        <w:t>In 2004, the Univeg Group divested certain shareholdings to (indirectly) Fred and Cees Moolenaar. It was agreed that all receivables which Fred and Cees Moolenaar had on the Univeg Group companies would be waived, which waiver is now challenged by them</w:t>
      </w:r>
      <w:r>
        <w:rPr>
          <w:szCs w:val="20"/>
        </w:rPr>
        <w:t xml:space="preserve"> on grounds that it would not apply in certain circumstances</w:t>
      </w:r>
      <w:r w:rsidRPr="00CC5E45">
        <w:rPr>
          <w:szCs w:val="20"/>
        </w:rPr>
        <w:t xml:space="preserve">. </w:t>
      </w:r>
      <w:r>
        <w:rPr>
          <w:szCs w:val="20"/>
        </w:rPr>
        <w:t>The Univeg Group lost the case in first instance and filed appeal on the argument that such excepting circumstances did not apply and that, moreover, the waiver was unconditional. This</w:t>
      </w:r>
      <w:r w:rsidRPr="00CC5E45">
        <w:rPr>
          <w:szCs w:val="20"/>
        </w:rPr>
        <w:t xml:space="preserve"> appeal</w:t>
      </w:r>
      <w:r>
        <w:rPr>
          <w:szCs w:val="20"/>
        </w:rPr>
        <w:t xml:space="preserve"> i</w:t>
      </w:r>
      <w:r w:rsidRPr="00CC5E45">
        <w:rPr>
          <w:szCs w:val="20"/>
        </w:rPr>
        <w:t>s at the date of this Prospectus still pending. The total estimated amount of the claim is EUR</w:t>
      </w:r>
      <w:r>
        <w:rPr>
          <w:szCs w:val="20"/>
        </w:rPr>
        <w:t> </w:t>
      </w:r>
      <w:r w:rsidRPr="00CC5E45">
        <w:rPr>
          <w:szCs w:val="20"/>
        </w:rPr>
        <w:t xml:space="preserve">1,700,000, but </w:t>
      </w:r>
      <w:r>
        <w:rPr>
          <w:szCs w:val="20"/>
        </w:rPr>
        <w:t xml:space="preserve">no provision </w:t>
      </w:r>
      <w:r w:rsidRPr="00CC5E45">
        <w:rPr>
          <w:szCs w:val="20"/>
        </w:rPr>
        <w:t xml:space="preserve">has been booked as the Univeg Group </w:t>
      </w:r>
      <w:r>
        <w:rPr>
          <w:szCs w:val="20"/>
        </w:rPr>
        <w:t>believes it will</w:t>
      </w:r>
      <w:r w:rsidRPr="00CC5E45">
        <w:rPr>
          <w:szCs w:val="20"/>
        </w:rPr>
        <w:t xml:space="preserve"> win </w:t>
      </w:r>
      <w:r>
        <w:rPr>
          <w:szCs w:val="20"/>
        </w:rPr>
        <w:t>this</w:t>
      </w:r>
      <w:r w:rsidRPr="00CC5E45">
        <w:rPr>
          <w:szCs w:val="20"/>
        </w:rPr>
        <w:t xml:space="preserve"> case.</w:t>
      </w:r>
    </w:p>
    <w:p w:rsidR="003F0BC5" w:rsidRPr="008961CC" w:rsidRDefault="003F0BC5" w:rsidP="00353B80">
      <w:pPr>
        <w:pStyle w:val="Firm5L2"/>
        <w:keepNext/>
      </w:pPr>
      <w:bookmarkStart w:id="51" w:name="_Toc420593871"/>
      <w:r w:rsidRPr="008961CC">
        <w:t>Significant changes in the financial or trading position</w:t>
      </w:r>
      <w:bookmarkEnd w:id="51"/>
    </w:p>
    <w:p w:rsidR="007F24B1" w:rsidRPr="007F24B1" w:rsidRDefault="007F24B1" w:rsidP="007F24B1">
      <w:pPr>
        <w:pStyle w:val="Firm5L3"/>
        <w:numPr>
          <w:ilvl w:val="0"/>
          <w:numId w:val="0"/>
        </w:numPr>
      </w:pPr>
      <w:r w:rsidRPr="007F24B1">
        <w:t>[•]</w:t>
      </w:r>
    </w:p>
    <w:p w:rsidR="00703C66" w:rsidRDefault="003F0BC5" w:rsidP="00353B80">
      <w:pPr>
        <w:pStyle w:val="Firm5L1"/>
        <w:keepNext/>
        <w:rPr>
          <w:caps/>
        </w:rPr>
      </w:pPr>
      <w:bookmarkStart w:id="52" w:name="_Toc420593872"/>
      <w:r w:rsidRPr="00992199">
        <w:t>Information on trends</w:t>
      </w:r>
      <w:bookmarkEnd w:id="52"/>
      <w:r w:rsidRPr="00992199">
        <w:rPr>
          <w:caps/>
        </w:rPr>
        <w:t xml:space="preserve"> </w:t>
      </w:r>
    </w:p>
    <w:p w:rsidR="003F0BC5" w:rsidRPr="00105E1E" w:rsidRDefault="007B3512" w:rsidP="00703C66">
      <w:pPr>
        <w:autoSpaceDE w:val="0"/>
        <w:autoSpaceDN w:val="0"/>
        <w:adjustRightInd w:val="0"/>
        <w:spacing w:after="200"/>
        <w:rPr>
          <w:bCs/>
          <w:color w:val="000000"/>
          <w:szCs w:val="20"/>
          <w:lang w:val="en-US"/>
        </w:rPr>
      </w:pPr>
      <w:r>
        <w:rPr>
          <w:bCs/>
          <w:color w:val="000000"/>
          <w:szCs w:val="20"/>
          <w:lang w:val="en-US"/>
        </w:rPr>
        <w:t>[</w:t>
      </w:r>
      <w:r w:rsidR="00105E1E">
        <w:rPr>
          <w:bCs/>
          <w:color w:val="000000"/>
          <w:szCs w:val="20"/>
          <w:lang w:val="en-US"/>
        </w:rPr>
        <w:t>See Part IV (</w:t>
      </w:r>
      <w:r w:rsidR="00105E1E">
        <w:rPr>
          <w:bCs/>
          <w:i/>
          <w:color w:val="000000"/>
          <w:szCs w:val="20"/>
          <w:lang w:val="en-US"/>
        </w:rPr>
        <w:t>The Contributions</w:t>
      </w:r>
      <w:r w:rsidR="00105E1E">
        <w:rPr>
          <w:bCs/>
          <w:color w:val="000000"/>
          <w:szCs w:val="20"/>
          <w:lang w:val="en-US"/>
        </w:rPr>
        <w:t>).</w:t>
      </w:r>
      <w:r>
        <w:rPr>
          <w:bCs/>
          <w:color w:val="000000"/>
          <w:szCs w:val="20"/>
          <w:lang w:val="en-US"/>
        </w:rPr>
        <w:t>]</w:t>
      </w:r>
    </w:p>
    <w:p w:rsidR="00703C66" w:rsidRDefault="003F0BC5" w:rsidP="00353B80">
      <w:pPr>
        <w:pStyle w:val="Firm5L1"/>
        <w:keepNext/>
        <w:rPr>
          <w:caps/>
        </w:rPr>
      </w:pPr>
      <w:bookmarkStart w:id="53" w:name="_Toc420593873"/>
      <w:r w:rsidRPr="00992199">
        <w:t>Material contracts</w:t>
      </w:r>
      <w:bookmarkEnd w:id="53"/>
      <w:r w:rsidRPr="00992199">
        <w:rPr>
          <w:caps/>
        </w:rPr>
        <w:t xml:space="preserve"> </w:t>
      </w:r>
    </w:p>
    <w:p w:rsidR="00105E1E" w:rsidRPr="00105E1E" w:rsidRDefault="005E6CD3" w:rsidP="00353B80">
      <w:pPr>
        <w:pStyle w:val="Firm5L2"/>
        <w:keepNext/>
      </w:pPr>
      <w:bookmarkStart w:id="54" w:name="_Toc420593874"/>
      <w:r>
        <w:t xml:space="preserve">The </w:t>
      </w:r>
      <w:r w:rsidR="002A1AB1">
        <w:t>Greenyard Foods</w:t>
      </w:r>
      <w:r>
        <w:t xml:space="preserve"> Group</w:t>
      </w:r>
      <w:bookmarkEnd w:id="54"/>
    </w:p>
    <w:p w:rsidR="00AA3231" w:rsidRDefault="00AA3231" w:rsidP="00AA3231">
      <w:pPr>
        <w:pStyle w:val="BodyText"/>
      </w:pPr>
      <w:r>
        <w:t>On 5 July 2013, Greeyard Foods issued a Bond with a nominal amount of EUR 150,000,000 and a gross coupon of 5.0% fixed interest and a period of six years. This issued ond loan provides for a number of covenant that applied for the first time as of 31 March 2014 (see Section 1.5.2.3 of Part VI (</w:t>
      </w:r>
      <w:r>
        <w:rPr>
          <w:i/>
        </w:rPr>
        <w:t>Operating and financial review</w:t>
      </w:r>
      <w:r>
        <w:t>) for further details).</w:t>
      </w:r>
    </w:p>
    <w:p w:rsidR="00AA3231" w:rsidRDefault="00AA3231" w:rsidP="00AA3231">
      <w:pPr>
        <w:pStyle w:val="BodyText"/>
      </w:pPr>
      <w:r>
        <w:t>As per 16 December 2013 Greenyard Foods has closed a working capital facility of EUR 158,500,000 with a bank consortium</w:t>
      </w:r>
      <w:r w:rsidRPr="00AA3231">
        <w:t xml:space="preserve"> (see Section 1.5.</w:t>
      </w:r>
      <w:r>
        <w:t>3</w:t>
      </w:r>
      <w:r w:rsidRPr="00AA3231">
        <w:t>.3 of Part VI (</w:t>
      </w:r>
      <w:r w:rsidRPr="00AA3231">
        <w:rPr>
          <w:i/>
        </w:rPr>
        <w:t>Operating and financial review</w:t>
      </w:r>
      <w:r w:rsidRPr="00AA3231">
        <w:t>) for further details)</w:t>
      </w:r>
      <w:r>
        <w:t>.</w:t>
      </w:r>
    </w:p>
    <w:p w:rsidR="00AA3231" w:rsidRPr="00582032" w:rsidRDefault="00AA3231" w:rsidP="00AA3231">
      <w:pPr>
        <w:pStyle w:val="BodyText"/>
      </w:pPr>
      <w:r>
        <w:t>In addition, the Company has secured a</w:t>
      </w:r>
      <w:r w:rsidRPr="00582032">
        <w:t xml:space="preserve"> credit facility which has been concluded so that the Company shall have the liquidity it needs to repay all amounts due under the Bonds if and to the extent requested by the bondholders, in case the bondholders’ meeting would not resolve to grant a waiver in respect of the default by the Company to one of the terms and conditions of </w:t>
      </w:r>
      <w:r>
        <w:t>the Bonds pursuant to the realis</w:t>
      </w:r>
      <w:r w:rsidRPr="00582032">
        <w:t xml:space="preserve">ation of the Contributions (see </w:t>
      </w:r>
      <w:r w:rsidR="00501F53">
        <w:t>also Part II (</w:t>
      </w:r>
      <w:r w:rsidR="00501F53">
        <w:rPr>
          <w:i/>
        </w:rPr>
        <w:t>Risk Factors</w:t>
      </w:r>
      <w:r w:rsidR="00501F53">
        <w:t>)</w:t>
      </w:r>
      <w:r w:rsidRPr="00582032">
        <w:t>).</w:t>
      </w:r>
    </w:p>
    <w:p w:rsidR="00501F53" w:rsidRDefault="00AA3231" w:rsidP="00AA3231">
      <w:pPr>
        <w:pStyle w:val="BodyText"/>
      </w:pPr>
      <w:r>
        <w:t xml:space="preserve">The Company has entered into </w:t>
      </w:r>
      <w:r w:rsidRPr="00582032">
        <w:t>two long-term exclusivity agreements with UFM in respect of both frozen and fresh vegetables. The price and quantity of the vegetables to be purchased pursuant to the aforementioned exclusivity agreements are agreed upon between the parties on a case by case basis and based upon both the market price and the demand of each party</w:t>
      </w:r>
      <w:r w:rsidRPr="00364931">
        <w:t>.</w:t>
      </w:r>
    </w:p>
    <w:p w:rsidR="00105E1E" w:rsidRDefault="00105E1E" w:rsidP="00501F53">
      <w:pPr>
        <w:pStyle w:val="Firm5L2"/>
        <w:keepNext/>
      </w:pPr>
      <w:bookmarkStart w:id="55" w:name="_Toc420593875"/>
      <w:r w:rsidRPr="00105E1E">
        <w:t>The Univeg Group</w:t>
      </w:r>
      <w:bookmarkEnd w:id="55"/>
    </w:p>
    <w:p w:rsidR="00AD2433" w:rsidRDefault="00AD2433" w:rsidP="00353B80">
      <w:pPr>
        <w:pStyle w:val="Firm5L3"/>
        <w:keepNext/>
      </w:pPr>
      <w:bookmarkStart w:id="56" w:name="_Toc376011429"/>
      <w:r>
        <w:t>Receivables financing</w:t>
      </w:r>
      <w:bookmarkEnd w:id="56"/>
    </w:p>
    <w:p w:rsidR="004E7AC7" w:rsidRDefault="004E7AC7" w:rsidP="004E7AC7">
      <w:r>
        <w:t>In 2014, number of co</w:t>
      </w:r>
      <w:r w:rsidR="0011039B">
        <w:t>mpanies within the Univeg Group</w:t>
      </w:r>
      <w:r w:rsidR="0011039B" w:rsidRPr="0011039B">
        <w:t xml:space="preserve"> </w:t>
      </w:r>
      <w:r w:rsidR="0011039B">
        <w:t>entered into a m</w:t>
      </w:r>
      <w:r w:rsidR="0011039B" w:rsidRPr="005F73DB">
        <w:t xml:space="preserve">ulti-country </w:t>
      </w:r>
      <w:r w:rsidR="0011039B">
        <w:t>s</w:t>
      </w:r>
      <w:r w:rsidR="0011039B" w:rsidRPr="005F73DB">
        <w:t>yndicat</w:t>
      </w:r>
      <w:r w:rsidR="0011039B">
        <w:t>ed</w:t>
      </w:r>
      <w:r w:rsidR="0011039B" w:rsidRPr="005F73DB">
        <w:t xml:space="preserve"> </w:t>
      </w:r>
      <w:r w:rsidR="0011039B">
        <w:t>f</w:t>
      </w:r>
      <w:r w:rsidR="0011039B" w:rsidRPr="005F73DB">
        <w:t xml:space="preserve">actoring </w:t>
      </w:r>
      <w:r w:rsidR="0011039B">
        <w:t>a</w:t>
      </w:r>
      <w:r w:rsidR="0011039B" w:rsidRPr="005F73DB">
        <w:t>greement</w:t>
      </w:r>
      <w:r>
        <w:t xml:space="preserve"> (the </w:t>
      </w:r>
      <w:r w:rsidRPr="0011039B">
        <w:rPr>
          <w:b/>
          <w:i/>
        </w:rPr>
        <w:t>Syndicated Factoring Agreement</w:t>
      </w:r>
      <w:r>
        <w:t xml:space="preserve">), pursuant to which previously existing bilateral factoring arrangements were repaid and terminated. In accordance with the Syndicated Factoring Agreement, trade receivables are sold to certain receivables financing companies on a basis that </w:t>
      </w:r>
      <w:r w:rsidRPr="003C4399">
        <w:t>(except to the extent reasonably customary)</w:t>
      </w:r>
      <w:r>
        <w:t xml:space="preserve"> is non</w:t>
      </w:r>
      <w:r w:rsidR="0011039B">
        <w:t xml:space="preserve">-recourse to the Univeg Group. </w:t>
      </w:r>
      <w:r w:rsidR="002B70C1">
        <w:t>[</w:t>
      </w:r>
      <w:r w:rsidR="002B70C1" w:rsidRPr="002B70C1">
        <w:rPr>
          <w:highlight w:val="yellow"/>
        </w:rPr>
        <w:t xml:space="preserve">Where a Debtor or Credit Insurance Company fails to pay the full amount of the Purchase Price, recourse is limited to 5%of the Purchase Price of the receivables except for those Receivables sold under the country schedule </w:t>
      </w:r>
      <w:smartTag w:uri="urn:schemas-microsoft-com:office:smarttags" w:element="place">
        <w:smartTag w:uri="urn:schemas-microsoft-com:office:smarttags" w:element="country-region">
          <w:r w:rsidR="002B70C1" w:rsidRPr="002B70C1">
            <w:rPr>
              <w:highlight w:val="yellow"/>
            </w:rPr>
            <w:t>Germany</w:t>
          </w:r>
        </w:smartTag>
      </w:smartTag>
      <w:r w:rsidR="002B70C1" w:rsidRPr="002B70C1">
        <w:rPr>
          <w:highlight w:val="yellow"/>
        </w:rPr>
        <w:t>, which has no recourse.</w:t>
      </w:r>
      <w:r w:rsidR="002B70C1">
        <w:t xml:space="preserve">] </w:t>
      </w:r>
      <w:r>
        <w:t xml:space="preserve">Univeg Group companies in the </w:t>
      </w:r>
      <w:smartTag w:uri="urn:schemas-microsoft-com:office:smarttags" w:element="country-region">
        <w:smartTag w:uri="urn:schemas-microsoft-com:office:smarttags" w:element="place">
          <w:r>
            <w:t>United Kingdom</w:t>
          </w:r>
        </w:smartTag>
      </w:smartTag>
      <w:r>
        <w:t xml:space="preserve">. </w:t>
      </w:r>
      <w:smartTag w:uri="urn:schemas-microsoft-com:office:smarttags" w:element="country-region">
        <w:r>
          <w:t>France</w:t>
        </w:r>
      </w:smartTag>
      <w:r>
        <w:t xml:space="preserve">, </w:t>
      </w:r>
      <w:smartTag w:uri="urn:schemas-microsoft-com:office:smarttags" w:element="country-region">
        <w:r>
          <w:t>Germany</w:t>
        </w:r>
      </w:smartTag>
      <w:r>
        <w:t xml:space="preserve">, the </w:t>
      </w:r>
      <w:smartTag w:uri="urn:schemas-microsoft-com:office:smarttags" w:element="country-region">
        <w:r>
          <w:t>Netherlands</w:t>
        </w:r>
      </w:smartTag>
      <w:r>
        <w:t xml:space="preserve"> and </w:t>
      </w:r>
      <w:smartTag w:uri="urn:schemas-microsoft-com:office:smarttags" w:element="country-region">
        <w:smartTag w:uri="urn:schemas-microsoft-com:office:smarttags" w:element="place">
          <w:r>
            <w:t>Belgium</w:t>
          </w:r>
        </w:smartTag>
      </w:smartTag>
      <w:r>
        <w:t xml:space="preserve"> participate in the Syndicated Factoring Agreement.</w:t>
      </w:r>
    </w:p>
    <w:p w:rsidR="004E7AC7" w:rsidRDefault="004E7AC7" w:rsidP="004E7AC7">
      <w:r>
        <w:lastRenderedPageBreak/>
        <w:t xml:space="preserve">The Syndicated Factoring Agreement relates to identified trade receivables and provides for limitations (by reference to concentration or by exposure risks to name a few, and subject to an overall limit of </w:t>
      </w:r>
      <w:r w:rsidR="00E53641">
        <w:t>EUR </w:t>
      </w:r>
      <w:r>
        <w:t>35</w:t>
      </w:r>
      <w:r w:rsidR="00B0544B">
        <w:t>0</w:t>
      </w:r>
      <w:r>
        <w:t xml:space="preserve">,000,000) in respect of trade receivables that can be assigned thereunder. The Syndicated Factoring Agreement also contains a negative pledge, a limitation on transfers, a maximum dilution ratio and a leverage test. The Univeg Group's aggregate outstanding financing under the Syndicated Factoring Agreement amounted to approximately </w:t>
      </w:r>
      <w:r w:rsidR="00E53641">
        <w:t>EUR </w:t>
      </w:r>
      <w:r>
        <w:t>[3,100,000] as at 31 December 2014.</w:t>
      </w:r>
    </w:p>
    <w:p w:rsidR="004E7AC7" w:rsidRDefault="004E7AC7" w:rsidP="004E7AC7">
      <w:r>
        <w:t>The Univeg Group assigns on a regular basis (at least weekly) eligible trade receivables under the Syndicated Factoring Agreement. Upon assignment of such eligible trade receivables, the receivables financing companies make, in accordance with contractual requirements, advance payments to the relevant Univeg Group member of 90% of the nominal value thereof, which may increase to 95% in the final five days of each quarter.</w:t>
      </w:r>
    </w:p>
    <w:p w:rsidR="004E7AC7" w:rsidRDefault="004E7AC7" w:rsidP="004E7AC7">
      <w:r>
        <w:t>Under the Syndicated Factoring Agreement, the receivables financing companies then collect payment from the underlying trade debtors directly, and transfer to the relevant Univeg Group member any difference between the amount so collected and the advance payment above-mentioned (net of interest and fees).</w:t>
      </w:r>
    </w:p>
    <w:p w:rsidR="004E7AC7" w:rsidRPr="00CA479A" w:rsidRDefault="004E7AC7" w:rsidP="004E7AC7">
      <w:r w:rsidRPr="00CA479A">
        <w:t>The Syndicated Factoring Agreement requires insurance coverage against the credit risk of the underlying trade debtor. Such insurance covers up to 95% of the nominal value of such receivables. The receivables financing companies are intended to be co-beneficiaries of the insurance proceeds.</w:t>
      </w:r>
      <w:r w:rsidR="00CA479A">
        <w:t xml:space="preserve"> [</w:t>
      </w:r>
      <w:r w:rsidR="00CA479A" w:rsidRPr="00CA479A">
        <w:rPr>
          <w:highlight w:val="yellow"/>
        </w:rPr>
        <w:t>Under the General Conditions of the Syndicated Factoring Agreement, the Univeg Group will pay the premium on the insurance policies</w:t>
      </w:r>
      <w:r w:rsidR="00CA479A">
        <w:t>]</w:t>
      </w:r>
      <w:r w:rsidR="00CA479A" w:rsidRPr="00CA479A">
        <w:t>.</w:t>
      </w:r>
    </w:p>
    <w:p w:rsidR="004E7AC7" w:rsidRDefault="004E7AC7" w:rsidP="004E7AC7">
      <w:r>
        <w:t>In the event the underlying trade debtor fails to pay any amount when due and payable, and a call under the insurance is made, any available insurance proceeds are either directly paid to the receivables financing company, which then transfers the positive difference (if any) between such insurance proceeds and the above-mentioned advance payment to the relevant member of the Univeg Group, or are directly received by the relevant member of the Univeg Group which retrocedes such insurance proceeds to the receivables financing company up to the amount of the advance payment that was made by the latter.</w:t>
      </w:r>
    </w:p>
    <w:p w:rsidR="004E7AC7" w:rsidRDefault="004E7AC7" w:rsidP="004E7AC7">
      <w:r>
        <w:t>The fees paid by the relevant Univeg Group member to the receivables financing companies as consideration for the services provided include an interest component calculated on the financing amount.</w:t>
      </w:r>
    </w:p>
    <w:p w:rsidR="004E7AC7" w:rsidRDefault="004E7AC7" w:rsidP="00CA479A">
      <w:r w:rsidRPr="00CA479A">
        <w:t xml:space="preserve">The obligations of the members of the Univeg Group </w:t>
      </w:r>
      <w:r w:rsidR="00CA479A">
        <w:t>[(</w:t>
      </w:r>
      <w:r w:rsidR="00CA479A" w:rsidRPr="008961CC">
        <w:rPr>
          <w:highlight w:val="yellow"/>
        </w:rPr>
        <w:t xml:space="preserve">which include but </w:t>
      </w:r>
      <w:r w:rsidR="00D257A1">
        <w:rPr>
          <w:highlight w:val="yellow"/>
        </w:rPr>
        <w:t xml:space="preserve">are </w:t>
      </w:r>
      <w:r w:rsidR="00CA479A" w:rsidRPr="008961CC">
        <w:rPr>
          <w:highlight w:val="yellow"/>
        </w:rPr>
        <w:t>not limited to an obligation to repurchase receivables sold to the Factors, but which subsequently prove to have been Non-Eligible Receivables or Excluded Receivables)</w:t>
      </w:r>
      <w:r w:rsidR="00CA479A">
        <w:t>] u</w:t>
      </w:r>
      <w:r w:rsidRPr="00CA479A">
        <w:t>nder the Syndicated Factoring Agreement are fully supported or secured by cross-guarantees and security interests customary for non-recourse receivables financings in the relevant jurisdictions. There are very detailed schedules applicable to each Univeg Group member’s country of jurisdiction.</w:t>
      </w:r>
      <w:r w:rsidR="00C14169" w:rsidRPr="00CA479A">
        <w:t xml:space="preserve"> </w:t>
      </w:r>
      <w:r w:rsidRPr="00CA479A">
        <w:t>Terms and conditions in these schedules override (with respect to the companies to which they apply) any conflicting terms in the main Syndicated Factoring Agreement.</w:t>
      </w:r>
    </w:p>
    <w:p w:rsidR="004E7AC7" w:rsidRDefault="004E7AC7" w:rsidP="004E7AC7">
      <w:r>
        <w:t>The Univeg Group's Syndicated Factoring Agreement benefits from off-balance sheet treatment, reflecting the judgment that substantially all risks and rewards in respect of the receivables have been transferred.</w:t>
      </w:r>
    </w:p>
    <w:p w:rsidR="00AD2433" w:rsidRDefault="004E7AC7" w:rsidP="004E7AC7">
      <w:r>
        <w:t>In light of the usual payment terms in the sales markets in which the Univeg Group mainly operates, the Univeg Group considers the Syndicated Factoring Agreement to be an efficient and low cost means of sustaining its working capital position. See also Section 2.2.2.3 of Part VI (</w:t>
      </w:r>
      <w:r w:rsidRPr="004E7AC7">
        <w:rPr>
          <w:i/>
        </w:rPr>
        <w:t>Operating and financial review</w:t>
      </w:r>
      <w:r>
        <w:t>).</w:t>
      </w:r>
    </w:p>
    <w:p w:rsidR="00AD2433" w:rsidRDefault="00462A35" w:rsidP="00353B80">
      <w:pPr>
        <w:pStyle w:val="Firm5L3"/>
        <w:keepNext/>
      </w:pPr>
      <w:r>
        <w:t>S</w:t>
      </w:r>
      <w:r w:rsidR="00B0544B">
        <w:t xml:space="preserve">enior secured </w:t>
      </w:r>
      <w:r w:rsidR="00723DC7">
        <w:t>Notes</w:t>
      </w:r>
    </w:p>
    <w:p w:rsidR="00723DC7" w:rsidRPr="009875CA" w:rsidRDefault="00723DC7" w:rsidP="00353B80">
      <w:pPr>
        <w:pStyle w:val="Firm5L4"/>
        <w:keepNext/>
        <w:rPr>
          <w:b/>
        </w:rPr>
      </w:pPr>
      <w:r w:rsidRPr="009875CA">
        <w:t>Overview</w:t>
      </w:r>
    </w:p>
    <w:p w:rsidR="00723DC7" w:rsidRPr="009875CA" w:rsidRDefault="00723DC7" w:rsidP="009875CA">
      <w:pPr>
        <w:pStyle w:val="BodyText"/>
        <w:rPr>
          <w:szCs w:val="20"/>
        </w:rPr>
      </w:pPr>
      <w:r w:rsidRPr="009875CA">
        <w:rPr>
          <w:szCs w:val="20"/>
        </w:rPr>
        <w:t xml:space="preserve">On 15 November 2013, Univeg Holding issued </w:t>
      </w:r>
      <w:r w:rsidR="00E53641">
        <w:rPr>
          <w:szCs w:val="20"/>
        </w:rPr>
        <w:t>EUR </w:t>
      </w:r>
      <w:r w:rsidRPr="009875CA">
        <w:rPr>
          <w:szCs w:val="20"/>
        </w:rPr>
        <w:t xml:space="preserve">285,000,000 of 7.875% Notes, maturing on 15 November 2020 (the </w:t>
      </w:r>
      <w:r w:rsidRPr="00B00545">
        <w:rPr>
          <w:szCs w:val="20"/>
        </w:rPr>
        <w:t>Notes</w:t>
      </w:r>
      <w:r w:rsidRPr="009875CA">
        <w:rPr>
          <w:szCs w:val="20"/>
        </w:rPr>
        <w:t>) under an indenture among Univeg Holding, Univeg</w:t>
      </w:r>
      <w:r w:rsidR="00B0544B">
        <w:rPr>
          <w:szCs w:val="20"/>
        </w:rPr>
        <w:t xml:space="preserve"> as parent and guarantor</w:t>
      </w:r>
      <w:r w:rsidRPr="009875CA">
        <w:rPr>
          <w:szCs w:val="20"/>
        </w:rPr>
        <w:t>, the guarantors party thereto, Citibank, N.A., London Branch, as trustee, principal paying agent and transfer agent, Citigroup Global Markets Deutschland AG, as registrar and ING Bank N</w:t>
      </w:r>
      <w:r w:rsidR="00B0544B">
        <w:rPr>
          <w:szCs w:val="20"/>
        </w:rPr>
        <w:t>.</w:t>
      </w:r>
      <w:r w:rsidRPr="009875CA">
        <w:rPr>
          <w:szCs w:val="20"/>
        </w:rPr>
        <w:t>V</w:t>
      </w:r>
      <w:r w:rsidR="00B0544B">
        <w:rPr>
          <w:szCs w:val="20"/>
        </w:rPr>
        <w:t>.</w:t>
      </w:r>
      <w:r w:rsidRPr="009875CA">
        <w:rPr>
          <w:szCs w:val="20"/>
        </w:rPr>
        <w:t xml:space="preserve">, as security agent (the </w:t>
      </w:r>
      <w:r w:rsidRPr="009875CA">
        <w:rPr>
          <w:b/>
          <w:i/>
          <w:szCs w:val="20"/>
        </w:rPr>
        <w:t>Indenture</w:t>
      </w:r>
      <w:r w:rsidRPr="009875CA">
        <w:rPr>
          <w:szCs w:val="20"/>
        </w:rPr>
        <w:t>).</w:t>
      </w:r>
      <w:r w:rsidR="00C14169">
        <w:rPr>
          <w:szCs w:val="20"/>
        </w:rPr>
        <w:t xml:space="preserve"> </w:t>
      </w:r>
      <w:r w:rsidRPr="009875CA">
        <w:rPr>
          <w:szCs w:val="20"/>
        </w:rPr>
        <w:t>The Notes are guaranteed by Univeg</w:t>
      </w:r>
      <w:r w:rsidRPr="009875CA">
        <w:rPr>
          <w:i/>
          <w:szCs w:val="20"/>
        </w:rPr>
        <w:t xml:space="preserve"> </w:t>
      </w:r>
      <w:r w:rsidRPr="009875CA">
        <w:rPr>
          <w:szCs w:val="20"/>
        </w:rPr>
        <w:t xml:space="preserve">and certain subsidiary guarantors (the </w:t>
      </w:r>
      <w:r w:rsidRPr="009875CA">
        <w:rPr>
          <w:b/>
          <w:i/>
          <w:szCs w:val="20"/>
        </w:rPr>
        <w:t>Subsidiary Guarantors</w:t>
      </w:r>
      <w:r w:rsidRPr="009875CA">
        <w:rPr>
          <w:i/>
          <w:szCs w:val="20"/>
        </w:rPr>
        <w:t xml:space="preserve"> </w:t>
      </w:r>
      <w:r w:rsidRPr="009875CA">
        <w:rPr>
          <w:szCs w:val="20"/>
        </w:rPr>
        <w:t xml:space="preserve">and, together with Univeg, the </w:t>
      </w:r>
      <w:r w:rsidRPr="009875CA">
        <w:rPr>
          <w:b/>
          <w:i/>
          <w:szCs w:val="20"/>
        </w:rPr>
        <w:t>Guarantors</w:t>
      </w:r>
      <w:r w:rsidRPr="009875CA">
        <w:rPr>
          <w:szCs w:val="20"/>
        </w:rPr>
        <w:t>).</w:t>
      </w:r>
      <w:r w:rsidR="00C14169">
        <w:rPr>
          <w:szCs w:val="20"/>
        </w:rPr>
        <w:t xml:space="preserve"> </w:t>
      </w:r>
      <w:r w:rsidRPr="009875CA">
        <w:rPr>
          <w:szCs w:val="20"/>
        </w:rPr>
        <w:t xml:space="preserve">The Notes are secured by a share pledge of Univeg Holding and certain Subsidiary Guarantors and non-guarantor subsidiaries of Univeg, certain receivables of Univeg, Univeg Holding and certain of the Subsidiary Guarantors, certain bank accounts of Univeg Holding and certain of the Subsidiary Guarantors, certain moveable assets of Univeg Holding and certain of the Subsidiary Guarantors and a floating charge (or the equivalent) over assets of certain of the Subsidiary Guarantors. </w:t>
      </w:r>
    </w:p>
    <w:p w:rsidR="00723DC7" w:rsidRPr="009875CA" w:rsidRDefault="00723DC7" w:rsidP="00353B80">
      <w:pPr>
        <w:pStyle w:val="Firm5L4"/>
        <w:keepNext/>
      </w:pPr>
      <w:r w:rsidRPr="009875CA">
        <w:t>Optional redemption</w:t>
      </w:r>
    </w:p>
    <w:p w:rsidR="00723DC7" w:rsidRPr="009875CA" w:rsidRDefault="00723DC7" w:rsidP="009875CA">
      <w:pPr>
        <w:pStyle w:val="BodyText"/>
        <w:rPr>
          <w:szCs w:val="20"/>
        </w:rPr>
      </w:pPr>
      <w:r w:rsidRPr="009875CA">
        <w:rPr>
          <w:szCs w:val="20"/>
        </w:rPr>
        <w:t xml:space="preserve">Prior to 15 November 2016, Univeg Holding is entitled to redeem all or a portion of the Notes at a redemption price equal to 100% of the principal amount of the Notes plus an applicable </w:t>
      </w:r>
      <w:r w:rsidR="00BF553B">
        <w:rPr>
          <w:szCs w:val="20"/>
        </w:rPr>
        <w:t>“</w:t>
      </w:r>
      <w:r w:rsidRPr="009875CA">
        <w:rPr>
          <w:szCs w:val="20"/>
        </w:rPr>
        <w:t>make-whole</w:t>
      </w:r>
      <w:r w:rsidR="00BF553B">
        <w:rPr>
          <w:szCs w:val="20"/>
        </w:rPr>
        <w:t>”</w:t>
      </w:r>
      <w:r w:rsidRPr="009875CA">
        <w:rPr>
          <w:szCs w:val="20"/>
        </w:rPr>
        <w:t xml:space="preserve"> premium. Prior to 15 November 2016, Univeg Holding is entitled to redeem the Notes in an aggregate principal amount not to exceed </w:t>
      </w:r>
      <w:r w:rsidRPr="009875CA">
        <w:rPr>
          <w:szCs w:val="20"/>
        </w:rPr>
        <w:lastRenderedPageBreak/>
        <w:t xml:space="preserve">35% of the aggregate principal amount of the Notes, with the net cash proceeds from certain equity offerings at a redemption price equal to 107.875% of the principal amount outstanding in respect of the Notes so long as at least 65% of the aggregate principal amount of the Notes remains outstanding immediately after such redemption. </w:t>
      </w:r>
    </w:p>
    <w:p w:rsidR="00723DC7" w:rsidRPr="009875CA" w:rsidRDefault="00723DC7" w:rsidP="009875CA">
      <w:pPr>
        <w:pStyle w:val="BodyText"/>
        <w:rPr>
          <w:szCs w:val="20"/>
        </w:rPr>
      </w:pPr>
      <w:r w:rsidRPr="009875CA">
        <w:rPr>
          <w:szCs w:val="20"/>
        </w:rPr>
        <w:t>On or after 15 November 2016, Univeg Holding may on any one or more occasions redeem all or a part of Notes, at the redemption prices (expressed as percentages of principal amount) set forth below:</w:t>
      </w:r>
    </w:p>
    <w:tbl>
      <w:tblPr>
        <w:tblW w:w="0" w:type="auto"/>
        <w:jc w:val="center"/>
        <w:tblLook w:val="01E0" w:firstRow="1" w:lastRow="1" w:firstColumn="1" w:lastColumn="1" w:noHBand="0" w:noVBand="0"/>
      </w:tblPr>
      <w:tblGrid>
        <w:gridCol w:w="4927"/>
        <w:gridCol w:w="3487"/>
      </w:tblGrid>
      <w:tr w:rsidR="00723DC7" w:rsidRPr="009875CA" w:rsidTr="009875CA">
        <w:trPr>
          <w:jc w:val="center"/>
        </w:trPr>
        <w:tc>
          <w:tcPr>
            <w:tcW w:w="4927" w:type="dxa"/>
            <w:shd w:val="clear" w:color="auto" w:fill="auto"/>
          </w:tcPr>
          <w:p w:rsidR="00723DC7" w:rsidRPr="009875CA" w:rsidRDefault="00723DC7" w:rsidP="009875CA">
            <w:pPr>
              <w:tabs>
                <w:tab w:val="right" w:leader="dot" w:pos="4963"/>
              </w:tabs>
              <w:spacing w:before="0" w:after="0"/>
              <w:rPr>
                <w:b/>
                <w:szCs w:val="20"/>
              </w:rPr>
            </w:pPr>
            <w:r w:rsidRPr="009875CA">
              <w:rPr>
                <w:b/>
                <w:szCs w:val="20"/>
              </w:rPr>
              <w:t>Year</w:t>
            </w:r>
          </w:p>
        </w:tc>
        <w:tc>
          <w:tcPr>
            <w:tcW w:w="3487" w:type="dxa"/>
            <w:shd w:val="clear" w:color="auto" w:fill="auto"/>
            <w:vAlign w:val="bottom"/>
          </w:tcPr>
          <w:p w:rsidR="00723DC7" w:rsidRPr="009875CA" w:rsidRDefault="00723DC7" w:rsidP="009875CA">
            <w:pPr>
              <w:tabs>
                <w:tab w:val="right" w:leader="dot" w:pos="4963"/>
              </w:tabs>
              <w:spacing w:before="0" w:after="0"/>
              <w:jc w:val="right"/>
              <w:rPr>
                <w:b/>
                <w:szCs w:val="20"/>
              </w:rPr>
            </w:pPr>
            <w:r w:rsidRPr="009875CA">
              <w:rPr>
                <w:b/>
                <w:szCs w:val="20"/>
              </w:rPr>
              <w:t>Redemption Price</w:t>
            </w:r>
          </w:p>
        </w:tc>
      </w:tr>
      <w:tr w:rsidR="00723DC7" w:rsidRPr="009875CA" w:rsidTr="009875CA">
        <w:trPr>
          <w:jc w:val="center"/>
        </w:trPr>
        <w:tc>
          <w:tcPr>
            <w:tcW w:w="4927" w:type="dxa"/>
            <w:shd w:val="clear" w:color="auto" w:fill="auto"/>
          </w:tcPr>
          <w:p w:rsidR="00723DC7" w:rsidRPr="009875CA" w:rsidRDefault="00723DC7" w:rsidP="009875CA">
            <w:pPr>
              <w:tabs>
                <w:tab w:val="right" w:leader="dot" w:pos="4963"/>
              </w:tabs>
              <w:spacing w:before="0" w:after="0"/>
              <w:rPr>
                <w:szCs w:val="20"/>
              </w:rPr>
            </w:pPr>
            <w:r w:rsidRPr="009875CA">
              <w:rPr>
                <w:szCs w:val="20"/>
              </w:rPr>
              <w:t>2016</w:t>
            </w:r>
          </w:p>
        </w:tc>
        <w:tc>
          <w:tcPr>
            <w:tcW w:w="3487" w:type="dxa"/>
            <w:shd w:val="clear" w:color="auto" w:fill="auto"/>
            <w:vAlign w:val="bottom"/>
          </w:tcPr>
          <w:p w:rsidR="00723DC7" w:rsidRPr="009875CA" w:rsidRDefault="00723DC7" w:rsidP="009875CA">
            <w:pPr>
              <w:tabs>
                <w:tab w:val="right" w:leader="dot" w:pos="4963"/>
              </w:tabs>
              <w:spacing w:before="0" w:after="0"/>
              <w:jc w:val="right"/>
              <w:rPr>
                <w:szCs w:val="20"/>
              </w:rPr>
            </w:pPr>
            <w:r w:rsidRPr="009875CA">
              <w:rPr>
                <w:szCs w:val="20"/>
              </w:rPr>
              <w:t>103.938%</w:t>
            </w:r>
          </w:p>
        </w:tc>
      </w:tr>
      <w:tr w:rsidR="00723DC7" w:rsidRPr="009875CA" w:rsidTr="009875CA">
        <w:trPr>
          <w:jc w:val="center"/>
        </w:trPr>
        <w:tc>
          <w:tcPr>
            <w:tcW w:w="4927" w:type="dxa"/>
            <w:shd w:val="clear" w:color="auto" w:fill="auto"/>
          </w:tcPr>
          <w:p w:rsidR="00723DC7" w:rsidRPr="009875CA" w:rsidRDefault="00723DC7" w:rsidP="009875CA">
            <w:pPr>
              <w:tabs>
                <w:tab w:val="right" w:leader="dot" w:pos="4963"/>
              </w:tabs>
              <w:spacing w:before="0" w:after="0"/>
              <w:rPr>
                <w:szCs w:val="20"/>
              </w:rPr>
            </w:pPr>
            <w:r w:rsidRPr="009875CA">
              <w:rPr>
                <w:szCs w:val="20"/>
              </w:rPr>
              <w:t>2017</w:t>
            </w:r>
          </w:p>
        </w:tc>
        <w:tc>
          <w:tcPr>
            <w:tcW w:w="3487" w:type="dxa"/>
            <w:shd w:val="clear" w:color="auto" w:fill="auto"/>
            <w:vAlign w:val="bottom"/>
          </w:tcPr>
          <w:p w:rsidR="00723DC7" w:rsidRPr="009875CA" w:rsidRDefault="00723DC7" w:rsidP="009875CA">
            <w:pPr>
              <w:tabs>
                <w:tab w:val="right" w:leader="dot" w:pos="4963"/>
              </w:tabs>
              <w:spacing w:before="0" w:after="0"/>
              <w:jc w:val="right"/>
              <w:rPr>
                <w:szCs w:val="20"/>
              </w:rPr>
            </w:pPr>
            <w:r w:rsidRPr="009875CA">
              <w:rPr>
                <w:szCs w:val="20"/>
              </w:rPr>
              <w:t>101.969%</w:t>
            </w:r>
          </w:p>
        </w:tc>
      </w:tr>
      <w:tr w:rsidR="00723DC7" w:rsidRPr="009875CA" w:rsidTr="009875CA">
        <w:trPr>
          <w:jc w:val="center"/>
        </w:trPr>
        <w:tc>
          <w:tcPr>
            <w:tcW w:w="4927" w:type="dxa"/>
            <w:shd w:val="clear" w:color="auto" w:fill="auto"/>
          </w:tcPr>
          <w:p w:rsidR="00723DC7" w:rsidRPr="009875CA" w:rsidRDefault="00723DC7" w:rsidP="009875CA">
            <w:pPr>
              <w:tabs>
                <w:tab w:val="right" w:leader="dot" w:pos="4963"/>
              </w:tabs>
              <w:spacing w:before="0" w:after="0"/>
              <w:rPr>
                <w:szCs w:val="20"/>
              </w:rPr>
            </w:pPr>
            <w:r w:rsidRPr="009875CA">
              <w:rPr>
                <w:szCs w:val="20"/>
              </w:rPr>
              <w:t>2018 and thereafter</w:t>
            </w:r>
          </w:p>
        </w:tc>
        <w:tc>
          <w:tcPr>
            <w:tcW w:w="3487" w:type="dxa"/>
            <w:shd w:val="clear" w:color="auto" w:fill="auto"/>
            <w:vAlign w:val="bottom"/>
          </w:tcPr>
          <w:p w:rsidR="00723DC7" w:rsidRPr="009875CA" w:rsidRDefault="00723DC7" w:rsidP="009875CA">
            <w:pPr>
              <w:tabs>
                <w:tab w:val="right" w:leader="dot" w:pos="4963"/>
              </w:tabs>
              <w:spacing w:before="0" w:after="0"/>
              <w:jc w:val="right"/>
              <w:rPr>
                <w:szCs w:val="20"/>
              </w:rPr>
            </w:pPr>
            <w:r w:rsidRPr="009875CA">
              <w:rPr>
                <w:szCs w:val="20"/>
              </w:rPr>
              <w:t>100.000%</w:t>
            </w:r>
          </w:p>
        </w:tc>
      </w:tr>
    </w:tbl>
    <w:p w:rsidR="00723DC7" w:rsidRPr="009875CA" w:rsidRDefault="00723DC7" w:rsidP="00353B80">
      <w:pPr>
        <w:pStyle w:val="Firm5L4"/>
        <w:keepNext/>
      </w:pPr>
      <w:r w:rsidRPr="009875CA">
        <w:t>Change of control</w:t>
      </w:r>
    </w:p>
    <w:p w:rsidR="00723DC7" w:rsidRPr="009875CA" w:rsidRDefault="00723DC7" w:rsidP="009875CA">
      <w:pPr>
        <w:pStyle w:val="BodyText"/>
        <w:rPr>
          <w:szCs w:val="20"/>
        </w:rPr>
      </w:pPr>
      <w:r w:rsidRPr="009875CA">
        <w:rPr>
          <w:szCs w:val="20"/>
        </w:rPr>
        <w:t xml:space="preserve">Upon the occurrence of certain defined events constituting a </w:t>
      </w:r>
      <w:r w:rsidR="00BF553B">
        <w:rPr>
          <w:szCs w:val="20"/>
        </w:rPr>
        <w:t>“</w:t>
      </w:r>
      <w:r w:rsidRPr="009875CA">
        <w:rPr>
          <w:szCs w:val="20"/>
        </w:rPr>
        <w:t>change of control,</w:t>
      </w:r>
      <w:r w:rsidR="00BF553B">
        <w:rPr>
          <w:szCs w:val="20"/>
        </w:rPr>
        <w:t>”</w:t>
      </w:r>
      <w:r w:rsidRPr="009875CA">
        <w:rPr>
          <w:szCs w:val="20"/>
        </w:rPr>
        <w:t xml:space="preserve"> each holder of the Notes has the right to require Univeg Holding to repurchase all or any part of the Notes at 101% of their aggregate principal amount thereof. </w:t>
      </w:r>
    </w:p>
    <w:p w:rsidR="00723DC7" w:rsidRPr="009875CA" w:rsidRDefault="00723DC7" w:rsidP="004D2AF1">
      <w:pPr>
        <w:pStyle w:val="Firm5L4"/>
        <w:keepNext/>
        <w:tabs>
          <w:tab w:val="left" w:pos="900"/>
          <w:tab w:val="left" w:pos="1440"/>
        </w:tabs>
      </w:pPr>
      <w:r w:rsidRPr="009875CA">
        <w:t>Certain covenants</w:t>
      </w:r>
    </w:p>
    <w:p w:rsidR="00723DC7" w:rsidRPr="009875CA" w:rsidRDefault="00723DC7" w:rsidP="009875CA">
      <w:pPr>
        <w:pStyle w:val="BodyText"/>
        <w:rPr>
          <w:szCs w:val="20"/>
        </w:rPr>
      </w:pPr>
      <w:r w:rsidRPr="009875CA">
        <w:rPr>
          <w:szCs w:val="20"/>
        </w:rPr>
        <w:t xml:space="preserve">The Indenture contains covenants, including, among other things, that limit the ability of Univeg and Univeg Holding to incur or guarantee additional indebtedness; pay dividends or make other distributions or purchase or redeem stock; make certain investments; make certain other restricted payments; enter into agreements that restrict certain restricted subsidiaries’ ability to pay dividends; transfer or sell certain assets; enter into certain transactions with affiliates; create liens on assets to secure indebtedness; effect a consolidation or merger; and impair the security interests. Each of these covenants is subject to a number of significant exceptions and qualifications. Certain covenants will be suspended at any time as the Notes are rated </w:t>
      </w:r>
      <w:r w:rsidR="00BF553B">
        <w:rPr>
          <w:szCs w:val="20"/>
        </w:rPr>
        <w:t>“</w:t>
      </w:r>
      <w:r w:rsidRPr="009875CA">
        <w:rPr>
          <w:szCs w:val="20"/>
        </w:rPr>
        <w:t>investment grade.</w:t>
      </w:r>
      <w:r w:rsidR="00BF553B">
        <w:rPr>
          <w:szCs w:val="20"/>
        </w:rPr>
        <w:t>”</w:t>
      </w:r>
    </w:p>
    <w:p w:rsidR="00723DC7" w:rsidRPr="009875CA" w:rsidRDefault="00723DC7" w:rsidP="00353B80">
      <w:pPr>
        <w:pStyle w:val="Firm5L4"/>
        <w:keepNext/>
      </w:pPr>
      <w:r w:rsidRPr="009875CA">
        <w:t>Events of default</w:t>
      </w:r>
    </w:p>
    <w:p w:rsidR="00723DC7" w:rsidRPr="009875CA" w:rsidRDefault="00723DC7" w:rsidP="009875CA">
      <w:pPr>
        <w:pStyle w:val="BodyText"/>
        <w:rPr>
          <w:szCs w:val="20"/>
        </w:rPr>
      </w:pPr>
      <w:r w:rsidRPr="009875CA">
        <w:rPr>
          <w:szCs w:val="20"/>
        </w:rPr>
        <w:t xml:space="preserve">The Indenture contains customary events of default (subject in certain cases to grace periods, thresholds, notices and other exceptions) including, non-payment, failure to perform covenants, cross-defaults, judgment defaults and insolvency proceedings. </w:t>
      </w:r>
    </w:p>
    <w:p w:rsidR="00723DC7" w:rsidRPr="009875CA" w:rsidRDefault="00723DC7" w:rsidP="00353B80">
      <w:pPr>
        <w:pStyle w:val="Firm5L4"/>
        <w:keepNext/>
      </w:pPr>
      <w:r w:rsidRPr="009875CA">
        <w:t>Governing law</w:t>
      </w:r>
    </w:p>
    <w:p w:rsidR="00723DC7" w:rsidRPr="009875CA" w:rsidRDefault="00723DC7" w:rsidP="009875CA">
      <w:pPr>
        <w:pStyle w:val="BodyText"/>
        <w:rPr>
          <w:szCs w:val="20"/>
        </w:rPr>
      </w:pPr>
      <w:r w:rsidRPr="009875CA">
        <w:rPr>
          <w:szCs w:val="20"/>
        </w:rPr>
        <w:t>The Indenture, including the guarantees, is governed by New York Law</w:t>
      </w:r>
      <w:r w:rsidR="00FB41A2" w:rsidRPr="009875CA">
        <w:rPr>
          <w:szCs w:val="20"/>
        </w:rPr>
        <w:t>.</w:t>
      </w:r>
    </w:p>
    <w:p w:rsidR="00723DC7" w:rsidRPr="009875CA" w:rsidRDefault="00723DC7" w:rsidP="00353B80">
      <w:pPr>
        <w:pStyle w:val="Firm5L3"/>
        <w:keepNext/>
      </w:pPr>
      <w:r w:rsidRPr="009875CA">
        <w:t>Revolving Credit Facility</w:t>
      </w:r>
    </w:p>
    <w:p w:rsidR="009875CA" w:rsidRPr="009875CA" w:rsidRDefault="009875CA" w:rsidP="00353B80">
      <w:pPr>
        <w:pStyle w:val="Firm5L4"/>
        <w:keepNext/>
      </w:pPr>
      <w:r w:rsidRPr="009875CA">
        <w:t>Overview</w:t>
      </w:r>
    </w:p>
    <w:p w:rsidR="009875CA" w:rsidRPr="009875CA" w:rsidRDefault="009875CA" w:rsidP="009875CA">
      <w:pPr>
        <w:pStyle w:val="BodyText"/>
        <w:rPr>
          <w:szCs w:val="20"/>
        </w:rPr>
      </w:pPr>
      <w:r w:rsidRPr="009875CA">
        <w:rPr>
          <w:szCs w:val="20"/>
        </w:rPr>
        <w:t>On 14 November 2013, Univeg Holding and Univeg Belgium in their capacity as borrower thereunder, Univeg in its capacity</w:t>
      </w:r>
      <w:r w:rsidR="00C14169">
        <w:rPr>
          <w:szCs w:val="20"/>
        </w:rPr>
        <w:t xml:space="preserve"> </w:t>
      </w:r>
      <w:r w:rsidRPr="009875CA">
        <w:rPr>
          <w:szCs w:val="20"/>
        </w:rPr>
        <w:t xml:space="preserve">as parent thereunder and the other Guarantors in their capacity as guarantor thereunder entered into a </w:t>
      </w:r>
      <w:r w:rsidR="00E53641">
        <w:rPr>
          <w:szCs w:val="20"/>
        </w:rPr>
        <w:t>EUR </w:t>
      </w:r>
      <w:r w:rsidRPr="009875CA">
        <w:rPr>
          <w:szCs w:val="20"/>
        </w:rPr>
        <w:t xml:space="preserve">90,000,000 super senior multicurrency revolving facility agreement (the </w:t>
      </w:r>
      <w:r w:rsidRPr="009875CA">
        <w:rPr>
          <w:b/>
          <w:i/>
          <w:szCs w:val="20"/>
        </w:rPr>
        <w:t>Revolving</w:t>
      </w:r>
      <w:r w:rsidR="00F37DD6">
        <w:rPr>
          <w:b/>
          <w:i/>
          <w:szCs w:val="20"/>
        </w:rPr>
        <w:t xml:space="preserve"> Credit</w:t>
      </w:r>
      <w:r w:rsidRPr="009875CA">
        <w:rPr>
          <w:b/>
          <w:i/>
          <w:szCs w:val="20"/>
        </w:rPr>
        <w:t xml:space="preserve"> Facility</w:t>
      </w:r>
      <w:r w:rsidRPr="009875CA">
        <w:rPr>
          <w:szCs w:val="20"/>
        </w:rPr>
        <w:t>),</w:t>
      </w:r>
      <w:r w:rsidR="00C14169">
        <w:rPr>
          <w:szCs w:val="20"/>
        </w:rPr>
        <w:t xml:space="preserve"> </w:t>
      </w:r>
      <w:r w:rsidRPr="009875CA">
        <w:rPr>
          <w:szCs w:val="20"/>
        </w:rPr>
        <w:t>with, amongst others, ABN AMRO Bank N.V., ING Belgium NV and KBC Bank NV, ABN AMRO Bank N.V., ING Bank NV and KBC Bank NV.</w:t>
      </w:r>
    </w:p>
    <w:p w:rsidR="009875CA" w:rsidRPr="009875CA" w:rsidRDefault="009875CA" w:rsidP="009875CA">
      <w:pPr>
        <w:pStyle w:val="BodyText"/>
        <w:rPr>
          <w:szCs w:val="20"/>
        </w:rPr>
      </w:pPr>
      <w:r w:rsidRPr="009875CA">
        <w:rPr>
          <w:szCs w:val="20"/>
        </w:rPr>
        <w:t xml:space="preserve">The </w:t>
      </w:r>
      <w:r w:rsidR="00F37DD6">
        <w:rPr>
          <w:szCs w:val="20"/>
        </w:rPr>
        <w:t>Revolving Credit Facility</w:t>
      </w:r>
      <w:r w:rsidRPr="009875CA">
        <w:rPr>
          <w:szCs w:val="20"/>
        </w:rPr>
        <w:t xml:space="preserve"> includes an accordion feature pursuant to which additional commitments for an amount comprised between </w:t>
      </w:r>
      <w:r w:rsidR="00E53641">
        <w:rPr>
          <w:szCs w:val="20"/>
        </w:rPr>
        <w:t>EUR </w:t>
      </w:r>
      <w:r w:rsidRPr="009875CA">
        <w:rPr>
          <w:szCs w:val="20"/>
        </w:rPr>
        <w:t xml:space="preserve">10,000,000 and </w:t>
      </w:r>
      <w:r w:rsidR="00E53641">
        <w:rPr>
          <w:szCs w:val="20"/>
        </w:rPr>
        <w:t>EUR </w:t>
      </w:r>
      <w:r w:rsidRPr="009875CA">
        <w:rPr>
          <w:szCs w:val="20"/>
        </w:rPr>
        <w:t>25,000,000 may be made available to the borrowers by existing or acceding lenders.</w:t>
      </w:r>
    </w:p>
    <w:p w:rsidR="009875CA" w:rsidRPr="009875CA" w:rsidRDefault="009875CA" w:rsidP="009875CA">
      <w:pPr>
        <w:pStyle w:val="BodyText"/>
        <w:rPr>
          <w:szCs w:val="20"/>
        </w:rPr>
      </w:pPr>
      <w:r w:rsidRPr="009875CA">
        <w:rPr>
          <w:szCs w:val="20"/>
        </w:rPr>
        <w:t xml:space="preserve">The </w:t>
      </w:r>
      <w:r w:rsidR="00F37DD6">
        <w:rPr>
          <w:szCs w:val="20"/>
        </w:rPr>
        <w:t>Revolving Credit Facility</w:t>
      </w:r>
      <w:r w:rsidRPr="009875CA">
        <w:rPr>
          <w:szCs w:val="20"/>
        </w:rPr>
        <w:t xml:space="preserve"> may be utilised by the borrowers in euro, US Dollar or any other optional currency approved by all lenders. It may be used as follows:</w:t>
      </w:r>
    </w:p>
    <w:p w:rsidR="009875CA" w:rsidRPr="009875CA" w:rsidRDefault="009875CA" w:rsidP="009875CA">
      <w:pPr>
        <w:pStyle w:val="BulletsL1"/>
        <w:rPr>
          <w:szCs w:val="20"/>
        </w:rPr>
      </w:pPr>
      <w:r w:rsidRPr="009875CA">
        <w:rPr>
          <w:szCs w:val="20"/>
        </w:rPr>
        <w:t xml:space="preserve">in respect of the first utilisation, to refinance partially all amounts outstanding as at the date of the first </w:t>
      </w:r>
      <w:r w:rsidRPr="009875CA">
        <w:t>utilisation</w:t>
      </w:r>
      <w:r w:rsidRPr="009875CA">
        <w:rPr>
          <w:szCs w:val="20"/>
        </w:rPr>
        <w:t xml:space="preserve"> under the revolving facilities granted under </w:t>
      </w:r>
      <w:r w:rsidR="00AA3763">
        <w:rPr>
          <w:szCs w:val="20"/>
        </w:rPr>
        <w:t>the</w:t>
      </w:r>
      <w:r w:rsidRPr="009875CA">
        <w:rPr>
          <w:szCs w:val="20"/>
        </w:rPr>
        <w:t>n existing senior facilities agreement;</w:t>
      </w:r>
    </w:p>
    <w:p w:rsidR="009875CA" w:rsidRPr="009875CA" w:rsidRDefault="009875CA" w:rsidP="009875CA">
      <w:pPr>
        <w:pStyle w:val="BulletsL1"/>
        <w:rPr>
          <w:szCs w:val="20"/>
        </w:rPr>
      </w:pPr>
      <w:r w:rsidRPr="009875CA">
        <w:rPr>
          <w:szCs w:val="20"/>
        </w:rPr>
        <w:t xml:space="preserve">to fund the </w:t>
      </w:r>
      <w:r w:rsidRPr="009875CA">
        <w:t>Univeg</w:t>
      </w:r>
      <w:r w:rsidRPr="009875CA">
        <w:rPr>
          <w:szCs w:val="20"/>
        </w:rPr>
        <w:t xml:space="preserve"> Group's general corporate and working capital requirements; and</w:t>
      </w:r>
    </w:p>
    <w:p w:rsidR="009875CA" w:rsidRPr="009875CA" w:rsidRDefault="009875CA" w:rsidP="009875CA">
      <w:pPr>
        <w:pStyle w:val="BulletsL1"/>
        <w:rPr>
          <w:szCs w:val="20"/>
        </w:rPr>
      </w:pPr>
      <w:r w:rsidRPr="009875CA">
        <w:rPr>
          <w:szCs w:val="20"/>
        </w:rPr>
        <w:t xml:space="preserve">to repay loans </w:t>
      </w:r>
      <w:r w:rsidRPr="009875CA">
        <w:t>made</w:t>
      </w:r>
      <w:r w:rsidRPr="009875CA">
        <w:rPr>
          <w:szCs w:val="20"/>
        </w:rPr>
        <w:t xml:space="preserve"> under the </w:t>
      </w:r>
      <w:r w:rsidR="00F37DD6">
        <w:rPr>
          <w:szCs w:val="20"/>
        </w:rPr>
        <w:t>Revolving Credit Facility</w:t>
      </w:r>
      <w:r w:rsidRPr="009875CA">
        <w:rPr>
          <w:szCs w:val="20"/>
        </w:rPr>
        <w:t xml:space="preserve"> which are maturing.</w:t>
      </w:r>
    </w:p>
    <w:p w:rsidR="009875CA" w:rsidRPr="009875CA" w:rsidRDefault="009875CA" w:rsidP="00353B80">
      <w:pPr>
        <w:pStyle w:val="Firm5L4"/>
        <w:keepNext/>
      </w:pPr>
      <w:r w:rsidRPr="009875CA">
        <w:t>Availability</w:t>
      </w:r>
    </w:p>
    <w:p w:rsidR="009875CA" w:rsidRPr="009875CA" w:rsidRDefault="009875CA" w:rsidP="009875CA">
      <w:pPr>
        <w:pStyle w:val="BodyText"/>
        <w:rPr>
          <w:szCs w:val="20"/>
          <w:lang w:eastAsia="en-GB"/>
        </w:rPr>
      </w:pPr>
      <w:r w:rsidRPr="009875CA">
        <w:rPr>
          <w:szCs w:val="20"/>
          <w:lang w:eastAsia="en-GB"/>
        </w:rPr>
        <w:t xml:space="preserve">The </w:t>
      </w:r>
      <w:r w:rsidR="00F37DD6">
        <w:rPr>
          <w:szCs w:val="20"/>
          <w:lang w:eastAsia="en-GB"/>
        </w:rPr>
        <w:t>Revolving Credit Facility</w:t>
      </w:r>
      <w:r w:rsidRPr="009875CA">
        <w:rPr>
          <w:szCs w:val="20"/>
          <w:lang w:eastAsia="en-GB"/>
        </w:rPr>
        <w:t xml:space="preserve"> may be utilised from 14 November 2013 until the date falling one month prior to 14 November 2018.</w:t>
      </w:r>
    </w:p>
    <w:p w:rsidR="009875CA" w:rsidRPr="009875CA" w:rsidRDefault="009875CA" w:rsidP="00353B80">
      <w:pPr>
        <w:pStyle w:val="Firm5L4"/>
        <w:keepNext/>
      </w:pPr>
      <w:r w:rsidRPr="009875CA">
        <w:lastRenderedPageBreak/>
        <w:t>Interest and fees</w:t>
      </w:r>
    </w:p>
    <w:p w:rsidR="009875CA" w:rsidRPr="009875CA" w:rsidRDefault="009875CA" w:rsidP="009875CA">
      <w:pPr>
        <w:pStyle w:val="BodyText"/>
        <w:rPr>
          <w:szCs w:val="20"/>
        </w:rPr>
      </w:pPr>
      <w:r w:rsidRPr="009875CA">
        <w:rPr>
          <w:szCs w:val="20"/>
        </w:rPr>
        <w:t xml:space="preserve">The amounts drawn under the </w:t>
      </w:r>
      <w:r w:rsidR="00F37DD6">
        <w:rPr>
          <w:szCs w:val="20"/>
        </w:rPr>
        <w:t>Revolving Credit Facility</w:t>
      </w:r>
      <w:r w:rsidRPr="009875CA">
        <w:rPr>
          <w:szCs w:val="20"/>
        </w:rPr>
        <w:t xml:space="preserve"> bear interest at a rate equal to the sum of (i) LIBOR (or, in respect of loans denominated in euro, EURIBOR), (ii) the applicable margin and (iii) mandatory costs, if any. The applicable margin is initially equal to a base margin </w:t>
      </w:r>
      <w:r w:rsidRPr="008961CC">
        <w:rPr>
          <w:szCs w:val="20"/>
        </w:rPr>
        <w:t xml:space="preserve">of 3.60% per annum, subject to, after at least three months has elapsed from the effective date, a ratchet up or down based on the Univeg Group's leverage ratio, calculated on a quarterly basis over </w:t>
      </w:r>
      <w:r w:rsidR="00AA3763" w:rsidRPr="008961CC">
        <w:rPr>
          <w:szCs w:val="20"/>
        </w:rPr>
        <w:t>the</w:t>
      </w:r>
      <w:r w:rsidRPr="008961CC">
        <w:rPr>
          <w:szCs w:val="20"/>
        </w:rPr>
        <w:t>n last 12 months period. The applicable margin varies between 2.75% (leverage below 2.5x) and 3.75% (leverage above 4.25x) per annum, and will be automatically increased up to 3.75% per annum upon the occurrence</w:t>
      </w:r>
      <w:r w:rsidRPr="009875CA">
        <w:rPr>
          <w:szCs w:val="20"/>
        </w:rPr>
        <w:t xml:space="preserve"> of, and as long as an event of default is continuing. An additional margin premium of 0.30% will further apply to amounts drawn in an optional currency.</w:t>
      </w:r>
    </w:p>
    <w:p w:rsidR="00206AA2" w:rsidRDefault="004D2AF1" w:rsidP="009875CA">
      <w:pPr>
        <w:pStyle w:val="BodyText"/>
        <w:rPr>
          <w:szCs w:val="20"/>
        </w:rPr>
      </w:pPr>
      <w:r>
        <w:rPr>
          <w:szCs w:val="20"/>
        </w:rPr>
        <w:t>[</w:t>
      </w:r>
      <w:r w:rsidR="00752BC3">
        <w:rPr>
          <w:szCs w:val="20"/>
          <w:highlight w:val="yellow"/>
        </w:rPr>
        <w:t xml:space="preserve">The latest Compliance Certificate shows </w:t>
      </w:r>
      <w:r w:rsidR="00206AA2" w:rsidRPr="00A76DA8">
        <w:rPr>
          <w:szCs w:val="20"/>
          <w:highlight w:val="yellow"/>
        </w:rPr>
        <w:t xml:space="preserve">the Univeg Group’s leverage ratio </w:t>
      </w:r>
      <w:r w:rsidR="00752BC3">
        <w:rPr>
          <w:szCs w:val="20"/>
          <w:highlight w:val="yellow"/>
        </w:rPr>
        <w:t xml:space="preserve">is </w:t>
      </w:r>
      <w:r w:rsidR="00206AA2" w:rsidRPr="00A76DA8">
        <w:rPr>
          <w:szCs w:val="20"/>
          <w:highlight w:val="yellow"/>
        </w:rPr>
        <w:t xml:space="preserve">2.2:1 meaning that the applicable Margin </w:t>
      </w:r>
      <w:r w:rsidR="00752BC3">
        <w:rPr>
          <w:szCs w:val="20"/>
          <w:highlight w:val="yellow"/>
        </w:rPr>
        <w:t xml:space="preserve">is currently </w:t>
      </w:r>
      <w:r w:rsidR="00206AA2" w:rsidRPr="00A76DA8">
        <w:rPr>
          <w:szCs w:val="20"/>
          <w:highlight w:val="yellow"/>
        </w:rPr>
        <w:t>2.75% per annum.</w:t>
      </w:r>
      <w:r w:rsidRPr="00A76DA8">
        <w:rPr>
          <w:szCs w:val="20"/>
          <w:highlight w:val="yellow"/>
        </w:rPr>
        <w:t>]</w:t>
      </w:r>
      <w:r w:rsidR="00206AA2">
        <w:rPr>
          <w:szCs w:val="20"/>
        </w:rPr>
        <w:t xml:space="preserve">   </w:t>
      </w:r>
    </w:p>
    <w:p w:rsidR="009875CA" w:rsidRPr="009875CA" w:rsidRDefault="009875CA" w:rsidP="009875CA">
      <w:pPr>
        <w:pStyle w:val="BodyText"/>
        <w:rPr>
          <w:szCs w:val="20"/>
        </w:rPr>
      </w:pPr>
      <w:r w:rsidRPr="009875CA">
        <w:rPr>
          <w:szCs w:val="20"/>
        </w:rPr>
        <w:t>Default interest will be calculated as an additional 1% on the overdue amount.</w:t>
      </w:r>
    </w:p>
    <w:p w:rsidR="009875CA" w:rsidRPr="009875CA" w:rsidRDefault="009875CA" w:rsidP="009875CA">
      <w:pPr>
        <w:pStyle w:val="BodyText"/>
        <w:rPr>
          <w:szCs w:val="20"/>
        </w:rPr>
      </w:pPr>
      <w:r w:rsidRPr="009875CA">
        <w:rPr>
          <w:szCs w:val="20"/>
        </w:rPr>
        <w:t xml:space="preserve">A commitment fee will be payable, quarterly in arrears, at the rate of 35% of </w:t>
      </w:r>
      <w:r w:rsidR="00AA3763">
        <w:rPr>
          <w:szCs w:val="20"/>
        </w:rPr>
        <w:t>the</w:t>
      </w:r>
      <w:r w:rsidRPr="009875CA">
        <w:rPr>
          <w:szCs w:val="20"/>
        </w:rPr>
        <w:t>n applicable margin per annum (without taking into account any additional margin premium) on each lender's undrawn and un-cancelled commitments, until the last day of the availability period.</w:t>
      </w:r>
    </w:p>
    <w:p w:rsidR="009875CA" w:rsidRPr="009875CA" w:rsidRDefault="009875CA" w:rsidP="009875CA">
      <w:pPr>
        <w:pStyle w:val="BodyText"/>
        <w:rPr>
          <w:szCs w:val="20"/>
        </w:rPr>
      </w:pPr>
      <w:r w:rsidRPr="009875CA">
        <w:rPr>
          <w:szCs w:val="20"/>
        </w:rPr>
        <w:t>Facility Agent and Security Agent fees are payable in accordance with separate letters.</w:t>
      </w:r>
    </w:p>
    <w:p w:rsidR="009875CA" w:rsidRPr="009875CA" w:rsidRDefault="009875CA" w:rsidP="00353B80">
      <w:pPr>
        <w:pStyle w:val="Firm5L4"/>
        <w:keepNext/>
      </w:pPr>
      <w:r w:rsidRPr="009875CA">
        <w:t>Repayments</w:t>
      </w:r>
    </w:p>
    <w:p w:rsidR="009875CA" w:rsidRPr="009875CA" w:rsidRDefault="009875CA" w:rsidP="009875CA">
      <w:pPr>
        <w:pStyle w:val="BodyText"/>
        <w:rPr>
          <w:szCs w:val="20"/>
        </w:rPr>
      </w:pPr>
      <w:r w:rsidRPr="009875CA">
        <w:rPr>
          <w:szCs w:val="20"/>
        </w:rPr>
        <w:t xml:space="preserve">Each loan made under the </w:t>
      </w:r>
      <w:r w:rsidR="00F37DD6">
        <w:rPr>
          <w:szCs w:val="20"/>
        </w:rPr>
        <w:t>Revolving Credit Facility</w:t>
      </w:r>
      <w:r w:rsidRPr="009875CA">
        <w:rPr>
          <w:szCs w:val="20"/>
        </w:rPr>
        <w:t xml:space="preserve"> is to be repaid on the last day of the interest period relating thereto, subject to a netting mechanism against amounts to be drawn on such date.</w:t>
      </w:r>
      <w:r w:rsidR="00C14169">
        <w:rPr>
          <w:szCs w:val="20"/>
        </w:rPr>
        <w:t xml:space="preserve"> </w:t>
      </w:r>
      <w:r w:rsidRPr="009875CA">
        <w:rPr>
          <w:szCs w:val="20"/>
        </w:rPr>
        <w:t>Subject to certain conditions, amounts repaid may be re-borrowed during the availability period.</w:t>
      </w:r>
    </w:p>
    <w:p w:rsidR="009875CA" w:rsidRPr="009875CA" w:rsidRDefault="009875CA" w:rsidP="009875CA">
      <w:pPr>
        <w:pStyle w:val="BodyText"/>
        <w:rPr>
          <w:szCs w:val="20"/>
        </w:rPr>
      </w:pPr>
      <w:r w:rsidRPr="009875CA">
        <w:rPr>
          <w:szCs w:val="20"/>
        </w:rPr>
        <w:t xml:space="preserve">The final maturity date of the </w:t>
      </w:r>
      <w:r w:rsidR="00F37DD6">
        <w:rPr>
          <w:szCs w:val="20"/>
        </w:rPr>
        <w:t>Revolving Credit Facility</w:t>
      </w:r>
      <w:r w:rsidRPr="009875CA">
        <w:rPr>
          <w:szCs w:val="20"/>
        </w:rPr>
        <w:t xml:space="preserve"> is 14 November 2018.</w:t>
      </w:r>
    </w:p>
    <w:p w:rsidR="009875CA" w:rsidRPr="009875CA" w:rsidRDefault="009875CA" w:rsidP="00353B80">
      <w:pPr>
        <w:pStyle w:val="Firm5L4"/>
        <w:keepNext/>
      </w:pPr>
      <w:r w:rsidRPr="009875CA">
        <w:t>Prepayments</w:t>
      </w:r>
    </w:p>
    <w:p w:rsidR="009875CA" w:rsidRDefault="009875CA" w:rsidP="009875CA">
      <w:pPr>
        <w:pStyle w:val="BodyText"/>
        <w:rPr>
          <w:szCs w:val="20"/>
        </w:rPr>
      </w:pPr>
      <w:r w:rsidRPr="009875CA">
        <w:rPr>
          <w:szCs w:val="20"/>
        </w:rPr>
        <w:t xml:space="preserve">In addition to scheduled repayment of principal, the </w:t>
      </w:r>
      <w:r w:rsidR="00F37DD6">
        <w:rPr>
          <w:szCs w:val="20"/>
        </w:rPr>
        <w:t>Revolving Credit Facility</w:t>
      </w:r>
      <w:r w:rsidRPr="009875CA">
        <w:rPr>
          <w:szCs w:val="20"/>
        </w:rPr>
        <w:t xml:space="preserve"> allows each lender to cancel its </w:t>
      </w:r>
      <w:r w:rsidRPr="009875CA">
        <w:t>commitments</w:t>
      </w:r>
      <w:r w:rsidRPr="009875CA">
        <w:rPr>
          <w:szCs w:val="20"/>
        </w:rPr>
        <w:t xml:space="preserve"> and require mandatory prepayment of its share in the outstanding loans upon the occurrence of a </w:t>
      </w:r>
      <w:r w:rsidR="00BF553B">
        <w:rPr>
          <w:szCs w:val="20"/>
        </w:rPr>
        <w:t>“</w:t>
      </w:r>
      <w:r w:rsidRPr="009875CA">
        <w:t xml:space="preserve">Change </w:t>
      </w:r>
      <w:r>
        <w:t>o</w:t>
      </w:r>
      <w:r w:rsidRPr="009875CA">
        <w:t>f Control</w:t>
      </w:r>
      <w:r w:rsidR="00BF553B">
        <w:rPr>
          <w:szCs w:val="20"/>
        </w:rPr>
        <w:t>”</w:t>
      </w:r>
      <w:r w:rsidRPr="009875CA">
        <w:rPr>
          <w:szCs w:val="20"/>
        </w:rPr>
        <w:t xml:space="preserve"> (as such term is defined in the </w:t>
      </w:r>
      <w:r w:rsidR="00F37DD6">
        <w:rPr>
          <w:szCs w:val="20"/>
        </w:rPr>
        <w:t>Revolving Credit Facility</w:t>
      </w:r>
      <w:r w:rsidRPr="009875CA">
        <w:rPr>
          <w:szCs w:val="20"/>
        </w:rPr>
        <w:t>).</w:t>
      </w:r>
    </w:p>
    <w:p w:rsidR="004D2AF1" w:rsidRPr="00A76DA8" w:rsidRDefault="00A76DA8" w:rsidP="004D2AF1">
      <w:pPr>
        <w:pStyle w:val="BodyText"/>
        <w:rPr>
          <w:szCs w:val="20"/>
          <w:highlight w:val="yellow"/>
        </w:rPr>
      </w:pPr>
      <w:r w:rsidRPr="00A76DA8">
        <w:rPr>
          <w:szCs w:val="20"/>
          <w:highlight w:val="yellow"/>
        </w:rPr>
        <w:t>[</w:t>
      </w:r>
      <w:r w:rsidR="004D2AF1" w:rsidRPr="00A76DA8">
        <w:rPr>
          <w:szCs w:val="20"/>
          <w:highlight w:val="yellow"/>
        </w:rPr>
        <w:t xml:space="preserve">in addition to the circumstances identified as a Change of Control under the Notes in section 8.2.2.3 (Change of control) above, the Revolving </w:t>
      </w:r>
      <w:r w:rsidRPr="00A76DA8">
        <w:rPr>
          <w:szCs w:val="20"/>
          <w:highlight w:val="yellow"/>
        </w:rPr>
        <w:t xml:space="preserve">Credit </w:t>
      </w:r>
      <w:r w:rsidR="004D2AF1" w:rsidRPr="00A76DA8">
        <w:rPr>
          <w:szCs w:val="20"/>
          <w:highlight w:val="yellow"/>
        </w:rPr>
        <w:t>Facility Agreement treats as a Change of Control any circumstances where “Hein Deprez and his affiliates (or any group of which Hein Deprez and his affiliates form a part, or in or with which Hein Deprez and his affiliates act in concert) fail to control the Parent";</w:t>
      </w:r>
    </w:p>
    <w:p w:rsidR="004D2AF1" w:rsidRPr="004D2AF1" w:rsidRDefault="004D2AF1" w:rsidP="004D2AF1">
      <w:pPr>
        <w:pStyle w:val="BodyText"/>
        <w:rPr>
          <w:szCs w:val="20"/>
        </w:rPr>
      </w:pPr>
      <w:r w:rsidRPr="00A76DA8">
        <w:rPr>
          <w:szCs w:val="20"/>
          <w:highlight w:val="yellow"/>
        </w:rPr>
        <w:t>If after the transaction, Hein Deprez and his affiliates (and his and their concert parties) cease to hold directly or indirectly more than 50% of the voting shares in the Parent, a Change of Control may be triggered.</w:t>
      </w:r>
      <w:r w:rsidR="00A76DA8" w:rsidRPr="00A76DA8">
        <w:rPr>
          <w:szCs w:val="20"/>
          <w:highlight w:val="yellow"/>
        </w:rPr>
        <w:t>]</w:t>
      </w:r>
    </w:p>
    <w:p w:rsidR="009875CA" w:rsidRPr="009875CA" w:rsidRDefault="009875CA" w:rsidP="009875CA">
      <w:pPr>
        <w:pStyle w:val="BodyText"/>
        <w:rPr>
          <w:szCs w:val="20"/>
        </w:rPr>
      </w:pPr>
      <w:r w:rsidRPr="009875CA">
        <w:rPr>
          <w:szCs w:val="20"/>
        </w:rPr>
        <w:t xml:space="preserve">The </w:t>
      </w:r>
      <w:r w:rsidR="00F37DD6">
        <w:t>Revolving Credit Facility</w:t>
      </w:r>
      <w:r w:rsidRPr="009875CA">
        <w:rPr>
          <w:szCs w:val="20"/>
        </w:rPr>
        <w:t xml:space="preserve"> contains provisions relating to cancellation of commitments and, to the extent necessary as a result of such cancellation, prepayment of outstanding loans upon repurchase of Notes.</w:t>
      </w:r>
    </w:p>
    <w:p w:rsidR="009875CA" w:rsidRPr="009875CA" w:rsidRDefault="009875CA" w:rsidP="009875CA">
      <w:pPr>
        <w:pStyle w:val="BodyText"/>
        <w:rPr>
          <w:szCs w:val="20"/>
        </w:rPr>
      </w:pPr>
      <w:r w:rsidRPr="009875CA">
        <w:rPr>
          <w:szCs w:val="20"/>
        </w:rPr>
        <w:t xml:space="preserve">Indebtedness under the </w:t>
      </w:r>
      <w:r w:rsidR="00F37DD6">
        <w:rPr>
          <w:szCs w:val="20"/>
        </w:rPr>
        <w:t>Revolving Credit Facility</w:t>
      </w:r>
      <w:r w:rsidRPr="009875CA">
        <w:rPr>
          <w:szCs w:val="20"/>
        </w:rPr>
        <w:t xml:space="preserve"> may further be voluntarily canceled or prepaid by the borrowers, in whole or in part, subject to certain conditions including with respect to minimum amounts, notice period and payment of any break funding costs if such prepayment is made on a day that is not the last business day of an </w:t>
      </w:r>
      <w:r w:rsidRPr="009875CA">
        <w:t>interest</w:t>
      </w:r>
      <w:r w:rsidRPr="009875CA">
        <w:rPr>
          <w:szCs w:val="20"/>
        </w:rPr>
        <w:t xml:space="preserve"> period. Amounts prepaid may be re-borrowed during the availability period, subject to certain conditions. Commitments canceled may not be reinstated.</w:t>
      </w:r>
    </w:p>
    <w:p w:rsidR="009875CA" w:rsidRPr="009875CA" w:rsidRDefault="009875CA" w:rsidP="00353B80">
      <w:pPr>
        <w:pStyle w:val="Firm5L4"/>
        <w:keepNext/>
      </w:pPr>
      <w:r w:rsidRPr="009875CA">
        <w:t>Guarantees and collateral</w:t>
      </w:r>
    </w:p>
    <w:p w:rsidR="009875CA" w:rsidRPr="009875CA" w:rsidRDefault="009875CA" w:rsidP="009875CA">
      <w:pPr>
        <w:pStyle w:val="BodyText"/>
        <w:rPr>
          <w:szCs w:val="20"/>
        </w:rPr>
      </w:pPr>
      <w:r w:rsidRPr="009875CA">
        <w:rPr>
          <w:szCs w:val="20"/>
        </w:rPr>
        <w:t xml:space="preserve">Obligations under the </w:t>
      </w:r>
      <w:r w:rsidR="00F37DD6">
        <w:rPr>
          <w:szCs w:val="20"/>
        </w:rPr>
        <w:t>Revolving Credit Facility</w:t>
      </w:r>
      <w:r w:rsidRPr="009875CA">
        <w:rPr>
          <w:szCs w:val="20"/>
        </w:rPr>
        <w:t xml:space="preserve"> are, subject to certain customary limitations and agreed security </w:t>
      </w:r>
      <w:r w:rsidRPr="009875CA">
        <w:t>principles</w:t>
      </w:r>
      <w:r w:rsidRPr="009875CA">
        <w:rPr>
          <w:szCs w:val="20"/>
        </w:rPr>
        <w:t>, irrevocably and unconditionally guaranteed, on a joint and several basis, by the Guarantors and further benefit from the same Collateral as the Notes.</w:t>
      </w:r>
    </w:p>
    <w:p w:rsidR="009875CA" w:rsidRPr="009875CA" w:rsidRDefault="009875CA" w:rsidP="00353B80">
      <w:pPr>
        <w:pStyle w:val="Firm5L4"/>
        <w:keepNext/>
      </w:pPr>
      <w:r w:rsidRPr="009875CA">
        <w:t>Representations and warranties</w:t>
      </w:r>
    </w:p>
    <w:p w:rsidR="009875CA" w:rsidRPr="009875CA" w:rsidRDefault="009875CA" w:rsidP="009875CA">
      <w:pPr>
        <w:pStyle w:val="BodyText"/>
        <w:rPr>
          <w:szCs w:val="20"/>
        </w:rPr>
      </w:pPr>
      <w:r w:rsidRPr="009875CA">
        <w:rPr>
          <w:szCs w:val="20"/>
        </w:rPr>
        <w:t xml:space="preserve">The </w:t>
      </w:r>
      <w:r w:rsidR="00F37DD6">
        <w:rPr>
          <w:szCs w:val="20"/>
        </w:rPr>
        <w:t>Revolving Credit Facility</w:t>
      </w:r>
      <w:r w:rsidRPr="009875CA">
        <w:rPr>
          <w:szCs w:val="20"/>
        </w:rPr>
        <w:t xml:space="preserve"> contains customary representations and warranties (subject to certain exceptions and qualifications and with certain representations and warranties being repeated), including:</w:t>
      </w:r>
    </w:p>
    <w:p w:rsidR="009875CA" w:rsidRPr="009875CA" w:rsidRDefault="009875CA" w:rsidP="009875CA">
      <w:pPr>
        <w:pStyle w:val="BulletsL1"/>
        <w:rPr>
          <w:szCs w:val="20"/>
        </w:rPr>
      </w:pPr>
      <w:r w:rsidRPr="009875CA">
        <w:rPr>
          <w:szCs w:val="20"/>
        </w:rPr>
        <w:t xml:space="preserve">corporate representations including incorporation, binding obligations, non-conflict with constitutional documents, laws or other obligations, power and authority, </w:t>
      </w:r>
      <w:r w:rsidRPr="009875CA">
        <w:t>authorisation</w:t>
      </w:r>
      <w:r w:rsidRPr="009875CA">
        <w:rPr>
          <w:szCs w:val="20"/>
        </w:rPr>
        <w:t>, validity and admissibility in evidence, and governing law and enforcement;</w:t>
      </w:r>
    </w:p>
    <w:p w:rsidR="009875CA" w:rsidRPr="009875CA" w:rsidRDefault="009875CA" w:rsidP="009875CA">
      <w:pPr>
        <w:pStyle w:val="BulletsL1"/>
        <w:rPr>
          <w:szCs w:val="20"/>
        </w:rPr>
      </w:pPr>
      <w:r w:rsidRPr="009875CA">
        <w:rPr>
          <w:szCs w:val="20"/>
        </w:rPr>
        <w:t xml:space="preserve">no proceedings pending or threatened, no breach of laws, environmental compliance and no </w:t>
      </w:r>
      <w:r w:rsidRPr="009875CA">
        <w:t>environmental</w:t>
      </w:r>
      <w:r w:rsidRPr="009875CA">
        <w:rPr>
          <w:szCs w:val="20"/>
        </w:rPr>
        <w:t xml:space="preserve"> claims, no deduction of tax, and no filing or stamp taxes;</w:t>
      </w:r>
    </w:p>
    <w:p w:rsidR="009875CA" w:rsidRPr="009875CA" w:rsidRDefault="009875CA" w:rsidP="009875CA">
      <w:pPr>
        <w:pStyle w:val="BulletsL1"/>
      </w:pPr>
      <w:r w:rsidRPr="009875CA">
        <w:rPr>
          <w:szCs w:val="20"/>
        </w:rPr>
        <w:lastRenderedPageBreak/>
        <w:t xml:space="preserve">no default and no misleading information has been provided for the purposes of the </w:t>
      </w:r>
      <w:r w:rsidR="00F37DD6">
        <w:t>Revolving Credit Facility</w:t>
      </w:r>
      <w:r w:rsidRPr="009875CA">
        <w:t>;</w:t>
      </w:r>
    </w:p>
    <w:p w:rsidR="009875CA" w:rsidRPr="009875CA" w:rsidRDefault="009875CA" w:rsidP="009875CA">
      <w:pPr>
        <w:pStyle w:val="BulletsL1"/>
      </w:pPr>
      <w:r w:rsidRPr="009875CA">
        <w:t>no security, hedging or financial indebtedness, except as permitted;</w:t>
      </w:r>
    </w:p>
    <w:p w:rsidR="009875CA" w:rsidRPr="009875CA" w:rsidRDefault="009875CA" w:rsidP="009875CA">
      <w:pPr>
        <w:pStyle w:val="BulletsL1"/>
      </w:pPr>
      <w:r w:rsidRPr="009875CA">
        <w:t>compliance with tax return filings and payments, and no tax claims or investigations;</w:t>
      </w:r>
    </w:p>
    <w:p w:rsidR="009875CA" w:rsidRPr="009875CA" w:rsidRDefault="009875CA" w:rsidP="009875CA">
      <w:pPr>
        <w:pStyle w:val="BulletsL1"/>
      </w:pPr>
      <w:r w:rsidRPr="009875CA">
        <w:t>ranking of security;</w:t>
      </w:r>
    </w:p>
    <w:p w:rsidR="009875CA" w:rsidRPr="009875CA" w:rsidRDefault="009875CA" w:rsidP="009875CA">
      <w:pPr>
        <w:pStyle w:val="BulletsL1"/>
      </w:pPr>
      <w:r w:rsidRPr="009875CA">
        <w:t>good title to assets and ownership of assets over which security is to be granted; and</w:t>
      </w:r>
    </w:p>
    <w:p w:rsidR="009875CA" w:rsidRPr="009875CA" w:rsidRDefault="009875CA" w:rsidP="009875CA">
      <w:pPr>
        <w:pStyle w:val="BulletsL1"/>
        <w:rPr>
          <w:szCs w:val="20"/>
        </w:rPr>
      </w:pPr>
      <w:r w:rsidRPr="009875CA">
        <w:t>the financial statements fairly present the financial condition and results of operations (consolidated</w:t>
      </w:r>
      <w:r w:rsidRPr="009875CA">
        <w:rPr>
          <w:szCs w:val="20"/>
        </w:rPr>
        <w:t xml:space="preserve"> in the case of Univeg) as at the end of and for the relevant financial year and were prepared in all material respects in accordance with the generally accepted accounting principles under which they are stated to have been prepared consistently applied; and no material adverse change in its business, financial condition or assets (nor, in the case of Univeg, the business, consolidated financial condition or consolidated assets of the Univeg Group) since 31 December 2012.</w:t>
      </w:r>
    </w:p>
    <w:p w:rsidR="009875CA" w:rsidRPr="00F51551" w:rsidRDefault="009875CA" w:rsidP="00353B80">
      <w:pPr>
        <w:pStyle w:val="Firm5L4"/>
        <w:keepNext/>
        <w:rPr>
          <w:highlight w:val="yellow"/>
        </w:rPr>
      </w:pPr>
      <w:r w:rsidRPr="00F51551">
        <w:rPr>
          <w:highlight w:val="yellow"/>
        </w:rPr>
        <w:t>Covenants</w:t>
      </w:r>
    </w:p>
    <w:p w:rsidR="009875CA" w:rsidRPr="009875CA" w:rsidRDefault="009875CA" w:rsidP="009875CA">
      <w:pPr>
        <w:pStyle w:val="BodyText"/>
        <w:rPr>
          <w:szCs w:val="20"/>
        </w:rPr>
      </w:pPr>
      <w:r w:rsidRPr="009875CA">
        <w:rPr>
          <w:szCs w:val="20"/>
        </w:rPr>
        <w:t xml:space="preserve">The </w:t>
      </w:r>
      <w:r w:rsidR="00F37DD6">
        <w:rPr>
          <w:szCs w:val="20"/>
        </w:rPr>
        <w:t>Revolving Credit Facility</w:t>
      </w:r>
      <w:r w:rsidRPr="009875CA">
        <w:rPr>
          <w:szCs w:val="20"/>
        </w:rPr>
        <w:t xml:space="preserve"> contains customary information and affirmative loan style covenants (including </w:t>
      </w:r>
      <w:r w:rsidRPr="009875CA">
        <w:t>covenants</w:t>
      </w:r>
      <w:r w:rsidRPr="009875CA">
        <w:rPr>
          <w:szCs w:val="20"/>
        </w:rPr>
        <w:t xml:space="preserve"> relating to maintenance of relevant authorisations, compliance with laws, payment of taxes, provision of financial and other information, etc.).</w:t>
      </w:r>
    </w:p>
    <w:p w:rsidR="009875CA" w:rsidRPr="009875CA" w:rsidRDefault="009875CA" w:rsidP="009875CA">
      <w:pPr>
        <w:pStyle w:val="BodyText"/>
        <w:rPr>
          <w:szCs w:val="20"/>
        </w:rPr>
      </w:pPr>
      <w:r w:rsidRPr="009875CA">
        <w:rPr>
          <w:szCs w:val="20"/>
        </w:rPr>
        <w:t xml:space="preserve">The </w:t>
      </w:r>
      <w:r w:rsidR="00F37DD6">
        <w:rPr>
          <w:szCs w:val="20"/>
        </w:rPr>
        <w:t>Revolving Credit Facility</w:t>
      </w:r>
      <w:r w:rsidRPr="009875CA">
        <w:rPr>
          <w:szCs w:val="20"/>
        </w:rPr>
        <w:t xml:space="preserve"> incorporates the restrictive covenants set out in the Indenture.</w:t>
      </w:r>
      <w:r w:rsidR="00C14169">
        <w:rPr>
          <w:szCs w:val="20"/>
        </w:rPr>
        <w:t xml:space="preserve"> </w:t>
      </w:r>
      <w:r w:rsidRPr="009875CA">
        <w:rPr>
          <w:szCs w:val="20"/>
        </w:rPr>
        <w:t xml:space="preserve">In addition there are </w:t>
      </w:r>
      <w:r w:rsidRPr="009875CA">
        <w:t>further</w:t>
      </w:r>
      <w:r w:rsidRPr="009875CA">
        <w:rPr>
          <w:szCs w:val="20"/>
        </w:rPr>
        <w:t xml:space="preserve"> restrictive covenants (including no impairment of security interest and release of guarantee and transaction security). </w:t>
      </w:r>
    </w:p>
    <w:p w:rsidR="009875CA" w:rsidRPr="009875CA" w:rsidRDefault="009875CA" w:rsidP="009875CA">
      <w:pPr>
        <w:pStyle w:val="BodyText"/>
        <w:rPr>
          <w:szCs w:val="20"/>
        </w:rPr>
      </w:pPr>
      <w:r w:rsidRPr="009875CA">
        <w:rPr>
          <w:szCs w:val="20"/>
        </w:rPr>
        <w:t xml:space="preserve">The </w:t>
      </w:r>
      <w:r w:rsidR="00F37DD6">
        <w:rPr>
          <w:szCs w:val="20"/>
        </w:rPr>
        <w:t>Revolving Credit Facility</w:t>
      </w:r>
      <w:r w:rsidRPr="009875CA">
        <w:rPr>
          <w:szCs w:val="20"/>
        </w:rPr>
        <w:t xml:space="preserve"> includes a maintenance leverage covenant — which effectively limits the amount of </w:t>
      </w:r>
      <w:r w:rsidRPr="009875CA">
        <w:t>indebtedness</w:t>
      </w:r>
      <w:r w:rsidRPr="009875CA">
        <w:rPr>
          <w:szCs w:val="20"/>
        </w:rPr>
        <w:t xml:space="preserve"> that may be incurred by members of the Univeg Group — requiring that the Univeg Group's leverage ratio calculated as Total Net Debt to EBITDA, each as defined in the </w:t>
      </w:r>
      <w:r w:rsidR="00F37DD6">
        <w:rPr>
          <w:szCs w:val="20"/>
        </w:rPr>
        <w:t>Revolving Credit Facility</w:t>
      </w:r>
      <w:r w:rsidRPr="009875CA">
        <w:rPr>
          <w:szCs w:val="20"/>
        </w:rPr>
        <w:t xml:space="preserve"> does not exceed any of the following threshold on the corresponding quarterly test date:</w:t>
      </w:r>
    </w:p>
    <w:tbl>
      <w:tblPr>
        <w:tblW w:w="0" w:type="auto"/>
        <w:jc w:val="center"/>
        <w:tblLook w:val="01E0" w:firstRow="1" w:lastRow="1" w:firstColumn="1" w:lastColumn="1" w:noHBand="0" w:noVBand="0"/>
      </w:tblPr>
      <w:tblGrid>
        <w:gridCol w:w="4927"/>
        <w:gridCol w:w="3487"/>
      </w:tblGrid>
      <w:tr w:rsidR="009875CA" w:rsidRPr="009875CA" w:rsidTr="009875CA">
        <w:trPr>
          <w:jc w:val="center"/>
        </w:trPr>
        <w:tc>
          <w:tcPr>
            <w:tcW w:w="4927" w:type="dxa"/>
            <w:shd w:val="clear" w:color="auto" w:fill="auto"/>
          </w:tcPr>
          <w:p w:rsidR="009875CA" w:rsidRPr="009875CA" w:rsidRDefault="009875CA" w:rsidP="009875CA">
            <w:pPr>
              <w:tabs>
                <w:tab w:val="right" w:leader="dot" w:pos="4963"/>
              </w:tabs>
              <w:spacing w:before="0" w:after="0"/>
              <w:rPr>
                <w:b/>
                <w:szCs w:val="20"/>
              </w:rPr>
            </w:pPr>
            <w:r w:rsidRPr="009875CA">
              <w:rPr>
                <w:b/>
                <w:szCs w:val="20"/>
              </w:rPr>
              <w:t>Relevant Period expiring on or about</w:t>
            </w:r>
          </w:p>
        </w:tc>
        <w:tc>
          <w:tcPr>
            <w:tcW w:w="3487" w:type="dxa"/>
            <w:shd w:val="clear" w:color="auto" w:fill="auto"/>
            <w:vAlign w:val="bottom"/>
          </w:tcPr>
          <w:p w:rsidR="009875CA" w:rsidRPr="009875CA" w:rsidRDefault="009875CA" w:rsidP="009875CA">
            <w:pPr>
              <w:tabs>
                <w:tab w:val="right" w:leader="dot" w:pos="4963"/>
              </w:tabs>
              <w:spacing w:before="0" w:after="0"/>
              <w:jc w:val="right"/>
              <w:rPr>
                <w:b/>
                <w:szCs w:val="20"/>
              </w:rPr>
            </w:pPr>
            <w:r w:rsidRPr="009875CA">
              <w:rPr>
                <w:b/>
                <w:szCs w:val="20"/>
              </w:rPr>
              <w:t>Ratio</w:t>
            </w:r>
          </w:p>
        </w:tc>
      </w:tr>
      <w:tr w:rsidR="009875CA" w:rsidRPr="009875CA" w:rsidTr="009875CA">
        <w:trPr>
          <w:jc w:val="center"/>
        </w:trPr>
        <w:tc>
          <w:tcPr>
            <w:tcW w:w="4927" w:type="dxa"/>
            <w:shd w:val="clear" w:color="auto" w:fill="auto"/>
          </w:tcPr>
          <w:p w:rsidR="009875CA" w:rsidRPr="009875CA" w:rsidRDefault="009875CA" w:rsidP="009875CA">
            <w:pPr>
              <w:tabs>
                <w:tab w:val="right" w:leader="dot" w:pos="4963"/>
              </w:tabs>
              <w:spacing w:before="0" w:after="0"/>
              <w:rPr>
                <w:szCs w:val="20"/>
              </w:rPr>
            </w:pPr>
            <w:r w:rsidRPr="009875CA">
              <w:rPr>
                <w:szCs w:val="20"/>
              </w:rPr>
              <w:t xml:space="preserve">31 December 2013 </w:t>
            </w:r>
            <w:r w:rsidRPr="009875CA">
              <w:rPr>
                <w:szCs w:val="20"/>
              </w:rPr>
              <w:tab/>
            </w:r>
          </w:p>
        </w:tc>
        <w:tc>
          <w:tcPr>
            <w:tcW w:w="3487" w:type="dxa"/>
            <w:shd w:val="clear" w:color="auto" w:fill="auto"/>
            <w:vAlign w:val="bottom"/>
          </w:tcPr>
          <w:p w:rsidR="009875CA" w:rsidRPr="009875CA" w:rsidRDefault="009875CA" w:rsidP="009875CA">
            <w:pPr>
              <w:tabs>
                <w:tab w:val="right" w:leader="dot" w:pos="4963"/>
              </w:tabs>
              <w:spacing w:before="0" w:after="0"/>
              <w:jc w:val="right"/>
              <w:rPr>
                <w:szCs w:val="20"/>
              </w:rPr>
            </w:pPr>
            <w:r w:rsidRPr="009875CA">
              <w:rPr>
                <w:szCs w:val="20"/>
              </w:rPr>
              <w:t>4.70: 1.00</w:t>
            </w:r>
          </w:p>
        </w:tc>
      </w:tr>
      <w:tr w:rsidR="009875CA" w:rsidRPr="009875CA" w:rsidTr="009875CA">
        <w:trPr>
          <w:jc w:val="center"/>
        </w:trPr>
        <w:tc>
          <w:tcPr>
            <w:tcW w:w="4927" w:type="dxa"/>
            <w:shd w:val="clear" w:color="auto" w:fill="auto"/>
          </w:tcPr>
          <w:p w:rsidR="009875CA" w:rsidRPr="009875CA" w:rsidRDefault="009875CA" w:rsidP="009875CA">
            <w:pPr>
              <w:tabs>
                <w:tab w:val="right" w:leader="dot" w:pos="4963"/>
              </w:tabs>
              <w:spacing w:before="0" w:after="0"/>
              <w:rPr>
                <w:szCs w:val="20"/>
              </w:rPr>
            </w:pPr>
            <w:r w:rsidRPr="009875CA">
              <w:rPr>
                <w:szCs w:val="20"/>
              </w:rPr>
              <w:t xml:space="preserve">31 March 2014 </w:t>
            </w:r>
            <w:r w:rsidRPr="009875CA">
              <w:rPr>
                <w:szCs w:val="20"/>
              </w:rPr>
              <w:tab/>
            </w:r>
          </w:p>
        </w:tc>
        <w:tc>
          <w:tcPr>
            <w:tcW w:w="3487" w:type="dxa"/>
            <w:shd w:val="clear" w:color="auto" w:fill="auto"/>
            <w:vAlign w:val="bottom"/>
          </w:tcPr>
          <w:p w:rsidR="009875CA" w:rsidRPr="009875CA" w:rsidRDefault="009875CA" w:rsidP="009875CA">
            <w:pPr>
              <w:tabs>
                <w:tab w:val="right" w:leader="dot" w:pos="4963"/>
              </w:tabs>
              <w:spacing w:before="0" w:after="0"/>
              <w:jc w:val="right"/>
              <w:rPr>
                <w:szCs w:val="20"/>
              </w:rPr>
            </w:pPr>
            <w:r w:rsidRPr="009875CA">
              <w:rPr>
                <w:szCs w:val="20"/>
              </w:rPr>
              <w:t>4.00: 1.00</w:t>
            </w:r>
          </w:p>
        </w:tc>
      </w:tr>
      <w:tr w:rsidR="009875CA" w:rsidRPr="009875CA" w:rsidTr="009875CA">
        <w:trPr>
          <w:jc w:val="center"/>
        </w:trPr>
        <w:tc>
          <w:tcPr>
            <w:tcW w:w="4927" w:type="dxa"/>
            <w:shd w:val="clear" w:color="auto" w:fill="auto"/>
          </w:tcPr>
          <w:p w:rsidR="009875CA" w:rsidRPr="009875CA" w:rsidRDefault="009875CA" w:rsidP="009875CA">
            <w:pPr>
              <w:tabs>
                <w:tab w:val="right" w:leader="dot" w:pos="4963"/>
              </w:tabs>
              <w:spacing w:before="0" w:after="0"/>
              <w:rPr>
                <w:szCs w:val="20"/>
              </w:rPr>
            </w:pPr>
            <w:r w:rsidRPr="009875CA">
              <w:rPr>
                <w:szCs w:val="20"/>
              </w:rPr>
              <w:t xml:space="preserve">30 June 2014 </w:t>
            </w:r>
            <w:r w:rsidRPr="009875CA">
              <w:rPr>
                <w:szCs w:val="20"/>
              </w:rPr>
              <w:tab/>
            </w:r>
          </w:p>
        </w:tc>
        <w:tc>
          <w:tcPr>
            <w:tcW w:w="3487" w:type="dxa"/>
            <w:shd w:val="clear" w:color="auto" w:fill="auto"/>
            <w:vAlign w:val="bottom"/>
          </w:tcPr>
          <w:p w:rsidR="009875CA" w:rsidRPr="009875CA" w:rsidRDefault="009875CA" w:rsidP="009875CA">
            <w:pPr>
              <w:tabs>
                <w:tab w:val="right" w:leader="dot" w:pos="4963"/>
              </w:tabs>
              <w:spacing w:before="0" w:after="0"/>
              <w:jc w:val="right"/>
              <w:rPr>
                <w:szCs w:val="20"/>
              </w:rPr>
            </w:pPr>
            <w:r w:rsidRPr="009875CA">
              <w:rPr>
                <w:szCs w:val="20"/>
              </w:rPr>
              <w:t>4.20: 1.00</w:t>
            </w:r>
          </w:p>
        </w:tc>
      </w:tr>
      <w:tr w:rsidR="009875CA" w:rsidRPr="009875CA" w:rsidTr="009875CA">
        <w:trPr>
          <w:jc w:val="center"/>
        </w:trPr>
        <w:tc>
          <w:tcPr>
            <w:tcW w:w="4927" w:type="dxa"/>
            <w:shd w:val="clear" w:color="auto" w:fill="auto"/>
          </w:tcPr>
          <w:p w:rsidR="009875CA" w:rsidRPr="009875CA" w:rsidRDefault="009875CA" w:rsidP="009875CA">
            <w:pPr>
              <w:tabs>
                <w:tab w:val="right" w:leader="dot" w:pos="4963"/>
              </w:tabs>
              <w:spacing w:before="0" w:after="0"/>
              <w:rPr>
                <w:szCs w:val="20"/>
              </w:rPr>
            </w:pPr>
            <w:r w:rsidRPr="009875CA">
              <w:rPr>
                <w:szCs w:val="20"/>
              </w:rPr>
              <w:t xml:space="preserve">30 September 2014 </w:t>
            </w:r>
            <w:r w:rsidRPr="009875CA">
              <w:rPr>
                <w:szCs w:val="20"/>
              </w:rPr>
              <w:tab/>
            </w:r>
          </w:p>
        </w:tc>
        <w:tc>
          <w:tcPr>
            <w:tcW w:w="3487" w:type="dxa"/>
            <w:shd w:val="clear" w:color="auto" w:fill="auto"/>
            <w:vAlign w:val="bottom"/>
          </w:tcPr>
          <w:p w:rsidR="009875CA" w:rsidRPr="009875CA" w:rsidRDefault="009875CA" w:rsidP="009875CA">
            <w:pPr>
              <w:tabs>
                <w:tab w:val="right" w:leader="dot" w:pos="4963"/>
              </w:tabs>
              <w:spacing w:before="0" w:after="0"/>
              <w:jc w:val="right"/>
              <w:rPr>
                <w:szCs w:val="20"/>
              </w:rPr>
            </w:pPr>
            <w:r w:rsidRPr="009875CA">
              <w:rPr>
                <w:szCs w:val="20"/>
              </w:rPr>
              <w:t>3.70: 1.00</w:t>
            </w:r>
          </w:p>
        </w:tc>
      </w:tr>
      <w:tr w:rsidR="009875CA" w:rsidRPr="009875CA" w:rsidTr="009875CA">
        <w:trPr>
          <w:jc w:val="center"/>
        </w:trPr>
        <w:tc>
          <w:tcPr>
            <w:tcW w:w="4927" w:type="dxa"/>
            <w:shd w:val="clear" w:color="auto" w:fill="auto"/>
          </w:tcPr>
          <w:p w:rsidR="009875CA" w:rsidRPr="009875CA" w:rsidRDefault="009875CA" w:rsidP="009875CA">
            <w:pPr>
              <w:tabs>
                <w:tab w:val="right" w:leader="dot" w:pos="4963"/>
              </w:tabs>
              <w:spacing w:before="0" w:after="0"/>
              <w:rPr>
                <w:szCs w:val="20"/>
              </w:rPr>
            </w:pPr>
            <w:r w:rsidRPr="009875CA">
              <w:rPr>
                <w:szCs w:val="20"/>
              </w:rPr>
              <w:t xml:space="preserve">31 December 2014 </w:t>
            </w:r>
            <w:r w:rsidRPr="009875CA">
              <w:rPr>
                <w:szCs w:val="20"/>
              </w:rPr>
              <w:tab/>
            </w:r>
          </w:p>
        </w:tc>
        <w:tc>
          <w:tcPr>
            <w:tcW w:w="3487" w:type="dxa"/>
            <w:shd w:val="clear" w:color="auto" w:fill="auto"/>
            <w:vAlign w:val="bottom"/>
          </w:tcPr>
          <w:p w:rsidR="009875CA" w:rsidRPr="009875CA" w:rsidRDefault="009875CA" w:rsidP="009875CA">
            <w:pPr>
              <w:tabs>
                <w:tab w:val="right" w:leader="dot" w:pos="4963"/>
              </w:tabs>
              <w:spacing w:before="0" w:after="0"/>
              <w:jc w:val="right"/>
              <w:rPr>
                <w:szCs w:val="20"/>
              </w:rPr>
            </w:pPr>
            <w:r w:rsidRPr="009875CA">
              <w:rPr>
                <w:szCs w:val="20"/>
              </w:rPr>
              <w:t>4.25: 1.00</w:t>
            </w:r>
          </w:p>
        </w:tc>
      </w:tr>
      <w:tr w:rsidR="009875CA" w:rsidRPr="009875CA" w:rsidTr="009875CA">
        <w:trPr>
          <w:jc w:val="center"/>
        </w:trPr>
        <w:tc>
          <w:tcPr>
            <w:tcW w:w="4927" w:type="dxa"/>
            <w:shd w:val="clear" w:color="auto" w:fill="auto"/>
          </w:tcPr>
          <w:p w:rsidR="009875CA" w:rsidRPr="009875CA" w:rsidRDefault="009875CA" w:rsidP="009875CA">
            <w:pPr>
              <w:tabs>
                <w:tab w:val="right" w:leader="dot" w:pos="4963"/>
              </w:tabs>
              <w:spacing w:before="0" w:after="0"/>
              <w:rPr>
                <w:szCs w:val="20"/>
              </w:rPr>
            </w:pPr>
            <w:r w:rsidRPr="009875CA">
              <w:rPr>
                <w:szCs w:val="20"/>
              </w:rPr>
              <w:t xml:space="preserve">31 March 2015 </w:t>
            </w:r>
            <w:r w:rsidRPr="009875CA">
              <w:rPr>
                <w:szCs w:val="20"/>
              </w:rPr>
              <w:tab/>
            </w:r>
          </w:p>
        </w:tc>
        <w:tc>
          <w:tcPr>
            <w:tcW w:w="3487" w:type="dxa"/>
            <w:shd w:val="clear" w:color="auto" w:fill="auto"/>
            <w:vAlign w:val="bottom"/>
          </w:tcPr>
          <w:p w:rsidR="009875CA" w:rsidRPr="009875CA" w:rsidRDefault="009875CA" w:rsidP="009875CA">
            <w:pPr>
              <w:tabs>
                <w:tab w:val="right" w:leader="dot" w:pos="4963"/>
              </w:tabs>
              <w:spacing w:before="0" w:after="0"/>
              <w:jc w:val="right"/>
              <w:rPr>
                <w:szCs w:val="20"/>
              </w:rPr>
            </w:pPr>
            <w:r w:rsidRPr="009875CA">
              <w:rPr>
                <w:szCs w:val="20"/>
              </w:rPr>
              <w:t>4.10: 1.00</w:t>
            </w:r>
          </w:p>
        </w:tc>
      </w:tr>
      <w:tr w:rsidR="009875CA" w:rsidRPr="009875CA" w:rsidTr="009875CA">
        <w:trPr>
          <w:jc w:val="center"/>
        </w:trPr>
        <w:tc>
          <w:tcPr>
            <w:tcW w:w="4927" w:type="dxa"/>
            <w:shd w:val="clear" w:color="auto" w:fill="auto"/>
          </w:tcPr>
          <w:p w:rsidR="009875CA" w:rsidRPr="009875CA" w:rsidRDefault="009875CA" w:rsidP="009875CA">
            <w:pPr>
              <w:tabs>
                <w:tab w:val="right" w:leader="dot" w:pos="4963"/>
              </w:tabs>
              <w:spacing w:before="0" w:after="0"/>
              <w:rPr>
                <w:szCs w:val="20"/>
              </w:rPr>
            </w:pPr>
            <w:r w:rsidRPr="009875CA">
              <w:rPr>
                <w:szCs w:val="20"/>
              </w:rPr>
              <w:t xml:space="preserve">30 June 2015 </w:t>
            </w:r>
            <w:r w:rsidRPr="009875CA">
              <w:rPr>
                <w:szCs w:val="20"/>
              </w:rPr>
              <w:tab/>
            </w:r>
          </w:p>
        </w:tc>
        <w:tc>
          <w:tcPr>
            <w:tcW w:w="3487" w:type="dxa"/>
            <w:shd w:val="clear" w:color="auto" w:fill="auto"/>
            <w:vAlign w:val="bottom"/>
          </w:tcPr>
          <w:p w:rsidR="009875CA" w:rsidRPr="009875CA" w:rsidRDefault="009875CA" w:rsidP="009875CA">
            <w:pPr>
              <w:tabs>
                <w:tab w:val="right" w:leader="dot" w:pos="4963"/>
              </w:tabs>
              <w:spacing w:before="0" w:after="0"/>
              <w:jc w:val="right"/>
              <w:rPr>
                <w:szCs w:val="20"/>
              </w:rPr>
            </w:pPr>
            <w:r w:rsidRPr="009875CA">
              <w:rPr>
                <w:szCs w:val="20"/>
              </w:rPr>
              <w:t>4.20: 1.00</w:t>
            </w:r>
          </w:p>
        </w:tc>
      </w:tr>
      <w:tr w:rsidR="009875CA" w:rsidRPr="009875CA" w:rsidTr="009875CA">
        <w:trPr>
          <w:jc w:val="center"/>
        </w:trPr>
        <w:tc>
          <w:tcPr>
            <w:tcW w:w="4927" w:type="dxa"/>
            <w:shd w:val="clear" w:color="auto" w:fill="auto"/>
          </w:tcPr>
          <w:p w:rsidR="009875CA" w:rsidRPr="009875CA" w:rsidRDefault="009875CA" w:rsidP="009875CA">
            <w:pPr>
              <w:tabs>
                <w:tab w:val="right" w:leader="dot" w:pos="4963"/>
              </w:tabs>
              <w:spacing w:before="0" w:after="0"/>
              <w:rPr>
                <w:szCs w:val="20"/>
              </w:rPr>
            </w:pPr>
            <w:r w:rsidRPr="009875CA">
              <w:rPr>
                <w:szCs w:val="20"/>
              </w:rPr>
              <w:t xml:space="preserve">30 September 2015 </w:t>
            </w:r>
            <w:r w:rsidRPr="009875CA">
              <w:rPr>
                <w:szCs w:val="20"/>
              </w:rPr>
              <w:tab/>
            </w:r>
          </w:p>
        </w:tc>
        <w:tc>
          <w:tcPr>
            <w:tcW w:w="3487" w:type="dxa"/>
            <w:shd w:val="clear" w:color="auto" w:fill="auto"/>
            <w:vAlign w:val="bottom"/>
          </w:tcPr>
          <w:p w:rsidR="009875CA" w:rsidRPr="009875CA" w:rsidRDefault="009875CA" w:rsidP="009875CA">
            <w:pPr>
              <w:tabs>
                <w:tab w:val="right" w:leader="dot" w:pos="4963"/>
              </w:tabs>
              <w:spacing w:before="0" w:after="0"/>
              <w:jc w:val="right"/>
              <w:rPr>
                <w:szCs w:val="20"/>
              </w:rPr>
            </w:pPr>
            <w:r w:rsidRPr="009875CA">
              <w:rPr>
                <w:szCs w:val="20"/>
              </w:rPr>
              <w:t>4.00: 1.00</w:t>
            </w:r>
          </w:p>
        </w:tc>
      </w:tr>
      <w:tr w:rsidR="009875CA" w:rsidRPr="009875CA" w:rsidTr="009875CA">
        <w:trPr>
          <w:jc w:val="center"/>
        </w:trPr>
        <w:tc>
          <w:tcPr>
            <w:tcW w:w="4927" w:type="dxa"/>
            <w:shd w:val="clear" w:color="auto" w:fill="auto"/>
          </w:tcPr>
          <w:p w:rsidR="009875CA" w:rsidRPr="009875CA" w:rsidRDefault="009875CA" w:rsidP="009875CA">
            <w:pPr>
              <w:tabs>
                <w:tab w:val="right" w:leader="dot" w:pos="4963"/>
              </w:tabs>
              <w:spacing w:before="0" w:after="0"/>
              <w:rPr>
                <w:szCs w:val="20"/>
              </w:rPr>
            </w:pPr>
            <w:r w:rsidRPr="009875CA">
              <w:rPr>
                <w:szCs w:val="20"/>
              </w:rPr>
              <w:t xml:space="preserve">31 December 2015 </w:t>
            </w:r>
            <w:r w:rsidRPr="009875CA">
              <w:rPr>
                <w:szCs w:val="20"/>
              </w:rPr>
              <w:tab/>
            </w:r>
          </w:p>
        </w:tc>
        <w:tc>
          <w:tcPr>
            <w:tcW w:w="3487" w:type="dxa"/>
            <w:shd w:val="clear" w:color="auto" w:fill="auto"/>
            <w:vAlign w:val="bottom"/>
          </w:tcPr>
          <w:p w:rsidR="009875CA" w:rsidRPr="009875CA" w:rsidRDefault="009875CA" w:rsidP="009875CA">
            <w:pPr>
              <w:tabs>
                <w:tab w:val="right" w:leader="dot" w:pos="4963"/>
              </w:tabs>
              <w:spacing w:before="0" w:after="0"/>
              <w:jc w:val="right"/>
              <w:rPr>
                <w:szCs w:val="20"/>
              </w:rPr>
            </w:pPr>
            <w:r w:rsidRPr="009875CA">
              <w:rPr>
                <w:szCs w:val="20"/>
              </w:rPr>
              <w:t>3.80: 1.00</w:t>
            </w:r>
          </w:p>
        </w:tc>
      </w:tr>
      <w:tr w:rsidR="009875CA" w:rsidRPr="009875CA" w:rsidTr="009875CA">
        <w:trPr>
          <w:jc w:val="center"/>
        </w:trPr>
        <w:tc>
          <w:tcPr>
            <w:tcW w:w="4927" w:type="dxa"/>
            <w:shd w:val="clear" w:color="auto" w:fill="auto"/>
          </w:tcPr>
          <w:p w:rsidR="009875CA" w:rsidRPr="009875CA" w:rsidRDefault="009875CA" w:rsidP="009875CA">
            <w:pPr>
              <w:tabs>
                <w:tab w:val="right" w:leader="dot" w:pos="4963"/>
              </w:tabs>
              <w:spacing w:before="0" w:after="0"/>
              <w:rPr>
                <w:szCs w:val="20"/>
              </w:rPr>
            </w:pPr>
            <w:r w:rsidRPr="009875CA">
              <w:rPr>
                <w:szCs w:val="20"/>
              </w:rPr>
              <w:t xml:space="preserve">31 March 2016 </w:t>
            </w:r>
            <w:r w:rsidRPr="009875CA">
              <w:rPr>
                <w:szCs w:val="20"/>
              </w:rPr>
              <w:tab/>
            </w:r>
          </w:p>
        </w:tc>
        <w:tc>
          <w:tcPr>
            <w:tcW w:w="3487" w:type="dxa"/>
            <w:shd w:val="clear" w:color="auto" w:fill="auto"/>
            <w:vAlign w:val="bottom"/>
          </w:tcPr>
          <w:p w:rsidR="009875CA" w:rsidRPr="009875CA" w:rsidRDefault="009875CA" w:rsidP="009875CA">
            <w:pPr>
              <w:tabs>
                <w:tab w:val="right" w:leader="dot" w:pos="4963"/>
              </w:tabs>
              <w:spacing w:before="0" w:after="0"/>
              <w:jc w:val="right"/>
              <w:rPr>
                <w:szCs w:val="20"/>
              </w:rPr>
            </w:pPr>
            <w:r w:rsidRPr="009875CA">
              <w:rPr>
                <w:szCs w:val="20"/>
              </w:rPr>
              <w:t>3.90: 1.00</w:t>
            </w:r>
          </w:p>
        </w:tc>
      </w:tr>
      <w:tr w:rsidR="009875CA" w:rsidRPr="009875CA" w:rsidTr="009875CA">
        <w:trPr>
          <w:jc w:val="center"/>
        </w:trPr>
        <w:tc>
          <w:tcPr>
            <w:tcW w:w="4927" w:type="dxa"/>
            <w:shd w:val="clear" w:color="auto" w:fill="auto"/>
          </w:tcPr>
          <w:p w:rsidR="009875CA" w:rsidRPr="009875CA" w:rsidRDefault="009875CA" w:rsidP="009875CA">
            <w:pPr>
              <w:tabs>
                <w:tab w:val="right" w:leader="dot" w:pos="4963"/>
              </w:tabs>
              <w:spacing w:before="0" w:after="0"/>
              <w:rPr>
                <w:szCs w:val="20"/>
              </w:rPr>
            </w:pPr>
            <w:r w:rsidRPr="009875CA">
              <w:rPr>
                <w:szCs w:val="20"/>
              </w:rPr>
              <w:t xml:space="preserve">30 June 2016 </w:t>
            </w:r>
            <w:r w:rsidRPr="009875CA">
              <w:rPr>
                <w:szCs w:val="20"/>
              </w:rPr>
              <w:tab/>
            </w:r>
          </w:p>
        </w:tc>
        <w:tc>
          <w:tcPr>
            <w:tcW w:w="3487" w:type="dxa"/>
            <w:shd w:val="clear" w:color="auto" w:fill="auto"/>
            <w:vAlign w:val="bottom"/>
          </w:tcPr>
          <w:p w:rsidR="009875CA" w:rsidRPr="009875CA" w:rsidRDefault="009875CA" w:rsidP="009875CA">
            <w:pPr>
              <w:tabs>
                <w:tab w:val="right" w:leader="dot" w:pos="4963"/>
              </w:tabs>
              <w:spacing w:before="0" w:after="0"/>
              <w:jc w:val="right"/>
              <w:rPr>
                <w:szCs w:val="20"/>
              </w:rPr>
            </w:pPr>
            <w:r w:rsidRPr="009875CA">
              <w:rPr>
                <w:szCs w:val="20"/>
              </w:rPr>
              <w:t>4.10: 1.00</w:t>
            </w:r>
          </w:p>
        </w:tc>
      </w:tr>
      <w:tr w:rsidR="009875CA" w:rsidRPr="009875CA" w:rsidTr="009875CA">
        <w:trPr>
          <w:jc w:val="center"/>
        </w:trPr>
        <w:tc>
          <w:tcPr>
            <w:tcW w:w="4927" w:type="dxa"/>
            <w:shd w:val="clear" w:color="auto" w:fill="auto"/>
          </w:tcPr>
          <w:p w:rsidR="009875CA" w:rsidRPr="009875CA" w:rsidRDefault="009875CA" w:rsidP="009875CA">
            <w:pPr>
              <w:tabs>
                <w:tab w:val="right" w:leader="dot" w:pos="4963"/>
              </w:tabs>
              <w:spacing w:before="0" w:after="0"/>
              <w:rPr>
                <w:szCs w:val="20"/>
              </w:rPr>
            </w:pPr>
            <w:r w:rsidRPr="009875CA">
              <w:rPr>
                <w:szCs w:val="20"/>
              </w:rPr>
              <w:t xml:space="preserve">30 September 2016 </w:t>
            </w:r>
            <w:r w:rsidRPr="009875CA">
              <w:rPr>
                <w:szCs w:val="20"/>
              </w:rPr>
              <w:tab/>
            </w:r>
          </w:p>
        </w:tc>
        <w:tc>
          <w:tcPr>
            <w:tcW w:w="3487" w:type="dxa"/>
            <w:shd w:val="clear" w:color="auto" w:fill="auto"/>
            <w:vAlign w:val="bottom"/>
          </w:tcPr>
          <w:p w:rsidR="009875CA" w:rsidRPr="009875CA" w:rsidRDefault="009875CA" w:rsidP="009875CA">
            <w:pPr>
              <w:tabs>
                <w:tab w:val="right" w:leader="dot" w:pos="4963"/>
              </w:tabs>
              <w:spacing w:before="0" w:after="0"/>
              <w:jc w:val="right"/>
              <w:rPr>
                <w:szCs w:val="20"/>
              </w:rPr>
            </w:pPr>
            <w:r w:rsidRPr="009875CA">
              <w:rPr>
                <w:szCs w:val="20"/>
              </w:rPr>
              <w:t>4.10: 1.00</w:t>
            </w:r>
          </w:p>
        </w:tc>
      </w:tr>
      <w:tr w:rsidR="009875CA" w:rsidRPr="009875CA" w:rsidTr="009875CA">
        <w:trPr>
          <w:jc w:val="center"/>
        </w:trPr>
        <w:tc>
          <w:tcPr>
            <w:tcW w:w="4927" w:type="dxa"/>
            <w:shd w:val="clear" w:color="auto" w:fill="auto"/>
          </w:tcPr>
          <w:p w:rsidR="009875CA" w:rsidRPr="009875CA" w:rsidRDefault="009875CA" w:rsidP="009875CA">
            <w:pPr>
              <w:tabs>
                <w:tab w:val="right" w:leader="dot" w:pos="4963"/>
              </w:tabs>
              <w:spacing w:before="0" w:after="0"/>
              <w:rPr>
                <w:szCs w:val="20"/>
              </w:rPr>
            </w:pPr>
            <w:r w:rsidRPr="009875CA">
              <w:rPr>
                <w:szCs w:val="20"/>
              </w:rPr>
              <w:t xml:space="preserve">31 December 2016 </w:t>
            </w:r>
            <w:r w:rsidRPr="009875CA">
              <w:rPr>
                <w:szCs w:val="20"/>
              </w:rPr>
              <w:tab/>
            </w:r>
          </w:p>
        </w:tc>
        <w:tc>
          <w:tcPr>
            <w:tcW w:w="3487" w:type="dxa"/>
            <w:shd w:val="clear" w:color="auto" w:fill="auto"/>
            <w:vAlign w:val="bottom"/>
          </w:tcPr>
          <w:p w:rsidR="009875CA" w:rsidRPr="009875CA" w:rsidRDefault="009875CA" w:rsidP="009875CA">
            <w:pPr>
              <w:tabs>
                <w:tab w:val="right" w:leader="dot" w:pos="4963"/>
              </w:tabs>
              <w:spacing w:before="0" w:after="0"/>
              <w:jc w:val="right"/>
              <w:rPr>
                <w:szCs w:val="20"/>
              </w:rPr>
            </w:pPr>
            <w:r w:rsidRPr="009875CA">
              <w:rPr>
                <w:szCs w:val="20"/>
              </w:rPr>
              <w:t>3.35: 1.00</w:t>
            </w:r>
          </w:p>
        </w:tc>
      </w:tr>
      <w:tr w:rsidR="009875CA" w:rsidRPr="009875CA" w:rsidTr="009875CA">
        <w:trPr>
          <w:jc w:val="center"/>
        </w:trPr>
        <w:tc>
          <w:tcPr>
            <w:tcW w:w="4927" w:type="dxa"/>
            <w:shd w:val="clear" w:color="auto" w:fill="auto"/>
          </w:tcPr>
          <w:p w:rsidR="009875CA" w:rsidRPr="009875CA" w:rsidRDefault="009875CA" w:rsidP="009875CA">
            <w:pPr>
              <w:tabs>
                <w:tab w:val="right" w:leader="dot" w:pos="4963"/>
              </w:tabs>
              <w:spacing w:before="0" w:after="0"/>
              <w:rPr>
                <w:szCs w:val="20"/>
              </w:rPr>
            </w:pPr>
            <w:r w:rsidRPr="009875CA">
              <w:rPr>
                <w:szCs w:val="20"/>
              </w:rPr>
              <w:t xml:space="preserve">31 March 2017 </w:t>
            </w:r>
            <w:r w:rsidRPr="009875CA">
              <w:rPr>
                <w:szCs w:val="20"/>
              </w:rPr>
              <w:tab/>
            </w:r>
          </w:p>
        </w:tc>
        <w:tc>
          <w:tcPr>
            <w:tcW w:w="3487" w:type="dxa"/>
            <w:shd w:val="clear" w:color="auto" w:fill="auto"/>
            <w:vAlign w:val="bottom"/>
          </w:tcPr>
          <w:p w:rsidR="009875CA" w:rsidRPr="009875CA" w:rsidRDefault="009875CA" w:rsidP="009875CA">
            <w:pPr>
              <w:tabs>
                <w:tab w:val="right" w:leader="dot" w:pos="4963"/>
              </w:tabs>
              <w:spacing w:before="0" w:after="0"/>
              <w:jc w:val="right"/>
              <w:rPr>
                <w:szCs w:val="20"/>
              </w:rPr>
            </w:pPr>
            <w:r w:rsidRPr="009875CA">
              <w:rPr>
                <w:szCs w:val="20"/>
              </w:rPr>
              <w:t>3.50: 1.00</w:t>
            </w:r>
          </w:p>
        </w:tc>
      </w:tr>
      <w:tr w:rsidR="009875CA" w:rsidRPr="009875CA" w:rsidTr="009875CA">
        <w:trPr>
          <w:jc w:val="center"/>
        </w:trPr>
        <w:tc>
          <w:tcPr>
            <w:tcW w:w="4927" w:type="dxa"/>
            <w:shd w:val="clear" w:color="auto" w:fill="auto"/>
          </w:tcPr>
          <w:p w:rsidR="009875CA" w:rsidRPr="009875CA" w:rsidRDefault="009875CA" w:rsidP="009875CA">
            <w:pPr>
              <w:tabs>
                <w:tab w:val="right" w:leader="dot" w:pos="4963"/>
              </w:tabs>
              <w:spacing w:before="0" w:after="0"/>
              <w:rPr>
                <w:szCs w:val="20"/>
              </w:rPr>
            </w:pPr>
            <w:r w:rsidRPr="009875CA">
              <w:rPr>
                <w:szCs w:val="20"/>
              </w:rPr>
              <w:t xml:space="preserve">30 June 2017 </w:t>
            </w:r>
            <w:r w:rsidRPr="009875CA">
              <w:rPr>
                <w:szCs w:val="20"/>
              </w:rPr>
              <w:tab/>
            </w:r>
          </w:p>
        </w:tc>
        <w:tc>
          <w:tcPr>
            <w:tcW w:w="3487" w:type="dxa"/>
            <w:shd w:val="clear" w:color="auto" w:fill="auto"/>
            <w:vAlign w:val="bottom"/>
          </w:tcPr>
          <w:p w:rsidR="009875CA" w:rsidRPr="009875CA" w:rsidRDefault="009875CA" w:rsidP="009875CA">
            <w:pPr>
              <w:tabs>
                <w:tab w:val="right" w:leader="dot" w:pos="4963"/>
              </w:tabs>
              <w:spacing w:before="0" w:after="0"/>
              <w:jc w:val="right"/>
              <w:rPr>
                <w:szCs w:val="20"/>
              </w:rPr>
            </w:pPr>
            <w:r w:rsidRPr="009875CA">
              <w:rPr>
                <w:szCs w:val="20"/>
              </w:rPr>
              <w:t>3.50: 1.00</w:t>
            </w:r>
          </w:p>
        </w:tc>
      </w:tr>
      <w:tr w:rsidR="009875CA" w:rsidRPr="009875CA" w:rsidTr="009875CA">
        <w:trPr>
          <w:jc w:val="center"/>
        </w:trPr>
        <w:tc>
          <w:tcPr>
            <w:tcW w:w="4927" w:type="dxa"/>
            <w:shd w:val="clear" w:color="auto" w:fill="auto"/>
          </w:tcPr>
          <w:p w:rsidR="009875CA" w:rsidRPr="009875CA" w:rsidRDefault="009875CA" w:rsidP="009875CA">
            <w:pPr>
              <w:tabs>
                <w:tab w:val="right" w:leader="dot" w:pos="4963"/>
              </w:tabs>
              <w:spacing w:before="0" w:after="0"/>
              <w:rPr>
                <w:szCs w:val="20"/>
              </w:rPr>
            </w:pPr>
            <w:r w:rsidRPr="009875CA">
              <w:rPr>
                <w:szCs w:val="20"/>
              </w:rPr>
              <w:t xml:space="preserve">30 September 2017 and thereafter </w:t>
            </w:r>
          </w:p>
        </w:tc>
        <w:tc>
          <w:tcPr>
            <w:tcW w:w="3487" w:type="dxa"/>
            <w:shd w:val="clear" w:color="auto" w:fill="auto"/>
            <w:vAlign w:val="bottom"/>
          </w:tcPr>
          <w:p w:rsidR="009875CA" w:rsidRPr="009875CA" w:rsidRDefault="009875CA" w:rsidP="009875CA">
            <w:pPr>
              <w:tabs>
                <w:tab w:val="right" w:leader="dot" w:pos="4963"/>
              </w:tabs>
              <w:spacing w:before="0" w:after="0"/>
              <w:jc w:val="right"/>
              <w:rPr>
                <w:szCs w:val="20"/>
              </w:rPr>
            </w:pPr>
            <w:r w:rsidRPr="009875CA">
              <w:rPr>
                <w:szCs w:val="20"/>
              </w:rPr>
              <w:t>3.25 : 1.00</w:t>
            </w:r>
          </w:p>
        </w:tc>
      </w:tr>
    </w:tbl>
    <w:p w:rsidR="009875CA" w:rsidRPr="009875CA" w:rsidRDefault="009875CA" w:rsidP="009875CA">
      <w:pPr>
        <w:pStyle w:val="BodyText"/>
        <w:rPr>
          <w:szCs w:val="20"/>
        </w:rPr>
      </w:pPr>
      <w:r w:rsidRPr="009875CA">
        <w:rPr>
          <w:szCs w:val="20"/>
        </w:rPr>
        <w:t xml:space="preserve">The </w:t>
      </w:r>
      <w:r w:rsidR="00F37DD6">
        <w:rPr>
          <w:szCs w:val="20"/>
        </w:rPr>
        <w:t>Revolving Credit Facility</w:t>
      </w:r>
      <w:r w:rsidRPr="009875CA">
        <w:rPr>
          <w:szCs w:val="20"/>
        </w:rPr>
        <w:t xml:space="preserve"> provides for an equity cure, allowing Univeg, in the event of a breach of the leverage covenant, to re-calculate the Univeg Group's leverage ratio for the relevant period by making a pro forma </w:t>
      </w:r>
      <w:r w:rsidRPr="009875CA">
        <w:t>adjustment</w:t>
      </w:r>
      <w:r w:rsidRPr="009875CA">
        <w:rPr>
          <w:szCs w:val="20"/>
        </w:rPr>
        <w:t xml:space="preserve"> consisting of deducting an amount equal to the new equity or new subordinated shareholder loans provided to Univeg by its direct or indirect shareholders (the </w:t>
      </w:r>
      <w:r w:rsidR="00BF553B">
        <w:rPr>
          <w:szCs w:val="20"/>
        </w:rPr>
        <w:t>“</w:t>
      </w:r>
      <w:r w:rsidRPr="009875CA">
        <w:rPr>
          <w:szCs w:val="20"/>
        </w:rPr>
        <w:t>cure amount</w:t>
      </w:r>
      <w:r w:rsidR="00BF553B">
        <w:rPr>
          <w:szCs w:val="20"/>
        </w:rPr>
        <w:t>”</w:t>
      </w:r>
      <w:r w:rsidRPr="009875CA">
        <w:rPr>
          <w:szCs w:val="20"/>
        </w:rPr>
        <w:t>) from the Total Net Debt for the relevant period.</w:t>
      </w:r>
      <w:r w:rsidR="00C14169">
        <w:rPr>
          <w:szCs w:val="20"/>
        </w:rPr>
        <w:t xml:space="preserve"> </w:t>
      </w:r>
      <w:r w:rsidRPr="009875CA">
        <w:rPr>
          <w:szCs w:val="20"/>
        </w:rPr>
        <w:t xml:space="preserve">The equity cure mechanism cannot be used for two consecutive quarters and cannot be used more than twice over the duration of the </w:t>
      </w:r>
      <w:r w:rsidR="00F37DD6">
        <w:rPr>
          <w:szCs w:val="20"/>
        </w:rPr>
        <w:t>Revolving Credit Facility</w:t>
      </w:r>
      <w:r w:rsidRPr="009875CA">
        <w:rPr>
          <w:szCs w:val="20"/>
        </w:rPr>
        <w:t>.</w:t>
      </w:r>
    </w:p>
    <w:p w:rsidR="009875CA" w:rsidRPr="009875CA" w:rsidRDefault="009875CA" w:rsidP="009875CA">
      <w:pPr>
        <w:pStyle w:val="BodyText"/>
        <w:rPr>
          <w:szCs w:val="20"/>
        </w:rPr>
      </w:pPr>
      <w:r w:rsidRPr="009875CA">
        <w:rPr>
          <w:szCs w:val="20"/>
        </w:rPr>
        <w:t xml:space="preserve">The </w:t>
      </w:r>
      <w:r w:rsidR="00F37DD6">
        <w:rPr>
          <w:szCs w:val="20"/>
        </w:rPr>
        <w:t>Revolving Credit Facility</w:t>
      </w:r>
      <w:r w:rsidRPr="009875CA">
        <w:rPr>
          <w:szCs w:val="20"/>
        </w:rPr>
        <w:t xml:space="preserve"> requires that Univeg maintains on an on-going basis that, the aggregate EBITDA, and the aggregate total assets (excluding goodwill), of all Guarantors and all Univeg Group members whose </w:t>
      </w:r>
      <w:r w:rsidRPr="009875CA">
        <w:t>shares</w:t>
      </w:r>
      <w:r w:rsidRPr="009875CA">
        <w:rPr>
          <w:szCs w:val="20"/>
        </w:rPr>
        <w:t xml:space="preserve"> are pledged represents at all times at least 80% of the Univeg Group's EBITDA and of the Univeg Group's consolidated total assets (excluding goodwill).</w:t>
      </w:r>
    </w:p>
    <w:p w:rsidR="009875CA" w:rsidRPr="009875CA" w:rsidRDefault="009875CA" w:rsidP="00353B80">
      <w:pPr>
        <w:pStyle w:val="Firm5L4"/>
        <w:keepNext/>
      </w:pPr>
      <w:r w:rsidRPr="009875CA">
        <w:lastRenderedPageBreak/>
        <w:t>Events of default</w:t>
      </w:r>
    </w:p>
    <w:p w:rsidR="009875CA" w:rsidRPr="009875CA" w:rsidRDefault="009875CA" w:rsidP="009875CA">
      <w:pPr>
        <w:pStyle w:val="BodyText"/>
        <w:rPr>
          <w:szCs w:val="20"/>
        </w:rPr>
      </w:pPr>
      <w:r w:rsidRPr="009875CA">
        <w:rPr>
          <w:szCs w:val="20"/>
        </w:rPr>
        <w:t xml:space="preserve">The </w:t>
      </w:r>
      <w:r w:rsidR="00F37DD6">
        <w:rPr>
          <w:szCs w:val="20"/>
        </w:rPr>
        <w:t>Revolving Credit Facility</w:t>
      </w:r>
      <w:r w:rsidRPr="009875CA">
        <w:rPr>
          <w:szCs w:val="20"/>
        </w:rPr>
        <w:t xml:space="preserve"> contains customary events of default (subject in certain cases to grace periods, </w:t>
      </w:r>
      <w:r w:rsidRPr="009875CA">
        <w:t>thresholds</w:t>
      </w:r>
      <w:r w:rsidRPr="009875CA">
        <w:rPr>
          <w:szCs w:val="20"/>
        </w:rPr>
        <w:t>, materiality and other exceptions) including, non-payment, misrepresentation, failure to perform covenants, cross-default, insolvency proceedings and material adverse change.</w:t>
      </w:r>
    </w:p>
    <w:p w:rsidR="009875CA" w:rsidRPr="009875CA" w:rsidRDefault="009875CA" w:rsidP="009875CA">
      <w:pPr>
        <w:pStyle w:val="BodyText"/>
        <w:rPr>
          <w:szCs w:val="20"/>
        </w:rPr>
      </w:pPr>
      <w:r w:rsidRPr="009875CA">
        <w:rPr>
          <w:szCs w:val="20"/>
        </w:rPr>
        <w:t xml:space="preserve">The occurrence of any of these events would entitle the lenders to accelerate all or part of the outstanding loans and </w:t>
      </w:r>
      <w:r w:rsidRPr="009875CA">
        <w:t>terminate</w:t>
      </w:r>
      <w:r w:rsidRPr="009875CA">
        <w:rPr>
          <w:szCs w:val="20"/>
        </w:rPr>
        <w:t xml:space="preserve"> their commitments under the </w:t>
      </w:r>
      <w:r w:rsidR="00F37DD6">
        <w:rPr>
          <w:szCs w:val="20"/>
        </w:rPr>
        <w:t>Revolving Credit Facility</w:t>
      </w:r>
      <w:r w:rsidRPr="009875CA">
        <w:rPr>
          <w:szCs w:val="20"/>
        </w:rPr>
        <w:t>.</w:t>
      </w:r>
    </w:p>
    <w:p w:rsidR="009875CA" w:rsidRPr="009875CA" w:rsidRDefault="009875CA" w:rsidP="00353B80">
      <w:pPr>
        <w:pStyle w:val="Firm5L4"/>
        <w:keepNext/>
      </w:pPr>
      <w:r w:rsidRPr="009875CA">
        <w:t>Governing law</w:t>
      </w:r>
    </w:p>
    <w:p w:rsidR="009875CA" w:rsidRPr="009875CA" w:rsidRDefault="009875CA" w:rsidP="009875CA">
      <w:pPr>
        <w:pStyle w:val="BodyText"/>
        <w:rPr>
          <w:szCs w:val="20"/>
        </w:rPr>
      </w:pPr>
      <w:r w:rsidRPr="009875CA">
        <w:rPr>
          <w:szCs w:val="20"/>
        </w:rPr>
        <w:t xml:space="preserve">The </w:t>
      </w:r>
      <w:r w:rsidR="00F37DD6">
        <w:rPr>
          <w:szCs w:val="20"/>
        </w:rPr>
        <w:t>Revolving Credit Facility</w:t>
      </w:r>
      <w:r w:rsidRPr="009875CA">
        <w:rPr>
          <w:szCs w:val="20"/>
        </w:rPr>
        <w:t xml:space="preserve"> is governed by English law, save for the restrictive covenants which are governed by </w:t>
      </w:r>
      <w:smartTag w:uri="urn:schemas-microsoft-com:office:smarttags" w:element="State">
        <w:smartTag w:uri="urn:schemas-microsoft-com:office:smarttags" w:element="place">
          <w:r w:rsidRPr="009875CA">
            <w:rPr>
              <w:szCs w:val="20"/>
            </w:rPr>
            <w:t>New York</w:t>
          </w:r>
        </w:smartTag>
      </w:smartTag>
      <w:r w:rsidRPr="009875CA">
        <w:rPr>
          <w:szCs w:val="20"/>
        </w:rPr>
        <w:t xml:space="preserve"> law.</w:t>
      </w:r>
    </w:p>
    <w:p w:rsidR="009875CA" w:rsidRPr="009875CA" w:rsidRDefault="009875CA" w:rsidP="00353B80">
      <w:pPr>
        <w:pStyle w:val="Firm5L4"/>
        <w:keepNext/>
      </w:pPr>
      <w:r w:rsidRPr="009875CA">
        <w:t>Jurisdiction</w:t>
      </w:r>
    </w:p>
    <w:p w:rsidR="009875CA" w:rsidRDefault="009875CA" w:rsidP="009875CA">
      <w:pPr>
        <w:pStyle w:val="BodyText"/>
        <w:rPr>
          <w:szCs w:val="20"/>
          <w:lang w:eastAsia="en-GB"/>
        </w:rPr>
      </w:pPr>
      <w:r w:rsidRPr="009875CA">
        <w:rPr>
          <w:szCs w:val="20"/>
          <w:lang w:eastAsia="en-GB"/>
        </w:rPr>
        <w:t xml:space="preserve">The English courts will have exclusive jurisdiction to settle any dispute arising out of or in connection with the </w:t>
      </w:r>
      <w:r w:rsidR="00F37DD6">
        <w:rPr>
          <w:szCs w:val="20"/>
          <w:lang w:eastAsia="en-GB"/>
        </w:rPr>
        <w:t>Revolving Credit Facility</w:t>
      </w:r>
      <w:r w:rsidRPr="009875CA">
        <w:rPr>
          <w:szCs w:val="20"/>
          <w:lang w:eastAsia="en-GB"/>
        </w:rPr>
        <w:t>.</w:t>
      </w:r>
    </w:p>
    <w:p w:rsidR="00BF553B" w:rsidRDefault="00BF553B" w:rsidP="00353B80">
      <w:pPr>
        <w:pStyle w:val="Firm5L3"/>
        <w:keepNext/>
      </w:pPr>
      <w:bookmarkStart w:id="57" w:name="_Toc376011499"/>
      <w:r>
        <w:t>Intercreditor Agreement</w:t>
      </w:r>
      <w:bookmarkEnd w:id="57"/>
    </w:p>
    <w:p w:rsidR="00BF553B" w:rsidRPr="0049192E" w:rsidRDefault="00BF553B" w:rsidP="00353B80">
      <w:pPr>
        <w:pStyle w:val="Firm5L4"/>
        <w:keepNext/>
      </w:pPr>
      <w:r>
        <w:t xml:space="preserve"> </w:t>
      </w:r>
      <w:bookmarkStart w:id="58" w:name="_Toc376011500"/>
      <w:r w:rsidRPr="0049192E">
        <w:t>Overview</w:t>
      </w:r>
      <w:bookmarkEnd w:id="58"/>
    </w:p>
    <w:p w:rsidR="002E649F" w:rsidRDefault="002E649F" w:rsidP="002E649F">
      <w:r w:rsidRPr="002E649F">
        <w:t xml:space="preserve">On 15 May 2013 Univeg Holding, the Guarantors, the lenders under the Revolving Credit Facility, the trustee on behalf of itself and the holders of the Notes, the hedge counterparties under certain hedging arrangements (the </w:t>
      </w:r>
      <w:r w:rsidRPr="002E649F">
        <w:rPr>
          <w:b/>
          <w:i/>
        </w:rPr>
        <w:t>Hedge Counterparties</w:t>
      </w:r>
      <w:r w:rsidRPr="002E649F">
        <w:t>) and ING Bank N</w:t>
      </w:r>
      <w:r w:rsidR="00B0544B">
        <w:t>.</w:t>
      </w:r>
      <w:r w:rsidRPr="002E649F">
        <w:t>V</w:t>
      </w:r>
      <w:r w:rsidR="00B0544B">
        <w:t>.</w:t>
      </w:r>
      <w:r w:rsidRPr="002E649F">
        <w:t xml:space="preserve"> as security agent </w:t>
      </w:r>
      <w:r w:rsidR="00462A35">
        <w:t xml:space="preserve">(the </w:t>
      </w:r>
      <w:r w:rsidR="00462A35">
        <w:rPr>
          <w:b/>
          <w:i/>
        </w:rPr>
        <w:t xml:space="preserve">Security </w:t>
      </w:r>
      <w:r w:rsidR="00462A35" w:rsidRPr="00462A35">
        <w:rPr>
          <w:b/>
          <w:i/>
        </w:rPr>
        <w:t>Agent</w:t>
      </w:r>
      <w:r w:rsidR="00462A35">
        <w:t xml:space="preserve">) </w:t>
      </w:r>
      <w:r w:rsidRPr="00462A35">
        <w:t>entered</w:t>
      </w:r>
      <w:r w:rsidRPr="002E649F">
        <w:t xml:space="preserve"> into an intercreditor agreement (the </w:t>
      </w:r>
      <w:r w:rsidRPr="002E649F">
        <w:rPr>
          <w:b/>
          <w:i/>
        </w:rPr>
        <w:t>Intercreditor Agreement</w:t>
      </w:r>
      <w:r w:rsidRPr="002E649F">
        <w:t xml:space="preserve">) governing the relationships and relative priority between: the creditors under up to EUR 115,000,000 (to the extent such amounts are permitted to be incurred under the Indenture and the Revolving Credit Facility) at any one time outstanding of super senior indebtedness (including any indebtedness drawn under the EUR 90,000,000 of initial commitments under the Revolving Credit Facility); the trustee on behalf of itself and of the holders of the Notes; the Hedge Counterparties; direct or indirect parent entities of Univeg in respect of debt that a member of the Restricted Group (as defined in the Intercreditor Agreement) has or may incur in the future (including shareholder loans); certain creditors of the Univeg Group in respect of future </w:t>
      </w:r>
      <w:r w:rsidRPr="002E649F">
        <w:rPr>
          <w:rFonts w:eastAsia="Arial Unicode MS"/>
        </w:rPr>
        <w:t xml:space="preserve">pari passu </w:t>
      </w:r>
      <w:r w:rsidRPr="002E649F">
        <w:t>indebtedness (</w:t>
      </w:r>
      <w:r w:rsidRPr="002E649F">
        <w:rPr>
          <w:b/>
          <w:i/>
        </w:rPr>
        <w:t>Pari Passu Indebtedness</w:t>
      </w:r>
      <w:r w:rsidRPr="002E649F">
        <w:t xml:space="preserve">) and their representatives; certain intra-group creditors and debtors; and </w:t>
      </w:r>
      <w:r w:rsidR="00462A35">
        <w:t>the Security Agent</w:t>
      </w:r>
      <w:r w:rsidRPr="002E649F">
        <w:t>.</w:t>
      </w:r>
    </w:p>
    <w:p w:rsidR="008C15BB" w:rsidRDefault="008C15BB" w:rsidP="008C15BB">
      <w:pPr>
        <w:pStyle w:val="BodyText"/>
      </w:pPr>
      <w:r w:rsidRPr="008D304C">
        <w:t xml:space="preserve">The lenders under the Revolving Credit Facility and certain priority Hedge Counterparties (namely Hedge Counterparties in relation to interest rate hedging agreements) are together referred to in this description as the </w:t>
      </w:r>
      <w:r w:rsidRPr="008D304C">
        <w:rPr>
          <w:b/>
          <w:i/>
        </w:rPr>
        <w:t>Super Senior Creditors</w:t>
      </w:r>
      <w:r w:rsidRPr="008D304C">
        <w:t xml:space="preserve">. Holders of the Notes and lenders or holders of Pari Passu Indebtedness and certain non-priority Hedge Counterparties are referred to in this description as </w:t>
      </w:r>
      <w:r w:rsidRPr="008D304C">
        <w:rPr>
          <w:b/>
          <w:i/>
        </w:rPr>
        <w:t>Senior Secured Creditors</w:t>
      </w:r>
      <w:r w:rsidRPr="008D304C">
        <w:t xml:space="preserve"> and together with the Super Senior Creditors, the </w:t>
      </w:r>
      <w:r w:rsidRPr="008D304C">
        <w:rPr>
          <w:b/>
          <w:i/>
        </w:rPr>
        <w:t>Secured Creditors</w:t>
      </w:r>
      <w:r w:rsidRPr="008D304C">
        <w:t>.</w:t>
      </w:r>
    </w:p>
    <w:p w:rsidR="002E649F" w:rsidRPr="002E649F" w:rsidRDefault="002E649F" w:rsidP="002E649F">
      <w:pPr>
        <w:keepNext/>
        <w:numPr>
          <w:ilvl w:val="3"/>
          <w:numId w:val="7"/>
        </w:numPr>
        <w:outlineLvl w:val="3"/>
        <w:rPr>
          <w:rFonts w:eastAsia="SimSun"/>
          <w:szCs w:val="20"/>
        </w:rPr>
      </w:pPr>
      <w:bookmarkStart w:id="59" w:name="_Toc376011501"/>
      <w:r w:rsidRPr="002E649F">
        <w:rPr>
          <w:rFonts w:eastAsia="SimSun"/>
          <w:szCs w:val="20"/>
        </w:rPr>
        <w:t>Ranking and priority</w:t>
      </w:r>
      <w:bookmarkEnd w:id="59"/>
    </w:p>
    <w:p w:rsidR="002E649F" w:rsidRPr="002E649F" w:rsidRDefault="002E649F" w:rsidP="002E649F">
      <w:r w:rsidRPr="002E649F">
        <w:t xml:space="preserve">The Intercreditor Agreement provides that the right and priority of payment of all present and future liabilities and obligations with respect to the Revolving Credit Facility (the </w:t>
      </w:r>
      <w:r w:rsidRPr="002E649F">
        <w:rPr>
          <w:b/>
          <w:i/>
        </w:rPr>
        <w:t>Revolving Facilities Liabilities</w:t>
      </w:r>
      <w:r w:rsidRPr="002E649F">
        <w:t xml:space="preserve">), the hedging agreements entered </w:t>
      </w:r>
      <w:r w:rsidR="008C15BB">
        <w:t>with</w:t>
      </w:r>
      <w:r w:rsidRPr="002E649F">
        <w:t xml:space="preserve"> a Hedge Counterparty (the </w:t>
      </w:r>
      <w:r w:rsidRPr="002E649F">
        <w:rPr>
          <w:b/>
          <w:i/>
        </w:rPr>
        <w:t>Hedging Liabilities</w:t>
      </w:r>
      <w:r w:rsidRPr="002E649F">
        <w:t xml:space="preserve">), the Notes (the </w:t>
      </w:r>
      <w:r w:rsidRPr="002E649F">
        <w:rPr>
          <w:b/>
          <w:i/>
        </w:rPr>
        <w:t>Notes Liabilities</w:t>
      </w:r>
      <w:r w:rsidRPr="002E649F">
        <w:t xml:space="preserve">), the documents evidencing </w:t>
      </w:r>
      <w:r w:rsidRPr="002E649F">
        <w:rPr>
          <w:rFonts w:eastAsia="Arial Unicode MS"/>
        </w:rPr>
        <w:t xml:space="preserve">Pari Passu </w:t>
      </w:r>
      <w:r w:rsidRPr="002E649F">
        <w:t xml:space="preserve">Indebtedness (the </w:t>
      </w:r>
      <w:r w:rsidRPr="002E649F">
        <w:rPr>
          <w:b/>
          <w:i/>
        </w:rPr>
        <w:t>Pari Passu Liabilities</w:t>
      </w:r>
      <w:r w:rsidRPr="002E649F">
        <w:t xml:space="preserve">) and towards </w:t>
      </w:r>
      <w:r w:rsidR="00462A35">
        <w:t>the Security Agent</w:t>
      </w:r>
      <w:r w:rsidRPr="002E649F">
        <w:t xml:space="preserve"> and the trustee will rank </w:t>
      </w:r>
      <w:r w:rsidRPr="002E649F">
        <w:rPr>
          <w:rFonts w:eastAsia="Arial Unicode MS"/>
        </w:rPr>
        <w:t xml:space="preserve">pari passu, </w:t>
      </w:r>
      <w:r w:rsidRPr="002E649F">
        <w:t>provided that the proceeds of any recovery from the enforcement of security will be applied as follows:</w:t>
      </w:r>
    </w:p>
    <w:p w:rsidR="002E649F" w:rsidRPr="002E649F" w:rsidRDefault="002E649F" w:rsidP="002E649F">
      <w:pPr>
        <w:numPr>
          <w:ilvl w:val="0"/>
          <w:numId w:val="6"/>
        </w:numPr>
        <w:rPr>
          <w:rFonts w:eastAsia="Arial Unicode MS"/>
        </w:rPr>
      </w:pPr>
      <w:r w:rsidRPr="002E649F">
        <w:rPr>
          <w:rFonts w:eastAsia="Arial Unicode MS"/>
        </w:rPr>
        <w:t xml:space="preserve">first, pro rata and pari passu in payment of amounts owing to </w:t>
      </w:r>
      <w:r w:rsidR="00462A35">
        <w:rPr>
          <w:rFonts w:eastAsia="Arial Unicode MS"/>
        </w:rPr>
        <w:t>the Security Agent</w:t>
      </w:r>
      <w:r w:rsidRPr="002E649F">
        <w:rPr>
          <w:rFonts w:eastAsia="Arial Unicode MS"/>
        </w:rPr>
        <w:t xml:space="preserve"> and any receiver or any delegate appointed, the trustee for application towards the discharge of the fees, costs and expenses and other indemnification amounts ow</w:t>
      </w:r>
      <w:r w:rsidR="008C15BB">
        <w:rPr>
          <w:rFonts w:eastAsia="Arial Unicode MS"/>
        </w:rPr>
        <w:t>ed by the d</w:t>
      </w:r>
      <w:r w:rsidRPr="002E649F">
        <w:rPr>
          <w:rFonts w:eastAsia="Arial Unicode MS"/>
        </w:rPr>
        <w:t xml:space="preserve">ebtors to the trustee under the Indenture and the facility agent for application </w:t>
      </w:r>
      <w:r w:rsidRPr="002E649F">
        <w:t>towards</w:t>
      </w:r>
      <w:r w:rsidRPr="002E649F">
        <w:rPr>
          <w:rFonts w:eastAsia="Arial Unicode MS"/>
        </w:rPr>
        <w:t xml:space="preserve"> the discharge of the fees, costs and expenses and other indemnification amounts owed by the </w:t>
      </w:r>
      <w:r w:rsidR="008C15BB">
        <w:rPr>
          <w:rFonts w:eastAsia="Arial Unicode MS"/>
        </w:rPr>
        <w:t>d</w:t>
      </w:r>
      <w:r w:rsidRPr="002E649F">
        <w:rPr>
          <w:rFonts w:eastAsia="Arial Unicode MS"/>
        </w:rPr>
        <w:t>ebtors to the facility agent under the Revolving Credit Facility;</w:t>
      </w:r>
    </w:p>
    <w:p w:rsidR="002E649F" w:rsidRPr="002E649F" w:rsidRDefault="002E649F" w:rsidP="002E649F">
      <w:pPr>
        <w:numPr>
          <w:ilvl w:val="0"/>
          <w:numId w:val="6"/>
        </w:numPr>
        <w:rPr>
          <w:rFonts w:eastAsia="Arial Unicode MS"/>
        </w:rPr>
      </w:pPr>
      <w:r w:rsidRPr="002E649F">
        <w:rPr>
          <w:rFonts w:eastAsia="Arial Unicode MS"/>
        </w:rPr>
        <w:t xml:space="preserve">second, pro rata and pari passu in payment to (i) the facility agent for application towards the discharge of the </w:t>
      </w:r>
      <w:r w:rsidRPr="002E649F">
        <w:t>Revolving</w:t>
      </w:r>
      <w:r w:rsidRPr="002E649F">
        <w:rPr>
          <w:rFonts w:eastAsia="Arial Unicode MS"/>
        </w:rPr>
        <w:t xml:space="preserve"> Facilities Liabilities and to (ii) the priority Hedge Counterparties for application towards the discharge of priority Hedging Liabilities;</w:t>
      </w:r>
    </w:p>
    <w:p w:rsidR="002E649F" w:rsidRPr="002E649F" w:rsidRDefault="002E649F" w:rsidP="002E649F">
      <w:pPr>
        <w:numPr>
          <w:ilvl w:val="0"/>
          <w:numId w:val="6"/>
        </w:numPr>
        <w:rPr>
          <w:rFonts w:eastAsia="Arial Unicode MS"/>
        </w:rPr>
      </w:pPr>
      <w:r w:rsidRPr="002E649F">
        <w:rPr>
          <w:rFonts w:eastAsia="Arial Unicode MS"/>
        </w:rPr>
        <w:t xml:space="preserve">third, pro rata and pari passu in payment to (i) the trustee on behalf of the holders of the Notes for application </w:t>
      </w:r>
      <w:r w:rsidRPr="002E649F">
        <w:t>towards</w:t>
      </w:r>
      <w:r w:rsidRPr="002E649F">
        <w:rPr>
          <w:rFonts w:eastAsia="Arial Unicode MS"/>
        </w:rPr>
        <w:t xml:space="preserve"> the discharge of the Notes Liabilities, (ii) the </w:t>
      </w:r>
      <w:r w:rsidR="008C15BB">
        <w:rPr>
          <w:rFonts w:eastAsia="Arial Unicode MS"/>
        </w:rPr>
        <w:t>c</w:t>
      </w:r>
      <w:r w:rsidRPr="002E649F">
        <w:rPr>
          <w:rFonts w:eastAsia="Arial Unicode MS"/>
        </w:rPr>
        <w:t xml:space="preserve">reditors </w:t>
      </w:r>
      <w:r w:rsidR="008C15BB">
        <w:rPr>
          <w:rFonts w:eastAsia="Arial Unicode MS"/>
        </w:rPr>
        <w:t xml:space="preserve">under the Pari Passu Liabilities </w:t>
      </w:r>
      <w:r w:rsidRPr="002E649F">
        <w:rPr>
          <w:rFonts w:eastAsia="Arial Unicode MS"/>
        </w:rPr>
        <w:t>(or their representatives) for application towards the discharge of the Pari Passu Liabilities and (iii) the non-priority Hedge Counterparties for application towards discharge of the non-priority Hedge Liabilities; and</w:t>
      </w:r>
    </w:p>
    <w:p w:rsidR="002E649F" w:rsidRPr="002E649F" w:rsidRDefault="002E649F" w:rsidP="002E649F">
      <w:pPr>
        <w:numPr>
          <w:ilvl w:val="0"/>
          <w:numId w:val="6"/>
        </w:numPr>
        <w:rPr>
          <w:rFonts w:eastAsia="Arial Unicode MS"/>
        </w:rPr>
      </w:pPr>
      <w:r w:rsidRPr="002E649F">
        <w:rPr>
          <w:rFonts w:eastAsia="Arial Unicode MS"/>
        </w:rPr>
        <w:t xml:space="preserve">fourth, in </w:t>
      </w:r>
      <w:r w:rsidRPr="002E649F">
        <w:t>payment</w:t>
      </w:r>
      <w:r w:rsidRPr="002E649F">
        <w:rPr>
          <w:rFonts w:eastAsia="Arial Unicode MS"/>
        </w:rPr>
        <w:t xml:space="preserve"> to any person </w:t>
      </w:r>
      <w:r w:rsidR="00462A35">
        <w:rPr>
          <w:rFonts w:eastAsia="Arial Unicode MS"/>
        </w:rPr>
        <w:t>the Security Agent</w:t>
      </w:r>
      <w:r w:rsidRPr="002E649F">
        <w:rPr>
          <w:rFonts w:eastAsia="Arial Unicode MS"/>
        </w:rPr>
        <w:t xml:space="preserve"> is obliged to pay in priority to any </w:t>
      </w:r>
      <w:r w:rsidR="008C15BB">
        <w:rPr>
          <w:rFonts w:eastAsia="Arial Unicode MS"/>
        </w:rPr>
        <w:t>d</w:t>
      </w:r>
      <w:r w:rsidRPr="002E649F">
        <w:rPr>
          <w:rFonts w:eastAsia="Arial Unicode MS"/>
        </w:rPr>
        <w:t>ebtor.</w:t>
      </w:r>
    </w:p>
    <w:p w:rsidR="002E649F" w:rsidRPr="002E649F" w:rsidRDefault="002E649F" w:rsidP="002E649F">
      <w:pPr>
        <w:keepNext/>
        <w:numPr>
          <w:ilvl w:val="3"/>
          <w:numId w:val="7"/>
        </w:numPr>
        <w:outlineLvl w:val="3"/>
        <w:rPr>
          <w:rFonts w:eastAsia="SimSun"/>
          <w:szCs w:val="20"/>
        </w:rPr>
      </w:pPr>
      <w:bookmarkStart w:id="60" w:name="_Toc376011502"/>
      <w:r w:rsidRPr="002E649F">
        <w:rPr>
          <w:rFonts w:eastAsia="SimSun"/>
          <w:szCs w:val="20"/>
        </w:rPr>
        <w:lastRenderedPageBreak/>
        <w:t>Guarantees and security</w:t>
      </w:r>
      <w:bookmarkEnd w:id="60"/>
    </w:p>
    <w:p w:rsidR="002E649F" w:rsidRPr="002E649F" w:rsidRDefault="002E649F" w:rsidP="002E649F">
      <w:r w:rsidRPr="002E649F">
        <w:t xml:space="preserve">The Secured Creditors benefit from common guarantees and a common security package (the </w:t>
      </w:r>
      <w:r w:rsidRPr="002E649F">
        <w:rPr>
          <w:b/>
          <w:i/>
        </w:rPr>
        <w:t>Transaction Security</w:t>
      </w:r>
      <w:r w:rsidRPr="002E649F">
        <w:t>).</w:t>
      </w:r>
      <w:r w:rsidR="00A65970">
        <w:t xml:space="preserve"> See Section 2.8 of Part VI (</w:t>
      </w:r>
      <w:r w:rsidR="00A65970">
        <w:rPr>
          <w:i/>
        </w:rPr>
        <w:t>Operating and financial review</w:t>
      </w:r>
      <w:r w:rsidR="00A65970">
        <w:t>).</w:t>
      </w:r>
    </w:p>
    <w:p w:rsidR="002E649F" w:rsidRPr="002E649F" w:rsidRDefault="002E649F" w:rsidP="002E649F">
      <w:pPr>
        <w:keepNext/>
        <w:numPr>
          <w:ilvl w:val="3"/>
          <w:numId w:val="7"/>
        </w:numPr>
        <w:outlineLvl w:val="3"/>
        <w:rPr>
          <w:rFonts w:eastAsia="SimSun"/>
          <w:szCs w:val="20"/>
        </w:rPr>
      </w:pPr>
      <w:bookmarkStart w:id="61" w:name="_Toc376011505"/>
      <w:r w:rsidRPr="002E649F">
        <w:rPr>
          <w:rFonts w:eastAsia="SimSun"/>
          <w:szCs w:val="20"/>
        </w:rPr>
        <w:t>Enforcement of transaction security</w:t>
      </w:r>
      <w:bookmarkEnd w:id="61"/>
    </w:p>
    <w:p w:rsidR="002E649F" w:rsidRPr="002E649F" w:rsidRDefault="002E649F" w:rsidP="002E649F">
      <w:pPr>
        <w:rPr>
          <w:i/>
          <w:szCs w:val="20"/>
        </w:rPr>
      </w:pPr>
      <w:bookmarkStart w:id="62" w:name="_Toc376011506"/>
      <w:r w:rsidRPr="002E649F">
        <w:rPr>
          <w:i/>
          <w:szCs w:val="20"/>
        </w:rPr>
        <w:t>Instructions to enforce — consultation</w:t>
      </w:r>
      <w:bookmarkEnd w:id="62"/>
    </w:p>
    <w:p w:rsidR="002E649F" w:rsidRPr="002E649F" w:rsidRDefault="002E649F" w:rsidP="002E649F">
      <w:r w:rsidRPr="002E649F">
        <w:t>For the purposes of the Intercreditor Agreement:</w:t>
      </w:r>
    </w:p>
    <w:p w:rsidR="002E649F" w:rsidRPr="002E649F" w:rsidRDefault="002E649F" w:rsidP="002E649F">
      <w:pPr>
        <w:numPr>
          <w:ilvl w:val="0"/>
          <w:numId w:val="6"/>
        </w:numPr>
      </w:pPr>
      <w:r w:rsidRPr="002E649F">
        <w:rPr>
          <w:b/>
          <w:i/>
        </w:rPr>
        <w:t>Majority Senior Secured Creditors</w:t>
      </w:r>
      <w:r w:rsidRPr="002E649F">
        <w:t xml:space="preserve"> means, at any time, those Senior Secured Creditors holding more than 50% of the aggregate (a) principal amount of Notes outstanding at that time (b) aggregate drawn and undrawn commitments in respect of Pari Passu Indebtedness and (c) certain non-priority hedging.</w:t>
      </w:r>
    </w:p>
    <w:p w:rsidR="002E649F" w:rsidRPr="002E649F" w:rsidRDefault="002E649F" w:rsidP="002E649F">
      <w:pPr>
        <w:numPr>
          <w:ilvl w:val="0"/>
          <w:numId w:val="6"/>
        </w:numPr>
      </w:pPr>
      <w:r w:rsidRPr="002E649F">
        <w:rPr>
          <w:b/>
          <w:i/>
        </w:rPr>
        <w:t>Majority Super Senior Creditors</w:t>
      </w:r>
      <w:r w:rsidRPr="002E649F">
        <w:t xml:space="preserve"> means, at any time, those Super Senior Creditors holding more than 66</w:t>
      </w:r>
      <w:r w:rsidRPr="002E649F">
        <w:rPr>
          <w:vertAlign w:val="superscript"/>
        </w:rPr>
        <w:t>2</w:t>
      </w:r>
      <w:r w:rsidRPr="002E649F">
        <w:t>/</w:t>
      </w:r>
      <w:r w:rsidRPr="002E649F">
        <w:rPr>
          <w:vertAlign w:val="subscript"/>
        </w:rPr>
        <w:t>3</w:t>
      </w:r>
      <w:r w:rsidRPr="002E649F">
        <w:t>% of the aggregate (a) commitments under the Revolving Credit Facility and (b) certain priority hedging.</w:t>
      </w:r>
    </w:p>
    <w:p w:rsidR="002E649F" w:rsidRPr="002E649F" w:rsidRDefault="008C15BB" w:rsidP="002E649F">
      <w:r>
        <w:t>I</w:t>
      </w:r>
      <w:r w:rsidR="002E649F" w:rsidRPr="002E649F">
        <w:t xml:space="preserve">f any of the Secured Creditors wish to enforce the Transaction Security or to refrain or cease from enforcing the Transaction Security, either (a) the Majority Super Senior Creditors or (b) the Majority Senior Secured Creditors must give five business days' notice of the proposed enforcement instructions to the creditor representatives of the other Secured Creditors and </w:t>
      </w:r>
      <w:r w:rsidR="00462A35">
        <w:t>the Security Agent</w:t>
      </w:r>
      <w:r w:rsidR="002E649F" w:rsidRPr="002E649F">
        <w:t xml:space="preserve">. The issuance of the enforcement instructions triggers a 30-day consultation period (the </w:t>
      </w:r>
      <w:r w:rsidR="002E649F" w:rsidRPr="002E649F">
        <w:rPr>
          <w:b/>
          <w:i/>
        </w:rPr>
        <w:t>Consultation Period</w:t>
      </w:r>
      <w:r w:rsidR="002E649F" w:rsidRPr="002E649F">
        <w:t>) during which time the creditor representatives for each of the Secured Creditors must consult with each other in good faith with a view to formulating joint instructions.</w:t>
      </w:r>
    </w:p>
    <w:p w:rsidR="002E649F" w:rsidRPr="002E649F" w:rsidRDefault="002E649F" w:rsidP="002E649F">
      <w:r w:rsidRPr="002E649F">
        <w:t xml:space="preserve">If no enforcement instructions are given by the Majority Senior Secured Creditors prior to the end of the Consultation Period or the Further Consultation Period (as the case may be) </w:t>
      </w:r>
      <w:r w:rsidR="00462A35">
        <w:t>the Security Agent</w:t>
      </w:r>
      <w:r w:rsidRPr="002E649F">
        <w:t xml:space="preserve"> shall enforce the Transaction Security in accordance with the terms of the enforcement instructions given by the Majority Super Senior Creditors. Notwithstanding the foregoing, if </w:t>
      </w:r>
      <w:r w:rsidR="00462A35">
        <w:t>the Security Agent</w:t>
      </w:r>
      <w:r w:rsidRPr="002E649F">
        <w:t xml:space="preserve"> is following the enforcement instructions given by the Majority Senior Secured Creditors and:</w:t>
      </w:r>
    </w:p>
    <w:p w:rsidR="002E649F" w:rsidRPr="002E649F" w:rsidRDefault="002E649F" w:rsidP="002E649F">
      <w:pPr>
        <w:numPr>
          <w:ilvl w:val="0"/>
          <w:numId w:val="6"/>
        </w:numPr>
      </w:pPr>
      <w:r w:rsidRPr="002E649F">
        <w:t>the Super Senior Creditors have not been fully repaid in cash within six months of the date of the initial enforcement instructions; or</w:t>
      </w:r>
    </w:p>
    <w:p w:rsidR="002E649F" w:rsidRPr="002E649F" w:rsidRDefault="00462A35" w:rsidP="002E649F">
      <w:pPr>
        <w:numPr>
          <w:ilvl w:val="0"/>
          <w:numId w:val="6"/>
        </w:numPr>
      </w:pPr>
      <w:r>
        <w:t>the Security Agent</w:t>
      </w:r>
      <w:r w:rsidR="002E649F" w:rsidRPr="002E649F">
        <w:t xml:space="preserve"> has not taken steps to commence enforcement action within three months of the end of the Consultation Period,</w:t>
      </w:r>
    </w:p>
    <w:p w:rsidR="002E649F" w:rsidRPr="002E649F" w:rsidRDefault="002E649F" w:rsidP="002E649F">
      <w:r w:rsidRPr="002E649F">
        <w:t xml:space="preserve">then </w:t>
      </w:r>
      <w:r w:rsidR="00462A35">
        <w:t>the Security Agent</w:t>
      </w:r>
      <w:r w:rsidRPr="002E649F">
        <w:t xml:space="preserve"> shall follow the enforcement instructions given by the Majority Super Senior Creditors.</w:t>
      </w:r>
    </w:p>
    <w:p w:rsidR="002E649F" w:rsidRPr="002E649F" w:rsidRDefault="002E649F" w:rsidP="002E649F">
      <w:r w:rsidRPr="002E649F">
        <w:t>No creditor which is not a Secured Creditor may take or cause to be taken any action, the purpose or intent of which is, or could be, to interfere, hinder or delay, in any manner, (whether by judicial proceedings, procurement of an insolvency event or otherwise), any sale, transfer or other disposition of, or enforcemen</w:t>
      </w:r>
      <w:r w:rsidR="00462A35">
        <w:t>t strategy in relation to, the c</w:t>
      </w:r>
      <w:r w:rsidRPr="002E649F">
        <w:t xml:space="preserve">ollateral by </w:t>
      </w:r>
      <w:r w:rsidR="00462A35">
        <w:t>the Security Agent</w:t>
      </w:r>
      <w:r w:rsidRPr="002E649F">
        <w:t xml:space="preserve"> acting on the instructions of an instructing group, other than as required by law or regulation in which case such creditor shall, upon becoming aware of such requirement, immediately notify </w:t>
      </w:r>
      <w:r w:rsidR="00462A35">
        <w:t>the Security Agent</w:t>
      </w:r>
      <w:r w:rsidRPr="002E649F">
        <w:t xml:space="preserve"> before taking such action.</w:t>
      </w:r>
    </w:p>
    <w:p w:rsidR="00BD2C9F" w:rsidRDefault="003A5AA7" w:rsidP="00353B80">
      <w:pPr>
        <w:pStyle w:val="Firm5L3"/>
        <w:keepNext/>
      </w:pPr>
      <w:r>
        <w:t xml:space="preserve">Agreement with Ahold </w:t>
      </w:r>
      <w:r w:rsidR="00CE6DC7">
        <w:t xml:space="preserve">European </w:t>
      </w:r>
      <w:r>
        <w:t>Sourcing B</w:t>
      </w:r>
      <w:r w:rsidR="00CE6DC7">
        <w:t>.</w:t>
      </w:r>
      <w:r>
        <w:t>V</w:t>
      </w:r>
      <w:r w:rsidR="00CE6DC7">
        <w:t>.</w:t>
      </w:r>
    </w:p>
    <w:p w:rsidR="00CE6DC7" w:rsidRDefault="00CE6DC7" w:rsidP="00CE6DC7">
      <w:pPr>
        <w:pStyle w:val="BodyText"/>
        <w:spacing w:before="60" w:after="180"/>
      </w:pPr>
      <w:r w:rsidRPr="00EA7D16">
        <w:t xml:space="preserve">Bakker Barendrecht </w:t>
      </w:r>
      <w:r>
        <w:t xml:space="preserve">B.V., a subsidiary of the Univeg Group, as supplier </w:t>
      </w:r>
      <w:r w:rsidRPr="00EA7D16">
        <w:t xml:space="preserve">and Ahold European Sourcing </w:t>
      </w:r>
      <w:r>
        <w:t>B.V.</w:t>
      </w:r>
      <w:r w:rsidRPr="00EA7D16">
        <w:t xml:space="preserve"> </w:t>
      </w:r>
      <w:r>
        <w:t>as buyer have entered into a strategic supplier framework agreement. The agreement has been effective since 1 January 2014 and will be in force for an indefinite period of time. Specific terms are set out in individual supply agreements entered into in accordance with the framework agreement.</w:t>
      </w:r>
    </w:p>
    <w:p w:rsidR="00CE6DC7" w:rsidRDefault="00CE6DC7" w:rsidP="00353B80">
      <w:pPr>
        <w:pStyle w:val="Firm5L3"/>
        <w:keepNext/>
      </w:pPr>
      <w:r>
        <w:t>Chiquita</w:t>
      </w:r>
    </w:p>
    <w:p w:rsidR="00CE6DC7" w:rsidRDefault="00CE6DC7" w:rsidP="00353B80">
      <w:pPr>
        <w:pStyle w:val="Firm5L4"/>
        <w:keepNext/>
      </w:pPr>
      <w:r>
        <w:t>Settlement Agreement</w:t>
      </w:r>
    </w:p>
    <w:p w:rsidR="00CE6DC7" w:rsidRDefault="00CE6DC7" w:rsidP="00CE6DC7">
      <w:pPr>
        <w:pStyle w:val="BodyText"/>
        <w:spacing w:before="60" w:after="180"/>
      </w:pPr>
      <w:r>
        <w:t xml:space="preserve">Chiquita Deutschland GmbH and </w:t>
      </w:r>
      <w:smartTag w:uri="urn:schemas-microsoft-com:office:smarttags" w:element="Street">
        <w:smartTag w:uri="urn:schemas-microsoft-com:office:smarttags" w:element="address">
          <w:r>
            <w:t>Univeg BV</w:t>
          </w:r>
        </w:smartTag>
      </w:smartTag>
      <w:r>
        <w:t xml:space="preserve"> entered into a settlement agreement </w:t>
      </w:r>
      <w:r w:rsidR="00F1412B">
        <w:t>in</w:t>
      </w:r>
      <w:r>
        <w:t xml:space="preserve"> February 2013 (the </w:t>
      </w:r>
      <w:r w:rsidRPr="00006896">
        <w:rPr>
          <w:b/>
          <w:i/>
        </w:rPr>
        <w:t>Settlement Agreement</w:t>
      </w:r>
      <w:r>
        <w:t>).</w:t>
      </w:r>
    </w:p>
    <w:p w:rsidR="00CE6DC7" w:rsidRDefault="00CE6DC7" w:rsidP="00CE6DC7">
      <w:pPr>
        <w:pStyle w:val="BodyText"/>
        <w:spacing w:before="60" w:after="180"/>
      </w:pPr>
      <w:r>
        <w:t xml:space="preserve">Background of the Settlement Agreement is the settlement of certain (potential) claims in connection with a share purchase agreement entered into on 13 May 2008 between the parties to the Settlement Agreement. Under such SPA, Chiquita Deutschland GmbH sold its shares in Atlanta AG (renamed Univeg Deutschland GmbH after closing of the share purchase agreement) to Univeg B.V. On the one hand, Chiquita Deutschland GmbH requested the payment of an additional purchase price the criteria of which Univeg B.V. considered not fulfilled, on the other hand Univeg B.V. purported to have a claim against Chiquita Deutschland GmbH based upon pre-contractual misrepresentation. </w:t>
      </w:r>
    </w:p>
    <w:p w:rsidR="00CE6DC7" w:rsidRDefault="00CE6DC7" w:rsidP="00CE6DC7">
      <w:pPr>
        <w:pStyle w:val="BodyText"/>
        <w:spacing w:before="60" w:after="180"/>
      </w:pPr>
      <w:r>
        <w:lastRenderedPageBreak/>
        <w:t>In order to finally settle the afore-mentioned (potential) claims of Chiquita Deutschland GmbH and Univeg B.V. and in order to facilitate the ongoing business relationship as concluded per the s</w:t>
      </w:r>
      <w:r w:rsidRPr="002B5BE6">
        <w:t xml:space="preserve">trategic </w:t>
      </w:r>
      <w:r>
        <w:t>b</w:t>
      </w:r>
      <w:r w:rsidRPr="002B5BE6">
        <w:t xml:space="preserve">anana </w:t>
      </w:r>
      <w:r>
        <w:t>r</w:t>
      </w:r>
      <w:r w:rsidRPr="002B5BE6">
        <w:t xml:space="preserve">ipening and </w:t>
      </w:r>
      <w:r>
        <w:t>d</w:t>
      </w:r>
      <w:r w:rsidRPr="002B5BE6">
        <w:t xml:space="preserve">istribution </w:t>
      </w:r>
      <w:r>
        <w:t>a</w:t>
      </w:r>
      <w:r w:rsidRPr="002B5BE6">
        <w:t xml:space="preserve">greement </w:t>
      </w:r>
      <w:r w:rsidR="00F1412B">
        <w:t xml:space="preserve">(see Section 8.2.6.2 below) </w:t>
      </w:r>
      <w:r>
        <w:t xml:space="preserve">entered into between the parties, the parties agreed that Univeg B.V. </w:t>
      </w:r>
      <w:r w:rsidR="00F1412B">
        <w:t>had to</w:t>
      </w:r>
      <w:r>
        <w:t xml:space="preserve"> pay to Chiquita Deutschland GmbH a total sum of </w:t>
      </w:r>
      <w:r w:rsidR="00E53641">
        <w:t>EUR </w:t>
      </w:r>
      <w:r>
        <w:t xml:space="preserve">7,000,000, </w:t>
      </w:r>
      <w:r w:rsidR="00F1412B">
        <w:t>of which</w:t>
      </w:r>
      <w:r>
        <w:t xml:space="preserve"> an amount of </w:t>
      </w:r>
      <w:r w:rsidR="00E53641">
        <w:t>EUR </w:t>
      </w:r>
      <w:r>
        <w:t xml:space="preserve">500,000 was due on 31 March 2013 and on 30 September 2013 each, and the remaining amount of </w:t>
      </w:r>
      <w:r w:rsidR="00E53641">
        <w:t>EUR </w:t>
      </w:r>
      <w:r>
        <w:t xml:space="preserve">6,000,000 </w:t>
      </w:r>
      <w:r w:rsidR="00F1412B">
        <w:t>is to</w:t>
      </w:r>
      <w:r>
        <w:t xml:space="preserve"> be paid in ten instalments of </w:t>
      </w:r>
      <w:r w:rsidR="00E53641">
        <w:t>EUR </w:t>
      </w:r>
      <w:r>
        <w:t>600,000 which shall become due on 31 March and on 30 September of each following calendar year until 30 September 2018.</w:t>
      </w:r>
    </w:p>
    <w:p w:rsidR="00CE6DC7" w:rsidRDefault="00CE6DC7" w:rsidP="00CE6DC7">
      <w:pPr>
        <w:pStyle w:val="BodyText"/>
        <w:spacing w:before="60" w:after="180"/>
      </w:pPr>
      <w:r>
        <w:t>In addition, the Settlement Agreement stipulates that in case Chiquita Deutschland GmbH or any of its affiliates should decide to sell any ripening asset in the EEA or Switzerland, Chiquita Deutschland GmbH is obliged to grant, or ensure that its respective affiliate will grant, Univeg B.V. the right to submit a first offer that a reasonable bidder would want to receive before entering into such bid.</w:t>
      </w:r>
    </w:p>
    <w:p w:rsidR="00CE6DC7" w:rsidRDefault="00CE6DC7" w:rsidP="00353B80">
      <w:pPr>
        <w:pStyle w:val="Firm5L4"/>
        <w:keepNext/>
      </w:pPr>
      <w:r>
        <w:t>Strategic Banana Ripening and Distribution Agreement</w:t>
      </w:r>
    </w:p>
    <w:p w:rsidR="00CE6DC7" w:rsidRDefault="00CE6DC7" w:rsidP="00CE6DC7">
      <w:pPr>
        <w:pStyle w:val="BodyText"/>
        <w:spacing w:before="60" w:after="180"/>
      </w:pPr>
      <w:r w:rsidRPr="00ED74FE">
        <w:t xml:space="preserve">On 26 February 2013, Univeg Deutschland GmbH </w:t>
      </w:r>
      <w:r>
        <w:t xml:space="preserve">and </w:t>
      </w:r>
      <w:smartTag w:uri="urn:schemas-microsoft-com:office:smarttags" w:element="Street">
        <w:smartTag w:uri="urn:schemas-microsoft-com:office:smarttags" w:element="address">
          <w:r>
            <w:t>Univeg BV</w:t>
          </w:r>
        </w:smartTag>
      </w:smartTag>
      <w:r>
        <w:t xml:space="preserve"> entered into a s</w:t>
      </w:r>
      <w:r w:rsidRPr="00ED74FE">
        <w:t xml:space="preserve">trategic </w:t>
      </w:r>
      <w:r>
        <w:t>b</w:t>
      </w:r>
      <w:r w:rsidRPr="00ED74FE">
        <w:t xml:space="preserve">anana </w:t>
      </w:r>
      <w:r>
        <w:t>r</w:t>
      </w:r>
      <w:r w:rsidRPr="00ED74FE">
        <w:t xml:space="preserve">ipening and </w:t>
      </w:r>
      <w:r>
        <w:t>d</w:t>
      </w:r>
      <w:r w:rsidRPr="00ED74FE">
        <w:t xml:space="preserve">istribution </w:t>
      </w:r>
      <w:r>
        <w:t>a</w:t>
      </w:r>
      <w:r w:rsidRPr="00ED74FE">
        <w:t xml:space="preserve">greement with Chiquita Banana Company </w:t>
      </w:r>
      <w:r>
        <w:t>B.V.</w:t>
      </w:r>
      <w:r w:rsidRPr="00ED74FE">
        <w:t xml:space="preserve"> and its subsidiary Chiquita Deutschland GmbH, </w:t>
      </w:r>
      <w:r w:rsidR="00F1412B">
        <w:t>pursuant to</w:t>
      </w:r>
      <w:r w:rsidRPr="00ED74FE">
        <w:t xml:space="preserve"> which Univeg Deutschland GmbH and Univeg </w:t>
      </w:r>
      <w:r>
        <w:t>B</w:t>
      </w:r>
      <w:r w:rsidR="00BA25F9">
        <w:t>.</w:t>
      </w:r>
      <w:r>
        <w:t>V</w:t>
      </w:r>
      <w:r w:rsidR="00BA25F9">
        <w:t>.</w:t>
      </w:r>
      <w:r w:rsidRPr="00ED74FE">
        <w:t xml:space="preserve"> provide</w:t>
      </w:r>
      <w:r w:rsidR="00F1412B">
        <w:t>s</w:t>
      </w:r>
      <w:r w:rsidRPr="00ED74FE">
        <w:t xml:space="preserve"> Chiquita with banana ripening and delivery services in </w:t>
      </w:r>
      <w:smartTag w:uri="urn:schemas-microsoft-com:office:smarttags" w:element="country-region">
        <w:r w:rsidRPr="00ED74FE">
          <w:t>Germany</w:t>
        </w:r>
      </w:smartTag>
      <w:r w:rsidRPr="00ED74FE">
        <w:t xml:space="preserve">, </w:t>
      </w:r>
      <w:smartTag w:uri="urn:schemas-microsoft-com:office:smarttags" w:element="country-region">
        <w:r w:rsidRPr="00ED74FE">
          <w:t>Austria</w:t>
        </w:r>
      </w:smartTag>
      <w:r w:rsidRPr="00ED74FE">
        <w:t xml:space="preserve"> and </w:t>
      </w:r>
      <w:smartTag w:uri="urn:schemas-microsoft-com:office:smarttags" w:element="country-region">
        <w:smartTag w:uri="urn:schemas-microsoft-com:office:smarttags" w:element="place">
          <w:r w:rsidRPr="00ED74FE">
            <w:t>Denmark</w:t>
          </w:r>
        </w:smartTag>
      </w:smartTag>
      <w:r w:rsidRPr="00ED74FE">
        <w:t xml:space="preserve">. The agreement will </w:t>
      </w:r>
      <w:r w:rsidR="00F1412B">
        <w:t>continue</w:t>
      </w:r>
      <w:r w:rsidRPr="00ED74FE">
        <w:t xml:space="preserve"> until 17 August 2018, and will continue to be in force afterwards until t</w:t>
      </w:r>
      <w:r w:rsidR="00F1412B">
        <w:t>erminated by either party with six</w:t>
      </w:r>
      <w:r w:rsidRPr="00ED74FE">
        <w:t xml:space="preserve"> months’ notice. </w:t>
      </w:r>
    </w:p>
    <w:p w:rsidR="00CE6DC7" w:rsidRDefault="00CE6DC7" w:rsidP="00CE6DC7">
      <w:pPr>
        <w:pStyle w:val="BodyText"/>
        <w:spacing w:before="60" w:after="180"/>
      </w:pPr>
      <w:r w:rsidRPr="00ED74FE">
        <w:t>To the extent Univeg Deutschland GmbH’s restructuring or other business development requirements would result in closing or otherwise modify</w:t>
      </w:r>
      <w:r w:rsidR="00F1412B">
        <w:t>ing</w:t>
      </w:r>
      <w:r w:rsidRPr="00ED74FE">
        <w:t xml:space="preserve"> one of the preferred facilities for ripening the bananas as set out in the agreement in a way that could have a serious adverse effect on the customer relationship, Chiquita </w:t>
      </w:r>
      <w:r w:rsidR="00F1412B">
        <w:t>has the</w:t>
      </w:r>
      <w:r w:rsidRPr="00ED74FE">
        <w:t xml:space="preserve"> right to acquire the banana ripening facility of any such closed facility at market value</w:t>
      </w:r>
      <w:r>
        <w:t>.</w:t>
      </w:r>
    </w:p>
    <w:p w:rsidR="00BA25F9" w:rsidRDefault="00BA25F9" w:rsidP="00353B80">
      <w:pPr>
        <w:pStyle w:val="Firm5L3"/>
        <w:keepNext/>
      </w:pPr>
      <w:r>
        <w:t>Related party agreements</w:t>
      </w:r>
    </w:p>
    <w:p w:rsidR="00BA25F9" w:rsidRPr="00BA25F9" w:rsidRDefault="00BA25F9" w:rsidP="00CE6DC7">
      <w:pPr>
        <w:pStyle w:val="BodyText"/>
        <w:spacing w:before="60" w:after="180"/>
      </w:pPr>
      <w:r>
        <w:t>See Sections 3.2.1, 3.2.2 and 3.2.4 of Part VIII (</w:t>
      </w:r>
      <w:r>
        <w:rPr>
          <w:i/>
        </w:rPr>
        <w:t>Related party transactions</w:t>
      </w:r>
      <w:r>
        <w:t>) below.</w:t>
      </w:r>
    </w:p>
    <w:p w:rsidR="00D645ED" w:rsidRPr="00B517BB" w:rsidRDefault="00105E1E" w:rsidP="00353B80">
      <w:pPr>
        <w:pStyle w:val="Firm5L2"/>
        <w:keepNext/>
        <w:rPr>
          <w:b w:val="0"/>
        </w:rPr>
      </w:pPr>
      <w:bookmarkStart w:id="63" w:name="_Toc420593876"/>
      <w:r>
        <w:t xml:space="preserve">The </w:t>
      </w:r>
      <w:r w:rsidR="00D645ED" w:rsidRPr="00B517BB">
        <w:t>Peatinvest</w:t>
      </w:r>
      <w:r>
        <w:t xml:space="preserve"> Group</w:t>
      </w:r>
      <w:bookmarkEnd w:id="63"/>
    </w:p>
    <w:p w:rsidR="00D645ED" w:rsidRPr="00B517BB" w:rsidRDefault="00E53641" w:rsidP="00353B80">
      <w:pPr>
        <w:pStyle w:val="Firm5L3"/>
        <w:keepNext/>
      </w:pPr>
      <w:r>
        <w:t>EUR </w:t>
      </w:r>
      <w:r w:rsidR="00456203">
        <w:t xml:space="preserve">13,000 000 </w:t>
      </w:r>
      <w:r w:rsidR="00D645ED" w:rsidRPr="00456203">
        <w:t>credit facility agreements</w:t>
      </w:r>
    </w:p>
    <w:p w:rsidR="00D645ED" w:rsidRPr="00B517BB" w:rsidRDefault="00D645ED" w:rsidP="00D645ED">
      <w:pPr>
        <w:pStyle w:val="BodyText"/>
      </w:pPr>
      <w:r w:rsidRPr="00B517BB">
        <w:t xml:space="preserve">Peatinvest and its subsidiary </w:t>
      </w:r>
      <w:smartTag w:uri="urn:schemas-microsoft-com:office:smarttags" w:element="place">
        <w:smartTag w:uri="urn:schemas-microsoft-com:office:smarttags" w:element="City">
          <w:r w:rsidRPr="00B517BB">
            <w:t>Peltracom</w:t>
          </w:r>
        </w:smartTag>
        <w:r w:rsidRPr="00B517BB">
          <w:t xml:space="preserve"> </w:t>
        </w:r>
        <w:smartTag w:uri="urn:schemas-microsoft-com:office:smarttags" w:element="State">
          <w:r w:rsidRPr="00B517BB">
            <w:t>NV</w:t>
          </w:r>
        </w:smartTag>
      </w:smartTag>
      <w:r w:rsidRPr="00B517BB">
        <w:t xml:space="preserve"> entered into two </w:t>
      </w:r>
      <w:r w:rsidR="00E53641">
        <w:t>EUR </w:t>
      </w:r>
      <w:r w:rsidRPr="00B517BB">
        <w:t>13</w:t>
      </w:r>
      <w:r>
        <w:t>,000,000</w:t>
      </w:r>
      <w:r w:rsidRPr="00B517BB">
        <w:t xml:space="preserve"> credit facility agreements. The first credit facility agreement was entered into between ING </w:t>
      </w:r>
      <w:smartTag w:uri="urn:schemas-microsoft-com:office:smarttags" w:element="City">
        <w:r w:rsidRPr="00B517BB">
          <w:t>België</w:t>
        </w:r>
      </w:smartTag>
      <w:r w:rsidRPr="00B517BB">
        <w:t xml:space="preserve"> </w:t>
      </w:r>
      <w:smartTag w:uri="urn:schemas-microsoft-com:office:smarttags" w:element="State">
        <w:r w:rsidRPr="00B517BB">
          <w:t>NV</w:t>
        </w:r>
      </w:smartTag>
      <w:r w:rsidRPr="00B517BB">
        <w:t xml:space="preserve">, Peatinvest and </w:t>
      </w:r>
      <w:smartTag w:uri="urn:schemas-microsoft-com:office:smarttags" w:element="place">
        <w:smartTag w:uri="urn:schemas-microsoft-com:office:smarttags" w:element="City">
          <w:r w:rsidRPr="00B517BB">
            <w:t>Peltracom</w:t>
          </w:r>
        </w:smartTag>
        <w:r w:rsidRPr="00B517BB">
          <w:t xml:space="preserve"> </w:t>
        </w:r>
        <w:smartTag w:uri="urn:schemas-microsoft-com:office:smarttags" w:element="State">
          <w:r w:rsidRPr="00B517BB">
            <w:t>NV</w:t>
          </w:r>
        </w:smartTag>
      </w:smartTag>
      <w:r w:rsidRPr="00B517BB">
        <w:t xml:space="preserve"> on 3 June 2014 and restated on 27 November 2014. The second credit facility agreement was entered into between Belfius </w:t>
      </w:r>
      <w:smartTag w:uri="urn:schemas-microsoft-com:office:smarttags" w:element="City">
        <w:r w:rsidRPr="00B517BB">
          <w:t>Bank</w:t>
        </w:r>
      </w:smartTag>
      <w:r w:rsidRPr="00B517BB">
        <w:t xml:space="preserve"> </w:t>
      </w:r>
      <w:smartTag w:uri="urn:schemas-microsoft-com:office:smarttags" w:element="State">
        <w:r w:rsidRPr="00B517BB">
          <w:t>NV</w:t>
        </w:r>
      </w:smartTag>
      <w:r w:rsidRPr="00B517BB">
        <w:t xml:space="preserve">, Peatinvest and </w:t>
      </w:r>
      <w:smartTag w:uri="urn:schemas-microsoft-com:office:smarttags" w:element="place">
        <w:smartTag w:uri="urn:schemas-microsoft-com:office:smarttags" w:element="City">
          <w:r w:rsidRPr="00B517BB">
            <w:t>Peltracom</w:t>
          </w:r>
        </w:smartTag>
        <w:r w:rsidRPr="00B517BB">
          <w:t xml:space="preserve"> </w:t>
        </w:r>
        <w:smartTag w:uri="urn:schemas-microsoft-com:office:smarttags" w:element="State">
          <w:r w:rsidRPr="00B517BB">
            <w:t>NV</w:t>
          </w:r>
        </w:smartTag>
      </w:smartTag>
      <w:r w:rsidRPr="00B517BB">
        <w:t xml:space="preserve"> on 3 June 2014 and was amended on 27 November 2014.</w:t>
      </w:r>
    </w:p>
    <w:p w:rsidR="00D645ED" w:rsidRPr="00B517BB" w:rsidRDefault="00D645ED" w:rsidP="00D645ED">
      <w:pPr>
        <w:pStyle w:val="BodyText"/>
      </w:pPr>
      <w:r w:rsidRPr="00B517BB">
        <w:t xml:space="preserve">These two credit facility agreements are conditional upon each other and are split into different tranches such as credit lines and and roll-over term loans which are each subject to a minimum and maximum duration. These two credit facility agreements include typical events of default for such type of credit, including amongst others, negative pledges, breach of financial covenants (net debt coverage ratio) and change of control. These events of default may give rise to a suspension of the credit facility agreement or to mandatory prepayment obligation. In respect of security, these two credit facility agreements require business pledges on </w:t>
      </w:r>
      <w:smartTag w:uri="urn:schemas-microsoft-com:office:smarttags" w:element="place">
        <w:smartTag w:uri="urn:schemas-microsoft-com:office:smarttags" w:element="City">
          <w:r w:rsidRPr="00B517BB">
            <w:t>Peltracom</w:t>
          </w:r>
        </w:smartTag>
        <w:r>
          <w:t xml:space="preserve"> </w:t>
        </w:r>
        <w:smartTag w:uri="urn:schemas-microsoft-com:office:smarttags" w:element="State">
          <w:r>
            <w:t>NV</w:t>
          </w:r>
        </w:smartTag>
      </w:smartTag>
      <w:r w:rsidRPr="00B517BB">
        <w:t>’s business, a mandate to take a business pledge and a shareholder guarantee by Deprez Holding. ING België NV and Belfius Bank NV both waived their rights under their respective credit facility agreements in respect of the Transactions through waiver letters dated 30 April 2015.</w:t>
      </w:r>
    </w:p>
    <w:p w:rsidR="00D645ED" w:rsidRPr="00B517BB" w:rsidRDefault="00D645ED" w:rsidP="00353B80">
      <w:pPr>
        <w:pStyle w:val="Firm5L3"/>
        <w:keepNext/>
        <w:rPr>
          <w:b w:val="0"/>
        </w:rPr>
      </w:pPr>
      <w:r w:rsidRPr="00B517BB">
        <w:t>Licences for exploitation of peat bogs</w:t>
      </w:r>
    </w:p>
    <w:p w:rsidR="00D645ED" w:rsidRPr="00B517BB" w:rsidRDefault="00D645ED" w:rsidP="00D645ED">
      <w:pPr>
        <w:pStyle w:val="BodyText"/>
      </w:pPr>
      <w:r w:rsidRPr="007239E7">
        <w:t xml:space="preserve">The Peatinvest Group </w:t>
      </w:r>
      <w:r w:rsidRPr="00B517BB">
        <w:t>holds long</w:t>
      </w:r>
      <w:r w:rsidRPr="007239E7">
        <w:t xml:space="preserve">-term </w:t>
      </w:r>
      <w:r w:rsidRPr="00B517BB">
        <w:t xml:space="preserve">extraction </w:t>
      </w:r>
      <w:r w:rsidRPr="007239E7">
        <w:t>license</w:t>
      </w:r>
      <w:r w:rsidRPr="00B517BB">
        <w:t xml:space="preserve">s for the exploitation of its </w:t>
      </w:r>
      <w:r>
        <w:t>seven</w:t>
      </w:r>
      <w:r w:rsidRPr="00B517BB">
        <w:t xml:space="preserve"> peat fields</w:t>
      </w:r>
      <w:r>
        <w:t xml:space="preserve"> in Lativa and its four</w:t>
      </w:r>
      <w:r w:rsidRPr="00B517BB">
        <w:t xml:space="preserve"> peat fields in </w:t>
      </w:r>
      <w:smartTag w:uri="urn:schemas-microsoft-com:office:smarttags" w:element="country-region">
        <w:smartTag w:uri="urn:schemas-microsoft-com:office:smarttags" w:element="place">
          <w:r w:rsidRPr="00B517BB">
            <w:t>Poland</w:t>
          </w:r>
        </w:smartTag>
      </w:smartTag>
      <w:r w:rsidRPr="00B517BB">
        <w:t xml:space="preserve"> (1,454 hectares in total). These licences are granted by local authorities through a public tender process. The extraction licences are awarded for a fixed renewable term and provide for the right to extract peat from a predetermined surface area (in hectares) and up until a certain depth, determined on the basis of a geological survey. Compensation for the extraction licences consists of a combination of a fixed annual fee and a variable volume compensation. The Peatinvest Group has obtained its licences either through successful participation in public tenders or by acquiring shares in companies holding extraction licences. Extraction licences cannot be transferred. At the expiry of the</w:t>
      </w:r>
      <w:r w:rsidR="00456203">
        <w:t xml:space="preserve"> </w:t>
      </w:r>
      <w:r w:rsidRPr="00B517BB">
        <w:t>term of an extraction licence, a restoration obligation applies. These restoration costs have been provisioned by the Peatinvest Group.</w:t>
      </w:r>
      <w:r w:rsidR="00F13D58">
        <w:t xml:space="preserve"> </w:t>
      </w:r>
    </w:p>
    <w:p w:rsidR="00D645ED" w:rsidRPr="00791829" w:rsidRDefault="00D645ED" w:rsidP="00D645ED">
      <w:pPr>
        <w:autoSpaceDE w:val="0"/>
        <w:autoSpaceDN w:val="0"/>
        <w:adjustRightInd w:val="0"/>
        <w:rPr>
          <w:szCs w:val="20"/>
        </w:rPr>
      </w:pPr>
      <w:r>
        <w:rPr>
          <w:szCs w:val="20"/>
        </w:rPr>
        <w:t>T</w:t>
      </w:r>
      <w:r w:rsidRPr="00791829">
        <w:rPr>
          <w:szCs w:val="20"/>
        </w:rPr>
        <w:t>he Peatinvest Group</w:t>
      </w:r>
      <w:r>
        <w:rPr>
          <w:szCs w:val="20"/>
        </w:rPr>
        <w:t xml:space="preserve"> also</w:t>
      </w:r>
      <w:r w:rsidRPr="00791829">
        <w:rPr>
          <w:szCs w:val="20"/>
        </w:rPr>
        <w:t xml:space="preserve"> purchases specialty raw materials (such as Irish or German peat, cocos, compost, wood fiber, etc.) as well as additives and fertilisers from long-lasting supply partners working closely with the Peatinvest Group.</w:t>
      </w:r>
      <w:r w:rsidR="00F13D58">
        <w:rPr>
          <w:szCs w:val="20"/>
        </w:rPr>
        <w:t xml:space="preserve"> </w:t>
      </w:r>
      <w:r w:rsidRPr="00791829">
        <w:rPr>
          <w:szCs w:val="20"/>
        </w:rPr>
        <w:t xml:space="preserve">Charcoal, wood pellets and other non-core products are also purchased from third parties on the spot market. </w:t>
      </w:r>
    </w:p>
    <w:p w:rsidR="00D645ED" w:rsidRPr="00B517BB" w:rsidRDefault="00456203" w:rsidP="00353B80">
      <w:pPr>
        <w:pStyle w:val="Firm5L3"/>
        <w:keepNext/>
      </w:pPr>
      <w:r>
        <w:lastRenderedPageBreak/>
        <w:t>Concession a</w:t>
      </w:r>
      <w:r w:rsidR="00D645ED" w:rsidRPr="00B517BB">
        <w:t>greement entered into with Compagnie Nationale du Rhône</w:t>
      </w:r>
    </w:p>
    <w:p w:rsidR="00D645ED" w:rsidRPr="00B517BB" w:rsidRDefault="00D645ED" w:rsidP="00D645ED">
      <w:pPr>
        <w:pStyle w:val="BodyText"/>
        <w:spacing w:before="40" w:after="100"/>
        <w:rPr>
          <w:lang w:val="en-US"/>
        </w:rPr>
      </w:pPr>
      <w:r w:rsidRPr="00B517BB">
        <w:t>Peltracom France SAS (a subsidiary of Peatinvest) entered into two concession agreements with Compagnie Nationale du Rhône (a semi-public entity in charge of managing the Rhône river facilities and equipment) for the occupation of land located on the harbor and industrial area of Arles Nord</w:t>
      </w:r>
      <w:r w:rsidR="00456203">
        <w:t>.</w:t>
      </w:r>
      <w:r w:rsidRPr="00B517BB">
        <w:t xml:space="preserve"> The first occupation agreement relates to a 18,290 </w:t>
      </w:r>
      <w:r>
        <w:t>m²</w:t>
      </w:r>
      <w:r w:rsidRPr="00B517BB">
        <w:t xml:space="preserve"> plot of land</w:t>
      </w:r>
      <w:r>
        <w:t xml:space="preserve"> </w:t>
      </w:r>
      <w:r w:rsidRPr="00B517BB">
        <w:t>(with an authori</w:t>
      </w:r>
      <w:r w:rsidR="00456203">
        <w:t>s</w:t>
      </w:r>
      <w:r w:rsidRPr="00B517BB">
        <w:t xml:space="preserve">ation to build up to 9,000 </w:t>
      </w:r>
      <w:r>
        <w:t>m²</w:t>
      </w:r>
      <w:r w:rsidRPr="00B517BB">
        <w:t xml:space="preserve"> of compost factory) and will terminate on 30 September 2019, unless renewed before the expiry of its term. Certain constructions have been erected on this land and purchased by Peltracom France SAS. The second concession agreement relates to a 18,000 </w:t>
      </w:r>
      <w:r>
        <w:t>m²</w:t>
      </w:r>
      <w:r w:rsidRPr="00B517BB">
        <w:t xml:space="preserve"> of land (with authori</w:t>
      </w:r>
      <w:r w:rsidR="00456203">
        <w:t>s</w:t>
      </w:r>
      <w:r w:rsidRPr="00B517BB">
        <w:t xml:space="preserve">ation to build a parking and storage spaces). This agreement will terminate in June 2015 purusant to an early termination notice issued by Peltracom France SAS. </w:t>
      </w:r>
      <w:r w:rsidRPr="00B517BB">
        <w:rPr>
          <w:lang w:val="en-US"/>
        </w:rPr>
        <w:t xml:space="preserve">As these premises are located on public domain, Compagnie </w:t>
      </w:r>
      <w:r w:rsidRPr="00B517BB">
        <w:t xml:space="preserve">Nationale </w:t>
      </w:r>
      <w:r w:rsidRPr="00B517BB">
        <w:rPr>
          <w:lang w:val="en-US"/>
        </w:rPr>
        <w:t xml:space="preserve">du Rhône is entitled to terminate the contract unilaterally for a </w:t>
      </w:r>
      <w:r w:rsidR="00BF553B">
        <w:rPr>
          <w:lang w:val="en-US"/>
        </w:rPr>
        <w:t>“</w:t>
      </w:r>
      <w:r w:rsidRPr="00B517BB">
        <w:rPr>
          <w:lang w:val="en-US"/>
        </w:rPr>
        <w:t>reason of general interest</w:t>
      </w:r>
      <w:r w:rsidR="00BF553B">
        <w:rPr>
          <w:lang w:val="en-US"/>
        </w:rPr>
        <w:t>”</w:t>
      </w:r>
      <w:r w:rsidRPr="00B517BB">
        <w:rPr>
          <w:lang w:val="en-US"/>
        </w:rPr>
        <w:t>. Such termination would need to be substantiated and would entitle the occupant to compensation.</w:t>
      </w:r>
    </w:p>
    <w:p w:rsidR="003F0BC5" w:rsidRPr="00992199" w:rsidRDefault="003F0BC5" w:rsidP="00353B80">
      <w:pPr>
        <w:pStyle w:val="Heading1"/>
        <w:keepNext/>
      </w:pPr>
      <w:bookmarkStart w:id="64" w:name="_Toc420593877"/>
      <w:r w:rsidRPr="00992199">
        <w:lastRenderedPageBreak/>
        <w:t>PART VI: OPERATING AND FINANCIAL REVIEW</w:t>
      </w:r>
      <w:bookmarkEnd w:id="64"/>
    </w:p>
    <w:p w:rsidR="003F0BC5" w:rsidRPr="00992199" w:rsidRDefault="005E6CD3" w:rsidP="00353B80">
      <w:pPr>
        <w:pStyle w:val="Firm5L1"/>
        <w:keepNext/>
        <w:numPr>
          <w:ilvl w:val="0"/>
          <w:numId w:val="9"/>
        </w:numPr>
      </w:pPr>
      <w:bookmarkStart w:id="65" w:name="_Toc420593878"/>
      <w:r>
        <w:t xml:space="preserve">The </w:t>
      </w:r>
      <w:r w:rsidR="002A1AB1">
        <w:t>Greenyard Foods</w:t>
      </w:r>
      <w:r>
        <w:t xml:space="preserve"> Group</w:t>
      </w:r>
      <w:bookmarkEnd w:id="65"/>
    </w:p>
    <w:p w:rsidR="003F0BC5" w:rsidRPr="00992199" w:rsidRDefault="003F0BC5" w:rsidP="00353B80">
      <w:pPr>
        <w:pStyle w:val="Firm5L2"/>
        <w:keepNext/>
      </w:pPr>
      <w:bookmarkStart w:id="66" w:name="_Toc420593879"/>
      <w:r w:rsidRPr="00992199">
        <w:t>Overview</w:t>
      </w:r>
      <w:bookmarkEnd w:id="66"/>
    </w:p>
    <w:p w:rsidR="003F0BC5" w:rsidRPr="00992199" w:rsidRDefault="005E6CD3" w:rsidP="003F0BC5">
      <w:pPr>
        <w:rPr>
          <w:szCs w:val="20"/>
        </w:rPr>
      </w:pPr>
      <w:r>
        <w:rPr>
          <w:szCs w:val="20"/>
        </w:rPr>
        <w:t xml:space="preserve">The Greenyard Foods Group </w:t>
      </w:r>
      <w:r w:rsidR="003F0BC5" w:rsidRPr="00992199">
        <w:rPr>
          <w:szCs w:val="20"/>
        </w:rPr>
        <w:t xml:space="preserve">is active predominantly in the processing and commercialisation of fruit and vegetables and ready-to-eat food, both frozen and canned. </w:t>
      </w:r>
      <w:r>
        <w:rPr>
          <w:szCs w:val="20"/>
        </w:rPr>
        <w:t xml:space="preserve">The Greenyard Foods Group </w:t>
      </w:r>
      <w:r w:rsidR="003F0BC5" w:rsidRPr="00992199">
        <w:rPr>
          <w:szCs w:val="20"/>
        </w:rPr>
        <w:t xml:space="preserve">’s business is focused primarily on companies in the food industry, food service and retail sectors. </w:t>
      </w:r>
      <w:r>
        <w:rPr>
          <w:szCs w:val="20"/>
        </w:rPr>
        <w:t xml:space="preserve">The Greenyard Foods Group </w:t>
      </w:r>
      <w:r w:rsidR="003F0BC5" w:rsidRPr="00992199">
        <w:rPr>
          <w:szCs w:val="20"/>
        </w:rPr>
        <w:t xml:space="preserve">offers its customers a total </w:t>
      </w:r>
      <w:r w:rsidR="00BF553B">
        <w:rPr>
          <w:szCs w:val="20"/>
        </w:rPr>
        <w:t>“</w:t>
      </w:r>
      <w:r w:rsidR="003F0BC5" w:rsidRPr="00992199">
        <w:rPr>
          <w:szCs w:val="20"/>
        </w:rPr>
        <w:t>Vegetable Solution</w:t>
      </w:r>
      <w:r w:rsidR="00BF553B">
        <w:rPr>
          <w:szCs w:val="20"/>
        </w:rPr>
        <w:t>”</w:t>
      </w:r>
      <w:r w:rsidR="003F0BC5" w:rsidRPr="00992199">
        <w:rPr>
          <w:szCs w:val="20"/>
        </w:rPr>
        <w:t xml:space="preserve"> concept, in line with a growing market trend towards </w:t>
      </w:r>
      <w:r w:rsidR="00BF553B">
        <w:rPr>
          <w:szCs w:val="20"/>
        </w:rPr>
        <w:t>“</w:t>
      </w:r>
      <w:r w:rsidR="003F0BC5" w:rsidRPr="00992199">
        <w:rPr>
          <w:szCs w:val="20"/>
        </w:rPr>
        <w:t>component cooking</w:t>
      </w:r>
      <w:r w:rsidR="00BF553B">
        <w:rPr>
          <w:szCs w:val="20"/>
        </w:rPr>
        <w:t>”</w:t>
      </w:r>
      <w:r w:rsidR="003F0BC5" w:rsidRPr="00992199">
        <w:rPr>
          <w:szCs w:val="20"/>
        </w:rPr>
        <w:t>.</w:t>
      </w:r>
    </w:p>
    <w:p w:rsidR="003F0BC5" w:rsidRPr="00992199" w:rsidRDefault="005E6CD3" w:rsidP="003F0BC5">
      <w:pPr>
        <w:rPr>
          <w:szCs w:val="20"/>
        </w:rPr>
      </w:pPr>
      <w:r>
        <w:rPr>
          <w:szCs w:val="20"/>
        </w:rPr>
        <w:t xml:space="preserve">The Greenyard Foods Group </w:t>
      </w:r>
      <w:r w:rsidR="003F0BC5" w:rsidRPr="00992199">
        <w:rPr>
          <w:szCs w:val="20"/>
        </w:rPr>
        <w:t xml:space="preserve">is a leading processor of harvest-fresh </w:t>
      </w:r>
      <w:r w:rsidR="00FE467C" w:rsidRPr="00FE467C">
        <w:rPr>
          <w:szCs w:val="20"/>
        </w:rPr>
        <w:t>fruit and vegetables</w:t>
      </w:r>
      <w:r w:rsidR="003F0BC5" w:rsidRPr="00992199">
        <w:rPr>
          <w:szCs w:val="20"/>
        </w:rPr>
        <w:t xml:space="preserve"> with a long shelf life, being prepared </w:t>
      </w:r>
      <w:r w:rsidR="00FE467C" w:rsidRPr="00FE467C">
        <w:rPr>
          <w:szCs w:val="20"/>
        </w:rPr>
        <w:t>fruit and vegetables</w:t>
      </w:r>
      <w:r w:rsidR="003F0BC5" w:rsidRPr="00992199">
        <w:rPr>
          <w:szCs w:val="20"/>
        </w:rPr>
        <w:t xml:space="preserve">. These prepared </w:t>
      </w:r>
      <w:r w:rsidR="00FE467C" w:rsidRPr="00FE467C">
        <w:rPr>
          <w:szCs w:val="20"/>
        </w:rPr>
        <w:t>fruit and vegetables</w:t>
      </w:r>
      <w:r w:rsidR="003F0BC5" w:rsidRPr="00992199">
        <w:rPr>
          <w:szCs w:val="20"/>
        </w:rPr>
        <w:t xml:space="preserve"> are being processed in two divisions, being the Frozen Division, specialised in the production of frozen vegetables and ready-to-use </w:t>
      </w:r>
      <w:r w:rsidR="00E34880">
        <w:rPr>
          <w:szCs w:val="20"/>
        </w:rPr>
        <w:t xml:space="preserve">vegetable </w:t>
      </w:r>
      <w:r w:rsidR="003F0BC5" w:rsidRPr="00992199">
        <w:rPr>
          <w:szCs w:val="20"/>
        </w:rPr>
        <w:t>preparations and the Canning Division, specialised in the production of vegetables, ready-meals such as soups, sauces, dips and pasta dishes in jars and tins.</w:t>
      </w:r>
    </w:p>
    <w:p w:rsidR="003F0BC5" w:rsidRPr="00992199" w:rsidRDefault="003F0BC5" w:rsidP="003F0BC5">
      <w:pPr>
        <w:rPr>
          <w:szCs w:val="20"/>
        </w:rPr>
      </w:pPr>
      <w:r w:rsidRPr="00992199">
        <w:rPr>
          <w:szCs w:val="20"/>
        </w:rPr>
        <w:t xml:space="preserve">The customer base of </w:t>
      </w:r>
      <w:r w:rsidR="002A1AB1">
        <w:rPr>
          <w:szCs w:val="20"/>
        </w:rPr>
        <w:t>Greenyard Foods</w:t>
      </w:r>
      <w:r w:rsidRPr="00992199">
        <w:rPr>
          <w:szCs w:val="20"/>
        </w:rPr>
        <w:t xml:space="preserve"> can be divided into the following three categories: food distribution chains or retail (hypermarkets, supermarkets, specialised retailers), food service (commercial catering and industrial kitchens including, among others, hospitals, schools and universities, company restaurants and hotels, restaurants and cafes); and food industry (manufacturers of ready-made meals, pasta products, bakery products etc.).</w:t>
      </w:r>
    </w:p>
    <w:p w:rsidR="003F0BC5" w:rsidRPr="00992199" w:rsidRDefault="003F0BC5" w:rsidP="003F0BC5">
      <w:pPr>
        <w:rPr>
          <w:szCs w:val="20"/>
        </w:rPr>
      </w:pPr>
      <w:r w:rsidRPr="00992199">
        <w:rPr>
          <w:szCs w:val="20"/>
        </w:rPr>
        <w:t xml:space="preserve">The headquarters of </w:t>
      </w:r>
      <w:r w:rsidR="002A1AB1">
        <w:rPr>
          <w:szCs w:val="20"/>
        </w:rPr>
        <w:t>Greenyard Foods</w:t>
      </w:r>
      <w:r w:rsidRPr="00992199">
        <w:rPr>
          <w:szCs w:val="20"/>
        </w:rPr>
        <w:t xml:space="preserve"> are located in </w:t>
      </w:r>
      <w:smartTag w:uri="urn:schemas-microsoft-com:office:smarttags" w:element="place">
        <w:smartTag w:uri="urn:schemas-microsoft-com:office:smarttags" w:element="City">
          <w:r w:rsidRPr="00992199">
            <w:rPr>
              <w:szCs w:val="20"/>
            </w:rPr>
            <w:t>Ghent</w:t>
          </w:r>
        </w:smartTag>
        <w:r w:rsidRPr="00992199">
          <w:rPr>
            <w:szCs w:val="20"/>
          </w:rPr>
          <w:t xml:space="preserve">, </w:t>
        </w:r>
        <w:smartTag w:uri="urn:schemas-microsoft-com:office:smarttags" w:element="country-region">
          <w:r w:rsidRPr="00992199">
            <w:rPr>
              <w:szCs w:val="20"/>
            </w:rPr>
            <w:t>Belgium</w:t>
          </w:r>
        </w:smartTag>
      </w:smartTag>
      <w:r w:rsidRPr="00992199">
        <w:rPr>
          <w:szCs w:val="20"/>
        </w:rPr>
        <w:t xml:space="preserve">. The </w:t>
      </w:r>
      <w:r w:rsidR="002A1AB1">
        <w:rPr>
          <w:szCs w:val="20"/>
        </w:rPr>
        <w:t>Greenyard Foods</w:t>
      </w:r>
      <w:r w:rsidRPr="00992199">
        <w:rPr>
          <w:szCs w:val="20"/>
        </w:rPr>
        <w:t xml:space="preserve"> Group does have a well balanced manufacturing and sales footprint. </w:t>
      </w:r>
      <w:r w:rsidR="00FD6C8D">
        <w:rPr>
          <w:szCs w:val="20"/>
        </w:rPr>
        <w:t xml:space="preserve">As per 31 March 2015, it operates </w:t>
      </w:r>
      <w:r w:rsidRPr="00992199">
        <w:rPr>
          <w:szCs w:val="20"/>
        </w:rPr>
        <w:t>13 production facilities located in five different countries (Westrozebeke, Langemark, Rijkevorsel and Bree (</w:t>
      </w:r>
      <w:smartTag w:uri="urn:schemas-microsoft-com:office:smarttags" w:element="country-region">
        <w:r w:rsidRPr="00992199">
          <w:rPr>
            <w:szCs w:val="20"/>
          </w:rPr>
          <w:t>Belgium</w:t>
        </w:r>
      </w:smartTag>
      <w:r w:rsidRPr="00992199">
        <w:rPr>
          <w:szCs w:val="20"/>
        </w:rPr>
        <w:t>), Moréac and Comines (</w:t>
      </w:r>
      <w:smartTag w:uri="urn:schemas-microsoft-com:office:smarttags" w:element="country-region">
        <w:r w:rsidRPr="00992199">
          <w:rPr>
            <w:szCs w:val="20"/>
          </w:rPr>
          <w:t>France</w:t>
        </w:r>
      </w:smartTag>
      <w:r w:rsidRPr="00992199">
        <w:rPr>
          <w:szCs w:val="20"/>
        </w:rPr>
        <w:t xml:space="preserve">), King’s Lynn and </w:t>
      </w:r>
      <w:smartTag w:uri="urn:schemas-microsoft-com:office:smarttags" w:element="City">
        <w:r w:rsidRPr="00992199">
          <w:rPr>
            <w:szCs w:val="20"/>
          </w:rPr>
          <w:t>Boston</w:t>
        </w:r>
      </w:smartTag>
      <w:r w:rsidRPr="00992199">
        <w:rPr>
          <w:szCs w:val="20"/>
        </w:rPr>
        <w:t xml:space="preserve"> (</w:t>
      </w:r>
      <w:smartTag w:uri="urn:schemas-microsoft-com:office:smarttags" w:element="country-region">
        <w:r w:rsidRPr="00992199">
          <w:rPr>
            <w:szCs w:val="20"/>
          </w:rPr>
          <w:t>UK</w:t>
        </w:r>
      </w:smartTag>
      <w:r w:rsidRPr="00992199">
        <w:rPr>
          <w:szCs w:val="20"/>
        </w:rPr>
        <w:t>), Baja (</w:t>
      </w:r>
      <w:smartTag w:uri="urn:schemas-microsoft-com:office:smarttags" w:element="country-region">
        <w:r w:rsidRPr="00992199">
          <w:rPr>
            <w:szCs w:val="20"/>
          </w:rPr>
          <w:t>Hungary</w:t>
        </w:r>
      </w:smartTag>
      <w:r w:rsidRPr="00992199">
        <w:rPr>
          <w:szCs w:val="20"/>
        </w:rPr>
        <w:t>) and Dabrowa, Lipno, Elk and Adamow (</w:t>
      </w:r>
      <w:smartTag w:uri="urn:schemas-microsoft-com:office:smarttags" w:element="country-region">
        <w:smartTag w:uri="urn:schemas-microsoft-com:office:smarttags" w:element="place">
          <w:r w:rsidRPr="00992199">
            <w:rPr>
              <w:szCs w:val="20"/>
            </w:rPr>
            <w:t>Poland</w:t>
          </w:r>
        </w:smartTag>
      </w:smartTag>
      <w:r w:rsidRPr="00992199">
        <w:rPr>
          <w:szCs w:val="20"/>
        </w:rPr>
        <w:t>)).</w:t>
      </w:r>
    </w:p>
    <w:p w:rsidR="003F0BC5" w:rsidRPr="00992199" w:rsidRDefault="003F0BC5" w:rsidP="003F0BC5">
      <w:pPr>
        <w:rPr>
          <w:szCs w:val="20"/>
        </w:rPr>
      </w:pPr>
      <w:r w:rsidRPr="00992199">
        <w:rPr>
          <w:szCs w:val="20"/>
        </w:rPr>
        <w:t xml:space="preserve">These production plants are located in the most fertile regions of </w:t>
      </w:r>
      <w:smartTag w:uri="urn:schemas-microsoft-com:office:smarttags" w:element="place">
        <w:r w:rsidRPr="00992199">
          <w:rPr>
            <w:szCs w:val="20"/>
          </w:rPr>
          <w:t>Europe</w:t>
        </w:r>
      </w:smartTag>
      <w:r w:rsidRPr="00992199">
        <w:rPr>
          <w:szCs w:val="20"/>
        </w:rPr>
        <w:t xml:space="preserve">. This proximity of the production facilities to the important growers ensures that vegetables are processed within a few hours of being harvested. The </w:t>
      </w:r>
      <w:r w:rsidR="002A1AB1">
        <w:rPr>
          <w:szCs w:val="20"/>
        </w:rPr>
        <w:t>Greenyard Foods</w:t>
      </w:r>
      <w:r w:rsidRPr="00992199">
        <w:rPr>
          <w:szCs w:val="20"/>
        </w:rPr>
        <w:t xml:space="preserve"> Group’s distribution and packaging centres are also nearby the processing activities, avoiding unnecessary transport and contributing to profitability.</w:t>
      </w:r>
    </w:p>
    <w:p w:rsidR="003F0BC5" w:rsidRPr="00992199" w:rsidRDefault="003F0BC5" w:rsidP="003F0BC5">
      <w:pPr>
        <w:rPr>
          <w:szCs w:val="20"/>
        </w:rPr>
      </w:pPr>
      <w:r w:rsidRPr="00992199">
        <w:rPr>
          <w:szCs w:val="20"/>
        </w:rPr>
        <w:t xml:space="preserve">In addition, the </w:t>
      </w:r>
      <w:r w:rsidR="002A1AB1">
        <w:rPr>
          <w:szCs w:val="20"/>
        </w:rPr>
        <w:t>Greenyard Foods</w:t>
      </w:r>
      <w:r w:rsidRPr="00992199">
        <w:rPr>
          <w:szCs w:val="20"/>
        </w:rPr>
        <w:t xml:space="preserve"> Group has sales offices in five continents and sells its products in more than 100 countries across the world.</w:t>
      </w:r>
    </w:p>
    <w:p w:rsidR="003F0BC5" w:rsidRPr="00992199" w:rsidRDefault="003F0BC5" w:rsidP="003F0BC5">
      <w:pPr>
        <w:rPr>
          <w:szCs w:val="20"/>
        </w:rPr>
      </w:pPr>
      <w:r w:rsidRPr="00992199">
        <w:rPr>
          <w:szCs w:val="20"/>
        </w:rPr>
        <w:t xml:space="preserve">Each division of the </w:t>
      </w:r>
      <w:r w:rsidR="002A1AB1">
        <w:rPr>
          <w:szCs w:val="20"/>
        </w:rPr>
        <w:t>Greenyard Foods</w:t>
      </w:r>
      <w:r w:rsidRPr="00992199">
        <w:rPr>
          <w:szCs w:val="20"/>
        </w:rPr>
        <w:t xml:space="preserve"> Group maintains its own R&amp;D centre, focusing on product and process innovation.</w:t>
      </w:r>
    </w:p>
    <w:p w:rsidR="003F0BC5" w:rsidRPr="00992199" w:rsidRDefault="003F0BC5" w:rsidP="003F0BC5">
      <w:pPr>
        <w:rPr>
          <w:szCs w:val="20"/>
        </w:rPr>
      </w:pPr>
      <w:r w:rsidRPr="00992199">
        <w:rPr>
          <w:szCs w:val="20"/>
        </w:rPr>
        <w:t xml:space="preserve">The </w:t>
      </w:r>
      <w:r w:rsidR="002A1AB1">
        <w:rPr>
          <w:szCs w:val="20"/>
        </w:rPr>
        <w:t>Greenyard Foods</w:t>
      </w:r>
      <w:r w:rsidRPr="00992199">
        <w:rPr>
          <w:szCs w:val="20"/>
        </w:rPr>
        <w:t xml:space="preserve"> Group employed 2,289 full time equivalent employees as per 31 March 2015.</w:t>
      </w:r>
    </w:p>
    <w:p w:rsidR="003F0BC5" w:rsidRPr="00992199" w:rsidRDefault="003F0BC5" w:rsidP="00353B80">
      <w:pPr>
        <w:pStyle w:val="Firm5L2"/>
        <w:keepNext/>
      </w:pPr>
      <w:bookmarkStart w:id="67" w:name="_Toc420593880"/>
      <w:r w:rsidRPr="00992199">
        <w:t>Financial condition and recent events</w:t>
      </w:r>
      <w:bookmarkEnd w:id="67"/>
    </w:p>
    <w:p w:rsidR="003F0BC5" w:rsidRPr="00992199" w:rsidRDefault="003F0BC5" w:rsidP="00353B80">
      <w:pPr>
        <w:pStyle w:val="Firm5L3"/>
        <w:keepNext/>
      </w:pPr>
      <w:r w:rsidRPr="00992199">
        <w:t>Sales</w:t>
      </w:r>
    </w:p>
    <w:p w:rsidR="003F0BC5" w:rsidRPr="00992199" w:rsidRDefault="003F0BC5" w:rsidP="003F0BC5">
      <w:pPr>
        <w:rPr>
          <w:szCs w:val="20"/>
        </w:rPr>
      </w:pPr>
      <w:r w:rsidRPr="00992199">
        <w:rPr>
          <w:szCs w:val="20"/>
        </w:rPr>
        <w:t xml:space="preserve">The </w:t>
      </w:r>
      <w:r w:rsidR="002A1AB1">
        <w:rPr>
          <w:szCs w:val="20"/>
        </w:rPr>
        <w:t>Greenyard Foods</w:t>
      </w:r>
      <w:r w:rsidRPr="00992199">
        <w:rPr>
          <w:szCs w:val="20"/>
        </w:rPr>
        <w:t xml:space="preserve"> Group’s </w:t>
      </w:r>
      <w:r w:rsidR="00A07615" w:rsidRPr="00992199">
        <w:rPr>
          <w:szCs w:val="20"/>
        </w:rPr>
        <w:t xml:space="preserve">sales </w:t>
      </w:r>
      <w:r w:rsidR="00EA66F3">
        <w:rPr>
          <w:szCs w:val="20"/>
        </w:rPr>
        <w:t>consist mainly of the sale</w:t>
      </w:r>
      <w:r w:rsidRPr="00992199">
        <w:rPr>
          <w:szCs w:val="20"/>
        </w:rPr>
        <w:t xml:space="preserve"> of frozen </w:t>
      </w:r>
      <w:r w:rsidR="00EA66F3">
        <w:rPr>
          <w:szCs w:val="20"/>
        </w:rPr>
        <w:t xml:space="preserve">and canned </w:t>
      </w:r>
      <w:r w:rsidR="00FE467C" w:rsidRPr="00FE467C">
        <w:rPr>
          <w:szCs w:val="20"/>
        </w:rPr>
        <w:t>fruit</w:t>
      </w:r>
      <w:r w:rsidR="00EA66F3">
        <w:rPr>
          <w:szCs w:val="20"/>
        </w:rPr>
        <w:t>s</w:t>
      </w:r>
      <w:r w:rsidR="00FE467C" w:rsidRPr="00FE467C">
        <w:rPr>
          <w:szCs w:val="20"/>
        </w:rPr>
        <w:t xml:space="preserve"> and vegetables</w:t>
      </w:r>
      <w:r w:rsidR="00EA66F3" w:rsidRPr="00EA66F3">
        <w:rPr>
          <w:szCs w:val="20"/>
        </w:rPr>
        <w:t xml:space="preserve"> and ready-to-eat vegetable-based food such as soups, sauces, dips and pasta dishes</w:t>
      </w:r>
      <w:r w:rsidRPr="00992199">
        <w:rPr>
          <w:szCs w:val="20"/>
        </w:rPr>
        <w:t>.</w:t>
      </w:r>
    </w:p>
    <w:tbl>
      <w:tblPr>
        <w:tblW w:w="5000" w:type="pct"/>
        <w:tblLook w:val="0000" w:firstRow="0" w:lastRow="0" w:firstColumn="0" w:lastColumn="0" w:noHBand="0" w:noVBand="0"/>
      </w:tblPr>
      <w:tblGrid>
        <w:gridCol w:w="5179"/>
        <w:gridCol w:w="2032"/>
        <w:gridCol w:w="2034"/>
      </w:tblGrid>
      <w:tr w:rsidR="009D174C" w:rsidRPr="009D174C" w:rsidTr="00AB62FC">
        <w:trPr>
          <w:trHeight w:val="20"/>
        </w:trPr>
        <w:tc>
          <w:tcPr>
            <w:tcW w:w="2801" w:type="pct"/>
            <w:shd w:val="clear" w:color="auto" w:fill="FFFFFF"/>
            <w:vAlign w:val="center"/>
          </w:tcPr>
          <w:p w:rsidR="009D174C" w:rsidRPr="009D174C" w:rsidRDefault="009D174C" w:rsidP="00AB62FC">
            <w:pPr>
              <w:keepNext/>
              <w:tabs>
                <w:tab w:val="right" w:leader="dot" w:pos="4536"/>
              </w:tabs>
              <w:spacing w:before="0" w:after="0"/>
              <w:jc w:val="left"/>
              <w:rPr>
                <w:i/>
                <w:sz w:val="18"/>
                <w:szCs w:val="18"/>
              </w:rPr>
            </w:pPr>
            <w:r w:rsidRPr="009D174C">
              <w:rPr>
                <w:i/>
                <w:sz w:val="18"/>
                <w:szCs w:val="18"/>
              </w:rPr>
              <w:t>(</w:t>
            </w:r>
            <w:r w:rsidR="00E53641">
              <w:rPr>
                <w:i/>
                <w:sz w:val="18"/>
                <w:szCs w:val="18"/>
              </w:rPr>
              <w:t>EUR </w:t>
            </w:r>
            <w:r w:rsidRPr="009D174C">
              <w:rPr>
                <w:i/>
                <w:sz w:val="18"/>
                <w:szCs w:val="18"/>
              </w:rPr>
              <w:t>in millions)</w:t>
            </w:r>
          </w:p>
        </w:tc>
        <w:tc>
          <w:tcPr>
            <w:tcW w:w="1099" w:type="pct"/>
            <w:shd w:val="clear" w:color="auto" w:fill="FFFFFF"/>
            <w:vAlign w:val="center"/>
          </w:tcPr>
          <w:p w:rsidR="009D174C" w:rsidRPr="009D174C" w:rsidRDefault="009D174C" w:rsidP="00AB62FC">
            <w:pPr>
              <w:pBdr>
                <w:bottom w:val="single" w:sz="4" w:space="1" w:color="auto"/>
              </w:pBdr>
              <w:spacing w:before="0" w:after="0"/>
              <w:jc w:val="center"/>
              <w:rPr>
                <w:b/>
                <w:sz w:val="18"/>
                <w:szCs w:val="18"/>
              </w:rPr>
            </w:pPr>
            <w:r w:rsidRPr="009D174C">
              <w:rPr>
                <w:b/>
                <w:sz w:val="18"/>
                <w:szCs w:val="18"/>
              </w:rPr>
              <w:t>Year ended</w:t>
            </w:r>
          </w:p>
          <w:p w:rsidR="009D174C" w:rsidRPr="009D174C" w:rsidRDefault="009D174C" w:rsidP="00AB62FC">
            <w:pPr>
              <w:pBdr>
                <w:bottom w:val="single" w:sz="4" w:space="1" w:color="auto"/>
              </w:pBdr>
              <w:spacing w:before="0" w:after="0"/>
              <w:jc w:val="center"/>
              <w:rPr>
                <w:b/>
                <w:sz w:val="18"/>
                <w:szCs w:val="18"/>
              </w:rPr>
            </w:pPr>
            <w:r w:rsidRPr="009D174C">
              <w:rPr>
                <w:b/>
                <w:sz w:val="18"/>
                <w:szCs w:val="18"/>
              </w:rPr>
              <w:t>31 March 2015</w:t>
            </w:r>
          </w:p>
        </w:tc>
        <w:tc>
          <w:tcPr>
            <w:tcW w:w="1100" w:type="pct"/>
            <w:shd w:val="clear" w:color="auto" w:fill="FFFFFF"/>
            <w:vAlign w:val="center"/>
          </w:tcPr>
          <w:p w:rsidR="009D174C" w:rsidRPr="009D174C" w:rsidRDefault="009D174C" w:rsidP="00AB62FC">
            <w:pPr>
              <w:pBdr>
                <w:bottom w:val="single" w:sz="4" w:space="1" w:color="auto"/>
              </w:pBdr>
              <w:spacing w:before="0" w:after="0"/>
              <w:jc w:val="center"/>
              <w:rPr>
                <w:b/>
                <w:sz w:val="18"/>
                <w:szCs w:val="18"/>
              </w:rPr>
            </w:pPr>
            <w:r w:rsidRPr="009D174C">
              <w:rPr>
                <w:b/>
                <w:sz w:val="18"/>
                <w:szCs w:val="18"/>
              </w:rPr>
              <w:t xml:space="preserve">Year ended </w:t>
            </w:r>
          </w:p>
          <w:p w:rsidR="009D174C" w:rsidRPr="009D174C" w:rsidRDefault="009D174C" w:rsidP="00AB62FC">
            <w:pPr>
              <w:pBdr>
                <w:bottom w:val="single" w:sz="4" w:space="1" w:color="auto"/>
              </w:pBdr>
              <w:spacing w:before="0" w:after="0"/>
              <w:jc w:val="center"/>
              <w:rPr>
                <w:b/>
                <w:sz w:val="18"/>
                <w:szCs w:val="18"/>
              </w:rPr>
            </w:pPr>
            <w:r w:rsidRPr="009D174C">
              <w:rPr>
                <w:b/>
                <w:sz w:val="18"/>
                <w:szCs w:val="18"/>
              </w:rPr>
              <w:t>31 March 2014</w:t>
            </w:r>
          </w:p>
        </w:tc>
      </w:tr>
      <w:tr w:rsidR="009D174C" w:rsidRPr="009D174C" w:rsidTr="00AB62FC">
        <w:trPr>
          <w:trHeight w:val="20"/>
        </w:trPr>
        <w:tc>
          <w:tcPr>
            <w:tcW w:w="2801" w:type="pct"/>
            <w:shd w:val="clear" w:color="auto" w:fill="auto"/>
            <w:noWrap/>
            <w:vAlign w:val="bottom"/>
          </w:tcPr>
          <w:p w:rsidR="009D174C" w:rsidRPr="009D174C" w:rsidRDefault="009D174C" w:rsidP="00AB62FC">
            <w:pPr>
              <w:tabs>
                <w:tab w:val="right" w:leader="dot" w:pos="4536"/>
              </w:tabs>
              <w:spacing w:before="0" w:after="0"/>
              <w:rPr>
                <w:sz w:val="18"/>
                <w:szCs w:val="18"/>
              </w:rPr>
            </w:pPr>
            <w:r w:rsidRPr="009D174C">
              <w:rPr>
                <w:sz w:val="18"/>
                <w:szCs w:val="18"/>
              </w:rPr>
              <w:t> </w:t>
            </w:r>
          </w:p>
        </w:tc>
        <w:tc>
          <w:tcPr>
            <w:tcW w:w="1099" w:type="pct"/>
            <w:shd w:val="clear" w:color="auto" w:fill="auto"/>
            <w:noWrap/>
            <w:vAlign w:val="bottom"/>
          </w:tcPr>
          <w:p w:rsidR="009D174C" w:rsidRPr="009D174C" w:rsidRDefault="009D174C" w:rsidP="00AB62FC">
            <w:pPr>
              <w:spacing w:before="0" w:after="0"/>
              <w:rPr>
                <w:sz w:val="18"/>
                <w:szCs w:val="18"/>
              </w:rPr>
            </w:pPr>
            <w:r w:rsidRPr="009D174C">
              <w:rPr>
                <w:sz w:val="18"/>
                <w:szCs w:val="18"/>
              </w:rPr>
              <w:t> </w:t>
            </w:r>
          </w:p>
        </w:tc>
        <w:tc>
          <w:tcPr>
            <w:tcW w:w="1100" w:type="pct"/>
            <w:shd w:val="clear" w:color="auto" w:fill="auto"/>
            <w:noWrap/>
            <w:vAlign w:val="bottom"/>
          </w:tcPr>
          <w:p w:rsidR="009D174C" w:rsidRPr="009D174C" w:rsidRDefault="009D174C" w:rsidP="00AB62FC">
            <w:pPr>
              <w:spacing w:before="0" w:after="0"/>
              <w:rPr>
                <w:sz w:val="18"/>
                <w:szCs w:val="18"/>
              </w:rPr>
            </w:pPr>
            <w:r w:rsidRPr="009D174C">
              <w:rPr>
                <w:sz w:val="18"/>
                <w:szCs w:val="18"/>
              </w:rPr>
              <w:t> </w:t>
            </w:r>
          </w:p>
        </w:tc>
      </w:tr>
      <w:tr w:rsidR="009D174C" w:rsidRPr="009D174C" w:rsidTr="00AB62FC">
        <w:trPr>
          <w:trHeight w:val="20"/>
        </w:trPr>
        <w:tc>
          <w:tcPr>
            <w:tcW w:w="2801" w:type="pct"/>
            <w:shd w:val="clear" w:color="auto" w:fill="auto"/>
            <w:noWrap/>
            <w:vAlign w:val="bottom"/>
          </w:tcPr>
          <w:p w:rsidR="009D174C" w:rsidRPr="009D174C" w:rsidRDefault="009D174C" w:rsidP="00AB62FC">
            <w:pPr>
              <w:tabs>
                <w:tab w:val="right" w:leader="dot" w:pos="4536"/>
              </w:tabs>
              <w:spacing w:before="0" w:after="0"/>
              <w:rPr>
                <w:sz w:val="18"/>
                <w:szCs w:val="18"/>
              </w:rPr>
            </w:pPr>
            <w:r w:rsidRPr="009D174C">
              <w:rPr>
                <w:sz w:val="18"/>
                <w:szCs w:val="18"/>
              </w:rPr>
              <w:t>Sales ‘Frozen’</w:t>
            </w:r>
            <w:r w:rsidRPr="009D174C">
              <w:rPr>
                <w:sz w:val="18"/>
                <w:szCs w:val="18"/>
              </w:rPr>
              <w:tab/>
            </w:r>
          </w:p>
        </w:tc>
        <w:tc>
          <w:tcPr>
            <w:tcW w:w="1099" w:type="pct"/>
            <w:shd w:val="clear" w:color="auto" w:fill="auto"/>
            <w:noWrap/>
            <w:vAlign w:val="bottom"/>
          </w:tcPr>
          <w:p w:rsidR="009D174C" w:rsidRPr="009D174C" w:rsidRDefault="009D174C" w:rsidP="00AB62FC">
            <w:pPr>
              <w:spacing w:before="0" w:after="0"/>
              <w:jc w:val="right"/>
              <w:rPr>
                <w:sz w:val="18"/>
                <w:szCs w:val="18"/>
              </w:rPr>
            </w:pPr>
            <w:r w:rsidRPr="009D174C">
              <w:rPr>
                <w:sz w:val="18"/>
                <w:szCs w:val="18"/>
              </w:rPr>
              <w:t>414.1</w:t>
            </w:r>
          </w:p>
        </w:tc>
        <w:tc>
          <w:tcPr>
            <w:tcW w:w="1100" w:type="pct"/>
            <w:shd w:val="clear" w:color="auto" w:fill="auto"/>
            <w:noWrap/>
            <w:vAlign w:val="bottom"/>
          </w:tcPr>
          <w:p w:rsidR="009D174C" w:rsidRPr="009D174C" w:rsidRDefault="009D174C" w:rsidP="00AB62FC">
            <w:pPr>
              <w:spacing w:before="0" w:after="0"/>
              <w:jc w:val="right"/>
              <w:rPr>
                <w:sz w:val="18"/>
                <w:szCs w:val="18"/>
              </w:rPr>
            </w:pPr>
            <w:r w:rsidRPr="009D174C">
              <w:rPr>
                <w:sz w:val="18"/>
                <w:szCs w:val="18"/>
              </w:rPr>
              <w:t>409.8</w:t>
            </w:r>
          </w:p>
        </w:tc>
      </w:tr>
      <w:tr w:rsidR="009D174C" w:rsidRPr="009D174C" w:rsidTr="00AB62FC">
        <w:trPr>
          <w:trHeight w:val="20"/>
        </w:trPr>
        <w:tc>
          <w:tcPr>
            <w:tcW w:w="2801" w:type="pct"/>
            <w:shd w:val="clear" w:color="auto" w:fill="auto"/>
            <w:noWrap/>
            <w:vAlign w:val="bottom"/>
          </w:tcPr>
          <w:p w:rsidR="009D174C" w:rsidRPr="009D174C" w:rsidRDefault="009D174C" w:rsidP="00AB62FC">
            <w:pPr>
              <w:tabs>
                <w:tab w:val="right" w:leader="dot" w:pos="4536"/>
              </w:tabs>
              <w:spacing w:before="0" w:after="0"/>
              <w:rPr>
                <w:sz w:val="18"/>
                <w:szCs w:val="18"/>
              </w:rPr>
            </w:pPr>
            <w:r w:rsidRPr="009D174C">
              <w:rPr>
                <w:sz w:val="18"/>
                <w:szCs w:val="18"/>
              </w:rPr>
              <w:t>Sales ‘Canned’</w:t>
            </w:r>
            <w:r w:rsidRPr="009D174C">
              <w:rPr>
                <w:sz w:val="18"/>
                <w:szCs w:val="18"/>
              </w:rPr>
              <w:tab/>
            </w:r>
          </w:p>
        </w:tc>
        <w:tc>
          <w:tcPr>
            <w:tcW w:w="1099" w:type="pct"/>
            <w:tcBorders>
              <w:bottom w:val="single" w:sz="8" w:space="0" w:color="auto"/>
            </w:tcBorders>
            <w:shd w:val="clear" w:color="auto" w:fill="auto"/>
            <w:noWrap/>
            <w:vAlign w:val="bottom"/>
          </w:tcPr>
          <w:p w:rsidR="009D174C" w:rsidRPr="009D174C" w:rsidRDefault="009D174C" w:rsidP="00AB62FC">
            <w:pPr>
              <w:spacing w:before="0" w:after="0"/>
              <w:jc w:val="right"/>
              <w:rPr>
                <w:sz w:val="18"/>
                <w:szCs w:val="18"/>
              </w:rPr>
            </w:pPr>
            <w:r w:rsidRPr="009D174C">
              <w:rPr>
                <w:sz w:val="18"/>
                <w:szCs w:val="18"/>
              </w:rPr>
              <w:t>221.2</w:t>
            </w:r>
          </w:p>
        </w:tc>
        <w:tc>
          <w:tcPr>
            <w:tcW w:w="1100" w:type="pct"/>
            <w:tcBorders>
              <w:bottom w:val="single" w:sz="8" w:space="0" w:color="auto"/>
            </w:tcBorders>
            <w:shd w:val="clear" w:color="auto" w:fill="auto"/>
            <w:noWrap/>
            <w:vAlign w:val="bottom"/>
          </w:tcPr>
          <w:p w:rsidR="009D174C" w:rsidRPr="009D174C" w:rsidRDefault="009D174C" w:rsidP="00AB62FC">
            <w:pPr>
              <w:spacing w:before="0" w:after="0"/>
              <w:jc w:val="right"/>
              <w:rPr>
                <w:sz w:val="18"/>
                <w:szCs w:val="18"/>
              </w:rPr>
            </w:pPr>
            <w:r w:rsidRPr="009D174C">
              <w:rPr>
                <w:sz w:val="18"/>
                <w:szCs w:val="18"/>
              </w:rPr>
              <w:t>213.3</w:t>
            </w:r>
          </w:p>
        </w:tc>
      </w:tr>
      <w:tr w:rsidR="009D174C" w:rsidRPr="00C530D5" w:rsidTr="00AB62FC">
        <w:trPr>
          <w:trHeight w:val="20"/>
        </w:trPr>
        <w:tc>
          <w:tcPr>
            <w:tcW w:w="2801" w:type="pct"/>
            <w:shd w:val="clear" w:color="auto" w:fill="auto"/>
            <w:noWrap/>
            <w:vAlign w:val="bottom"/>
          </w:tcPr>
          <w:p w:rsidR="009D174C" w:rsidRPr="009D174C" w:rsidRDefault="009D174C" w:rsidP="00AB62FC">
            <w:pPr>
              <w:tabs>
                <w:tab w:val="right" w:leader="dot" w:pos="4536"/>
              </w:tabs>
              <w:spacing w:before="0" w:after="0"/>
              <w:rPr>
                <w:b/>
                <w:sz w:val="18"/>
                <w:szCs w:val="18"/>
              </w:rPr>
            </w:pPr>
            <w:r w:rsidRPr="009D174C">
              <w:rPr>
                <w:b/>
                <w:sz w:val="18"/>
                <w:szCs w:val="18"/>
              </w:rPr>
              <w:t>Sales</w:t>
            </w:r>
          </w:p>
        </w:tc>
        <w:tc>
          <w:tcPr>
            <w:tcW w:w="1099" w:type="pct"/>
            <w:tcBorders>
              <w:top w:val="single" w:sz="8" w:space="0" w:color="auto"/>
              <w:bottom w:val="double" w:sz="4" w:space="0" w:color="auto"/>
            </w:tcBorders>
            <w:shd w:val="clear" w:color="auto" w:fill="auto"/>
            <w:noWrap/>
            <w:vAlign w:val="bottom"/>
          </w:tcPr>
          <w:p w:rsidR="009D174C" w:rsidRPr="009D174C" w:rsidRDefault="009D174C" w:rsidP="00AB62FC">
            <w:pPr>
              <w:spacing w:before="0" w:after="0"/>
              <w:jc w:val="right"/>
              <w:rPr>
                <w:b/>
                <w:sz w:val="18"/>
                <w:szCs w:val="18"/>
              </w:rPr>
            </w:pPr>
            <w:r w:rsidRPr="009D174C">
              <w:rPr>
                <w:b/>
                <w:sz w:val="18"/>
                <w:szCs w:val="18"/>
              </w:rPr>
              <w:t>635.4</w:t>
            </w:r>
          </w:p>
        </w:tc>
        <w:tc>
          <w:tcPr>
            <w:tcW w:w="1100" w:type="pct"/>
            <w:tcBorders>
              <w:top w:val="single" w:sz="8" w:space="0" w:color="auto"/>
              <w:bottom w:val="double" w:sz="4" w:space="0" w:color="auto"/>
            </w:tcBorders>
            <w:shd w:val="clear" w:color="auto" w:fill="auto"/>
            <w:noWrap/>
            <w:vAlign w:val="bottom"/>
          </w:tcPr>
          <w:p w:rsidR="009D174C" w:rsidRPr="004F5467" w:rsidRDefault="009D174C" w:rsidP="00AB62FC">
            <w:pPr>
              <w:spacing w:before="0" w:after="0"/>
              <w:jc w:val="right"/>
              <w:rPr>
                <w:b/>
                <w:sz w:val="18"/>
                <w:szCs w:val="18"/>
              </w:rPr>
            </w:pPr>
            <w:r w:rsidRPr="009D174C">
              <w:rPr>
                <w:b/>
                <w:sz w:val="18"/>
                <w:szCs w:val="18"/>
              </w:rPr>
              <w:t>623.1</w:t>
            </w:r>
          </w:p>
        </w:tc>
      </w:tr>
    </w:tbl>
    <w:p w:rsidR="003F0BC5" w:rsidRPr="00992199" w:rsidRDefault="003F0BC5" w:rsidP="003F0BC5">
      <w:pPr>
        <w:rPr>
          <w:szCs w:val="20"/>
        </w:rPr>
      </w:pPr>
      <w:r w:rsidRPr="00992199">
        <w:rPr>
          <w:szCs w:val="20"/>
        </w:rPr>
        <w:t xml:space="preserve">The </w:t>
      </w:r>
      <w:r w:rsidR="00A07615" w:rsidRPr="00992199">
        <w:rPr>
          <w:szCs w:val="20"/>
        </w:rPr>
        <w:t>increase of consolidated sales compared to the previous year (+2.0%) is</w:t>
      </w:r>
      <w:r w:rsidRPr="00992199">
        <w:rPr>
          <w:szCs w:val="20"/>
        </w:rPr>
        <w:t xml:space="preserve"> the combined effect of an increase of +1.1% in the Frozen Division and an increase of </w:t>
      </w:r>
      <w:r w:rsidR="00EE30F6">
        <w:rPr>
          <w:szCs w:val="20"/>
        </w:rPr>
        <w:t>+</w:t>
      </w:r>
      <w:r w:rsidRPr="00992199">
        <w:rPr>
          <w:szCs w:val="20"/>
        </w:rPr>
        <w:t>3.7% in the Canning Division. Exchange rate evolutions had a positive effect on the consolidated sales of 1.</w:t>
      </w:r>
      <w:r w:rsidR="005530FB">
        <w:rPr>
          <w:szCs w:val="20"/>
        </w:rPr>
        <w:t>3</w:t>
      </w:r>
      <w:r w:rsidRPr="00992199">
        <w:rPr>
          <w:szCs w:val="20"/>
        </w:rPr>
        <w:t>%.</w:t>
      </w:r>
    </w:p>
    <w:p w:rsidR="003F0BC5" w:rsidRPr="00992199" w:rsidRDefault="003F0BC5" w:rsidP="003F0BC5">
      <w:pPr>
        <w:rPr>
          <w:szCs w:val="20"/>
        </w:rPr>
      </w:pPr>
      <w:r w:rsidRPr="00992199">
        <w:rPr>
          <w:szCs w:val="20"/>
        </w:rPr>
        <w:t xml:space="preserve">The Frozen Division accounts for 65.2% of the consolidated sales. The sales increase by </w:t>
      </w:r>
      <w:r w:rsidR="00EE30F6">
        <w:rPr>
          <w:szCs w:val="20"/>
        </w:rPr>
        <w:t>+</w:t>
      </w:r>
      <w:r w:rsidRPr="00992199">
        <w:rPr>
          <w:szCs w:val="20"/>
        </w:rPr>
        <w:t xml:space="preserve">1.1% is the combined effect of a volume decrease, a positive portfolio mix effect and a positive exchange rate effect. Sales are impacted during eight months by the embargo from </w:t>
      </w:r>
      <w:smartTag w:uri="urn:schemas-microsoft-com:office:smarttags" w:element="country-region">
        <w:smartTag w:uri="urn:schemas-microsoft-com:office:smarttags" w:element="place">
          <w:r w:rsidRPr="00992199">
            <w:rPr>
              <w:szCs w:val="20"/>
            </w:rPr>
            <w:t>Russia</w:t>
          </w:r>
        </w:smartTag>
      </w:smartTag>
      <w:r w:rsidRPr="00992199">
        <w:rPr>
          <w:szCs w:val="20"/>
        </w:rPr>
        <w:t xml:space="preserve">, which became effective in August 2014. </w:t>
      </w:r>
      <w:smartTag w:uri="urn:schemas-microsoft-com:office:smarttags" w:element="country-region">
        <w:smartTag w:uri="urn:schemas-microsoft-com:office:smarttags" w:element="place">
          <w:r w:rsidRPr="00992199">
            <w:rPr>
              <w:szCs w:val="20"/>
            </w:rPr>
            <w:t>Russia</w:t>
          </w:r>
        </w:smartTag>
      </w:smartTag>
      <w:r w:rsidRPr="00992199">
        <w:rPr>
          <w:szCs w:val="20"/>
        </w:rPr>
        <w:t xml:space="preserve"> represents 1.7% of the sales of the Frozen Division.</w:t>
      </w:r>
    </w:p>
    <w:p w:rsidR="003F0BC5" w:rsidRPr="00992199" w:rsidRDefault="003F0BC5" w:rsidP="003F0BC5">
      <w:pPr>
        <w:rPr>
          <w:szCs w:val="20"/>
        </w:rPr>
      </w:pPr>
      <w:r w:rsidRPr="00992199">
        <w:rPr>
          <w:szCs w:val="20"/>
        </w:rPr>
        <w:t xml:space="preserve">The Canning Division accounts for 34.8% of the consolidated sales. Sales increased by +3.7% compared to the previous </w:t>
      </w:r>
      <w:r w:rsidR="00C56728">
        <w:rPr>
          <w:szCs w:val="20"/>
        </w:rPr>
        <w:t>financial year</w:t>
      </w:r>
      <w:r w:rsidR="00EE30F6">
        <w:rPr>
          <w:szCs w:val="20"/>
        </w:rPr>
        <w:t>, which is the combined effect of a volume increase and a positive portfolio mix effect</w:t>
      </w:r>
      <w:r w:rsidRPr="00992199">
        <w:rPr>
          <w:szCs w:val="20"/>
        </w:rPr>
        <w:t>.</w:t>
      </w:r>
    </w:p>
    <w:p w:rsidR="003F0BC5" w:rsidRPr="00992199" w:rsidRDefault="003F0BC5" w:rsidP="00353B80">
      <w:pPr>
        <w:pStyle w:val="Firm5L3"/>
        <w:keepNext/>
      </w:pPr>
      <w:r w:rsidRPr="00992199">
        <w:lastRenderedPageBreak/>
        <w:t>Operating Result</w:t>
      </w:r>
    </w:p>
    <w:tbl>
      <w:tblPr>
        <w:tblW w:w="5000" w:type="pct"/>
        <w:tblLook w:val="04A0" w:firstRow="1" w:lastRow="0" w:firstColumn="1" w:lastColumn="0" w:noHBand="0" w:noVBand="1"/>
      </w:tblPr>
      <w:tblGrid>
        <w:gridCol w:w="4023"/>
        <w:gridCol w:w="1742"/>
        <w:gridCol w:w="1740"/>
        <w:gridCol w:w="1740"/>
      </w:tblGrid>
      <w:tr w:rsidR="009D174C" w:rsidRPr="009D174C" w:rsidTr="00AB62FC">
        <w:trPr>
          <w:trHeight w:val="20"/>
        </w:trPr>
        <w:tc>
          <w:tcPr>
            <w:tcW w:w="2176" w:type="pct"/>
            <w:shd w:val="clear" w:color="auto" w:fill="auto"/>
            <w:vAlign w:val="center"/>
          </w:tcPr>
          <w:p w:rsidR="009D174C" w:rsidRPr="009D174C" w:rsidRDefault="009D174C" w:rsidP="00AB62FC">
            <w:pPr>
              <w:tabs>
                <w:tab w:val="right" w:leader="dot" w:pos="3402"/>
              </w:tabs>
              <w:spacing w:before="0" w:after="0"/>
              <w:rPr>
                <w:i/>
                <w:sz w:val="18"/>
                <w:szCs w:val="18"/>
              </w:rPr>
            </w:pPr>
            <w:r w:rsidRPr="009D174C">
              <w:rPr>
                <w:i/>
                <w:sz w:val="18"/>
                <w:szCs w:val="18"/>
              </w:rPr>
              <w:t>(</w:t>
            </w:r>
            <w:r w:rsidR="00E53641">
              <w:rPr>
                <w:i/>
                <w:sz w:val="18"/>
                <w:szCs w:val="18"/>
              </w:rPr>
              <w:t>EUR </w:t>
            </w:r>
            <w:r w:rsidRPr="009D174C">
              <w:rPr>
                <w:i/>
                <w:sz w:val="18"/>
                <w:szCs w:val="18"/>
              </w:rPr>
              <w:t>in millions)</w:t>
            </w:r>
          </w:p>
        </w:tc>
        <w:tc>
          <w:tcPr>
            <w:tcW w:w="942" w:type="pct"/>
            <w:shd w:val="clear" w:color="auto" w:fill="auto"/>
            <w:vAlign w:val="center"/>
          </w:tcPr>
          <w:p w:rsidR="009D174C" w:rsidRPr="009D174C" w:rsidRDefault="009D174C" w:rsidP="00AB62FC">
            <w:pPr>
              <w:pBdr>
                <w:bottom w:val="single" w:sz="4" w:space="1" w:color="auto"/>
              </w:pBdr>
              <w:spacing w:before="0" w:after="0"/>
              <w:jc w:val="center"/>
              <w:rPr>
                <w:b/>
                <w:sz w:val="18"/>
                <w:szCs w:val="18"/>
              </w:rPr>
            </w:pPr>
            <w:r w:rsidRPr="009D174C">
              <w:rPr>
                <w:b/>
                <w:sz w:val="18"/>
                <w:szCs w:val="18"/>
              </w:rPr>
              <w:t>Year ended March 2015</w:t>
            </w:r>
          </w:p>
        </w:tc>
        <w:tc>
          <w:tcPr>
            <w:tcW w:w="941" w:type="pct"/>
            <w:shd w:val="clear" w:color="auto" w:fill="auto"/>
            <w:vAlign w:val="center"/>
          </w:tcPr>
          <w:p w:rsidR="009D174C" w:rsidRPr="009D174C" w:rsidRDefault="009D174C" w:rsidP="00AB62FC">
            <w:pPr>
              <w:pBdr>
                <w:bottom w:val="single" w:sz="4" w:space="1" w:color="auto"/>
              </w:pBdr>
              <w:spacing w:before="0" w:after="0"/>
              <w:jc w:val="center"/>
              <w:rPr>
                <w:b/>
                <w:sz w:val="18"/>
                <w:szCs w:val="18"/>
              </w:rPr>
            </w:pPr>
            <w:r w:rsidRPr="009D174C">
              <w:rPr>
                <w:b/>
                <w:sz w:val="18"/>
                <w:szCs w:val="18"/>
              </w:rPr>
              <w:t>Year ended March 2014</w:t>
            </w:r>
          </w:p>
        </w:tc>
        <w:tc>
          <w:tcPr>
            <w:tcW w:w="941" w:type="pct"/>
            <w:shd w:val="clear" w:color="auto" w:fill="auto"/>
            <w:vAlign w:val="center"/>
          </w:tcPr>
          <w:p w:rsidR="009D174C" w:rsidRPr="009D174C" w:rsidRDefault="009D174C" w:rsidP="00AB62FC">
            <w:pPr>
              <w:pBdr>
                <w:bottom w:val="single" w:sz="4" w:space="1" w:color="auto"/>
              </w:pBdr>
              <w:spacing w:before="0" w:after="0"/>
              <w:jc w:val="center"/>
              <w:rPr>
                <w:b/>
                <w:sz w:val="18"/>
                <w:szCs w:val="18"/>
              </w:rPr>
            </w:pPr>
          </w:p>
          <w:p w:rsidR="009D174C" w:rsidRPr="009D174C" w:rsidRDefault="009D174C" w:rsidP="00AB62FC">
            <w:pPr>
              <w:pBdr>
                <w:bottom w:val="single" w:sz="4" w:space="1" w:color="auto"/>
              </w:pBdr>
              <w:spacing w:before="0" w:after="0"/>
              <w:jc w:val="center"/>
              <w:rPr>
                <w:b/>
                <w:sz w:val="18"/>
                <w:szCs w:val="18"/>
              </w:rPr>
            </w:pPr>
            <w:r w:rsidRPr="009D174C">
              <w:rPr>
                <w:b/>
                <w:sz w:val="18"/>
                <w:szCs w:val="18"/>
              </w:rPr>
              <w:t>Evolution</w:t>
            </w:r>
          </w:p>
        </w:tc>
      </w:tr>
      <w:tr w:rsidR="009D174C" w:rsidRPr="009D174C" w:rsidTr="00AB62FC">
        <w:trPr>
          <w:trHeight w:val="20"/>
        </w:trPr>
        <w:tc>
          <w:tcPr>
            <w:tcW w:w="2176" w:type="pct"/>
            <w:shd w:val="clear" w:color="auto" w:fill="auto"/>
            <w:vAlign w:val="center"/>
          </w:tcPr>
          <w:p w:rsidR="009D174C" w:rsidRPr="009D174C" w:rsidRDefault="009D174C" w:rsidP="00AB62FC">
            <w:pPr>
              <w:tabs>
                <w:tab w:val="right" w:leader="dot" w:pos="3402"/>
              </w:tabs>
              <w:spacing w:before="0" w:after="0"/>
              <w:rPr>
                <w:rFonts w:eastAsia="Calibri"/>
                <w:sz w:val="18"/>
                <w:szCs w:val="18"/>
              </w:rPr>
            </w:pPr>
            <w:r w:rsidRPr="009D174C">
              <w:rPr>
                <w:rFonts w:eastAsia="Calibri"/>
                <w:sz w:val="18"/>
                <w:szCs w:val="18"/>
              </w:rPr>
              <w:t xml:space="preserve">Sales </w:t>
            </w:r>
            <w:r w:rsidRPr="009D174C">
              <w:rPr>
                <w:rFonts w:eastAsia="Calibri"/>
                <w:sz w:val="18"/>
                <w:szCs w:val="18"/>
              </w:rPr>
              <w:tab/>
            </w:r>
          </w:p>
        </w:tc>
        <w:tc>
          <w:tcPr>
            <w:tcW w:w="942" w:type="pct"/>
            <w:shd w:val="clear" w:color="auto" w:fill="auto"/>
            <w:vAlign w:val="center"/>
          </w:tcPr>
          <w:p w:rsidR="009D174C" w:rsidRPr="009D174C" w:rsidRDefault="009D174C" w:rsidP="00AB62FC">
            <w:pPr>
              <w:spacing w:before="0" w:after="0"/>
              <w:jc w:val="right"/>
              <w:rPr>
                <w:rFonts w:eastAsia="Calibri"/>
                <w:sz w:val="18"/>
                <w:szCs w:val="18"/>
              </w:rPr>
            </w:pPr>
            <w:r w:rsidRPr="009D174C">
              <w:rPr>
                <w:rFonts w:eastAsia="Calibri"/>
                <w:sz w:val="18"/>
                <w:szCs w:val="18"/>
              </w:rPr>
              <w:t>635.4</w:t>
            </w:r>
          </w:p>
        </w:tc>
        <w:tc>
          <w:tcPr>
            <w:tcW w:w="941" w:type="pct"/>
            <w:shd w:val="clear" w:color="auto" w:fill="auto"/>
            <w:vAlign w:val="center"/>
          </w:tcPr>
          <w:p w:rsidR="009D174C" w:rsidRPr="009D174C" w:rsidRDefault="009D174C" w:rsidP="00AB62FC">
            <w:pPr>
              <w:spacing w:before="0" w:after="0"/>
              <w:jc w:val="right"/>
              <w:rPr>
                <w:rFonts w:eastAsia="Calibri"/>
                <w:sz w:val="18"/>
                <w:szCs w:val="18"/>
              </w:rPr>
            </w:pPr>
            <w:r w:rsidRPr="009D174C">
              <w:rPr>
                <w:rFonts w:eastAsia="Calibri"/>
                <w:sz w:val="18"/>
                <w:szCs w:val="18"/>
              </w:rPr>
              <w:t>623.1</w:t>
            </w:r>
          </w:p>
        </w:tc>
        <w:tc>
          <w:tcPr>
            <w:tcW w:w="941" w:type="pct"/>
            <w:shd w:val="clear" w:color="auto" w:fill="auto"/>
            <w:vAlign w:val="center"/>
          </w:tcPr>
          <w:p w:rsidR="009D174C" w:rsidRPr="009D174C" w:rsidRDefault="009D174C" w:rsidP="00AB62FC">
            <w:pPr>
              <w:spacing w:before="0" w:after="0"/>
              <w:jc w:val="right"/>
              <w:rPr>
                <w:rFonts w:eastAsia="Calibri"/>
                <w:sz w:val="18"/>
                <w:szCs w:val="18"/>
              </w:rPr>
            </w:pPr>
            <w:r w:rsidRPr="009D174C">
              <w:rPr>
                <w:rFonts w:eastAsia="Calibri"/>
                <w:sz w:val="18"/>
                <w:szCs w:val="18"/>
              </w:rPr>
              <w:t>+1.97%</w:t>
            </w:r>
          </w:p>
        </w:tc>
      </w:tr>
      <w:tr w:rsidR="009D174C" w:rsidRPr="009D174C" w:rsidTr="00AB62FC">
        <w:trPr>
          <w:trHeight w:val="20"/>
        </w:trPr>
        <w:tc>
          <w:tcPr>
            <w:tcW w:w="2176" w:type="pct"/>
            <w:shd w:val="clear" w:color="auto" w:fill="auto"/>
            <w:vAlign w:val="center"/>
          </w:tcPr>
          <w:p w:rsidR="009D174C" w:rsidRPr="009D174C" w:rsidRDefault="009D174C" w:rsidP="00AB62FC">
            <w:pPr>
              <w:tabs>
                <w:tab w:val="right" w:leader="dot" w:pos="3402"/>
              </w:tabs>
              <w:spacing w:before="0" w:after="0"/>
              <w:rPr>
                <w:sz w:val="18"/>
                <w:szCs w:val="18"/>
              </w:rPr>
            </w:pPr>
            <w:r w:rsidRPr="009D174C">
              <w:rPr>
                <w:sz w:val="18"/>
                <w:szCs w:val="18"/>
              </w:rPr>
              <w:t>REBITDA</w:t>
            </w:r>
            <w:r w:rsidRPr="009D174C">
              <w:rPr>
                <w:sz w:val="18"/>
                <w:szCs w:val="18"/>
              </w:rPr>
              <w:tab/>
            </w:r>
          </w:p>
        </w:tc>
        <w:tc>
          <w:tcPr>
            <w:tcW w:w="942" w:type="pct"/>
            <w:shd w:val="clear" w:color="auto" w:fill="auto"/>
            <w:vAlign w:val="center"/>
          </w:tcPr>
          <w:p w:rsidR="009D174C" w:rsidRPr="009D174C" w:rsidRDefault="009D174C" w:rsidP="00AB62FC">
            <w:pPr>
              <w:spacing w:before="0" w:after="0"/>
              <w:jc w:val="right"/>
              <w:rPr>
                <w:sz w:val="18"/>
                <w:szCs w:val="18"/>
              </w:rPr>
            </w:pPr>
            <w:r w:rsidRPr="009D174C">
              <w:rPr>
                <w:sz w:val="18"/>
                <w:szCs w:val="18"/>
              </w:rPr>
              <w:t>62.6</w:t>
            </w:r>
          </w:p>
        </w:tc>
        <w:tc>
          <w:tcPr>
            <w:tcW w:w="941" w:type="pct"/>
            <w:shd w:val="clear" w:color="auto" w:fill="auto"/>
            <w:vAlign w:val="center"/>
          </w:tcPr>
          <w:p w:rsidR="009D174C" w:rsidRPr="009D174C" w:rsidRDefault="009D174C" w:rsidP="00AB62FC">
            <w:pPr>
              <w:spacing w:before="0" w:after="0"/>
              <w:jc w:val="right"/>
              <w:rPr>
                <w:sz w:val="18"/>
                <w:szCs w:val="18"/>
              </w:rPr>
            </w:pPr>
            <w:r w:rsidRPr="009D174C">
              <w:rPr>
                <w:sz w:val="18"/>
                <w:szCs w:val="18"/>
              </w:rPr>
              <w:t>51.4</w:t>
            </w:r>
          </w:p>
        </w:tc>
        <w:tc>
          <w:tcPr>
            <w:tcW w:w="941" w:type="pct"/>
            <w:shd w:val="clear" w:color="auto" w:fill="auto"/>
            <w:vAlign w:val="center"/>
          </w:tcPr>
          <w:p w:rsidR="009D174C" w:rsidRPr="009D174C" w:rsidRDefault="009D174C" w:rsidP="00AB62FC">
            <w:pPr>
              <w:spacing w:before="0" w:after="0"/>
              <w:jc w:val="right"/>
              <w:rPr>
                <w:sz w:val="18"/>
                <w:szCs w:val="18"/>
              </w:rPr>
            </w:pPr>
            <w:r w:rsidRPr="009D174C">
              <w:rPr>
                <w:sz w:val="18"/>
                <w:szCs w:val="18"/>
              </w:rPr>
              <w:t>+21.61%</w:t>
            </w:r>
          </w:p>
        </w:tc>
      </w:tr>
      <w:tr w:rsidR="009D174C" w:rsidRPr="009D174C" w:rsidTr="00AB62FC">
        <w:trPr>
          <w:trHeight w:val="20"/>
        </w:trPr>
        <w:tc>
          <w:tcPr>
            <w:tcW w:w="2176" w:type="pct"/>
            <w:shd w:val="clear" w:color="auto" w:fill="auto"/>
            <w:vAlign w:val="center"/>
          </w:tcPr>
          <w:p w:rsidR="009D174C" w:rsidRPr="009D174C" w:rsidRDefault="009D174C" w:rsidP="00AB62FC">
            <w:pPr>
              <w:tabs>
                <w:tab w:val="right" w:leader="dot" w:pos="3402"/>
              </w:tabs>
              <w:spacing w:before="0" w:after="0"/>
              <w:rPr>
                <w:sz w:val="18"/>
                <w:szCs w:val="18"/>
              </w:rPr>
            </w:pPr>
            <w:r w:rsidRPr="009D174C">
              <w:rPr>
                <w:sz w:val="18"/>
                <w:szCs w:val="18"/>
              </w:rPr>
              <w:t>REBITDA%</w:t>
            </w:r>
            <w:r w:rsidRPr="009D174C">
              <w:rPr>
                <w:sz w:val="18"/>
                <w:szCs w:val="18"/>
              </w:rPr>
              <w:tab/>
            </w:r>
          </w:p>
        </w:tc>
        <w:tc>
          <w:tcPr>
            <w:tcW w:w="942" w:type="pct"/>
            <w:shd w:val="clear" w:color="auto" w:fill="auto"/>
            <w:vAlign w:val="center"/>
          </w:tcPr>
          <w:p w:rsidR="009D174C" w:rsidRPr="009D174C" w:rsidRDefault="009D174C" w:rsidP="00AB62FC">
            <w:pPr>
              <w:spacing w:before="0" w:after="0"/>
              <w:jc w:val="right"/>
              <w:rPr>
                <w:sz w:val="18"/>
                <w:szCs w:val="18"/>
              </w:rPr>
            </w:pPr>
            <w:r w:rsidRPr="009D174C">
              <w:rPr>
                <w:sz w:val="18"/>
                <w:szCs w:val="18"/>
              </w:rPr>
              <w:t>9,85%</w:t>
            </w:r>
          </w:p>
        </w:tc>
        <w:tc>
          <w:tcPr>
            <w:tcW w:w="941" w:type="pct"/>
            <w:shd w:val="clear" w:color="auto" w:fill="auto"/>
            <w:vAlign w:val="center"/>
          </w:tcPr>
          <w:p w:rsidR="009D174C" w:rsidRPr="009D174C" w:rsidRDefault="009D174C" w:rsidP="00AB62FC">
            <w:pPr>
              <w:spacing w:before="0" w:after="0"/>
              <w:jc w:val="right"/>
              <w:rPr>
                <w:sz w:val="18"/>
                <w:szCs w:val="18"/>
              </w:rPr>
            </w:pPr>
            <w:r w:rsidRPr="009D174C">
              <w:rPr>
                <w:sz w:val="18"/>
                <w:szCs w:val="18"/>
              </w:rPr>
              <w:t>8,26%</w:t>
            </w:r>
          </w:p>
        </w:tc>
        <w:tc>
          <w:tcPr>
            <w:tcW w:w="941" w:type="pct"/>
            <w:shd w:val="clear" w:color="auto" w:fill="auto"/>
            <w:vAlign w:val="center"/>
          </w:tcPr>
          <w:p w:rsidR="009D174C" w:rsidRPr="009D174C" w:rsidRDefault="009D174C" w:rsidP="00AB62FC">
            <w:pPr>
              <w:spacing w:before="0" w:after="0"/>
              <w:jc w:val="right"/>
              <w:rPr>
                <w:sz w:val="18"/>
                <w:szCs w:val="18"/>
              </w:rPr>
            </w:pPr>
            <w:r w:rsidRPr="009D174C">
              <w:rPr>
                <w:sz w:val="18"/>
                <w:szCs w:val="18"/>
              </w:rPr>
              <w:t> </w:t>
            </w:r>
          </w:p>
        </w:tc>
      </w:tr>
      <w:tr w:rsidR="009D174C" w:rsidRPr="009D174C" w:rsidTr="00AB62FC">
        <w:trPr>
          <w:trHeight w:val="20"/>
        </w:trPr>
        <w:tc>
          <w:tcPr>
            <w:tcW w:w="2176" w:type="pct"/>
            <w:shd w:val="clear" w:color="auto" w:fill="auto"/>
            <w:vAlign w:val="center"/>
          </w:tcPr>
          <w:p w:rsidR="009D174C" w:rsidRPr="009D174C" w:rsidRDefault="009D174C" w:rsidP="00AB62FC">
            <w:pPr>
              <w:tabs>
                <w:tab w:val="right" w:leader="dot" w:pos="3402"/>
              </w:tabs>
              <w:spacing w:before="0" w:after="0"/>
              <w:rPr>
                <w:sz w:val="18"/>
                <w:szCs w:val="18"/>
              </w:rPr>
            </w:pPr>
            <w:r w:rsidRPr="009D174C">
              <w:rPr>
                <w:sz w:val="18"/>
                <w:szCs w:val="18"/>
              </w:rPr>
              <w:t>REBIT</w:t>
            </w:r>
            <w:r w:rsidRPr="009D174C">
              <w:rPr>
                <w:sz w:val="18"/>
                <w:szCs w:val="18"/>
              </w:rPr>
              <w:tab/>
            </w:r>
          </w:p>
        </w:tc>
        <w:tc>
          <w:tcPr>
            <w:tcW w:w="942" w:type="pct"/>
            <w:shd w:val="clear" w:color="auto" w:fill="auto"/>
            <w:vAlign w:val="center"/>
          </w:tcPr>
          <w:p w:rsidR="009D174C" w:rsidRPr="009D174C" w:rsidRDefault="009D174C" w:rsidP="00AB62FC">
            <w:pPr>
              <w:spacing w:before="0" w:after="0"/>
              <w:jc w:val="right"/>
              <w:rPr>
                <w:sz w:val="18"/>
                <w:szCs w:val="18"/>
              </w:rPr>
            </w:pPr>
            <w:r w:rsidRPr="009D174C">
              <w:rPr>
                <w:sz w:val="18"/>
                <w:szCs w:val="18"/>
              </w:rPr>
              <w:t>29.9</w:t>
            </w:r>
          </w:p>
        </w:tc>
        <w:tc>
          <w:tcPr>
            <w:tcW w:w="941" w:type="pct"/>
            <w:shd w:val="clear" w:color="auto" w:fill="auto"/>
            <w:vAlign w:val="center"/>
          </w:tcPr>
          <w:p w:rsidR="009D174C" w:rsidRPr="009D174C" w:rsidRDefault="009D174C" w:rsidP="00AB62FC">
            <w:pPr>
              <w:spacing w:before="0" w:after="0"/>
              <w:jc w:val="right"/>
              <w:rPr>
                <w:sz w:val="18"/>
                <w:szCs w:val="18"/>
              </w:rPr>
            </w:pPr>
            <w:r w:rsidRPr="009D174C">
              <w:rPr>
                <w:sz w:val="18"/>
                <w:szCs w:val="18"/>
              </w:rPr>
              <w:t>25.6</w:t>
            </w:r>
          </w:p>
        </w:tc>
        <w:tc>
          <w:tcPr>
            <w:tcW w:w="941" w:type="pct"/>
            <w:shd w:val="clear" w:color="auto" w:fill="auto"/>
            <w:vAlign w:val="center"/>
          </w:tcPr>
          <w:p w:rsidR="009D174C" w:rsidRPr="009D174C" w:rsidRDefault="009D174C" w:rsidP="00AB62FC">
            <w:pPr>
              <w:spacing w:before="0" w:after="0"/>
              <w:jc w:val="right"/>
              <w:rPr>
                <w:sz w:val="18"/>
                <w:szCs w:val="18"/>
              </w:rPr>
            </w:pPr>
            <w:r w:rsidRPr="009D174C">
              <w:rPr>
                <w:sz w:val="18"/>
                <w:szCs w:val="18"/>
              </w:rPr>
              <w:t>+16.93%</w:t>
            </w:r>
          </w:p>
        </w:tc>
      </w:tr>
      <w:tr w:rsidR="009D174C" w:rsidRPr="009D174C" w:rsidTr="00AB62FC">
        <w:trPr>
          <w:trHeight w:val="20"/>
        </w:trPr>
        <w:tc>
          <w:tcPr>
            <w:tcW w:w="2176" w:type="pct"/>
            <w:shd w:val="clear" w:color="auto" w:fill="auto"/>
            <w:vAlign w:val="center"/>
          </w:tcPr>
          <w:p w:rsidR="009D174C" w:rsidRPr="009D174C" w:rsidRDefault="009D174C" w:rsidP="00AB62FC">
            <w:pPr>
              <w:tabs>
                <w:tab w:val="right" w:leader="dot" w:pos="3402"/>
              </w:tabs>
              <w:spacing w:before="0" w:after="0"/>
              <w:rPr>
                <w:sz w:val="18"/>
                <w:szCs w:val="18"/>
              </w:rPr>
            </w:pPr>
            <w:r w:rsidRPr="009D174C">
              <w:rPr>
                <w:sz w:val="18"/>
                <w:szCs w:val="18"/>
              </w:rPr>
              <w:t>Non-recurring income</w:t>
            </w:r>
            <w:r w:rsidRPr="009D174C">
              <w:rPr>
                <w:sz w:val="18"/>
                <w:szCs w:val="18"/>
              </w:rPr>
              <w:tab/>
            </w:r>
          </w:p>
        </w:tc>
        <w:tc>
          <w:tcPr>
            <w:tcW w:w="942" w:type="pct"/>
            <w:shd w:val="clear" w:color="auto" w:fill="auto"/>
            <w:vAlign w:val="center"/>
          </w:tcPr>
          <w:p w:rsidR="009D174C" w:rsidRPr="009D174C" w:rsidRDefault="009D174C" w:rsidP="00AB62FC">
            <w:pPr>
              <w:spacing w:before="0" w:after="0"/>
              <w:jc w:val="right"/>
              <w:rPr>
                <w:sz w:val="18"/>
                <w:szCs w:val="18"/>
              </w:rPr>
            </w:pPr>
            <w:r w:rsidRPr="009D174C">
              <w:rPr>
                <w:sz w:val="18"/>
                <w:szCs w:val="18"/>
              </w:rPr>
              <w:t>0.4</w:t>
            </w:r>
          </w:p>
        </w:tc>
        <w:tc>
          <w:tcPr>
            <w:tcW w:w="941" w:type="pct"/>
            <w:shd w:val="clear" w:color="auto" w:fill="auto"/>
            <w:vAlign w:val="center"/>
          </w:tcPr>
          <w:p w:rsidR="009D174C" w:rsidRPr="009D174C" w:rsidRDefault="009D174C" w:rsidP="00AB62FC">
            <w:pPr>
              <w:spacing w:before="0" w:after="0"/>
              <w:jc w:val="right"/>
              <w:rPr>
                <w:sz w:val="18"/>
                <w:szCs w:val="18"/>
              </w:rPr>
            </w:pPr>
            <w:r w:rsidRPr="009D174C">
              <w:rPr>
                <w:sz w:val="18"/>
                <w:szCs w:val="18"/>
              </w:rPr>
              <w:t> -</w:t>
            </w:r>
          </w:p>
        </w:tc>
        <w:tc>
          <w:tcPr>
            <w:tcW w:w="941" w:type="pct"/>
            <w:shd w:val="clear" w:color="auto" w:fill="auto"/>
            <w:vAlign w:val="center"/>
          </w:tcPr>
          <w:p w:rsidR="009D174C" w:rsidRPr="009D174C" w:rsidRDefault="009D174C" w:rsidP="00AB62FC">
            <w:pPr>
              <w:spacing w:before="0" w:after="0"/>
              <w:jc w:val="right"/>
              <w:rPr>
                <w:sz w:val="18"/>
                <w:szCs w:val="18"/>
              </w:rPr>
            </w:pPr>
            <w:r w:rsidRPr="009D174C">
              <w:rPr>
                <w:sz w:val="18"/>
                <w:szCs w:val="18"/>
              </w:rPr>
              <w:t> </w:t>
            </w:r>
          </w:p>
        </w:tc>
      </w:tr>
      <w:tr w:rsidR="009D174C" w:rsidRPr="009D174C" w:rsidTr="00AB62FC">
        <w:trPr>
          <w:trHeight w:val="20"/>
        </w:trPr>
        <w:tc>
          <w:tcPr>
            <w:tcW w:w="2176" w:type="pct"/>
            <w:shd w:val="clear" w:color="auto" w:fill="auto"/>
            <w:vAlign w:val="center"/>
          </w:tcPr>
          <w:p w:rsidR="009D174C" w:rsidRPr="009D174C" w:rsidRDefault="009D174C" w:rsidP="00AB62FC">
            <w:pPr>
              <w:tabs>
                <w:tab w:val="right" w:leader="dot" w:pos="3402"/>
              </w:tabs>
              <w:spacing w:before="0" w:after="0"/>
              <w:rPr>
                <w:sz w:val="18"/>
                <w:szCs w:val="18"/>
              </w:rPr>
            </w:pPr>
            <w:r w:rsidRPr="009D174C">
              <w:rPr>
                <w:sz w:val="18"/>
                <w:szCs w:val="18"/>
              </w:rPr>
              <w:t>Non-recurring expenses</w:t>
            </w:r>
            <w:r w:rsidRPr="009D174C">
              <w:rPr>
                <w:sz w:val="18"/>
                <w:szCs w:val="18"/>
              </w:rPr>
              <w:tab/>
            </w:r>
          </w:p>
        </w:tc>
        <w:tc>
          <w:tcPr>
            <w:tcW w:w="942" w:type="pct"/>
            <w:shd w:val="clear" w:color="auto" w:fill="auto"/>
            <w:vAlign w:val="center"/>
          </w:tcPr>
          <w:p w:rsidR="009D174C" w:rsidRPr="009D174C" w:rsidRDefault="009D174C" w:rsidP="00AB62FC">
            <w:pPr>
              <w:spacing w:before="0" w:after="0"/>
              <w:jc w:val="right"/>
              <w:rPr>
                <w:sz w:val="18"/>
                <w:szCs w:val="18"/>
              </w:rPr>
            </w:pPr>
            <w:r w:rsidRPr="009D174C">
              <w:rPr>
                <w:sz w:val="18"/>
                <w:szCs w:val="18"/>
              </w:rPr>
              <w:t>(2.8)</w:t>
            </w:r>
          </w:p>
        </w:tc>
        <w:tc>
          <w:tcPr>
            <w:tcW w:w="941" w:type="pct"/>
            <w:shd w:val="clear" w:color="auto" w:fill="auto"/>
            <w:vAlign w:val="center"/>
          </w:tcPr>
          <w:p w:rsidR="009D174C" w:rsidRPr="009D174C" w:rsidRDefault="009D174C" w:rsidP="00AB62FC">
            <w:pPr>
              <w:spacing w:before="0" w:after="0"/>
              <w:jc w:val="right"/>
              <w:rPr>
                <w:sz w:val="18"/>
                <w:szCs w:val="18"/>
              </w:rPr>
            </w:pPr>
            <w:r w:rsidRPr="009D174C">
              <w:rPr>
                <w:sz w:val="18"/>
                <w:szCs w:val="18"/>
              </w:rPr>
              <w:t>(4.9)</w:t>
            </w:r>
          </w:p>
        </w:tc>
        <w:tc>
          <w:tcPr>
            <w:tcW w:w="941" w:type="pct"/>
            <w:shd w:val="clear" w:color="auto" w:fill="auto"/>
            <w:vAlign w:val="center"/>
          </w:tcPr>
          <w:p w:rsidR="009D174C" w:rsidRPr="009D174C" w:rsidRDefault="009D174C" w:rsidP="00AB62FC">
            <w:pPr>
              <w:spacing w:before="0" w:after="0"/>
              <w:jc w:val="right"/>
              <w:rPr>
                <w:sz w:val="18"/>
                <w:szCs w:val="18"/>
              </w:rPr>
            </w:pPr>
            <w:r w:rsidRPr="009D174C">
              <w:rPr>
                <w:sz w:val="18"/>
                <w:szCs w:val="18"/>
              </w:rPr>
              <w:t> </w:t>
            </w:r>
          </w:p>
        </w:tc>
      </w:tr>
      <w:tr w:rsidR="009D174C" w:rsidRPr="009D174C" w:rsidTr="00AB62FC">
        <w:trPr>
          <w:trHeight w:val="20"/>
        </w:trPr>
        <w:tc>
          <w:tcPr>
            <w:tcW w:w="2176" w:type="pct"/>
            <w:shd w:val="clear" w:color="auto" w:fill="auto"/>
            <w:vAlign w:val="center"/>
          </w:tcPr>
          <w:p w:rsidR="009D174C" w:rsidRPr="009D174C" w:rsidRDefault="009D174C" w:rsidP="00AB62FC">
            <w:pPr>
              <w:tabs>
                <w:tab w:val="right" w:leader="dot" w:pos="3402"/>
              </w:tabs>
              <w:spacing w:before="0" w:after="0"/>
              <w:rPr>
                <w:sz w:val="18"/>
                <w:szCs w:val="18"/>
              </w:rPr>
            </w:pPr>
            <w:r w:rsidRPr="009D174C">
              <w:rPr>
                <w:sz w:val="18"/>
                <w:szCs w:val="18"/>
              </w:rPr>
              <w:t>EBIT</w:t>
            </w:r>
            <w:r w:rsidRPr="009D174C">
              <w:rPr>
                <w:sz w:val="18"/>
                <w:szCs w:val="18"/>
              </w:rPr>
              <w:tab/>
            </w:r>
          </w:p>
        </w:tc>
        <w:tc>
          <w:tcPr>
            <w:tcW w:w="942" w:type="pct"/>
            <w:shd w:val="clear" w:color="auto" w:fill="auto"/>
            <w:vAlign w:val="center"/>
          </w:tcPr>
          <w:p w:rsidR="009D174C" w:rsidRPr="009D174C" w:rsidRDefault="009D174C" w:rsidP="00AB62FC">
            <w:pPr>
              <w:spacing w:before="0" w:after="0"/>
              <w:jc w:val="right"/>
              <w:rPr>
                <w:sz w:val="18"/>
                <w:szCs w:val="18"/>
              </w:rPr>
            </w:pPr>
            <w:r w:rsidRPr="009D174C">
              <w:rPr>
                <w:sz w:val="18"/>
                <w:szCs w:val="18"/>
              </w:rPr>
              <w:t>27.5</w:t>
            </w:r>
          </w:p>
        </w:tc>
        <w:tc>
          <w:tcPr>
            <w:tcW w:w="941" w:type="pct"/>
            <w:shd w:val="clear" w:color="auto" w:fill="auto"/>
            <w:vAlign w:val="center"/>
          </w:tcPr>
          <w:p w:rsidR="009D174C" w:rsidRPr="009D174C" w:rsidRDefault="009D174C" w:rsidP="00AB62FC">
            <w:pPr>
              <w:spacing w:before="0" w:after="0"/>
              <w:jc w:val="right"/>
              <w:rPr>
                <w:sz w:val="18"/>
                <w:szCs w:val="18"/>
              </w:rPr>
            </w:pPr>
            <w:r w:rsidRPr="009D174C">
              <w:rPr>
                <w:sz w:val="18"/>
                <w:szCs w:val="18"/>
              </w:rPr>
              <w:t>20.7</w:t>
            </w:r>
          </w:p>
        </w:tc>
        <w:tc>
          <w:tcPr>
            <w:tcW w:w="941" w:type="pct"/>
            <w:shd w:val="clear" w:color="auto" w:fill="auto"/>
            <w:vAlign w:val="center"/>
          </w:tcPr>
          <w:p w:rsidR="009D174C" w:rsidRPr="009D174C" w:rsidRDefault="009D174C" w:rsidP="00AB62FC">
            <w:pPr>
              <w:spacing w:before="0" w:after="0"/>
              <w:jc w:val="right"/>
              <w:rPr>
                <w:sz w:val="18"/>
                <w:szCs w:val="18"/>
              </w:rPr>
            </w:pPr>
            <w:r w:rsidRPr="009D174C">
              <w:rPr>
                <w:sz w:val="18"/>
                <w:szCs w:val="18"/>
              </w:rPr>
              <w:t>+33.10%</w:t>
            </w:r>
          </w:p>
        </w:tc>
      </w:tr>
    </w:tbl>
    <w:p w:rsidR="003F0BC5" w:rsidRPr="00992199" w:rsidRDefault="003F0BC5" w:rsidP="003F0BC5">
      <w:pPr>
        <w:rPr>
          <w:szCs w:val="20"/>
        </w:rPr>
      </w:pPr>
      <w:r w:rsidRPr="009D174C">
        <w:rPr>
          <w:szCs w:val="20"/>
        </w:rPr>
        <w:t xml:space="preserve">Consolidated REBITDA grew by </w:t>
      </w:r>
      <w:r w:rsidR="00E53641">
        <w:rPr>
          <w:szCs w:val="20"/>
        </w:rPr>
        <w:t>EUR </w:t>
      </w:r>
      <w:r w:rsidRPr="009D174C">
        <w:rPr>
          <w:szCs w:val="20"/>
        </w:rPr>
        <w:t xml:space="preserve">11,100,000 (+21.6%) compared to the previous year. </w:t>
      </w:r>
      <w:r w:rsidR="00E53641">
        <w:rPr>
          <w:szCs w:val="20"/>
        </w:rPr>
        <w:t>EUR </w:t>
      </w:r>
      <w:r w:rsidRPr="009D174C">
        <w:rPr>
          <w:szCs w:val="20"/>
        </w:rPr>
        <w:t>5,900,000 of</w:t>
      </w:r>
      <w:r w:rsidRPr="00992199">
        <w:rPr>
          <w:szCs w:val="20"/>
        </w:rPr>
        <w:t xml:space="preserve"> this increase is due to the commercial and operational results in both divisions following better operational efficiencies and a stronger focus on portfolio mix. Ending the rent of production facilities following their acquisition had an impact of </w:t>
      </w:r>
      <w:r w:rsidR="00E53641">
        <w:rPr>
          <w:szCs w:val="20"/>
        </w:rPr>
        <w:t>EUR </w:t>
      </w:r>
      <w:r w:rsidRPr="00992199">
        <w:rPr>
          <w:szCs w:val="20"/>
        </w:rPr>
        <w:t>5,200,000 on REBITDA.</w:t>
      </w:r>
    </w:p>
    <w:p w:rsidR="003F0BC5" w:rsidRPr="00992199" w:rsidRDefault="003F0BC5" w:rsidP="003F0BC5">
      <w:pPr>
        <w:rPr>
          <w:szCs w:val="20"/>
        </w:rPr>
      </w:pPr>
      <w:r w:rsidRPr="00992199">
        <w:rPr>
          <w:szCs w:val="20"/>
        </w:rPr>
        <w:t xml:space="preserve">Consolidated REBIT increased by </w:t>
      </w:r>
      <w:r w:rsidR="00E53641">
        <w:rPr>
          <w:szCs w:val="20"/>
        </w:rPr>
        <w:t>EUR </w:t>
      </w:r>
      <w:r w:rsidRPr="00992199">
        <w:rPr>
          <w:szCs w:val="20"/>
        </w:rPr>
        <w:t>4,300,000 year on year. This increase can be nearly entirely explained by the commercial and operational results both in the Frozen and Canning Division.</w:t>
      </w:r>
    </w:p>
    <w:p w:rsidR="003F0BC5" w:rsidRPr="00992199" w:rsidRDefault="003F0BC5" w:rsidP="00353B80">
      <w:pPr>
        <w:pStyle w:val="Firm5L3"/>
        <w:keepNext/>
      </w:pPr>
      <w:r w:rsidRPr="00992199">
        <w:t>Capital expenditure</w:t>
      </w:r>
    </w:p>
    <w:p w:rsidR="00FE0802" w:rsidRPr="00FE0802" w:rsidRDefault="00FE0802" w:rsidP="00FE0802">
      <w:pPr>
        <w:rPr>
          <w:szCs w:val="20"/>
        </w:rPr>
      </w:pPr>
      <w:r w:rsidRPr="00FE0802">
        <w:rPr>
          <w:szCs w:val="20"/>
        </w:rPr>
        <w:t xml:space="preserve">The net book value of total tangible fixed assets of </w:t>
      </w:r>
      <w:r w:rsidR="002A1AB1">
        <w:rPr>
          <w:szCs w:val="20"/>
        </w:rPr>
        <w:t>Greenyard Foods</w:t>
      </w:r>
      <w:r w:rsidRPr="00FE0802">
        <w:rPr>
          <w:szCs w:val="20"/>
        </w:rPr>
        <w:t xml:space="preserve"> amounts to </w:t>
      </w:r>
      <w:r w:rsidR="00E53641">
        <w:rPr>
          <w:szCs w:val="20"/>
        </w:rPr>
        <w:t>EUR </w:t>
      </w:r>
      <w:r w:rsidRPr="00FE0802">
        <w:rPr>
          <w:szCs w:val="20"/>
        </w:rPr>
        <w:t>255,700,000 as at 31 March 2015, and consists of:</w:t>
      </w:r>
    </w:p>
    <w:tbl>
      <w:tblPr>
        <w:tblW w:w="0" w:type="auto"/>
        <w:tblLook w:val="04A0" w:firstRow="1" w:lastRow="0" w:firstColumn="1" w:lastColumn="0" w:noHBand="0" w:noVBand="1"/>
      </w:tblPr>
      <w:tblGrid>
        <w:gridCol w:w="7620"/>
        <w:gridCol w:w="1539"/>
      </w:tblGrid>
      <w:tr w:rsidR="009D174C" w:rsidRPr="009D174C" w:rsidTr="00AB62FC">
        <w:trPr>
          <w:trHeight w:val="493"/>
        </w:trPr>
        <w:tc>
          <w:tcPr>
            <w:tcW w:w="7620" w:type="dxa"/>
            <w:shd w:val="clear" w:color="auto" w:fill="auto"/>
            <w:vAlign w:val="center"/>
          </w:tcPr>
          <w:p w:rsidR="009D174C" w:rsidRPr="009D174C" w:rsidRDefault="009D174C" w:rsidP="00AB62FC">
            <w:pPr>
              <w:spacing w:before="0" w:after="0"/>
              <w:jc w:val="left"/>
              <w:rPr>
                <w:bCs/>
                <w:i/>
                <w:sz w:val="18"/>
                <w:szCs w:val="18"/>
              </w:rPr>
            </w:pPr>
            <w:r w:rsidRPr="009D174C">
              <w:rPr>
                <w:bCs/>
                <w:i/>
                <w:sz w:val="18"/>
                <w:szCs w:val="18"/>
              </w:rPr>
              <w:t>(</w:t>
            </w:r>
            <w:r w:rsidR="00E53641">
              <w:rPr>
                <w:bCs/>
                <w:i/>
                <w:sz w:val="18"/>
                <w:szCs w:val="18"/>
              </w:rPr>
              <w:t>EUR </w:t>
            </w:r>
            <w:r w:rsidRPr="009D174C">
              <w:rPr>
                <w:bCs/>
                <w:i/>
                <w:sz w:val="18"/>
                <w:szCs w:val="18"/>
              </w:rPr>
              <w:t>in millions)</w:t>
            </w:r>
          </w:p>
        </w:tc>
        <w:tc>
          <w:tcPr>
            <w:tcW w:w="1539" w:type="dxa"/>
            <w:shd w:val="clear" w:color="auto" w:fill="auto"/>
            <w:vAlign w:val="bottom"/>
          </w:tcPr>
          <w:p w:rsidR="009D174C" w:rsidRPr="009D174C" w:rsidRDefault="009D174C" w:rsidP="00AB62FC">
            <w:pPr>
              <w:pBdr>
                <w:bottom w:val="single" w:sz="4" w:space="1" w:color="auto"/>
              </w:pBdr>
              <w:spacing w:before="0" w:after="0"/>
              <w:rPr>
                <w:b/>
                <w:bCs/>
                <w:sz w:val="18"/>
                <w:szCs w:val="18"/>
              </w:rPr>
            </w:pPr>
            <w:r w:rsidRPr="009D174C">
              <w:rPr>
                <w:b/>
                <w:bCs/>
                <w:sz w:val="18"/>
                <w:szCs w:val="18"/>
              </w:rPr>
              <w:br/>
              <w:t>31 March 2015</w:t>
            </w:r>
          </w:p>
        </w:tc>
      </w:tr>
      <w:tr w:rsidR="00EE30F6" w:rsidRPr="009D174C" w:rsidTr="00AB62FC">
        <w:trPr>
          <w:trHeight w:val="240"/>
        </w:trPr>
        <w:tc>
          <w:tcPr>
            <w:tcW w:w="7620" w:type="dxa"/>
            <w:shd w:val="clear" w:color="auto" w:fill="auto"/>
          </w:tcPr>
          <w:p w:rsidR="00EE30F6" w:rsidRPr="009D174C" w:rsidRDefault="00EE30F6" w:rsidP="00AB62FC">
            <w:pPr>
              <w:tabs>
                <w:tab w:val="right" w:leader="dot" w:pos="6555"/>
              </w:tabs>
              <w:spacing w:before="0" w:after="0"/>
              <w:rPr>
                <w:sz w:val="18"/>
                <w:szCs w:val="18"/>
              </w:rPr>
            </w:pPr>
            <w:r w:rsidRPr="009D174C">
              <w:rPr>
                <w:sz w:val="18"/>
                <w:szCs w:val="18"/>
              </w:rPr>
              <w:t>Land and Buildings</w:t>
            </w:r>
            <w:r w:rsidRPr="009D174C">
              <w:rPr>
                <w:sz w:val="18"/>
                <w:szCs w:val="18"/>
              </w:rPr>
              <w:tab/>
            </w:r>
          </w:p>
        </w:tc>
        <w:tc>
          <w:tcPr>
            <w:tcW w:w="1539" w:type="dxa"/>
            <w:shd w:val="clear" w:color="auto" w:fill="auto"/>
          </w:tcPr>
          <w:p w:rsidR="00EE30F6" w:rsidRPr="00EE30F6" w:rsidRDefault="00EE30F6" w:rsidP="00E53641">
            <w:pPr>
              <w:spacing w:before="0" w:after="0"/>
              <w:jc w:val="right"/>
              <w:rPr>
                <w:sz w:val="18"/>
                <w:szCs w:val="18"/>
              </w:rPr>
            </w:pPr>
            <w:r w:rsidRPr="00EE30F6">
              <w:rPr>
                <w:sz w:val="18"/>
                <w:szCs w:val="18"/>
              </w:rPr>
              <w:t>115.2</w:t>
            </w:r>
          </w:p>
        </w:tc>
      </w:tr>
      <w:tr w:rsidR="00EE30F6" w:rsidRPr="009D174C" w:rsidTr="00AB62FC">
        <w:trPr>
          <w:trHeight w:val="228"/>
        </w:trPr>
        <w:tc>
          <w:tcPr>
            <w:tcW w:w="7620" w:type="dxa"/>
            <w:shd w:val="clear" w:color="auto" w:fill="auto"/>
          </w:tcPr>
          <w:p w:rsidR="00EE30F6" w:rsidRPr="009D174C" w:rsidRDefault="00EE30F6" w:rsidP="00AB62FC">
            <w:pPr>
              <w:tabs>
                <w:tab w:val="right" w:leader="dot" w:pos="6555"/>
              </w:tabs>
              <w:spacing w:before="0" w:after="0"/>
              <w:rPr>
                <w:sz w:val="18"/>
                <w:szCs w:val="18"/>
              </w:rPr>
            </w:pPr>
            <w:r w:rsidRPr="009D174C">
              <w:rPr>
                <w:sz w:val="18"/>
                <w:szCs w:val="18"/>
              </w:rPr>
              <w:t>Plant, Machinery and equipment</w:t>
            </w:r>
            <w:r w:rsidRPr="009D174C">
              <w:rPr>
                <w:sz w:val="18"/>
                <w:szCs w:val="18"/>
              </w:rPr>
              <w:tab/>
            </w:r>
          </w:p>
        </w:tc>
        <w:tc>
          <w:tcPr>
            <w:tcW w:w="1539" w:type="dxa"/>
            <w:shd w:val="clear" w:color="auto" w:fill="auto"/>
          </w:tcPr>
          <w:p w:rsidR="00EE30F6" w:rsidRPr="00EE30F6" w:rsidRDefault="00EE30F6" w:rsidP="00E53641">
            <w:pPr>
              <w:spacing w:before="0" w:after="0"/>
              <w:jc w:val="right"/>
              <w:rPr>
                <w:sz w:val="18"/>
                <w:szCs w:val="18"/>
              </w:rPr>
            </w:pPr>
            <w:r w:rsidRPr="00EE30F6">
              <w:rPr>
                <w:sz w:val="18"/>
                <w:szCs w:val="18"/>
              </w:rPr>
              <w:t>133.0</w:t>
            </w:r>
          </w:p>
        </w:tc>
      </w:tr>
      <w:tr w:rsidR="00EE30F6" w:rsidRPr="009D174C" w:rsidTr="00AB62FC">
        <w:trPr>
          <w:trHeight w:val="228"/>
        </w:trPr>
        <w:tc>
          <w:tcPr>
            <w:tcW w:w="7620" w:type="dxa"/>
            <w:shd w:val="clear" w:color="auto" w:fill="auto"/>
          </w:tcPr>
          <w:p w:rsidR="00EE30F6" w:rsidRPr="009D174C" w:rsidRDefault="00EE30F6" w:rsidP="00AB62FC">
            <w:pPr>
              <w:tabs>
                <w:tab w:val="right" w:leader="dot" w:pos="6555"/>
              </w:tabs>
              <w:spacing w:before="0" w:after="0"/>
              <w:rPr>
                <w:sz w:val="18"/>
                <w:szCs w:val="18"/>
              </w:rPr>
            </w:pPr>
            <w:r w:rsidRPr="009D174C">
              <w:rPr>
                <w:sz w:val="18"/>
                <w:szCs w:val="18"/>
              </w:rPr>
              <w:t>Furniture and Vehicle</w:t>
            </w:r>
            <w:r w:rsidRPr="009D174C">
              <w:rPr>
                <w:sz w:val="18"/>
                <w:szCs w:val="18"/>
              </w:rPr>
              <w:tab/>
            </w:r>
            <w:r w:rsidRPr="009D174C">
              <w:rPr>
                <w:sz w:val="18"/>
                <w:szCs w:val="18"/>
              </w:rPr>
              <w:tab/>
            </w:r>
          </w:p>
        </w:tc>
        <w:tc>
          <w:tcPr>
            <w:tcW w:w="1539" w:type="dxa"/>
            <w:shd w:val="clear" w:color="auto" w:fill="auto"/>
          </w:tcPr>
          <w:p w:rsidR="00EE30F6" w:rsidRPr="00EE30F6" w:rsidRDefault="00EE30F6" w:rsidP="00E53641">
            <w:pPr>
              <w:spacing w:before="0" w:after="0"/>
              <w:jc w:val="right"/>
              <w:rPr>
                <w:sz w:val="18"/>
                <w:szCs w:val="18"/>
              </w:rPr>
            </w:pPr>
            <w:r w:rsidRPr="00EE30F6">
              <w:rPr>
                <w:sz w:val="18"/>
                <w:szCs w:val="18"/>
              </w:rPr>
              <w:t>2.4</w:t>
            </w:r>
          </w:p>
        </w:tc>
      </w:tr>
      <w:tr w:rsidR="00EE30F6" w:rsidRPr="009D174C" w:rsidTr="00AB62FC">
        <w:trPr>
          <w:trHeight w:val="228"/>
        </w:trPr>
        <w:tc>
          <w:tcPr>
            <w:tcW w:w="7620" w:type="dxa"/>
            <w:shd w:val="clear" w:color="auto" w:fill="auto"/>
          </w:tcPr>
          <w:p w:rsidR="00EE30F6" w:rsidRPr="009D174C" w:rsidRDefault="00EE30F6" w:rsidP="00AB62FC">
            <w:pPr>
              <w:tabs>
                <w:tab w:val="right" w:leader="dot" w:pos="6555"/>
              </w:tabs>
              <w:spacing w:before="0" w:after="0"/>
              <w:rPr>
                <w:sz w:val="18"/>
                <w:szCs w:val="18"/>
              </w:rPr>
            </w:pPr>
            <w:r w:rsidRPr="009D174C">
              <w:rPr>
                <w:sz w:val="18"/>
                <w:szCs w:val="18"/>
              </w:rPr>
              <w:t>Others</w:t>
            </w:r>
            <w:r w:rsidRPr="009D174C">
              <w:rPr>
                <w:sz w:val="18"/>
                <w:szCs w:val="18"/>
              </w:rPr>
              <w:tab/>
            </w:r>
            <w:r w:rsidRPr="009D174C">
              <w:rPr>
                <w:sz w:val="18"/>
                <w:szCs w:val="18"/>
              </w:rPr>
              <w:tab/>
            </w:r>
          </w:p>
        </w:tc>
        <w:tc>
          <w:tcPr>
            <w:tcW w:w="1539" w:type="dxa"/>
            <w:tcBorders>
              <w:bottom w:val="single" w:sz="4" w:space="0" w:color="auto"/>
            </w:tcBorders>
            <w:shd w:val="clear" w:color="auto" w:fill="auto"/>
          </w:tcPr>
          <w:p w:rsidR="00EE30F6" w:rsidRPr="00EE30F6" w:rsidRDefault="00EE30F6" w:rsidP="00E53641">
            <w:pPr>
              <w:tabs>
                <w:tab w:val="center" w:pos="612"/>
                <w:tab w:val="right" w:pos="1224"/>
              </w:tabs>
              <w:spacing w:before="0" w:after="0"/>
              <w:jc w:val="right"/>
              <w:rPr>
                <w:sz w:val="18"/>
                <w:szCs w:val="18"/>
              </w:rPr>
            </w:pPr>
            <w:r w:rsidRPr="00EE30F6">
              <w:rPr>
                <w:sz w:val="18"/>
                <w:szCs w:val="18"/>
              </w:rPr>
              <w:t>5.1</w:t>
            </w:r>
          </w:p>
        </w:tc>
      </w:tr>
      <w:tr w:rsidR="00EE30F6" w:rsidRPr="00833483" w:rsidTr="00AB62FC">
        <w:trPr>
          <w:trHeight w:val="228"/>
        </w:trPr>
        <w:tc>
          <w:tcPr>
            <w:tcW w:w="7620" w:type="dxa"/>
            <w:shd w:val="clear" w:color="auto" w:fill="auto"/>
          </w:tcPr>
          <w:p w:rsidR="00EE30F6" w:rsidRPr="009D174C" w:rsidRDefault="00EE30F6" w:rsidP="00AB62FC">
            <w:pPr>
              <w:tabs>
                <w:tab w:val="right" w:leader="dot" w:pos="6555"/>
              </w:tabs>
              <w:spacing w:before="0" w:after="0"/>
              <w:rPr>
                <w:sz w:val="18"/>
                <w:szCs w:val="18"/>
              </w:rPr>
            </w:pPr>
            <w:r w:rsidRPr="009D174C">
              <w:rPr>
                <w:b/>
                <w:bCs/>
                <w:sz w:val="18"/>
                <w:szCs w:val="18"/>
              </w:rPr>
              <w:t>Tangible fixed assets</w:t>
            </w:r>
            <w:r w:rsidRPr="009D174C">
              <w:rPr>
                <w:sz w:val="18"/>
                <w:szCs w:val="18"/>
              </w:rPr>
              <w:tab/>
            </w:r>
            <w:r w:rsidRPr="009D174C">
              <w:rPr>
                <w:sz w:val="18"/>
                <w:szCs w:val="18"/>
              </w:rPr>
              <w:tab/>
            </w:r>
          </w:p>
        </w:tc>
        <w:tc>
          <w:tcPr>
            <w:tcW w:w="1539" w:type="dxa"/>
            <w:tcBorders>
              <w:top w:val="single" w:sz="4" w:space="0" w:color="auto"/>
            </w:tcBorders>
            <w:shd w:val="clear" w:color="auto" w:fill="auto"/>
          </w:tcPr>
          <w:p w:rsidR="00EE30F6" w:rsidRPr="00EE30F6" w:rsidRDefault="00EE30F6" w:rsidP="00E53641">
            <w:pPr>
              <w:pBdr>
                <w:bottom w:val="double" w:sz="4" w:space="1" w:color="auto"/>
              </w:pBdr>
              <w:spacing w:before="0" w:after="0"/>
              <w:jc w:val="right"/>
              <w:rPr>
                <w:b/>
                <w:sz w:val="18"/>
                <w:szCs w:val="18"/>
              </w:rPr>
            </w:pPr>
            <w:r w:rsidRPr="00EE30F6">
              <w:rPr>
                <w:b/>
                <w:sz w:val="18"/>
                <w:szCs w:val="18"/>
              </w:rPr>
              <w:t>225.7</w:t>
            </w:r>
          </w:p>
        </w:tc>
      </w:tr>
    </w:tbl>
    <w:p w:rsidR="00FE0802" w:rsidRPr="00FE0802" w:rsidRDefault="00FE0802" w:rsidP="00FE0802">
      <w:pPr>
        <w:rPr>
          <w:szCs w:val="20"/>
          <w:lang w:val="en-US"/>
        </w:rPr>
      </w:pPr>
      <w:r w:rsidRPr="00FE0802">
        <w:rPr>
          <w:szCs w:val="20"/>
          <w:lang w:val="en-US"/>
        </w:rPr>
        <w:t>The</w:t>
      </w:r>
      <w:r w:rsidRPr="00FE0802">
        <w:rPr>
          <w:szCs w:val="20"/>
        </w:rPr>
        <w:t xml:space="preserve"> </w:t>
      </w:r>
      <w:r w:rsidR="002A1AB1">
        <w:rPr>
          <w:szCs w:val="20"/>
        </w:rPr>
        <w:t>Greenyard Foods</w:t>
      </w:r>
      <w:r w:rsidRPr="00FE0802">
        <w:rPr>
          <w:szCs w:val="20"/>
          <w:lang w:val="en-US"/>
        </w:rPr>
        <w:t xml:space="preserve"> Group has the ownership over all its production plants, resulting into a total net book value of </w:t>
      </w:r>
      <w:r w:rsidR="00E53641">
        <w:rPr>
          <w:szCs w:val="20"/>
          <w:lang w:val="en-US"/>
        </w:rPr>
        <w:t>EUR </w:t>
      </w:r>
      <w:r w:rsidRPr="00FE0802">
        <w:rPr>
          <w:szCs w:val="20"/>
          <w:lang w:val="en-US"/>
        </w:rPr>
        <w:t>11</w:t>
      </w:r>
      <w:r w:rsidR="00EE30F6">
        <w:rPr>
          <w:szCs w:val="20"/>
          <w:lang w:val="en-US"/>
        </w:rPr>
        <w:t>5</w:t>
      </w:r>
      <w:r w:rsidRPr="00FE0802">
        <w:rPr>
          <w:szCs w:val="20"/>
          <w:lang w:val="en-US"/>
        </w:rPr>
        <w:t>,200,000. The plant, machinery and equipment heading contains all machinery in the owned production plants. Freezing tunnels are a major part of the machinery for the Frozen Division and</w:t>
      </w:r>
      <w:r w:rsidRPr="00FE0802">
        <w:rPr>
          <w:szCs w:val="20"/>
        </w:rPr>
        <w:t xml:space="preserve"> sterilisers</w:t>
      </w:r>
      <w:r w:rsidRPr="00FE0802">
        <w:rPr>
          <w:szCs w:val="20"/>
          <w:lang w:val="en-US"/>
        </w:rPr>
        <w:t xml:space="preserve"> and</w:t>
      </w:r>
      <w:r w:rsidRPr="00FE0802">
        <w:rPr>
          <w:szCs w:val="20"/>
        </w:rPr>
        <w:t xml:space="preserve"> pasteurisers</w:t>
      </w:r>
      <w:r w:rsidRPr="00FE0802">
        <w:rPr>
          <w:szCs w:val="20"/>
          <w:lang w:val="en-US"/>
        </w:rPr>
        <w:t xml:space="preserve"> are a major part of the machinery for the Canning Division. The filling and packing lines used for both activities are also included in the plant, machinery and equipment heading.</w:t>
      </w:r>
    </w:p>
    <w:p w:rsidR="003F0BC5" w:rsidRPr="00992199" w:rsidRDefault="003F0BC5" w:rsidP="003F0BC5">
      <w:pPr>
        <w:rPr>
          <w:szCs w:val="20"/>
        </w:rPr>
      </w:pPr>
      <w:r w:rsidRPr="00992199">
        <w:rPr>
          <w:szCs w:val="20"/>
        </w:rPr>
        <w:t>During the past financial year, the following important events have taken place:</w:t>
      </w:r>
    </w:p>
    <w:p w:rsidR="003F0BC5" w:rsidRPr="00992199" w:rsidRDefault="003F0BC5" w:rsidP="00647ED8">
      <w:pPr>
        <w:pStyle w:val="BulletsL1"/>
      </w:pPr>
      <w:r w:rsidRPr="00992199">
        <w:t xml:space="preserve">July 2014: Purchase of production facilities in </w:t>
      </w:r>
      <w:smartTag w:uri="urn:schemas-microsoft-com:office:smarttags" w:element="place">
        <w:smartTag w:uri="urn:schemas-microsoft-com:office:smarttags" w:element="City">
          <w:r w:rsidRPr="00992199">
            <w:t>King’s Lynn</w:t>
          </w:r>
        </w:smartTag>
        <w:r w:rsidRPr="00992199">
          <w:t xml:space="preserve">, </w:t>
        </w:r>
        <w:smartTag w:uri="urn:schemas-microsoft-com:office:smarttags" w:element="country-region">
          <w:r w:rsidRPr="00992199">
            <w:t>United Kingdom</w:t>
          </w:r>
        </w:smartTag>
      </w:smartTag>
    </w:p>
    <w:p w:rsidR="003F0BC5" w:rsidRPr="00992199" w:rsidRDefault="003F0BC5" w:rsidP="00F35405">
      <w:pPr>
        <w:widowControl w:val="0"/>
        <w:autoSpaceDE w:val="0"/>
        <w:autoSpaceDN w:val="0"/>
        <w:adjustRightInd w:val="0"/>
        <w:ind w:left="720"/>
        <w:rPr>
          <w:szCs w:val="20"/>
        </w:rPr>
      </w:pPr>
      <w:r w:rsidRPr="00992199">
        <w:rPr>
          <w:szCs w:val="20"/>
        </w:rPr>
        <w:t xml:space="preserve">In order to execute the strategic plan, </w:t>
      </w:r>
      <w:r w:rsidR="005E6CD3">
        <w:rPr>
          <w:szCs w:val="20"/>
          <w:lang w:bidi="as-IN"/>
        </w:rPr>
        <w:t xml:space="preserve">the Greenyard Foods Group </w:t>
      </w:r>
      <w:r w:rsidRPr="00992199">
        <w:rPr>
          <w:szCs w:val="20"/>
        </w:rPr>
        <w:t xml:space="preserve">realised the acquisition of the real estate company of the production site at King’s Lynn on 7 July 2014 (KL Foods Limited, </w:t>
      </w:r>
      <w:smartTag w:uri="urn:schemas-microsoft-com:office:smarttags" w:element="country-region">
        <w:smartTag w:uri="urn:schemas-microsoft-com:office:smarttags" w:element="place">
          <w:r w:rsidRPr="00992199">
            <w:rPr>
              <w:szCs w:val="20"/>
            </w:rPr>
            <w:t>United Kingdom</w:t>
          </w:r>
        </w:smartTag>
      </w:smartTag>
      <w:r w:rsidRPr="00992199">
        <w:rPr>
          <w:szCs w:val="20"/>
        </w:rPr>
        <w:t xml:space="preserve">). As a result of this acquisition, </w:t>
      </w:r>
      <w:r w:rsidR="005E6CD3">
        <w:rPr>
          <w:szCs w:val="20"/>
          <w:lang w:bidi="as-IN"/>
        </w:rPr>
        <w:t xml:space="preserve">the Greenyard Foods Group </w:t>
      </w:r>
      <w:r w:rsidRPr="00992199">
        <w:rPr>
          <w:szCs w:val="20"/>
        </w:rPr>
        <w:t>now has all its production facilities in ownership. This acquisition forms part of the use of a bond loan issued in July 2013 and has been realised in the frame of the strategic priority in order to increase the operational efficiencies in the Frozen Division.</w:t>
      </w:r>
    </w:p>
    <w:p w:rsidR="003F0BC5" w:rsidRPr="00992199" w:rsidRDefault="003F0BC5" w:rsidP="00647ED8">
      <w:pPr>
        <w:pStyle w:val="BulletsL1"/>
      </w:pPr>
      <w:r w:rsidRPr="00992199">
        <w:t>November 2014: Sales German real estate companies (Manschnow)</w:t>
      </w:r>
    </w:p>
    <w:p w:rsidR="003F0BC5" w:rsidRPr="00992199" w:rsidRDefault="003F0BC5" w:rsidP="00F35405">
      <w:pPr>
        <w:widowControl w:val="0"/>
        <w:autoSpaceDE w:val="0"/>
        <w:autoSpaceDN w:val="0"/>
        <w:adjustRightInd w:val="0"/>
        <w:ind w:left="720"/>
        <w:rPr>
          <w:szCs w:val="20"/>
        </w:rPr>
      </w:pPr>
      <w:r w:rsidRPr="00992199">
        <w:rPr>
          <w:szCs w:val="20"/>
        </w:rPr>
        <w:t xml:space="preserve">On 12 November 2014 the assets in Manschnow in </w:t>
      </w:r>
      <w:smartTag w:uri="urn:schemas-microsoft-com:office:smarttags" w:element="country-region">
        <w:smartTag w:uri="urn:schemas-microsoft-com:office:smarttags" w:element="place">
          <w:r w:rsidRPr="00992199">
            <w:rPr>
              <w:szCs w:val="20"/>
            </w:rPr>
            <w:t>Germany</w:t>
          </w:r>
        </w:smartTag>
      </w:smartTag>
      <w:r w:rsidRPr="00992199">
        <w:rPr>
          <w:szCs w:val="20"/>
        </w:rPr>
        <w:t xml:space="preserve"> were sold to the KTG Agrar Group. This sale contributes to the efficiency improvement within the Frozen Division.</w:t>
      </w:r>
    </w:p>
    <w:p w:rsidR="003F0BC5" w:rsidRPr="00992199" w:rsidRDefault="003F0BC5" w:rsidP="00647ED8">
      <w:pPr>
        <w:pStyle w:val="BulletsL1"/>
      </w:pPr>
      <w:r w:rsidRPr="00992199">
        <w:t>December 2014: Change of group structure</w:t>
      </w:r>
    </w:p>
    <w:p w:rsidR="003F0BC5" w:rsidRPr="00992199" w:rsidRDefault="003F0BC5" w:rsidP="00F35405">
      <w:pPr>
        <w:widowControl w:val="0"/>
        <w:autoSpaceDE w:val="0"/>
        <w:autoSpaceDN w:val="0"/>
        <w:adjustRightInd w:val="0"/>
        <w:ind w:left="720"/>
        <w:rPr>
          <w:szCs w:val="20"/>
        </w:rPr>
      </w:pPr>
      <w:r w:rsidRPr="00992199">
        <w:rPr>
          <w:szCs w:val="20"/>
        </w:rPr>
        <w:t xml:space="preserve">On 1 December 2014, the </w:t>
      </w:r>
      <w:r w:rsidR="002A1AB1">
        <w:rPr>
          <w:szCs w:val="20"/>
        </w:rPr>
        <w:t>Greenyard Foods</w:t>
      </w:r>
      <w:r w:rsidRPr="00992199">
        <w:rPr>
          <w:szCs w:val="20"/>
        </w:rPr>
        <w:t xml:space="preserve"> Group has changed its structure at group level. Herwig Dejonghe left the </w:t>
      </w:r>
      <w:r w:rsidR="002A1AB1">
        <w:rPr>
          <w:szCs w:val="20"/>
        </w:rPr>
        <w:t>Greenyard Foods</w:t>
      </w:r>
      <w:r w:rsidRPr="00992199">
        <w:rPr>
          <w:szCs w:val="20"/>
        </w:rPr>
        <w:t xml:space="preserve"> Group as COO and will not be replaced; he </w:t>
      </w:r>
      <w:r w:rsidR="00EA66F3">
        <w:rPr>
          <w:szCs w:val="20"/>
        </w:rPr>
        <w:t>continutes to work</w:t>
      </w:r>
      <w:r w:rsidRPr="00992199">
        <w:rPr>
          <w:szCs w:val="20"/>
        </w:rPr>
        <w:t xml:space="preserve"> for the </w:t>
      </w:r>
      <w:r w:rsidR="002A1AB1">
        <w:rPr>
          <w:szCs w:val="20"/>
        </w:rPr>
        <w:t>Greenyard Foods</w:t>
      </w:r>
      <w:r w:rsidRPr="00992199">
        <w:rPr>
          <w:szCs w:val="20"/>
        </w:rPr>
        <w:t xml:space="preserve"> Group as consultant. He also resigned as director of </w:t>
      </w:r>
      <w:r w:rsidR="002A1AB1">
        <w:rPr>
          <w:szCs w:val="20"/>
        </w:rPr>
        <w:t>Greenyard Foods</w:t>
      </w:r>
      <w:r w:rsidRPr="00992199">
        <w:rPr>
          <w:szCs w:val="20"/>
        </w:rPr>
        <w:t>.</w:t>
      </w:r>
    </w:p>
    <w:p w:rsidR="003F0BC5" w:rsidRPr="00992199" w:rsidRDefault="003F0BC5" w:rsidP="00647ED8">
      <w:pPr>
        <w:pStyle w:val="BulletsL1"/>
      </w:pPr>
      <w:r w:rsidRPr="00992199">
        <w:t xml:space="preserve">December 2014: </w:t>
      </w:r>
      <w:smartTag w:uri="urn:schemas-microsoft-com:office:smarttags" w:element="City">
        <w:r w:rsidRPr="00992199">
          <w:t>Sale</w:t>
        </w:r>
      </w:smartTag>
      <w:r w:rsidRPr="00992199">
        <w:t xml:space="preserve"> of the assets at Bekescsaba (</w:t>
      </w:r>
      <w:smartTag w:uri="urn:schemas-microsoft-com:office:smarttags" w:element="country-region">
        <w:smartTag w:uri="urn:schemas-microsoft-com:office:smarttags" w:element="place">
          <w:r w:rsidRPr="00992199">
            <w:t>Hungary</w:t>
          </w:r>
        </w:smartTag>
      </w:smartTag>
      <w:r w:rsidRPr="00992199">
        <w:t>)</w:t>
      </w:r>
    </w:p>
    <w:p w:rsidR="003F0BC5" w:rsidRPr="00992199" w:rsidRDefault="003F0BC5" w:rsidP="00F35405">
      <w:pPr>
        <w:widowControl w:val="0"/>
        <w:autoSpaceDE w:val="0"/>
        <w:autoSpaceDN w:val="0"/>
        <w:adjustRightInd w:val="0"/>
        <w:ind w:left="720"/>
        <w:rPr>
          <w:szCs w:val="20"/>
        </w:rPr>
      </w:pPr>
      <w:r w:rsidRPr="00992199">
        <w:rPr>
          <w:szCs w:val="20"/>
        </w:rPr>
        <w:t xml:space="preserve">The assets at Bekescsaba in </w:t>
      </w:r>
      <w:smartTag w:uri="urn:schemas-microsoft-com:office:smarttags" w:element="country-region">
        <w:smartTag w:uri="urn:schemas-microsoft-com:office:smarttags" w:element="place">
          <w:r w:rsidRPr="00992199">
            <w:rPr>
              <w:szCs w:val="20"/>
            </w:rPr>
            <w:t>Hungary</w:t>
          </w:r>
        </w:smartTag>
      </w:smartTag>
      <w:r w:rsidRPr="00992199">
        <w:rPr>
          <w:szCs w:val="20"/>
        </w:rPr>
        <w:t xml:space="preserve"> were sold on 19 December 2014 to UFM. This sale forms part of international integration of processes within the Frozen Division. </w:t>
      </w:r>
    </w:p>
    <w:p w:rsidR="003F0BC5" w:rsidRPr="00992199" w:rsidRDefault="003F0BC5" w:rsidP="00647ED8">
      <w:pPr>
        <w:pStyle w:val="BulletsL1"/>
      </w:pPr>
      <w:r w:rsidRPr="00992199">
        <w:t xml:space="preserve">January 2015 : </w:t>
      </w:r>
      <w:smartTag w:uri="urn:schemas-microsoft-com:office:smarttags" w:element="City">
        <w:r w:rsidRPr="00992199">
          <w:t>Sale</w:t>
        </w:r>
      </w:smartTag>
      <w:r w:rsidRPr="00992199">
        <w:t xml:space="preserve"> Pinguin </w:t>
      </w:r>
      <w:smartTag w:uri="urn:schemas-microsoft-com:office:smarttags" w:element="State">
        <w:smartTag w:uri="urn:schemas-microsoft-com:office:smarttags" w:element="place">
          <w:r w:rsidRPr="00992199">
            <w:t>Aquitaine</w:t>
          </w:r>
        </w:smartTag>
      </w:smartTag>
      <w:r w:rsidRPr="00992199">
        <w:t xml:space="preserve"> SAS (France)</w:t>
      </w:r>
    </w:p>
    <w:p w:rsidR="003F0BC5" w:rsidRPr="00992199" w:rsidRDefault="003F0BC5" w:rsidP="00F35405">
      <w:pPr>
        <w:widowControl w:val="0"/>
        <w:autoSpaceDE w:val="0"/>
        <w:autoSpaceDN w:val="0"/>
        <w:adjustRightInd w:val="0"/>
        <w:ind w:left="720"/>
        <w:rPr>
          <w:szCs w:val="20"/>
        </w:rPr>
      </w:pPr>
      <w:r w:rsidRPr="00992199">
        <w:rPr>
          <w:szCs w:val="20"/>
        </w:rPr>
        <w:t xml:space="preserve">On 21 January 2015 the participation of 52% in Pinguin </w:t>
      </w:r>
      <w:smartTag w:uri="urn:schemas-microsoft-com:office:smarttags" w:element="State">
        <w:r w:rsidRPr="00992199">
          <w:rPr>
            <w:szCs w:val="20"/>
          </w:rPr>
          <w:t>Aquitaine</w:t>
        </w:r>
      </w:smartTag>
      <w:r w:rsidRPr="00992199">
        <w:rPr>
          <w:szCs w:val="20"/>
        </w:rPr>
        <w:t xml:space="preserve"> in Ychoux in </w:t>
      </w:r>
      <w:smartTag w:uri="urn:schemas-microsoft-com:office:smarttags" w:element="country-region">
        <w:r w:rsidRPr="00992199">
          <w:rPr>
            <w:szCs w:val="20"/>
          </w:rPr>
          <w:t>France</w:t>
        </w:r>
      </w:smartTag>
      <w:r w:rsidRPr="00992199">
        <w:rPr>
          <w:szCs w:val="20"/>
        </w:rPr>
        <w:t xml:space="preserve"> was sold to </w:t>
      </w:r>
      <w:smartTag w:uri="urn:schemas-microsoft-com:office:smarttags" w:element="place">
        <w:smartTag w:uri="urn:schemas-microsoft-com:office:smarttags" w:element="City">
          <w:r w:rsidRPr="00992199">
            <w:rPr>
              <w:szCs w:val="20"/>
            </w:rPr>
            <w:lastRenderedPageBreak/>
            <w:t>Vijverbos</w:t>
          </w:r>
        </w:smartTag>
        <w:r w:rsidRPr="00992199">
          <w:rPr>
            <w:szCs w:val="20"/>
          </w:rPr>
          <w:t xml:space="preserve"> </w:t>
        </w:r>
        <w:smartTag w:uri="urn:schemas-microsoft-com:office:smarttags" w:element="State">
          <w:r w:rsidRPr="00992199">
            <w:rPr>
              <w:szCs w:val="20"/>
            </w:rPr>
            <w:t>NV</w:t>
          </w:r>
        </w:smartTag>
      </w:smartTag>
      <w:r w:rsidRPr="00992199">
        <w:rPr>
          <w:szCs w:val="20"/>
        </w:rPr>
        <w:t xml:space="preserve"> (Herwig Dejonghe). This sale will contribute to an increase of efficiency improvements within the Frozen Division.</w:t>
      </w:r>
    </w:p>
    <w:p w:rsidR="003F0BC5" w:rsidRPr="00992199" w:rsidRDefault="003F0BC5" w:rsidP="00647ED8">
      <w:pPr>
        <w:pStyle w:val="BulletsL1"/>
      </w:pPr>
      <w:r w:rsidRPr="00992199">
        <w:t>January 2015 : Opening new production facility in Comines (</w:t>
      </w:r>
      <w:smartTag w:uri="urn:schemas-microsoft-com:office:smarttags" w:element="country-region">
        <w:smartTag w:uri="urn:schemas-microsoft-com:office:smarttags" w:element="place">
          <w:r w:rsidRPr="00992199">
            <w:t>France</w:t>
          </w:r>
        </w:smartTag>
      </w:smartTag>
      <w:r w:rsidRPr="00992199">
        <w:t>)</w:t>
      </w:r>
    </w:p>
    <w:p w:rsidR="003F0BC5" w:rsidRPr="00992199" w:rsidRDefault="003F0BC5" w:rsidP="00F35405">
      <w:pPr>
        <w:widowControl w:val="0"/>
        <w:autoSpaceDE w:val="0"/>
        <w:autoSpaceDN w:val="0"/>
        <w:adjustRightInd w:val="0"/>
        <w:ind w:left="720"/>
        <w:rPr>
          <w:szCs w:val="20"/>
        </w:rPr>
      </w:pPr>
      <w:r w:rsidRPr="00992199">
        <w:rPr>
          <w:szCs w:val="20"/>
        </w:rPr>
        <w:t>On 15 January 2015 the opening of a new production line in Comines (</w:t>
      </w:r>
      <w:smartTag w:uri="urn:schemas-microsoft-com:office:smarttags" w:element="country-region">
        <w:smartTag w:uri="urn:schemas-microsoft-com:office:smarttags" w:element="place">
          <w:r w:rsidRPr="00992199">
            <w:rPr>
              <w:szCs w:val="20"/>
            </w:rPr>
            <w:t>Fran</w:t>
          </w:r>
          <w:r w:rsidR="00A07615">
            <w:rPr>
              <w:szCs w:val="20"/>
            </w:rPr>
            <w:t>ce</w:t>
          </w:r>
        </w:smartTag>
      </w:smartTag>
      <w:r w:rsidRPr="00992199">
        <w:rPr>
          <w:szCs w:val="20"/>
        </w:rPr>
        <w:t xml:space="preserve">) took place. </w:t>
      </w:r>
      <w:r w:rsidR="00A07615">
        <w:rPr>
          <w:szCs w:val="20"/>
        </w:rPr>
        <w:t>This involved</w:t>
      </w:r>
      <w:r w:rsidRPr="00992199">
        <w:rPr>
          <w:szCs w:val="20"/>
        </w:rPr>
        <w:t xml:space="preserve"> </w:t>
      </w:r>
      <w:r w:rsidR="00E53641">
        <w:rPr>
          <w:szCs w:val="20"/>
        </w:rPr>
        <w:t>EUR </w:t>
      </w:r>
      <w:r w:rsidRPr="00992199">
        <w:rPr>
          <w:szCs w:val="20"/>
        </w:rPr>
        <w:t>8,000,000 investment.</w:t>
      </w:r>
    </w:p>
    <w:p w:rsidR="003F0BC5" w:rsidRPr="00992199" w:rsidRDefault="003F0BC5" w:rsidP="00647ED8">
      <w:pPr>
        <w:pStyle w:val="BulletsL1"/>
      </w:pPr>
      <w:r w:rsidRPr="00992199">
        <w:t xml:space="preserve">March 2015: Investment program in </w:t>
      </w:r>
      <w:smartTag w:uri="urn:schemas-microsoft-com:office:smarttags" w:element="country-region">
        <w:smartTag w:uri="urn:schemas-microsoft-com:office:smarttags" w:element="place">
          <w:r w:rsidRPr="00992199">
            <w:t>Poland</w:t>
          </w:r>
        </w:smartTag>
      </w:smartTag>
    </w:p>
    <w:p w:rsidR="003F0BC5" w:rsidRPr="00992199" w:rsidRDefault="003F0BC5" w:rsidP="00F35405">
      <w:pPr>
        <w:widowControl w:val="0"/>
        <w:autoSpaceDE w:val="0"/>
        <w:autoSpaceDN w:val="0"/>
        <w:adjustRightInd w:val="0"/>
        <w:ind w:left="720"/>
        <w:rPr>
          <w:szCs w:val="20"/>
        </w:rPr>
      </w:pPr>
      <w:r w:rsidRPr="00992199">
        <w:rPr>
          <w:szCs w:val="20"/>
        </w:rPr>
        <w:t xml:space="preserve">The </w:t>
      </w:r>
      <w:r w:rsidR="00FE0FEB" w:rsidRPr="00FE0FEB">
        <w:rPr>
          <w:szCs w:val="20"/>
        </w:rPr>
        <w:t xml:space="preserve">Company </w:t>
      </w:r>
      <w:r w:rsidRPr="00992199">
        <w:rPr>
          <w:szCs w:val="20"/>
        </w:rPr>
        <w:t xml:space="preserve">has decided to invest in Polish </w:t>
      </w:r>
      <w:r w:rsidR="00EA66F3">
        <w:rPr>
          <w:szCs w:val="20"/>
        </w:rPr>
        <w:t>production sites</w:t>
      </w:r>
      <w:r w:rsidRPr="00992199">
        <w:rPr>
          <w:szCs w:val="20"/>
        </w:rPr>
        <w:t xml:space="preserve"> for a total amount of </w:t>
      </w:r>
      <w:r w:rsidR="00E53641">
        <w:rPr>
          <w:szCs w:val="20"/>
        </w:rPr>
        <w:t>EUR </w:t>
      </w:r>
      <w:r w:rsidRPr="00992199">
        <w:rPr>
          <w:szCs w:val="20"/>
        </w:rPr>
        <w:t>15,000,000. This major investment confirms the existing program to realise efficiency improvements within the Frozen Division. It entails the redistribution of the total production capacity between the production sites and the centralisation of the Polish packaging activities.</w:t>
      </w:r>
    </w:p>
    <w:p w:rsidR="003F0BC5" w:rsidRPr="00992199" w:rsidRDefault="003F0BC5" w:rsidP="003F0BC5">
      <w:pPr>
        <w:rPr>
          <w:szCs w:val="20"/>
        </w:rPr>
      </w:pPr>
      <w:r w:rsidRPr="00992199">
        <w:rPr>
          <w:szCs w:val="20"/>
        </w:rPr>
        <w:t xml:space="preserve">During the </w:t>
      </w:r>
      <w:r w:rsidR="00F35405">
        <w:rPr>
          <w:szCs w:val="20"/>
        </w:rPr>
        <w:t>financial year ended 31 March 2015</w:t>
      </w:r>
      <w:r w:rsidRPr="00992199">
        <w:rPr>
          <w:szCs w:val="20"/>
        </w:rPr>
        <w:t xml:space="preserve">, several legal reorganisations took place in the </w:t>
      </w:r>
      <w:r w:rsidR="002A1AB1">
        <w:rPr>
          <w:szCs w:val="20"/>
        </w:rPr>
        <w:t>Greenyard Foods</w:t>
      </w:r>
      <w:r w:rsidRPr="00992199">
        <w:rPr>
          <w:szCs w:val="20"/>
        </w:rPr>
        <w:t xml:space="preserve"> Group (mergers, etc.) for simplification of the </w:t>
      </w:r>
      <w:r w:rsidR="002A1AB1">
        <w:rPr>
          <w:szCs w:val="20"/>
        </w:rPr>
        <w:t>Greenyard Foods</w:t>
      </w:r>
      <w:r w:rsidRPr="00992199">
        <w:rPr>
          <w:szCs w:val="20"/>
        </w:rPr>
        <w:t xml:space="preserve"> Group structure.</w:t>
      </w:r>
    </w:p>
    <w:p w:rsidR="003F0BC5" w:rsidRPr="00992199" w:rsidRDefault="00112706" w:rsidP="00353B80">
      <w:pPr>
        <w:pStyle w:val="Firm5L2"/>
        <w:keepNext/>
      </w:pPr>
      <w:bookmarkStart w:id="68" w:name="_Toc420593881"/>
      <w:r>
        <w:t>Key</w:t>
      </w:r>
      <w:r w:rsidR="003F0BC5" w:rsidRPr="00992199">
        <w:t xml:space="preserve"> factors affecting results of operations</w:t>
      </w:r>
      <w:bookmarkEnd w:id="68"/>
    </w:p>
    <w:p w:rsidR="00704FD7" w:rsidRDefault="00704FD7" w:rsidP="003F0BC5">
      <w:r w:rsidRPr="00B517BB">
        <w:t>The performance and results of operations have been and will continue to be affected by a number of factors, including external factors. Certain of these key factors that have had, or may have, an effect on its results are set forth below. For further discussion of the factors affecting its results of operations, see Part II (</w:t>
      </w:r>
      <w:r w:rsidRPr="00704FD7">
        <w:rPr>
          <w:i/>
        </w:rPr>
        <w:t>Risk Factors</w:t>
      </w:r>
      <w:r w:rsidRPr="00B517BB">
        <w:t>).</w:t>
      </w:r>
    </w:p>
    <w:p w:rsidR="001C136A" w:rsidRDefault="001C136A" w:rsidP="00353B80">
      <w:pPr>
        <w:pStyle w:val="Firm5L3"/>
        <w:keepNext/>
      </w:pPr>
      <w:r>
        <w:t xml:space="preserve">Revenues and cost </w:t>
      </w:r>
    </w:p>
    <w:p w:rsidR="003F0BC5" w:rsidRPr="00992199" w:rsidRDefault="003F0BC5" w:rsidP="00353B80">
      <w:pPr>
        <w:pStyle w:val="Firm5L4"/>
        <w:keepNext/>
      </w:pPr>
      <w:r w:rsidRPr="00992199">
        <w:t>Availability of raw materials</w:t>
      </w:r>
    </w:p>
    <w:p w:rsidR="003F0BC5" w:rsidRPr="00992199" w:rsidRDefault="003F0BC5" w:rsidP="003F0BC5">
      <w:pPr>
        <w:rPr>
          <w:szCs w:val="20"/>
        </w:rPr>
      </w:pPr>
      <w:r w:rsidRPr="00992199">
        <w:rPr>
          <w:szCs w:val="20"/>
        </w:rPr>
        <w:t xml:space="preserve">Climatologic circumstances have an important impact on the availability of raw materials in the Frozen and in the Canning Division. These can lead in both divisions to an under- or oversupply of raw materials. The availability of raw materials needs to be sufficient during harvest periods for </w:t>
      </w:r>
      <w:r w:rsidR="005E6CD3">
        <w:rPr>
          <w:szCs w:val="20"/>
          <w:lang w:bidi="as-IN"/>
        </w:rPr>
        <w:t xml:space="preserve">the Greenyard Foods Group </w:t>
      </w:r>
      <w:r w:rsidRPr="00992199">
        <w:rPr>
          <w:szCs w:val="20"/>
        </w:rPr>
        <w:t>in order to guarantee the sales during a full year.</w:t>
      </w:r>
    </w:p>
    <w:p w:rsidR="003F0BC5" w:rsidRPr="00992199" w:rsidRDefault="003F0BC5" w:rsidP="003F0BC5">
      <w:pPr>
        <w:rPr>
          <w:szCs w:val="20"/>
        </w:rPr>
      </w:pPr>
      <w:r w:rsidRPr="00992199">
        <w:rPr>
          <w:szCs w:val="20"/>
        </w:rPr>
        <w:t xml:space="preserve">Along with other elements, such as soil fatigue in fields for specific crops, the weather conditions are a compelling reason for </w:t>
      </w:r>
      <w:r w:rsidR="005E6CD3">
        <w:rPr>
          <w:szCs w:val="20"/>
          <w:lang w:bidi="as-IN"/>
        </w:rPr>
        <w:t xml:space="preserve">the Greenyard Foods Group </w:t>
      </w:r>
      <w:r w:rsidRPr="00992199">
        <w:rPr>
          <w:szCs w:val="20"/>
        </w:rPr>
        <w:t>to reduce its dependency on the harvest in a specific region as much as possible. This risk is monitored by the international spread of the activities and by sustainable relations with agriculture.</w:t>
      </w:r>
    </w:p>
    <w:p w:rsidR="003F0BC5" w:rsidRPr="00992199" w:rsidRDefault="003F0BC5" w:rsidP="00353B80">
      <w:pPr>
        <w:pStyle w:val="Firm5L4"/>
        <w:keepNext/>
      </w:pPr>
      <w:r w:rsidRPr="00992199">
        <w:t>Prices of raw materials</w:t>
      </w:r>
    </w:p>
    <w:p w:rsidR="003F0BC5" w:rsidRPr="00992199" w:rsidRDefault="003F0BC5" w:rsidP="003F0BC5">
      <w:pPr>
        <w:rPr>
          <w:szCs w:val="20"/>
        </w:rPr>
      </w:pPr>
      <w:r w:rsidRPr="00992199">
        <w:rPr>
          <w:szCs w:val="20"/>
        </w:rPr>
        <w:t>The Frozen Division and the Canning Division work in principle with fixed annual contracts, where the price per vegetable is set for the entire season before the vegetables are sown or planted. Possible shortfalls in the market can be compensated by purchasing raw materials on the spot market.</w:t>
      </w:r>
    </w:p>
    <w:p w:rsidR="003F0BC5" w:rsidRPr="00992199" w:rsidRDefault="003F0BC5" w:rsidP="003F0BC5">
      <w:pPr>
        <w:rPr>
          <w:szCs w:val="20"/>
        </w:rPr>
      </w:pPr>
      <w:r w:rsidRPr="00992199">
        <w:rPr>
          <w:szCs w:val="20"/>
        </w:rPr>
        <w:t xml:space="preserve">Despite the high level of attention dedicated to these aspects, the production of the divisions of </w:t>
      </w:r>
      <w:r w:rsidR="005E6CD3">
        <w:rPr>
          <w:szCs w:val="20"/>
          <w:lang w:bidi="as-IN"/>
        </w:rPr>
        <w:t xml:space="preserve">the Greenyard Foods Group </w:t>
      </w:r>
      <w:r w:rsidRPr="00992199">
        <w:rPr>
          <w:szCs w:val="20"/>
        </w:rPr>
        <w:t>depends on temporary weather phenomena, while climatological circumstances can influence supplies and raw materials prices. Harvest yields can fluctuate sharply depending on the weather conditions.</w:t>
      </w:r>
    </w:p>
    <w:p w:rsidR="003F0BC5" w:rsidRPr="00992199" w:rsidRDefault="003F0BC5" w:rsidP="00353B80">
      <w:pPr>
        <w:pStyle w:val="Firm5L4"/>
        <w:keepNext/>
      </w:pPr>
      <w:r w:rsidRPr="00992199">
        <w:t>Sales prices</w:t>
      </w:r>
    </w:p>
    <w:p w:rsidR="003F0BC5" w:rsidRPr="00992199" w:rsidRDefault="003F0BC5" w:rsidP="003F0BC5">
      <w:pPr>
        <w:rPr>
          <w:szCs w:val="20"/>
        </w:rPr>
      </w:pPr>
      <w:r w:rsidRPr="00992199">
        <w:rPr>
          <w:szCs w:val="20"/>
        </w:rPr>
        <w:t>Fluctuations in sales prices caused by climate conditions, internationalisation of the market and competitive environment have a large influence on the profitability.</w:t>
      </w:r>
    </w:p>
    <w:p w:rsidR="003F0BC5" w:rsidRPr="00992199" w:rsidRDefault="003F0BC5" w:rsidP="003F0BC5">
      <w:pPr>
        <w:rPr>
          <w:szCs w:val="20"/>
        </w:rPr>
      </w:pPr>
      <w:r w:rsidRPr="00992199">
        <w:rPr>
          <w:szCs w:val="20"/>
        </w:rPr>
        <w:t xml:space="preserve">Sales prices are determined by changes in demand, which is affected by the continuing internationalisation, marketing campaigns and climate effects (consumption patterns depending on the weather) and by changes in supply due to temporary weather conditions and the pricing of raw materials. In addition, sales prices are impacted by the competitive environment in which </w:t>
      </w:r>
      <w:r w:rsidR="005E6CD3">
        <w:rPr>
          <w:szCs w:val="20"/>
          <w:lang w:bidi="as-IN"/>
        </w:rPr>
        <w:t xml:space="preserve">the Greenyard Foods Group </w:t>
      </w:r>
      <w:r w:rsidRPr="00992199">
        <w:rPr>
          <w:szCs w:val="20"/>
        </w:rPr>
        <w:t>is operating, in particular for the frozen vegetable sector.</w:t>
      </w:r>
    </w:p>
    <w:p w:rsidR="001C136A" w:rsidRDefault="001C136A" w:rsidP="00353B80">
      <w:pPr>
        <w:pStyle w:val="Firm5L3"/>
        <w:keepNext/>
      </w:pPr>
      <w:r>
        <w:t>Macroeconomic and external factors</w:t>
      </w:r>
    </w:p>
    <w:p w:rsidR="003F0BC5" w:rsidRPr="00992199" w:rsidRDefault="003F0BC5" w:rsidP="00353B80">
      <w:pPr>
        <w:pStyle w:val="Firm5L4"/>
        <w:keepNext/>
      </w:pPr>
      <w:r w:rsidRPr="00992199">
        <w:t>Climate conditions and seasonality</w:t>
      </w:r>
    </w:p>
    <w:p w:rsidR="003F0BC5" w:rsidRPr="00992199" w:rsidRDefault="003F0BC5" w:rsidP="003F0BC5">
      <w:pPr>
        <w:rPr>
          <w:szCs w:val="20"/>
        </w:rPr>
      </w:pPr>
      <w:r w:rsidRPr="00992199">
        <w:rPr>
          <w:szCs w:val="20"/>
        </w:rPr>
        <w:t xml:space="preserve">Temporary weather conditions and climate factors have a direct influence on the supply of vegetables and raw material prices. The seasonal character of the activities of </w:t>
      </w:r>
      <w:r w:rsidR="005E6CD3">
        <w:rPr>
          <w:szCs w:val="20"/>
          <w:lang w:bidi="as-IN"/>
        </w:rPr>
        <w:t xml:space="preserve">the Greenyard Foods Group </w:t>
      </w:r>
      <w:r w:rsidRPr="00992199">
        <w:rPr>
          <w:szCs w:val="20"/>
        </w:rPr>
        <w:t>results in a production peak in the period from July to November whereas demand continues throughout the year. Therefore the reduction of production capacity during high season can strongly influence the results and substantial inventories are to be held and financed in order to cope with the demand of the entire year. Seasonality also has an impact on the results as inventories are valued at full cost according to IFRS regulations.</w:t>
      </w:r>
    </w:p>
    <w:p w:rsidR="003F0BC5" w:rsidRPr="00992199" w:rsidRDefault="003F0BC5" w:rsidP="00353B80">
      <w:pPr>
        <w:pStyle w:val="Firm5L4"/>
        <w:keepNext/>
      </w:pPr>
      <w:r w:rsidRPr="00992199">
        <w:lastRenderedPageBreak/>
        <w:t>Geopolitical changes</w:t>
      </w:r>
    </w:p>
    <w:p w:rsidR="003F0BC5" w:rsidRPr="00992199" w:rsidRDefault="003F0BC5" w:rsidP="003F0BC5">
      <w:pPr>
        <w:rPr>
          <w:szCs w:val="20"/>
        </w:rPr>
      </w:pPr>
      <w:r w:rsidRPr="00992199">
        <w:rPr>
          <w:szCs w:val="20"/>
        </w:rPr>
        <w:t xml:space="preserve">As </w:t>
      </w:r>
      <w:r w:rsidR="00A07615">
        <w:rPr>
          <w:szCs w:val="20"/>
        </w:rPr>
        <w:t xml:space="preserve">a </w:t>
      </w:r>
      <w:r w:rsidRPr="00992199">
        <w:rPr>
          <w:szCs w:val="20"/>
        </w:rPr>
        <w:t xml:space="preserve">major part of </w:t>
      </w:r>
      <w:r w:rsidR="00A07615">
        <w:rPr>
          <w:szCs w:val="20"/>
        </w:rPr>
        <w:t xml:space="preserve">the </w:t>
      </w:r>
      <w:r w:rsidRPr="00992199">
        <w:rPr>
          <w:szCs w:val="20"/>
        </w:rPr>
        <w:t xml:space="preserve">sales of </w:t>
      </w:r>
      <w:r w:rsidR="005E6CD3">
        <w:rPr>
          <w:szCs w:val="20"/>
          <w:lang w:bidi="as-IN"/>
        </w:rPr>
        <w:t xml:space="preserve">the Greenyard Foods Group </w:t>
      </w:r>
      <w:r w:rsidR="00A07615">
        <w:rPr>
          <w:szCs w:val="20"/>
        </w:rPr>
        <w:t>consists in</w:t>
      </w:r>
      <w:r w:rsidRPr="00992199">
        <w:rPr>
          <w:szCs w:val="20"/>
        </w:rPr>
        <w:t xml:space="preserve"> export sales, geopolitical changes might have an impact on the operational or financial conditions of the </w:t>
      </w:r>
      <w:r w:rsidR="002A1AB1">
        <w:rPr>
          <w:szCs w:val="20"/>
        </w:rPr>
        <w:t>Greenyard Foods</w:t>
      </w:r>
      <w:r w:rsidRPr="00992199">
        <w:rPr>
          <w:szCs w:val="20"/>
        </w:rPr>
        <w:t xml:space="preserve"> Group. Recently sanctions were taken by the </w:t>
      </w:r>
      <w:smartTag w:uri="urn:schemas-microsoft-com:office:smarttags" w:element="country-region">
        <w:r w:rsidRPr="00992199">
          <w:rPr>
            <w:szCs w:val="20"/>
          </w:rPr>
          <w:t>US</w:t>
        </w:r>
      </w:smartTag>
      <w:r w:rsidRPr="00992199">
        <w:rPr>
          <w:szCs w:val="20"/>
        </w:rPr>
        <w:t xml:space="preserve"> and EU against the </w:t>
      </w:r>
      <w:smartTag w:uri="urn:schemas-microsoft-com:office:smarttags" w:element="country-region">
        <w:r w:rsidRPr="00992199">
          <w:rPr>
            <w:szCs w:val="20"/>
          </w:rPr>
          <w:t>Russian Federation</w:t>
        </w:r>
      </w:smartTag>
      <w:r w:rsidRPr="00992199">
        <w:rPr>
          <w:szCs w:val="20"/>
        </w:rPr>
        <w:t xml:space="preserve"> and subsequently by the </w:t>
      </w:r>
      <w:smartTag w:uri="urn:schemas-microsoft-com:office:smarttags" w:element="country-region">
        <w:r w:rsidRPr="00992199">
          <w:rPr>
            <w:szCs w:val="20"/>
          </w:rPr>
          <w:t>Russian Federation</w:t>
        </w:r>
      </w:smartTag>
      <w:r w:rsidRPr="00992199">
        <w:rPr>
          <w:szCs w:val="20"/>
        </w:rPr>
        <w:t xml:space="preserve"> against the </w:t>
      </w:r>
      <w:smartTag w:uri="urn:schemas-microsoft-com:office:smarttags" w:element="country-region">
        <w:smartTag w:uri="urn:schemas-microsoft-com:office:smarttags" w:element="place">
          <w:r w:rsidRPr="00992199">
            <w:rPr>
              <w:szCs w:val="20"/>
            </w:rPr>
            <w:t>US</w:t>
          </w:r>
        </w:smartTag>
      </w:smartTag>
      <w:r w:rsidRPr="00992199">
        <w:rPr>
          <w:szCs w:val="20"/>
        </w:rPr>
        <w:t xml:space="preserve"> and the EU.</w:t>
      </w:r>
    </w:p>
    <w:p w:rsidR="003F0BC5" w:rsidRPr="00992199" w:rsidRDefault="003F0BC5" w:rsidP="00353B80">
      <w:pPr>
        <w:pStyle w:val="Firm5L4"/>
        <w:keepNext/>
      </w:pPr>
      <w:r w:rsidRPr="00992199">
        <w:t>Changes in legislation and regulations</w:t>
      </w:r>
    </w:p>
    <w:p w:rsidR="003F0BC5" w:rsidRPr="00992199" w:rsidRDefault="003F0BC5" w:rsidP="003F0BC5">
      <w:pPr>
        <w:rPr>
          <w:szCs w:val="20"/>
        </w:rPr>
      </w:pPr>
      <w:r w:rsidRPr="00992199">
        <w:rPr>
          <w:szCs w:val="20"/>
        </w:rPr>
        <w:t xml:space="preserve">In general, changes in laws and regulations can significantly affect </w:t>
      </w:r>
      <w:r w:rsidR="005E6CD3">
        <w:rPr>
          <w:szCs w:val="20"/>
          <w:lang w:bidi="as-IN"/>
        </w:rPr>
        <w:t xml:space="preserve">the Greenyard Foods Group </w:t>
      </w:r>
      <w:r w:rsidRPr="00992199">
        <w:rPr>
          <w:szCs w:val="20"/>
        </w:rPr>
        <w:t xml:space="preserve">’s ability to efficiently conduct its business. </w:t>
      </w:r>
      <w:r w:rsidR="005E6CD3" w:rsidRPr="005E6CD3">
        <w:rPr>
          <w:szCs w:val="20"/>
        </w:rPr>
        <w:t xml:space="preserve">The Greenyard Foods Group </w:t>
      </w:r>
      <w:r w:rsidRPr="00992199">
        <w:rPr>
          <w:szCs w:val="20"/>
        </w:rPr>
        <w:t>has no impact on decisions of supra-national, national and/or local governments which may negatively impact its business.</w:t>
      </w:r>
    </w:p>
    <w:p w:rsidR="003F0BC5" w:rsidRPr="00992199" w:rsidRDefault="003F0BC5" w:rsidP="00353B80">
      <w:pPr>
        <w:pStyle w:val="Firm5L4"/>
        <w:keepNext/>
      </w:pPr>
      <w:r w:rsidRPr="00992199">
        <w:t>Energy prices</w:t>
      </w:r>
    </w:p>
    <w:p w:rsidR="003F0BC5" w:rsidRPr="00992199" w:rsidRDefault="003F0BC5" w:rsidP="003F0BC5">
      <w:pPr>
        <w:rPr>
          <w:szCs w:val="20"/>
        </w:rPr>
      </w:pPr>
      <w:r w:rsidRPr="00992199">
        <w:rPr>
          <w:szCs w:val="20"/>
        </w:rPr>
        <w:t xml:space="preserve">Due to the high-energy intensity of the production and storage processes, </w:t>
      </w:r>
      <w:r w:rsidR="005E6CD3" w:rsidRPr="005E6CD3">
        <w:rPr>
          <w:szCs w:val="20"/>
        </w:rPr>
        <w:t xml:space="preserve">the Greenyard Foods Group </w:t>
      </w:r>
      <w:r w:rsidRPr="00992199">
        <w:rPr>
          <w:szCs w:val="20"/>
        </w:rPr>
        <w:t xml:space="preserve">is strongly dependent on the evolution of energy prices (mainly gas, </w:t>
      </w:r>
      <w:r w:rsidR="00E34880">
        <w:rPr>
          <w:szCs w:val="20"/>
        </w:rPr>
        <w:t>electricity</w:t>
      </w:r>
      <w:r w:rsidR="00A07615">
        <w:rPr>
          <w:szCs w:val="20"/>
        </w:rPr>
        <w:t xml:space="preserve"> </w:t>
      </w:r>
      <w:r w:rsidRPr="00992199">
        <w:rPr>
          <w:szCs w:val="20"/>
        </w:rPr>
        <w:t>and oil prices).</w:t>
      </w:r>
    </w:p>
    <w:p w:rsidR="003F0BC5" w:rsidRPr="00992199" w:rsidRDefault="003F0BC5" w:rsidP="00353B80">
      <w:pPr>
        <w:pStyle w:val="Firm5L4"/>
        <w:keepNext/>
      </w:pPr>
      <w:r w:rsidRPr="00992199">
        <w:t>Exchange rate risk</w:t>
      </w:r>
    </w:p>
    <w:p w:rsidR="003F0BC5" w:rsidRPr="00992199" w:rsidRDefault="005E6CD3" w:rsidP="003F0BC5">
      <w:pPr>
        <w:rPr>
          <w:szCs w:val="20"/>
        </w:rPr>
      </w:pPr>
      <w:r>
        <w:rPr>
          <w:szCs w:val="20"/>
        </w:rPr>
        <w:t xml:space="preserve">The Greenyard Foods Group </w:t>
      </w:r>
      <w:r w:rsidR="003F0BC5" w:rsidRPr="00992199">
        <w:rPr>
          <w:szCs w:val="20"/>
        </w:rPr>
        <w:t xml:space="preserve">is subject to fluctuations in exchange rates which could lead to a profit or loss in currency transactions. Like any company with non-euro sales, the </w:t>
      </w:r>
      <w:r w:rsidR="002A1AB1">
        <w:rPr>
          <w:szCs w:val="20"/>
        </w:rPr>
        <w:t>Greenyard Foods</w:t>
      </w:r>
      <w:r w:rsidR="003F0BC5" w:rsidRPr="00992199">
        <w:rPr>
          <w:szCs w:val="20"/>
        </w:rPr>
        <w:t xml:space="preserve"> Group is subject to the normal exchange rate risks.</w:t>
      </w:r>
    </w:p>
    <w:p w:rsidR="003F0BC5" w:rsidRPr="00992199" w:rsidRDefault="003F0BC5" w:rsidP="003F0BC5">
      <w:pPr>
        <w:rPr>
          <w:szCs w:val="20"/>
        </w:rPr>
      </w:pPr>
      <w:r w:rsidRPr="00992199">
        <w:rPr>
          <w:szCs w:val="20"/>
        </w:rPr>
        <w:t xml:space="preserve">The British pound and the Brazilian Real are the most important non-euro currencies for the </w:t>
      </w:r>
      <w:r w:rsidR="002A1AB1">
        <w:rPr>
          <w:szCs w:val="20"/>
        </w:rPr>
        <w:t>Greenyard Foods</w:t>
      </w:r>
      <w:r w:rsidRPr="00992199">
        <w:rPr>
          <w:szCs w:val="20"/>
        </w:rPr>
        <w:t xml:space="preserve"> Group and in minor importance as well the Polish Zloty and the Hungarian Forint. In addition, there are also purchase and sales contracts in US Dollar and Australian Dollar. These are limited and the </w:t>
      </w:r>
      <w:r w:rsidR="002A1AB1">
        <w:rPr>
          <w:szCs w:val="20"/>
        </w:rPr>
        <w:t>Greenyard Foods</w:t>
      </w:r>
      <w:r w:rsidRPr="00992199">
        <w:rPr>
          <w:szCs w:val="20"/>
        </w:rPr>
        <w:t xml:space="preserve"> Group strives for a natural hedging.</w:t>
      </w:r>
    </w:p>
    <w:p w:rsidR="003F0BC5" w:rsidRPr="00992199" w:rsidRDefault="005E6CD3" w:rsidP="003F0BC5">
      <w:pPr>
        <w:rPr>
          <w:szCs w:val="20"/>
        </w:rPr>
      </w:pPr>
      <w:r>
        <w:rPr>
          <w:szCs w:val="20"/>
        </w:rPr>
        <w:t xml:space="preserve">The Greenyard Foods Group </w:t>
      </w:r>
      <w:r w:rsidR="003F0BC5" w:rsidRPr="00992199">
        <w:rPr>
          <w:szCs w:val="20"/>
        </w:rPr>
        <w:t xml:space="preserve">makes use of forward contracts as a function of the expected sales in order to partially </w:t>
      </w:r>
      <w:r w:rsidR="00A07615" w:rsidRPr="00992199">
        <w:rPr>
          <w:szCs w:val="20"/>
        </w:rPr>
        <w:t>hedge against</w:t>
      </w:r>
      <w:r w:rsidR="003F0BC5" w:rsidRPr="00992199">
        <w:rPr>
          <w:szCs w:val="20"/>
        </w:rPr>
        <w:t xml:space="preserve"> negative exchange rate evolutions. As per 31 March 2015 there are several hedging instruments for exchange rate risk outstanding. The total net fair value (marked to market value) amounted to </w:t>
      </w:r>
      <w:r w:rsidR="00E53641">
        <w:rPr>
          <w:szCs w:val="20"/>
        </w:rPr>
        <w:t>EUR </w:t>
      </w:r>
      <w:r w:rsidR="003F0BC5" w:rsidRPr="00992199">
        <w:rPr>
          <w:szCs w:val="20"/>
        </w:rPr>
        <w:t>-1,300,000 as per 31 March 2015.</w:t>
      </w:r>
    </w:p>
    <w:p w:rsidR="003F0BC5" w:rsidRPr="00992199" w:rsidRDefault="003F0BC5" w:rsidP="00353B80">
      <w:pPr>
        <w:pStyle w:val="Firm5L4"/>
        <w:keepNext/>
      </w:pPr>
      <w:r w:rsidRPr="00992199">
        <w:t>Interest-rate risk</w:t>
      </w:r>
    </w:p>
    <w:p w:rsidR="003F0BC5" w:rsidRPr="00992199" w:rsidRDefault="003F0BC5" w:rsidP="003F0BC5">
      <w:pPr>
        <w:rPr>
          <w:szCs w:val="20"/>
        </w:rPr>
      </w:pPr>
      <w:r w:rsidRPr="00992199">
        <w:rPr>
          <w:szCs w:val="20"/>
        </w:rPr>
        <w:t xml:space="preserve">The interest-rate risk of the </w:t>
      </w:r>
      <w:r w:rsidR="002A1AB1">
        <w:rPr>
          <w:szCs w:val="20"/>
        </w:rPr>
        <w:t>Greenyard Foods</w:t>
      </w:r>
      <w:r w:rsidRPr="00992199">
        <w:rPr>
          <w:szCs w:val="20"/>
        </w:rPr>
        <w:t xml:space="preserve"> Group is spread in fixed and variable interest rates. </w:t>
      </w:r>
      <w:r w:rsidR="002A1AB1">
        <w:rPr>
          <w:szCs w:val="20"/>
        </w:rPr>
        <w:t>Greenyard Foods</w:t>
      </w:r>
      <w:r w:rsidRPr="00992199">
        <w:rPr>
          <w:szCs w:val="20"/>
        </w:rPr>
        <w:t xml:space="preserve"> issued a Bond with a fixed interest rate of 5%. On the other hand, the </w:t>
      </w:r>
      <w:r w:rsidR="002A1AB1">
        <w:rPr>
          <w:szCs w:val="20"/>
        </w:rPr>
        <w:t>Greenyard Foods</w:t>
      </w:r>
      <w:r w:rsidRPr="00992199">
        <w:rPr>
          <w:szCs w:val="20"/>
        </w:rPr>
        <w:t xml:space="preserve"> Group is subject to variable interest rates on the revolving credit facility and term loan signed with a bank consortium in December 2013. The </w:t>
      </w:r>
      <w:r w:rsidR="002A1AB1">
        <w:rPr>
          <w:szCs w:val="20"/>
        </w:rPr>
        <w:t>Greenyard Foods</w:t>
      </w:r>
      <w:r w:rsidRPr="00992199">
        <w:rPr>
          <w:szCs w:val="20"/>
        </w:rPr>
        <w:t xml:space="preserve"> Group hedges partly the variable interest rates of the revolving facility agreement and term loan against increases of the variable interest rates and closed a number of interest rate swaps. The total fair value (marked to market value) is </w:t>
      </w:r>
      <w:r w:rsidR="00E53641">
        <w:rPr>
          <w:szCs w:val="20"/>
        </w:rPr>
        <w:t>EUR </w:t>
      </w:r>
      <w:r w:rsidRPr="00992199">
        <w:rPr>
          <w:szCs w:val="20"/>
        </w:rPr>
        <w:t>-900,000 on 31 March 2015.</w:t>
      </w:r>
    </w:p>
    <w:p w:rsidR="003F0BC5" w:rsidRPr="00992199" w:rsidRDefault="003F0BC5" w:rsidP="003F0BC5">
      <w:pPr>
        <w:rPr>
          <w:szCs w:val="20"/>
        </w:rPr>
      </w:pPr>
      <w:r w:rsidRPr="00992199">
        <w:rPr>
          <w:szCs w:val="20"/>
        </w:rPr>
        <w:t xml:space="preserve">The maximum hedging period </w:t>
      </w:r>
      <w:r w:rsidR="00EE30F6">
        <w:rPr>
          <w:szCs w:val="20"/>
        </w:rPr>
        <w:t>for</w:t>
      </w:r>
      <w:r w:rsidRPr="00992199">
        <w:rPr>
          <w:szCs w:val="20"/>
        </w:rPr>
        <w:t xml:space="preserve"> the outstanding interest rate swaps </w:t>
      </w:r>
      <w:r w:rsidR="00EE30F6">
        <w:rPr>
          <w:szCs w:val="20"/>
        </w:rPr>
        <w:t>on the long term financing continues to run until November 2024</w:t>
      </w:r>
      <w:r w:rsidRPr="00992199">
        <w:rPr>
          <w:szCs w:val="20"/>
        </w:rPr>
        <w:t>.</w:t>
      </w:r>
    </w:p>
    <w:p w:rsidR="003F0BC5" w:rsidRPr="00992199" w:rsidRDefault="003F0BC5" w:rsidP="00353B80">
      <w:pPr>
        <w:pStyle w:val="Firm5L2"/>
        <w:keepNext/>
      </w:pPr>
      <w:bookmarkStart w:id="69" w:name="_Toc420593882"/>
      <w:r w:rsidRPr="00992199">
        <w:t>Results of operations</w:t>
      </w:r>
      <w:bookmarkEnd w:id="69"/>
    </w:p>
    <w:p w:rsidR="003F0BC5" w:rsidRPr="00992199" w:rsidRDefault="003F0BC5" w:rsidP="003F0BC5">
      <w:pPr>
        <w:rPr>
          <w:szCs w:val="20"/>
        </w:rPr>
      </w:pPr>
      <w:r w:rsidRPr="00992199">
        <w:rPr>
          <w:szCs w:val="20"/>
        </w:rPr>
        <w:t xml:space="preserve">The following table sets forth certain income statement data for the </w:t>
      </w:r>
      <w:r w:rsidR="00EA66F3">
        <w:rPr>
          <w:szCs w:val="20"/>
        </w:rPr>
        <w:t xml:space="preserve">financial </w:t>
      </w:r>
      <w:r w:rsidRPr="00992199">
        <w:rPr>
          <w:szCs w:val="20"/>
        </w:rPr>
        <w:t>years ended 31 March 2015 and 2014:</w:t>
      </w:r>
    </w:p>
    <w:tbl>
      <w:tblPr>
        <w:tblW w:w="5103" w:type="pct"/>
        <w:tblLook w:val="0000" w:firstRow="0" w:lastRow="0" w:firstColumn="0" w:lastColumn="0" w:noHBand="0" w:noVBand="0"/>
      </w:tblPr>
      <w:tblGrid>
        <w:gridCol w:w="5384"/>
        <w:gridCol w:w="1585"/>
        <w:gridCol w:w="1217"/>
        <w:gridCol w:w="1249"/>
      </w:tblGrid>
      <w:tr w:rsidR="009D174C" w:rsidRPr="009D174C" w:rsidTr="00AB62FC">
        <w:tc>
          <w:tcPr>
            <w:tcW w:w="2853" w:type="pct"/>
            <w:vAlign w:val="center"/>
          </w:tcPr>
          <w:p w:rsidR="009D174C" w:rsidRPr="009D174C" w:rsidRDefault="009D174C" w:rsidP="009D174C">
            <w:pPr>
              <w:pStyle w:val="NormalWeb"/>
              <w:spacing w:before="0" w:after="0"/>
              <w:ind w:left="240" w:hanging="240"/>
              <w:jc w:val="left"/>
              <w:rPr>
                <w:bCs/>
                <w:i/>
                <w:sz w:val="18"/>
                <w:szCs w:val="18"/>
              </w:rPr>
            </w:pPr>
            <w:r w:rsidRPr="009D174C">
              <w:rPr>
                <w:bCs/>
                <w:i/>
                <w:sz w:val="18"/>
                <w:szCs w:val="18"/>
              </w:rPr>
              <w:t>(</w:t>
            </w:r>
            <w:r w:rsidR="00E53641">
              <w:rPr>
                <w:bCs/>
                <w:i/>
                <w:sz w:val="18"/>
                <w:szCs w:val="18"/>
              </w:rPr>
              <w:t>EUR </w:t>
            </w:r>
            <w:r w:rsidRPr="009D174C">
              <w:rPr>
                <w:bCs/>
                <w:i/>
                <w:sz w:val="18"/>
                <w:szCs w:val="18"/>
              </w:rPr>
              <w:t>in millions)</w:t>
            </w:r>
          </w:p>
        </w:tc>
        <w:tc>
          <w:tcPr>
            <w:tcW w:w="840" w:type="pct"/>
            <w:vAlign w:val="bottom"/>
          </w:tcPr>
          <w:p w:rsidR="009D174C" w:rsidRPr="009D174C" w:rsidRDefault="009D174C" w:rsidP="009D174C">
            <w:pPr>
              <w:pBdr>
                <w:bottom w:val="single" w:sz="4" w:space="1" w:color="auto"/>
              </w:pBdr>
              <w:spacing w:before="0" w:after="0"/>
              <w:ind w:left="368" w:hanging="227"/>
              <w:jc w:val="center"/>
              <w:rPr>
                <w:sz w:val="18"/>
                <w:szCs w:val="18"/>
              </w:rPr>
            </w:pPr>
            <w:r w:rsidRPr="009D174C">
              <w:rPr>
                <w:b/>
                <w:bCs/>
                <w:sz w:val="18"/>
                <w:szCs w:val="18"/>
              </w:rPr>
              <w:t xml:space="preserve">Year ended </w:t>
            </w:r>
            <w:r w:rsidRPr="009D174C">
              <w:rPr>
                <w:b/>
                <w:bCs/>
                <w:sz w:val="18"/>
                <w:szCs w:val="18"/>
              </w:rPr>
              <w:br/>
              <w:t>31 March 2015</w:t>
            </w:r>
          </w:p>
        </w:tc>
        <w:tc>
          <w:tcPr>
            <w:tcW w:w="645" w:type="pct"/>
          </w:tcPr>
          <w:p w:rsidR="009D174C" w:rsidRPr="009D174C" w:rsidRDefault="009D174C" w:rsidP="009D174C">
            <w:pPr>
              <w:pBdr>
                <w:bottom w:val="single" w:sz="4" w:space="1" w:color="auto"/>
              </w:pBdr>
              <w:spacing w:before="0" w:after="0"/>
              <w:jc w:val="center"/>
              <w:rPr>
                <w:b/>
                <w:bCs/>
                <w:sz w:val="18"/>
                <w:szCs w:val="18"/>
              </w:rPr>
            </w:pPr>
            <w:r w:rsidRPr="009D174C">
              <w:rPr>
                <w:b/>
                <w:bCs/>
                <w:sz w:val="18"/>
                <w:szCs w:val="18"/>
              </w:rPr>
              <w:t>Year ended 31 March 2014</w:t>
            </w:r>
          </w:p>
        </w:tc>
        <w:tc>
          <w:tcPr>
            <w:tcW w:w="662" w:type="pct"/>
            <w:vAlign w:val="bottom"/>
          </w:tcPr>
          <w:p w:rsidR="009D174C" w:rsidRPr="009D174C" w:rsidRDefault="009D174C" w:rsidP="009D174C">
            <w:pPr>
              <w:pBdr>
                <w:bottom w:val="single" w:sz="4" w:space="1" w:color="auto"/>
              </w:pBdr>
              <w:spacing w:before="0" w:after="0"/>
              <w:jc w:val="center"/>
              <w:rPr>
                <w:sz w:val="18"/>
                <w:szCs w:val="18"/>
              </w:rPr>
            </w:pPr>
            <w:r w:rsidRPr="009D174C">
              <w:rPr>
                <w:b/>
                <w:bCs/>
                <w:sz w:val="18"/>
                <w:szCs w:val="18"/>
              </w:rPr>
              <w:t>Year ended 31 March</w:t>
            </w:r>
            <w:r w:rsidRPr="009D174C">
              <w:rPr>
                <w:b/>
                <w:bCs/>
                <w:sz w:val="18"/>
                <w:szCs w:val="18"/>
              </w:rPr>
              <w:br/>
              <w:t>2013</w:t>
            </w:r>
          </w:p>
        </w:tc>
      </w:tr>
      <w:tr w:rsidR="009D174C" w:rsidRPr="009D174C" w:rsidTr="00AB62FC">
        <w:trPr>
          <w:trHeight w:val="332"/>
        </w:trPr>
        <w:tc>
          <w:tcPr>
            <w:tcW w:w="2853" w:type="pct"/>
          </w:tcPr>
          <w:p w:rsidR="009D174C" w:rsidRPr="009D174C" w:rsidRDefault="009D174C" w:rsidP="009D174C">
            <w:pPr>
              <w:pStyle w:val="NormalWeb"/>
              <w:spacing w:before="0" w:after="0"/>
              <w:rPr>
                <w:b/>
                <w:bCs/>
                <w:sz w:val="18"/>
                <w:szCs w:val="18"/>
              </w:rPr>
            </w:pPr>
            <w:r w:rsidRPr="009D174C">
              <w:rPr>
                <w:b/>
                <w:bCs/>
                <w:sz w:val="18"/>
                <w:szCs w:val="18"/>
              </w:rPr>
              <w:t>Summary Consolidated Statement of Income Data</w:t>
            </w:r>
          </w:p>
        </w:tc>
        <w:tc>
          <w:tcPr>
            <w:tcW w:w="840" w:type="pct"/>
          </w:tcPr>
          <w:p w:rsidR="009D174C" w:rsidRPr="009D174C" w:rsidRDefault="009D174C" w:rsidP="009D174C">
            <w:pPr>
              <w:pStyle w:val="la24"/>
              <w:spacing w:before="0" w:after="0"/>
              <w:jc w:val="right"/>
              <w:rPr>
                <w:noProof w:val="0"/>
                <w:sz w:val="18"/>
                <w:szCs w:val="18"/>
                <w:lang w:val="en-GB"/>
              </w:rPr>
            </w:pPr>
            <w:r w:rsidRPr="009D174C">
              <w:rPr>
                <w:noProof w:val="0"/>
                <w:sz w:val="18"/>
                <w:szCs w:val="18"/>
                <w:lang w:val="en-GB"/>
              </w:rPr>
              <w:t> </w:t>
            </w:r>
          </w:p>
        </w:tc>
        <w:tc>
          <w:tcPr>
            <w:tcW w:w="645" w:type="pct"/>
          </w:tcPr>
          <w:p w:rsidR="009D174C" w:rsidRPr="009D174C" w:rsidRDefault="009D174C" w:rsidP="009D174C">
            <w:pPr>
              <w:pStyle w:val="la24"/>
              <w:spacing w:before="0" w:after="0"/>
              <w:jc w:val="right"/>
              <w:rPr>
                <w:noProof w:val="0"/>
                <w:sz w:val="18"/>
                <w:szCs w:val="18"/>
                <w:lang w:val="en-GB"/>
              </w:rPr>
            </w:pPr>
          </w:p>
        </w:tc>
        <w:tc>
          <w:tcPr>
            <w:tcW w:w="662" w:type="pct"/>
          </w:tcPr>
          <w:p w:rsidR="009D174C" w:rsidRPr="009D174C" w:rsidRDefault="009D174C" w:rsidP="009D174C">
            <w:pPr>
              <w:pStyle w:val="la24"/>
              <w:spacing w:before="0" w:after="0"/>
              <w:jc w:val="right"/>
              <w:rPr>
                <w:noProof w:val="0"/>
                <w:sz w:val="18"/>
                <w:szCs w:val="18"/>
                <w:lang w:val="en-GB"/>
              </w:rPr>
            </w:pPr>
            <w:r w:rsidRPr="009D174C">
              <w:rPr>
                <w:noProof w:val="0"/>
                <w:sz w:val="18"/>
                <w:szCs w:val="18"/>
                <w:lang w:val="en-GB"/>
              </w:rPr>
              <w:t> </w:t>
            </w:r>
          </w:p>
        </w:tc>
      </w:tr>
      <w:tr w:rsidR="009D174C" w:rsidRPr="009D174C" w:rsidTr="00AB62FC">
        <w:tc>
          <w:tcPr>
            <w:tcW w:w="2853" w:type="pct"/>
          </w:tcPr>
          <w:p w:rsidR="009D174C" w:rsidRPr="009D174C" w:rsidRDefault="009D174C" w:rsidP="009D174C">
            <w:pPr>
              <w:pStyle w:val="NormalWeb"/>
              <w:tabs>
                <w:tab w:val="right" w:leader="dot" w:pos="5160"/>
              </w:tabs>
              <w:spacing w:before="0" w:after="0"/>
              <w:ind w:left="240" w:hanging="240"/>
              <w:rPr>
                <w:sz w:val="18"/>
                <w:szCs w:val="18"/>
              </w:rPr>
            </w:pPr>
            <w:r w:rsidRPr="009D174C">
              <w:rPr>
                <w:sz w:val="18"/>
                <w:szCs w:val="18"/>
              </w:rPr>
              <w:t>Sales</w:t>
            </w:r>
            <w:r w:rsidRPr="009D174C">
              <w:rPr>
                <w:sz w:val="18"/>
                <w:szCs w:val="18"/>
              </w:rPr>
              <w:tab/>
            </w:r>
          </w:p>
        </w:tc>
        <w:tc>
          <w:tcPr>
            <w:tcW w:w="840" w:type="pct"/>
            <w:noWrap/>
          </w:tcPr>
          <w:p w:rsidR="009D174C" w:rsidRPr="009D174C" w:rsidRDefault="009D174C" w:rsidP="009D174C">
            <w:pPr>
              <w:pStyle w:val="NormalWeb"/>
              <w:tabs>
                <w:tab w:val="right" w:pos="720"/>
                <w:tab w:val="decimal" w:pos="760"/>
              </w:tabs>
              <w:spacing w:before="0" w:after="0"/>
              <w:jc w:val="right"/>
              <w:rPr>
                <w:bCs/>
                <w:sz w:val="18"/>
                <w:szCs w:val="18"/>
              </w:rPr>
            </w:pPr>
            <w:r w:rsidRPr="009D174C">
              <w:rPr>
                <w:bCs/>
                <w:sz w:val="18"/>
                <w:szCs w:val="18"/>
              </w:rPr>
              <w:t>635.4</w:t>
            </w:r>
          </w:p>
        </w:tc>
        <w:tc>
          <w:tcPr>
            <w:tcW w:w="645" w:type="pct"/>
          </w:tcPr>
          <w:p w:rsidR="009D174C" w:rsidRPr="009D174C" w:rsidRDefault="009D174C" w:rsidP="009D174C">
            <w:pPr>
              <w:pStyle w:val="NormalWeb"/>
              <w:tabs>
                <w:tab w:val="right" w:pos="720"/>
                <w:tab w:val="decimal" w:pos="760"/>
              </w:tabs>
              <w:spacing w:before="0" w:after="0"/>
              <w:jc w:val="right"/>
              <w:rPr>
                <w:bCs/>
                <w:sz w:val="18"/>
                <w:szCs w:val="18"/>
              </w:rPr>
            </w:pPr>
            <w:r w:rsidRPr="009D174C">
              <w:rPr>
                <w:bCs/>
                <w:sz w:val="18"/>
                <w:szCs w:val="18"/>
              </w:rPr>
              <w:t>623.1</w:t>
            </w:r>
          </w:p>
        </w:tc>
        <w:tc>
          <w:tcPr>
            <w:tcW w:w="662" w:type="pct"/>
            <w:noWrap/>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612.1</w:t>
            </w:r>
          </w:p>
        </w:tc>
      </w:tr>
      <w:tr w:rsidR="009D174C" w:rsidRPr="009D174C" w:rsidTr="00AB62FC">
        <w:tc>
          <w:tcPr>
            <w:tcW w:w="2853" w:type="pct"/>
          </w:tcPr>
          <w:p w:rsidR="009D174C" w:rsidRPr="009D174C" w:rsidRDefault="009D174C" w:rsidP="009D174C">
            <w:pPr>
              <w:pStyle w:val="NormalWeb"/>
              <w:tabs>
                <w:tab w:val="right" w:leader="dot" w:pos="5160"/>
              </w:tabs>
              <w:spacing w:before="0" w:after="0"/>
              <w:ind w:left="240" w:hanging="240"/>
              <w:rPr>
                <w:sz w:val="18"/>
                <w:szCs w:val="18"/>
              </w:rPr>
            </w:pPr>
            <w:r w:rsidRPr="009D174C">
              <w:rPr>
                <w:sz w:val="18"/>
                <w:szCs w:val="18"/>
              </w:rPr>
              <w:t>Increase/decrease (-) in inventories: finished goods and work in progress</w:t>
            </w:r>
            <w:r w:rsidRPr="009D174C">
              <w:rPr>
                <w:sz w:val="18"/>
                <w:szCs w:val="18"/>
              </w:rPr>
              <w:tab/>
            </w:r>
          </w:p>
        </w:tc>
        <w:tc>
          <w:tcPr>
            <w:tcW w:w="840" w:type="pct"/>
            <w:noWrap/>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7.2</w:t>
            </w:r>
          </w:p>
        </w:tc>
        <w:tc>
          <w:tcPr>
            <w:tcW w:w="645" w:type="pct"/>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22.9</w:t>
            </w:r>
          </w:p>
        </w:tc>
        <w:tc>
          <w:tcPr>
            <w:tcW w:w="662" w:type="pct"/>
            <w:noWrap/>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3.7</w:t>
            </w:r>
          </w:p>
          <w:p w:rsidR="009D174C" w:rsidRPr="009D174C" w:rsidRDefault="009D174C" w:rsidP="009D174C">
            <w:pPr>
              <w:pStyle w:val="NormalWeb"/>
              <w:tabs>
                <w:tab w:val="right" w:pos="720"/>
                <w:tab w:val="decimal" w:pos="760"/>
              </w:tabs>
              <w:spacing w:before="0" w:after="0"/>
              <w:jc w:val="right"/>
              <w:rPr>
                <w:sz w:val="18"/>
                <w:szCs w:val="18"/>
              </w:rPr>
            </w:pPr>
          </w:p>
        </w:tc>
      </w:tr>
      <w:tr w:rsidR="009D174C" w:rsidRPr="009D174C" w:rsidTr="00AB62FC">
        <w:trPr>
          <w:trHeight w:val="267"/>
        </w:trPr>
        <w:tc>
          <w:tcPr>
            <w:tcW w:w="2853" w:type="pct"/>
          </w:tcPr>
          <w:p w:rsidR="009D174C" w:rsidRPr="009D174C" w:rsidRDefault="009D174C" w:rsidP="009D174C">
            <w:pPr>
              <w:pStyle w:val="NormalWeb"/>
              <w:tabs>
                <w:tab w:val="right" w:leader="dot" w:pos="5160"/>
              </w:tabs>
              <w:spacing w:before="0" w:after="0"/>
              <w:ind w:left="240" w:hanging="240"/>
              <w:rPr>
                <w:sz w:val="18"/>
                <w:szCs w:val="18"/>
              </w:rPr>
            </w:pPr>
            <w:r w:rsidRPr="009D174C">
              <w:rPr>
                <w:sz w:val="18"/>
                <w:szCs w:val="18"/>
              </w:rPr>
              <w:t>Other operating income</w:t>
            </w:r>
            <w:r w:rsidRPr="009D174C">
              <w:rPr>
                <w:sz w:val="18"/>
                <w:szCs w:val="18"/>
              </w:rPr>
              <w:tab/>
            </w:r>
          </w:p>
          <w:p w:rsidR="009D174C" w:rsidRPr="009D174C" w:rsidRDefault="009D174C" w:rsidP="009D174C">
            <w:pPr>
              <w:pStyle w:val="la24"/>
              <w:spacing w:before="0" w:after="0"/>
              <w:rPr>
                <w:sz w:val="18"/>
                <w:szCs w:val="18"/>
              </w:rPr>
            </w:pPr>
            <w:r w:rsidRPr="009D174C">
              <w:rPr>
                <w:noProof w:val="0"/>
                <w:sz w:val="18"/>
                <w:szCs w:val="18"/>
                <w:lang w:val="en-GB"/>
              </w:rPr>
              <w:t> </w:t>
            </w:r>
          </w:p>
        </w:tc>
        <w:tc>
          <w:tcPr>
            <w:tcW w:w="840" w:type="pct"/>
            <w:noWrap/>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13.1</w:t>
            </w:r>
          </w:p>
        </w:tc>
        <w:tc>
          <w:tcPr>
            <w:tcW w:w="645" w:type="pct"/>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13.0</w:t>
            </w:r>
          </w:p>
        </w:tc>
        <w:tc>
          <w:tcPr>
            <w:tcW w:w="662" w:type="pct"/>
            <w:noWrap/>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12.0</w:t>
            </w:r>
          </w:p>
        </w:tc>
      </w:tr>
      <w:tr w:rsidR="009D174C" w:rsidRPr="009D174C" w:rsidTr="00AB62FC">
        <w:tc>
          <w:tcPr>
            <w:tcW w:w="2853" w:type="pct"/>
          </w:tcPr>
          <w:p w:rsidR="009D174C" w:rsidRPr="009D174C" w:rsidRDefault="009D174C" w:rsidP="009D174C">
            <w:pPr>
              <w:pStyle w:val="NormalWeb"/>
              <w:tabs>
                <w:tab w:val="right" w:leader="dot" w:pos="5160"/>
              </w:tabs>
              <w:spacing w:before="0" w:after="0"/>
              <w:ind w:left="240" w:hanging="240"/>
              <w:rPr>
                <w:sz w:val="18"/>
                <w:szCs w:val="18"/>
              </w:rPr>
            </w:pPr>
            <w:r w:rsidRPr="009D174C">
              <w:rPr>
                <w:sz w:val="18"/>
                <w:szCs w:val="18"/>
              </w:rPr>
              <w:t>Raw materials, consumables and goods for resale</w:t>
            </w:r>
            <w:r w:rsidRPr="009D174C">
              <w:rPr>
                <w:bCs/>
                <w:sz w:val="18"/>
                <w:szCs w:val="18"/>
              </w:rPr>
              <w:tab/>
            </w:r>
          </w:p>
        </w:tc>
        <w:tc>
          <w:tcPr>
            <w:tcW w:w="840" w:type="pct"/>
            <w:noWrap/>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(360.1)</w:t>
            </w:r>
          </w:p>
        </w:tc>
        <w:tc>
          <w:tcPr>
            <w:tcW w:w="645" w:type="pct"/>
          </w:tcPr>
          <w:p w:rsidR="009D174C" w:rsidRPr="009D174C" w:rsidRDefault="009D174C" w:rsidP="009D174C">
            <w:pPr>
              <w:pStyle w:val="NormalWeb"/>
              <w:tabs>
                <w:tab w:val="right" w:pos="720"/>
                <w:tab w:val="decimal" w:pos="760"/>
              </w:tabs>
              <w:spacing w:before="0" w:after="0"/>
              <w:jc w:val="right"/>
              <w:rPr>
                <w:bCs/>
                <w:sz w:val="18"/>
                <w:szCs w:val="18"/>
              </w:rPr>
            </w:pPr>
            <w:r w:rsidRPr="009D174C">
              <w:rPr>
                <w:bCs/>
                <w:sz w:val="18"/>
                <w:szCs w:val="18"/>
              </w:rPr>
              <w:t>(370.2)</w:t>
            </w:r>
          </w:p>
        </w:tc>
        <w:tc>
          <w:tcPr>
            <w:tcW w:w="662" w:type="pct"/>
            <w:noWrap/>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(344.4)</w:t>
            </w:r>
          </w:p>
        </w:tc>
      </w:tr>
      <w:tr w:rsidR="009D174C" w:rsidRPr="009D174C" w:rsidTr="00AB62FC">
        <w:tc>
          <w:tcPr>
            <w:tcW w:w="2853" w:type="pct"/>
          </w:tcPr>
          <w:p w:rsidR="009D174C" w:rsidRPr="009D174C" w:rsidRDefault="009D174C" w:rsidP="009D174C">
            <w:pPr>
              <w:pStyle w:val="NormalWeb"/>
              <w:tabs>
                <w:tab w:val="right" w:leader="dot" w:pos="5160"/>
              </w:tabs>
              <w:spacing w:before="0" w:after="0"/>
              <w:ind w:left="240" w:hanging="240"/>
              <w:rPr>
                <w:sz w:val="18"/>
                <w:szCs w:val="18"/>
              </w:rPr>
            </w:pPr>
            <w:r w:rsidRPr="009D174C">
              <w:rPr>
                <w:sz w:val="18"/>
                <w:szCs w:val="18"/>
              </w:rPr>
              <w:t>Services and other goods</w:t>
            </w:r>
            <w:r w:rsidRPr="009D174C">
              <w:rPr>
                <w:sz w:val="18"/>
                <w:szCs w:val="18"/>
              </w:rPr>
              <w:tab/>
            </w:r>
          </w:p>
        </w:tc>
        <w:tc>
          <w:tcPr>
            <w:tcW w:w="840" w:type="pct"/>
            <w:noWrap/>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(135.9)</w:t>
            </w:r>
          </w:p>
        </w:tc>
        <w:tc>
          <w:tcPr>
            <w:tcW w:w="645" w:type="pct"/>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(143.7)</w:t>
            </w:r>
          </w:p>
        </w:tc>
        <w:tc>
          <w:tcPr>
            <w:tcW w:w="662" w:type="pct"/>
            <w:noWrap/>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(148.3)</w:t>
            </w:r>
          </w:p>
        </w:tc>
      </w:tr>
      <w:tr w:rsidR="009D174C" w:rsidRPr="009D174C" w:rsidTr="00AB62FC">
        <w:tc>
          <w:tcPr>
            <w:tcW w:w="2853" w:type="pct"/>
          </w:tcPr>
          <w:p w:rsidR="009D174C" w:rsidRPr="009D174C" w:rsidRDefault="009D174C" w:rsidP="009D174C">
            <w:pPr>
              <w:pStyle w:val="NormalWeb"/>
              <w:tabs>
                <w:tab w:val="right" w:leader="dot" w:pos="5160"/>
              </w:tabs>
              <w:spacing w:before="0" w:after="0"/>
              <w:ind w:left="240" w:hanging="240"/>
              <w:rPr>
                <w:sz w:val="18"/>
                <w:szCs w:val="18"/>
              </w:rPr>
            </w:pPr>
            <w:r w:rsidRPr="009D174C">
              <w:rPr>
                <w:sz w:val="18"/>
                <w:szCs w:val="18"/>
              </w:rPr>
              <w:t>Personnel costs</w:t>
            </w:r>
            <w:r w:rsidRPr="009D174C">
              <w:rPr>
                <w:sz w:val="18"/>
                <w:szCs w:val="18"/>
              </w:rPr>
              <w:tab/>
            </w:r>
          </w:p>
        </w:tc>
        <w:tc>
          <w:tcPr>
            <w:tcW w:w="840" w:type="pct"/>
            <w:noWrap/>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(90.7)</w:t>
            </w:r>
          </w:p>
        </w:tc>
        <w:tc>
          <w:tcPr>
            <w:tcW w:w="645" w:type="pct"/>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(87.8)</w:t>
            </w:r>
          </w:p>
        </w:tc>
        <w:tc>
          <w:tcPr>
            <w:tcW w:w="662" w:type="pct"/>
            <w:noWrap/>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(85.3)</w:t>
            </w:r>
          </w:p>
        </w:tc>
      </w:tr>
      <w:tr w:rsidR="009D174C" w:rsidRPr="009D174C" w:rsidTr="00AB62FC">
        <w:tc>
          <w:tcPr>
            <w:tcW w:w="2853" w:type="pct"/>
          </w:tcPr>
          <w:p w:rsidR="009D174C" w:rsidRPr="009D174C" w:rsidRDefault="009D174C" w:rsidP="009D174C">
            <w:pPr>
              <w:pStyle w:val="NormalWeb"/>
              <w:tabs>
                <w:tab w:val="right" w:leader="dot" w:pos="5160"/>
              </w:tabs>
              <w:spacing w:before="0" w:after="0"/>
              <w:ind w:left="240" w:hanging="240"/>
              <w:rPr>
                <w:sz w:val="18"/>
                <w:szCs w:val="18"/>
              </w:rPr>
            </w:pPr>
            <w:r w:rsidRPr="009D174C">
              <w:rPr>
                <w:sz w:val="18"/>
                <w:szCs w:val="18"/>
              </w:rPr>
              <w:t>Depreciation and amortisation</w:t>
            </w:r>
            <w:r w:rsidRPr="009D174C">
              <w:rPr>
                <w:sz w:val="18"/>
                <w:szCs w:val="18"/>
              </w:rPr>
              <w:tab/>
            </w:r>
          </w:p>
        </w:tc>
        <w:tc>
          <w:tcPr>
            <w:tcW w:w="840" w:type="pct"/>
            <w:noWrap/>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(30.4)</w:t>
            </w:r>
          </w:p>
        </w:tc>
        <w:tc>
          <w:tcPr>
            <w:tcW w:w="645" w:type="pct"/>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(25.9)</w:t>
            </w:r>
          </w:p>
        </w:tc>
        <w:tc>
          <w:tcPr>
            <w:tcW w:w="662" w:type="pct"/>
            <w:noWrap/>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(20.3)</w:t>
            </w:r>
          </w:p>
        </w:tc>
      </w:tr>
      <w:tr w:rsidR="009D174C" w:rsidRPr="009D174C" w:rsidTr="00AB62FC">
        <w:tc>
          <w:tcPr>
            <w:tcW w:w="2853" w:type="pct"/>
          </w:tcPr>
          <w:p w:rsidR="009D174C" w:rsidRPr="009D174C" w:rsidRDefault="009D174C" w:rsidP="009D174C">
            <w:pPr>
              <w:pStyle w:val="NormalWeb"/>
              <w:tabs>
                <w:tab w:val="right" w:leader="dot" w:pos="5160"/>
              </w:tabs>
              <w:spacing w:before="0" w:after="0"/>
              <w:ind w:left="240" w:hanging="240"/>
              <w:rPr>
                <w:sz w:val="18"/>
                <w:szCs w:val="18"/>
              </w:rPr>
            </w:pPr>
            <w:r w:rsidRPr="009D174C">
              <w:rPr>
                <w:sz w:val="18"/>
                <w:szCs w:val="18"/>
              </w:rPr>
              <w:t>Impairment losses on assets</w:t>
            </w:r>
            <w:r w:rsidRPr="009D174C">
              <w:rPr>
                <w:sz w:val="18"/>
                <w:szCs w:val="18"/>
              </w:rPr>
              <w:tab/>
            </w:r>
          </w:p>
        </w:tc>
        <w:tc>
          <w:tcPr>
            <w:tcW w:w="840" w:type="pct"/>
            <w:noWrap/>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(0.5)</w:t>
            </w:r>
          </w:p>
        </w:tc>
        <w:tc>
          <w:tcPr>
            <w:tcW w:w="645" w:type="pct"/>
          </w:tcPr>
          <w:p w:rsidR="009D174C" w:rsidRPr="009D174C" w:rsidRDefault="009D174C" w:rsidP="009D174C">
            <w:pPr>
              <w:pStyle w:val="NormalWeb"/>
              <w:tabs>
                <w:tab w:val="right" w:pos="720"/>
                <w:tab w:val="decimal" w:pos="760"/>
              </w:tabs>
              <w:spacing w:before="0" w:after="0"/>
              <w:jc w:val="right"/>
              <w:rPr>
                <w:bCs/>
                <w:sz w:val="18"/>
                <w:szCs w:val="18"/>
              </w:rPr>
            </w:pPr>
            <w:r w:rsidRPr="009D174C">
              <w:rPr>
                <w:bCs/>
                <w:sz w:val="18"/>
                <w:szCs w:val="18"/>
              </w:rPr>
              <w:t>(4.4)</w:t>
            </w:r>
          </w:p>
        </w:tc>
        <w:tc>
          <w:tcPr>
            <w:tcW w:w="662" w:type="pct"/>
            <w:noWrap/>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w:t>
            </w:r>
          </w:p>
        </w:tc>
      </w:tr>
      <w:tr w:rsidR="009D174C" w:rsidRPr="009D174C" w:rsidTr="00AB62FC">
        <w:tc>
          <w:tcPr>
            <w:tcW w:w="2853" w:type="pct"/>
          </w:tcPr>
          <w:p w:rsidR="009D174C" w:rsidRPr="009D174C" w:rsidRDefault="009D174C" w:rsidP="009D174C">
            <w:pPr>
              <w:pStyle w:val="NormalWeb"/>
              <w:tabs>
                <w:tab w:val="right" w:leader="dot" w:pos="5160"/>
              </w:tabs>
              <w:spacing w:before="0" w:after="0"/>
              <w:ind w:left="240" w:hanging="240"/>
              <w:rPr>
                <w:sz w:val="18"/>
                <w:szCs w:val="18"/>
              </w:rPr>
            </w:pPr>
            <w:r w:rsidRPr="009D174C">
              <w:rPr>
                <w:sz w:val="18"/>
                <w:szCs w:val="18"/>
              </w:rPr>
              <w:t>Impairments, write-offs</w:t>
            </w:r>
            <w:r w:rsidRPr="009D174C">
              <w:rPr>
                <w:sz w:val="18"/>
                <w:szCs w:val="18"/>
              </w:rPr>
              <w:tab/>
            </w:r>
          </w:p>
        </w:tc>
        <w:tc>
          <w:tcPr>
            <w:tcW w:w="840" w:type="pct"/>
            <w:noWrap/>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(2.2)</w:t>
            </w:r>
          </w:p>
        </w:tc>
        <w:tc>
          <w:tcPr>
            <w:tcW w:w="645" w:type="pct"/>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0.2</w:t>
            </w:r>
          </w:p>
        </w:tc>
        <w:tc>
          <w:tcPr>
            <w:tcW w:w="662" w:type="pct"/>
            <w:noWrap/>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(0.7)</w:t>
            </w:r>
          </w:p>
        </w:tc>
      </w:tr>
      <w:tr w:rsidR="009D174C" w:rsidRPr="009D174C" w:rsidTr="00AB62FC">
        <w:tc>
          <w:tcPr>
            <w:tcW w:w="2853" w:type="pct"/>
          </w:tcPr>
          <w:p w:rsidR="009D174C" w:rsidRPr="009D174C" w:rsidRDefault="009D174C" w:rsidP="009D174C">
            <w:pPr>
              <w:pStyle w:val="NormalWeb"/>
              <w:tabs>
                <w:tab w:val="right" w:leader="dot" w:pos="5160"/>
              </w:tabs>
              <w:spacing w:before="0" w:after="0"/>
              <w:ind w:left="240" w:hanging="240"/>
              <w:rPr>
                <w:sz w:val="18"/>
                <w:szCs w:val="18"/>
              </w:rPr>
            </w:pPr>
            <w:r w:rsidRPr="009D174C">
              <w:rPr>
                <w:sz w:val="18"/>
                <w:szCs w:val="18"/>
              </w:rPr>
              <w:t>Provisions</w:t>
            </w:r>
            <w:r w:rsidRPr="009D174C">
              <w:rPr>
                <w:sz w:val="18"/>
                <w:szCs w:val="18"/>
              </w:rPr>
              <w:tab/>
            </w:r>
          </w:p>
        </w:tc>
        <w:tc>
          <w:tcPr>
            <w:tcW w:w="840" w:type="pct"/>
            <w:noWrap/>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(0.1)</w:t>
            </w:r>
          </w:p>
        </w:tc>
        <w:tc>
          <w:tcPr>
            <w:tcW w:w="645" w:type="pct"/>
          </w:tcPr>
          <w:p w:rsidR="009D174C" w:rsidRPr="009D174C" w:rsidRDefault="009D174C" w:rsidP="009D174C">
            <w:pPr>
              <w:pStyle w:val="NormalWeb"/>
              <w:tabs>
                <w:tab w:val="right" w:pos="720"/>
                <w:tab w:val="decimal" w:pos="760"/>
              </w:tabs>
              <w:spacing w:before="0" w:after="0"/>
              <w:jc w:val="right"/>
              <w:rPr>
                <w:bCs/>
                <w:sz w:val="18"/>
                <w:szCs w:val="18"/>
              </w:rPr>
            </w:pPr>
            <w:r w:rsidRPr="009D174C">
              <w:rPr>
                <w:bCs/>
                <w:sz w:val="18"/>
                <w:szCs w:val="18"/>
              </w:rPr>
              <w:t>(0.2)</w:t>
            </w:r>
          </w:p>
        </w:tc>
        <w:tc>
          <w:tcPr>
            <w:tcW w:w="662" w:type="pct"/>
            <w:noWrap/>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(1.1)</w:t>
            </w:r>
          </w:p>
        </w:tc>
      </w:tr>
      <w:tr w:rsidR="009D174C" w:rsidRPr="009D174C" w:rsidTr="00AB62FC">
        <w:tc>
          <w:tcPr>
            <w:tcW w:w="2853" w:type="pct"/>
          </w:tcPr>
          <w:p w:rsidR="009D174C" w:rsidRPr="009D174C" w:rsidRDefault="009D174C" w:rsidP="009D174C">
            <w:pPr>
              <w:pStyle w:val="NormalWeb"/>
              <w:tabs>
                <w:tab w:val="right" w:leader="dot" w:pos="5160"/>
              </w:tabs>
              <w:spacing w:before="0" w:after="0"/>
              <w:ind w:left="240" w:hanging="240"/>
              <w:rPr>
                <w:sz w:val="18"/>
                <w:szCs w:val="18"/>
              </w:rPr>
            </w:pPr>
            <w:r w:rsidRPr="009D174C">
              <w:rPr>
                <w:sz w:val="18"/>
                <w:szCs w:val="18"/>
              </w:rPr>
              <w:t>Other operating charges</w:t>
            </w:r>
            <w:r w:rsidRPr="009D174C">
              <w:rPr>
                <w:sz w:val="18"/>
                <w:szCs w:val="18"/>
              </w:rPr>
              <w:tab/>
            </w:r>
          </w:p>
        </w:tc>
        <w:tc>
          <w:tcPr>
            <w:tcW w:w="840" w:type="pct"/>
            <w:noWrap/>
          </w:tcPr>
          <w:p w:rsidR="009D174C" w:rsidRPr="009D174C" w:rsidRDefault="009D174C" w:rsidP="009D174C">
            <w:pPr>
              <w:pStyle w:val="NormalWeb"/>
              <w:pBdr>
                <w:bottom w:val="single" w:sz="4" w:space="1" w:color="auto"/>
              </w:pBdr>
              <w:tabs>
                <w:tab w:val="right" w:pos="720"/>
                <w:tab w:val="decimal" w:pos="760"/>
              </w:tabs>
              <w:spacing w:before="0" w:after="0"/>
              <w:jc w:val="right"/>
              <w:rPr>
                <w:sz w:val="18"/>
                <w:szCs w:val="18"/>
              </w:rPr>
            </w:pPr>
            <w:r w:rsidRPr="009D174C">
              <w:rPr>
                <w:sz w:val="18"/>
                <w:szCs w:val="18"/>
              </w:rPr>
              <w:t>(5.8)</w:t>
            </w:r>
          </w:p>
        </w:tc>
        <w:tc>
          <w:tcPr>
            <w:tcW w:w="645" w:type="pct"/>
          </w:tcPr>
          <w:p w:rsidR="009D174C" w:rsidRPr="009D174C" w:rsidRDefault="009D174C" w:rsidP="009D174C">
            <w:pPr>
              <w:pStyle w:val="NormalWeb"/>
              <w:pBdr>
                <w:bottom w:val="single" w:sz="4" w:space="1" w:color="auto"/>
              </w:pBdr>
              <w:tabs>
                <w:tab w:val="right" w:pos="720"/>
                <w:tab w:val="decimal" w:pos="760"/>
              </w:tabs>
              <w:spacing w:before="0" w:after="0"/>
              <w:jc w:val="right"/>
              <w:rPr>
                <w:sz w:val="18"/>
                <w:szCs w:val="18"/>
              </w:rPr>
            </w:pPr>
            <w:r w:rsidRPr="009D174C">
              <w:rPr>
                <w:sz w:val="18"/>
                <w:szCs w:val="18"/>
              </w:rPr>
              <w:t>(1.5)</w:t>
            </w:r>
          </w:p>
        </w:tc>
        <w:tc>
          <w:tcPr>
            <w:tcW w:w="662" w:type="pct"/>
            <w:noWrap/>
          </w:tcPr>
          <w:p w:rsidR="009D174C" w:rsidRPr="009D174C" w:rsidRDefault="009D174C" w:rsidP="009D174C">
            <w:pPr>
              <w:pStyle w:val="NormalWeb"/>
              <w:pBdr>
                <w:bottom w:val="single" w:sz="4" w:space="1" w:color="auto"/>
              </w:pBdr>
              <w:tabs>
                <w:tab w:val="right" w:pos="720"/>
                <w:tab w:val="decimal" w:pos="760"/>
              </w:tabs>
              <w:spacing w:before="0" w:after="0"/>
              <w:jc w:val="right"/>
              <w:rPr>
                <w:sz w:val="18"/>
                <w:szCs w:val="18"/>
              </w:rPr>
            </w:pPr>
            <w:r w:rsidRPr="009D174C">
              <w:rPr>
                <w:sz w:val="18"/>
                <w:szCs w:val="18"/>
              </w:rPr>
              <w:t>(5.2)</w:t>
            </w:r>
          </w:p>
        </w:tc>
      </w:tr>
      <w:tr w:rsidR="009D174C" w:rsidRPr="009D174C" w:rsidTr="00AB62FC">
        <w:tc>
          <w:tcPr>
            <w:tcW w:w="2853" w:type="pct"/>
          </w:tcPr>
          <w:p w:rsidR="009D174C" w:rsidRPr="009D174C" w:rsidRDefault="009D174C" w:rsidP="009D174C">
            <w:pPr>
              <w:pStyle w:val="NormalWeb"/>
              <w:tabs>
                <w:tab w:val="right" w:leader="dot" w:pos="5160"/>
              </w:tabs>
              <w:spacing w:before="0" w:after="0"/>
              <w:ind w:left="240" w:hanging="240"/>
              <w:rPr>
                <w:b/>
                <w:sz w:val="18"/>
                <w:szCs w:val="18"/>
              </w:rPr>
            </w:pPr>
            <w:r w:rsidRPr="009D174C">
              <w:rPr>
                <w:b/>
                <w:sz w:val="18"/>
                <w:szCs w:val="18"/>
              </w:rPr>
              <w:t>Operating result before non-recurrings (REBIT)</w:t>
            </w:r>
            <w:r w:rsidRPr="009D174C">
              <w:rPr>
                <w:sz w:val="18"/>
                <w:szCs w:val="18"/>
              </w:rPr>
              <w:tab/>
            </w:r>
          </w:p>
        </w:tc>
        <w:tc>
          <w:tcPr>
            <w:tcW w:w="840" w:type="pct"/>
            <w:noWrap/>
          </w:tcPr>
          <w:p w:rsidR="009D174C" w:rsidRPr="009D174C" w:rsidRDefault="009D174C" w:rsidP="009D174C">
            <w:pPr>
              <w:pStyle w:val="NormalWeb"/>
              <w:tabs>
                <w:tab w:val="right" w:pos="720"/>
                <w:tab w:val="decimal" w:pos="760"/>
              </w:tabs>
              <w:spacing w:before="0" w:after="0"/>
              <w:jc w:val="right"/>
              <w:rPr>
                <w:b/>
                <w:sz w:val="18"/>
                <w:szCs w:val="18"/>
              </w:rPr>
            </w:pPr>
            <w:r w:rsidRPr="009D174C">
              <w:rPr>
                <w:b/>
                <w:sz w:val="18"/>
                <w:szCs w:val="18"/>
              </w:rPr>
              <w:t>29.9</w:t>
            </w:r>
          </w:p>
        </w:tc>
        <w:tc>
          <w:tcPr>
            <w:tcW w:w="645" w:type="pct"/>
          </w:tcPr>
          <w:p w:rsidR="009D174C" w:rsidRPr="009D174C" w:rsidRDefault="009D174C" w:rsidP="009D174C">
            <w:pPr>
              <w:pStyle w:val="NormalWeb"/>
              <w:tabs>
                <w:tab w:val="right" w:pos="720"/>
                <w:tab w:val="decimal" w:pos="760"/>
              </w:tabs>
              <w:spacing w:before="0" w:after="0"/>
              <w:jc w:val="right"/>
              <w:rPr>
                <w:b/>
                <w:bCs/>
                <w:sz w:val="18"/>
                <w:szCs w:val="18"/>
              </w:rPr>
            </w:pPr>
            <w:r w:rsidRPr="009D174C">
              <w:rPr>
                <w:b/>
                <w:bCs/>
                <w:sz w:val="18"/>
                <w:szCs w:val="18"/>
              </w:rPr>
              <w:t>25.6</w:t>
            </w:r>
          </w:p>
        </w:tc>
        <w:tc>
          <w:tcPr>
            <w:tcW w:w="662" w:type="pct"/>
            <w:noWrap/>
          </w:tcPr>
          <w:p w:rsidR="009D174C" w:rsidRPr="009D174C" w:rsidRDefault="009D174C" w:rsidP="009D174C">
            <w:pPr>
              <w:pStyle w:val="NormalWeb"/>
              <w:tabs>
                <w:tab w:val="right" w:pos="720"/>
                <w:tab w:val="decimal" w:pos="760"/>
              </w:tabs>
              <w:spacing w:before="0" w:after="0"/>
              <w:jc w:val="right"/>
              <w:rPr>
                <w:b/>
                <w:sz w:val="18"/>
                <w:szCs w:val="18"/>
              </w:rPr>
            </w:pPr>
            <w:r w:rsidRPr="009D174C">
              <w:rPr>
                <w:b/>
                <w:sz w:val="18"/>
                <w:szCs w:val="18"/>
              </w:rPr>
              <w:t>22.5</w:t>
            </w:r>
          </w:p>
        </w:tc>
      </w:tr>
      <w:tr w:rsidR="00EE30F6" w:rsidRPr="009D174C" w:rsidTr="00AB62FC">
        <w:trPr>
          <w:trHeight w:val="267"/>
        </w:trPr>
        <w:tc>
          <w:tcPr>
            <w:tcW w:w="2853" w:type="pct"/>
          </w:tcPr>
          <w:p w:rsidR="00EE30F6" w:rsidRPr="009D174C" w:rsidRDefault="00EE30F6" w:rsidP="00EE30F6">
            <w:pPr>
              <w:pStyle w:val="NormalWeb"/>
              <w:tabs>
                <w:tab w:val="right" w:leader="dot" w:pos="5160"/>
              </w:tabs>
              <w:spacing w:before="0" w:after="0"/>
              <w:ind w:left="240" w:hanging="240"/>
              <w:rPr>
                <w:sz w:val="18"/>
                <w:szCs w:val="18"/>
              </w:rPr>
            </w:pPr>
            <w:r w:rsidRPr="009D174C">
              <w:rPr>
                <w:sz w:val="18"/>
                <w:szCs w:val="18"/>
              </w:rPr>
              <w:lastRenderedPageBreak/>
              <w:t xml:space="preserve">Non-recurring </w:t>
            </w:r>
            <w:r>
              <w:rPr>
                <w:sz w:val="18"/>
                <w:szCs w:val="18"/>
              </w:rPr>
              <w:t>income</w:t>
            </w:r>
            <w:r w:rsidRPr="009D174C">
              <w:rPr>
                <w:sz w:val="18"/>
                <w:szCs w:val="18"/>
              </w:rPr>
              <w:tab/>
            </w:r>
          </w:p>
        </w:tc>
        <w:tc>
          <w:tcPr>
            <w:tcW w:w="840" w:type="pct"/>
            <w:noWrap/>
          </w:tcPr>
          <w:p w:rsidR="00EE30F6" w:rsidRPr="00EE30F6" w:rsidRDefault="00EE30F6" w:rsidP="00E53641">
            <w:pPr>
              <w:pStyle w:val="NormalWeb"/>
              <w:tabs>
                <w:tab w:val="right" w:pos="720"/>
                <w:tab w:val="decimal" w:pos="760"/>
              </w:tabs>
              <w:spacing w:before="0" w:after="0"/>
              <w:jc w:val="right"/>
              <w:rPr>
                <w:sz w:val="18"/>
                <w:szCs w:val="18"/>
              </w:rPr>
            </w:pPr>
            <w:r w:rsidRPr="00EE30F6">
              <w:rPr>
                <w:sz w:val="18"/>
                <w:szCs w:val="18"/>
              </w:rPr>
              <w:t>0.4</w:t>
            </w:r>
          </w:p>
        </w:tc>
        <w:tc>
          <w:tcPr>
            <w:tcW w:w="645" w:type="pct"/>
          </w:tcPr>
          <w:p w:rsidR="00EE30F6" w:rsidRPr="00EE30F6" w:rsidRDefault="00EE30F6" w:rsidP="00E53641">
            <w:pPr>
              <w:pStyle w:val="NormalWeb"/>
              <w:tabs>
                <w:tab w:val="right" w:pos="720"/>
                <w:tab w:val="decimal" w:pos="760"/>
              </w:tabs>
              <w:spacing w:before="0" w:after="0"/>
              <w:jc w:val="right"/>
              <w:rPr>
                <w:sz w:val="18"/>
                <w:szCs w:val="18"/>
              </w:rPr>
            </w:pPr>
            <w:r w:rsidRPr="00EE30F6">
              <w:rPr>
                <w:sz w:val="18"/>
                <w:szCs w:val="18"/>
              </w:rPr>
              <w:t>-</w:t>
            </w:r>
          </w:p>
        </w:tc>
        <w:tc>
          <w:tcPr>
            <w:tcW w:w="662" w:type="pct"/>
            <w:noWrap/>
          </w:tcPr>
          <w:p w:rsidR="00EE30F6" w:rsidRPr="00EE30F6" w:rsidRDefault="00EE30F6" w:rsidP="00E53641">
            <w:pPr>
              <w:pStyle w:val="NormalWeb"/>
              <w:tabs>
                <w:tab w:val="right" w:pos="720"/>
                <w:tab w:val="decimal" w:pos="760"/>
              </w:tabs>
              <w:spacing w:before="0" w:after="0"/>
              <w:jc w:val="right"/>
              <w:rPr>
                <w:sz w:val="18"/>
                <w:szCs w:val="18"/>
              </w:rPr>
            </w:pPr>
            <w:r w:rsidRPr="00EE30F6">
              <w:rPr>
                <w:sz w:val="18"/>
                <w:szCs w:val="18"/>
              </w:rPr>
              <w:t>-</w:t>
            </w:r>
          </w:p>
        </w:tc>
      </w:tr>
      <w:tr w:rsidR="009D174C" w:rsidRPr="009D174C" w:rsidTr="00AB62FC">
        <w:trPr>
          <w:trHeight w:val="267"/>
        </w:trPr>
        <w:tc>
          <w:tcPr>
            <w:tcW w:w="2853" w:type="pct"/>
          </w:tcPr>
          <w:p w:rsidR="009D174C" w:rsidRPr="009D174C" w:rsidRDefault="009D174C" w:rsidP="009D174C">
            <w:pPr>
              <w:pStyle w:val="NormalWeb"/>
              <w:tabs>
                <w:tab w:val="right" w:leader="dot" w:pos="5160"/>
              </w:tabs>
              <w:spacing w:before="0" w:after="0"/>
              <w:ind w:left="240" w:hanging="240"/>
              <w:rPr>
                <w:sz w:val="18"/>
                <w:szCs w:val="18"/>
              </w:rPr>
            </w:pPr>
            <w:r w:rsidRPr="009D174C">
              <w:rPr>
                <w:sz w:val="18"/>
                <w:szCs w:val="18"/>
              </w:rPr>
              <w:t>Non-recurring expense</w:t>
            </w:r>
            <w:r w:rsidRPr="009D174C">
              <w:rPr>
                <w:sz w:val="18"/>
                <w:szCs w:val="18"/>
              </w:rPr>
              <w:tab/>
            </w:r>
          </w:p>
          <w:p w:rsidR="009D174C" w:rsidRPr="009D174C" w:rsidRDefault="009D174C" w:rsidP="009D174C">
            <w:pPr>
              <w:pStyle w:val="la24"/>
              <w:spacing w:before="0" w:after="0"/>
              <w:rPr>
                <w:sz w:val="18"/>
                <w:szCs w:val="18"/>
              </w:rPr>
            </w:pPr>
            <w:r w:rsidRPr="009D174C">
              <w:rPr>
                <w:noProof w:val="0"/>
                <w:sz w:val="18"/>
                <w:szCs w:val="18"/>
                <w:lang w:val="en-GB"/>
              </w:rPr>
              <w:t> </w:t>
            </w:r>
          </w:p>
        </w:tc>
        <w:tc>
          <w:tcPr>
            <w:tcW w:w="840" w:type="pct"/>
            <w:noWrap/>
          </w:tcPr>
          <w:p w:rsidR="009D174C" w:rsidRPr="009D174C" w:rsidRDefault="009D174C" w:rsidP="009D174C">
            <w:pPr>
              <w:pStyle w:val="NormalWeb"/>
              <w:pBdr>
                <w:bottom w:val="single" w:sz="4" w:space="1" w:color="auto"/>
              </w:pBdr>
              <w:tabs>
                <w:tab w:val="right" w:pos="720"/>
                <w:tab w:val="decimal" w:pos="760"/>
              </w:tabs>
              <w:spacing w:before="0" w:after="0"/>
              <w:jc w:val="right"/>
              <w:rPr>
                <w:sz w:val="18"/>
                <w:szCs w:val="18"/>
              </w:rPr>
            </w:pPr>
            <w:r w:rsidRPr="009D174C">
              <w:rPr>
                <w:sz w:val="18"/>
                <w:szCs w:val="18"/>
              </w:rPr>
              <w:t>(2.8)</w:t>
            </w:r>
          </w:p>
        </w:tc>
        <w:tc>
          <w:tcPr>
            <w:tcW w:w="645" w:type="pct"/>
          </w:tcPr>
          <w:p w:rsidR="009D174C" w:rsidRPr="009D174C" w:rsidRDefault="009D174C" w:rsidP="009D174C">
            <w:pPr>
              <w:pStyle w:val="NormalWeb"/>
              <w:pBdr>
                <w:bottom w:val="single" w:sz="4" w:space="1" w:color="auto"/>
              </w:pBdr>
              <w:tabs>
                <w:tab w:val="right" w:pos="720"/>
                <w:tab w:val="decimal" w:pos="760"/>
              </w:tabs>
              <w:spacing w:before="0" w:after="0"/>
              <w:jc w:val="right"/>
              <w:rPr>
                <w:sz w:val="18"/>
                <w:szCs w:val="18"/>
              </w:rPr>
            </w:pPr>
            <w:r w:rsidRPr="009D174C">
              <w:rPr>
                <w:sz w:val="18"/>
                <w:szCs w:val="18"/>
              </w:rPr>
              <w:t>(4.9)</w:t>
            </w:r>
          </w:p>
        </w:tc>
        <w:tc>
          <w:tcPr>
            <w:tcW w:w="662" w:type="pct"/>
            <w:noWrap/>
          </w:tcPr>
          <w:p w:rsidR="009D174C" w:rsidRPr="009D174C" w:rsidRDefault="009D174C" w:rsidP="009D174C">
            <w:pPr>
              <w:pStyle w:val="NormalWeb"/>
              <w:pBdr>
                <w:bottom w:val="single" w:sz="4" w:space="1" w:color="auto"/>
              </w:pBdr>
              <w:tabs>
                <w:tab w:val="right" w:pos="720"/>
                <w:tab w:val="decimal" w:pos="760"/>
              </w:tabs>
              <w:spacing w:before="0" w:after="0"/>
              <w:jc w:val="right"/>
              <w:rPr>
                <w:sz w:val="18"/>
                <w:szCs w:val="18"/>
              </w:rPr>
            </w:pPr>
            <w:r w:rsidRPr="009D174C">
              <w:rPr>
                <w:sz w:val="18"/>
                <w:szCs w:val="18"/>
              </w:rPr>
              <w:t>(2.4)</w:t>
            </w:r>
          </w:p>
        </w:tc>
      </w:tr>
      <w:tr w:rsidR="00651555" w:rsidRPr="009D174C" w:rsidTr="00AB62FC">
        <w:tc>
          <w:tcPr>
            <w:tcW w:w="2853" w:type="pct"/>
          </w:tcPr>
          <w:p w:rsidR="00651555" w:rsidRPr="009D174C" w:rsidRDefault="00651555" w:rsidP="009D174C">
            <w:pPr>
              <w:pStyle w:val="NormalWeb"/>
              <w:tabs>
                <w:tab w:val="right" w:leader="dot" w:pos="5160"/>
              </w:tabs>
              <w:spacing w:before="0" w:after="0"/>
              <w:ind w:left="240" w:hanging="240"/>
              <w:rPr>
                <w:b/>
                <w:sz w:val="18"/>
                <w:szCs w:val="18"/>
              </w:rPr>
            </w:pPr>
            <w:r w:rsidRPr="009D174C">
              <w:rPr>
                <w:b/>
                <w:sz w:val="18"/>
                <w:szCs w:val="18"/>
              </w:rPr>
              <w:t>Operating result (EBIT)</w:t>
            </w:r>
            <w:r w:rsidRPr="009D174C">
              <w:rPr>
                <w:sz w:val="18"/>
                <w:szCs w:val="18"/>
              </w:rPr>
              <w:tab/>
            </w:r>
          </w:p>
        </w:tc>
        <w:tc>
          <w:tcPr>
            <w:tcW w:w="840" w:type="pct"/>
            <w:noWrap/>
          </w:tcPr>
          <w:p w:rsidR="00651555" w:rsidRPr="00651555" w:rsidRDefault="00651555" w:rsidP="00651555">
            <w:pPr>
              <w:pStyle w:val="NormalWeb"/>
              <w:tabs>
                <w:tab w:val="right" w:pos="720"/>
                <w:tab w:val="decimal" w:pos="760"/>
              </w:tabs>
              <w:spacing w:before="0" w:after="0"/>
              <w:jc w:val="right"/>
              <w:rPr>
                <w:b/>
                <w:sz w:val="18"/>
                <w:szCs w:val="18"/>
              </w:rPr>
            </w:pPr>
            <w:r w:rsidRPr="00651555">
              <w:rPr>
                <w:b/>
                <w:sz w:val="18"/>
                <w:szCs w:val="18"/>
              </w:rPr>
              <w:t>27</w:t>
            </w:r>
            <w:r>
              <w:rPr>
                <w:b/>
                <w:sz w:val="18"/>
                <w:szCs w:val="18"/>
              </w:rPr>
              <w:t>.5</w:t>
            </w:r>
          </w:p>
        </w:tc>
        <w:tc>
          <w:tcPr>
            <w:tcW w:w="645" w:type="pct"/>
          </w:tcPr>
          <w:p w:rsidR="00651555" w:rsidRPr="009D174C" w:rsidRDefault="00651555" w:rsidP="009D174C">
            <w:pPr>
              <w:pStyle w:val="NormalWeb"/>
              <w:tabs>
                <w:tab w:val="right" w:pos="720"/>
                <w:tab w:val="decimal" w:pos="760"/>
              </w:tabs>
              <w:spacing w:before="0" w:after="0"/>
              <w:jc w:val="right"/>
              <w:rPr>
                <w:b/>
                <w:bCs/>
                <w:sz w:val="18"/>
                <w:szCs w:val="18"/>
              </w:rPr>
            </w:pPr>
            <w:r w:rsidRPr="009D174C">
              <w:rPr>
                <w:b/>
                <w:bCs/>
                <w:sz w:val="18"/>
                <w:szCs w:val="18"/>
              </w:rPr>
              <w:t>20.7</w:t>
            </w:r>
          </w:p>
        </w:tc>
        <w:tc>
          <w:tcPr>
            <w:tcW w:w="662" w:type="pct"/>
            <w:noWrap/>
          </w:tcPr>
          <w:p w:rsidR="00651555" w:rsidRPr="009D174C" w:rsidRDefault="00651555" w:rsidP="009D174C">
            <w:pPr>
              <w:pStyle w:val="NormalWeb"/>
              <w:tabs>
                <w:tab w:val="right" w:pos="720"/>
                <w:tab w:val="decimal" w:pos="760"/>
              </w:tabs>
              <w:spacing w:before="0" w:after="0"/>
              <w:jc w:val="right"/>
              <w:rPr>
                <w:b/>
                <w:sz w:val="18"/>
                <w:szCs w:val="18"/>
              </w:rPr>
            </w:pPr>
            <w:r w:rsidRPr="009D174C">
              <w:rPr>
                <w:b/>
                <w:sz w:val="18"/>
                <w:szCs w:val="18"/>
              </w:rPr>
              <w:t>20.1</w:t>
            </w:r>
          </w:p>
        </w:tc>
      </w:tr>
      <w:tr w:rsidR="009D174C" w:rsidRPr="009D174C" w:rsidTr="00AB62FC">
        <w:tc>
          <w:tcPr>
            <w:tcW w:w="2853" w:type="pct"/>
          </w:tcPr>
          <w:p w:rsidR="009D174C" w:rsidRPr="009D174C" w:rsidRDefault="009D174C" w:rsidP="009D174C">
            <w:pPr>
              <w:pStyle w:val="NormalWeb"/>
              <w:tabs>
                <w:tab w:val="right" w:leader="dot" w:pos="5160"/>
              </w:tabs>
              <w:spacing w:before="0" w:after="0"/>
              <w:ind w:left="240" w:hanging="240"/>
              <w:rPr>
                <w:sz w:val="18"/>
                <w:szCs w:val="18"/>
              </w:rPr>
            </w:pPr>
            <w:r w:rsidRPr="009D174C">
              <w:rPr>
                <w:sz w:val="18"/>
                <w:szCs w:val="18"/>
              </w:rPr>
              <w:t>Financial income</w:t>
            </w:r>
            <w:r w:rsidRPr="009D174C">
              <w:rPr>
                <w:sz w:val="18"/>
                <w:szCs w:val="18"/>
              </w:rPr>
              <w:tab/>
            </w:r>
          </w:p>
        </w:tc>
        <w:tc>
          <w:tcPr>
            <w:tcW w:w="840" w:type="pct"/>
            <w:noWrap/>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11.3</w:t>
            </w:r>
          </w:p>
        </w:tc>
        <w:tc>
          <w:tcPr>
            <w:tcW w:w="645" w:type="pct"/>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2.6</w:t>
            </w:r>
          </w:p>
        </w:tc>
        <w:tc>
          <w:tcPr>
            <w:tcW w:w="662" w:type="pct"/>
            <w:noWrap/>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2.2</w:t>
            </w:r>
          </w:p>
        </w:tc>
      </w:tr>
      <w:tr w:rsidR="009D174C" w:rsidRPr="009D174C" w:rsidTr="00AB62FC">
        <w:tc>
          <w:tcPr>
            <w:tcW w:w="2853" w:type="pct"/>
          </w:tcPr>
          <w:p w:rsidR="009D174C" w:rsidRPr="009D174C" w:rsidRDefault="009D174C" w:rsidP="009D174C">
            <w:pPr>
              <w:pStyle w:val="NormalWeb"/>
              <w:tabs>
                <w:tab w:val="right" w:leader="dot" w:pos="5160"/>
              </w:tabs>
              <w:spacing w:before="0" w:after="0"/>
              <w:ind w:left="240" w:hanging="240"/>
              <w:rPr>
                <w:sz w:val="18"/>
                <w:szCs w:val="18"/>
              </w:rPr>
            </w:pPr>
            <w:r w:rsidRPr="009D174C">
              <w:rPr>
                <w:sz w:val="18"/>
                <w:szCs w:val="18"/>
              </w:rPr>
              <w:t>Financial expense</w:t>
            </w:r>
            <w:r w:rsidRPr="009D174C">
              <w:rPr>
                <w:sz w:val="18"/>
                <w:szCs w:val="18"/>
              </w:rPr>
              <w:tab/>
            </w:r>
          </w:p>
          <w:p w:rsidR="009D174C" w:rsidRPr="009D174C" w:rsidRDefault="009D174C" w:rsidP="009D174C">
            <w:pPr>
              <w:pStyle w:val="la24"/>
              <w:spacing w:before="0" w:after="0"/>
              <w:rPr>
                <w:sz w:val="18"/>
                <w:szCs w:val="18"/>
              </w:rPr>
            </w:pPr>
            <w:r w:rsidRPr="009D174C">
              <w:rPr>
                <w:noProof w:val="0"/>
                <w:sz w:val="18"/>
                <w:szCs w:val="18"/>
                <w:lang w:val="en-GB"/>
              </w:rPr>
              <w:t> </w:t>
            </w:r>
          </w:p>
        </w:tc>
        <w:tc>
          <w:tcPr>
            <w:tcW w:w="840" w:type="pct"/>
            <w:noWrap/>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(18.1)</w:t>
            </w:r>
          </w:p>
        </w:tc>
        <w:tc>
          <w:tcPr>
            <w:tcW w:w="645" w:type="pct"/>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(19.3)</w:t>
            </w:r>
          </w:p>
        </w:tc>
        <w:tc>
          <w:tcPr>
            <w:tcW w:w="662" w:type="pct"/>
            <w:noWrap/>
          </w:tcPr>
          <w:p w:rsidR="009D174C" w:rsidRPr="009D174C" w:rsidRDefault="009D174C" w:rsidP="009D174C">
            <w:pPr>
              <w:pStyle w:val="NormalWeb"/>
              <w:tabs>
                <w:tab w:val="right" w:pos="720"/>
                <w:tab w:val="decimal" w:pos="760"/>
              </w:tabs>
              <w:spacing w:before="0" w:after="0"/>
              <w:jc w:val="right"/>
              <w:rPr>
                <w:sz w:val="18"/>
                <w:szCs w:val="18"/>
              </w:rPr>
            </w:pPr>
            <w:r w:rsidRPr="009D174C">
              <w:rPr>
                <w:sz w:val="18"/>
                <w:szCs w:val="18"/>
              </w:rPr>
              <w:t>(21.6)</w:t>
            </w:r>
          </w:p>
        </w:tc>
      </w:tr>
      <w:tr w:rsidR="009D174C" w:rsidRPr="009D174C" w:rsidTr="00AB62FC">
        <w:tc>
          <w:tcPr>
            <w:tcW w:w="2853" w:type="pct"/>
          </w:tcPr>
          <w:p w:rsidR="009D174C" w:rsidRPr="009D174C" w:rsidRDefault="009D174C" w:rsidP="009D174C">
            <w:pPr>
              <w:pStyle w:val="la24"/>
              <w:spacing w:before="0" w:after="0"/>
              <w:rPr>
                <w:noProof w:val="0"/>
                <w:sz w:val="18"/>
                <w:szCs w:val="18"/>
                <w:lang w:val="en-GB"/>
              </w:rPr>
            </w:pPr>
          </w:p>
        </w:tc>
        <w:tc>
          <w:tcPr>
            <w:tcW w:w="840" w:type="pct"/>
          </w:tcPr>
          <w:p w:rsidR="009D174C" w:rsidRPr="009D174C" w:rsidRDefault="009D174C" w:rsidP="009D174C">
            <w:pPr>
              <w:pStyle w:val="rrdsinglerule4"/>
              <w:spacing w:before="0" w:after="0"/>
              <w:jc w:val="right"/>
              <w:rPr>
                <w:sz w:val="18"/>
                <w:szCs w:val="18"/>
                <w:lang w:val="en-GB"/>
              </w:rPr>
            </w:pPr>
          </w:p>
        </w:tc>
        <w:tc>
          <w:tcPr>
            <w:tcW w:w="645" w:type="pct"/>
          </w:tcPr>
          <w:p w:rsidR="009D174C" w:rsidRPr="009D174C" w:rsidRDefault="009D174C" w:rsidP="009D174C">
            <w:pPr>
              <w:pStyle w:val="rrdsinglerule4"/>
              <w:spacing w:before="0" w:after="0"/>
              <w:jc w:val="right"/>
              <w:rPr>
                <w:sz w:val="18"/>
                <w:szCs w:val="18"/>
                <w:lang w:val="en-GB"/>
              </w:rPr>
            </w:pPr>
          </w:p>
        </w:tc>
        <w:tc>
          <w:tcPr>
            <w:tcW w:w="662" w:type="pct"/>
          </w:tcPr>
          <w:p w:rsidR="009D174C" w:rsidRPr="009D174C" w:rsidRDefault="009D174C" w:rsidP="009D174C">
            <w:pPr>
              <w:pStyle w:val="rrdsinglerule4"/>
              <w:spacing w:before="0" w:after="0"/>
              <w:jc w:val="right"/>
              <w:rPr>
                <w:sz w:val="18"/>
                <w:szCs w:val="18"/>
                <w:lang w:val="en-GB"/>
              </w:rPr>
            </w:pPr>
          </w:p>
        </w:tc>
      </w:tr>
      <w:tr w:rsidR="009D174C" w:rsidRPr="009D174C" w:rsidTr="00AB62FC">
        <w:trPr>
          <w:trHeight w:val="292"/>
        </w:trPr>
        <w:tc>
          <w:tcPr>
            <w:tcW w:w="2853" w:type="pct"/>
          </w:tcPr>
          <w:p w:rsidR="009D174C" w:rsidRPr="009D174C" w:rsidRDefault="009D174C" w:rsidP="009D174C">
            <w:pPr>
              <w:pStyle w:val="NormalWeb"/>
              <w:tabs>
                <w:tab w:val="right" w:leader="dot" w:pos="5160"/>
              </w:tabs>
              <w:spacing w:before="0" w:after="0"/>
              <w:ind w:left="240" w:hanging="240"/>
              <w:rPr>
                <w:b/>
                <w:sz w:val="18"/>
                <w:szCs w:val="18"/>
              </w:rPr>
            </w:pPr>
            <w:r w:rsidRPr="009D174C">
              <w:rPr>
                <w:b/>
                <w:sz w:val="18"/>
                <w:szCs w:val="18"/>
              </w:rPr>
              <w:t xml:space="preserve">Operating profit after net finance costs </w:t>
            </w:r>
            <w:r w:rsidRPr="009D174C">
              <w:rPr>
                <w:sz w:val="18"/>
                <w:szCs w:val="18"/>
              </w:rPr>
              <w:tab/>
            </w:r>
          </w:p>
          <w:p w:rsidR="009D174C" w:rsidRPr="009D174C" w:rsidRDefault="009D174C" w:rsidP="009D174C">
            <w:pPr>
              <w:pStyle w:val="la24"/>
              <w:spacing w:before="0" w:after="0"/>
              <w:rPr>
                <w:b/>
                <w:sz w:val="18"/>
                <w:szCs w:val="18"/>
              </w:rPr>
            </w:pPr>
            <w:r w:rsidRPr="009D174C">
              <w:rPr>
                <w:noProof w:val="0"/>
                <w:sz w:val="18"/>
                <w:szCs w:val="18"/>
                <w:lang w:val="en-GB"/>
              </w:rPr>
              <w:t> </w:t>
            </w:r>
          </w:p>
        </w:tc>
        <w:tc>
          <w:tcPr>
            <w:tcW w:w="840" w:type="pct"/>
            <w:noWrap/>
          </w:tcPr>
          <w:p w:rsidR="009D174C" w:rsidRPr="009D174C" w:rsidRDefault="009D174C" w:rsidP="009D174C">
            <w:pPr>
              <w:pStyle w:val="NormalWeb"/>
              <w:tabs>
                <w:tab w:val="right" w:pos="720"/>
                <w:tab w:val="decimal" w:pos="760"/>
              </w:tabs>
              <w:spacing w:before="0" w:after="0"/>
              <w:jc w:val="right"/>
              <w:rPr>
                <w:b/>
                <w:sz w:val="18"/>
                <w:szCs w:val="18"/>
              </w:rPr>
            </w:pPr>
            <w:r w:rsidRPr="009D174C">
              <w:rPr>
                <w:b/>
                <w:sz w:val="18"/>
                <w:szCs w:val="18"/>
              </w:rPr>
              <w:t>20.7</w:t>
            </w:r>
          </w:p>
        </w:tc>
        <w:tc>
          <w:tcPr>
            <w:tcW w:w="645" w:type="pct"/>
          </w:tcPr>
          <w:p w:rsidR="009D174C" w:rsidRPr="009D174C" w:rsidRDefault="009D174C" w:rsidP="009D174C">
            <w:pPr>
              <w:pStyle w:val="NormalWeb"/>
              <w:tabs>
                <w:tab w:val="right" w:pos="720"/>
                <w:tab w:val="decimal" w:pos="760"/>
              </w:tabs>
              <w:spacing w:before="0" w:after="0"/>
              <w:jc w:val="right"/>
              <w:rPr>
                <w:b/>
                <w:bCs/>
                <w:sz w:val="18"/>
                <w:szCs w:val="18"/>
              </w:rPr>
            </w:pPr>
            <w:r w:rsidRPr="009D174C">
              <w:rPr>
                <w:b/>
                <w:bCs/>
                <w:sz w:val="18"/>
                <w:szCs w:val="18"/>
              </w:rPr>
              <w:t>4.0</w:t>
            </w:r>
          </w:p>
        </w:tc>
        <w:tc>
          <w:tcPr>
            <w:tcW w:w="662" w:type="pct"/>
            <w:noWrap/>
          </w:tcPr>
          <w:p w:rsidR="009D174C" w:rsidRPr="009D174C" w:rsidRDefault="009D174C" w:rsidP="009D174C">
            <w:pPr>
              <w:pStyle w:val="NormalWeb"/>
              <w:tabs>
                <w:tab w:val="right" w:pos="720"/>
                <w:tab w:val="decimal" w:pos="760"/>
              </w:tabs>
              <w:spacing w:before="0" w:after="0"/>
              <w:jc w:val="right"/>
              <w:rPr>
                <w:b/>
                <w:sz w:val="18"/>
                <w:szCs w:val="18"/>
              </w:rPr>
            </w:pPr>
            <w:r w:rsidRPr="009D174C">
              <w:rPr>
                <w:b/>
                <w:sz w:val="18"/>
                <w:szCs w:val="18"/>
              </w:rPr>
              <w:t>0.7</w:t>
            </w:r>
          </w:p>
        </w:tc>
      </w:tr>
      <w:tr w:rsidR="009D174C" w:rsidRPr="009D174C" w:rsidTr="00AB62FC">
        <w:tc>
          <w:tcPr>
            <w:tcW w:w="2853" w:type="pct"/>
          </w:tcPr>
          <w:p w:rsidR="009D174C" w:rsidRPr="009D174C" w:rsidRDefault="009D174C" w:rsidP="009D174C">
            <w:pPr>
              <w:pStyle w:val="NormalWeb"/>
              <w:tabs>
                <w:tab w:val="right" w:leader="dot" w:pos="5160"/>
              </w:tabs>
              <w:spacing w:before="0" w:after="0"/>
              <w:ind w:left="240" w:hanging="240"/>
              <w:rPr>
                <w:sz w:val="18"/>
                <w:szCs w:val="18"/>
              </w:rPr>
            </w:pPr>
            <w:r w:rsidRPr="009D174C">
              <w:rPr>
                <w:sz w:val="18"/>
                <w:szCs w:val="18"/>
              </w:rPr>
              <w:t>Taxes</w:t>
            </w:r>
            <w:r w:rsidRPr="009D174C">
              <w:rPr>
                <w:sz w:val="18"/>
                <w:szCs w:val="18"/>
              </w:rPr>
              <w:tab/>
            </w:r>
          </w:p>
        </w:tc>
        <w:tc>
          <w:tcPr>
            <w:tcW w:w="840" w:type="pct"/>
          </w:tcPr>
          <w:p w:rsidR="009D174C" w:rsidRPr="009D174C" w:rsidRDefault="009D174C" w:rsidP="009D174C">
            <w:pPr>
              <w:pStyle w:val="NormalWeb"/>
              <w:pBdr>
                <w:bottom w:val="single" w:sz="4" w:space="1" w:color="auto"/>
              </w:pBdr>
              <w:tabs>
                <w:tab w:val="right" w:pos="720"/>
                <w:tab w:val="decimal" w:pos="760"/>
              </w:tabs>
              <w:spacing w:before="0" w:after="0"/>
              <w:jc w:val="right"/>
              <w:rPr>
                <w:sz w:val="18"/>
                <w:szCs w:val="18"/>
              </w:rPr>
            </w:pPr>
            <w:r w:rsidRPr="009D174C">
              <w:rPr>
                <w:sz w:val="18"/>
                <w:szCs w:val="18"/>
              </w:rPr>
              <w:t>(9.9)</w:t>
            </w:r>
          </w:p>
        </w:tc>
        <w:tc>
          <w:tcPr>
            <w:tcW w:w="645" w:type="pct"/>
          </w:tcPr>
          <w:p w:rsidR="009D174C" w:rsidRPr="009D174C" w:rsidRDefault="009D174C" w:rsidP="009D174C">
            <w:pPr>
              <w:pStyle w:val="NormalWeb"/>
              <w:pBdr>
                <w:bottom w:val="single" w:sz="4" w:space="1" w:color="auto"/>
              </w:pBdr>
              <w:tabs>
                <w:tab w:val="right" w:pos="720"/>
                <w:tab w:val="decimal" w:pos="760"/>
              </w:tabs>
              <w:spacing w:before="0" w:after="0"/>
              <w:jc w:val="right"/>
              <w:rPr>
                <w:sz w:val="18"/>
                <w:szCs w:val="18"/>
              </w:rPr>
            </w:pPr>
            <w:r w:rsidRPr="009D174C">
              <w:rPr>
                <w:sz w:val="18"/>
                <w:szCs w:val="18"/>
              </w:rPr>
              <w:t>(7.5)</w:t>
            </w:r>
          </w:p>
        </w:tc>
        <w:tc>
          <w:tcPr>
            <w:tcW w:w="662" w:type="pct"/>
          </w:tcPr>
          <w:p w:rsidR="009D174C" w:rsidRPr="009D174C" w:rsidRDefault="009D174C" w:rsidP="009D174C">
            <w:pPr>
              <w:pStyle w:val="NormalWeb"/>
              <w:pBdr>
                <w:bottom w:val="single" w:sz="4" w:space="1" w:color="auto"/>
              </w:pBdr>
              <w:tabs>
                <w:tab w:val="right" w:pos="720"/>
                <w:tab w:val="decimal" w:pos="760"/>
              </w:tabs>
              <w:spacing w:before="0" w:after="0"/>
              <w:jc w:val="right"/>
              <w:rPr>
                <w:sz w:val="18"/>
                <w:szCs w:val="18"/>
              </w:rPr>
            </w:pPr>
            <w:r w:rsidRPr="009D174C">
              <w:rPr>
                <w:sz w:val="18"/>
                <w:szCs w:val="18"/>
              </w:rPr>
              <w:t>(0.1)</w:t>
            </w:r>
          </w:p>
        </w:tc>
      </w:tr>
      <w:tr w:rsidR="009D174C" w:rsidRPr="009D174C" w:rsidTr="00AB62FC">
        <w:tc>
          <w:tcPr>
            <w:tcW w:w="2853" w:type="pct"/>
          </w:tcPr>
          <w:p w:rsidR="009D174C" w:rsidRPr="009D174C" w:rsidRDefault="009D174C" w:rsidP="009D174C">
            <w:pPr>
              <w:pStyle w:val="NormalWeb"/>
              <w:tabs>
                <w:tab w:val="right" w:leader="dot" w:pos="5160"/>
              </w:tabs>
              <w:spacing w:before="0" w:after="0"/>
              <w:ind w:left="240" w:hanging="240"/>
              <w:rPr>
                <w:b/>
                <w:sz w:val="18"/>
                <w:szCs w:val="18"/>
              </w:rPr>
            </w:pPr>
            <w:r w:rsidRPr="009D174C">
              <w:rPr>
                <w:b/>
                <w:sz w:val="18"/>
                <w:szCs w:val="18"/>
              </w:rPr>
              <w:t xml:space="preserve">Profit/loss for the period from continuing operations </w:t>
            </w:r>
            <w:r w:rsidRPr="009D174C">
              <w:rPr>
                <w:sz w:val="18"/>
                <w:szCs w:val="18"/>
              </w:rPr>
              <w:tab/>
            </w:r>
          </w:p>
          <w:p w:rsidR="009D174C" w:rsidRPr="009D174C" w:rsidRDefault="009D174C" w:rsidP="009D174C">
            <w:pPr>
              <w:pStyle w:val="la24"/>
              <w:spacing w:before="0" w:after="0"/>
              <w:rPr>
                <w:b/>
                <w:sz w:val="18"/>
                <w:szCs w:val="18"/>
              </w:rPr>
            </w:pPr>
            <w:r w:rsidRPr="009D174C">
              <w:rPr>
                <w:noProof w:val="0"/>
                <w:sz w:val="18"/>
                <w:szCs w:val="18"/>
                <w:lang w:val="en-GB"/>
              </w:rPr>
              <w:t> </w:t>
            </w:r>
          </w:p>
        </w:tc>
        <w:tc>
          <w:tcPr>
            <w:tcW w:w="840" w:type="pct"/>
          </w:tcPr>
          <w:p w:rsidR="009D174C" w:rsidRPr="009D174C" w:rsidRDefault="009D174C" w:rsidP="009D174C">
            <w:pPr>
              <w:pStyle w:val="NormalWeb"/>
              <w:tabs>
                <w:tab w:val="right" w:pos="720"/>
                <w:tab w:val="decimal" w:pos="760"/>
              </w:tabs>
              <w:spacing w:before="0" w:after="0"/>
              <w:jc w:val="right"/>
              <w:rPr>
                <w:b/>
                <w:sz w:val="18"/>
                <w:szCs w:val="18"/>
              </w:rPr>
            </w:pPr>
            <w:r w:rsidRPr="009D174C">
              <w:rPr>
                <w:b/>
                <w:sz w:val="18"/>
                <w:szCs w:val="18"/>
              </w:rPr>
              <w:t>10.8</w:t>
            </w:r>
          </w:p>
        </w:tc>
        <w:tc>
          <w:tcPr>
            <w:tcW w:w="645" w:type="pct"/>
          </w:tcPr>
          <w:p w:rsidR="009D174C" w:rsidRPr="009D174C" w:rsidRDefault="009D174C" w:rsidP="009D174C">
            <w:pPr>
              <w:pStyle w:val="NormalWeb"/>
              <w:tabs>
                <w:tab w:val="right" w:pos="720"/>
                <w:tab w:val="decimal" w:pos="760"/>
              </w:tabs>
              <w:spacing w:before="0" w:after="0"/>
              <w:jc w:val="right"/>
              <w:rPr>
                <w:b/>
                <w:bCs/>
                <w:sz w:val="18"/>
                <w:szCs w:val="18"/>
              </w:rPr>
            </w:pPr>
            <w:r w:rsidRPr="009D174C">
              <w:rPr>
                <w:b/>
                <w:bCs/>
                <w:sz w:val="18"/>
                <w:szCs w:val="18"/>
              </w:rPr>
              <w:t>(3.5)</w:t>
            </w:r>
          </w:p>
        </w:tc>
        <w:tc>
          <w:tcPr>
            <w:tcW w:w="662" w:type="pct"/>
          </w:tcPr>
          <w:p w:rsidR="009D174C" w:rsidRPr="009D174C" w:rsidRDefault="009D174C" w:rsidP="009D174C">
            <w:pPr>
              <w:pStyle w:val="NormalWeb"/>
              <w:tabs>
                <w:tab w:val="right" w:pos="720"/>
                <w:tab w:val="decimal" w:pos="760"/>
              </w:tabs>
              <w:spacing w:before="0" w:after="0"/>
              <w:jc w:val="right"/>
              <w:rPr>
                <w:b/>
                <w:sz w:val="18"/>
                <w:szCs w:val="18"/>
              </w:rPr>
            </w:pPr>
            <w:r w:rsidRPr="009D174C">
              <w:rPr>
                <w:b/>
                <w:sz w:val="18"/>
                <w:szCs w:val="18"/>
              </w:rPr>
              <w:t>0.6</w:t>
            </w:r>
          </w:p>
        </w:tc>
      </w:tr>
      <w:tr w:rsidR="009D174C" w:rsidRPr="009D174C" w:rsidTr="00AB62FC">
        <w:tc>
          <w:tcPr>
            <w:tcW w:w="2853" w:type="pct"/>
          </w:tcPr>
          <w:p w:rsidR="009D174C" w:rsidRPr="009D174C" w:rsidRDefault="009D174C" w:rsidP="009D174C">
            <w:pPr>
              <w:pStyle w:val="NormalWeb"/>
              <w:tabs>
                <w:tab w:val="right" w:leader="dot" w:pos="5160"/>
              </w:tabs>
              <w:spacing w:before="0" w:after="0"/>
              <w:ind w:left="240" w:hanging="240"/>
              <w:rPr>
                <w:sz w:val="18"/>
                <w:szCs w:val="18"/>
              </w:rPr>
            </w:pPr>
            <w:r w:rsidRPr="009D174C">
              <w:rPr>
                <w:sz w:val="18"/>
                <w:szCs w:val="18"/>
              </w:rPr>
              <w:t xml:space="preserve">Profit/(loss) from discontinued operations </w:t>
            </w:r>
            <w:r w:rsidRPr="009D174C">
              <w:rPr>
                <w:sz w:val="18"/>
                <w:szCs w:val="18"/>
              </w:rPr>
              <w:tab/>
            </w:r>
          </w:p>
        </w:tc>
        <w:tc>
          <w:tcPr>
            <w:tcW w:w="840" w:type="pct"/>
          </w:tcPr>
          <w:p w:rsidR="009D174C" w:rsidRPr="009D174C" w:rsidRDefault="009D174C" w:rsidP="009D174C">
            <w:pPr>
              <w:pStyle w:val="NormalWeb"/>
              <w:pBdr>
                <w:bottom w:val="single" w:sz="4" w:space="1" w:color="auto"/>
              </w:pBdr>
              <w:tabs>
                <w:tab w:val="right" w:pos="720"/>
                <w:tab w:val="decimal" w:pos="760"/>
              </w:tabs>
              <w:spacing w:before="0" w:after="0"/>
              <w:jc w:val="right"/>
              <w:rPr>
                <w:sz w:val="18"/>
                <w:szCs w:val="18"/>
              </w:rPr>
            </w:pPr>
            <w:r w:rsidRPr="009D174C">
              <w:rPr>
                <w:sz w:val="18"/>
                <w:szCs w:val="18"/>
              </w:rPr>
              <w:t>-</w:t>
            </w:r>
          </w:p>
        </w:tc>
        <w:tc>
          <w:tcPr>
            <w:tcW w:w="645" w:type="pct"/>
          </w:tcPr>
          <w:p w:rsidR="009D174C" w:rsidRPr="009D174C" w:rsidRDefault="009D174C" w:rsidP="009D174C">
            <w:pPr>
              <w:pStyle w:val="NormalWeb"/>
              <w:pBdr>
                <w:bottom w:val="single" w:sz="4" w:space="1" w:color="auto"/>
              </w:pBdr>
              <w:tabs>
                <w:tab w:val="right" w:pos="720"/>
                <w:tab w:val="decimal" w:pos="760"/>
              </w:tabs>
              <w:spacing w:before="0" w:after="0"/>
              <w:jc w:val="right"/>
              <w:rPr>
                <w:sz w:val="18"/>
                <w:szCs w:val="18"/>
              </w:rPr>
            </w:pPr>
            <w:r w:rsidRPr="009D174C">
              <w:rPr>
                <w:sz w:val="18"/>
                <w:szCs w:val="18"/>
              </w:rPr>
              <w:t>65.3</w:t>
            </w:r>
          </w:p>
        </w:tc>
        <w:tc>
          <w:tcPr>
            <w:tcW w:w="662" w:type="pct"/>
          </w:tcPr>
          <w:p w:rsidR="009D174C" w:rsidRPr="009D174C" w:rsidRDefault="009D174C" w:rsidP="009D174C">
            <w:pPr>
              <w:pStyle w:val="NormalWeb"/>
              <w:pBdr>
                <w:bottom w:val="single" w:sz="4" w:space="1" w:color="auto"/>
              </w:pBdr>
              <w:tabs>
                <w:tab w:val="right" w:pos="720"/>
                <w:tab w:val="decimal" w:pos="760"/>
              </w:tabs>
              <w:spacing w:before="0" w:after="0"/>
              <w:jc w:val="right"/>
              <w:rPr>
                <w:sz w:val="18"/>
                <w:szCs w:val="18"/>
              </w:rPr>
            </w:pPr>
            <w:r w:rsidRPr="009D174C">
              <w:rPr>
                <w:sz w:val="18"/>
                <w:szCs w:val="18"/>
              </w:rPr>
              <w:t>11.0</w:t>
            </w:r>
          </w:p>
        </w:tc>
      </w:tr>
      <w:tr w:rsidR="009D174C" w:rsidRPr="009D174C" w:rsidTr="00AB62FC">
        <w:tc>
          <w:tcPr>
            <w:tcW w:w="2853" w:type="pct"/>
          </w:tcPr>
          <w:p w:rsidR="009D174C" w:rsidRPr="009D174C" w:rsidRDefault="009D174C" w:rsidP="009D174C">
            <w:pPr>
              <w:pStyle w:val="NormalWeb"/>
              <w:tabs>
                <w:tab w:val="right" w:leader="dot" w:pos="5160"/>
              </w:tabs>
              <w:spacing w:before="0" w:after="0"/>
              <w:ind w:left="240" w:hanging="240"/>
              <w:rPr>
                <w:b/>
                <w:sz w:val="18"/>
                <w:szCs w:val="18"/>
              </w:rPr>
            </w:pPr>
            <w:r w:rsidRPr="009D174C">
              <w:rPr>
                <w:b/>
                <w:sz w:val="18"/>
                <w:szCs w:val="18"/>
              </w:rPr>
              <w:t>Profit/loss for the period</w:t>
            </w:r>
            <w:r w:rsidRPr="009D174C">
              <w:rPr>
                <w:sz w:val="18"/>
                <w:szCs w:val="18"/>
              </w:rPr>
              <w:tab/>
            </w:r>
          </w:p>
          <w:p w:rsidR="009D174C" w:rsidRPr="009D174C" w:rsidRDefault="009D174C" w:rsidP="009D174C">
            <w:pPr>
              <w:pStyle w:val="NormalWeb"/>
              <w:tabs>
                <w:tab w:val="right" w:leader="dot" w:pos="5160"/>
              </w:tabs>
              <w:spacing w:before="0" w:after="0"/>
              <w:rPr>
                <w:sz w:val="18"/>
                <w:szCs w:val="18"/>
              </w:rPr>
            </w:pPr>
            <w:r w:rsidRPr="009D174C">
              <w:rPr>
                <w:sz w:val="18"/>
                <w:szCs w:val="18"/>
              </w:rPr>
              <w:t>Attributable to:</w:t>
            </w:r>
          </w:p>
        </w:tc>
        <w:tc>
          <w:tcPr>
            <w:tcW w:w="840" w:type="pct"/>
            <w:noWrap/>
          </w:tcPr>
          <w:p w:rsidR="009D174C" w:rsidRPr="009D174C" w:rsidRDefault="009D174C" w:rsidP="009D174C">
            <w:pPr>
              <w:pStyle w:val="NormalWeb"/>
              <w:pBdr>
                <w:bottom w:val="single" w:sz="4" w:space="1" w:color="auto"/>
              </w:pBdr>
              <w:tabs>
                <w:tab w:val="right" w:pos="720"/>
                <w:tab w:val="decimal" w:pos="760"/>
              </w:tabs>
              <w:spacing w:before="0" w:after="0"/>
              <w:jc w:val="right"/>
              <w:rPr>
                <w:b/>
                <w:sz w:val="18"/>
                <w:szCs w:val="18"/>
              </w:rPr>
            </w:pPr>
            <w:r w:rsidRPr="009D174C">
              <w:rPr>
                <w:b/>
                <w:sz w:val="18"/>
                <w:szCs w:val="18"/>
              </w:rPr>
              <w:t>10.8</w:t>
            </w:r>
          </w:p>
        </w:tc>
        <w:tc>
          <w:tcPr>
            <w:tcW w:w="645" w:type="pct"/>
          </w:tcPr>
          <w:p w:rsidR="009D174C" w:rsidRPr="009D174C" w:rsidRDefault="009D174C" w:rsidP="009D174C">
            <w:pPr>
              <w:pStyle w:val="NormalWeb"/>
              <w:pBdr>
                <w:bottom w:val="single" w:sz="4" w:space="1" w:color="auto"/>
              </w:pBdr>
              <w:tabs>
                <w:tab w:val="right" w:pos="720"/>
                <w:tab w:val="decimal" w:pos="760"/>
              </w:tabs>
              <w:spacing w:before="0" w:after="0"/>
              <w:jc w:val="right"/>
              <w:rPr>
                <w:b/>
                <w:bCs/>
                <w:sz w:val="18"/>
                <w:szCs w:val="18"/>
              </w:rPr>
            </w:pPr>
            <w:r w:rsidRPr="009D174C">
              <w:rPr>
                <w:b/>
                <w:bCs/>
                <w:sz w:val="18"/>
                <w:szCs w:val="18"/>
              </w:rPr>
              <w:t>61.8</w:t>
            </w:r>
          </w:p>
        </w:tc>
        <w:tc>
          <w:tcPr>
            <w:tcW w:w="662" w:type="pct"/>
            <w:noWrap/>
          </w:tcPr>
          <w:p w:rsidR="009D174C" w:rsidRPr="009D174C" w:rsidRDefault="009D174C" w:rsidP="009D174C">
            <w:pPr>
              <w:pStyle w:val="NormalWeb"/>
              <w:pBdr>
                <w:bottom w:val="single" w:sz="4" w:space="1" w:color="auto"/>
              </w:pBdr>
              <w:tabs>
                <w:tab w:val="right" w:pos="720"/>
                <w:tab w:val="decimal" w:pos="760"/>
              </w:tabs>
              <w:spacing w:before="0" w:after="0"/>
              <w:jc w:val="right"/>
              <w:rPr>
                <w:b/>
                <w:sz w:val="18"/>
                <w:szCs w:val="18"/>
              </w:rPr>
            </w:pPr>
            <w:r w:rsidRPr="009D174C">
              <w:rPr>
                <w:b/>
                <w:sz w:val="18"/>
                <w:szCs w:val="18"/>
              </w:rPr>
              <w:t>11.6</w:t>
            </w:r>
          </w:p>
        </w:tc>
      </w:tr>
      <w:tr w:rsidR="009D174C" w:rsidRPr="009D174C" w:rsidTr="00AB62FC">
        <w:tc>
          <w:tcPr>
            <w:tcW w:w="2853" w:type="pct"/>
          </w:tcPr>
          <w:p w:rsidR="009D174C" w:rsidRPr="009D174C" w:rsidRDefault="009D174C" w:rsidP="009D174C">
            <w:pPr>
              <w:pStyle w:val="NormalWeb"/>
              <w:tabs>
                <w:tab w:val="right" w:leader="dot" w:pos="5160"/>
              </w:tabs>
              <w:spacing w:before="0" w:after="0"/>
              <w:ind w:left="240" w:hanging="240"/>
              <w:rPr>
                <w:sz w:val="18"/>
                <w:szCs w:val="18"/>
              </w:rPr>
            </w:pPr>
            <w:r w:rsidRPr="009D174C">
              <w:rPr>
                <w:b/>
                <w:sz w:val="18"/>
                <w:szCs w:val="18"/>
              </w:rPr>
              <w:t xml:space="preserve">- </w:t>
            </w:r>
            <w:r w:rsidRPr="009D174C">
              <w:rPr>
                <w:sz w:val="18"/>
                <w:szCs w:val="18"/>
              </w:rPr>
              <w:t>The shareholders of Greenyard (the ‘Group’)</w:t>
            </w:r>
          </w:p>
        </w:tc>
        <w:tc>
          <w:tcPr>
            <w:tcW w:w="840" w:type="pct"/>
            <w:noWrap/>
          </w:tcPr>
          <w:p w:rsidR="009D174C" w:rsidRPr="009D174C" w:rsidRDefault="009D174C" w:rsidP="009D174C">
            <w:pPr>
              <w:pStyle w:val="NormalWeb"/>
              <w:tabs>
                <w:tab w:val="right" w:pos="720"/>
                <w:tab w:val="decimal" w:pos="760"/>
              </w:tabs>
              <w:spacing w:before="0" w:after="0"/>
              <w:jc w:val="right"/>
              <w:rPr>
                <w:b/>
                <w:sz w:val="18"/>
                <w:szCs w:val="18"/>
              </w:rPr>
            </w:pPr>
            <w:r w:rsidRPr="009D174C">
              <w:rPr>
                <w:b/>
                <w:sz w:val="18"/>
                <w:szCs w:val="18"/>
              </w:rPr>
              <w:t>10.6</w:t>
            </w:r>
          </w:p>
        </w:tc>
        <w:tc>
          <w:tcPr>
            <w:tcW w:w="645" w:type="pct"/>
          </w:tcPr>
          <w:p w:rsidR="009D174C" w:rsidRPr="009D174C" w:rsidRDefault="009D174C" w:rsidP="009D174C">
            <w:pPr>
              <w:pStyle w:val="NormalWeb"/>
              <w:tabs>
                <w:tab w:val="right" w:pos="720"/>
                <w:tab w:val="decimal" w:pos="760"/>
              </w:tabs>
              <w:spacing w:before="0" w:after="0"/>
              <w:jc w:val="right"/>
              <w:rPr>
                <w:b/>
                <w:bCs/>
                <w:sz w:val="18"/>
                <w:szCs w:val="18"/>
              </w:rPr>
            </w:pPr>
            <w:r w:rsidRPr="009D174C">
              <w:rPr>
                <w:b/>
                <w:bCs/>
                <w:sz w:val="18"/>
                <w:szCs w:val="18"/>
              </w:rPr>
              <w:t>62.3</w:t>
            </w:r>
          </w:p>
        </w:tc>
        <w:tc>
          <w:tcPr>
            <w:tcW w:w="662" w:type="pct"/>
            <w:noWrap/>
          </w:tcPr>
          <w:p w:rsidR="009D174C" w:rsidRPr="009D174C" w:rsidRDefault="009D174C" w:rsidP="009D174C">
            <w:pPr>
              <w:pStyle w:val="NormalWeb"/>
              <w:tabs>
                <w:tab w:val="right" w:pos="720"/>
                <w:tab w:val="decimal" w:pos="760"/>
              </w:tabs>
              <w:spacing w:before="0" w:after="0"/>
              <w:jc w:val="right"/>
              <w:rPr>
                <w:b/>
                <w:sz w:val="18"/>
                <w:szCs w:val="18"/>
              </w:rPr>
            </w:pPr>
            <w:r w:rsidRPr="009D174C">
              <w:rPr>
                <w:b/>
                <w:sz w:val="18"/>
                <w:szCs w:val="18"/>
              </w:rPr>
              <w:t>11.1</w:t>
            </w:r>
          </w:p>
        </w:tc>
      </w:tr>
      <w:tr w:rsidR="009D174C" w:rsidRPr="009D174C" w:rsidTr="00AB62FC">
        <w:tc>
          <w:tcPr>
            <w:tcW w:w="2853" w:type="pct"/>
          </w:tcPr>
          <w:p w:rsidR="009D174C" w:rsidRPr="009D174C" w:rsidRDefault="009D174C" w:rsidP="009D174C">
            <w:pPr>
              <w:pStyle w:val="NormalWeb"/>
              <w:tabs>
                <w:tab w:val="right" w:leader="dot" w:pos="5160"/>
              </w:tabs>
              <w:spacing w:before="0" w:after="0"/>
              <w:rPr>
                <w:sz w:val="18"/>
                <w:szCs w:val="18"/>
              </w:rPr>
            </w:pPr>
            <w:r w:rsidRPr="009D174C">
              <w:rPr>
                <w:b/>
                <w:sz w:val="18"/>
                <w:szCs w:val="18"/>
              </w:rPr>
              <w:t xml:space="preserve">- </w:t>
            </w:r>
            <w:r w:rsidRPr="009D174C">
              <w:rPr>
                <w:sz w:val="18"/>
                <w:szCs w:val="18"/>
              </w:rPr>
              <w:t>Non-controlling interests</w:t>
            </w:r>
          </w:p>
          <w:p w:rsidR="009D174C" w:rsidRPr="009D174C" w:rsidRDefault="009D174C" w:rsidP="009D174C">
            <w:pPr>
              <w:pStyle w:val="NormalWeb"/>
              <w:tabs>
                <w:tab w:val="right" w:leader="dot" w:pos="5160"/>
              </w:tabs>
              <w:spacing w:before="0" w:after="0"/>
              <w:rPr>
                <w:sz w:val="18"/>
                <w:szCs w:val="18"/>
              </w:rPr>
            </w:pPr>
          </w:p>
          <w:p w:rsidR="009D174C" w:rsidRPr="009D174C" w:rsidRDefault="009D174C" w:rsidP="009D174C">
            <w:pPr>
              <w:pStyle w:val="NormalWeb"/>
              <w:tabs>
                <w:tab w:val="right" w:leader="dot" w:pos="5160"/>
              </w:tabs>
              <w:spacing w:before="0" w:after="0"/>
              <w:rPr>
                <w:b/>
                <w:sz w:val="18"/>
                <w:szCs w:val="18"/>
              </w:rPr>
            </w:pPr>
            <w:r w:rsidRPr="009D174C">
              <w:rPr>
                <w:b/>
                <w:sz w:val="18"/>
                <w:szCs w:val="18"/>
              </w:rPr>
              <w:t>Additional consolidated key figures:</w:t>
            </w:r>
          </w:p>
        </w:tc>
        <w:tc>
          <w:tcPr>
            <w:tcW w:w="840" w:type="pct"/>
            <w:noWrap/>
          </w:tcPr>
          <w:p w:rsidR="009D174C" w:rsidRPr="009D174C" w:rsidRDefault="009D174C" w:rsidP="009D174C">
            <w:pPr>
              <w:pStyle w:val="NormalWeb"/>
              <w:tabs>
                <w:tab w:val="right" w:pos="720"/>
                <w:tab w:val="decimal" w:pos="760"/>
              </w:tabs>
              <w:spacing w:before="0" w:after="0"/>
              <w:jc w:val="right"/>
              <w:rPr>
                <w:b/>
                <w:sz w:val="18"/>
                <w:szCs w:val="18"/>
              </w:rPr>
            </w:pPr>
            <w:r w:rsidRPr="009D174C">
              <w:rPr>
                <w:b/>
                <w:sz w:val="18"/>
                <w:szCs w:val="18"/>
              </w:rPr>
              <w:t>0.2</w:t>
            </w:r>
          </w:p>
        </w:tc>
        <w:tc>
          <w:tcPr>
            <w:tcW w:w="645" w:type="pct"/>
          </w:tcPr>
          <w:p w:rsidR="009D174C" w:rsidRPr="009D174C" w:rsidRDefault="009D174C" w:rsidP="009D174C">
            <w:pPr>
              <w:pStyle w:val="NormalWeb"/>
              <w:tabs>
                <w:tab w:val="right" w:pos="720"/>
                <w:tab w:val="decimal" w:pos="760"/>
              </w:tabs>
              <w:spacing w:before="0" w:after="0"/>
              <w:jc w:val="right"/>
              <w:rPr>
                <w:b/>
                <w:bCs/>
                <w:sz w:val="18"/>
                <w:szCs w:val="18"/>
              </w:rPr>
            </w:pPr>
            <w:r w:rsidRPr="009D174C">
              <w:rPr>
                <w:b/>
                <w:bCs/>
                <w:sz w:val="18"/>
                <w:szCs w:val="18"/>
              </w:rPr>
              <w:t>(0.6)</w:t>
            </w:r>
          </w:p>
        </w:tc>
        <w:tc>
          <w:tcPr>
            <w:tcW w:w="662" w:type="pct"/>
            <w:noWrap/>
          </w:tcPr>
          <w:p w:rsidR="009D174C" w:rsidRPr="009D174C" w:rsidRDefault="009D174C" w:rsidP="009D174C">
            <w:pPr>
              <w:pStyle w:val="NormalWeb"/>
              <w:tabs>
                <w:tab w:val="right" w:pos="720"/>
                <w:tab w:val="decimal" w:pos="760"/>
              </w:tabs>
              <w:spacing w:before="0" w:after="0"/>
              <w:jc w:val="right"/>
              <w:rPr>
                <w:b/>
                <w:sz w:val="18"/>
                <w:szCs w:val="18"/>
              </w:rPr>
            </w:pPr>
            <w:r w:rsidRPr="009D174C">
              <w:rPr>
                <w:b/>
                <w:sz w:val="18"/>
                <w:szCs w:val="18"/>
              </w:rPr>
              <w:t>0.5</w:t>
            </w:r>
          </w:p>
        </w:tc>
      </w:tr>
      <w:tr w:rsidR="009D174C" w:rsidRPr="00DF22C5" w:rsidTr="00AB62FC">
        <w:tc>
          <w:tcPr>
            <w:tcW w:w="2853" w:type="pct"/>
          </w:tcPr>
          <w:p w:rsidR="009D174C" w:rsidRPr="009D174C" w:rsidRDefault="009D174C" w:rsidP="009D174C">
            <w:pPr>
              <w:pStyle w:val="NormalWeb"/>
              <w:tabs>
                <w:tab w:val="right" w:leader="dot" w:pos="5160"/>
              </w:tabs>
              <w:spacing w:before="0" w:after="0"/>
              <w:ind w:left="240" w:hanging="240"/>
              <w:rPr>
                <w:b/>
                <w:sz w:val="18"/>
                <w:szCs w:val="18"/>
              </w:rPr>
            </w:pPr>
            <w:r w:rsidRPr="009D174C">
              <w:rPr>
                <w:b/>
                <w:sz w:val="18"/>
                <w:szCs w:val="18"/>
              </w:rPr>
              <w:t>REBITDA</w:t>
            </w:r>
            <w:r w:rsidRPr="009D174C">
              <w:rPr>
                <w:b/>
                <w:sz w:val="18"/>
                <w:szCs w:val="18"/>
              </w:rPr>
              <w:tab/>
            </w:r>
          </w:p>
        </w:tc>
        <w:tc>
          <w:tcPr>
            <w:tcW w:w="840" w:type="pct"/>
            <w:noWrap/>
          </w:tcPr>
          <w:p w:rsidR="009D174C" w:rsidRPr="009D174C" w:rsidRDefault="009D174C" w:rsidP="009D174C">
            <w:pPr>
              <w:pStyle w:val="NormalWeb"/>
              <w:tabs>
                <w:tab w:val="right" w:pos="720"/>
                <w:tab w:val="decimal" w:pos="760"/>
              </w:tabs>
              <w:spacing w:before="0" w:after="0"/>
              <w:jc w:val="right"/>
              <w:rPr>
                <w:b/>
                <w:sz w:val="18"/>
                <w:szCs w:val="18"/>
              </w:rPr>
            </w:pPr>
            <w:r w:rsidRPr="009D174C">
              <w:rPr>
                <w:b/>
                <w:sz w:val="18"/>
                <w:szCs w:val="18"/>
              </w:rPr>
              <w:t>62.6</w:t>
            </w:r>
          </w:p>
        </w:tc>
        <w:tc>
          <w:tcPr>
            <w:tcW w:w="645" w:type="pct"/>
          </w:tcPr>
          <w:p w:rsidR="009D174C" w:rsidRPr="009D174C" w:rsidRDefault="009D174C" w:rsidP="009D174C">
            <w:pPr>
              <w:pStyle w:val="NormalWeb"/>
              <w:tabs>
                <w:tab w:val="right" w:pos="720"/>
                <w:tab w:val="decimal" w:pos="760"/>
              </w:tabs>
              <w:spacing w:before="0" w:after="0"/>
              <w:jc w:val="right"/>
              <w:rPr>
                <w:b/>
                <w:bCs/>
                <w:sz w:val="18"/>
                <w:szCs w:val="18"/>
              </w:rPr>
            </w:pPr>
            <w:r w:rsidRPr="009D174C">
              <w:rPr>
                <w:b/>
                <w:bCs/>
                <w:sz w:val="18"/>
                <w:szCs w:val="18"/>
              </w:rPr>
              <w:t>51.4</w:t>
            </w:r>
          </w:p>
        </w:tc>
        <w:tc>
          <w:tcPr>
            <w:tcW w:w="662" w:type="pct"/>
            <w:noWrap/>
          </w:tcPr>
          <w:p w:rsidR="009D174C" w:rsidRPr="009D174C" w:rsidRDefault="009D174C" w:rsidP="009D174C">
            <w:pPr>
              <w:pStyle w:val="NormalWeb"/>
              <w:tabs>
                <w:tab w:val="right" w:pos="720"/>
                <w:tab w:val="decimal" w:pos="760"/>
              </w:tabs>
              <w:spacing w:before="0" w:after="0"/>
              <w:jc w:val="right"/>
              <w:rPr>
                <w:b/>
                <w:sz w:val="18"/>
                <w:szCs w:val="18"/>
              </w:rPr>
            </w:pPr>
            <w:r w:rsidRPr="009D174C">
              <w:rPr>
                <w:b/>
                <w:sz w:val="18"/>
                <w:szCs w:val="18"/>
              </w:rPr>
              <w:t>43.5</w:t>
            </w:r>
          </w:p>
        </w:tc>
      </w:tr>
    </w:tbl>
    <w:p w:rsidR="003F0BC5" w:rsidRPr="00992199" w:rsidRDefault="001C136A" w:rsidP="00353B80">
      <w:pPr>
        <w:pStyle w:val="Firm5L3"/>
        <w:keepNext/>
      </w:pPr>
      <w:r>
        <w:t>Revenues</w:t>
      </w:r>
    </w:p>
    <w:p w:rsidR="003F0BC5" w:rsidRPr="00992199" w:rsidRDefault="003F0BC5" w:rsidP="003F0BC5">
      <w:pPr>
        <w:rPr>
          <w:szCs w:val="20"/>
        </w:rPr>
      </w:pPr>
      <w:r w:rsidRPr="00992199">
        <w:rPr>
          <w:szCs w:val="20"/>
        </w:rPr>
        <w:t xml:space="preserve">The </w:t>
      </w:r>
      <w:r w:rsidR="002A1AB1">
        <w:rPr>
          <w:szCs w:val="20"/>
        </w:rPr>
        <w:t>Greenyard Foods</w:t>
      </w:r>
      <w:r w:rsidRPr="00992199">
        <w:rPr>
          <w:szCs w:val="20"/>
        </w:rPr>
        <w:t xml:space="preserve"> Group’s sales consist of the sale of fresh frozen vegetable products and canned vegetable products, including soups, sauces and ready-meals in glass and cans. Discontinued operations included in AY 12/13 sales of the potato division, which is not included in the table below. This division has been disposed in May 2013.</w:t>
      </w:r>
    </w:p>
    <w:tbl>
      <w:tblPr>
        <w:tblW w:w="5000" w:type="pct"/>
        <w:tblLook w:val="0000" w:firstRow="0" w:lastRow="0" w:firstColumn="0" w:lastColumn="0" w:noHBand="0" w:noVBand="0"/>
      </w:tblPr>
      <w:tblGrid>
        <w:gridCol w:w="5121"/>
        <w:gridCol w:w="1374"/>
        <w:gridCol w:w="1376"/>
        <w:gridCol w:w="1374"/>
      </w:tblGrid>
      <w:tr w:rsidR="009D174C" w:rsidRPr="009D174C" w:rsidTr="00AB62FC">
        <w:trPr>
          <w:trHeight w:val="20"/>
        </w:trPr>
        <w:tc>
          <w:tcPr>
            <w:tcW w:w="2770" w:type="pct"/>
            <w:shd w:val="clear" w:color="auto" w:fill="FFFFFF"/>
            <w:vAlign w:val="center"/>
          </w:tcPr>
          <w:p w:rsidR="009D174C" w:rsidRPr="009D174C" w:rsidRDefault="009D174C" w:rsidP="00AB62FC">
            <w:pPr>
              <w:keepNext/>
              <w:tabs>
                <w:tab w:val="right" w:leader="dot" w:pos="4536"/>
              </w:tabs>
              <w:spacing w:before="0" w:after="0"/>
              <w:jc w:val="left"/>
              <w:rPr>
                <w:i/>
                <w:sz w:val="18"/>
                <w:szCs w:val="18"/>
              </w:rPr>
            </w:pPr>
            <w:r w:rsidRPr="009D174C">
              <w:rPr>
                <w:i/>
                <w:sz w:val="18"/>
                <w:szCs w:val="18"/>
              </w:rPr>
              <w:t>(</w:t>
            </w:r>
            <w:r w:rsidR="00E53641">
              <w:rPr>
                <w:i/>
                <w:sz w:val="18"/>
                <w:szCs w:val="18"/>
              </w:rPr>
              <w:t>EUR </w:t>
            </w:r>
            <w:r w:rsidRPr="009D174C">
              <w:rPr>
                <w:i/>
                <w:sz w:val="18"/>
                <w:szCs w:val="18"/>
              </w:rPr>
              <w:t>in millions)</w:t>
            </w:r>
          </w:p>
        </w:tc>
        <w:tc>
          <w:tcPr>
            <w:tcW w:w="743" w:type="pct"/>
            <w:shd w:val="clear" w:color="auto" w:fill="FFFFFF"/>
            <w:vAlign w:val="center"/>
          </w:tcPr>
          <w:p w:rsidR="009D174C" w:rsidRPr="009D174C" w:rsidRDefault="009D174C" w:rsidP="00AB62FC">
            <w:pPr>
              <w:pBdr>
                <w:bottom w:val="single" w:sz="4" w:space="1" w:color="auto"/>
              </w:pBdr>
              <w:spacing w:before="0" w:after="0"/>
              <w:jc w:val="center"/>
              <w:rPr>
                <w:b/>
                <w:sz w:val="18"/>
                <w:szCs w:val="18"/>
              </w:rPr>
            </w:pPr>
            <w:r w:rsidRPr="009D174C">
              <w:rPr>
                <w:b/>
                <w:sz w:val="18"/>
                <w:szCs w:val="18"/>
              </w:rPr>
              <w:t xml:space="preserve">Year ended </w:t>
            </w:r>
          </w:p>
          <w:p w:rsidR="009D174C" w:rsidRPr="009D174C" w:rsidRDefault="009D174C" w:rsidP="00AB62FC">
            <w:pPr>
              <w:pBdr>
                <w:bottom w:val="single" w:sz="4" w:space="1" w:color="auto"/>
              </w:pBdr>
              <w:spacing w:before="0" w:after="0"/>
              <w:jc w:val="center"/>
              <w:rPr>
                <w:b/>
                <w:sz w:val="18"/>
                <w:szCs w:val="18"/>
              </w:rPr>
            </w:pPr>
            <w:r w:rsidRPr="009D174C">
              <w:rPr>
                <w:b/>
                <w:sz w:val="18"/>
                <w:szCs w:val="18"/>
              </w:rPr>
              <w:t>31 March 2015</w:t>
            </w:r>
          </w:p>
        </w:tc>
        <w:tc>
          <w:tcPr>
            <w:tcW w:w="744" w:type="pct"/>
            <w:shd w:val="clear" w:color="auto" w:fill="FFFFFF"/>
            <w:vAlign w:val="center"/>
          </w:tcPr>
          <w:p w:rsidR="009D174C" w:rsidRPr="009D174C" w:rsidRDefault="009D174C" w:rsidP="00AB62FC">
            <w:pPr>
              <w:pBdr>
                <w:bottom w:val="single" w:sz="4" w:space="1" w:color="auto"/>
              </w:pBdr>
              <w:spacing w:before="0" w:after="0"/>
              <w:jc w:val="center"/>
              <w:rPr>
                <w:b/>
                <w:sz w:val="18"/>
                <w:szCs w:val="18"/>
              </w:rPr>
            </w:pPr>
            <w:r w:rsidRPr="009D174C">
              <w:rPr>
                <w:b/>
                <w:sz w:val="18"/>
                <w:szCs w:val="18"/>
              </w:rPr>
              <w:t xml:space="preserve">Year ended </w:t>
            </w:r>
          </w:p>
          <w:p w:rsidR="009D174C" w:rsidRPr="009D174C" w:rsidRDefault="009D174C" w:rsidP="00AB62FC">
            <w:pPr>
              <w:pBdr>
                <w:bottom w:val="single" w:sz="4" w:space="1" w:color="auto"/>
              </w:pBdr>
              <w:spacing w:before="0" w:after="0"/>
              <w:jc w:val="center"/>
              <w:rPr>
                <w:b/>
                <w:sz w:val="18"/>
                <w:szCs w:val="18"/>
              </w:rPr>
            </w:pPr>
            <w:r w:rsidRPr="009D174C">
              <w:rPr>
                <w:b/>
                <w:sz w:val="18"/>
                <w:szCs w:val="18"/>
              </w:rPr>
              <w:t>31 March 2014</w:t>
            </w:r>
          </w:p>
        </w:tc>
        <w:tc>
          <w:tcPr>
            <w:tcW w:w="743" w:type="pct"/>
            <w:shd w:val="clear" w:color="auto" w:fill="FFFFFF"/>
          </w:tcPr>
          <w:p w:rsidR="009D174C" w:rsidRPr="009D174C" w:rsidRDefault="009D174C" w:rsidP="00AB62FC">
            <w:pPr>
              <w:pBdr>
                <w:bottom w:val="single" w:sz="4" w:space="1" w:color="auto"/>
              </w:pBdr>
              <w:spacing w:before="0" w:after="0"/>
              <w:jc w:val="center"/>
              <w:rPr>
                <w:b/>
                <w:sz w:val="18"/>
                <w:szCs w:val="18"/>
              </w:rPr>
            </w:pPr>
            <w:r w:rsidRPr="009D174C">
              <w:rPr>
                <w:b/>
                <w:sz w:val="18"/>
                <w:szCs w:val="18"/>
              </w:rPr>
              <w:t xml:space="preserve">Year ended </w:t>
            </w:r>
          </w:p>
          <w:p w:rsidR="009D174C" w:rsidRPr="009D174C" w:rsidRDefault="009D174C" w:rsidP="00AB62FC">
            <w:pPr>
              <w:pBdr>
                <w:bottom w:val="single" w:sz="4" w:space="1" w:color="auto"/>
              </w:pBdr>
              <w:spacing w:before="0" w:after="0"/>
              <w:jc w:val="center"/>
              <w:rPr>
                <w:b/>
                <w:sz w:val="18"/>
                <w:szCs w:val="18"/>
              </w:rPr>
            </w:pPr>
            <w:r w:rsidRPr="009D174C">
              <w:rPr>
                <w:b/>
                <w:sz w:val="18"/>
                <w:szCs w:val="18"/>
              </w:rPr>
              <w:t>31 March 2013</w:t>
            </w:r>
          </w:p>
        </w:tc>
      </w:tr>
      <w:tr w:rsidR="009D174C" w:rsidRPr="009D174C" w:rsidTr="00AB62FC">
        <w:trPr>
          <w:trHeight w:val="20"/>
        </w:trPr>
        <w:tc>
          <w:tcPr>
            <w:tcW w:w="2770" w:type="pct"/>
            <w:shd w:val="clear" w:color="auto" w:fill="auto"/>
            <w:noWrap/>
            <w:vAlign w:val="bottom"/>
          </w:tcPr>
          <w:p w:rsidR="009D174C" w:rsidRPr="009D174C" w:rsidRDefault="009D174C" w:rsidP="00AB62FC">
            <w:pPr>
              <w:tabs>
                <w:tab w:val="right" w:leader="dot" w:pos="4536"/>
              </w:tabs>
              <w:spacing w:before="0" w:after="0"/>
              <w:rPr>
                <w:sz w:val="18"/>
                <w:szCs w:val="18"/>
              </w:rPr>
            </w:pPr>
            <w:r w:rsidRPr="009D174C">
              <w:rPr>
                <w:sz w:val="18"/>
                <w:szCs w:val="18"/>
              </w:rPr>
              <w:t> </w:t>
            </w:r>
          </w:p>
        </w:tc>
        <w:tc>
          <w:tcPr>
            <w:tcW w:w="743" w:type="pct"/>
            <w:shd w:val="clear" w:color="auto" w:fill="auto"/>
            <w:noWrap/>
            <w:vAlign w:val="bottom"/>
          </w:tcPr>
          <w:p w:rsidR="009D174C" w:rsidRPr="009D174C" w:rsidRDefault="009D174C" w:rsidP="00AB62FC">
            <w:pPr>
              <w:spacing w:before="0" w:after="0"/>
              <w:rPr>
                <w:sz w:val="18"/>
                <w:szCs w:val="18"/>
              </w:rPr>
            </w:pPr>
            <w:r w:rsidRPr="009D174C">
              <w:rPr>
                <w:sz w:val="18"/>
                <w:szCs w:val="18"/>
              </w:rPr>
              <w:t> </w:t>
            </w:r>
          </w:p>
        </w:tc>
        <w:tc>
          <w:tcPr>
            <w:tcW w:w="744" w:type="pct"/>
            <w:shd w:val="clear" w:color="auto" w:fill="auto"/>
            <w:noWrap/>
            <w:vAlign w:val="bottom"/>
          </w:tcPr>
          <w:p w:rsidR="009D174C" w:rsidRPr="009D174C" w:rsidRDefault="009D174C" w:rsidP="00AB62FC">
            <w:pPr>
              <w:spacing w:before="0" w:after="0"/>
              <w:rPr>
                <w:sz w:val="18"/>
                <w:szCs w:val="18"/>
              </w:rPr>
            </w:pPr>
            <w:r w:rsidRPr="009D174C">
              <w:rPr>
                <w:sz w:val="18"/>
                <w:szCs w:val="18"/>
              </w:rPr>
              <w:t> </w:t>
            </w:r>
          </w:p>
        </w:tc>
        <w:tc>
          <w:tcPr>
            <w:tcW w:w="743" w:type="pct"/>
          </w:tcPr>
          <w:p w:rsidR="009D174C" w:rsidRPr="009D174C" w:rsidRDefault="009D174C" w:rsidP="00AB62FC">
            <w:pPr>
              <w:spacing w:before="0" w:after="0"/>
              <w:rPr>
                <w:sz w:val="18"/>
                <w:szCs w:val="18"/>
              </w:rPr>
            </w:pPr>
          </w:p>
        </w:tc>
      </w:tr>
      <w:tr w:rsidR="009D174C" w:rsidRPr="009D174C" w:rsidTr="00AB62FC">
        <w:trPr>
          <w:trHeight w:val="20"/>
        </w:trPr>
        <w:tc>
          <w:tcPr>
            <w:tcW w:w="2770" w:type="pct"/>
            <w:shd w:val="clear" w:color="auto" w:fill="auto"/>
            <w:noWrap/>
            <w:vAlign w:val="bottom"/>
          </w:tcPr>
          <w:p w:rsidR="009D174C" w:rsidRPr="009D174C" w:rsidRDefault="009D174C" w:rsidP="00AB62FC">
            <w:pPr>
              <w:tabs>
                <w:tab w:val="right" w:leader="dot" w:pos="4536"/>
              </w:tabs>
              <w:spacing w:before="0" w:after="0"/>
              <w:rPr>
                <w:sz w:val="18"/>
                <w:szCs w:val="18"/>
              </w:rPr>
            </w:pPr>
            <w:r w:rsidRPr="009D174C">
              <w:rPr>
                <w:sz w:val="18"/>
                <w:szCs w:val="18"/>
              </w:rPr>
              <w:t>Sales ‘Frozen’</w:t>
            </w:r>
            <w:r w:rsidRPr="009D174C">
              <w:rPr>
                <w:sz w:val="18"/>
                <w:szCs w:val="18"/>
              </w:rPr>
              <w:tab/>
            </w:r>
          </w:p>
        </w:tc>
        <w:tc>
          <w:tcPr>
            <w:tcW w:w="743" w:type="pct"/>
            <w:shd w:val="clear" w:color="auto" w:fill="auto"/>
            <w:noWrap/>
            <w:vAlign w:val="bottom"/>
          </w:tcPr>
          <w:p w:rsidR="009D174C" w:rsidRPr="009D174C" w:rsidRDefault="009D174C" w:rsidP="00AB62FC">
            <w:pPr>
              <w:spacing w:before="0" w:after="0"/>
              <w:jc w:val="right"/>
              <w:rPr>
                <w:sz w:val="18"/>
                <w:szCs w:val="18"/>
              </w:rPr>
            </w:pPr>
            <w:r w:rsidRPr="009D174C">
              <w:rPr>
                <w:sz w:val="18"/>
                <w:szCs w:val="18"/>
              </w:rPr>
              <w:t>414.1</w:t>
            </w:r>
          </w:p>
        </w:tc>
        <w:tc>
          <w:tcPr>
            <w:tcW w:w="744" w:type="pct"/>
            <w:shd w:val="clear" w:color="auto" w:fill="auto"/>
            <w:noWrap/>
            <w:vAlign w:val="bottom"/>
          </w:tcPr>
          <w:p w:rsidR="009D174C" w:rsidRPr="009D174C" w:rsidRDefault="009D174C" w:rsidP="00AB62FC">
            <w:pPr>
              <w:spacing w:before="0" w:after="0"/>
              <w:jc w:val="right"/>
              <w:rPr>
                <w:sz w:val="18"/>
                <w:szCs w:val="18"/>
              </w:rPr>
            </w:pPr>
            <w:r w:rsidRPr="009D174C">
              <w:rPr>
                <w:sz w:val="18"/>
                <w:szCs w:val="18"/>
              </w:rPr>
              <w:t>409.8</w:t>
            </w:r>
          </w:p>
        </w:tc>
        <w:tc>
          <w:tcPr>
            <w:tcW w:w="743" w:type="pct"/>
          </w:tcPr>
          <w:p w:rsidR="009D174C" w:rsidRPr="009D174C" w:rsidRDefault="009D174C" w:rsidP="00AB62FC">
            <w:pPr>
              <w:spacing w:before="0" w:after="0"/>
              <w:jc w:val="right"/>
              <w:rPr>
                <w:sz w:val="18"/>
                <w:szCs w:val="18"/>
              </w:rPr>
            </w:pPr>
            <w:r w:rsidRPr="009D174C">
              <w:rPr>
                <w:sz w:val="18"/>
                <w:szCs w:val="18"/>
              </w:rPr>
              <w:t>407.7</w:t>
            </w:r>
          </w:p>
        </w:tc>
      </w:tr>
      <w:tr w:rsidR="009D174C" w:rsidRPr="009D174C" w:rsidTr="00AB62FC">
        <w:trPr>
          <w:trHeight w:val="20"/>
        </w:trPr>
        <w:tc>
          <w:tcPr>
            <w:tcW w:w="2770" w:type="pct"/>
            <w:shd w:val="clear" w:color="auto" w:fill="auto"/>
            <w:noWrap/>
            <w:vAlign w:val="bottom"/>
          </w:tcPr>
          <w:p w:rsidR="009D174C" w:rsidRPr="009D174C" w:rsidRDefault="009D174C" w:rsidP="00AB62FC">
            <w:pPr>
              <w:tabs>
                <w:tab w:val="right" w:leader="dot" w:pos="4536"/>
              </w:tabs>
              <w:spacing w:before="0" w:after="0"/>
              <w:rPr>
                <w:sz w:val="18"/>
                <w:szCs w:val="18"/>
              </w:rPr>
            </w:pPr>
            <w:r w:rsidRPr="009D174C">
              <w:rPr>
                <w:sz w:val="18"/>
                <w:szCs w:val="18"/>
              </w:rPr>
              <w:t>Sales ‘Canned’</w:t>
            </w:r>
            <w:r w:rsidRPr="009D174C">
              <w:rPr>
                <w:sz w:val="18"/>
                <w:szCs w:val="18"/>
              </w:rPr>
              <w:tab/>
            </w:r>
          </w:p>
        </w:tc>
        <w:tc>
          <w:tcPr>
            <w:tcW w:w="743" w:type="pct"/>
            <w:tcBorders>
              <w:bottom w:val="single" w:sz="8" w:space="0" w:color="auto"/>
            </w:tcBorders>
            <w:shd w:val="clear" w:color="auto" w:fill="auto"/>
            <w:noWrap/>
            <w:vAlign w:val="bottom"/>
          </w:tcPr>
          <w:p w:rsidR="009D174C" w:rsidRPr="009D174C" w:rsidRDefault="009D174C" w:rsidP="00AB62FC">
            <w:pPr>
              <w:spacing w:before="0" w:after="0"/>
              <w:jc w:val="right"/>
              <w:rPr>
                <w:sz w:val="18"/>
                <w:szCs w:val="18"/>
              </w:rPr>
            </w:pPr>
            <w:r w:rsidRPr="009D174C">
              <w:rPr>
                <w:sz w:val="18"/>
                <w:szCs w:val="18"/>
              </w:rPr>
              <w:t>221.2</w:t>
            </w:r>
          </w:p>
        </w:tc>
        <w:tc>
          <w:tcPr>
            <w:tcW w:w="744" w:type="pct"/>
            <w:tcBorders>
              <w:bottom w:val="single" w:sz="8" w:space="0" w:color="auto"/>
            </w:tcBorders>
            <w:shd w:val="clear" w:color="auto" w:fill="auto"/>
            <w:noWrap/>
            <w:vAlign w:val="bottom"/>
          </w:tcPr>
          <w:p w:rsidR="009D174C" w:rsidRPr="009D174C" w:rsidRDefault="009D174C" w:rsidP="00AB62FC">
            <w:pPr>
              <w:spacing w:before="0" w:after="0"/>
              <w:jc w:val="right"/>
              <w:rPr>
                <w:sz w:val="18"/>
                <w:szCs w:val="18"/>
              </w:rPr>
            </w:pPr>
            <w:r w:rsidRPr="009D174C">
              <w:rPr>
                <w:sz w:val="18"/>
                <w:szCs w:val="18"/>
              </w:rPr>
              <w:t>213.3</w:t>
            </w:r>
          </w:p>
        </w:tc>
        <w:tc>
          <w:tcPr>
            <w:tcW w:w="743" w:type="pct"/>
            <w:tcBorders>
              <w:bottom w:val="single" w:sz="8" w:space="0" w:color="auto"/>
            </w:tcBorders>
          </w:tcPr>
          <w:p w:rsidR="009D174C" w:rsidRPr="009D174C" w:rsidRDefault="009D174C" w:rsidP="00AB62FC">
            <w:pPr>
              <w:spacing w:before="0" w:after="0"/>
              <w:jc w:val="right"/>
              <w:rPr>
                <w:sz w:val="18"/>
                <w:szCs w:val="18"/>
              </w:rPr>
            </w:pPr>
            <w:r w:rsidRPr="009D174C">
              <w:rPr>
                <w:sz w:val="18"/>
                <w:szCs w:val="18"/>
              </w:rPr>
              <w:t>204.3</w:t>
            </w:r>
          </w:p>
        </w:tc>
      </w:tr>
      <w:tr w:rsidR="009D174C" w:rsidRPr="00C530D5" w:rsidTr="00AB62FC">
        <w:trPr>
          <w:trHeight w:val="20"/>
        </w:trPr>
        <w:tc>
          <w:tcPr>
            <w:tcW w:w="2770" w:type="pct"/>
            <w:shd w:val="clear" w:color="auto" w:fill="auto"/>
            <w:noWrap/>
            <w:vAlign w:val="bottom"/>
          </w:tcPr>
          <w:p w:rsidR="009D174C" w:rsidRPr="009D174C" w:rsidRDefault="009D174C" w:rsidP="00AB62FC">
            <w:pPr>
              <w:tabs>
                <w:tab w:val="right" w:leader="dot" w:pos="4536"/>
              </w:tabs>
              <w:spacing w:before="0" w:after="0"/>
              <w:rPr>
                <w:b/>
                <w:sz w:val="18"/>
                <w:szCs w:val="18"/>
              </w:rPr>
            </w:pPr>
            <w:r w:rsidRPr="009D174C">
              <w:rPr>
                <w:b/>
                <w:sz w:val="18"/>
                <w:szCs w:val="18"/>
              </w:rPr>
              <w:t>Sales</w:t>
            </w:r>
          </w:p>
        </w:tc>
        <w:tc>
          <w:tcPr>
            <w:tcW w:w="743" w:type="pct"/>
            <w:tcBorders>
              <w:top w:val="single" w:sz="8" w:space="0" w:color="auto"/>
              <w:bottom w:val="double" w:sz="4" w:space="0" w:color="auto"/>
            </w:tcBorders>
            <w:shd w:val="clear" w:color="auto" w:fill="auto"/>
            <w:noWrap/>
            <w:vAlign w:val="bottom"/>
          </w:tcPr>
          <w:p w:rsidR="009D174C" w:rsidRPr="009D174C" w:rsidRDefault="009D174C" w:rsidP="00AB62FC">
            <w:pPr>
              <w:spacing w:before="0" w:after="0"/>
              <w:jc w:val="right"/>
              <w:rPr>
                <w:b/>
                <w:sz w:val="18"/>
                <w:szCs w:val="18"/>
              </w:rPr>
            </w:pPr>
            <w:r w:rsidRPr="009D174C">
              <w:rPr>
                <w:b/>
                <w:sz w:val="18"/>
                <w:szCs w:val="18"/>
              </w:rPr>
              <w:t>635.4</w:t>
            </w:r>
          </w:p>
        </w:tc>
        <w:tc>
          <w:tcPr>
            <w:tcW w:w="744" w:type="pct"/>
            <w:tcBorders>
              <w:top w:val="single" w:sz="8" w:space="0" w:color="auto"/>
              <w:bottom w:val="double" w:sz="4" w:space="0" w:color="auto"/>
            </w:tcBorders>
            <w:shd w:val="clear" w:color="auto" w:fill="auto"/>
            <w:noWrap/>
            <w:vAlign w:val="bottom"/>
          </w:tcPr>
          <w:p w:rsidR="009D174C" w:rsidRPr="009D174C" w:rsidRDefault="009D174C" w:rsidP="00AB62FC">
            <w:pPr>
              <w:spacing w:before="0" w:after="0"/>
              <w:jc w:val="right"/>
              <w:rPr>
                <w:b/>
                <w:sz w:val="18"/>
                <w:szCs w:val="18"/>
              </w:rPr>
            </w:pPr>
            <w:r w:rsidRPr="009D174C">
              <w:rPr>
                <w:b/>
                <w:sz w:val="18"/>
                <w:szCs w:val="18"/>
              </w:rPr>
              <w:t>623.1</w:t>
            </w:r>
          </w:p>
        </w:tc>
        <w:tc>
          <w:tcPr>
            <w:tcW w:w="743" w:type="pct"/>
            <w:tcBorders>
              <w:top w:val="single" w:sz="8" w:space="0" w:color="auto"/>
              <w:bottom w:val="double" w:sz="4" w:space="0" w:color="auto"/>
            </w:tcBorders>
          </w:tcPr>
          <w:p w:rsidR="009D174C" w:rsidRPr="009D174C" w:rsidRDefault="009D174C" w:rsidP="00AB62FC">
            <w:pPr>
              <w:spacing w:before="0" w:after="0"/>
              <w:jc w:val="right"/>
              <w:rPr>
                <w:b/>
                <w:sz w:val="18"/>
                <w:szCs w:val="18"/>
              </w:rPr>
            </w:pPr>
            <w:r w:rsidRPr="009D174C">
              <w:rPr>
                <w:b/>
                <w:sz w:val="18"/>
                <w:szCs w:val="18"/>
              </w:rPr>
              <w:t>612.1</w:t>
            </w:r>
          </w:p>
        </w:tc>
      </w:tr>
    </w:tbl>
    <w:p w:rsidR="003F0BC5" w:rsidRPr="00992199" w:rsidRDefault="003F0BC5" w:rsidP="00353B80">
      <w:pPr>
        <w:pStyle w:val="Firm5L4"/>
        <w:keepNext/>
      </w:pPr>
      <w:r w:rsidRPr="00992199">
        <w:t xml:space="preserve">Sales </w:t>
      </w:r>
      <w:r w:rsidR="00EA66F3">
        <w:t xml:space="preserve">of </w:t>
      </w:r>
      <w:r w:rsidR="00EA66F3" w:rsidRPr="00EA66F3">
        <w:t xml:space="preserve">the </w:t>
      </w:r>
      <w:r w:rsidR="00EA66F3">
        <w:t xml:space="preserve">financial year ended </w:t>
      </w:r>
      <w:r w:rsidR="00EA66F3" w:rsidRPr="00EA66F3">
        <w:t>on 31 March 2015</w:t>
      </w:r>
      <w:r w:rsidR="00EA66F3">
        <w:t xml:space="preserve"> </w:t>
      </w:r>
      <w:r w:rsidRPr="00992199">
        <w:t xml:space="preserve">compared to </w:t>
      </w:r>
      <w:r w:rsidR="00EA66F3">
        <w:t>the financial year ended on 31 March 2014</w:t>
      </w:r>
      <w:r w:rsidRPr="00992199">
        <w:t>:</w:t>
      </w:r>
    </w:p>
    <w:p w:rsidR="003F0BC5" w:rsidRPr="00992199" w:rsidRDefault="003F0BC5" w:rsidP="003F0BC5">
      <w:pPr>
        <w:rPr>
          <w:szCs w:val="20"/>
        </w:rPr>
      </w:pPr>
      <w:r w:rsidRPr="00992199">
        <w:rPr>
          <w:szCs w:val="20"/>
        </w:rPr>
        <w:t xml:space="preserve">The increase of consolidated sales compared to the previous year (+2.0%) is the combined effect of an increase of +1.1% in the Frozen Division and an increase of </w:t>
      </w:r>
      <w:r w:rsidR="00651555">
        <w:rPr>
          <w:szCs w:val="20"/>
        </w:rPr>
        <w:t>+</w:t>
      </w:r>
      <w:r w:rsidRPr="00992199">
        <w:rPr>
          <w:szCs w:val="20"/>
        </w:rPr>
        <w:t>3.7% in the Canning Division. Exchange rate evolutions had a positive effect on the consolidated sales of 1.3%.</w:t>
      </w:r>
    </w:p>
    <w:p w:rsidR="003F0BC5" w:rsidRPr="00992199" w:rsidRDefault="003F0BC5" w:rsidP="003F0BC5">
      <w:pPr>
        <w:rPr>
          <w:szCs w:val="20"/>
        </w:rPr>
      </w:pPr>
      <w:r w:rsidRPr="00992199">
        <w:rPr>
          <w:szCs w:val="20"/>
        </w:rPr>
        <w:t xml:space="preserve">The Frozen Division accounts for 65.2% of the consolidated sales. The sales increase by </w:t>
      </w:r>
      <w:r w:rsidR="00651555">
        <w:rPr>
          <w:szCs w:val="20"/>
        </w:rPr>
        <w:t>+</w:t>
      </w:r>
      <w:r w:rsidRPr="00992199">
        <w:rPr>
          <w:szCs w:val="20"/>
        </w:rPr>
        <w:t xml:space="preserve">1.1% is the combined effect of a volume decrease, a positive portfolio mix effect and a positive exchange rate effect. Sales are impacted during eight months by the embargo from </w:t>
      </w:r>
      <w:smartTag w:uri="urn:schemas-microsoft-com:office:smarttags" w:element="country-region">
        <w:smartTag w:uri="urn:schemas-microsoft-com:office:smarttags" w:element="place">
          <w:r w:rsidRPr="00992199">
            <w:rPr>
              <w:szCs w:val="20"/>
            </w:rPr>
            <w:t>Russia</w:t>
          </w:r>
        </w:smartTag>
      </w:smartTag>
      <w:r w:rsidRPr="00992199">
        <w:rPr>
          <w:szCs w:val="20"/>
        </w:rPr>
        <w:t xml:space="preserve">, which became effective in August 2014. </w:t>
      </w:r>
      <w:smartTag w:uri="urn:schemas-microsoft-com:office:smarttags" w:element="country-region">
        <w:smartTag w:uri="urn:schemas-microsoft-com:office:smarttags" w:element="place">
          <w:r w:rsidRPr="00992199">
            <w:rPr>
              <w:szCs w:val="20"/>
            </w:rPr>
            <w:t>Russia</w:t>
          </w:r>
        </w:smartTag>
      </w:smartTag>
      <w:r w:rsidRPr="00992199">
        <w:rPr>
          <w:szCs w:val="20"/>
        </w:rPr>
        <w:t xml:space="preserve"> represents 1.7% of the sales of the Frozen Division.</w:t>
      </w:r>
    </w:p>
    <w:p w:rsidR="003F0BC5" w:rsidRPr="00992199" w:rsidRDefault="003F0BC5" w:rsidP="003F0BC5">
      <w:pPr>
        <w:rPr>
          <w:szCs w:val="20"/>
        </w:rPr>
      </w:pPr>
      <w:r w:rsidRPr="00992199">
        <w:rPr>
          <w:szCs w:val="20"/>
        </w:rPr>
        <w:t xml:space="preserve">The Canning Division accounts for 34.8% of the consolidated sales. Sales increased by +3.7% compared to the previous </w:t>
      </w:r>
      <w:r w:rsidR="00F35405" w:rsidRPr="00F35405">
        <w:rPr>
          <w:szCs w:val="20"/>
        </w:rPr>
        <w:t>financial year</w:t>
      </w:r>
      <w:r w:rsidR="00651555">
        <w:rPr>
          <w:szCs w:val="20"/>
        </w:rPr>
        <w:t>, which is the combined effect of a volume increase and a positive portfolio mix effect</w:t>
      </w:r>
      <w:r w:rsidRPr="00992199">
        <w:rPr>
          <w:szCs w:val="20"/>
        </w:rPr>
        <w:t>.</w:t>
      </w:r>
    </w:p>
    <w:p w:rsidR="003F0BC5" w:rsidRPr="00992199" w:rsidRDefault="003F0BC5" w:rsidP="00353B80">
      <w:pPr>
        <w:pStyle w:val="Firm5L4"/>
        <w:keepNext/>
      </w:pPr>
      <w:r w:rsidRPr="00992199">
        <w:t xml:space="preserve">Sales </w:t>
      </w:r>
      <w:r w:rsidR="00EA66F3">
        <w:t xml:space="preserve">of </w:t>
      </w:r>
      <w:r w:rsidR="00EA66F3" w:rsidRPr="00EA66F3">
        <w:t xml:space="preserve">the </w:t>
      </w:r>
      <w:r w:rsidR="00EA66F3">
        <w:t>financial year ended on 31 March 2014</w:t>
      </w:r>
      <w:r w:rsidRPr="00992199">
        <w:t xml:space="preserve"> compared to </w:t>
      </w:r>
      <w:r w:rsidR="00EA66F3" w:rsidRPr="00EA66F3">
        <w:t xml:space="preserve">the </w:t>
      </w:r>
      <w:r w:rsidR="00EA66F3">
        <w:t>financial year ended on 31 March 2013</w:t>
      </w:r>
      <w:r w:rsidRPr="00992199">
        <w:t>:</w:t>
      </w:r>
    </w:p>
    <w:p w:rsidR="003F0BC5" w:rsidRPr="00992199" w:rsidRDefault="003F0BC5" w:rsidP="003F0BC5">
      <w:pPr>
        <w:rPr>
          <w:szCs w:val="20"/>
        </w:rPr>
      </w:pPr>
      <w:r w:rsidRPr="00992199">
        <w:rPr>
          <w:szCs w:val="20"/>
        </w:rPr>
        <w:t xml:space="preserve">The increase of sales by +1.8% (or </w:t>
      </w:r>
      <w:r w:rsidR="00E53641">
        <w:rPr>
          <w:szCs w:val="20"/>
        </w:rPr>
        <w:t>EUR </w:t>
      </w:r>
      <w:r w:rsidRPr="00992199">
        <w:rPr>
          <w:szCs w:val="20"/>
        </w:rPr>
        <w:t>11,000,000) comprises an increase of sales of 0.5% in the Frozen Division and of 4.4% in the Canning Division. At stable exchange rates, the sales increase would amount to +3.1%.</w:t>
      </w:r>
    </w:p>
    <w:p w:rsidR="003F0BC5" w:rsidRPr="00992199" w:rsidRDefault="003F0BC5" w:rsidP="003F0BC5">
      <w:pPr>
        <w:rPr>
          <w:szCs w:val="20"/>
        </w:rPr>
      </w:pPr>
      <w:r w:rsidRPr="00992199">
        <w:rPr>
          <w:szCs w:val="20"/>
        </w:rPr>
        <w:t xml:space="preserve">The Frozen Division accounts for 65.8% of the consolidated revenue. Sales increased by +0.5% compared to the previous </w:t>
      </w:r>
      <w:r w:rsidR="00F35405">
        <w:rPr>
          <w:szCs w:val="20"/>
        </w:rPr>
        <w:t>financial year</w:t>
      </w:r>
      <w:r w:rsidR="00E0533C">
        <w:rPr>
          <w:szCs w:val="20"/>
        </w:rPr>
        <w:t>,</w:t>
      </w:r>
      <w:r w:rsidRPr="00992199">
        <w:rPr>
          <w:szCs w:val="20"/>
        </w:rPr>
        <w:t xml:space="preserve"> but would have increased by +2.4% in the case of stable exchange rates.</w:t>
      </w:r>
    </w:p>
    <w:p w:rsidR="003F0BC5" w:rsidRPr="00992199" w:rsidRDefault="003F0BC5" w:rsidP="003F0BC5">
      <w:pPr>
        <w:rPr>
          <w:szCs w:val="20"/>
        </w:rPr>
      </w:pPr>
      <w:r w:rsidRPr="00992199">
        <w:rPr>
          <w:szCs w:val="20"/>
        </w:rPr>
        <w:t>The Canning Division accounts for 34</w:t>
      </w:r>
      <w:r w:rsidR="00651555">
        <w:rPr>
          <w:szCs w:val="20"/>
        </w:rPr>
        <w:t>.2% of the consolidated revenue</w:t>
      </w:r>
      <w:r w:rsidRPr="00992199">
        <w:rPr>
          <w:szCs w:val="20"/>
        </w:rPr>
        <w:t xml:space="preserve">. Sales increased by +4.4% compared to the previous </w:t>
      </w:r>
      <w:r w:rsidR="00F35405">
        <w:rPr>
          <w:szCs w:val="20"/>
        </w:rPr>
        <w:t xml:space="preserve">financial year </w:t>
      </w:r>
      <w:r w:rsidRPr="00992199">
        <w:rPr>
          <w:szCs w:val="20"/>
        </w:rPr>
        <w:t>.</w:t>
      </w:r>
    </w:p>
    <w:p w:rsidR="003F0BC5" w:rsidRPr="00992199" w:rsidRDefault="001C136A" w:rsidP="00353B80">
      <w:pPr>
        <w:pStyle w:val="Firm5L3"/>
        <w:keepNext/>
      </w:pPr>
      <w:r>
        <w:t>Costs</w:t>
      </w:r>
    </w:p>
    <w:tbl>
      <w:tblPr>
        <w:tblW w:w="5103" w:type="pct"/>
        <w:tblLook w:val="0000" w:firstRow="0" w:lastRow="0" w:firstColumn="0" w:lastColumn="0" w:noHBand="0" w:noVBand="0"/>
      </w:tblPr>
      <w:tblGrid>
        <w:gridCol w:w="5384"/>
        <w:gridCol w:w="1585"/>
        <w:gridCol w:w="1217"/>
        <w:gridCol w:w="1249"/>
      </w:tblGrid>
      <w:tr w:rsidR="00651555" w:rsidRPr="00651555" w:rsidTr="00E53641">
        <w:tc>
          <w:tcPr>
            <w:tcW w:w="2853" w:type="pct"/>
            <w:vAlign w:val="center"/>
          </w:tcPr>
          <w:p w:rsidR="00651555" w:rsidRPr="00A431F0" w:rsidRDefault="00651555" w:rsidP="00A431F0">
            <w:pPr>
              <w:rPr>
                <w:i/>
                <w:szCs w:val="20"/>
              </w:rPr>
            </w:pPr>
            <w:r w:rsidRPr="00A431F0">
              <w:rPr>
                <w:i/>
                <w:szCs w:val="20"/>
              </w:rPr>
              <w:t>(</w:t>
            </w:r>
            <w:r w:rsidR="00E53641" w:rsidRPr="00A431F0">
              <w:rPr>
                <w:i/>
                <w:szCs w:val="20"/>
              </w:rPr>
              <w:t>EUR </w:t>
            </w:r>
            <w:r w:rsidRPr="00A431F0">
              <w:rPr>
                <w:i/>
                <w:szCs w:val="20"/>
              </w:rPr>
              <w:t>in millions)</w:t>
            </w:r>
          </w:p>
        </w:tc>
        <w:tc>
          <w:tcPr>
            <w:tcW w:w="840" w:type="pct"/>
            <w:vAlign w:val="bottom"/>
          </w:tcPr>
          <w:p w:rsidR="00651555" w:rsidRPr="00651555" w:rsidRDefault="00651555" w:rsidP="00E53641">
            <w:pPr>
              <w:pBdr>
                <w:bottom w:val="single" w:sz="4" w:space="1" w:color="auto"/>
              </w:pBdr>
              <w:spacing w:before="0" w:after="0"/>
              <w:ind w:left="368" w:hanging="227"/>
              <w:jc w:val="center"/>
              <w:rPr>
                <w:sz w:val="18"/>
                <w:szCs w:val="18"/>
              </w:rPr>
            </w:pPr>
            <w:r w:rsidRPr="00651555">
              <w:rPr>
                <w:b/>
                <w:bCs/>
                <w:sz w:val="18"/>
                <w:szCs w:val="18"/>
              </w:rPr>
              <w:t xml:space="preserve">Year ended </w:t>
            </w:r>
            <w:r w:rsidRPr="00651555">
              <w:rPr>
                <w:b/>
                <w:bCs/>
                <w:sz w:val="18"/>
                <w:szCs w:val="18"/>
              </w:rPr>
              <w:br/>
              <w:t>31 March 2015</w:t>
            </w:r>
          </w:p>
        </w:tc>
        <w:tc>
          <w:tcPr>
            <w:tcW w:w="645" w:type="pct"/>
          </w:tcPr>
          <w:p w:rsidR="00651555" w:rsidRPr="00651555" w:rsidRDefault="00651555" w:rsidP="00E53641">
            <w:pPr>
              <w:pBdr>
                <w:bottom w:val="single" w:sz="4" w:space="1" w:color="auto"/>
              </w:pBdr>
              <w:spacing w:before="0" w:after="0"/>
              <w:jc w:val="center"/>
              <w:rPr>
                <w:b/>
                <w:bCs/>
                <w:sz w:val="18"/>
                <w:szCs w:val="18"/>
              </w:rPr>
            </w:pPr>
            <w:r w:rsidRPr="00651555">
              <w:rPr>
                <w:b/>
                <w:bCs/>
                <w:sz w:val="18"/>
                <w:szCs w:val="18"/>
              </w:rPr>
              <w:t>Year ended 31 March 2014</w:t>
            </w:r>
          </w:p>
        </w:tc>
        <w:tc>
          <w:tcPr>
            <w:tcW w:w="662" w:type="pct"/>
            <w:vAlign w:val="bottom"/>
          </w:tcPr>
          <w:p w:rsidR="00651555" w:rsidRPr="00651555" w:rsidRDefault="00651555" w:rsidP="00E53641">
            <w:pPr>
              <w:pBdr>
                <w:bottom w:val="single" w:sz="4" w:space="1" w:color="auto"/>
              </w:pBdr>
              <w:spacing w:before="0" w:after="0"/>
              <w:jc w:val="center"/>
              <w:rPr>
                <w:sz w:val="18"/>
                <w:szCs w:val="18"/>
              </w:rPr>
            </w:pPr>
            <w:r w:rsidRPr="00651555">
              <w:rPr>
                <w:b/>
                <w:bCs/>
                <w:sz w:val="18"/>
                <w:szCs w:val="18"/>
              </w:rPr>
              <w:t>Year ended 31 March</w:t>
            </w:r>
            <w:r w:rsidRPr="00651555">
              <w:rPr>
                <w:b/>
                <w:bCs/>
                <w:sz w:val="18"/>
                <w:szCs w:val="18"/>
              </w:rPr>
              <w:br/>
              <w:t>2013</w:t>
            </w:r>
          </w:p>
        </w:tc>
      </w:tr>
      <w:tr w:rsidR="00651555" w:rsidRPr="00651555" w:rsidTr="00E53641">
        <w:trPr>
          <w:trHeight w:val="332"/>
        </w:trPr>
        <w:tc>
          <w:tcPr>
            <w:tcW w:w="2853" w:type="pct"/>
          </w:tcPr>
          <w:p w:rsidR="00651555" w:rsidRPr="00651555" w:rsidRDefault="00651555" w:rsidP="00E53641">
            <w:pPr>
              <w:pStyle w:val="NormalWeb"/>
              <w:keepNext/>
              <w:spacing w:before="0" w:after="0"/>
              <w:rPr>
                <w:b/>
                <w:bCs/>
                <w:sz w:val="18"/>
                <w:szCs w:val="18"/>
              </w:rPr>
            </w:pPr>
            <w:r w:rsidRPr="00651555">
              <w:rPr>
                <w:b/>
                <w:bCs/>
                <w:sz w:val="18"/>
                <w:szCs w:val="18"/>
              </w:rPr>
              <w:lastRenderedPageBreak/>
              <w:t>Operating charges</w:t>
            </w:r>
          </w:p>
        </w:tc>
        <w:tc>
          <w:tcPr>
            <w:tcW w:w="840" w:type="pct"/>
          </w:tcPr>
          <w:p w:rsidR="00651555" w:rsidRPr="00651555" w:rsidRDefault="00651555" w:rsidP="00E53641">
            <w:pPr>
              <w:pStyle w:val="la24"/>
              <w:spacing w:before="0" w:after="0"/>
              <w:jc w:val="right"/>
              <w:rPr>
                <w:noProof w:val="0"/>
                <w:sz w:val="18"/>
                <w:szCs w:val="18"/>
                <w:lang w:val="en-GB"/>
              </w:rPr>
            </w:pPr>
            <w:r w:rsidRPr="00651555">
              <w:rPr>
                <w:noProof w:val="0"/>
                <w:sz w:val="18"/>
                <w:szCs w:val="18"/>
                <w:lang w:val="en-GB"/>
              </w:rPr>
              <w:t> </w:t>
            </w:r>
          </w:p>
        </w:tc>
        <w:tc>
          <w:tcPr>
            <w:tcW w:w="645" w:type="pct"/>
          </w:tcPr>
          <w:p w:rsidR="00651555" w:rsidRPr="00651555" w:rsidRDefault="00651555" w:rsidP="00E53641">
            <w:pPr>
              <w:pStyle w:val="la24"/>
              <w:spacing w:before="0" w:after="0"/>
              <w:jc w:val="right"/>
              <w:rPr>
                <w:noProof w:val="0"/>
                <w:sz w:val="18"/>
                <w:szCs w:val="18"/>
                <w:lang w:val="en-GB"/>
              </w:rPr>
            </w:pPr>
          </w:p>
        </w:tc>
        <w:tc>
          <w:tcPr>
            <w:tcW w:w="662" w:type="pct"/>
          </w:tcPr>
          <w:p w:rsidR="00651555" w:rsidRPr="00651555" w:rsidRDefault="00651555" w:rsidP="00E53641">
            <w:pPr>
              <w:pStyle w:val="la24"/>
              <w:spacing w:before="0" w:after="0"/>
              <w:jc w:val="right"/>
              <w:rPr>
                <w:noProof w:val="0"/>
                <w:sz w:val="18"/>
                <w:szCs w:val="18"/>
                <w:lang w:val="en-GB"/>
              </w:rPr>
            </w:pPr>
            <w:r w:rsidRPr="00651555">
              <w:rPr>
                <w:noProof w:val="0"/>
                <w:sz w:val="18"/>
                <w:szCs w:val="18"/>
                <w:lang w:val="en-GB"/>
              </w:rPr>
              <w:t> </w:t>
            </w:r>
          </w:p>
        </w:tc>
      </w:tr>
      <w:tr w:rsidR="00651555" w:rsidRPr="00651555" w:rsidTr="00E53641">
        <w:tc>
          <w:tcPr>
            <w:tcW w:w="2853" w:type="pct"/>
          </w:tcPr>
          <w:p w:rsidR="00651555" w:rsidRPr="00651555" w:rsidRDefault="00651555" w:rsidP="00E53641">
            <w:pPr>
              <w:pStyle w:val="NormalWeb"/>
              <w:keepNext/>
              <w:tabs>
                <w:tab w:val="right" w:leader="dot" w:pos="5160"/>
              </w:tabs>
              <w:spacing w:before="0" w:after="0"/>
              <w:ind w:left="240" w:hanging="240"/>
              <w:rPr>
                <w:sz w:val="18"/>
                <w:szCs w:val="18"/>
              </w:rPr>
            </w:pPr>
            <w:r w:rsidRPr="00651555">
              <w:rPr>
                <w:sz w:val="18"/>
                <w:szCs w:val="18"/>
              </w:rPr>
              <w:t>Purchase of fresh vegetables, fruits, potatoes and ingredients</w:t>
            </w:r>
            <w:r w:rsidRPr="00651555">
              <w:rPr>
                <w:sz w:val="18"/>
                <w:szCs w:val="18"/>
              </w:rPr>
              <w:tab/>
            </w:r>
          </w:p>
        </w:tc>
        <w:tc>
          <w:tcPr>
            <w:tcW w:w="840" w:type="pct"/>
            <w:noWrap/>
          </w:tcPr>
          <w:p w:rsidR="00651555" w:rsidRPr="00651555" w:rsidRDefault="00651555" w:rsidP="00E53641">
            <w:pPr>
              <w:pStyle w:val="NormalWeb"/>
              <w:tabs>
                <w:tab w:val="right" w:pos="720"/>
                <w:tab w:val="decimal" w:pos="760"/>
              </w:tabs>
              <w:spacing w:before="0" w:after="0"/>
              <w:jc w:val="right"/>
              <w:rPr>
                <w:bCs/>
                <w:sz w:val="18"/>
                <w:szCs w:val="18"/>
              </w:rPr>
            </w:pPr>
            <w:r w:rsidRPr="00651555">
              <w:rPr>
                <w:bCs/>
                <w:sz w:val="18"/>
                <w:szCs w:val="18"/>
              </w:rPr>
              <w:t>(162.7)</w:t>
            </w:r>
          </w:p>
        </w:tc>
        <w:tc>
          <w:tcPr>
            <w:tcW w:w="645" w:type="pct"/>
          </w:tcPr>
          <w:p w:rsidR="00651555" w:rsidRPr="00651555" w:rsidRDefault="00651555" w:rsidP="00E53641">
            <w:pPr>
              <w:pStyle w:val="NormalWeb"/>
              <w:tabs>
                <w:tab w:val="right" w:pos="720"/>
                <w:tab w:val="decimal" w:pos="760"/>
              </w:tabs>
              <w:spacing w:before="0" w:after="0"/>
              <w:jc w:val="right"/>
              <w:rPr>
                <w:bCs/>
                <w:sz w:val="18"/>
                <w:szCs w:val="18"/>
              </w:rPr>
            </w:pPr>
            <w:r w:rsidRPr="00651555">
              <w:rPr>
                <w:bCs/>
                <w:sz w:val="18"/>
                <w:szCs w:val="18"/>
              </w:rPr>
              <w:t>(145.7)</w:t>
            </w:r>
          </w:p>
        </w:tc>
        <w:tc>
          <w:tcPr>
            <w:tcW w:w="662"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(108.5)</w:t>
            </w:r>
          </w:p>
        </w:tc>
      </w:tr>
      <w:tr w:rsidR="00651555" w:rsidRPr="00651555" w:rsidTr="00E53641">
        <w:trPr>
          <w:trHeight w:val="267"/>
        </w:trPr>
        <w:tc>
          <w:tcPr>
            <w:tcW w:w="2853" w:type="pct"/>
          </w:tcPr>
          <w:p w:rsidR="00651555" w:rsidRPr="00651555" w:rsidRDefault="00651555" w:rsidP="00E53641">
            <w:pPr>
              <w:pStyle w:val="NormalWeb"/>
              <w:keepNext/>
              <w:tabs>
                <w:tab w:val="right" w:leader="dot" w:pos="5160"/>
              </w:tabs>
              <w:spacing w:before="0" w:after="0"/>
              <w:ind w:left="240" w:hanging="240"/>
              <w:rPr>
                <w:sz w:val="18"/>
                <w:szCs w:val="18"/>
              </w:rPr>
            </w:pPr>
            <w:r w:rsidRPr="00651555">
              <w:rPr>
                <w:sz w:val="18"/>
                <w:szCs w:val="18"/>
              </w:rPr>
              <w:t>Purchase of frozen vegetables of external parties</w:t>
            </w:r>
            <w:r w:rsidRPr="00651555">
              <w:rPr>
                <w:sz w:val="18"/>
                <w:szCs w:val="18"/>
              </w:rPr>
              <w:tab/>
            </w:r>
          </w:p>
          <w:p w:rsidR="00651555" w:rsidRPr="00651555" w:rsidRDefault="00651555" w:rsidP="00E53641">
            <w:pPr>
              <w:pStyle w:val="la24"/>
              <w:spacing w:before="0" w:after="0"/>
              <w:rPr>
                <w:sz w:val="18"/>
                <w:szCs w:val="18"/>
              </w:rPr>
            </w:pPr>
            <w:r w:rsidRPr="00651555">
              <w:rPr>
                <w:noProof w:val="0"/>
                <w:sz w:val="18"/>
                <w:szCs w:val="18"/>
                <w:lang w:val="en-GB"/>
              </w:rPr>
              <w:t> </w:t>
            </w:r>
          </w:p>
        </w:tc>
        <w:tc>
          <w:tcPr>
            <w:tcW w:w="840"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(73.4)</w:t>
            </w:r>
          </w:p>
        </w:tc>
        <w:tc>
          <w:tcPr>
            <w:tcW w:w="645" w:type="pct"/>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(112.2)</w:t>
            </w:r>
          </w:p>
        </w:tc>
        <w:tc>
          <w:tcPr>
            <w:tcW w:w="662"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(136.9)</w:t>
            </w:r>
          </w:p>
        </w:tc>
      </w:tr>
      <w:tr w:rsidR="00651555" w:rsidRPr="00651555" w:rsidTr="00E53641">
        <w:trPr>
          <w:trHeight w:val="267"/>
        </w:trPr>
        <w:tc>
          <w:tcPr>
            <w:tcW w:w="2853" w:type="pct"/>
          </w:tcPr>
          <w:p w:rsidR="00651555" w:rsidRPr="00651555" w:rsidRDefault="00651555" w:rsidP="00E53641">
            <w:pPr>
              <w:pStyle w:val="NormalWeb"/>
              <w:keepNext/>
              <w:tabs>
                <w:tab w:val="right" w:leader="dot" w:pos="5160"/>
              </w:tabs>
              <w:spacing w:before="0" w:after="0"/>
              <w:ind w:left="240" w:hanging="240"/>
              <w:rPr>
                <w:sz w:val="18"/>
                <w:szCs w:val="18"/>
              </w:rPr>
            </w:pPr>
            <w:r w:rsidRPr="00651555">
              <w:rPr>
                <w:sz w:val="18"/>
                <w:szCs w:val="18"/>
              </w:rPr>
              <w:t>Purchase of packaging materials</w:t>
            </w:r>
          </w:p>
        </w:tc>
        <w:tc>
          <w:tcPr>
            <w:tcW w:w="840"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(74.4)</w:t>
            </w:r>
          </w:p>
        </w:tc>
        <w:tc>
          <w:tcPr>
            <w:tcW w:w="645" w:type="pct"/>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(73.6)</w:t>
            </w:r>
          </w:p>
        </w:tc>
        <w:tc>
          <w:tcPr>
            <w:tcW w:w="662"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(73.5)</w:t>
            </w:r>
          </w:p>
        </w:tc>
      </w:tr>
      <w:tr w:rsidR="00651555" w:rsidRPr="00651555" w:rsidTr="00E53641">
        <w:tc>
          <w:tcPr>
            <w:tcW w:w="2853" w:type="pct"/>
          </w:tcPr>
          <w:p w:rsidR="00651555" w:rsidRPr="00651555" w:rsidRDefault="00651555" w:rsidP="00E53641">
            <w:pPr>
              <w:pStyle w:val="NormalWeb"/>
              <w:keepNext/>
              <w:tabs>
                <w:tab w:val="right" w:leader="dot" w:pos="5160"/>
              </w:tabs>
              <w:spacing w:before="0" w:after="0"/>
              <w:ind w:left="240" w:hanging="240"/>
              <w:rPr>
                <w:sz w:val="18"/>
                <w:szCs w:val="18"/>
              </w:rPr>
            </w:pPr>
            <w:r w:rsidRPr="00651555">
              <w:rPr>
                <w:sz w:val="18"/>
                <w:szCs w:val="18"/>
              </w:rPr>
              <w:t>Storage and work by third parties</w:t>
            </w:r>
            <w:r w:rsidRPr="00651555">
              <w:rPr>
                <w:bCs/>
                <w:sz w:val="18"/>
                <w:szCs w:val="18"/>
              </w:rPr>
              <w:tab/>
            </w:r>
          </w:p>
        </w:tc>
        <w:tc>
          <w:tcPr>
            <w:tcW w:w="840"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(27.7)</w:t>
            </w:r>
          </w:p>
        </w:tc>
        <w:tc>
          <w:tcPr>
            <w:tcW w:w="645" w:type="pct"/>
          </w:tcPr>
          <w:p w:rsidR="00651555" w:rsidRPr="00651555" w:rsidRDefault="00651555" w:rsidP="00E53641">
            <w:pPr>
              <w:pStyle w:val="NormalWeb"/>
              <w:tabs>
                <w:tab w:val="right" w:pos="720"/>
                <w:tab w:val="decimal" w:pos="760"/>
              </w:tabs>
              <w:spacing w:before="0" w:after="0"/>
              <w:jc w:val="right"/>
              <w:rPr>
                <w:bCs/>
                <w:sz w:val="18"/>
                <w:szCs w:val="18"/>
              </w:rPr>
            </w:pPr>
            <w:r w:rsidRPr="00651555">
              <w:rPr>
                <w:bCs/>
                <w:sz w:val="18"/>
                <w:szCs w:val="18"/>
              </w:rPr>
              <w:t>(22.5)</w:t>
            </w:r>
          </w:p>
        </w:tc>
        <w:tc>
          <w:tcPr>
            <w:tcW w:w="662"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(16.0)</w:t>
            </w:r>
          </w:p>
        </w:tc>
      </w:tr>
      <w:tr w:rsidR="00651555" w:rsidRPr="00651555" w:rsidTr="00E53641">
        <w:tc>
          <w:tcPr>
            <w:tcW w:w="2853" w:type="pct"/>
          </w:tcPr>
          <w:p w:rsidR="00651555" w:rsidRPr="00651555" w:rsidRDefault="00651555" w:rsidP="00E53641">
            <w:pPr>
              <w:pStyle w:val="NormalWeb"/>
              <w:keepNext/>
              <w:tabs>
                <w:tab w:val="right" w:leader="dot" w:pos="5160"/>
              </w:tabs>
              <w:spacing w:before="0" w:after="0"/>
              <w:ind w:left="240" w:hanging="240"/>
              <w:rPr>
                <w:sz w:val="18"/>
                <w:szCs w:val="18"/>
              </w:rPr>
            </w:pPr>
            <w:r w:rsidRPr="00651555">
              <w:rPr>
                <w:sz w:val="18"/>
                <w:szCs w:val="18"/>
              </w:rPr>
              <w:t>Other</w:t>
            </w:r>
            <w:r w:rsidRPr="00651555">
              <w:rPr>
                <w:sz w:val="18"/>
                <w:szCs w:val="18"/>
              </w:rPr>
              <w:tab/>
            </w:r>
          </w:p>
        </w:tc>
        <w:tc>
          <w:tcPr>
            <w:tcW w:w="840" w:type="pct"/>
            <w:noWrap/>
          </w:tcPr>
          <w:p w:rsidR="00651555" w:rsidRPr="00651555" w:rsidRDefault="00651555" w:rsidP="00E53641">
            <w:pPr>
              <w:pStyle w:val="NormalWeb"/>
              <w:pBdr>
                <w:bottom w:val="single" w:sz="4" w:space="1" w:color="auto"/>
              </w:pBdr>
              <w:tabs>
                <w:tab w:val="right" w:pos="720"/>
                <w:tab w:val="decimal" w:pos="760"/>
              </w:tabs>
              <w:spacing w:before="0" w:after="0"/>
              <w:jc w:val="right"/>
              <w:rPr>
                <w:sz w:val="18"/>
                <w:szCs w:val="18"/>
              </w:rPr>
            </w:pPr>
            <w:r w:rsidRPr="00651555">
              <w:rPr>
                <w:sz w:val="18"/>
                <w:szCs w:val="18"/>
              </w:rPr>
              <w:t>(21.9)</w:t>
            </w:r>
          </w:p>
        </w:tc>
        <w:tc>
          <w:tcPr>
            <w:tcW w:w="645" w:type="pct"/>
          </w:tcPr>
          <w:p w:rsidR="00651555" w:rsidRPr="00651555" w:rsidRDefault="00651555" w:rsidP="00E53641">
            <w:pPr>
              <w:pStyle w:val="NormalWeb"/>
              <w:pBdr>
                <w:bottom w:val="single" w:sz="4" w:space="1" w:color="auto"/>
              </w:pBdr>
              <w:tabs>
                <w:tab w:val="right" w:pos="720"/>
                <w:tab w:val="decimal" w:pos="760"/>
              </w:tabs>
              <w:spacing w:before="0" w:after="0"/>
              <w:jc w:val="right"/>
              <w:rPr>
                <w:sz w:val="18"/>
                <w:szCs w:val="18"/>
              </w:rPr>
            </w:pPr>
            <w:r w:rsidRPr="00651555">
              <w:rPr>
                <w:sz w:val="18"/>
                <w:szCs w:val="18"/>
              </w:rPr>
              <w:t>(16.1)</w:t>
            </w:r>
          </w:p>
        </w:tc>
        <w:tc>
          <w:tcPr>
            <w:tcW w:w="662" w:type="pct"/>
            <w:noWrap/>
          </w:tcPr>
          <w:p w:rsidR="00651555" w:rsidRPr="00651555" w:rsidRDefault="00651555" w:rsidP="00E53641">
            <w:pPr>
              <w:pStyle w:val="NormalWeb"/>
              <w:pBdr>
                <w:bottom w:val="single" w:sz="4" w:space="1" w:color="auto"/>
              </w:pBdr>
              <w:tabs>
                <w:tab w:val="right" w:pos="720"/>
                <w:tab w:val="decimal" w:pos="760"/>
              </w:tabs>
              <w:spacing w:before="0" w:after="0"/>
              <w:jc w:val="right"/>
              <w:rPr>
                <w:sz w:val="18"/>
                <w:szCs w:val="18"/>
              </w:rPr>
            </w:pPr>
            <w:r w:rsidRPr="00651555">
              <w:rPr>
                <w:sz w:val="18"/>
                <w:szCs w:val="18"/>
              </w:rPr>
              <w:t>(9.5)</w:t>
            </w:r>
          </w:p>
        </w:tc>
      </w:tr>
      <w:tr w:rsidR="00651555" w:rsidRPr="00651555" w:rsidTr="00E53641">
        <w:tc>
          <w:tcPr>
            <w:tcW w:w="2853" w:type="pct"/>
          </w:tcPr>
          <w:p w:rsidR="00651555" w:rsidRPr="00651555" w:rsidRDefault="00651555" w:rsidP="00E53641">
            <w:pPr>
              <w:pStyle w:val="NormalWeb"/>
              <w:keepNext/>
              <w:tabs>
                <w:tab w:val="right" w:leader="dot" w:pos="5160"/>
              </w:tabs>
              <w:spacing w:before="0" w:after="0"/>
              <w:ind w:left="240" w:hanging="240"/>
              <w:rPr>
                <w:b/>
                <w:sz w:val="18"/>
                <w:szCs w:val="18"/>
              </w:rPr>
            </w:pPr>
            <w:r w:rsidRPr="00651555">
              <w:rPr>
                <w:b/>
                <w:sz w:val="18"/>
                <w:szCs w:val="18"/>
              </w:rPr>
              <w:t>Raw materials, consumables and goods for resale</w:t>
            </w:r>
            <w:r w:rsidRPr="00651555">
              <w:rPr>
                <w:sz w:val="18"/>
                <w:szCs w:val="18"/>
              </w:rPr>
              <w:tab/>
            </w:r>
          </w:p>
        </w:tc>
        <w:tc>
          <w:tcPr>
            <w:tcW w:w="840" w:type="pct"/>
            <w:noWrap/>
          </w:tcPr>
          <w:p w:rsidR="00651555" w:rsidRPr="00651555" w:rsidRDefault="00651555" w:rsidP="00E53641">
            <w:pPr>
              <w:pStyle w:val="NormalWeb"/>
              <w:tabs>
                <w:tab w:val="right" w:pos="720"/>
                <w:tab w:val="decimal" w:pos="760"/>
              </w:tabs>
              <w:spacing w:before="0" w:after="0"/>
              <w:jc w:val="right"/>
              <w:rPr>
                <w:b/>
                <w:sz w:val="18"/>
                <w:szCs w:val="18"/>
              </w:rPr>
            </w:pPr>
            <w:r w:rsidRPr="00651555">
              <w:rPr>
                <w:b/>
                <w:sz w:val="18"/>
                <w:szCs w:val="18"/>
              </w:rPr>
              <w:t>(360.1)</w:t>
            </w:r>
          </w:p>
        </w:tc>
        <w:tc>
          <w:tcPr>
            <w:tcW w:w="645" w:type="pct"/>
          </w:tcPr>
          <w:p w:rsidR="00651555" w:rsidRPr="00651555" w:rsidRDefault="00651555" w:rsidP="00E53641">
            <w:pPr>
              <w:pStyle w:val="NormalWeb"/>
              <w:tabs>
                <w:tab w:val="right" w:pos="720"/>
                <w:tab w:val="decimal" w:pos="760"/>
              </w:tabs>
              <w:spacing w:before="0" w:after="0"/>
              <w:jc w:val="right"/>
              <w:rPr>
                <w:b/>
                <w:bCs/>
                <w:sz w:val="18"/>
                <w:szCs w:val="18"/>
              </w:rPr>
            </w:pPr>
            <w:r w:rsidRPr="00651555">
              <w:rPr>
                <w:b/>
                <w:bCs/>
                <w:sz w:val="18"/>
                <w:szCs w:val="18"/>
              </w:rPr>
              <w:t>(370.2)</w:t>
            </w:r>
          </w:p>
        </w:tc>
        <w:tc>
          <w:tcPr>
            <w:tcW w:w="662" w:type="pct"/>
            <w:noWrap/>
          </w:tcPr>
          <w:p w:rsidR="00651555" w:rsidRPr="00651555" w:rsidRDefault="00651555" w:rsidP="00E53641">
            <w:pPr>
              <w:pStyle w:val="NormalWeb"/>
              <w:tabs>
                <w:tab w:val="right" w:pos="720"/>
                <w:tab w:val="decimal" w:pos="760"/>
              </w:tabs>
              <w:spacing w:before="0" w:after="0"/>
              <w:jc w:val="right"/>
              <w:rPr>
                <w:b/>
                <w:sz w:val="18"/>
                <w:szCs w:val="18"/>
              </w:rPr>
            </w:pPr>
            <w:r w:rsidRPr="00651555">
              <w:rPr>
                <w:b/>
                <w:sz w:val="18"/>
                <w:szCs w:val="18"/>
              </w:rPr>
              <w:t>(344.4)</w:t>
            </w:r>
          </w:p>
        </w:tc>
      </w:tr>
      <w:tr w:rsidR="00651555" w:rsidRPr="00651555" w:rsidTr="00E53641">
        <w:tc>
          <w:tcPr>
            <w:tcW w:w="2853" w:type="pct"/>
          </w:tcPr>
          <w:p w:rsidR="00651555" w:rsidRPr="00651555" w:rsidRDefault="00651555" w:rsidP="00E53641">
            <w:pPr>
              <w:pStyle w:val="NormalWeb"/>
              <w:keepNext/>
              <w:tabs>
                <w:tab w:val="right" w:leader="dot" w:pos="5160"/>
              </w:tabs>
              <w:spacing w:before="0" w:after="0"/>
              <w:ind w:left="240" w:hanging="240"/>
              <w:rPr>
                <w:sz w:val="18"/>
                <w:szCs w:val="18"/>
              </w:rPr>
            </w:pPr>
            <w:r w:rsidRPr="00651555">
              <w:rPr>
                <w:sz w:val="18"/>
                <w:szCs w:val="18"/>
              </w:rPr>
              <w:t>Transport</w:t>
            </w:r>
            <w:r w:rsidRPr="00651555">
              <w:rPr>
                <w:sz w:val="18"/>
                <w:szCs w:val="18"/>
              </w:rPr>
              <w:tab/>
            </w:r>
          </w:p>
        </w:tc>
        <w:tc>
          <w:tcPr>
            <w:tcW w:w="840"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(31.4)</w:t>
            </w:r>
          </w:p>
        </w:tc>
        <w:tc>
          <w:tcPr>
            <w:tcW w:w="645" w:type="pct"/>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(31.2)</w:t>
            </w:r>
          </w:p>
        </w:tc>
        <w:tc>
          <w:tcPr>
            <w:tcW w:w="662"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(32.7)</w:t>
            </w:r>
          </w:p>
        </w:tc>
      </w:tr>
      <w:tr w:rsidR="00651555" w:rsidRPr="00651555" w:rsidTr="00E53641">
        <w:tc>
          <w:tcPr>
            <w:tcW w:w="2853" w:type="pct"/>
          </w:tcPr>
          <w:p w:rsidR="00651555" w:rsidRPr="00651555" w:rsidRDefault="00651555" w:rsidP="00E53641">
            <w:pPr>
              <w:pStyle w:val="NormalWeb"/>
              <w:keepNext/>
              <w:tabs>
                <w:tab w:val="right" w:leader="dot" w:pos="5160"/>
              </w:tabs>
              <w:spacing w:before="0" w:after="0"/>
              <w:ind w:left="240" w:hanging="240"/>
              <w:rPr>
                <w:sz w:val="18"/>
                <w:szCs w:val="18"/>
              </w:rPr>
            </w:pPr>
            <w:r w:rsidRPr="00651555">
              <w:rPr>
                <w:sz w:val="18"/>
                <w:szCs w:val="18"/>
              </w:rPr>
              <w:t>Energy</w:t>
            </w:r>
            <w:r w:rsidRPr="00651555">
              <w:rPr>
                <w:sz w:val="18"/>
                <w:szCs w:val="18"/>
              </w:rPr>
              <w:tab/>
            </w:r>
          </w:p>
        </w:tc>
        <w:tc>
          <w:tcPr>
            <w:tcW w:w="840"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(30.5)</w:t>
            </w:r>
          </w:p>
        </w:tc>
        <w:tc>
          <w:tcPr>
            <w:tcW w:w="645" w:type="pct"/>
          </w:tcPr>
          <w:p w:rsidR="00651555" w:rsidRPr="00651555" w:rsidRDefault="00651555" w:rsidP="00E53641">
            <w:pPr>
              <w:pStyle w:val="NormalWeb"/>
              <w:tabs>
                <w:tab w:val="right" w:pos="720"/>
                <w:tab w:val="decimal" w:pos="760"/>
              </w:tabs>
              <w:spacing w:before="0" w:after="0"/>
              <w:jc w:val="right"/>
              <w:rPr>
                <w:bCs/>
                <w:sz w:val="18"/>
                <w:szCs w:val="18"/>
              </w:rPr>
            </w:pPr>
            <w:r w:rsidRPr="00651555">
              <w:rPr>
                <w:bCs/>
                <w:sz w:val="18"/>
                <w:szCs w:val="18"/>
              </w:rPr>
              <w:t>(31.2)</w:t>
            </w:r>
          </w:p>
        </w:tc>
        <w:tc>
          <w:tcPr>
            <w:tcW w:w="662"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(30.9)</w:t>
            </w:r>
          </w:p>
        </w:tc>
      </w:tr>
      <w:tr w:rsidR="00651555" w:rsidRPr="00651555" w:rsidTr="00E53641">
        <w:tc>
          <w:tcPr>
            <w:tcW w:w="2853" w:type="pct"/>
          </w:tcPr>
          <w:p w:rsidR="00651555" w:rsidRPr="00651555" w:rsidRDefault="00651555" w:rsidP="00E53641">
            <w:pPr>
              <w:pStyle w:val="NormalWeb"/>
              <w:keepNext/>
              <w:tabs>
                <w:tab w:val="right" w:leader="dot" w:pos="5160"/>
              </w:tabs>
              <w:spacing w:before="0" w:after="0"/>
              <w:ind w:left="240" w:hanging="240"/>
              <w:rPr>
                <w:sz w:val="18"/>
                <w:szCs w:val="18"/>
              </w:rPr>
            </w:pPr>
            <w:r w:rsidRPr="00651555">
              <w:rPr>
                <w:sz w:val="18"/>
                <w:szCs w:val="18"/>
              </w:rPr>
              <w:t>Maintenance + IT</w:t>
            </w:r>
            <w:r w:rsidRPr="00651555">
              <w:rPr>
                <w:sz w:val="18"/>
                <w:szCs w:val="18"/>
              </w:rPr>
              <w:tab/>
            </w:r>
          </w:p>
        </w:tc>
        <w:tc>
          <w:tcPr>
            <w:tcW w:w="840"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(20.5)</w:t>
            </w:r>
          </w:p>
        </w:tc>
        <w:tc>
          <w:tcPr>
            <w:tcW w:w="645" w:type="pct"/>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(21.8)</w:t>
            </w:r>
          </w:p>
        </w:tc>
        <w:tc>
          <w:tcPr>
            <w:tcW w:w="662"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(19.7)</w:t>
            </w:r>
          </w:p>
        </w:tc>
      </w:tr>
      <w:tr w:rsidR="00651555" w:rsidRPr="00651555" w:rsidTr="00E53641">
        <w:tc>
          <w:tcPr>
            <w:tcW w:w="2853" w:type="pct"/>
          </w:tcPr>
          <w:p w:rsidR="00651555" w:rsidRPr="00651555" w:rsidRDefault="00651555" w:rsidP="00E53641">
            <w:pPr>
              <w:pStyle w:val="NormalWeb"/>
              <w:keepNext/>
              <w:tabs>
                <w:tab w:val="right" w:leader="dot" w:pos="5160"/>
              </w:tabs>
              <w:spacing w:before="0" w:after="0"/>
              <w:ind w:left="240" w:hanging="240"/>
              <w:rPr>
                <w:sz w:val="18"/>
                <w:szCs w:val="18"/>
              </w:rPr>
            </w:pPr>
            <w:r w:rsidRPr="00651555">
              <w:rPr>
                <w:sz w:val="18"/>
                <w:szCs w:val="18"/>
              </w:rPr>
              <w:t>Rent (forklifts, hardware, buildings, …)</w:t>
            </w:r>
            <w:r w:rsidRPr="00651555">
              <w:rPr>
                <w:sz w:val="18"/>
                <w:szCs w:val="18"/>
              </w:rPr>
              <w:tab/>
            </w:r>
          </w:p>
        </w:tc>
        <w:tc>
          <w:tcPr>
            <w:tcW w:w="840"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(6.0)</w:t>
            </w:r>
          </w:p>
        </w:tc>
        <w:tc>
          <w:tcPr>
            <w:tcW w:w="645" w:type="pct"/>
          </w:tcPr>
          <w:p w:rsidR="00651555" w:rsidRPr="00651555" w:rsidRDefault="00651555" w:rsidP="00E53641">
            <w:pPr>
              <w:pStyle w:val="NormalWeb"/>
              <w:tabs>
                <w:tab w:val="right" w:pos="720"/>
                <w:tab w:val="decimal" w:pos="760"/>
              </w:tabs>
              <w:spacing w:before="0" w:after="0"/>
              <w:jc w:val="right"/>
              <w:rPr>
                <w:bCs/>
                <w:sz w:val="18"/>
                <w:szCs w:val="18"/>
              </w:rPr>
            </w:pPr>
            <w:r w:rsidRPr="00651555">
              <w:rPr>
                <w:bCs/>
                <w:sz w:val="18"/>
                <w:szCs w:val="18"/>
              </w:rPr>
              <w:t>(11.5)</w:t>
            </w:r>
          </w:p>
        </w:tc>
        <w:tc>
          <w:tcPr>
            <w:tcW w:w="662"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(18.0)</w:t>
            </w:r>
          </w:p>
        </w:tc>
      </w:tr>
      <w:tr w:rsidR="00651555" w:rsidRPr="00651555" w:rsidTr="00E53641">
        <w:tc>
          <w:tcPr>
            <w:tcW w:w="2853" w:type="pct"/>
          </w:tcPr>
          <w:p w:rsidR="00651555" w:rsidRPr="00651555" w:rsidRDefault="00651555" w:rsidP="00E53641">
            <w:pPr>
              <w:pStyle w:val="NormalWeb"/>
              <w:keepNext/>
              <w:tabs>
                <w:tab w:val="right" w:leader="dot" w:pos="5160"/>
              </w:tabs>
              <w:spacing w:before="0" w:after="0"/>
              <w:ind w:left="240" w:hanging="240"/>
              <w:rPr>
                <w:sz w:val="18"/>
                <w:szCs w:val="18"/>
              </w:rPr>
            </w:pPr>
            <w:r w:rsidRPr="00651555">
              <w:rPr>
                <w:sz w:val="18"/>
                <w:szCs w:val="18"/>
              </w:rPr>
              <w:t>Interim wages</w:t>
            </w:r>
            <w:r w:rsidRPr="00651555">
              <w:rPr>
                <w:sz w:val="18"/>
                <w:szCs w:val="18"/>
              </w:rPr>
              <w:tab/>
            </w:r>
          </w:p>
        </w:tc>
        <w:tc>
          <w:tcPr>
            <w:tcW w:w="840"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(16.4)</w:t>
            </w:r>
          </w:p>
        </w:tc>
        <w:tc>
          <w:tcPr>
            <w:tcW w:w="645" w:type="pct"/>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(18.2)</w:t>
            </w:r>
          </w:p>
        </w:tc>
        <w:tc>
          <w:tcPr>
            <w:tcW w:w="662"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(19.3)</w:t>
            </w:r>
          </w:p>
        </w:tc>
      </w:tr>
      <w:tr w:rsidR="00651555" w:rsidRPr="00651555" w:rsidTr="00E53641">
        <w:tc>
          <w:tcPr>
            <w:tcW w:w="2853" w:type="pct"/>
          </w:tcPr>
          <w:p w:rsidR="00651555" w:rsidRPr="00651555" w:rsidRDefault="00651555" w:rsidP="00E53641">
            <w:pPr>
              <w:pStyle w:val="NormalWeb"/>
              <w:keepNext/>
              <w:tabs>
                <w:tab w:val="right" w:leader="dot" w:pos="5160"/>
              </w:tabs>
              <w:spacing w:before="0" w:after="0"/>
              <w:ind w:left="240" w:hanging="240"/>
              <w:rPr>
                <w:sz w:val="18"/>
                <w:szCs w:val="18"/>
              </w:rPr>
            </w:pPr>
            <w:r w:rsidRPr="00651555">
              <w:rPr>
                <w:sz w:val="18"/>
                <w:szCs w:val="18"/>
              </w:rPr>
              <w:t>Sales/ administration related costs</w:t>
            </w:r>
            <w:r w:rsidRPr="00651555">
              <w:rPr>
                <w:sz w:val="18"/>
                <w:szCs w:val="18"/>
              </w:rPr>
              <w:tab/>
            </w:r>
          </w:p>
        </w:tc>
        <w:tc>
          <w:tcPr>
            <w:tcW w:w="840"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(13.4)</w:t>
            </w:r>
          </w:p>
        </w:tc>
        <w:tc>
          <w:tcPr>
            <w:tcW w:w="645" w:type="pct"/>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(13.0)</w:t>
            </w:r>
          </w:p>
        </w:tc>
        <w:tc>
          <w:tcPr>
            <w:tcW w:w="662"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(12.5)</w:t>
            </w:r>
          </w:p>
        </w:tc>
      </w:tr>
      <w:tr w:rsidR="00651555" w:rsidRPr="00651555" w:rsidTr="00E53641">
        <w:tc>
          <w:tcPr>
            <w:tcW w:w="2853" w:type="pct"/>
          </w:tcPr>
          <w:p w:rsidR="00651555" w:rsidRPr="00651555" w:rsidRDefault="00651555" w:rsidP="00E53641">
            <w:pPr>
              <w:pStyle w:val="NormalWeb"/>
              <w:keepNext/>
              <w:tabs>
                <w:tab w:val="right" w:leader="dot" w:pos="5160"/>
              </w:tabs>
              <w:spacing w:before="0" w:after="0"/>
              <w:ind w:left="240" w:hanging="240"/>
              <w:rPr>
                <w:sz w:val="18"/>
                <w:szCs w:val="18"/>
              </w:rPr>
            </w:pPr>
            <w:r w:rsidRPr="00651555">
              <w:rPr>
                <w:sz w:val="18"/>
                <w:szCs w:val="18"/>
              </w:rPr>
              <w:t>External advice</w:t>
            </w:r>
          </w:p>
        </w:tc>
        <w:tc>
          <w:tcPr>
            <w:tcW w:w="840"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(3.7)</w:t>
            </w:r>
          </w:p>
        </w:tc>
        <w:tc>
          <w:tcPr>
            <w:tcW w:w="645" w:type="pct"/>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(3.4)</w:t>
            </w:r>
          </w:p>
        </w:tc>
        <w:tc>
          <w:tcPr>
            <w:tcW w:w="662"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(2.7)</w:t>
            </w:r>
          </w:p>
        </w:tc>
      </w:tr>
      <w:tr w:rsidR="00651555" w:rsidRPr="00651555" w:rsidTr="00E53641">
        <w:tc>
          <w:tcPr>
            <w:tcW w:w="2853" w:type="pct"/>
          </w:tcPr>
          <w:p w:rsidR="00651555" w:rsidRPr="00651555" w:rsidRDefault="00651555" w:rsidP="00E53641">
            <w:pPr>
              <w:pStyle w:val="NormalWeb"/>
              <w:keepNext/>
              <w:tabs>
                <w:tab w:val="right" w:leader="dot" w:pos="5160"/>
              </w:tabs>
              <w:spacing w:before="0" w:after="0"/>
              <w:ind w:left="240" w:hanging="240"/>
              <w:rPr>
                <w:sz w:val="18"/>
                <w:szCs w:val="18"/>
              </w:rPr>
            </w:pPr>
            <w:r w:rsidRPr="00651555">
              <w:rPr>
                <w:sz w:val="18"/>
                <w:szCs w:val="18"/>
              </w:rPr>
              <w:t>Costs for waste water treatment</w:t>
            </w:r>
          </w:p>
        </w:tc>
        <w:tc>
          <w:tcPr>
            <w:tcW w:w="840"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(2.7)</w:t>
            </w:r>
          </w:p>
        </w:tc>
        <w:tc>
          <w:tcPr>
            <w:tcW w:w="645" w:type="pct"/>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(2.0)</w:t>
            </w:r>
          </w:p>
        </w:tc>
        <w:tc>
          <w:tcPr>
            <w:tcW w:w="662"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(1.5)</w:t>
            </w:r>
          </w:p>
        </w:tc>
      </w:tr>
      <w:tr w:rsidR="00651555" w:rsidRPr="00651555" w:rsidTr="00E53641">
        <w:tc>
          <w:tcPr>
            <w:tcW w:w="2853" w:type="pct"/>
          </w:tcPr>
          <w:p w:rsidR="00651555" w:rsidRPr="00651555" w:rsidRDefault="00651555" w:rsidP="00E53641">
            <w:pPr>
              <w:pStyle w:val="NormalWeb"/>
              <w:keepNext/>
              <w:tabs>
                <w:tab w:val="right" w:leader="dot" w:pos="5160"/>
              </w:tabs>
              <w:spacing w:before="0" w:after="0"/>
              <w:ind w:left="240" w:hanging="240"/>
              <w:rPr>
                <w:sz w:val="18"/>
                <w:szCs w:val="18"/>
              </w:rPr>
            </w:pPr>
            <w:r w:rsidRPr="00651555">
              <w:rPr>
                <w:sz w:val="18"/>
                <w:szCs w:val="18"/>
              </w:rPr>
              <w:t>Other</w:t>
            </w:r>
            <w:r w:rsidRPr="00651555">
              <w:rPr>
                <w:sz w:val="18"/>
                <w:szCs w:val="18"/>
              </w:rPr>
              <w:tab/>
            </w:r>
          </w:p>
        </w:tc>
        <w:tc>
          <w:tcPr>
            <w:tcW w:w="840" w:type="pct"/>
            <w:noWrap/>
          </w:tcPr>
          <w:p w:rsidR="00651555" w:rsidRPr="00651555" w:rsidRDefault="00651555" w:rsidP="00E53641">
            <w:pPr>
              <w:pStyle w:val="NormalWeb"/>
              <w:pBdr>
                <w:bottom w:val="single" w:sz="4" w:space="1" w:color="auto"/>
              </w:pBdr>
              <w:tabs>
                <w:tab w:val="right" w:pos="720"/>
                <w:tab w:val="decimal" w:pos="760"/>
              </w:tabs>
              <w:spacing w:before="0" w:after="0"/>
              <w:jc w:val="right"/>
              <w:rPr>
                <w:sz w:val="18"/>
                <w:szCs w:val="18"/>
              </w:rPr>
            </w:pPr>
            <w:r w:rsidRPr="00651555">
              <w:rPr>
                <w:sz w:val="18"/>
                <w:szCs w:val="18"/>
              </w:rPr>
              <w:t>(11.2)</w:t>
            </w:r>
          </w:p>
        </w:tc>
        <w:tc>
          <w:tcPr>
            <w:tcW w:w="645" w:type="pct"/>
          </w:tcPr>
          <w:p w:rsidR="00651555" w:rsidRPr="00651555" w:rsidRDefault="00651555" w:rsidP="00E53641">
            <w:pPr>
              <w:pStyle w:val="NormalWeb"/>
              <w:pBdr>
                <w:bottom w:val="single" w:sz="4" w:space="1" w:color="auto"/>
              </w:pBdr>
              <w:tabs>
                <w:tab w:val="right" w:pos="720"/>
                <w:tab w:val="decimal" w:pos="760"/>
              </w:tabs>
              <w:spacing w:before="0" w:after="0"/>
              <w:jc w:val="right"/>
              <w:rPr>
                <w:sz w:val="18"/>
                <w:szCs w:val="18"/>
              </w:rPr>
            </w:pPr>
            <w:r w:rsidRPr="00651555">
              <w:rPr>
                <w:sz w:val="18"/>
                <w:szCs w:val="18"/>
              </w:rPr>
              <w:t>(11.3)</w:t>
            </w:r>
          </w:p>
        </w:tc>
        <w:tc>
          <w:tcPr>
            <w:tcW w:w="662" w:type="pct"/>
            <w:noWrap/>
          </w:tcPr>
          <w:p w:rsidR="00651555" w:rsidRPr="00651555" w:rsidRDefault="00651555" w:rsidP="00E53641">
            <w:pPr>
              <w:pStyle w:val="NormalWeb"/>
              <w:pBdr>
                <w:bottom w:val="single" w:sz="4" w:space="1" w:color="auto"/>
              </w:pBdr>
              <w:tabs>
                <w:tab w:val="right" w:pos="720"/>
                <w:tab w:val="decimal" w:pos="760"/>
              </w:tabs>
              <w:spacing w:before="0" w:after="0"/>
              <w:jc w:val="right"/>
              <w:rPr>
                <w:sz w:val="18"/>
                <w:szCs w:val="18"/>
              </w:rPr>
            </w:pPr>
            <w:r w:rsidRPr="00651555">
              <w:rPr>
                <w:sz w:val="18"/>
                <w:szCs w:val="18"/>
              </w:rPr>
              <w:t>(11.1)</w:t>
            </w:r>
          </w:p>
        </w:tc>
      </w:tr>
      <w:tr w:rsidR="00651555" w:rsidRPr="00651555" w:rsidTr="00E53641">
        <w:tc>
          <w:tcPr>
            <w:tcW w:w="2853" w:type="pct"/>
          </w:tcPr>
          <w:p w:rsidR="00651555" w:rsidRPr="00651555" w:rsidRDefault="00651555" w:rsidP="00E53641">
            <w:pPr>
              <w:pStyle w:val="NormalWeb"/>
              <w:keepNext/>
              <w:tabs>
                <w:tab w:val="right" w:leader="dot" w:pos="5160"/>
              </w:tabs>
              <w:spacing w:before="0" w:after="0"/>
              <w:ind w:left="240" w:hanging="240"/>
              <w:rPr>
                <w:b/>
                <w:sz w:val="18"/>
                <w:szCs w:val="18"/>
              </w:rPr>
            </w:pPr>
            <w:r w:rsidRPr="00651555">
              <w:rPr>
                <w:b/>
                <w:sz w:val="18"/>
                <w:szCs w:val="18"/>
              </w:rPr>
              <w:t>Services and other goods</w:t>
            </w:r>
            <w:r w:rsidRPr="00651555">
              <w:rPr>
                <w:sz w:val="18"/>
                <w:szCs w:val="18"/>
              </w:rPr>
              <w:tab/>
            </w:r>
          </w:p>
        </w:tc>
        <w:tc>
          <w:tcPr>
            <w:tcW w:w="840" w:type="pct"/>
            <w:noWrap/>
          </w:tcPr>
          <w:p w:rsidR="00651555" w:rsidRPr="00651555" w:rsidRDefault="00651555" w:rsidP="00E53641">
            <w:pPr>
              <w:pStyle w:val="NormalWeb"/>
              <w:pBdr>
                <w:bottom w:val="single" w:sz="4" w:space="1" w:color="auto"/>
              </w:pBdr>
              <w:tabs>
                <w:tab w:val="right" w:pos="720"/>
                <w:tab w:val="decimal" w:pos="760"/>
              </w:tabs>
              <w:spacing w:before="0" w:after="0"/>
              <w:jc w:val="right"/>
              <w:rPr>
                <w:b/>
                <w:sz w:val="18"/>
                <w:szCs w:val="18"/>
              </w:rPr>
            </w:pPr>
            <w:r w:rsidRPr="00651555">
              <w:rPr>
                <w:b/>
                <w:sz w:val="18"/>
                <w:szCs w:val="18"/>
              </w:rPr>
              <w:t>(135.9)</w:t>
            </w:r>
          </w:p>
        </w:tc>
        <w:tc>
          <w:tcPr>
            <w:tcW w:w="645" w:type="pct"/>
          </w:tcPr>
          <w:p w:rsidR="00651555" w:rsidRPr="00651555" w:rsidRDefault="00651555" w:rsidP="00E53641">
            <w:pPr>
              <w:pStyle w:val="NormalWeb"/>
              <w:pBdr>
                <w:bottom w:val="single" w:sz="4" w:space="1" w:color="auto"/>
              </w:pBdr>
              <w:tabs>
                <w:tab w:val="right" w:pos="720"/>
                <w:tab w:val="decimal" w:pos="760"/>
              </w:tabs>
              <w:spacing w:before="0" w:after="0"/>
              <w:jc w:val="right"/>
              <w:rPr>
                <w:b/>
                <w:sz w:val="18"/>
                <w:szCs w:val="18"/>
              </w:rPr>
            </w:pPr>
            <w:r w:rsidRPr="00651555">
              <w:rPr>
                <w:b/>
                <w:sz w:val="18"/>
                <w:szCs w:val="18"/>
              </w:rPr>
              <w:t>(143.7)</w:t>
            </w:r>
          </w:p>
        </w:tc>
        <w:tc>
          <w:tcPr>
            <w:tcW w:w="662" w:type="pct"/>
            <w:noWrap/>
          </w:tcPr>
          <w:p w:rsidR="00651555" w:rsidRPr="00651555" w:rsidRDefault="00651555" w:rsidP="00E53641">
            <w:pPr>
              <w:pStyle w:val="NormalWeb"/>
              <w:pBdr>
                <w:bottom w:val="single" w:sz="4" w:space="1" w:color="auto"/>
              </w:pBdr>
              <w:tabs>
                <w:tab w:val="right" w:pos="720"/>
                <w:tab w:val="decimal" w:pos="760"/>
              </w:tabs>
              <w:spacing w:before="0" w:after="0"/>
              <w:jc w:val="right"/>
              <w:rPr>
                <w:b/>
                <w:sz w:val="18"/>
                <w:szCs w:val="18"/>
              </w:rPr>
            </w:pPr>
            <w:r w:rsidRPr="00651555">
              <w:rPr>
                <w:b/>
                <w:sz w:val="18"/>
                <w:szCs w:val="18"/>
              </w:rPr>
              <w:t>(149.5)</w:t>
            </w:r>
          </w:p>
        </w:tc>
      </w:tr>
      <w:tr w:rsidR="00651555" w:rsidRPr="00651555" w:rsidTr="00E53641">
        <w:trPr>
          <w:trHeight w:val="267"/>
        </w:trPr>
        <w:tc>
          <w:tcPr>
            <w:tcW w:w="2853" w:type="pct"/>
          </w:tcPr>
          <w:p w:rsidR="00651555" w:rsidRPr="00651555" w:rsidRDefault="00651555" w:rsidP="00E53641">
            <w:pPr>
              <w:pStyle w:val="NormalWeb"/>
              <w:keepNext/>
              <w:tabs>
                <w:tab w:val="right" w:leader="dot" w:pos="5160"/>
              </w:tabs>
              <w:spacing w:before="0" w:after="0"/>
              <w:ind w:left="240" w:hanging="240"/>
              <w:rPr>
                <w:b/>
                <w:sz w:val="18"/>
                <w:szCs w:val="18"/>
              </w:rPr>
            </w:pPr>
            <w:r w:rsidRPr="00651555">
              <w:rPr>
                <w:b/>
                <w:sz w:val="18"/>
                <w:szCs w:val="18"/>
              </w:rPr>
              <w:t>Personnel costs</w:t>
            </w:r>
            <w:r w:rsidRPr="00651555">
              <w:rPr>
                <w:sz w:val="18"/>
                <w:szCs w:val="18"/>
              </w:rPr>
              <w:tab/>
            </w:r>
          </w:p>
        </w:tc>
        <w:tc>
          <w:tcPr>
            <w:tcW w:w="840" w:type="pct"/>
            <w:noWrap/>
          </w:tcPr>
          <w:p w:rsidR="00651555" w:rsidRPr="00651555" w:rsidRDefault="00651555" w:rsidP="00E53641">
            <w:pPr>
              <w:pStyle w:val="NormalWeb"/>
              <w:tabs>
                <w:tab w:val="right" w:pos="720"/>
                <w:tab w:val="decimal" w:pos="760"/>
              </w:tabs>
              <w:spacing w:before="0" w:after="0"/>
              <w:jc w:val="right"/>
              <w:rPr>
                <w:b/>
                <w:sz w:val="18"/>
                <w:szCs w:val="18"/>
              </w:rPr>
            </w:pPr>
            <w:r w:rsidRPr="00651555">
              <w:rPr>
                <w:b/>
                <w:sz w:val="18"/>
                <w:szCs w:val="18"/>
              </w:rPr>
              <w:t>(90.7)</w:t>
            </w:r>
          </w:p>
        </w:tc>
        <w:tc>
          <w:tcPr>
            <w:tcW w:w="645" w:type="pct"/>
          </w:tcPr>
          <w:p w:rsidR="00651555" w:rsidRPr="00651555" w:rsidRDefault="00651555" w:rsidP="00E53641">
            <w:pPr>
              <w:pStyle w:val="NormalWeb"/>
              <w:tabs>
                <w:tab w:val="right" w:pos="720"/>
                <w:tab w:val="decimal" w:pos="760"/>
              </w:tabs>
              <w:spacing w:before="0" w:after="0"/>
              <w:jc w:val="right"/>
              <w:rPr>
                <w:b/>
                <w:bCs/>
                <w:sz w:val="18"/>
                <w:szCs w:val="18"/>
              </w:rPr>
            </w:pPr>
            <w:r w:rsidRPr="00651555">
              <w:rPr>
                <w:b/>
                <w:bCs/>
                <w:sz w:val="18"/>
                <w:szCs w:val="18"/>
              </w:rPr>
              <w:t>(87.8)</w:t>
            </w:r>
          </w:p>
        </w:tc>
        <w:tc>
          <w:tcPr>
            <w:tcW w:w="662" w:type="pct"/>
            <w:noWrap/>
          </w:tcPr>
          <w:p w:rsidR="00651555" w:rsidRPr="00651555" w:rsidRDefault="00651555" w:rsidP="00E53641">
            <w:pPr>
              <w:pStyle w:val="NormalWeb"/>
              <w:tabs>
                <w:tab w:val="right" w:pos="720"/>
                <w:tab w:val="decimal" w:pos="760"/>
              </w:tabs>
              <w:spacing w:before="0" w:after="0"/>
              <w:jc w:val="right"/>
              <w:rPr>
                <w:b/>
                <w:sz w:val="18"/>
                <w:szCs w:val="18"/>
              </w:rPr>
            </w:pPr>
            <w:r w:rsidRPr="00651555">
              <w:rPr>
                <w:b/>
                <w:sz w:val="18"/>
                <w:szCs w:val="18"/>
              </w:rPr>
              <w:t>(85.5)</w:t>
            </w:r>
          </w:p>
        </w:tc>
      </w:tr>
      <w:tr w:rsidR="00651555" w:rsidRPr="00651555" w:rsidTr="00E53641">
        <w:trPr>
          <w:trHeight w:val="267"/>
        </w:trPr>
        <w:tc>
          <w:tcPr>
            <w:tcW w:w="2853" w:type="pct"/>
          </w:tcPr>
          <w:p w:rsidR="00651555" w:rsidRPr="00651555" w:rsidRDefault="00651555" w:rsidP="00E53641">
            <w:pPr>
              <w:pStyle w:val="NormalWeb"/>
              <w:keepNext/>
              <w:tabs>
                <w:tab w:val="right" w:leader="dot" w:pos="5160"/>
              </w:tabs>
              <w:spacing w:before="0" w:after="0"/>
              <w:ind w:left="240" w:hanging="240"/>
              <w:rPr>
                <w:sz w:val="18"/>
                <w:szCs w:val="18"/>
              </w:rPr>
            </w:pPr>
            <w:r w:rsidRPr="00651555">
              <w:rPr>
                <w:sz w:val="18"/>
                <w:szCs w:val="18"/>
              </w:rPr>
              <w:t>Depreciation</w:t>
            </w:r>
            <w:r w:rsidRPr="00651555">
              <w:rPr>
                <w:sz w:val="18"/>
                <w:szCs w:val="18"/>
              </w:rPr>
              <w:tab/>
            </w:r>
          </w:p>
        </w:tc>
        <w:tc>
          <w:tcPr>
            <w:tcW w:w="840"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(30.4)</w:t>
            </w:r>
          </w:p>
        </w:tc>
        <w:tc>
          <w:tcPr>
            <w:tcW w:w="645" w:type="pct"/>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(25.9)</w:t>
            </w:r>
          </w:p>
        </w:tc>
        <w:tc>
          <w:tcPr>
            <w:tcW w:w="662"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(20.3)</w:t>
            </w:r>
          </w:p>
        </w:tc>
      </w:tr>
      <w:tr w:rsidR="00651555" w:rsidRPr="00651555" w:rsidTr="00E53641">
        <w:trPr>
          <w:trHeight w:val="267"/>
        </w:trPr>
        <w:tc>
          <w:tcPr>
            <w:tcW w:w="2853" w:type="pct"/>
          </w:tcPr>
          <w:p w:rsidR="00651555" w:rsidRPr="00651555" w:rsidRDefault="00651555" w:rsidP="00E53641">
            <w:pPr>
              <w:pStyle w:val="NormalWeb"/>
              <w:keepNext/>
              <w:tabs>
                <w:tab w:val="right" w:leader="dot" w:pos="5160"/>
              </w:tabs>
              <w:spacing w:before="0" w:after="0"/>
              <w:ind w:left="240" w:hanging="240"/>
              <w:rPr>
                <w:sz w:val="18"/>
                <w:szCs w:val="18"/>
              </w:rPr>
            </w:pPr>
            <w:r w:rsidRPr="00651555">
              <w:rPr>
                <w:sz w:val="18"/>
                <w:szCs w:val="18"/>
              </w:rPr>
              <w:t>Impairment losses on assets</w:t>
            </w:r>
            <w:r w:rsidRPr="00651555">
              <w:rPr>
                <w:sz w:val="18"/>
                <w:szCs w:val="18"/>
              </w:rPr>
              <w:tab/>
            </w:r>
          </w:p>
          <w:p w:rsidR="00651555" w:rsidRPr="00651555" w:rsidRDefault="00651555" w:rsidP="00E53641">
            <w:pPr>
              <w:pStyle w:val="la24"/>
              <w:spacing w:before="0" w:after="0"/>
              <w:rPr>
                <w:sz w:val="18"/>
                <w:szCs w:val="18"/>
              </w:rPr>
            </w:pPr>
            <w:r w:rsidRPr="00651555">
              <w:rPr>
                <w:noProof w:val="0"/>
                <w:sz w:val="18"/>
                <w:szCs w:val="18"/>
                <w:lang w:val="en-GB"/>
              </w:rPr>
              <w:t> </w:t>
            </w:r>
          </w:p>
        </w:tc>
        <w:tc>
          <w:tcPr>
            <w:tcW w:w="840" w:type="pct"/>
            <w:noWrap/>
          </w:tcPr>
          <w:p w:rsidR="00651555" w:rsidRPr="00651555" w:rsidRDefault="00651555" w:rsidP="00E53641">
            <w:pPr>
              <w:pStyle w:val="NormalWeb"/>
              <w:pBdr>
                <w:bottom w:val="single" w:sz="4" w:space="1" w:color="auto"/>
              </w:pBdr>
              <w:tabs>
                <w:tab w:val="right" w:pos="720"/>
                <w:tab w:val="decimal" w:pos="760"/>
              </w:tabs>
              <w:spacing w:before="0" w:after="0"/>
              <w:jc w:val="right"/>
              <w:rPr>
                <w:sz w:val="18"/>
                <w:szCs w:val="18"/>
              </w:rPr>
            </w:pPr>
            <w:r w:rsidRPr="00651555">
              <w:rPr>
                <w:sz w:val="18"/>
                <w:szCs w:val="18"/>
              </w:rPr>
              <w:t>(0.5)</w:t>
            </w:r>
          </w:p>
        </w:tc>
        <w:tc>
          <w:tcPr>
            <w:tcW w:w="645" w:type="pct"/>
          </w:tcPr>
          <w:p w:rsidR="00651555" w:rsidRPr="00651555" w:rsidRDefault="00651555" w:rsidP="00E53641">
            <w:pPr>
              <w:pStyle w:val="NormalWeb"/>
              <w:pBdr>
                <w:bottom w:val="single" w:sz="4" w:space="1" w:color="auto"/>
              </w:pBdr>
              <w:tabs>
                <w:tab w:val="right" w:pos="720"/>
                <w:tab w:val="decimal" w:pos="760"/>
              </w:tabs>
              <w:spacing w:before="0" w:after="0"/>
              <w:jc w:val="right"/>
              <w:rPr>
                <w:sz w:val="18"/>
                <w:szCs w:val="18"/>
              </w:rPr>
            </w:pPr>
            <w:r w:rsidRPr="00651555">
              <w:rPr>
                <w:sz w:val="18"/>
                <w:szCs w:val="18"/>
              </w:rPr>
              <w:t>(4.4)</w:t>
            </w:r>
          </w:p>
        </w:tc>
        <w:tc>
          <w:tcPr>
            <w:tcW w:w="662" w:type="pct"/>
            <w:noWrap/>
          </w:tcPr>
          <w:p w:rsidR="00651555" w:rsidRPr="00651555" w:rsidRDefault="00651555" w:rsidP="00E53641">
            <w:pPr>
              <w:pStyle w:val="NormalWeb"/>
              <w:pBdr>
                <w:bottom w:val="single" w:sz="4" w:space="1" w:color="auto"/>
              </w:pBdr>
              <w:tabs>
                <w:tab w:val="right" w:pos="720"/>
                <w:tab w:val="decimal" w:pos="760"/>
              </w:tabs>
              <w:spacing w:before="0" w:after="0"/>
              <w:jc w:val="right"/>
              <w:rPr>
                <w:sz w:val="18"/>
                <w:szCs w:val="18"/>
              </w:rPr>
            </w:pPr>
            <w:r w:rsidRPr="00651555">
              <w:rPr>
                <w:sz w:val="18"/>
                <w:szCs w:val="18"/>
              </w:rPr>
              <w:t>-</w:t>
            </w:r>
          </w:p>
        </w:tc>
      </w:tr>
      <w:tr w:rsidR="00651555" w:rsidRPr="00651555" w:rsidTr="00E53641">
        <w:tc>
          <w:tcPr>
            <w:tcW w:w="2853" w:type="pct"/>
          </w:tcPr>
          <w:p w:rsidR="00651555" w:rsidRPr="00651555" w:rsidRDefault="00651555" w:rsidP="00E53641">
            <w:pPr>
              <w:pStyle w:val="NormalWeb"/>
              <w:keepNext/>
              <w:tabs>
                <w:tab w:val="right" w:leader="dot" w:pos="5160"/>
              </w:tabs>
              <w:spacing w:before="0" w:after="0"/>
              <w:ind w:left="240" w:hanging="240"/>
              <w:rPr>
                <w:b/>
                <w:sz w:val="18"/>
                <w:szCs w:val="18"/>
              </w:rPr>
            </w:pPr>
            <w:r w:rsidRPr="00651555">
              <w:rPr>
                <w:b/>
                <w:sz w:val="18"/>
                <w:szCs w:val="18"/>
              </w:rPr>
              <w:t>Depreciation and (reversal (+) of impairment losses on assets)</w:t>
            </w:r>
            <w:r w:rsidRPr="00651555">
              <w:rPr>
                <w:sz w:val="18"/>
                <w:szCs w:val="18"/>
              </w:rPr>
              <w:tab/>
            </w:r>
          </w:p>
        </w:tc>
        <w:tc>
          <w:tcPr>
            <w:tcW w:w="840" w:type="pct"/>
            <w:noWrap/>
          </w:tcPr>
          <w:p w:rsidR="00651555" w:rsidRPr="00651555" w:rsidRDefault="00651555" w:rsidP="00E53641">
            <w:pPr>
              <w:pStyle w:val="NormalWeb"/>
              <w:tabs>
                <w:tab w:val="right" w:pos="720"/>
                <w:tab w:val="decimal" w:pos="760"/>
              </w:tabs>
              <w:spacing w:before="0" w:after="0"/>
              <w:jc w:val="right"/>
              <w:rPr>
                <w:b/>
                <w:sz w:val="18"/>
                <w:szCs w:val="18"/>
              </w:rPr>
            </w:pPr>
            <w:r w:rsidRPr="00651555">
              <w:rPr>
                <w:b/>
                <w:sz w:val="18"/>
                <w:szCs w:val="18"/>
              </w:rPr>
              <w:t>(30.9)</w:t>
            </w:r>
          </w:p>
        </w:tc>
        <w:tc>
          <w:tcPr>
            <w:tcW w:w="645" w:type="pct"/>
          </w:tcPr>
          <w:p w:rsidR="00651555" w:rsidRPr="00651555" w:rsidRDefault="00651555" w:rsidP="00E53641">
            <w:pPr>
              <w:pStyle w:val="NormalWeb"/>
              <w:tabs>
                <w:tab w:val="right" w:pos="720"/>
                <w:tab w:val="decimal" w:pos="760"/>
              </w:tabs>
              <w:spacing w:before="0" w:after="0"/>
              <w:jc w:val="right"/>
              <w:rPr>
                <w:b/>
                <w:bCs/>
                <w:sz w:val="18"/>
                <w:szCs w:val="18"/>
              </w:rPr>
            </w:pPr>
            <w:r w:rsidRPr="00651555">
              <w:rPr>
                <w:b/>
                <w:bCs/>
                <w:sz w:val="18"/>
                <w:szCs w:val="18"/>
              </w:rPr>
              <w:t>(30.3)</w:t>
            </w:r>
          </w:p>
        </w:tc>
        <w:tc>
          <w:tcPr>
            <w:tcW w:w="662" w:type="pct"/>
            <w:noWrap/>
          </w:tcPr>
          <w:p w:rsidR="00651555" w:rsidRPr="00651555" w:rsidRDefault="00651555" w:rsidP="00E53641">
            <w:pPr>
              <w:pStyle w:val="NormalWeb"/>
              <w:tabs>
                <w:tab w:val="right" w:pos="720"/>
                <w:tab w:val="decimal" w:pos="760"/>
              </w:tabs>
              <w:spacing w:before="0" w:after="0"/>
              <w:jc w:val="right"/>
              <w:rPr>
                <w:b/>
                <w:sz w:val="18"/>
                <w:szCs w:val="18"/>
              </w:rPr>
            </w:pPr>
            <w:r w:rsidRPr="00651555">
              <w:rPr>
                <w:b/>
                <w:sz w:val="18"/>
                <w:szCs w:val="18"/>
              </w:rPr>
              <w:t>(20.3)</w:t>
            </w:r>
          </w:p>
        </w:tc>
      </w:tr>
      <w:tr w:rsidR="00651555" w:rsidRPr="00651555" w:rsidTr="00E53641">
        <w:tc>
          <w:tcPr>
            <w:tcW w:w="2853" w:type="pct"/>
          </w:tcPr>
          <w:p w:rsidR="00651555" w:rsidRPr="00651555" w:rsidRDefault="00651555" w:rsidP="00E53641">
            <w:pPr>
              <w:pStyle w:val="NormalWeb"/>
              <w:keepNext/>
              <w:tabs>
                <w:tab w:val="right" w:leader="dot" w:pos="5160"/>
              </w:tabs>
              <w:spacing w:before="0" w:after="0"/>
              <w:ind w:left="240" w:hanging="240"/>
              <w:rPr>
                <w:sz w:val="18"/>
                <w:szCs w:val="18"/>
              </w:rPr>
            </w:pPr>
            <w:r w:rsidRPr="00651555">
              <w:rPr>
                <w:sz w:val="18"/>
                <w:szCs w:val="18"/>
              </w:rPr>
              <w:t>Write-down of inventories</w:t>
            </w:r>
            <w:r w:rsidRPr="00651555">
              <w:rPr>
                <w:sz w:val="18"/>
                <w:szCs w:val="18"/>
              </w:rPr>
              <w:tab/>
            </w:r>
          </w:p>
        </w:tc>
        <w:tc>
          <w:tcPr>
            <w:tcW w:w="840"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(2.0)</w:t>
            </w:r>
          </w:p>
        </w:tc>
        <w:tc>
          <w:tcPr>
            <w:tcW w:w="645" w:type="pct"/>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0.1</w:t>
            </w:r>
          </w:p>
        </w:tc>
        <w:tc>
          <w:tcPr>
            <w:tcW w:w="662"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(0.3)</w:t>
            </w:r>
          </w:p>
        </w:tc>
      </w:tr>
      <w:tr w:rsidR="00651555" w:rsidRPr="00651555" w:rsidTr="00E53641">
        <w:tc>
          <w:tcPr>
            <w:tcW w:w="2853" w:type="pct"/>
          </w:tcPr>
          <w:p w:rsidR="00651555" w:rsidRPr="00651555" w:rsidRDefault="00651555" w:rsidP="00E53641">
            <w:pPr>
              <w:pStyle w:val="NormalWeb"/>
              <w:keepNext/>
              <w:tabs>
                <w:tab w:val="right" w:leader="dot" w:pos="5160"/>
              </w:tabs>
              <w:spacing w:before="0" w:after="0"/>
              <w:ind w:left="240" w:hanging="240"/>
              <w:rPr>
                <w:sz w:val="18"/>
                <w:szCs w:val="18"/>
              </w:rPr>
            </w:pPr>
            <w:r w:rsidRPr="00651555">
              <w:rPr>
                <w:sz w:val="18"/>
                <w:szCs w:val="18"/>
              </w:rPr>
              <w:t>Write-down of trade debtors</w:t>
            </w:r>
            <w:r w:rsidRPr="00651555">
              <w:rPr>
                <w:sz w:val="18"/>
                <w:szCs w:val="18"/>
              </w:rPr>
              <w:tab/>
            </w:r>
          </w:p>
        </w:tc>
        <w:tc>
          <w:tcPr>
            <w:tcW w:w="840"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(0.2)</w:t>
            </w:r>
          </w:p>
        </w:tc>
        <w:tc>
          <w:tcPr>
            <w:tcW w:w="645" w:type="pct"/>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0.1</w:t>
            </w:r>
          </w:p>
        </w:tc>
        <w:tc>
          <w:tcPr>
            <w:tcW w:w="662"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(0.4)</w:t>
            </w:r>
          </w:p>
        </w:tc>
      </w:tr>
      <w:tr w:rsidR="00651555" w:rsidRPr="00651555" w:rsidTr="00E53641">
        <w:tc>
          <w:tcPr>
            <w:tcW w:w="2853" w:type="pct"/>
          </w:tcPr>
          <w:p w:rsidR="00651555" w:rsidRPr="00651555" w:rsidRDefault="00651555" w:rsidP="00E53641">
            <w:pPr>
              <w:pStyle w:val="NormalWeb"/>
              <w:keepNext/>
              <w:tabs>
                <w:tab w:val="right" w:leader="dot" w:pos="5160"/>
              </w:tabs>
              <w:spacing w:before="0" w:after="0"/>
              <w:ind w:left="240" w:hanging="240"/>
              <w:rPr>
                <w:sz w:val="18"/>
                <w:szCs w:val="18"/>
              </w:rPr>
            </w:pPr>
            <w:r w:rsidRPr="00651555">
              <w:rPr>
                <w:sz w:val="18"/>
                <w:szCs w:val="18"/>
              </w:rPr>
              <w:t>Provisions</w:t>
            </w:r>
            <w:r w:rsidRPr="00651555">
              <w:rPr>
                <w:sz w:val="18"/>
                <w:szCs w:val="18"/>
              </w:rPr>
              <w:tab/>
            </w:r>
          </w:p>
          <w:p w:rsidR="00651555" w:rsidRPr="00651555" w:rsidRDefault="00651555" w:rsidP="00E53641">
            <w:pPr>
              <w:pStyle w:val="la24"/>
              <w:spacing w:before="0" w:after="0"/>
              <w:rPr>
                <w:sz w:val="18"/>
                <w:szCs w:val="18"/>
              </w:rPr>
            </w:pPr>
            <w:r w:rsidRPr="00651555">
              <w:rPr>
                <w:noProof w:val="0"/>
                <w:sz w:val="18"/>
                <w:szCs w:val="18"/>
                <w:lang w:val="en-GB"/>
              </w:rPr>
              <w:t> </w:t>
            </w:r>
          </w:p>
        </w:tc>
        <w:tc>
          <w:tcPr>
            <w:tcW w:w="840"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(0.1)</w:t>
            </w:r>
          </w:p>
        </w:tc>
        <w:tc>
          <w:tcPr>
            <w:tcW w:w="645" w:type="pct"/>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(0.2)</w:t>
            </w:r>
          </w:p>
        </w:tc>
        <w:tc>
          <w:tcPr>
            <w:tcW w:w="662" w:type="pct"/>
            <w:noWrap/>
          </w:tcPr>
          <w:p w:rsidR="00651555" w:rsidRPr="00651555" w:rsidRDefault="00651555" w:rsidP="00E53641">
            <w:pPr>
              <w:pStyle w:val="NormalWeb"/>
              <w:tabs>
                <w:tab w:val="right" w:pos="720"/>
                <w:tab w:val="decimal" w:pos="760"/>
              </w:tabs>
              <w:spacing w:before="0" w:after="0"/>
              <w:jc w:val="right"/>
              <w:rPr>
                <w:sz w:val="18"/>
                <w:szCs w:val="18"/>
              </w:rPr>
            </w:pPr>
            <w:r w:rsidRPr="00651555">
              <w:rPr>
                <w:sz w:val="18"/>
                <w:szCs w:val="18"/>
              </w:rPr>
              <w:t>(1.1)</w:t>
            </w:r>
          </w:p>
        </w:tc>
      </w:tr>
      <w:tr w:rsidR="00651555" w:rsidRPr="00651555" w:rsidTr="00E53641">
        <w:tc>
          <w:tcPr>
            <w:tcW w:w="2853" w:type="pct"/>
          </w:tcPr>
          <w:p w:rsidR="00651555" w:rsidRPr="00651555" w:rsidRDefault="00651555" w:rsidP="00E53641">
            <w:pPr>
              <w:pStyle w:val="la24"/>
              <w:spacing w:before="0" w:after="0"/>
              <w:rPr>
                <w:noProof w:val="0"/>
                <w:sz w:val="18"/>
                <w:szCs w:val="18"/>
                <w:lang w:val="en-GB"/>
              </w:rPr>
            </w:pPr>
          </w:p>
        </w:tc>
        <w:tc>
          <w:tcPr>
            <w:tcW w:w="840" w:type="pct"/>
          </w:tcPr>
          <w:p w:rsidR="00651555" w:rsidRPr="00651555" w:rsidRDefault="00651555" w:rsidP="00E53641">
            <w:pPr>
              <w:pStyle w:val="rrdsinglerule4"/>
              <w:spacing w:before="0" w:after="0"/>
              <w:jc w:val="right"/>
              <w:rPr>
                <w:sz w:val="18"/>
                <w:szCs w:val="18"/>
                <w:lang w:val="en-GB"/>
              </w:rPr>
            </w:pPr>
          </w:p>
        </w:tc>
        <w:tc>
          <w:tcPr>
            <w:tcW w:w="645" w:type="pct"/>
          </w:tcPr>
          <w:p w:rsidR="00651555" w:rsidRPr="00651555" w:rsidRDefault="00651555" w:rsidP="00E53641">
            <w:pPr>
              <w:pStyle w:val="rrdsinglerule4"/>
              <w:spacing w:before="0" w:after="0"/>
              <w:jc w:val="right"/>
              <w:rPr>
                <w:sz w:val="18"/>
                <w:szCs w:val="18"/>
                <w:lang w:val="en-GB"/>
              </w:rPr>
            </w:pPr>
          </w:p>
        </w:tc>
        <w:tc>
          <w:tcPr>
            <w:tcW w:w="662" w:type="pct"/>
          </w:tcPr>
          <w:p w:rsidR="00651555" w:rsidRPr="00651555" w:rsidRDefault="00651555" w:rsidP="00E53641">
            <w:pPr>
              <w:pStyle w:val="rrdsinglerule4"/>
              <w:spacing w:before="0" w:after="0"/>
              <w:jc w:val="right"/>
              <w:rPr>
                <w:sz w:val="18"/>
                <w:szCs w:val="18"/>
                <w:lang w:val="en-GB"/>
              </w:rPr>
            </w:pPr>
          </w:p>
        </w:tc>
      </w:tr>
      <w:tr w:rsidR="00651555" w:rsidRPr="00651555" w:rsidTr="00E53641">
        <w:trPr>
          <w:trHeight w:val="292"/>
        </w:trPr>
        <w:tc>
          <w:tcPr>
            <w:tcW w:w="2853" w:type="pct"/>
          </w:tcPr>
          <w:p w:rsidR="00651555" w:rsidRPr="00651555" w:rsidRDefault="00651555" w:rsidP="00E53641">
            <w:pPr>
              <w:pStyle w:val="NormalWeb"/>
              <w:keepNext/>
              <w:tabs>
                <w:tab w:val="right" w:leader="dot" w:pos="5160"/>
              </w:tabs>
              <w:spacing w:before="0" w:after="0"/>
              <w:ind w:left="240" w:hanging="240"/>
              <w:rPr>
                <w:b/>
                <w:sz w:val="18"/>
                <w:szCs w:val="18"/>
              </w:rPr>
            </w:pPr>
            <w:r w:rsidRPr="00651555">
              <w:rPr>
                <w:b/>
                <w:sz w:val="18"/>
                <w:szCs w:val="18"/>
              </w:rPr>
              <w:t>Write-downs and provisions</w:t>
            </w:r>
            <w:r w:rsidRPr="00651555">
              <w:rPr>
                <w:sz w:val="18"/>
                <w:szCs w:val="18"/>
              </w:rPr>
              <w:tab/>
            </w:r>
          </w:p>
          <w:p w:rsidR="00651555" w:rsidRPr="00651555" w:rsidRDefault="00651555" w:rsidP="00E53641">
            <w:pPr>
              <w:pStyle w:val="la24"/>
              <w:spacing w:before="0" w:after="0"/>
              <w:rPr>
                <w:b/>
                <w:sz w:val="18"/>
                <w:szCs w:val="18"/>
              </w:rPr>
            </w:pPr>
            <w:r w:rsidRPr="00651555">
              <w:rPr>
                <w:noProof w:val="0"/>
                <w:sz w:val="18"/>
                <w:szCs w:val="18"/>
                <w:lang w:val="en-GB"/>
              </w:rPr>
              <w:t> </w:t>
            </w:r>
          </w:p>
        </w:tc>
        <w:tc>
          <w:tcPr>
            <w:tcW w:w="840" w:type="pct"/>
            <w:noWrap/>
          </w:tcPr>
          <w:p w:rsidR="00651555" w:rsidRPr="00651555" w:rsidRDefault="00651555" w:rsidP="00E53641">
            <w:pPr>
              <w:pStyle w:val="NormalWeb"/>
              <w:pBdr>
                <w:bottom w:val="single" w:sz="4" w:space="1" w:color="auto"/>
              </w:pBdr>
              <w:tabs>
                <w:tab w:val="right" w:pos="720"/>
                <w:tab w:val="decimal" w:pos="760"/>
              </w:tabs>
              <w:spacing w:before="0" w:after="0"/>
              <w:jc w:val="right"/>
              <w:rPr>
                <w:b/>
                <w:sz w:val="18"/>
                <w:szCs w:val="18"/>
              </w:rPr>
            </w:pPr>
            <w:r w:rsidRPr="00651555">
              <w:rPr>
                <w:b/>
                <w:sz w:val="18"/>
                <w:szCs w:val="18"/>
              </w:rPr>
              <w:t>(2.3)</w:t>
            </w:r>
          </w:p>
        </w:tc>
        <w:tc>
          <w:tcPr>
            <w:tcW w:w="645" w:type="pct"/>
          </w:tcPr>
          <w:p w:rsidR="00651555" w:rsidRPr="00651555" w:rsidRDefault="00651555" w:rsidP="00E53641">
            <w:pPr>
              <w:pStyle w:val="NormalWeb"/>
              <w:pBdr>
                <w:bottom w:val="single" w:sz="4" w:space="1" w:color="auto"/>
              </w:pBdr>
              <w:tabs>
                <w:tab w:val="right" w:pos="720"/>
                <w:tab w:val="decimal" w:pos="760"/>
              </w:tabs>
              <w:spacing w:before="0" w:after="0"/>
              <w:jc w:val="right"/>
              <w:rPr>
                <w:b/>
                <w:bCs/>
                <w:sz w:val="18"/>
                <w:szCs w:val="18"/>
              </w:rPr>
            </w:pPr>
            <w:r w:rsidRPr="00651555">
              <w:rPr>
                <w:b/>
                <w:bCs/>
                <w:sz w:val="18"/>
                <w:szCs w:val="18"/>
              </w:rPr>
              <w:t>-</w:t>
            </w:r>
          </w:p>
        </w:tc>
        <w:tc>
          <w:tcPr>
            <w:tcW w:w="662" w:type="pct"/>
            <w:noWrap/>
          </w:tcPr>
          <w:p w:rsidR="00651555" w:rsidRPr="00651555" w:rsidRDefault="00651555" w:rsidP="00E53641">
            <w:pPr>
              <w:pStyle w:val="NormalWeb"/>
              <w:pBdr>
                <w:bottom w:val="single" w:sz="4" w:space="1" w:color="auto"/>
              </w:pBdr>
              <w:tabs>
                <w:tab w:val="right" w:pos="720"/>
                <w:tab w:val="decimal" w:pos="760"/>
              </w:tabs>
              <w:spacing w:before="0" w:after="0"/>
              <w:jc w:val="right"/>
              <w:rPr>
                <w:b/>
                <w:sz w:val="18"/>
                <w:szCs w:val="18"/>
              </w:rPr>
            </w:pPr>
            <w:r w:rsidRPr="00651555">
              <w:rPr>
                <w:b/>
                <w:sz w:val="18"/>
                <w:szCs w:val="18"/>
              </w:rPr>
              <w:t>(1.8)</w:t>
            </w:r>
          </w:p>
        </w:tc>
      </w:tr>
      <w:tr w:rsidR="00651555" w:rsidRPr="00651555" w:rsidTr="00E53641">
        <w:tc>
          <w:tcPr>
            <w:tcW w:w="2853" w:type="pct"/>
          </w:tcPr>
          <w:p w:rsidR="00651555" w:rsidRPr="00651555" w:rsidRDefault="00651555" w:rsidP="00E53641">
            <w:pPr>
              <w:pStyle w:val="NormalWeb"/>
              <w:keepNext/>
              <w:tabs>
                <w:tab w:val="right" w:leader="dot" w:pos="5160"/>
              </w:tabs>
              <w:spacing w:before="0" w:after="0"/>
              <w:ind w:left="240" w:hanging="240"/>
              <w:rPr>
                <w:b/>
                <w:sz w:val="18"/>
                <w:szCs w:val="18"/>
              </w:rPr>
            </w:pPr>
            <w:r w:rsidRPr="00651555">
              <w:rPr>
                <w:b/>
                <w:sz w:val="18"/>
                <w:szCs w:val="18"/>
              </w:rPr>
              <w:t xml:space="preserve">Other operating charges </w:t>
            </w:r>
            <w:r w:rsidRPr="00651555">
              <w:rPr>
                <w:sz w:val="18"/>
                <w:szCs w:val="18"/>
              </w:rPr>
              <w:tab/>
            </w:r>
          </w:p>
        </w:tc>
        <w:tc>
          <w:tcPr>
            <w:tcW w:w="840" w:type="pct"/>
          </w:tcPr>
          <w:p w:rsidR="00651555" w:rsidRPr="00651555" w:rsidRDefault="00651555" w:rsidP="00E53641">
            <w:pPr>
              <w:pStyle w:val="NormalWeb"/>
              <w:pBdr>
                <w:bottom w:val="single" w:sz="4" w:space="1" w:color="auto"/>
              </w:pBdr>
              <w:tabs>
                <w:tab w:val="right" w:pos="720"/>
                <w:tab w:val="decimal" w:pos="760"/>
              </w:tabs>
              <w:spacing w:before="0" w:after="0"/>
              <w:jc w:val="right"/>
              <w:rPr>
                <w:b/>
                <w:sz w:val="18"/>
                <w:szCs w:val="18"/>
              </w:rPr>
            </w:pPr>
            <w:r w:rsidRPr="00651555">
              <w:rPr>
                <w:b/>
                <w:sz w:val="18"/>
                <w:szCs w:val="18"/>
              </w:rPr>
              <w:t>(8.6)</w:t>
            </w:r>
          </w:p>
        </w:tc>
        <w:tc>
          <w:tcPr>
            <w:tcW w:w="645" w:type="pct"/>
          </w:tcPr>
          <w:p w:rsidR="00651555" w:rsidRPr="00651555" w:rsidRDefault="00651555" w:rsidP="00E53641">
            <w:pPr>
              <w:pStyle w:val="NormalWeb"/>
              <w:pBdr>
                <w:bottom w:val="single" w:sz="4" w:space="1" w:color="auto"/>
              </w:pBdr>
              <w:tabs>
                <w:tab w:val="right" w:pos="720"/>
                <w:tab w:val="decimal" w:pos="760"/>
              </w:tabs>
              <w:spacing w:before="0" w:after="0"/>
              <w:jc w:val="right"/>
              <w:rPr>
                <w:b/>
                <w:sz w:val="18"/>
                <w:szCs w:val="18"/>
              </w:rPr>
            </w:pPr>
            <w:r w:rsidRPr="00651555">
              <w:rPr>
                <w:b/>
                <w:sz w:val="18"/>
                <w:szCs w:val="18"/>
              </w:rPr>
              <w:t>(6.4)</w:t>
            </w:r>
          </w:p>
        </w:tc>
        <w:tc>
          <w:tcPr>
            <w:tcW w:w="662" w:type="pct"/>
          </w:tcPr>
          <w:p w:rsidR="00651555" w:rsidRPr="00651555" w:rsidRDefault="00651555" w:rsidP="00E53641">
            <w:pPr>
              <w:pStyle w:val="NormalWeb"/>
              <w:pBdr>
                <w:bottom w:val="single" w:sz="4" w:space="1" w:color="auto"/>
              </w:pBdr>
              <w:tabs>
                <w:tab w:val="right" w:pos="720"/>
                <w:tab w:val="decimal" w:pos="760"/>
              </w:tabs>
              <w:spacing w:before="0" w:after="0"/>
              <w:jc w:val="right"/>
              <w:rPr>
                <w:b/>
                <w:sz w:val="18"/>
                <w:szCs w:val="18"/>
              </w:rPr>
            </w:pPr>
            <w:r w:rsidRPr="00651555">
              <w:rPr>
                <w:b/>
                <w:sz w:val="18"/>
                <w:szCs w:val="18"/>
              </w:rPr>
              <w:t>(6.3)</w:t>
            </w:r>
          </w:p>
        </w:tc>
      </w:tr>
      <w:tr w:rsidR="00651555" w:rsidRPr="005D480F" w:rsidTr="00E53641">
        <w:tc>
          <w:tcPr>
            <w:tcW w:w="2853" w:type="pct"/>
          </w:tcPr>
          <w:p w:rsidR="00651555" w:rsidRPr="00651555" w:rsidRDefault="00651555" w:rsidP="00E53641">
            <w:pPr>
              <w:pStyle w:val="NormalWeb"/>
              <w:keepNext/>
              <w:tabs>
                <w:tab w:val="right" w:leader="dot" w:pos="5160"/>
              </w:tabs>
              <w:spacing w:before="0" w:after="0"/>
              <w:ind w:left="240" w:hanging="240"/>
              <w:rPr>
                <w:b/>
                <w:sz w:val="18"/>
                <w:szCs w:val="18"/>
              </w:rPr>
            </w:pPr>
            <w:r w:rsidRPr="00651555">
              <w:rPr>
                <w:b/>
                <w:sz w:val="18"/>
                <w:szCs w:val="18"/>
              </w:rPr>
              <w:t xml:space="preserve">Total operating charges </w:t>
            </w:r>
            <w:r w:rsidRPr="00651555">
              <w:rPr>
                <w:sz w:val="18"/>
                <w:szCs w:val="18"/>
              </w:rPr>
              <w:tab/>
            </w:r>
          </w:p>
        </w:tc>
        <w:tc>
          <w:tcPr>
            <w:tcW w:w="840" w:type="pct"/>
            <w:tcBorders>
              <w:bottom w:val="double" w:sz="4" w:space="0" w:color="auto"/>
            </w:tcBorders>
          </w:tcPr>
          <w:p w:rsidR="00651555" w:rsidRPr="00651555" w:rsidRDefault="00651555" w:rsidP="00E53641">
            <w:pPr>
              <w:pStyle w:val="NormalWeb"/>
              <w:tabs>
                <w:tab w:val="right" w:pos="720"/>
                <w:tab w:val="decimal" w:pos="760"/>
              </w:tabs>
              <w:spacing w:before="0" w:after="0"/>
              <w:jc w:val="right"/>
              <w:rPr>
                <w:b/>
                <w:sz w:val="18"/>
                <w:szCs w:val="18"/>
              </w:rPr>
            </w:pPr>
            <w:r w:rsidRPr="00651555">
              <w:rPr>
                <w:b/>
                <w:sz w:val="18"/>
                <w:szCs w:val="18"/>
              </w:rPr>
              <w:t>(628.5)</w:t>
            </w:r>
          </w:p>
        </w:tc>
        <w:tc>
          <w:tcPr>
            <w:tcW w:w="645" w:type="pct"/>
            <w:tcBorders>
              <w:bottom w:val="double" w:sz="4" w:space="0" w:color="auto"/>
            </w:tcBorders>
          </w:tcPr>
          <w:p w:rsidR="00651555" w:rsidRPr="00651555" w:rsidRDefault="00651555" w:rsidP="00E53641">
            <w:pPr>
              <w:pStyle w:val="NormalWeb"/>
              <w:tabs>
                <w:tab w:val="right" w:pos="720"/>
                <w:tab w:val="decimal" w:pos="760"/>
              </w:tabs>
              <w:spacing w:before="0" w:after="0"/>
              <w:jc w:val="right"/>
              <w:rPr>
                <w:b/>
                <w:sz w:val="18"/>
                <w:szCs w:val="18"/>
              </w:rPr>
            </w:pPr>
            <w:r w:rsidRPr="00651555">
              <w:rPr>
                <w:b/>
                <w:sz w:val="18"/>
                <w:szCs w:val="18"/>
              </w:rPr>
              <w:t>(638.3)</w:t>
            </w:r>
          </w:p>
        </w:tc>
        <w:tc>
          <w:tcPr>
            <w:tcW w:w="662" w:type="pct"/>
            <w:tcBorders>
              <w:bottom w:val="double" w:sz="4" w:space="0" w:color="auto"/>
            </w:tcBorders>
          </w:tcPr>
          <w:p w:rsidR="00651555" w:rsidRPr="00651555" w:rsidRDefault="00651555" w:rsidP="00E53641">
            <w:pPr>
              <w:pStyle w:val="NormalWeb"/>
              <w:tabs>
                <w:tab w:val="right" w:pos="720"/>
                <w:tab w:val="decimal" w:pos="760"/>
              </w:tabs>
              <w:spacing w:before="0" w:after="0"/>
              <w:jc w:val="right"/>
              <w:rPr>
                <w:b/>
                <w:sz w:val="18"/>
                <w:szCs w:val="18"/>
              </w:rPr>
            </w:pPr>
            <w:r w:rsidRPr="00651555">
              <w:rPr>
                <w:b/>
                <w:sz w:val="18"/>
                <w:szCs w:val="18"/>
              </w:rPr>
              <w:t>(607.8)</w:t>
            </w:r>
          </w:p>
        </w:tc>
      </w:tr>
    </w:tbl>
    <w:p w:rsidR="003F0BC5" w:rsidRPr="00992199" w:rsidRDefault="003F0BC5" w:rsidP="00353B80">
      <w:pPr>
        <w:pStyle w:val="Firm5L4"/>
        <w:keepNext/>
      </w:pPr>
      <w:r w:rsidRPr="00992199">
        <w:t>Operating charges</w:t>
      </w:r>
      <w:r w:rsidR="00EA66F3">
        <w:t xml:space="preserve"> of</w:t>
      </w:r>
      <w:r w:rsidRPr="00992199">
        <w:t xml:space="preserve"> </w:t>
      </w:r>
      <w:r w:rsidR="00EA66F3">
        <w:t>the financial year ended on 31 March 2015</w:t>
      </w:r>
      <w:r w:rsidRPr="00992199">
        <w:t xml:space="preserve"> versus </w:t>
      </w:r>
      <w:r w:rsidR="00EA66F3">
        <w:t>the financial year ended on 31 March 2014</w:t>
      </w:r>
      <w:r w:rsidRPr="00992199">
        <w:t>:</w:t>
      </w:r>
    </w:p>
    <w:p w:rsidR="00651555" w:rsidRPr="00992199" w:rsidRDefault="00651555" w:rsidP="00651555">
      <w:pPr>
        <w:rPr>
          <w:szCs w:val="20"/>
        </w:rPr>
      </w:pPr>
      <w:r w:rsidRPr="00992199">
        <w:rPr>
          <w:szCs w:val="20"/>
        </w:rPr>
        <w:t xml:space="preserve">The total operating charges decreased with </w:t>
      </w:r>
      <w:r w:rsidR="00E53641">
        <w:rPr>
          <w:szCs w:val="20"/>
        </w:rPr>
        <w:t>EUR </w:t>
      </w:r>
      <w:r w:rsidRPr="00992199">
        <w:rPr>
          <w:szCs w:val="20"/>
        </w:rPr>
        <w:t xml:space="preserve">9,800,000, mainly due to a decrease of the purchases of raw materials, consumables and goods for resale for </w:t>
      </w:r>
      <w:r w:rsidR="00E53641">
        <w:rPr>
          <w:szCs w:val="20"/>
        </w:rPr>
        <w:t>EUR </w:t>
      </w:r>
      <w:r w:rsidRPr="00992199">
        <w:rPr>
          <w:szCs w:val="20"/>
        </w:rPr>
        <w:t>10,</w:t>
      </w:r>
      <w:r>
        <w:rPr>
          <w:szCs w:val="20"/>
        </w:rPr>
        <w:t>0</w:t>
      </w:r>
      <w:r w:rsidRPr="00992199">
        <w:rPr>
          <w:szCs w:val="20"/>
        </w:rPr>
        <w:t xml:space="preserve">00,000 and a decrease in services and other goods for </w:t>
      </w:r>
      <w:r w:rsidR="00E53641">
        <w:rPr>
          <w:szCs w:val="20"/>
        </w:rPr>
        <w:t>EUR </w:t>
      </w:r>
      <w:r w:rsidRPr="00992199">
        <w:rPr>
          <w:szCs w:val="20"/>
        </w:rPr>
        <w:t>7,</w:t>
      </w:r>
      <w:r>
        <w:rPr>
          <w:szCs w:val="20"/>
        </w:rPr>
        <w:t>8</w:t>
      </w:r>
      <w:r w:rsidRPr="00992199">
        <w:rPr>
          <w:szCs w:val="20"/>
        </w:rPr>
        <w:t xml:space="preserve">00,000. This results from a decreased production volume compared to the previous </w:t>
      </w:r>
      <w:r>
        <w:rPr>
          <w:szCs w:val="20"/>
        </w:rPr>
        <w:t>financial year</w:t>
      </w:r>
      <w:r w:rsidRPr="00992199">
        <w:rPr>
          <w:szCs w:val="20"/>
        </w:rPr>
        <w:t xml:space="preserve"> and from a price/mix effect. These decreases are offset by an increase in personnel costs (</w:t>
      </w:r>
      <w:r w:rsidR="00E53641">
        <w:rPr>
          <w:szCs w:val="20"/>
        </w:rPr>
        <w:t>EUR </w:t>
      </w:r>
      <w:r w:rsidRPr="00992199">
        <w:rPr>
          <w:szCs w:val="20"/>
        </w:rPr>
        <w:t>2,</w:t>
      </w:r>
      <w:r>
        <w:rPr>
          <w:szCs w:val="20"/>
        </w:rPr>
        <w:t>9</w:t>
      </w:r>
      <w:r w:rsidRPr="00992199">
        <w:rPr>
          <w:szCs w:val="20"/>
        </w:rPr>
        <w:t>00,000), write-downs and provisions (</w:t>
      </w:r>
      <w:r w:rsidR="00E53641">
        <w:rPr>
          <w:szCs w:val="20"/>
        </w:rPr>
        <w:t>EUR </w:t>
      </w:r>
      <w:r w:rsidRPr="00992199">
        <w:rPr>
          <w:szCs w:val="20"/>
        </w:rPr>
        <w:t>2,</w:t>
      </w:r>
      <w:r>
        <w:rPr>
          <w:szCs w:val="20"/>
        </w:rPr>
        <w:t>9</w:t>
      </w:r>
      <w:r w:rsidRPr="00992199">
        <w:rPr>
          <w:szCs w:val="20"/>
        </w:rPr>
        <w:t>00,000) and other operating charges (</w:t>
      </w:r>
      <w:r w:rsidR="00E53641">
        <w:rPr>
          <w:szCs w:val="20"/>
        </w:rPr>
        <w:t>EUR </w:t>
      </w:r>
      <w:r>
        <w:rPr>
          <w:szCs w:val="20"/>
        </w:rPr>
        <w:t>2</w:t>
      </w:r>
      <w:r w:rsidRPr="00992199">
        <w:rPr>
          <w:szCs w:val="20"/>
        </w:rPr>
        <w:t>,</w:t>
      </w:r>
      <w:r>
        <w:rPr>
          <w:szCs w:val="20"/>
        </w:rPr>
        <w:t>2</w:t>
      </w:r>
      <w:r w:rsidRPr="00992199">
        <w:rPr>
          <w:szCs w:val="20"/>
        </w:rPr>
        <w:t>00,000).</w:t>
      </w:r>
    </w:p>
    <w:p w:rsidR="003F0BC5" w:rsidRPr="00992199" w:rsidRDefault="003F0BC5" w:rsidP="003F0BC5">
      <w:pPr>
        <w:rPr>
          <w:szCs w:val="20"/>
        </w:rPr>
      </w:pPr>
      <w:r w:rsidRPr="00992199">
        <w:rPr>
          <w:szCs w:val="20"/>
        </w:rPr>
        <w:t xml:space="preserve">Last </w:t>
      </w:r>
      <w:r w:rsidR="00C56728">
        <w:rPr>
          <w:szCs w:val="20"/>
        </w:rPr>
        <w:t>financial year</w:t>
      </w:r>
      <w:r w:rsidRPr="00992199">
        <w:rPr>
          <w:szCs w:val="20"/>
        </w:rPr>
        <w:t xml:space="preserve"> there was a shift from purchases within the heading ‘purchases raw materials, consumables and goods for resale’ between ‘purchase of fresh vegetables, fruits, potatoes and ingredients’ and ‘purchases of frozen vegetables of external parties’. This was due to the acquisition of the CECAB real estate companies (August 2013), which meant that CECAB previously financed the working capital of the activities.</w:t>
      </w:r>
    </w:p>
    <w:p w:rsidR="003F0BC5" w:rsidRDefault="003F0BC5" w:rsidP="003F0BC5">
      <w:pPr>
        <w:rPr>
          <w:szCs w:val="20"/>
        </w:rPr>
      </w:pPr>
      <w:r w:rsidRPr="00992199">
        <w:rPr>
          <w:szCs w:val="20"/>
        </w:rPr>
        <w:t xml:space="preserve">The decrease of the rent charges compared to the previous </w:t>
      </w:r>
      <w:r w:rsidR="00C56728">
        <w:rPr>
          <w:szCs w:val="20"/>
        </w:rPr>
        <w:t>financial year</w:t>
      </w:r>
      <w:r w:rsidRPr="00992199">
        <w:rPr>
          <w:szCs w:val="20"/>
        </w:rPr>
        <w:t xml:space="preserve"> and the increase of the depreciation results from the acquisition of the production facilities from CECAB and Noliko: rent charges were replaced by depreciation expenses during the last seven months of the previous </w:t>
      </w:r>
      <w:r w:rsidR="00C56728">
        <w:rPr>
          <w:szCs w:val="20"/>
        </w:rPr>
        <w:t>financial year</w:t>
      </w:r>
      <w:r w:rsidRPr="00992199">
        <w:rPr>
          <w:szCs w:val="20"/>
        </w:rPr>
        <w:t>.</w:t>
      </w:r>
    </w:p>
    <w:p w:rsidR="00651555" w:rsidRPr="00992199" w:rsidRDefault="00651555" w:rsidP="003F0BC5">
      <w:pPr>
        <w:rPr>
          <w:szCs w:val="20"/>
        </w:rPr>
      </w:pPr>
      <w:r w:rsidRPr="00D61A9B">
        <w:rPr>
          <w:szCs w:val="20"/>
        </w:rPr>
        <w:t>The other operating expenses include mainly non-income taxes (property tax,</w:t>
      </w:r>
      <w:r>
        <w:rPr>
          <w:szCs w:val="20"/>
        </w:rPr>
        <w:t xml:space="preserve"> etc.</w:t>
      </w:r>
      <w:r w:rsidRPr="00D61A9B">
        <w:rPr>
          <w:szCs w:val="20"/>
        </w:rPr>
        <w:t>) and the loss on disposal of subsidiaries</w:t>
      </w:r>
      <w:r>
        <w:rPr>
          <w:szCs w:val="20"/>
        </w:rPr>
        <w:t>.</w:t>
      </w:r>
    </w:p>
    <w:p w:rsidR="003F0BC5" w:rsidRPr="00992199" w:rsidRDefault="003F0BC5" w:rsidP="00353B80">
      <w:pPr>
        <w:pStyle w:val="Firm5L4"/>
        <w:keepNext/>
      </w:pPr>
      <w:r w:rsidRPr="00992199">
        <w:t xml:space="preserve">Operating charges </w:t>
      </w:r>
      <w:r w:rsidR="00EA66F3">
        <w:t xml:space="preserve">of </w:t>
      </w:r>
      <w:r w:rsidR="00EA66F3" w:rsidRPr="00EA66F3">
        <w:t xml:space="preserve">the </w:t>
      </w:r>
      <w:r w:rsidR="00EA66F3">
        <w:t>financial year ended on 31 March 2014</w:t>
      </w:r>
      <w:r w:rsidRPr="00992199">
        <w:t xml:space="preserve"> versus </w:t>
      </w:r>
      <w:r w:rsidR="00EA66F3" w:rsidRPr="00EA66F3">
        <w:t xml:space="preserve">the </w:t>
      </w:r>
      <w:r w:rsidR="00EA66F3">
        <w:t>financial year ended on 31 March 201</w:t>
      </w:r>
      <w:r w:rsidRPr="00992199">
        <w:t>3:</w:t>
      </w:r>
    </w:p>
    <w:p w:rsidR="003F0BC5" w:rsidRPr="00992199" w:rsidRDefault="003F0BC5" w:rsidP="003F0BC5">
      <w:pPr>
        <w:rPr>
          <w:szCs w:val="20"/>
        </w:rPr>
      </w:pPr>
      <w:r w:rsidRPr="00992199">
        <w:rPr>
          <w:szCs w:val="20"/>
        </w:rPr>
        <w:t xml:space="preserve">The total operating charges increased with </w:t>
      </w:r>
      <w:r w:rsidR="00E53641">
        <w:rPr>
          <w:szCs w:val="20"/>
        </w:rPr>
        <w:t>EUR </w:t>
      </w:r>
      <w:r w:rsidRPr="00992199">
        <w:rPr>
          <w:szCs w:val="20"/>
        </w:rPr>
        <w:t>30,600,000, mainly due to the increase of the purchases of raw materials, consumables and goods for r</w:t>
      </w:r>
      <w:r w:rsidR="00651555">
        <w:rPr>
          <w:szCs w:val="20"/>
        </w:rPr>
        <w:t xml:space="preserve">esale for </w:t>
      </w:r>
      <w:r w:rsidR="00E53641">
        <w:rPr>
          <w:szCs w:val="20"/>
        </w:rPr>
        <w:t>EUR </w:t>
      </w:r>
      <w:r w:rsidR="00651555">
        <w:rPr>
          <w:szCs w:val="20"/>
        </w:rPr>
        <w:t>25,700,000. This r</w:t>
      </w:r>
      <w:r w:rsidRPr="00992199">
        <w:rPr>
          <w:szCs w:val="20"/>
        </w:rPr>
        <w:t xml:space="preserve">esults from an increased production volume compared to the previous </w:t>
      </w:r>
      <w:r w:rsidR="00C56728">
        <w:rPr>
          <w:szCs w:val="20"/>
        </w:rPr>
        <w:t>financial year</w:t>
      </w:r>
      <w:r w:rsidRPr="00992199">
        <w:rPr>
          <w:szCs w:val="20"/>
        </w:rPr>
        <w:t xml:space="preserve"> and from a price/ mix effect.</w:t>
      </w:r>
    </w:p>
    <w:p w:rsidR="003F0BC5" w:rsidRPr="00992199" w:rsidRDefault="003F0BC5" w:rsidP="003F0BC5">
      <w:pPr>
        <w:rPr>
          <w:szCs w:val="20"/>
        </w:rPr>
      </w:pPr>
      <w:r w:rsidRPr="00992199">
        <w:rPr>
          <w:szCs w:val="20"/>
        </w:rPr>
        <w:t xml:space="preserve">Within the heading ‘purchases raw materials, consumables and goods for resale’ there is a shift from purchases between ‘purchase of fresh vegetables, fruits, potatoes and ingredients’ and ‘purchases of frozen vegetables of external parties’. </w:t>
      </w:r>
      <w:r w:rsidR="00EA66F3">
        <w:rPr>
          <w:szCs w:val="20"/>
        </w:rPr>
        <w:t>Since</w:t>
      </w:r>
      <w:r w:rsidRPr="00992199">
        <w:rPr>
          <w:szCs w:val="20"/>
        </w:rPr>
        <w:t xml:space="preserve"> the acquisition of the CECAB real estate companies (August 2013), </w:t>
      </w:r>
      <w:r w:rsidR="005E6CD3" w:rsidRPr="005E6CD3">
        <w:rPr>
          <w:szCs w:val="20"/>
        </w:rPr>
        <w:t xml:space="preserve">the Greenyard Foods Group </w:t>
      </w:r>
      <w:r w:rsidR="00EA66F3">
        <w:rPr>
          <w:szCs w:val="20"/>
        </w:rPr>
        <w:t>has been financing</w:t>
      </w:r>
      <w:r w:rsidRPr="00992199">
        <w:rPr>
          <w:szCs w:val="20"/>
        </w:rPr>
        <w:t xml:space="preserve"> the working capital </w:t>
      </w:r>
      <w:r w:rsidR="00EA66F3">
        <w:rPr>
          <w:szCs w:val="20"/>
        </w:rPr>
        <w:t>relating to the CEBAB real estate companies itself</w:t>
      </w:r>
      <w:r w:rsidRPr="00992199">
        <w:rPr>
          <w:szCs w:val="20"/>
        </w:rPr>
        <w:t>.</w:t>
      </w:r>
    </w:p>
    <w:p w:rsidR="003F0BC5" w:rsidRPr="00992199" w:rsidRDefault="003F0BC5" w:rsidP="003F0BC5">
      <w:pPr>
        <w:rPr>
          <w:szCs w:val="20"/>
        </w:rPr>
      </w:pPr>
      <w:r w:rsidRPr="00992199">
        <w:rPr>
          <w:szCs w:val="20"/>
        </w:rPr>
        <w:t xml:space="preserve">The decrease of the rent charges compared to the previous </w:t>
      </w:r>
      <w:r w:rsidR="00C56728">
        <w:rPr>
          <w:szCs w:val="20"/>
        </w:rPr>
        <w:t>financial year</w:t>
      </w:r>
      <w:r w:rsidRPr="00992199">
        <w:rPr>
          <w:szCs w:val="20"/>
        </w:rPr>
        <w:t xml:space="preserve"> and the increase of the depreciation is due to the acquisition of the production facilities from CECAB and Noliko: rent charges were replaced by depreciation expenses during the last seven months of the </w:t>
      </w:r>
      <w:r w:rsidR="00C56728">
        <w:rPr>
          <w:szCs w:val="20"/>
        </w:rPr>
        <w:t>financial year</w:t>
      </w:r>
      <w:r w:rsidRPr="00992199">
        <w:rPr>
          <w:szCs w:val="20"/>
        </w:rPr>
        <w:t>.</w:t>
      </w:r>
    </w:p>
    <w:p w:rsidR="003F0BC5" w:rsidRPr="00992199" w:rsidRDefault="003F0BC5" w:rsidP="00353B80">
      <w:pPr>
        <w:pStyle w:val="Firm5L3"/>
        <w:keepNext/>
      </w:pPr>
      <w:r w:rsidRPr="00992199">
        <w:lastRenderedPageBreak/>
        <w:t>Operating result</w:t>
      </w:r>
    </w:p>
    <w:p w:rsidR="003F0BC5" w:rsidRPr="00992199" w:rsidRDefault="003F0BC5" w:rsidP="003F0BC5">
      <w:pPr>
        <w:rPr>
          <w:szCs w:val="20"/>
        </w:rPr>
      </w:pPr>
      <w:r w:rsidRPr="00992199">
        <w:rPr>
          <w:szCs w:val="20"/>
        </w:rPr>
        <w:t xml:space="preserve">In </w:t>
      </w:r>
      <w:r w:rsidR="00EA66F3">
        <w:rPr>
          <w:szCs w:val="20"/>
        </w:rPr>
        <w:t>the financial year ended on 31 March 2015</w:t>
      </w:r>
      <w:r w:rsidRPr="00992199">
        <w:rPr>
          <w:szCs w:val="20"/>
        </w:rPr>
        <w:t xml:space="preserve">, consolidated REBITDA grew by </w:t>
      </w:r>
      <w:r w:rsidR="00E53641">
        <w:rPr>
          <w:szCs w:val="20"/>
        </w:rPr>
        <w:t>EUR </w:t>
      </w:r>
      <w:r w:rsidRPr="00992199">
        <w:rPr>
          <w:szCs w:val="20"/>
        </w:rPr>
        <w:t xml:space="preserve">11,100,000 (+21.6%) compared to the previous year. </w:t>
      </w:r>
      <w:r w:rsidR="00E53641">
        <w:rPr>
          <w:szCs w:val="20"/>
        </w:rPr>
        <w:t>EUR </w:t>
      </w:r>
      <w:r w:rsidRPr="00992199">
        <w:rPr>
          <w:szCs w:val="20"/>
        </w:rPr>
        <w:t xml:space="preserve">5,900,000 of this increase is due to the commercial and operational results in both divisions following better operational efficiencies and a stronger focus on portfolio mix. Ending the rent of production facilities following their acquisition had an impact of </w:t>
      </w:r>
      <w:r w:rsidR="00E53641">
        <w:rPr>
          <w:szCs w:val="20"/>
        </w:rPr>
        <w:t>EUR </w:t>
      </w:r>
      <w:r w:rsidRPr="00992199">
        <w:rPr>
          <w:szCs w:val="20"/>
        </w:rPr>
        <w:t>5,200,000 on REBITDA.</w:t>
      </w:r>
    </w:p>
    <w:p w:rsidR="003F0BC5" w:rsidRPr="00992199" w:rsidRDefault="003F0BC5" w:rsidP="003F0BC5">
      <w:pPr>
        <w:rPr>
          <w:szCs w:val="20"/>
        </w:rPr>
      </w:pPr>
      <w:r w:rsidRPr="00992199">
        <w:rPr>
          <w:szCs w:val="20"/>
        </w:rPr>
        <w:t xml:space="preserve">Consolidated REBIT increased by </w:t>
      </w:r>
      <w:r w:rsidR="00E53641">
        <w:rPr>
          <w:szCs w:val="20"/>
        </w:rPr>
        <w:t>EUR </w:t>
      </w:r>
      <w:r w:rsidRPr="00992199">
        <w:rPr>
          <w:szCs w:val="20"/>
        </w:rPr>
        <w:t>4,300,000 year on year. This increase can be nearly entirely explained by the commercial and operational results both in the Frozen and Canning Division.</w:t>
      </w:r>
    </w:p>
    <w:p w:rsidR="003F0BC5" w:rsidRPr="00992199" w:rsidRDefault="003F0BC5" w:rsidP="003F0BC5">
      <w:pPr>
        <w:rPr>
          <w:szCs w:val="20"/>
        </w:rPr>
      </w:pPr>
      <w:r w:rsidRPr="00992199">
        <w:rPr>
          <w:szCs w:val="20"/>
        </w:rPr>
        <w:t xml:space="preserve">In </w:t>
      </w:r>
      <w:r w:rsidR="00EA66F3">
        <w:rPr>
          <w:szCs w:val="20"/>
        </w:rPr>
        <w:t>the financial year ended on 31 March 2014</w:t>
      </w:r>
      <w:r w:rsidRPr="00992199">
        <w:rPr>
          <w:szCs w:val="20"/>
        </w:rPr>
        <w:t xml:space="preserve">, the increase of the REBITDA by +18.2% (or </w:t>
      </w:r>
      <w:r w:rsidR="00E53641">
        <w:rPr>
          <w:szCs w:val="20"/>
        </w:rPr>
        <w:t>EUR </w:t>
      </w:r>
      <w:r w:rsidRPr="00992199">
        <w:rPr>
          <w:szCs w:val="20"/>
        </w:rPr>
        <w:t xml:space="preserve">7,900,000) compared to the previous </w:t>
      </w:r>
      <w:r w:rsidR="00C56728">
        <w:rPr>
          <w:szCs w:val="20"/>
        </w:rPr>
        <w:t>financial year</w:t>
      </w:r>
      <w:r w:rsidRPr="00992199">
        <w:rPr>
          <w:szCs w:val="20"/>
        </w:rPr>
        <w:t xml:space="preserve"> can be partly explained, +7.8% (or </w:t>
      </w:r>
      <w:r w:rsidR="00E53641">
        <w:rPr>
          <w:szCs w:val="20"/>
        </w:rPr>
        <w:t>EUR </w:t>
      </w:r>
      <w:r w:rsidRPr="00992199">
        <w:rPr>
          <w:szCs w:val="20"/>
        </w:rPr>
        <w:t xml:space="preserve">3,400,000), by the operational results including commercial results, both within the Frozen and Canning Division. In addition, ceasing the rent of production facilities following the acquisition of production facilities had an impact of +13.6% (or </w:t>
      </w:r>
      <w:r w:rsidR="00E53641">
        <w:rPr>
          <w:szCs w:val="20"/>
        </w:rPr>
        <w:t>EUR </w:t>
      </w:r>
      <w:r w:rsidRPr="00992199">
        <w:rPr>
          <w:szCs w:val="20"/>
        </w:rPr>
        <w:t xml:space="preserve">5,900,000) on the REBITDA and negative economies of scale of corporate charges have been absorbed by the continuing operations, following the deconsolidation of the potato division, in an amount of </w:t>
      </w:r>
      <w:r w:rsidR="00E53641">
        <w:rPr>
          <w:szCs w:val="20"/>
        </w:rPr>
        <w:t>EUR </w:t>
      </w:r>
      <w:r w:rsidRPr="00992199">
        <w:rPr>
          <w:szCs w:val="20"/>
        </w:rPr>
        <w:t>-1,400,000 (-3.2%).</w:t>
      </w:r>
    </w:p>
    <w:p w:rsidR="003F0BC5" w:rsidRPr="00992199" w:rsidRDefault="003F0BC5" w:rsidP="003F0BC5">
      <w:pPr>
        <w:rPr>
          <w:szCs w:val="20"/>
        </w:rPr>
      </w:pPr>
      <w:r w:rsidRPr="00992199">
        <w:rPr>
          <w:szCs w:val="20"/>
        </w:rPr>
        <w:t xml:space="preserve">Ceasing the rent of the acquired production facilities will have an impact of </w:t>
      </w:r>
      <w:r w:rsidR="00E53641">
        <w:rPr>
          <w:szCs w:val="20"/>
        </w:rPr>
        <w:t>EUR </w:t>
      </w:r>
      <w:r w:rsidRPr="00992199">
        <w:rPr>
          <w:szCs w:val="20"/>
        </w:rPr>
        <w:t xml:space="preserve">10,000,000 over an entire </w:t>
      </w:r>
      <w:r w:rsidR="00C56728">
        <w:rPr>
          <w:szCs w:val="20"/>
        </w:rPr>
        <w:t>financial year</w:t>
      </w:r>
      <w:r w:rsidRPr="00992199">
        <w:rPr>
          <w:szCs w:val="20"/>
        </w:rPr>
        <w:t>.</w:t>
      </w:r>
    </w:p>
    <w:p w:rsidR="003F0BC5" w:rsidRPr="00992199" w:rsidRDefault="003F0BC5" w:rsidP="003F0BC5">
      <w:pPr>
        <w:rPr>
          <w:szCs w:val="20"/>
        </w:rPr>
      </w:pPr>
      <w:r w:rsidRPr="00992199">
        <w:rPr>
          <w:szCs w:val="20"/>
        </w:rPr>
        <w:t xml:space="preserve">The REBIT increased by +13.8% (or </w:t>
      </w:r>
      <w:r w:rsidR="00E53641">
        <w:rPr>
          <w:szCs w:val="20"/>
        </w:rPr>
        <w:t>EUR </w:t>
      </w:r>
      <w:r w:rsidRPr="00992199">
        <w:rPr>
          <w:szCs w:val="20"/>
        </w:rPr>
        <w:t xml:space="preserve">3,100,000) compared to the previous </w:t>
      </w:r>
      <w:r w:rsidR="00C56728">
        <w:rPr>
          <w:szCs w:val="20"/>
        </w:rPr>
        <w:t>financial year</w:t>
      </w:r>
      <w:r w:rsidRPr="00992199">
        <w:rPr>
          <w:szCs w:val="20"/>
        </w:rPr>
        <w:t>. This increase can be nearly entirely explained by the operational results both within the Frozen and Canning Division.</w:t>
      </w:r>
    </w:p>
    <w:p w:rsidR="003F0BC5" w:rsidRPr="00992199" w:rsidRDefault="003F0BC5" w:rsidP="00353B80">
      <w:pPr>
        <w:pStyle w:val="Firm5L3"/>
        <w:keepNext/>
      </w:pPr>
      <w:r w:rsidRPr="00992199">
        <w:t xml:space="preserve">Non-recurring </w:t>
      </w:r>
      <w:r w:rsidR="008E5C3F">
        <w:t>items</w:t>
      </w:r>
    </w:p>
    <w:p w:rsidR="003F0BC5" w:rsidRPr="00992199" w:rsidRDefault="00651555" w:rsidP="00651555">
      <w:pPr>
        <w:rPr>
          <w:szCs w:val="20"/>
        </w:rPr>
      </w:pPr>
      <w:r w:rsidRPr="00E86DCF">
        <w:rPr>
          <w:szCs w:val="20"/>
        </w:rPr>
        <w:t xml:space="preserve">The non-recurring charges </w:t>
      </w:r>
      <w:r>
        <w:rPr>
          <w:szCs w:val="20"/>
        </w:rPr>
        <w:t xml:space="preserve">in the financial year ended on 31 March 2015 </w:t>
      </w:r>
      <w:r w:rsidRPr="00E86DCF">
        <w:rPr>
          <w:szCs w:val="20"/>
        </w:rPr>
        <w:t xml:space="preserve">amount to </w:t>
      </w:r>
      <w:r w:rsidR="00E53641">
        <w:rPr>
          <w:szCs w:val="20"/>
        </w:rPr>
        <w:t>EUR </w:t>
      </w:r>
      <w:r>
        <w:rPr>
          <w:szCs w:val="20"/>
        </w:rPr>
        <w:t>-</w:t>
      </w:r>
      <w:r w:rsidRPr="00E86DCF">
        <w:rPr>
          <w:szCs w:val="20"/>
        </w:rPr>
        <w:t>2</w:t>
      </w:r>
      <w:r>
        <w:rPr>
          <w:szCs w:val="20"/>
        </w:rPr>
        <w:t>,</w:t>
      </w:r>
      <w:r w:rsidRPr="00E86DCF">
        <w:rPr>
          <w:szCs w:val="20"/>
        </w:rPr>
        <w:t>8</w:t>
      </w:r>
      <w:r>
        <w:rPr>
          <w:szCs w:val="20"/>
        </w:rPr>
        <w:t>00,000</w:t>
      </w:r>
      <w:r w:rsidRPr="00E86DCF">
        <w:rPr>
          <w:szCs w:val="20"/>
        </w:rPr>
        <w:t xml:space="preserve">, of which </w:t>
      </w:r>
      <w:r w:rsidR="00E53641">
        <w:rPr>
          <w:szCs w:val="20"/>
        </w:rPr>
        <w:t>EUR </w:t>
      </w:r>
      <w:r>
        <w:rPr>
          <w:szCs w:val="20"/>
        </w:rPr>
        <w:t>-</w:t>
      </w:r>
      <w:r w:rsidRPr="00E86DCF">
        <w:rPr>
          <w:szCs w:val="20"/>
        </w:rPr>
        <w:t>1</w:t>
      </w:r>
      <w:r>
        <w:rPr>
          <w:szCs w:val="20"/>
        </w:rPr>
        <w:t>,</w:t>
      </w:r>
      <w:r w:rsidRPr="00E86DCF">
        <w:rPr>
          <w:szCs w:val="20"/>
        </w:rPr>
        <w:t>4</w:t>
      </w:r>
      <w:r>
        <w:rPr>
          <w:szCs w:val="20"/>
        </w:rPr>
        <w:t>00,000</w:t>
      </w:r>
      <w:r w:rsidRPr="00E86DCF">
        <w:rPr>
          <w:szCs w:val="20"/>
        </w:rPr>
        <w:t xml:space="preserve"> due to the deconsolidation of subsidiaries, more specifically for the activities in Germany (</w:t>
      </w:r>
      <w:r w:rsidR="00E53641">
        <w:rPr>
          <w:szCs w:val="20"/>
        </w:rPr>
        <w:t>EUR </w:t>
      </w:r>
      <w:r w:rsidRPr="00E86DCF">
        <w:rPr>
          <w:szCs w:val="20"/>
        </w:rPr>
        <w:t>+</w:t>
      </w:r>
      <w:r>
        <w:rPr>
          <w:szCs w:val="20"/>
        </w:rPr>
        <w:t>600,000</w:t>
      </w:r>
      <w:r w:rsidRPr="00E86DCF">
        <w:rPr>
          <w:szCs w:val="20"/>
        </w:rPr>
        <w:t>) and Pinguin Aquitaine (</w:t>
      </w:r>
      <w:r w:rsidR="00E53641">
        <w:rPr>
          <w:szCs w:val="20"/>
        </w:rPr>
        <w:t>EUR </w:t>
      </w:r>
      <w:r w:rsidRPr="00E86DCF">
        <w:rPr>
          <w:szCs w:val="20"/>
        </w:rPr>
        <w:t>2</w:t>
      </w:r>
      <w:r>
        <w:rPr>
          <w:szCs w:val="20"/>
        </w:rPr>
        <w:t>,00</w:t>
      </w:r>
      <w:r w:rsidRPr="00E86DCF">
        <w:rPr>
          <w:szCs w:val="20"/>
        </w:rPr>
        <w:t>0</w:t>
      </w:r>
      <w:r>
        <w:rPr>
          <w:szCs w:val="20"/>
        </w:rPr>
        <w:t>,000</w:t>
      </w:r>
      <w:r w:rsidRPr="00E86DCF">
        <w:rPr>
          <w:szCs w:val="20"/>
        </w:rPr>
        <w:t>).</w:t>
      </w:r>
      <w:r>
        <w:rPr>
          <w:szCs w:val="20"/>
        </w:rPr>
        <w:t xml:space="preserve"> </w:t>
      </w:r>
      <w:r w:rsidR="003F0BC5" w:rsidRPr="00992199">
        <w:rPr>
          <w:szCs w:val="20"/>
        </w:rPr>
        <w:t xml:space="preserve">The consolidated results of the previous year mainly included a </w:t>
      </w:r>
      <w:r w:rsidR="00E53641">
        <w:rPr>
          <w:szCs w:val="20"/>
        </w:rPr>
        <w:t>EUR </w:t>
      </w:r>
      <w:r w:rsidR="003F0BC5" w:rsidRPr="00992199">
        <w:rPr>
          <w:szCs w:val="20"/>
        </w:rPr>
        <w:t>65,300,000 gain realised on the sale of the potato division.</w:t>
      </w:r>
    </w:p>
    <w:p w:rsidR="003F0BC5" w:rsidRPr="00992199" w:rsidRDefault="003F0BC5" w:rsidP="003F0BC5">
      <w:pPr>
        <w:rPr>
          <w:szCs w:val="20"/>
        </w:rPr>
      </w:pPr>
      <w:r w:rsidRPr="00992199">
        <w:rPr>
          <w:szCs w:val="20"/>
        </w:rPr>
        <w:t xml:space="preserve">The non-recurring charges in </w:t>
      </w:r>
      <w:r w:rsidR="00EA66F3">
        <w:rPr>
          <w:szCs w:val="20"/>
        </w:rPr>
        <w:t>the financial year ended on 31 March 2014</w:t>
      </w:r>
      <w:r w:rsidRPr="00992199">
        <w:rPr>
          <w:szCs w:val="20"/>
        </w:rPr>
        <w:t xml:space="preserve"> amount to </w:t>
      </w:r>
      <w:r w:rsidR="00E53641">
        <w:rPr>
          <w:szCs w:val="20"/>
        </w:rPr>
        <w:t>EUR </w:t>
      </w:r>
      <w:r w:rsidRPr="00992199">
        <w:rPr>
          <w:szCs w:val="20"/>
        </w:rPr>
        <w:t xml:space="preserve">-4,900,000. These include an impairment loss on part of machinery within the Belgian subsidiaries in an amount of </w:t>
      </w:r>
      <w:r w:rsidR="00E53641">
        <w:rPr>
          <w:szCs w:val="20"/>
        </w:rPr>
        <w:t>EUR </w:t>
      </w:r>
      <w:r w:rsidRPr="00992199">
        <w:rPr>
          <w:szCs w:val="20"/>
        </w:rPr>
        <w:t xml:space="preserve">-3,400,000. The remaining amount consists mainly of impairment losses in subsidiaries. The consolidated results include net non-recurring income of </w:t>
      </w:r>
      <w:r w:rsidR="00E53641">
        <w:rPr>
          <w:szCs w:val="20"/>
        </w:rPr>
        <w:t>EUR </w:t>
      </w:r>
      <w:r w:rsidRPr="00992199">
        <w:rPr>
          <w:szCs w:val="20"/>
        </w:rPr>
        <w:t xml:space="preserve">60,400,000. These consist mainly of the gain realised on the sale of the potato division in an amount of </w:t>
      </w:r>
      <w:r w:rsidR="00E53641">
        <w:rPr>
          <w:szCs w:val="20"/>
        </w:rPr>
        <w:t>EUR </w:t>
      </w:r>
      <w:r w:rsidRPr="00992199">
        <w:rPr>
          <w:szCs w:val="20"/>
        </w:rPr>
        <w:t>65,300,000.</w:t>
      </w:r>
    </w:p>
    <w:p w:rsidR="003F0BC5" w:rsidRPr="00992199" w:rsidRDefault="003F0BC5" w:rsidP="00353B80">
      <w:pPr>
        <w:pStyle w:val="Firm5L3"/>
        <w:keepNext/>
      </w:pPr>
      <w:r w:rsidRPr="00992199">
        <w:t xml:space="preserve">Financial </w:t>
      </w:r>
      <w:r w:rsidR="0009790F">
        <w:t>income / expense</w:t>
      </w:r>
    </w:p>
    <w:p w:rsidR="00B45F40" w:rsidRPr="00992199" w:rsidRDefault="00B45F40" w:rsidP="00B45F40">
      <w:pPr>
        <w:rPr>
          <w:szCs w:val="20"/>
        </w:rPr>
      </w:pPr>
      <w:r w:rsidRPr="00992199">
        <w:rPr>
          <w:szCs w:val="20"/>
        </w:rPr>
        <w:t xml:space="preserve">In </w:t>
      </w:r>
      <w:r>
        <w:rPr>
          <w:szCs w:val="20"/>
        </w:rPr>
        <w:t>the financial year ended on 31 March 2015</w:t>
      </w:r>
      <w:r w:rsidRPr="00992199">
        <w:rPr>
          <w:szCs w:val="20"/>
        </w:rPr>
        <w:t xml:space="preserve">, the consolidated net financial result improved by </w:t>
      </w:r>
      <w:r w:rsidR="00E53641">
        <w:rPr>
          <w:szCs w:val="20"/>
        </w:rPr>
        <w:t>EUR </w:t>
      </w:r>
      <w:r w:rsidRPr="00992199">
        <w:rPr>
          <w:szCs w:val="20"/>
        </w:rPr>
        <w:t xml:space="preserve">9,800,000 from </w:t>
      </w:r>
      <w:r w:rsidR="00E53641">
        <w:rPr>
          <w:szCs w:val="20"/>
        </w:rPr>
        <w:t>EUR </w:t>
      </w:r>
      <w:r>
        <w:rPr>
          <w:szCs w:val="20"/>
        </w:rPr>
        <w:t>-</w:t>
      </w:r>
      <w:r w:rsidRPr="00992199">
        <w:rPr>
          <w:szCs w:val="20"/>
        </w:rPr>
        <w:t xml:space="preserve">16,700,000 to </w:t>
      </w:r>
      <w:r w:rsidR="00E53641">
        <w:rPr>
          <w:szCs w:val="20"/>
        </w:rPr>
        <w:t>EUR </w:t>
      </w:r>
      <w:r>
        <w:rPr>
          <w:szCs w:val="20"/>
        </w:rPr>
        <w:t>-</w:t>
      </w:r>
      <w:r w:rsidRPr="00992199">
        <w:rPr>
          <w:szCs w:val="20"/>
        </w:rPr>
        <w:t xml:space="preserve">6,900,000. This can be mainly explained by unrealised positive exchange results (mainly on GBP) of </w:t>
      </w:r>
      <w:r w:rsidR="00E53641">
        <w:rPr>
          <w:szCs w:val="20"/>
        </w:rPr>
        <w:t>EUR </w:t>
      </w:r>
      <w:r w:rsidRPr="00992199">
        <w:rPr>
          <w:szCs w:val="20"/>
        </w:rPr>
        <w:t>9,500,000.</w:t>
      </w:r>
    </w:p>
    <w:p w:rsidR="003F0BC5" w:rsidRPr="00992199" w:rsidRDefault="003F0BC5" w:rsidP="003F0BC5">
      <w:pPr>
        <w:rPr>
          <w:szCs w:val="20"/>
        </w:rPr>
      </w:pPr>
      <w:r w:rsidRPr="00992199">
        <w:rPr>
          <w:szCs w:val="20"/>
        </w:rPr>
        <w:t xml:space="preserve">In </w:t>
      </w:r>
      <w:r w:rsidR="00EA66F3">
        <w:rPr>
          <w:szCs w:val="20"/>
        </w:rPr>
        <w:t>the financial year ended on 31 March 2014</w:t>
      </w:r>
      <w:r w:rsidRPr="00992199">
        <w:rPr>
          <w:szCs w:val="20"/>
        </w:rPr>
        <w:t xml:space="preserve">, the improvement of the net financial result amounts to </w:t>
      </w:r>
      <w:r w:rsidR="00E53641">
        <w:rPr>
          <w:szCs w:val="20"/>
        </w:rPr>
        <w:t>EUR </w:t>
      </w:r>
      <w:r w:rsidRPr="00992199">
        <w:rPr>
          <w:szCs w:val="20"/>
        </w:rPr>
        <w:t>2,700,000 (</w:t>
      </w:r>
      <w:r w:rsidR="00E53641">
        <w:rPr>
          <w:szCs w:val="20"/>
        </w:rPr>
        <w:t>EUR </w:t>
      </w:r>
      <w:r w:rsidRPr="00992199">
        <w:rPr>
          <w:szCs w:val="20"/>
        </w:rPr>
        <w:t xml:space="preserve">-16,700,000 compared to </w:t>
      </w:r>
      <w:r w:rsidR="00E53641">
        <w:rPr>
          <w:szCs w:val="20"/>
        </w:rPr>
        <w:t>EUR </w:t>
      </w:r>
      <w:r w:rsidRPr="00992199">
        <w:rPr>
          <w:szCs w:val="20"/>
        </w:rPr>
        <w:t xml:space="preserve">-19,400,000). This can be mainly explained by the decrease of the interest charges on average lower financial debts. The recurring financial result improved by </w:t>
      </w:r>
      <w:r w:rsidR="00E53641">
        <w:rPr>
          <w:szCs w:val="20"/>
        </w:rPr>
        <w:t>EUR </w:t>
      </w:r>
      <w:r w:rsidRPr="00992199">
        <w:rPr>
          <w:szCs w:val="20"/>
        </w:rPr>
        <w:t xml:space="preserve">4,800,000 compared to the previous </w:t>
      </w:r>
      <w:r w:rsidR="00C56728">
        <w:rPr>
          <w:szCs w:val="20"/>
        </w:rPr>
        <w:t>financial year</w:t>
      </w:r>
      <w:r w:rsidRPr="00992199">
        <w:rPr>
          <w:szCs w:val="20"/>
        </w:rPr>
        <w:t xml:space="preserve">. In addition the financial result includes non-recurring charges (charges of the club deal financing which were previously capitalised) in an amount of </w:t>
      </w:r>
      <w:r w:rsidR="00E53641">
        <w:rPr>
          <w:szCs w:val="20"/>
        </w:rPr>
        <w:t>EUR </w:t>
      </w:r>
      <w:r w:rsidRPr="00992199">
        <w:rPr>
          <w:szCs w:val="20"/>
        </w:rPr>
        <w:t>-2,100,000 that were taken into charges at the repayment of the club deal financing.</w:t>
      </w:r>
    </w:p>
    <w:p w:rsidR="003F0BC5" w:rsidRPr="00992199" w:rsidRDefault="0009790F" w:rsidP="00353B80">
      <w:pPr>
        <w:pStyle w:val="Firm5L3"/>
        <w:keepNext/>
      </w:pPr>
      <w:r>
        <w:t>Income tax income / expense</w:t>
      </w:r>
    </w:p>
    <w:p w:rsidR="00B45F40" w:rsidRPr="00992199" w:rsidRDefault="00B45F40" w:rsidP="00B45F40">
      <w:pPr>
        <w:rPr>
          <w:szCs w:val="20"/>
        </w:rPr>
      </w:pPr>
      <w:r w:rsidRPr="00992199">
        <w:rPr>
          <w:szCs w:val="20"/>
        </w:rPr>
        <w:t xml:space="preserve">The consolidated tax cost over </w:t>
      </w:r>
      <w:r w:rsidRPr="00EA66F3">
        <w:rPr>
          <w:szCs w:val="20"/>
        </w:rPr>
        <w:t xml:space="preserve">the </w:t>
      </w:r>
      <w:r>
        <w:rPr>
          <w:szCs w:val="20"/>
        </w:rPr>
        <w:t xml:space="preserve">financial year ended </w:t>
      </w:r>
      <w:r w:rsidRPr="00EA66F3">
        <w:rPr>
          <w:szCs w:val="20"/>
        </w:rPr>
        <w:t>on 31 March 2015</w:t>
      </w:r>
      <w:r>
        <w:rPr>
          <w:szCs w:val="20"/>
        </w:rPr>
        <w:t xml:space="preserve"> </w:t>
      </w:r>
      <w:r w:rsidRPr="00992199">
        <w:rPr>
          <w:szCs w:val="20"/>
        </w:rPr>
        <w:t xml:space="preserve">amounts to </w:t>
      </w:r>
      <w:r w:rsidR="00E53641">
        <w:rPr>
          <w:szCs w:val="20"/>
        </w:rPr>
        <w:t>EUR </w:t>
      </w:r>
      <w:r>
        <w:rPr>
          <w:szCs w:val="20"/>
        </w:rPr>
        <w:t>-</w:t>
      </w:r>
      <w:r w:rsidRPr="00992199">
        <w:rPr>
          <w:szCs w:val="20"/>
        </w:rPr>
        <w:t xml:space="preserve">9,900,000 or a tax rate of 47.9%. This consists of </w:t>
      </w:r>
      <w:r w:rsidR="00E53641">
        <w:rPr>
          <w:szCs w:val="20"/>
        </w:rPr>
        <w:t>EUR </w:t>
      </w:r>
      <w:r>
        <w:rPr>
          <w:szCs w:val="20"/>
        </w:rPr>
        <w:t>-</w:t>
      </w:r>
      <w:r w:rsidRPr="00992199">
        <w:rPr>
          <w:szCs w:val="20"/>
        </w:rPr>
        <w:t xml:space="preserve">9,100,000 income taxes and </w:t>
      </w:r>
      <w:r w:rsidR="00E53641">
        <w:rPr>
          <w:szCs w:val="20"/>
        </w:rPr>
        <w:t>EUR </w:t>
      </w:r>
      <w:r>
        <w:rPr>
          <w:szCs w:val="20"/>
        </w:rPr>
        <w:t>-</w:t>
      </w:r>
      <w:r w:rsidRPr="00992199">
        <w:rPr>
          <w:szCs w:val="20"/>
        </w:rPr>
        <w:t>800,000 deferred taxes without cash impact. The tax rate of 47.9% is mainly caused by profits that cannot be offset against tax losses carried forward.</w:t>
      </w:r>
    </w:p>
    <w:p w:rsidR="00B45F40" w:rsidRDefault="00B45F40" w:rsidP="00B45F40">
      <w:pPr>
        <w:rPr>
          <w:szCs w:val="20"/>
        </w:rPr>
      </w:pPr>
      <w:r w:rsidRPr="00992199">
        <w:rPr>
          <w:szCs w:val="20"/>
        </w:rPr>
        <w:t xml:space="preserve">The total tax effect on the result in </w:t>
      </w:r>
      <w:r>
        <w:rPr>
          <w:szCs w:val="20"/>
        </w:rPr>
        <w:t>the financial year ended on 31 March 2014</w:t>
      </w:r>
      <w:r w:rsidRPr="00992199">
        <w:rPr>
          <w:szCs w:val="20"/>
        </w:rPr>
        <w:t xml:space="preserve"> amounted to </w:t>
      </w:r>
      <w:r w:rsidR="00E53641">
        <w:rPr>
          <w:szCs w:val="20"/>
        </w:rPr>
        <w:t>EUR </w:t>
      </w:r>
      <w:r w:rsidRPr="00992199">
        <w:rPr>
          <w:szCs w:val="20"/>
        </w:rPr>
        <w:t xml:space="preserve">-7,500,000. During </w:t>
      </w:r>
      <w:r w:rsidRPr="00C56728">
        <w:rPr>
          <w:szCs w:val="20"/>
        </w:rPr>
        <w:t>financial year</w:t>
      </w:r>
      <w:r w:rsidRPr="00992199">
        <w:rPr>
          <w:szCs w:val="20"/>
        </w:rPr>
        <w:t xml:space="preserve"> </w:t>
      </w:r>
      <w:r>
        <w:rPr>
          <w:szCs w:val="20"/>
        </w:rPr>
        <w:t xml:space="preserve">ended 31 March 2014 </w:t>
      </w:r>
      <w:r w:rsidRPr="00992199">
        <w:rPr>
          <w:szCs w:val="20"/>
        </w:rPr>
        <w:t>no additional deferred tax assets have been recognised on tax losses carried forward.</w:t>
      </w:r>
    </w:p>
    <w:p w:rsidR="0009790F" w:rsidRDefault="0009790F" w:rsidP="00353B80">
      <w:pPr>
        <w:pStyle w:val="Firm5L3"/>
        <w:keepNext/>
      </w:pPr>
      <w:r>
        <w:t>Net profit for the period</w:t>
      </w:r>
    </w:p>
    <w:p w:rsidR="0009790F" w:rsidRPr="00992199" w:rsidRDefault="0009790F" w:rsidP="0009790F">
      <w:r w:rsidRPr="00992199">
        <w:t xml:space="preserve">The profit for the period for </w:t>
      </w:r>
      <w:r w:rsidR="00C8137D">
        <w:t>the financial year ended</w:t>
      </w:r>
      <w:r w:rsidRPr="00992199">
        <w:t xml:space="preserve"> 31 </w:t>
      </w:r>
      <w:r>
        <w:t>March</w:t>
      </w:r>
      <w:r w:rsidRPr="00992199">
        <w:t xml:space="preserve"> 201</w:t>
      </w:r>
      <w:r>
        <w:t>5</w:t>
      </w:r>
      <w:r w:rsidRPr="00992199">
        <w:t xml:space="preserve"> amounts to </w:t>
      </w:r>
      <w:r w:rsidR="00E53641">
        <w:t>EUR </w:t>
      </w:r>
      <w:r>
        <w:t>10,800,000 showing a decrease</w:t>
      </w:r>
      <w:r w:rsidRPr="00992199">
        <w:t xml:space="preserve"> of </w:t>
      </w:r>
      <w:r w:rsidR="00E53641">
        <w:t>EUR </w:t>
      </w:r>
      <w:r w:rsidR="008E5C3F">
        <w:t>51,000,000</w:t>
      </w:r>
      <w:r w:rsidR="008E5C3F" w:rsidRPr="008E5C3F">
        <w:t xml:space="preserve"> </w:t>
      </w:r>
      <w:r w:rsidRPr="00992199">
        <w:t xml:space="preserve">or </w:t>
      </w:r>
      <w:r w:rsidR="008E5C3F">
        <w:t>82.5</w:t>
      </w:r>
      <w:r w:rsidRPr="00992199">
        <w:t xml:space="preserve">%, to </w:t>
      </w:r>
      <w:r w:rsidR="00E53641">
        <w:t>EUR </w:t>
      </w:r>
      <w:r>
        <w:t>61</w:t>
      </w:r>
      <w:r w:rsidRPr="00992199">
        <w:t>,</w:t>
      </w:r>
      <w:r>
        <w:t>8</w:t>
      </w:r>
      <w:r w:rsidRPr="00992199">
        <w:t>00,000. This being the result of the elements as explained above.</w:t>
      </w:r>
    </w:p>
    <w:p w:rsidR="003F0BC5" w:rsidRPr="00992199" w:rsidRDefault="003F0BC5" w:rsidP="00353B80">
      <w:pPr>
        <w:pStyle w:val="Firm5L2"/>
        <w:keepNext/>
      </w:pPr>
      <w:bookmarkStart w:id="70" w:name="_Toc420593883"/>
      <w:r w:rsidRPr="00992199">
        <w:lastRenderedPageBreak/>
        <w:t>Liquidity and capital resources</w:t>
      </w:r>
      <w:bookmarkEnd w:id="70"/>
    </w:p>
    <w:p w:rsidR="003F0BC5" w:rsidRPr="00992199" w:rsidRDefault="005E6CD3" w:rsidP="003F0BC5">
      <w:pPr>
        <w:rPr>
          <w:szCs w:val="20"/>
        </w:rPr>
      </w:pPr>
      <w:r w:rsidRPr="005E6CD3">
        <w:rPr>
          <w:szCs w:val="20"/>
        </w:rPr>
        <w:t>The Greenyard Foods Group</w:t>
      </w:r>
      <w:r w:rsidR="003F0BC5" w:rsidRPr="00992199">
        <w:rPr>
          <w:szCs w:val="20"/>
        </w:rPr>
        <w:t>’s primary sources of liquidity are and are expected to be primary the cash flows from operations, the draw downs under the factoring agreements, the borrowings under the revolving facility agreement and the outstanding bonds.</w:t>
      </w:r>
    </w:p>
    <w:p w:rsidR="003F0BC5" w:rsidRPr="00992199" w:rsidRDefault="003F0BC5" w:rsidP="003F0BC5">
      <w:pPr>
        <w:rPr>
          <w:szCs w:val="20"/>
        </w:rPr>
      </w:pPr>
      <w:r w:rsidRPr="00992199">
        <w:rPr>
          <w:szCs w:val="20"/>
        </w:rPr>
        <w:t xml:space="preserve">As per 31 March 2015, the net financial debt is </w:t>
      </w:r>
      <w:r w:rsidR="00E53641">
        <w:rPr>
          <w:szCs w:val="20"/>
        </w:rPr>
        <w:t>EUR </w:t>
      </w:r>
      <w:r w:rsidRPr="00992199">
        <w:rPr>
          <w:szCs w:val="20"/>
        </w:rPr>
        <w:t>235,0</w:t>
      </w:r>
      <w:r w:rsidR="00A07615">
        <w:rPr>
          <w:szCs w:val="20"/>
        </w:rPr>
        <w:t>0</w:t>
      </w:r>
      <w:r w:rsidRPr="00992199">
        <w:rPr>
          <w:szCs w:val="20"/>
        </w:rPr>
        <w:t xml:space="preserve">0,000 and </w:t>
      </w:r>
      <w:r w:rsidR="002A1AB1">
        <w:rPr>
          <w:szCs w:val="20"/>
        </w:rPr>
        <w:t>Greenyard Foods</w:t>
      </w:r>
      <w:r w:rsidRPr="00992199">
        <w:rPr>
          <w:szCs w:val="20"/>
        </w:rPr>
        <w:t>’s net financial debt to equity ratio was 1.06.</w:t>
      </w:r>
    </w:p>
    <w:p w:rsidR="0039015B" w:rsidRDefault="0039015B" w:rsidP="00353B80">
      <w:pPr>
        <w:pStyle w:val="Firm5L3"/>
        <w:keepNext/>
      </w:pPr>
      <w:r>
        <w:t>Liquidity</w:t>
      </w:r>
    </w:p>
    <w:p w:rsidR="003F0BC5" w:rsidRPr="0039015B" w:rsidRDefault="003F0BC5" w:rsidP="0039015B">
      <w:pPr>
        <w:pStyle w:val="BulletsL1"/>
        <w:numPr>
          <w:ilvl w:val="0"/>
          <w:numId w:val="0"/>
        </w:numPr>
        <w:ind w:left="720" w:hanging="720"/>
        <w:rPr>
          <w:b/>
        </w:rPr>
      </w:pPr>
      <w:r w:rsidRPr="0039015B">
        <w:rPr>
          <w:b/>
        </w:rPr>
        <w:t>Cash flow</w:t>
      </w:r>
    </w:p>
    <w:p w:rsidR="003F0BC5" w:rsidRPr="00992199" w:rsidRDefault="003F0BC5" w:rsidP="003F0BC5">
      <w:pPr>
        <w:rPr>
          <w:szCs w:val="20"/>
        </w:rPr>
      </w:pPr>
      <w:r w:rsidRPr="00992199">
        <w:rPr>
          <w:szCs w:val="20"/>
        </w:rPr>
        <w:t xml:space="preserve">The following table sets forth </w:t>
      </w:r>
      <w:r w:rsidR="002A1AB1">
        <w:rPr>
          <w:szCs w:val="20"/>
        </w:rPr>
        <w:t>Greenyard Foods</w:t>
      </w:r>
      <w:r w:rsidRPr="00992199">
        <w:rPr>
          <w:szCs w:val="20"/>
        </w:rPr>
        <w:t xml:space="preserve">’s cash flows from continuing operations for </w:t>
      </w:r>
      <w:r w:rsidR="00C8137D">
        <w:rPr>
          <w:szCs w:val="20"/>
        </w:rPr>
        <w:t>the financial years ended</w:t>
      </w:r>
      <w:r w:rsidRPr="00992199">
        <w:rPr>
          <w:szCs w:val="20"/>
        </w:rPr>
        <w:t xml:space="preserve"> 31 March 2015, 2014 and 2013:</w:t>
      </w:r>
    </w:p>
    <w:tbl>
      <w:tblPr>
        <w:tblW w:w="5103" w:type="pct"/>
        <w:tblLook w:val="0000" w:firstRow="0" w:lastRow="0" w:firstColumn="0" w:lastColumn="0" w:noHBand="0" w:noVBand="0"/>
      </w:tblPr>
      <w:tblGrid>
        <w:gridCol w:w="5384"/>
        <w:gridCol w:w="1585"/>
        <w:gridCol w:w="1217"/>
        <w:gridCol w:w="1249"/>
      </w:tblGrid>
      <w:tr w:rsidR="00B45F40" w:rsidRPr="00E53641" w:rsidTr="00E53641">
        <w:tc>
          <w:tcPr>
            <w:tcW w:w="2853" w:type="pct"/>
            <w:vAlign w:val="center"/>
          </w:tcPr>
          <w:p w:rsidR="00B45F40" w:rsidRPr="00E53641" w:rsidRDefault="00B45F40" w:rsidP="00E53641">
            <w:pPr>
              <w:pStyle w:val="NormalWeb"/>
              <w:keepNext/>
              <w:spacing w:before="0" w:after="0"/>
              <w:ind w:left="240" w:hanging="240"/>
              <w:jc w:val="left"/>
              <w:rPr>
                <w:bCs/>
                <w:i/>
                <w:sz w:val="18"/>
                <w:szCs w:val="18"/>
              </w:rPr>
            </w:pPr>
            <w:r w:rsidRPr="00E53641">
              <w:rPr>
                <w:bCs/>
                <w:i/>
                <w:sz w:val="18"/>
                <w:szCs w:val="18"/>
              </w:rPr>
              <w:t>(</w:t>
            </w:r>
            <w:r w:rsidR="00E53641" w:rsidRPr="00E53641">
              <w:rPr>
                <w:bCs/>
                <w:i/>
                <w:sz w:val="18"/>
                <w:szCs w:val="18"/>
              </w:rPr>
              <w:t>EUR </w:t>
            </w:r>
            <w:r w:rsidRPr="00E53641">
              <w:rPr>
                <w:bCs/>
                <w:i/>
                <w:sz w:val="18"/>
                <w:szCs w:val="18"/>
              </w:rPr>
              <w:t>in millions)</w:t>
            </w:r>
          </w:p>
        </w:tc>
        <w:tc>
          <w:tcPr>
            <w:tcW w:w="840" w:type="pct"/>
            <w:vAlign w:val="bottom"/>
          </w:tcPr>
          <w:p w:rsidR="00B45F40" w:rsidRPr="00E53641" w:rsidRDefault="00B45F40" w:rsidP="00E53641">
            <w:pPr>
              <w:pBdr>
                <w:bottom w:val="single" w:sz="4" w:space="1" w:color="auto"/>
              </w:pBdr>
              <w:spacing w:before="0" w:after="0"/>
              <w:ind w:left="368" w:hanging="227"/>
              <w:jc w:val="center"/>
              <w:rPr>
                <w:sz w:val="18"/>
                <w:szCs w:val="18"/>
              </w:rPr>
            </w:pPr>
            <w:r w:rsidRPr="00E53641">
              <w:rPr>
                <w:b/>
                <w:bCs/>
                <w:sz w:val="18"/>
                <w:szCs w:val="18"/>
              </w:rPr>
              <w:t xml:space="preserve">Year ended </w:t>
            </w:r>
            <w:r w:rsidRPr="00E53641">
              <w:rPr>
                <w:b/>
                <w:bCs/>
                <w:sz w:val="18"/>
                <w:szCs w:val="18"/>
              </w:rPr>
              <w:br/>
              <w:t>31 March 2015</w:t>
            </w:r>
          </w:p>
        </w:tc>
        <w:tc>
          <w:tcPr>
            <w:tcW w:w="645" w:type="pct"/>
          </w:tcPr>
          <w:p w:rsidR="00B45F40" w:rsidRPr="00E53641" w:rsidRDefault="00B45F40" w:rsidP="00E53641">
            <w:pPr>
              <w:pBdr>
                <w:bottom w:val="single" w:sz="4" w:space="1" w:color="auto"/>
              </w:pBdr>
              <w:spacing w:before="0" w:after="0"/>
              <w:jc w:val="center"/>
              <w:rPr>
                <w:b/>
                <w:bCs/>
                <w:sz w:val="18"/>
                <w:szCs w:val="18"/>
              </w:rPr>
            </w:pPr>
            <w:r w:rsidRPr="00E53641">
              <w:rPr>
                <w:b/>
                <w:bCs/>
                <w:sz w:val="18"/>
                <w:szCs w:val="18"/>
              </w:rPr>
              <w:t>Year ended 31 March 2014</w:t>
            </w:r>
          </w:p>
        </w:tc>
        <w:tc>
          <w:tcPr>
            <w:tcW w:w="662" w:type="pct"/>
            <w:vAlign w:val="bottom"/>
          </w:tcPr>
          <w:p w:rsidR="00B45F40" w:rsidRPr="00E53641" w:rsidRDefault="00B45F40" w:rsidP="00E53641">
            <w:pPr>
              <w:pBdr>
                <w:bottom w:val="single" w:sz="4" w:space="1" w:color="auto"/>
              </w:pBdr>
              <w:spacing w:before="0" w:after="0"/>
              <w:jc w:val="center"/>
              <w:rPr>
                <w:sz w:val="18"/>
                <w:szCs w:val="18"/>
              </w:rPr>
            </w:pPr>
            <w:r w:rsidRPr="00E53641">
              <w:rPr>
                <w:b/>
                <w:bCs/>
                <w:sz w:val="18"/>
                <w:szCs w:val="18"/>
              </w:rPr>
              <w:t>Year ended 31 March</w:t>
            </w:r>
            <w:r w:rsidRPr="00E53641">
              <w:rPr>
                <w:b/>
                <w:bCs/>
                <w:sz w:val="18"/>
                <w:szCs w:val="18"/>
              </w:rPr>
              <w:br/>
              <w:t>2013</w:t>
            </w:r>
          </w:p>
        </w:tc>
      </w:tr>
      <w:tr w:rsidR="00B45F40" w:rsidRPr="00E53641" w:rsidTr="00E53641">
        <w:trPr>
          <w:trHeight w:val="332"/>
        </w:trPr>
        <w:tc>
          <w:tcPr>
            <w:tcW w:w="2853" w:type="pct"/>
          </w:tcPr>
          <w:p w:rsidR="00B45F40" w:rsidRPr="00E53641" w:rsidRDefault="00B45F40" w:rsidP="00E53641">
            <w:pPr>
              <w:pStyle w:val="NormalWeb"/>
              <w:keepNext/>
              <w:spacing w:before="0" w:after="0"/>
              <w:rPr>
                <w:b/>
                <w:bCs/>
                <w:sz w:val="18"/>
                <w:szCs w:val="18"/>
              </w:rPr>
            </w:pPr>
            <w:r w:rsidRPr="00E53641">
              <w:rPr>
                <w:b/>
                <w:bCs/>
                <w:sz w:val="18"/>
                <w:szCs w:val="18"/>
              </w:rPr>
              <w:t>Summary Consolidated Statement of Cash flows</w:t>
            </w:r>
          </w:p>
        </w:tc>
        <w:tc>
          <w:tcPr>
            <w:tcW w:w="840" w:type="pct"/>
          </w:tcPr>
          <w:p w:rsidR="00B45F40" w:rsidRPr="00E53641" w:rsidRDefault="00B45F40" w:rsidP="00E53641">
            <w:pPr>
              <w:pStyle w:val="la24"/>
              <w:spacing w:before="0" w:after="0"/>
              <w:jc w:val="right"/>
              <w:rPr>
                <w:noProof w:val="0"/>
                <w:sz w:val="18"/>
                <w:szCs w:val="18"/>
                <w:lang w:val="en-GB"/>
              </w:rPr>
            </w:pPr>
            <w:r w:rsidRPr="00E53641">
              <w:rPr>
                <w:noProof w:val="0"/>
                <w:sz w:val="18"/>
                <w:szCs w:val="18"/>
                <w:lang w:val="en-GB"/>
              </w:rPr>
              <w:t> </w:t>
            </w:r>
          </w:p>
        </w:tc>
        <w:tc>
          <w:tcPr>
            <w:tcW w:w="645" w:type="pct"/>
          </w:tcPr>
          <w:p w:rsidR="00B45F40" w:rsidRPr="00E53641" w:rsidRDefault="00B45F40" w:rsidP="00E53641">
            <w:pPr>
              <w:pStyle w:val="la24"/>
              <w:spacing w:before="0" w:after="0"/>
              <w:jc w:val="right"/>
              <w:rPr>
                <w:noProof w:val="0"/>
                <w:sz w:val="18"/>
                <w:szCs w:val="18"/>
                <w:lang w:val="en-GB"/>
              </w:rPr>
            </w:pPr>
          </w:p>
        </w:tc>
        <w:tc>
          <w:tcPr>
            <w:tcW w:w="662" w:type="pct"/>
          </w:tcPr>
          <w:p w:rsidR="00B45F40" w:rsidRPr="00E53641" w:rsidRDefault="00B45F40" w:rsidP="00E53641">
            <w:pPr>
              <w:pStyle w:val="la24"/>
              <w:spacing w:before="0" w:after="0"/>
              <w:jc w:val="right"/>
              <w:rPr>
                <w:noProof w:val="0"/>
                <w:sz w:val="18"/>
                <w:szCs w:val="18"/>
                <w:lang w:val="en-GB"/>
              </w:rPr>
            </w:pPr>
            <w:r w:rsidRPr="00E53641">
              <w:rPr>
                <w:noProof w:val="0"/>
                <w:sz w:val="18"/>
                <w:szCs w:val="18"/>
                <w:lang w:val="en-GB"/>
              </w:rPr>
              <w:t> </w:t>
            </w:r>
          </w:p>
        </w:tc>
      </w:tr>
      <w:tr w:rsidR="00B45F40" w:rsidRPr="00E53641" w:rsidTr="00E53641">
        <w:tc>
          <w:tcPr>
            <w:tcW w:w="2853" w:type="pct"/>
          </w:tcPr>
          <w:p w:rsidR="00B45F40" w:rsidRPr="00E53641" w:rsidRDefault="00B45F40" w:rsidP="00E53641">
            <w:pPr>
              <w:pStyle w:val="NormalWeb"/>
              <w:keepNext/>
              <w:tabs>
                <w:tab w:val="right" w:leader="dot" w:pos="5160"/>
              </w:tabs>
              <w:spacing w:before="0" w:after="0"/>
              <w:ind w:left="240" w:hanging="240"/>
              <w:rPr>
                <w:sz w:val="18"/>
                <w:szCs w:val="18"/>
              </w:rPr>
            </w:pPr>
            <w:r w:rsidRPr="00E53641">
              <w:rPr>
                <w:sz w:val="18"/>
                <w:szCs w:val="18"/>
              </w:rPr>
              <w:t>Cash flow from operating activities</w:t>
            </w:r>
            <w:r w:rsidRPr="00E53641">
              <w:rPr>
                <w:sz w:val="18"/>
                <w:szCs w:val="18"/>
              </w:rPr>
              <w:tab/>
            </w:r>
          </w:p>
        </w:tc>
        <w:tc>
          <w:tcPr>
            <w:tcW w:w="840" w:type="pct"/>
            <w:noWrap/>
          </w:tcPr>
          <w:p w:rsidR="00B45F40" w:rsidRPr="00E53641" w:rsidRDefault="00B45F40" w:rsidP="00E53641">
            <w:pPr>
              <w:pStyle w:val="NormalWeb"/>
              <w:tabs>
                <w:tab w:val="right" w:pos="720"/>
                <w:tab w:val="decimal" w:pos="760"/>
              </w:tabs>
              <w:spacing w:before="0" w:after="0"/>
              <w:jc w:val="right"/>
              <w:rPr>
                <w:bCs/>
                <w:sz w:val="18"/>
                <w:szCs w:val="18"/>
              </w:rPr>
            </w:pPr>
            <w:r w:rsidRPr="00E53641">
              <w:rPr>
                <w:bCs/>
                <w:sz w:val="18"/>
                <w:szCs w:val="18"/>
              </w:rPr>
              <w:t>54.8</w:t>
            </w:r>
          </w:p>
        </w:tc>
        <w:tc>
          <w:tcPr>
            <w:tcW w:w="645" w:type="pct"/>
          </w:tcPr>
          <w:p w:rsidR="00B45F40" w:rsidRPr="00E53641" w:rsidRDefault="00B45F40" w:rsidP="00E53641">
            <w:pPr>
              <w:pStyle w:val="NormalWeb"/>
              <w:tabs>
                <w:tab w:val="right" w:pos="720"/>
                <w:tab w:val="decimal" w:pos="760"/>
              </w:tabs>
              <w:spacing w:before="0" w:after="0"/>
              <w:jc w:val="right"/>
              <w:rPr>
                <w:bCs/>
                <w:sz w:val="18"/>
                <w:szCs w:val="18"/>
              </w:rPr>
            </w:pPr>
            <w:r w:rsidRPr="00E53641">
              <w:rPr>
                <w:bCs/>
                <w:sz w:val="18"/>
                <w:szCs w:val="18"/>
              </w:rPr>
              <w:t>44.1</w:t>
            </w:r>
          </w:p>
        </w:tc>
        <w:tc>
          <w:tcPr>
            <w:tcW w:w="662" w:type="pct"/>
            <w:noWrap/>
          </w:tcPr>
          <w:p w:rsidR="00B45F40" w:rsidRPr="00E53641" w:rsidRDefault="00B45F40" w:rsidP="00E53641">
            <w:pPr>
              <w:pStyle w:val="NormalWeb"/>
              <w:tabs>
                <w:tab w:val="right" w:pos="720"/>
                <w:tab w:val="decimal" w:pos="760"/>
              </w:tabs>
              <w:spacing w:before="0" w:after="0"/>
              <w:jc w:val="right"/>
              <w:rPr>
                <w:sz w:val="18"/>
                <w:szCs w:val="18"/>
              </w:rPr>
            </w:pPr>
            <w:r w:rsidRPr="00E53641">
              <w:rPr>
                <w:sz w:val="18"/>
                <w:szCs w:val="18"/>
              </w:rPr>
              <w:t>39.7</w:t>
            </w:r>
          </w:p>
        </w:tc>
      </w:tr>
      <w:tr w:rsidR="00B45F40" w:rsidRPr="00E53641" w:rsidTr="00E53641">
        <w:trPr>
          <w:trHeight w:val="267"/>
        </w:trPr>
        <w:tc>
          <w:tcPr>
            <w:tcW w:w="2853" w:type="pct"/>
          </w:tcPr>
          <w:p w:rsidR="00B45F40" w:rsidRPr="00E53641" w:rsidRDefault="00B45F40" w:rsidP="00E53641">
            <w:pPr>
              <w:pStyle w:val="NormalWeb"/>
              <w:keepNext/>
              <w:tabs>
                <w:tab w:val="right" w:leader="dot" w:pos="5160"/>
              </w:tabs>
              <w:spacing w:before="0" w:after="0"/>
              <w:ind w:left="240" w:hanging="240"/>
              <w:rPr>
                <w:sz w:val="18"/>
                <w:szCs w:val="18"/>
              </w:rPr>
            </w:pPr>
            <w:r w:rsidRPr="00E53641">
              <w:rPr>
                <w:sz w:val="18"/>
                <w:szCs w:val="18"/>
              </w:rPr>
              <w:t>Increase in working capital (-)/ decrease in working capital (+)</w:t>
            </w:r>
            <w:r w:rsidRPr="00E53641">
              <w:rPr>
                <w:sz w:val="18"/>
                <w:szCs w:val="18"/>
              </w:rPr>
              <w:tab/>
            </w:r>
          </w:p>
          <w:p w:rsidR="00B45F40" w:rsidRPr="00E53641" w:rsidRDefault="00B45F40" w:rsidP="00E53641">
            <w:pPr>
              <w:pStyle w:val="la24"/>
              <w:spacing w:before="0" w:after="0"/>
              <w:rPr>
                <w:sz w:val="18"/>
                <w:szCs w:val="18"/>
              </w:rPr>
            </w:pPr>
            <w:r w:rsidRPr="00E53641">
              <w:rPr>
                <w:noProof w:val="0"/>
                <w:sz w:val="18"/>
                <w:szCs w:val="18"/>
                <w:lang w:val="en-GB"/>
              </w:rPr>
              <w:t> </w:t>
            </w:r>
          </w:p>
        </w:tc>
        <w:tc>
          <w:tcPr>
            <w:tcW w:w="840" w:type="pct"/>
            <w:noWrap/>
          </w:tcPr>
          <w:p w:rsidR="00B45F40" w:rsidRPr="00E53641" w:rsidRDefault="00B45F40" w:rsidP="00E53641">
            <w:pPr>
              <w:pStyle w:val="NormalWeb"/>
              <w:pBdr>
                <w:bottom w:val="single" w:sz="4" w:space="1" w:color="auto"/>
              </w:pBdr>
              <w:tabs>
                <w:tab w:val="right" w:pos="720"/>
                <w:tab w:val="decimal" w:pos="760"/>
              </w:tabs>
              <w:spacing w:before="0" w:after="0"/>
              <w:jc w:val="right"/>
              <w:rPr>
                <w:sz w:val="18"/>
                <w:szCs w:val="18"/>
              </w:rPr>
            </w:pPr>
            <w:r w:rsidRPr="00E53641">
              <w:rPr>
                <w:sz w:val="18"/>
                <w:szCs w:val="18"/>
              </w:rPr>
              <w:t>2.6</w:t>
            </w:r>
          </w:p>
        </w:tc>
        <w:tc>
          <w:tcPr>
            <w:tcW w:w="645" w:type="pct"/>
          </w:tcPr>
          <w:p w:rsidR="00B45F40" w:rsidRPr="00E53641" w:rsidRDefault="00B45F40" w:rsidP="00E53641">
            <w:pPr>
              <w:pStyle w:val="NormalWeb"/>
              <w:pBdr>
                <w:bottom w:val="single" w:sz="4" w:space="1" w:color="auto"/>
              </w:pBdr>
              <w:tabs>
                <w:tab w:val="right" w:pos="720"/>
                <w:tab w:val="decimal" w:pos="760"/>
              </w:tabs>
              <w:spacing w:before="0" w:after="0"/>
              <w:jc w:val="right"/>
              <w:rPr>
                <w:sz w:val="18"/>
                <w:szCs w:val="18"/>
              </w:rPr>
            </w:pPr>
            <w:r w:rsidRPr="00E53641">
              <w:rPr>
                <w:sz w:val="18"/>
                <w:szCs w:val="18"/>
              </w:rPr>
              <w:t>(57.7)</w:t>
            </w:r>
          </w:p>
        </w:tc>
        <w:tc>
          <w:tcPr>
            <w:tcW w:w="662" w:type="pct"/>
            <w:noWrap/>
          </w:tcPr>
          <w:p w:rsidR="00B45F40" w:rsidRPr="00E53641" w:rsidRDefault="00B45F40" w:rsidP="00E53641">
            <w:pPr>
              <w:pStyle w:val="NormalWeb"/>
              <w:pBdr>
                <w:bottom w:val="single" w:sz="4" w:space="1" w:color="auto"/>
              </w:pBdr>
              <w:tabs>
                <w:tab w:val="right" w:pos="720"/>
                <w:tab w:val="decimal" w:pos="760"/>
              </w:tabs>
              <w:spacing w:before="0" w:after="0"/>
              <w:jc w:val="right"/>
              <w:rPr>
                <w:sz w:val="18"/>
                <w:szCs w:val="18"/>
              </w:rPr>
            </w:pPr>
            <w:r w:rsidRPr="00E53641">
              <w:rPr>
                <w:sz w:val="18"/>
                <w:szCs w:val="18"/>
              </w:rPr>
              <w:t>1.8</w:t>
            </w:r>
          </w:p>
        </w:tc>
      </w:tr>
      <w:tr w:rsidR="00B45F40" w:rsidRPr="00E53641" w:rsidTr="00E53641">
        <w:tc>
          <w:tcPr>
            <w:tcW w:w="2853" w:type="pct"/>
          </w:tcPr>
          <w:p w:rsidR="00B45F40" w:rsidRPr="00E53641" w:rsidRDefault="00B45F40" w:rsidP="00E53641">
            <w:pPr>
              <w:pStyle w:val="NormalWeb"/>
              <w:keepNext/>
              <w:tabs>
                <w:tab w:val="right" w:leader="dot" w:pos="5160"/>
              </w:tabs>
              <w:spacing w:before="0" w:after="0"/>
              <w:ind w:left="240" w:hanging="240"/>
              <w:rPr>
                <w:b/>
                <w:sz w:val="18"/>
                <w:szCs w:val="18"/>
              </w:rPr>
            </w:pPr>
            <w:r w:rsidRPr="00E53641">
              <w:rPr>
                <w:b/>
                <w:sz w:val="18"/>
                <w:szCs w:val="18"/>
              </w:rPr>
              <w:t>= Net cash flow from operating activities</w:t>
            </w:r>
            <w:r w:rsidRPr="00E53641">
              <w:rPr>
                <w:b/>
                <w:bCs/>
                <w:sz w:val="18"/>
                <w:szCs w:val="18"/>
              </w:rPr>
              <w:tab/>
            </w:r>
          </w:p>
        </w:tc>
        <w:tc>
          <w:tcPr>
            <w:tcW w:w="840" w:type="pct"/>
            <w:noWrap/>
          </w:tcPr>
          <w:p w:rsidR="00B45F40" w:rsidRPr="00E53641" w:rsidRDefault="00B45F40" w:rsidP="00E53641">
            <w:pPr>
              <w:pStyle w:val="NormalWeb"/>
              <w:tabs>
                <w:tab w:val="right" w:pos="720"/>
                <w:tab w:val="decimal" w:pos="760"/>
              </w:tabs>
              <w:spacing w:before="0" w:after="0"/>
              <w:jc w:val="right"/>
              <w:rPr>
                <w:b/>
                <w:sz w:val="18"/>
                <w:szCs w:val="18"/>
              </w:rPr>
            </w:pPr>
            <w:r w:rsidRPr="00E53641">
              <w:rPr>
                <w:b/>
                <w:sz w:val="18"/>
                <w:szCs w:val="18"/>
              </w:rPr>
              <w:t>57.4</w:t>
            </w:r>
          </w:p>
        </w:tc>
        <w:tc>
          <w:tcPr>
            <w:tcW w:w="645" w:type="pct"/>
          </w:tcPr>
          <w:p w:rsidR="00B45F40" w:rsidRPr="00E53641" w:rsidRDefault="00B45F40" w:rsidP="00E53641">
            <w:pPr>
              <w:pStyle w:val="NormalWeb"/>
              <w:tabs>
                <w:tab w:val="right" w:pos="720"/>
                <w:tab w:val="decimal" w:pos="760"/>
              </w:tabs>
              <w:spacing w:before="0" w:after="0"/>
              <w:jc w:val="right"/>
              <w:rPr>
                <w:b/>
                <w:bCs/>
                <w:sz w:val="18"/>
                <w:szCs w:val="18"/>
              </w:rPr>
            </w:pPr>
            <w:r w:rsidRPr="00E53641">
              <w:rPr>
                <w:b/>
                <w:bCs/>
                <w:sz w:val="18"/>
                <w:szCs w:val="18"/>
              </w:rPr>
              <w:t>(13.6)</w:t>
            </w:r>
          </w:p>
        </w:tc>
        <w:tc>
          <w:tcPr>
            <w:tcW w:w="662" w:type="pct"/>
            <w:noWrap/>
          </w:tcPr>
          <w:p w:rsidR="00B45F40" w:rsidRPr="00E53641" w:rsidRDefault="00B45F40" w:rsidP="00E53641">
            <w:pPr>
              <w:pStyle w:val="NormalWeb"/>
              <w:tabs>
                <w:tab w:val="right" w:pos="720"/>
                <w:tab w:val="decimal" w:pos="760"/>
              </w:tabs>
              <w:spacing w:before="0" w:after="0"/>
              <w:jc w:val="right"/>
              <w:rPr>
                <w:b/>
                <w:sz w:val="18"/>
                <w:szCs w:val="18"/>
              </w:rPr>
            </w:pPr>
            <w:r w:rsidRPr="00E53641">
              <w:rPr>
                <w:b/>
                <w:sz w:val="18"/>
                <w:szCs w:val="18"/>
              </w:rPr>
              <w:t>41.5</w:t>
            </w:r>
          </w:p>
        </w:tc>
      </w:tr>
      <w:tr w:rsidR="00B45F40" w:rsidRPr="00E53641" w:rsidTr="00E53641">
        <w:tc>
          <w:tcPr>
            <w:tcW w:w="2853" w:type="pct"/>
          </w:tcPr>
          <w:p w:rsidR="00B45F40" w:rsidRPr="00E53641" w:rsidRDefault="00B45F40" w:rsidP="00E53641">
            <w:pPr>
              <w:pStyle w:val="NormalWeb"/>
              <w:keepNext/>
              <w:tabs>
                <w:tab w:val="right" w:leader="dot" w:pos="5160"/>
              </w:tabs>
              <w:spacing w:before="0" w:after="0"/>
              <w:ind w:left="240" w:hanging="240"/>
              <w:rPr>
                <w:sz w:val="18"/>
                <w:szCs w:val="18"/>
              </w:rPr>
            </w:pPr>
            <w:r w:rsidRPr="00E53641">
              <w:rPr>
                <w:sz w:val="18"/>
                <w:szCs w:val="18"/>
              </w:rPr>
              <w:t>Cash flow from investing activities</w:t>
            </w:r>
            <w:r w:rsidRPr="00E53641">
              <w:rPr>
                <w:sz w:val="18"/>
                <w:szCs w:val="18"/>
              </w:rPr>
              <w:tab/>
            </w:r>
          </w:p>
        </w:tc>
        <w:tc>
          <w:tcPr>
            <w:tcW w:w="840" w:type="pct"/>
            <w:noWrap/>
          </w:tcPr>
          <w:p w:rsidR="00B45F40" w:rsidRPr="00E53641" w:rsidRDefault="00B45F40" w:rsidP="00E53641">
            <w:pPr>
              <w:pStyle w:val="NormalWeb"/>
              <w:tabs>
                <w:tab w:val="right" w:pos="720"/>
                <w:tab w:val="decimal" w:pos="760"/>
              </w:tabs>
              <w:spacing w:before="0" w:after="0"/>
              <w:jc w:val="right"/>
              <w:rPr>
                <w:sz w:val="18"/>
                <w:szCs w:val="18"/>
              </w:rPr>
            </w:pPr>
            <w:r w:rsidRPr="00E53641">
              <w:rPr>
                <w:sz w:val="18"/>
                <w:szCs w:val="18"/>
              </w:rPr>
              <w:t>(48.4)</w:t>
            </w:r>
          </w:p>
        </w:tc>
        <w:tc>
          <w:tcPr>
            <w:tcW w:w="645" w:type="pct"/>
          </w:tcPr>
          <w:p w:rsidR="00B45F40" w:rsidRPr="00E53641" w:rsidRDefault="00B45F40" w:rsidP="00E53641">
            <w:pPr>
              <w:pStyle w:val="NormalWeb"/>
              <w:tabs>
                <w:tab w:val="right" w:pos="720"/>
                <w:tab w:val="decimal" w:pos="760"/>
              </w:tabs>
              <w:spacing w:before="0" w:after="0"/>
              <w:jc w:val="right"/>
              <w:rPr>
                <w:sz w:val="18"/>
                <w:szCs w:val="18"/>
              </w:rPr>
            </w:pPr>
            <w:r w:rsidRPr="00E53641">
              <w:rPr>
                <w:sz w:val="18"/>
                <w:szCs w:val="18"/>
              </w:rPr>
              <w:t>62.1</w:t>
            </w:r>
          </w:p>
        </w:tc>
        <w:tc>
          <w:tcPr>
            <w:tcW w:w="662" w:type="pct"/>
            <w:noWrap/>
          </w:tcPr>
          <w:p w:rsidR="00B45F40" w:rsidRPr="00E53641" w:rsidRDefault="00B45F40" w:rsidP="00E53641">
            <w:pPr>
              <w:pStyle w:val="NormalWeb"/>
              <w:tabs>
                <w:tab w:val="right" w:pos="720"/>
                <w:tab w:val="decimal" w:pos="760"/>
              </w:tabs>
              <w:spacing w:before="0" w:after="0"/>
              <w:jc w:val="right"/>
              <w:rPr>
                <w:sz w:val="18"/>
                <w:szCs w:val="18"/>
              </w:rPr>
            </w:pPr>
            <w:r w:rsidRPr="00E53641">
              <w:rPr>
                <w:sz w:val="18"/>
                <w:szCs w:val="18"/>
              </w:rPr>
              <w:t>(20.9)</w:t>
            </w:r>
          </w:p>
        </w:tc>
      </w:tr>
      <w:tr w:rsidR="00B45F40" w:rsidRPr="00E53641" w:rsidTr="00E53641">
        <w:tc>
          <w:tcPr>
            <w:tcW w:w="2853" w:type="pct"/>
          </w:tcPr>
          <w:p w:rsidR="00B45F40" w:rsidRPr="00E53641" w:rsidRDefault="00B45F40" w:rsidP="00E53641">
            <w:pPr>
              <w:pStyle w:val="NormalWeb"/>
              <w:keepNext/>
              <w:tabs>
                <w:tab w:val="right" w:leader="dot" w:pos="5160"/>
              </w:tabs>
              <w:spacing w:before="0" w:after="0"/>
              <w:ind w:left="240" w:hanging="240"/>
              <w:rPr>
                <w:sz w:val="18"/>
                <w:szCs w:val="18"/>
              </w:rPr>
            </w:pPr>
            <w:r w:rsidRPr="00E53641">
              <w:rPr>
                <w:sz w:val="18"/>
                <w:szCs w:val="18"/>
              </w:rPr>
              <w:t>Cash flow from financing activities</w:t>
            </w:r>
            <w:r w:rsidRPr="00E53641">
              <w:rPr>
                <w:sz w:val="18"/>
                <w:szCs w:val="18"/>
              </w:rPr>
              <w:tab/>
            </w:r>
          </w:p>
        </w:tc>
        <w:tc>
          <w:tcPr>
            <w:tcW w:w="840" w:type="pct"/>
            <w:noWrap/>
          </w:tcPr>
          <w:p w:rsidR="00B45F40" w:rsidRPr="00E53641" w:rsidRDefault="00B45F40" w:rsidP="00E53641">
            <w:pPr>
              <w:pStyle w:val="NormalWeb"/>
              <w:tabs>
                <w:tab w:val="right" w:pos="720"/>
                <w:tab w:val="decimal" w:pos="760"/>
              </w:tabs>
              <w:spacing w:before="0" w:after="0"/>
              <w:jc w:val="right"/>
              <w:rPr>
                <w:sz w:val="18"/>
                <w:szCs w:val="18"/>
              </w:rPr>
            </w:pPr>
            <w:r w:rsidRPr="00E53641">
              <w:rPr>
                <w:sz w:val="18"/>
                <w:szCs w:val="18"/>
              </w:rPr>
              <w:t>(0.9)</w:t>
            </w:r>
          </w:p>
        </w:tc>
        <w:tc>
          <w:tcPr>
            <w:tcW w:w="645" w:type="pct"/>
          </w:tcPr>
          <w:p w:rsidR="00B45F40" w:rsidRPr="00E53641" w:rsidRDefault="00B45F40" w:rsidP="00E53641">
            <w:pPr>
              <w:pStyle w:val="NormalWeb"/>
              <w:tabs>
                <w:tab w:val="right" w:pos="720"/>
                <w:tab w:val="decimal" w:pos="760"/>
              </w:tabs>
              <w:spacing w:before="0" w:after="0"/>
              <w:jc w:val="right"/>
              <w:rPr>
                <w:sz w:val="18"/>
                <w:szCs w:val="18"/>
              </w:rPr>
            </w:pPr>
            <w:r w:rsidRPr="00E53641">
              <w:rPr>
                <w:sz w:val="18"/>
                <w:szCs w:val="18"/>
              </w:rPr>
              <w:t>(54.7)</w:t>
            </w:r>
          </w:p>
        </w:tc>
        <w:tc>
          <w:tcPr>
            <w:tcW w:w="662" w:type="pct"/>
            <w:noWrap/>
          </w:tcPr>
          <w:p w:rsidR="00B45F40" w:rsidRPr="00E53641" w:rsidRDefault="00B45F40" w:rsidP="00E53641">
            <w:pPr>
              <w:pStyle w:val="NormalWeb"/>
              <w:tabs>
                <w:tab w:val="right" w:pos="720"/>
                <w:tab w:val="decimal" w:pos="760"/>
              </w:tabs>
              <w:spacing w:before="0" w:after="0"/>
              <w:jc w:val="right"/>
              <w:rPr>
                <w:sz w:val="18"/>
                <w:szCs w:val="18"/>
              </w:rPr>
            </w:pPr>
            <w:r w:rsidRPr="00E53641">
              <w:rPr>
                <w:sz w:val="18"/>
                <w:szCs w:val="18"/>
              </w:rPr>
              <w:t>(14.3)</w:t>
            </w:r>
          </w:p>
        </w:tc>
      </w:tr>
      <w:tr w:rsidR="00B45F40" w:rsidRPr="00E53641" w:rsidTr="00E53641">
        <w:tc>
          <w:tcPr>
            <w:tcW w:w="2853" w:type="pct"/>
          </w:tcPr>
          <w:p w:rsidR="00B45F40" w:rsidRPr="00E53641" w:rsidRDefault="00B45F40" w:rsidP="00E53641">
            <w:pPr>
              <w:pStyle w:val="NormalWeb"/>
              <w:keepNext/>
              <w:tabs>
                <w:tab w:val="right" w:leader="dot" w:pos="5160"/>
              </w:tabs>
              <w:spacing w:before="0" w:after="0"/>
              <w:ind w:left="240" w:hanging="240"/>
              <w:rPr>
                <w:sz w:val="18"/>
                <w:szCs w:val="18"/>
              </w:rPr>
            </w:pPr>
            <w:r w:rsidRPr="00E53641">
              <w:rPr>
                <w:sz w:val="18"/>
                <w:szCs w:val="18"/>
              </w:rPr>
              <w:t>Effect of exchange rate fluctuation</w:t>
            </w:r>
            <w:r w:rsidRPr="00E53641">
              <w:rPr>
                <w:sz w:val="18"/>
                <w:szCs w:val="18"/>
              </w:rPr>
              <w:tab/>
            </w:r>
          </w:p>
        </w:tc>
        <w:tc>
          <w:tcPr>
            <w:tcW w:w="840" w:type="pct"/>
            <w:noWrap/>
          </w:tcPr>
          <w:p w:rsidR="00B45F40" w:rsidRPr="00E53641" w:rsidRDefault="00B45F40" w:rsidP="00E53641">
            <w:pPr>
              <w:pStyle w:val="NormalWeb"/>
              <w:pBdr>
                <w:bottom w:val="single" w:sz="4" w:space="1" w:color="auto"/>
              </w:pBdr>
              <w:tabs>
                <w:tab w:val="right" w:pos="720"/>
                <w:tab w:val="decimal" w:pos="760"/>
              </w:tabs>
              <w:spacing w:before="0" w:after="0"/>
              <w:jc w:val="right"/>
              <w:rPr>
                <w:sz w:val="18"/>
                <w:szCs w:val="18"/>
              </w:rPr>
            </w:pPr>
            <w:r w:rsidRPr="00E53641">
              <w:rPr>
                <w:sz w:val="18"/>
                <w:szCs w:val="18"/>
              </w:rPr>
              <w:t>(2.6)</w:t>
            </w:r>
          </w:p>
        </w:tc>
        <w:tc>
          <w:tcPr>
            <w:tcW w:w="645" w:type="pct"/>
          </w:tcPr>
          <w:p w:rsidR="00B45F40" w:rsidRPr="00E53641" w:rsidRDefault="00B45F40" w:rsidP="00E53641">
            <w:pPr>
              <w:pStyle w:val="NormalWeb"/>
              <w:pBdr>
                <w:bottom w:val="single" w:sz="4" w:space="1" w:color="auto"/>
              </w:pBdr>
              <w:tabs>
                <w:tab w:val="right" w:pos="720"/>
                <w:tab w:val="decimal" w:pos="760"/>
              </w:tabs>
              <w:spacing w:before="0" w:after="0"/>
              <w:jc w:val="right"/>
              <w:rPr>
                <w:sz w:val="18"/>
                <w:szCs w:val="18"/>
              </w:rPr>
            </w:pPr>
            <w:r w:rsidRPr="00E53641">
              <w:rPr>
                <w:sz w:val="18"/>
                <w:szCs w:val="18"/>
              </w:rPr>
              <w:t>(0.6)</w:t>
            </w:r>
          </w:p>
        </w:tc>
        <w:tc>
          <w:tcPr>
            <w:tcW w:w="662" w:type="pct"/>
            <w:noWrap/>
          </w:tcPr>
          <w:p w:rsidR="00B45F40" w:rsidRPr="00E53641" w:rsidRDefault="00B45F40" w:rsidP="00E53641">
            <w:pPr>
              <w:pStyle w:val="NormalWeb"/>
              <w:pBdr>
                <w:bottom w:val="single" w:sz="4" w:space="1" w:color="auto"/>
              </w:pBdr>
              <w:tabs>
                <w:tab w:val="right" w:pos="720"/>
                <w:tab w:val="decimal" w:pos="760"/>
              </w:tabs>
              <w:spacing w:before="0" w:after="0"/>
              <w:jc w:val="right"/>
              <w:rPr>
                <w:sz w:val="18"/>
                <w:szCs w:val="18"/>
              </w:rPr>
            </w:pPr>
            <w:r w:rsidRPr="00E53641">
              <w:rPr>
                <w:sz w:val="18"/>
                <w:szCs w:val="18"/>
              </w:rPr>
              <w:t>(0.1)</w:t>
            </w:r>
          </w:p>
        </w:tc>
      </w:tr>
      <w:tr w:rsidR="00B45F40" w:rsidRPr="00E53641" w:rsidTr="00E53641">
        <w:tc>
          <w:tcPr>
            <w:tcW w:w="2853" w:type="pct"/>
          </w:tcPr>
          <w:p w:rsidR="00B45F40" w:rsidRPr="00E53641" w:rsidRDefault="00B45F40" w:rsidP="00E53641">
            <w:pPr>
              <w:pStyle w:val="NormalWeb"/>
              <w:keepNext/>
              <w:tabs>
                <w:tab w:val="right" w:leader="dot" w:pos="5160"/>
              </w:tabs>
              <w:spacing w:before="0" w:after="0"/>
              <w:ind w:left="240" w:hanging="240"/>
              <w:rPr>
                <w:b/>
                <w:sz w:val="18"/>
                <w:szCs w:val="18"/>
              </w:rPr>
            </w:pPr>
            <w:r w:rsidRPr="00E53641">
              <w:rPr>
                <w:b/>
                <w:sz w:val="18"/>
                <w:szCs w:val="18"/>
              </w:rPr>
              <w:t>= Free cash flow</w:t>
            </w:r>
            <w:r w:rsidRPr="00E53641">
              <w:rPr>
                <w:b/>
                <w:sz w:val="18"/>
                <w:szCs w:val="18"/>
              </w:rPr>
              <w:tab/>
            </w:r>
          </w:p>
        </w:tc>
        <w:tc>
          <w:tcPr>
            <w:tcW w:w="840" w:type="pct"/>
            <w:noWrap/>
          </w:tcPr>
          <w:p w:rsidR="00B45F40" w:rsidRPr="00E53641" w:rsidRDefault="00B45F40" w:rsidP="00E53641">
            <w:pPr>
              <w:pStyle w:val="NormalWeb"/>
              <w:pBdr>
                <w:bottom w:val="single" w:sz="4" w:space="1" w:color="auto"/>
              </w:pBdr>
              <w:tabs>
                <w:tab w:val="right" w:pos="720"/>
                <w:tab w:val="decimal" w:pos="760"/>
              </w:tabs>
              <w:spacing w:before="0" w:after="0"/>
              <w:jc w:val="right"/>
              <w:rPr>
                <w:b/>
                <w:sz w:val="18"/>
                <w:szCs w:val="18"/>
              </w:rPr>
            </w:pPr>
            <w:r w:rsidRPr="00E53641">
              <w:rPr>
                <w:b/>
                <w:sz w:val="18"/>
                <w:szCs w:val="18"/>
              </w:rPr>
              <w:t>5.5</w:t>
            </w:r>
          </w:p>
        </w:tc>
        <w:tc>
          <w:tcPr>
            <w:tcW w:w="645" w:type="pct"/>
          </w:tcPr>
          <w:p w:rsidR="00B45F40" w:rsidRPr="00E53641" w:rsidRDefault="00B45F40" w:rsidP="00E53641">
            <w:pPr>
              <w:pStyle w:val="NormalWeb"/>
              <w:pBdr>
                <w:bottom w:val="single" w:sz="4" w:space="1" w:color="auto"/>
              </w:pBdr>
              <w:tabs>
                <w:tab w:val="right" w:pos="720"/>
                <w:tab w:val="decimal" w:pos="760"/>
              </w:tabs>
              <w:spacing w:before="0" w:after="0"/>
              <w:jc w:val="right"/>
              <w:rPr>
                <w:b/>
                <w:sz w:val="18"/>
                <w:szCs w:val="18"/>
              </w:rPr>
            </w:pPr>
            <w:r w:rsidRPr="00E53641">
              <w:rPr>
                <w:b/>
                <w:sz w:val="18"/>
                <w:szCs w:val="18"/>
              </w:rPr>
              <w:t>(6.8)</w:t>
            </w:r>
          </w:p>
        </w:tc>
        <w:tc>
          <w:tcPr>
            <w:tcW w:w="662" w:type="pct"/>
            <w:noWrap/>
          </w:tcPr>
          <w:p w:rsidR="00B45F40" w:rsidRPr="00E53641" w:rsidRDefault="00B45F40" w:rsidP="00E53641">
            <w:pPr>
              <w:pStyle w:val="NormalWeb"/>
              <w:pBdr>
                <w:bottom w:val="single" w:sz="4" w:space="1" w:color="auto"/>
              </w:pBdr>
              <w:tabs>
                <w:tab w:val="right" w:pos="720"/>
                <w:tab w:val="decimal" w:pos="760"/>
              </w:tabs>
              <w:spacing w:before="0" w:after="0"/>
              <w:jc w:val="right"/>
              <w:rPr>
                <w:b/>
                <w:sz w:val="18"/>
                <w:szCs w:val="18"/>
              </w:rPr>
            </w:pPr>
            <w:r w:rsidRPr="00E53641">
              <w:rPr>
                <w:b/>
                <w:sz w:val="18"/>
                <w:szCs w:val="18"/>
              </w:rPr>
              <w:t>6.2</w:t>
            </w:r>
          </w:p>
        </w:tc>
      </w:tr>
      <w:tr w:rsidR="00B45F40" w:rsidRPr="00E53641" w:rsidTr="00E53641">
        <w:tc>
          <w:tcPr>
            <w:tcW w:w="2853" w:type="pct"/>
          </w:tcPr>
          <w:p w:rsidR="00B45F40" w:rsidRPr="00E53641" w:rsidRDefault="00B45F40" w:rsidP="00E53641">
            <w:pPr>
              <w:pStyle w:val="NormalWeb"/>
              <w:keepNext/>
              <w:tabs>
                <w:tab w:val="right" w:leader="dot" w:pos="5160"/>
              </w:tabs>
              <w:spacing w:before="0" w:after="0"/>
              <w:ind w:left="240" w:hanging="240"/>
              <w:rPr>
                <w:b/>
                <w:sz w:val="18"/>
                <w:szCs w:val="18"/>
              </w:rPr>
            </w:pPr>
            <w:r w:rsidRPr="00E53641">
              <w:rPr>
                <w:b/>
                <w:sz w:val="18"/>
                <w:szCs w:val="18"/>
              </w:rPr>
              <w:t>Cash and cash equivalents, opening balance</w:t>
            </w:r>
            <w:r w:rsidRPr="00E53641">
              <w:rPr>
                <w:sz w:val="18"/>
                <w:szCs w:val="18"/>
              </w:rPr>
              <w:tab/>
            </w:r>
          </w:p>
        </w:tc>
        <w:tc>
          <w:tcPr>
            <w:tcW w:w="840" w:type="pct"/>
            <w:noWrap/>
          </w:tcPr>
          <w:p w:rsidR="00B45F40" w:rsidRPr="00E53641" w:rsidRDefault="00B45F40" w:rsidP="00E53641">
            <w:pPr>
              <w:pStyle w:val="NormalWeb"/>
              <w:tabs>
                <w:tab w:val="right" w:pos="720"/>
                <w:tab w:val="decimal" w:pos="760"/>
              </w:tabs>
              <w:spacing w:before="0" w:after="0"/>
              <w:jc w:val="right"/>
              <w:rPr>
                <w:b/>
                <w:sz w:val="18"/>
                <w:szCs w:val="18"/>
              </w:rPr>
            </w:pPr>
            <w:r w:rsidRPr="00E53641">
              <w:rPr>
                <w:b/>
                <w:sz w:val="18"/>
                <w:szCs w:val="18"/>
              </w:rPr>
              <w:t>15.0</w:t>
            </w:r>
          </w:p>
        </w:tc>
        <w:tc>
          <w:tcPr>
            <w:tcW w:w="645" w:type="pct"/>
          </w:tcPr>
          <w:p w:rsidR="00B45F40" w:rsidRPr="00E53641" w:rsidRDefault="00B45F40" w:rsidP="00E53641">
            <w:pPr>
              <w:pStyle w:val="NormalWeb"/>
              <w:tabs>
                <w:tab w:val="right" w:pos="720"/>
                <w:tab w:val="decimal" w:pos="760"/>
              </w:tabs>
              <w:spacing w:before="0" w:after="0"/>
              <w:jc w:val="right"/>
              <w:rPr>
                <w:b/>
                <w:bCs/>
                <w:sz w:val="18"/>
                <w:szCs w:val="18"/>
              </w:rPr>
            </w:pPr>
            <w:r w:rsidRPr="00E53641">
              <w:rPr>
                <w:b/>
                <w:bCs/>
                <w:sz w:val="18"/>
                <w:szCs w:val="18"/>
              </w:rPr>
              <w:t>21.8</w:t>
            </w:r>
          </w:p>
        </w:tc>
        <w:tc>
          <w:tcPr>
            <w:tcW w:w="662" w:type="pct"/>
            <w:noWrap/>
          </w:tcPr>
          <w:p w:rsidR="00B45F40" w:rsidRPr="00E53641" w:rsidRDefault="00B45F40" w:rsidP="00E53641">
            <w:pPr>
              <w:pStyle w:val="NormalWeb"/>
              <w:tabs>
                <w:tab w:val="right" w:pos="720"/>
                <w:tab w:val="decimal" w:pos="760"/>
              </w:tabs>
              <w:spacing w:before="0" w:after="0"/>
              <w:jc w:val="right"/>
              <w:rPr>
                <w:b/>
                <w:sz w:val="18"/>
                <w:szCs w:val="18"/>
              </w:rPr>
            </w:pPr>
            <w:r w:rsidRPr="00E53641">
              <w:rPr>
                <w:b/>
                <w:sz w:val="18"/>
                <w:szCs w:val="18"/>
              </w:rPr>
              <w:t>15.6</w:t>
            </w:r>
          </w:p>
        </w:tc>
      </w:tr>
      <w:tr w:rsidR="00B45F40" w:rsidRPr="005D480F" w:rsidTr="00E53641">
        <w:trPr>
          <w:trHeight w:val="267"/>
        </w:trPr>
        <w:tc>
          <w:tcPr>
            <w:tcW w:w="2853" w:type="pct"/>
          </w:tcPr>
          <w:p w:rsidR="00B45F40" w:rsidRPr="00E53641" w:rsidRDefault="00B45F40" w:rsidP="00E53641">
            <w:pPr>
              <w:pStyle w:val="NormalWeb"/>
              <w:keepNext/>
              <w:tabs>
                <w:tab w:val="right" w:leader="dot" w:pos="5160"/>
              </w:tabs>
              <w:spacing w:before="0" w:after="0"/>
              <w:ind w:left="240" w:hanging="240"/>
              <w:rPr>
                <w:sz w:val="18"/>
                <w:szCs w:val="18"/>
              </w:rPr>
            </w:pPr>
            <w:r w:rsidRPr="00E53641">
              <w:rPr>
                <w:b/>
                <w:sz w:val="18"/>
                <w:szCs w:val="18"/>
              </w:rPr>
              <w:t>Cash and cash equivalents, closing balance</w:t>
            </w:r>
            <w:r w:rsidRPr="00E53641">
              <w:rPr>
                <w:sz w:val="18"/>
                <w:szCs w:val="18"/>
              </w:rPr>
              <w:tab/>
            </w:r>
          </w:p>
        </w:tc>
        <w:tc>
          <w:tcPr>
            <w:tcW w:w="840" w:type="pct"/>
            <w:noWrap/>
          </w:tcPr>
          <w:p w:rsidR="00B45F40" w:rsidRPr="00E53641" w:rsidRDefault="00B45F40" w:rsidP="00E53641">
            <w:pPr>
              <w:pStyle w:val="NormalWeb"/>
              <w:pBdr>
                <w:bottom w:val="double" w:sz="4" w:space="0" w:color="auto"/>
              </w:pBdr>
              <w:tabs>
                <w:tab w:val="right" w:pos="720"/>
                <w:tab w:val="decimal" w:pos="760"/>
              </w:tabs>
              <w:spacing w:before="0" w:after="0"/>
              <w:jc w:val="right"/>
              <w:rPr>
                <w:b/>
                <w:sz w:val="18"/>
                <w:szCs w:val="18"/>
              </w:rPr>
            </w:pPr>
            <w:r w:rsidRPr="00E53641">
              <w:rPr>
                <w:b/>
                <w:sz w:val="18"/>
                <w:szCs w:val="18"/>
              </w:rPr>
              <w:t>20.5</w:t>
            </w:r>
          </w:p>
        </w:tc>
        <w:tc>
          <w:tcPr>
            <w:tcW w:w="645" w:type="pct"/>
          </w:tcPr>
          <w:p w:rsidR="00B45F40" w:rsidRPr="00E53641" w:rsidRDefault="00B45F40" w:rsidP="00E53641">
            <w:pPr>
              <w:pStyle w:val="NormalWeb"/>
              <w:pBdr>
                <w:bottom w:val="double" w:sz="4" w:space="0" w:color="auto"/>
              </w:pBdr>
              <w:tabs>
                <w:tab w:val="right" w:pos="720"/>
                <w:tab w:val="decimal" w:pos="760"/>
              </w:tabs>
              <w:spacing w:before="0" w:after="0"/>
              <w:jc w:val="right"/>
              <w:rPr>
                <w:b/>
                <w:sz w:val="18"/>
                <w:szCs w:val="18"/>
              </w:rPr>
            </w:pPr>
            <w:r w:rsidRPr="00E53641">
              <w:rPr>
                <w:b/>
                <w:sz w:val="18"/>
                <w:szCs w:val="18"/>
              </w:rPr>
              <w:t>15.0</w:t>
            </w:r>
          </w:p>
        </w:tc>
        <w:tc>
          <w:tcPr>
            <w:tcW w:w="662" w:type="pct"/>
            <w:noWrap/>
          </w:tcPr>
          <w:p w:rsidR="00B45F40" w:rsidRPr="00E53641" w:rsidRDefault="00B45F40" w:rsidP="00E53641">
            <w:pPr>
              <w:pStyle w:val="NormalWeb"/>
              <w:pBdr>
                <w:bottom w:val="double" w:sz="4" w:space="0" w:color="auto"/>
              </w:pBdr>
              <w:tabs>
                <w:tab w:val="right" w:pos="720"/>
                <w:tab w:val="decimal" w:pos="760"/>
              </w:tabs>
              <w:spacing w:before="0" w:after="0"/>
              <w:jc w:val="right"/>
              <w:rPr>
                <w:b/>
                <w:sz w:val="18"/>
                <w:szCs w:val="18"/>
              </w:rPr>
            </w:pPr>
            <w:r w:rsidRPr="00E53641">
              <w:rPr>
                <w:b/>
                <w:sz w:val="18"/>
                <w:szCs w:val="18"/>
              </w:rPr>
              <w:t>21.8</w:t>
            </w:r>
          </w:p>
        </w:tc>
      </w:tr>
    </w:tbl>
    <w:p w:rsidR="003F0BC5" w:rsidRPr="00992199" w:rsidRDefault="003F0BC5" w:rsidP="003F0BC5">
      <w:pPr>
        <w:rPr>
          <w:szCs w:val="20"/>
        </w:rPr>
      </w:pPr>
      <w:r w:rsidRPr="00992199">
        <w:rPr>
          <w:szCs w:val="20"/>
        </w:rPr>
        <w:t xml:space="preserve">During the </w:t>
      </w:r>
      <w:r w:rsidR="00C56728">
        <w:rPr>
          <w:szCs w:val="20"/>
        </w:rPr>
        <w:t>financial year ended 31 March 2015</w:t>
      </w:r>
      <w:r w:rsidRPr="00992199">
        <w:rPr>
          <w:szCs w:val="20"/>
        </w:rPr>
        <w:t xml:space="preserve"> there was a free cash flow of </w:t>
      </w:r>
      <w:r w:rsidR="00E53641">
        <w:rPr>
          <w:szCs w:val="20"/>
        </w:rPr>
        <w:t>EUR </w:t>
      </w:r>
      <w:r w:rsidRPr="00992199">
        <w:rPr>
          <w:szCs w:val="20"/>
        </w:rPr>
        <w:t xml:space="preserve">5,500,000 compared </w:t>
      </w:r>
      <w:r w:rsidR="00A07615" w:rsidRPr="00992199">
        <w:rPr>
          <w:szCs w:val="20"/>
        </w:rPr>
        <w:t xml:space="preserve">to </w:t>
      </w:r>
      <w:r w:rsidR="00E53641">
        <w:rPr>
          <w:szCs w:val="20"/>
        </w:rPr>
        <w:t>EUR </w:t>
      </w:r>
      <w:r w:rsidRPr="00992199">
        <w:rPr>
          <w:szCs w:val="20"/>
        </w:rPr>
        <w:t>-6,800,000 last year.</w:t>
      </w:r>
    </w:p>
    <w:p w:rsidR="003F0BC5" w:rsidRDefault="003F0BC5" w:rsidP="003F0BC5">
      <w:pPr>
        <w:rPr>
          <w:szCs w:val="20"/>
        </w:rPr>
      </w:pPr>
      <w:r w:rsidRPr="00992199">
        <w:rPr>
          <w:szCs w:val="20"/>
        </w:rPr>
        <w:t xml:space="preserve">The operational cash flows that were realised are higher than the investments, including the acquisition of the production site in King’s Lynn in the </w:t>
      </w:r>
      <w:smartTag w:uri="urn:schemas-microsoft-com:office:smarttags" w:element="country-region">
        <w:smartTag w:uri="urn:schemas-microsoft-com:office:smarttags" w:element="place">
          <w:r w:rsidRPr="00992199">
            <w:rPr>
              <w:szCs w:val="20"/>
            </w:rPr>
            <w:t>United Kingdom</w:t>
          </w:r>
        </w:smartTag>
      </w:smartTag>
      <w:r w:rsidRPr="00992199">
        <w:rPr>
          <w:szCs w:val="20"/>
        </w:rPr>
        <w:t>.</w:t>
      </w:r>
    </w:p>
    <w:p w:rsidR="00FE0802" w:rsidRPr="00344ACC" w:rsidRDefault="00FE0802" w:rsidP="00353B80">
      <w:pPr>
        <w:pStyle w:val="Firm5L3"/>
        <w:keepNext/>
      </w:pPr>
      <w:r w:rsidRPr="00FE0802">
        <w:t>Working Capital</w:t>
      </w:r>
    </w:p>
    <w:tbl>
      <w:tblPr>
        <w:tblpPr w:leftFromText="141" w:rightFromText="141" w:vertAnchor="text" w:tblpXSpec="center" w:tblpY="1"/>
        <w:tblOverlap w:val="never"/>
        <w:tblW w:w="5079" w:type="pct"/>
        <w:tblLayout w:type="fixed"/>
        <w:tblCellMar>
          <w:left w:w="0" w:type="dxa"/>
          <w:right w:w="0" w:type="dxa"/>
        </w:tblCellMar>
        <w:tblLook w:val="0000" w:firstRow="0" w:lastRow="0" w:firstColumn="0" w:lastColumn="0" w:noHBand="0" w:noVBand="0"/>
      </w:tblPr>
      <w:tblGrid>
        <w:gridCol w:w="142"/>
        <w:gridCol w:w="5623"/>
        <w:gridCol w:w="1778"/>
        <w:gridCol w:w="1629"/>
      </w:tblGrid>
      <w:tr w:rsidR="00AB62FC" w:rsidRPr="00AB62FC" w:rsidTr="00AB62FC">
        <w:trPr>
          <w:gridBefore w:val="1"/>
          <w:wBefore w:w="142" w:type="dxa"/>
        </w:trPr>
        <w:tc>
          <w:tcPr>
            <w:tcW w:w="5622" w:type="dxa"/>
            <w:vAlign w:val="center"/>
          </w:tcPr>
          <w:p w:rsidR="00AB62FC" w:rsidRPr="00AB62FC" w:rsidRDefault="00AB62FC" w:rsidP="00AB62FC">
            <w:pPr>
              <w:spacing w:before="0" w:after="0"/>
              <w:jc w:val="left"/>
              <w:rPr>
                <w:i/>
                <w:sz w:val="18"/>
                <w:szCs w:val="18"/>
              </w:rPr>
            </w:pPr>
            <w:r w:rsidRPr="00AB62FC">
              <w:rPr>
                <w:bCs/>
                <w:i/>
                <w:sz w:val="18"/>
                <w:szCs w:val="18"/>
              </w:rPr>
              <w:t>(</w:t>
            </w:r>
            <w:r w:rsidR="00E53641">
              <w:rPr>
                <w:bCs/>
                <w:i/>
                <w:sz w:val="18"/>
                <w:szCs w:val="18"/>
              </w:rPr>
              <w:t>EUR </w:t>
            </w:r>
            <w:r w:rsidRPr="00AB62FC">
              <w:rPr>
                <w:bCs/>
                <w:i/>
                <w:sz w:val="18"/>
                <w:szCs w:val="18"/>
              </w:rPr>
              <w:t>in millions)</w:t>
            </w:r>
          </w:p>
        </w:tc>
        <w:tc>
          <w:tcPr>
            <w:tcW w:w="1778" w:type="dxa"/>
            <w:noWrap/>
            <w:tcMar>
              <w:top w:w="0" w:type="dxa"/>
              <w:left w:w="144" w:type="dxa"/>
              <w:bottom w:w="0" w:type="dxa"/>
              <w:right w:w="0" w:type="dxa"/>
            </w:tcMar>
            <w:vAlign w:val="bottom"/>
          </w:tcPr>
          <w:p w:rsidR="00AB62FC" w:rsidRPr="00AB62FC" w:rsidRDefault="00AB62FC" w:rsidP="00AB62FC">
            <w:pPr>
              <w:pBdr>
                <w:bottom w:val="single" w:sz="4" w:space="1" w:color="auto"/>
              </w:pBdr>
              <w:spacing w:before="0" w:after="0"/>
              <w:ind w:left="368" w:hanging="227"/>
              <w:jc w:val="center"/>
              <w:rPr>
                <w:sz w:val="18"/>
                <w:szCs w:val="18"/>
              </w:rPr>
            </w:pPr>
            <w:r w:rsidRPr="00AB62FC">
              <w:rPr>
                <w:b/>
                <w:bCs/>
                <w:sz w:val="18"/>
                <w:szCs w:val="18"/>
              </w:rPr>
              <w:t xml:space="preserve">Year ended </w:t>
            </w:r>
            <w:r w:rsidRPr="00AB62FC">
              <w:rPr>
                <w:b/>
                <w:bCs/>
                <w:sz w:val="18"/>
                <w:szCs w:val="18"/>
              </w:rPr>
              <w:br/>
              <w:t>31 March 2015</w:t>
            </w:r>
          </w:p>
        </w:tc>
        <w:tc>
          <w:tcPr>
            <w:tcW w:w="1629" w:type="dxa"/>
            <w:noWrap/>
            <w:tcMar>
              <w:top w:w="0" w:type="dxa"/>
              <w:left w:w="144" w:type="dxa"/>
              <w:bottom w:w="0" w:type="dxa"/>
              <w:right w:w="0" w:type="dxa"/>
            </w:tcMar>
          </w:tcPr>
          <w:p w:rsidR="00AB62FC" w:rsidRPr="00AB62FC" w:rsidRDefault="00AB62FC" w:rsidP="00AB62FC">
            <w:pPr>
              <w:pBdr>
                <w:bottom w:val="single" w:sz="4" w:space="1" w:color="auto"/>
              </w:pBdr>
              <w:spacing w:before="0" w:after="0"/>
              <w:jc w:val="center"/>
              <w:rPr>
                <w:b/>
                <w:bCs/>
                <w:sz w:val="18"/>
                <w:szCs w:val="18"/>
              </w:rPr>
            </w:pPr>
            <w:r w:rsidRPr="00AB62FC">
              <w:rPr>
                <w:b/>
                <w:bCs/>
                <w:sz w:val="18"/>
                <w:szCs w:val="18"/>
              </w:rPr>
              <w:t>Year ended 31 March 2014</w:t>
            </w:r>
          </w:p>
        </w:tc>
      </w:tr>
      <w:tr w:rsidR="00AB62FC" w:rsidRPr="00AB62FC" w:rsidTr="00AB62FC">
        <w:tc>
          <w:tcPr>
            <w:tcW w:w="5764" w:type="dxa"/>
            <w:gridSpan w:val="2"/>
            <w:vAlign w:val="bottom"/>
          </w:tcPr>
          <w:p w:rsidR="00AB62FC" w:rsidRPr="00AB62FC" w:rsidRDefault="00AB62FC" w:rsidP="00AB62FC">
            <w:pPr>
              <w:keepNext/>
              <w:tabs>
                <w:tab w:val="right" w:leader="dot" w:pos="7240"/>
              </w:tabs>
              <w:spacing w:before="0" w:after="0"/>
              <w:ind w:left="140"/>
              <w:rPr>
                <w:sz w:val="18"/>
                <w:szCs w:val="18"/>
              </w:rPr>
            </w:pPr>
            <w:r w:rsidRPr="00AB62FC">
              <w:rPr>
                <w:sz w:val="18"/>
                <w:szCs w:val="18"/>
              </w:rPr>
              <w:t>Inventories</w:t>
            </w:r>
            <w:r w:rsidRPr="00AB62FC">
              <w:rPr>
                <w:sz w:val="18"/>
                <w:szCs w:val="18"/>
              </w:rPr>
              <w:tab/>
            </w:r>
          </w:p>
        </w:tc>
        <w:tc>
          <w:tcPr>
            <w:tcW w:w="1778" w:type="dxa"/>
            <w:noWrap/>
            <w:tcMar>
              <w:top w:w="0" w:type="dxa"/>
              <w:left w:w="144" w:type="dxa"/>
              <w:bottom w:w="0" w:type="dxa"/>
              <w:right w:w="0" w:type="dxa"/>
            </w:tcMar>
            <w:vAlign w:val="bottom"/>
          </w:tcPr>
          <w:p w:rsidR="00AB62FC" w:rsidRPr="00AB62FC" w:rsidRDefault="00AB62FC" w:rsidP="00AB62FC">
            <w:pPr>
              <w:spacing w:before="0" w:after="0"/>
              <w:ind w:right="166"/>
              <w:jc w:val="right"/>
              <w:rPr>
                <w:sz w:val="18"/>
                <w:szCs w:val="18"/>
              </w:rPr>
            </w:pPr>
            <w:r w:rsidRPr="00AB62FC">
              <w:rPr>
                <w:sz w:val="18"/>
                <w:szCs w:val="18"/>
              </w:rPr>
              <w:t>234.0</w:t>
            </w:r>
          </w:p>
        </w:tc>
        <w:tc>
          <w:tcPr>
            <w:tcW w:w="1629" w:type="dxa"/>
            <w:noWrap/>
            <w:tcMar>
              <w:top w:w="0" w:type="dxa"/>
              <w:left w:w="144" w:type="dxa"/>
              <w:bottom w:w="0" w:type="dxa"/>
              <w:right w:w="0" w:type="dxa"/>
            </w:tcMar>
            <w:vAlign w:val="bottom"/>
          </w:tcPr>
          <w:p w:rsidR="00AB62FC" w:rsidRPr="00AB62FC" w:rsidRDefault="00AB62FC" w:rsidP="00AB62FC">
            <w:pPr>
              <w:spacing w:before="0" w:after="0"/>
              <w:ind w:right="140"/>
              <w:jc w:val="right"/>
              <w:rPr>
                <w:sz w:val="18"/>
                <w:szCs w:val="18"/>
              </w:rPr>
            </w:pPr>
            <w:r w:rsidRPr="00AB62FC">
              <w:rPr>
                <w:sz w:val="18"/>
                <w:szCs w:val="18"/>
              </w:rPr>
              <w:t>224.9</w:t>
            </w:r>
          </w:p>
        </w:tc>
      </w:tr>
      <w:tr w:rsidR="00AB62FC" w:rsidRPr="00AB62FC" w:rsidTr="00AB62FC">
        <w:tc>
          <w:tcPr>
            <w:tcW w:w="5764" w:type="dxa"/>
            <w:gridSpan w:val="2"/>
            <w:vAlign w:val="bottom"/>
          </w:tcPr>
          <w:p w:rsidR="00AB62FC" w:rsidRPr="00AB62FC" w:rsidRDefault="00AB62FC" w:rsidP="00AB62FC">
            <w:pPr>
              <w:keepNext/>
              <w:tabs>
                <w:tab w:val="right" w:leader="dot" w:pos="7240"/>
              </w:tabs>
              <w:spacing w:before="0" w:after="0"/>
              <w:ind w:left="140"/>
              <w:rPr>
                <w:sz w:val="18"/>
                <w:szCs w:val="18"/>
              </w:rPr>
            </w:pPr>
            <w:r w:rsidRPr="00AB62FC">
              <w:rPr>
                <w:sz w:val="18"/>
                <w:szCs w:val="18"/>
              </w:rPr>
              <w:t>Trade receivables</w:t>
            </w:r>
            <w:r w:rsidRPr="00AB62FC">
              <w:rPr>
                <w:sz w:val="18"/>
                <w:szCs w:val="18"/>
              </w:rPr>
              <w:tab/>
            </w:r>
          </w:p>
        </w:tc>
        <w:tc>
          <w:tcPr>
            <w:tcW w:w="1778" w:type="dxa"/>
            <w:noWrap/>
            <w:tcMar>
              <w:top w:w="0" w:type="dxa"/>
              <w:left w:w="144" w:type="dxa"/>
              <w:bottom w:w="0" w:type="dxa"/>
              <w:right w:w="0" w:type="dxa"/>
            </w:tcMar>
            <w:vAlign w:val="bottom"/>
          </w:tcPr>
          <w:p w:rsidR="00AB62FC" w:rsidRPr="00AB62FC" w:rsidRDefault="00AB62FC" w:rsidP="00AB62FC">
            <w:pPr>
              <w:spacing w:before="0" w:after="0"/>
              <w:ind w:right="166"/>
              <w:jc w:val="right"/>
              <w:rPr>
                <w:sz w:val="18"/>
                <w:szCs w:val="18"/>
              </w:rPr>
            </w:pPr>
            <w:r w:rsidRPr="00AB62FC">
              <w:rPr>
                <w:sz w:val="18"/>
                <w:szCs w:val="18"/>
              </w:rPr>
              <w:t>60.4</w:t>
            </w:r>
          </w:p>
        </w:tc>
        <w:tc>
          <w:tcPr>
            <w:tcW w:w="1629" w:type="dxa"/>
            <w:noWrap/>
            <w:tcMar>
              <w:top w:w="0" w:type="dxa"/>
              <w:left w:w="144" w:type="dxa"/>
              <w:bottom w:w="0" w:type="dxa"/>
              <w:right w:w="0" w:type="dxa"/>
            </w:tcMar>
            <w:vAlign w:val="bottom"/>
          </w:tcPr>
          <w:p w:rsidR="00AB62FC" w:rsidRPr="00AB62FC" w:rsidRDefault="00AB62FC" w:rsidP="00AB62FC">
            <w:pPr>
              <w:spacing w:before="0" w:after="0"/>
              <w:ind w:right="140"/>
              <w:jc w:val="right"/>
              <w:rPr>
                <w:sz w:val="18"/>
                <w:szCs w:val="18"/>
              </w:rPr>
            </w:pPr>
            <w:r w:rsidRPr="00AB62FC">
              <w:rPr>
                <w:sz w:val="18"/>
                <w:szCs w:val="18"/>
              </w:rPr>
              <w:t>62,0</w:t>
            </w:r>
          </w:p>
        </w:tc>
      </w:tr>
      <w:tr w:rsidR="00AB62FC" w:rsidRPr="00AB62FC" w:rsidTr="00AB62FC">
        <w:tc>
          <w:tcPr>
            <w:tcW w:w="5764" w:type="dxa"/>
            <w:gridSpan w:val="2"/>
            <w:vAlign w:val="bottom"/>
          </w:tcPr>
          <w:p w:rsidR="00AB62FC" w:rsidRPr="00AB62FC" w:rsidRDefault="00AB62FC" w:rsidP="00AB62FC">
            <w:pPr>
              <w:tabs>
                <w:tab w:val="right" w:leader="dot" w:pos="7240"/>
              </w:tabs>
              <w:spacing w:before="0" w:after="0"/>
              <w:ind w:left="140"/>
              <w:rPr>
                <w:sz w:val="18"/>
                <w:szCs w:val="18"/>
              </w:rPr>
            </w:pPr>
            <w:r w:rsidRPr="00AB62FC">
              <w:rPr>
                <w:sz w:val="18"/>
                <w:szCs w:val="18"/>
              </w:rPr>
              <w:t>Trade payables, including advances and prepayments to suppliers</w:t>
            </w:r>
            <w:r w:rsidRPr="00AB62FC">
              <w:rPr>
                <w:sz w:val="18"/>
                <w:szCs w:val="18"/>
              </w:rPr>
              <w:tab/>
            </w:r>
          </w:p>
        </w:tc>
        <w:tc>
          <w:tcPr>
            <w:tcW w:w="1778" w:type="dxa"/>
            <w:noWrap/>
            <w:tcMar>
              <w:top w:w="0" w:type="dxa"/>
              <w:left w:w="144" w:type="dxa"/>
              <w:bottom w:w="0" w:type="dxa"/>
              <w:right w:w="0" w:type="dxa"/>
            </w:tcMar>
            <w:vAlign w:val="bottom"/>
          </w:tcPr>
          <w:p w:rsidR="00AB62FC" w:rsidRPr="00AB62FC" w:rsidRDefault="00AB62FC" w:rsidP="00AB62FC">
            <w:pPr>
              <w:spacing w:before="0" w:after="0"/>
              <w:ind w:right="166"/>
              <w:jc w:val="right"/>
              <w:rPr>
                <w:sz w:val="18"/>
                <w:szCs w:val="18"/>
              </w:rPr>
            </w:pPr>
            <w:r w:rsidRPr="00AB62FC">
              <w:rPr>
                <w:sz w:val="18"/>
                <w:szCs w:val="18"/>
              </w:rPr>
              <w:t>(93.1)</w:t>
            </w:r>
          </w:p>
        </w:tc>
        <w:tc>
          <w:tcPr>
            <w:tcW w:w="1629" w:type="dxa"/>
            <w:noWrap/>
            <w:tcMar>
              <w:top w:w="0" w:type="dxa"/>
              <w:left w:w="144" w:type="dxa"/>
              <w:bottom w:w="0" w:type="dxa"/>
              <w:right w:w="0" w:type="dxa"/>
            </w:tcMar>
            <w:vAlign w:val="bottom"/>
          </w:tcPr>
          <w:p w:rsidR="00AB62FC" w:rsidRPr="00AB62FC" w:rsidRDefault="00AB62FC" w:rsidP="00AB62FC">
            <w:pPr>
              <w:spacing w:before="0" w:after="0"/>
              <w:ind w:right="140"/>
              <w:jc w:val="right"/>
              <w:rPr>
                <w:sz w:val="18"/>
                <w:szCs w:val="18"/>
              </w:rPr>
            </w:pPr>
            <w:r w:rsidRPr="00AB62FC">
              <w:rPr>
                <w:sz w:val="18"/>
                <w:szCs w:val="18"/>
              </w:rPr>
              <w:t>(93.4)</w:t>
            </w:r>
          </w:p>
        </w:tc>
      </w:tr>
      <w:tr w:rsidR="00AB62FC" w:rsidRPr="00AB62FC" w:rsidTr="00AB62FC">
        <w:tc>
          <w:tcPr>
            <w:tcW w:w="5764" w:type="dxa"/>
            <w:gridSpan w:val="2"/>
            <w:vAlign w:val="bottom"/>
          </w:tcPr>
          <w:p w:rsidR="00AB62FC" w:rsidRPr="00AB62FC" w:rsidRDefault="00AB62FC" w:rsidP="00AB62FC">
            <w:pPr>
              <w:tabs>
                <w:tab w:val="right" w:leader="dot" w:pos="7240"/>
              </w:tabs>
              <w:spacing w:before="0" w:after="0"/>
              <w:ind w:left="140"/>
              <w:rPr>
                <w:sz w:val="18"/>
                <w:szCs w:val="18"/>
              </w:rPr>
            </w:pPr>
            <w:r w:rsidRPr="00AB62FC">
              <w:rPr>
                <w:sz w:val="18"/>
                <w:szCs w:val="18"/>
              </w:rPr>
              <w:t xml:space="preserve">Other short term receivables, trade related prepayments, social and other payables </w:t>
            </w:r>
            <w:r w:rsidRPr="00AB62FC">
              <w:rPr>
                <w:sz w:val="18"/>
                <w:szCs w:val="18"/>
              </w:rPr>
              <w:tab/>
            </w:r>
          </w:p>
        </w:tc>
        <w:tc>
          <w:tcPr>
            <w:tcW w:w="1778" w:type="dxa"/>
            <w:noWrap/>
            <w:tcMar>
              <w:top w:w="0" w:type="dxa"/>
              <w:left w:w="144" w:type="dxa"/>
              <w:bottom w:w="0" w:type="dxa"/>
              <w:right w:w="0" w:type="dxa"/>
            </w:tcMar>
            <w:vAlign w:val="bottom"/>
          </w:tcPr>
          <w:p w:rsidR="00AB62FC" w:rsidRPr="00AB62FC" w:rsidRDefault="00AB62FC" w:rsidP="00AB62FC">
            <w:pPr>
              <w:spacing w:before="0" w:after="0"/>
              <w:ind w:right="166"/>
              <w:jc w:val="right"/>
              <w:rPr>
                <w:sz w:val="18"/>
                <w:szCs w:val="18"/>
              </w:rPr>
            </w:pPr>
            <w:r w:rsidRPr="00AB62FC">
              <w:rPr>
                <w:sz w:val="18"/>
                <w:szCs w:val="18"/>
              </w:rPr>
              <w:t>(11.6)</w:t>
            </w:r>
          </w:p>
        </w:tc>
        <w:tc>
          <w:tcPr>
            <w:tcW w:w="1629" w:type="dxa"/>
            <w:noWrap/>
            <w:tcMar>
              <w:top w:w="0" w:type="dxa"/>
              <w:left w:w="144" w:type="dxa"/>
              <w:bottom w:w="0" w:type="dxa"/>
              <w:right w:w="0" w:type="dxa"/>
            </w:tcMar>
            <w:vAlign w:val="bottom"/>
          </w:tcPr>
          <w:p w:rsidR="00AB62FC" w:rsidRPr="00AB62FC" w:rsidRDefault="00AB62FC" w:rsidP="00AB62FC">
            <w:pPr>
              <w:spacing w:before="0" w:after="0"/>
              <w:ind w:right="140"/>
              <w:jc w:val="right"/>
              <w:rPr>
                <w:sz w:val="18"/>
                <w:szCs w:val="18"/>
              </w:rPr>
            </w:pPr>
            <w:r w:rsidRPr="00AB62FC">
              <w:rPr>
                <w:sz w:val="18"/>
                <w:szCs w:val="18"/>
              </w:rPr>
              <w:t>(6.3)</w:t>
            </w:r>
          </w:p>
        </w:tc>
      </w:tr>
      <w:tr w:rsidR="00AB62FC" w:rsidRPr="00FE0802" w:rsidTr="00AB62FC">
        <w:tc>
          <w:tcPr>
            <w:tcW w:w="5764" w:type="dxa"/>
            <w:gridSpan w:val="2"/>
            <w:vAlign w:val="bottom"/>
          </w:tcPr>
          <w:p w:rsidR="00AB62FC" w:rsidRPr="00AB62FC" w:rsidRDefault="00AB62FC" w:rsidP="00AB62FC">
            <w:pPr>
              <w:tabs>
                <w:tab w:val="right" w:leader="dot" w:pos="7240"/>
              </w:tabs>
              <w:spacing w:before="0" w:after="0"/>
              <w:ind w:left="140"/>
              <w:rPr>
                <w:sz w:val="18"/>
                <w:szCs w:val="18"/>
              </w:rPr>
            </w:pPr>
            <w:r w:rsidRPr="00AB62FC">
              <w:rPr>
                <w:b/>
                <w:bCs/>
                <w:sz w:val="18"/>
                <w:szCs w:val="18"/>
              </w:rPr>
              <w:t>Trade working capital</w:t>
            </w:r>
            <w:r w:rsidRPr="00AB62FC">
              <w:rPr>
                <w:bCs/>
                <w:sz w:val="18"/>
                <w:szCs w:val="18"/>
              </w:rPr>
              <w:tab/>
            </w:r>
          </w:p>
        </w:tc>
        <w:tc>
          <w:tcPr>
            <w:tcW w:w="1778" w:type="dxa"/>
            <w:noWrap/>
            <w:tcMar>
              <w:top w:w="0" w:type="dxa"/>
              <w:left w:w="144" w:type="dxa"/>
              <w:bottom w:w="0" w:type="dxa"/>
              <w:right w:w="0" w:type="dxa"/>
            </w:tcMar>
            <w:vAlign w:val="bottom"/>
          </w:tcPr>
          <w:p w:rsidR="00AB62FC" w:rsidRPr="00AB62FC" w:rsidRDefault="00AB62FC" w:rsidP="00AB62FC">
            <w:pPr>
              <w:pBdr>
                <w:top w:val="single" w:sz="4" w:space="1" w:color="auto"/>
                <w:bottom w:val="double" w:sz="4" w:space="1" w:color="auto"/>
              </w:pBdr>
              <w:tabs>
                <w:tab w:val="right" w:pos="720"/>
                <w:tab w:val="decimal" w:pos="760"/>
              </w:tabs>
              <w:spacing w:before="0" w:after="0"/>
              <w:ind w:right="166"/>
              <w:jc w:val="right"/>
              <w:rPr>
                <w:b/>
                <w:sz w:val="18"/>
                <w:szCs w:val="18"/>
              </w:rPr>
            </w:pPr>
            <w:r w:rsidRPr="00AB62FC">
              <w:rPr>
                <w:b/>
                <w:sz w:val="18"/>
                <w:szCs w:val="18"/>
              </w:rPr>
              <w:t>189.7</w:t>
            </w:r>
          </w:p>
        </w:tc>
        <w:tc>
          <w:tcPr>
            <w:tcW w:w="1629" w:type="dxa"/>
            <w:noWrap/>
            <w:tcMar>
              <w:top w:w="0" w:type="dxa"/>
              <w:left w:w="144" w:type="dxa"/>
              <w:bottom w:w="0" w:type="dxa"/>
              <w:right w:w="0" w:type="dxa"/>
            </w:tcMar>
            <w:vAlign w:val="bottom"/>
          </w:tcPr>
          <w:p w:rsidR="00AB62FC" w:rsidRPr="00FE0802" w:rsidRDefault="00AB62FC" w:rsidP="00AB62FC">
            <w:pPr>
              <w:pBdr>
                <w:top w:val="single" w:sz="4" w:space="1" w:color="auto"/>
                <w:bottom w:val="double" w:sz="4" w:space="1" w:color="auto"/>
              </w:pBdr>
              <w:spacing w:before="0" w:after="0"/>
              <w:ind w:right="140"/>
              <w:jc w:val="right"/>
              <w:rPr>
                <w:b/>
                <w:sz w:val="18"/>
                <w:szCs w:val="18"/>
              </w:rPr>
            </w:pPr>
            <w:r w:rsidRPr="00AB62FC">
              <w:rPr>
                <w:b/>
                <w:sz w:val="18"/>
                <w:szCs w:val="18"/>
              </w:rPr>
              <w:t>187.2</w:t>
            </w:r>
          </w:p>
        </w:tc>
      </w:tr>
    </w:tbl>
    <w:p w:rsidR="00FE0802" w:rsidRPr="00FE0802" w:rsidRDefault="00FE0802" w:rsidP="00FE0802">
      <w:pPr>
        <w:rPr>
          <w:bCs/>
          <w:szCs w:val="20"/>
        </w:rPr>
      </w:pPr>
      <w:r w:rsidRPr="00FE0802">
        <w:rPr>
          <w:bCs/>
          <w:szCs w:val="20"/>
        </w:rPr>
        <w:t xml:space="preserve">The trade working capital slightly increased with </w:t>
      </w:r>
      <w:r w:rsidR="00E53641">
        <w:rPr>
          <w:bCs/>
          <w:szCs w:val="20"/>
        </w:rPr>
        <w:t>EUR </w:t>
      </w:r>
      <w:r>
        <w:rPr>
          <w:bCs/>
          <w:szCs w:val="20"/>
        </w:rPr>
        <w:t>2,500,000</w:t>
      </w:r>
      <w:r w:rsidRPr="00FE0802">
        <w:rPr>
          <w:bCs/>
          <w:szCs w:val="20"/>
        </w:rPr>
        <w:t xml:space="preserve"> </w:t>
      </w:r>
      <w:r w:rsidR="00344ACC">
        <w:rPr>
          <w:bCs/>
          <w:szCs w:val="20"/>
        </w:rPr>
        <w:t>as compared to</w:t>
      </w:r>
      <w:r>
        <w:rPr>
          <w:bCs/>
          <w:szCs w:val="20"/>
        </w:rPr>
        <w:t xml:space="preserve"> 31 March 2014</w:t>
      </w:r>
      <w:r w:rsidRPr="00FE0802">
        <w:rPr>
          <w:bCs/>
          <w:szCs w:val="20"/>
        </w:rPr>
        <w:t>. This increase is mainly resulting from increased inventories in the Frozen Division (+</w:t>
      </w:r>
      <w:r w:rsidR="00E53641">
        <w:rPr>
          <w:bCs/>
          <w:szCs w:val="20"/>
        </w:rPr>
        <w:t>EUR </w:t>
      </w:r>
      <w:r w:rsidRPr="00FE0802">
        <w:rPr>
          <w:bCs/>
          <w:szCs w:val="20"/>
        </w:rPr>
        <w:t>12</w:t>
      </w:r>
      <w:r>
        <w:rPr>
          <w:bCs/>
          <w:szCs w:val="20"/>
        </w:rPr>
        <w:t>,</w:t>
      </w:r>
      <w:r w:rsidRPr="00FE0802">
        <w:rPr>
          <w:bCs/>
          <w:szCs w:val="20"/>
        </w:rPr>
        <w:t>4</w:t>
      </w:r>
      <w:r>
        <w:rPr>
          <w:bCs/>
          <w:szCs w:val="20"/>
        </w:rPr>
        <w:t>00,000)</w:t>
      </w:r>
      <w:r w:rsidRPr="00FE0802">
        <w:rPr>
          <w:bCs/>
          <w:szCs w:val="20"/>
        </w:rPr>
        <w:t xml:space="preserve">. These higher inventories are mainly volume driven resulting from higher processing volumes </w:t>
      </w:r>
      <w:r w:rsidR="00344ACC">
        <w:rPr>
          <w:bCs/>
          <w:szCs w:val="20"/>
        </w:rPr>
        <w:t>as compared to</w:t>
      </w:r>
      <w:r w:rsidRPr="00FE0802">
        <w:rPr>
          <w:bCs/>
          <w:szCs w:val="20"/>
        </w:rPr>
        <w:t xml:space="preserve"> last year. </w:t>
      </w:r>
    </w:p>
    <w:p w:rsidR="00FE0802" w:rsidRPr="00FE0802" w:rsidRDefault="00FE0802" w:rsidP="00FE0802">
      <w:pPr>
        <w:rPr>
          <w:szCs w:val="20"/>
        </w:rPr>
      </w:pPr>
      <w:r w:rsidRPr="00FE0802">
        <w:rPr>
          <w:bCs/>
          <w:szCs w:val="20"/>
        </w:rPr>
        <w:t>The increase in inventory is partly compensated by decreases in trade receivables and increases in the other payables, mainly resulting from higher taxes payables (timing differences vs previous year).</w:t>
      </w:r>
    </w:p>
    <w:p w:rsidR="0039015B" w:rsidRDefault="0039015B" w:rsidP="00353B80">
      <w:pPr>
        <w:pStyle w:val="Firm5L3"/>
        <w:keepNext/>
      </w:pPr>
      <w:r>
        <w:t>Indebtedness</w:t>
      </w:r>
    </w:p>
    <w:p w:rsidR="003F0BC5" w:rsidRPr="00992199" w:rsidRDefault="003F0BC5" w:rsidP="00353B80">
      <w:pPr>
        <w:pStyle w:val="Firm5L4"/>
        <w:keepNext/>
      </w:pPr>
      <w:r w:rsidRPr="00992199">
        <w:t>Factoring</w:t>
      </w:r>
    </w:p>
    <w:p w:rsidR="003F0BC5" w:rsidRDefault="003F0BC5" w:rsidP="003F0BC5">
      <w:pPr>
        <w:rPr>
          <w:szCs w:val="20"/>
        </w:rPr>
      </w:pPr>
      <w:r w:rsidRPr="00992199">
        <w:rPr>
          <w:szCs w:val="20"/>
        </w:rPr>
        <w:t>Factoring is used only with customers accepted for credit insurance by the factor and excludes intra-group receivables.</w:t>
      </w:r>
    </w:p>
    <w:p w:rsidR="003F0BC5" w:rsidRPr="00992199" w:rsidRDefault="003F0BC5" w:rsidP="003F0BC5">
      <w:pPr>
        <w:rPr>
          <w:szCs w:val="20"/>
        </w:rPr>
      </w:pPr>
      <w:r w:rsidRPr="00992199">
        <w:rPr>
          <w:szCs w:val="20"/>
        </w:rPr>
        <w:t xml:space="preserve">The </w:t>
      </w:r>
      <w:r w:rsidR="002A1AB1">
        <w:rPr>
          <w:szCs w:val="20"/>
        </w:rPr>
        <w:t>Greenyard Foods</w:t>
      </w:r>
      <w:r w:rsidRPr="00992199">
        <w:rPr>
          <w:szCs w:val="20"/>
        </w:rPr>
        <w:t xml:space="preserve"> Group has been making use of factoring for the Belgian group companies since November 2007</w:t>
      </w:r>
      <w:r w:rsidR="006631BD">
        <w:rPr>
          <w:szCs w:val="20"/>
        </w:rPr>
        <w:t>.</w:t>
      </w:r>
      <w:r w:rsidRPr="00992199">
        <w:rPr>
          <w:szCs w:val="20"/>
        </w:rPr>
        <w:t xml:space="preserve"> </w:t>
      </w:r>
      <w:r w:rsidR="006631BD">
        <w:rPr>
          <w:szCs w:val="20"/>
        </w:rPr>
        <w:t>A</w:t>
      </w:r>
      <w:r w:rsidRPr="00992199">
        <w:rPr>
          <w:szCs w:val="20"/>
        </w:rPr>
        <w:t xml:space="preserve">s from 2009 onwards, there was a partial off-balance sheet financing of the receivables of the British affiliate Pinguin Foods UK Ltd. Also, as from April 2012 onwards the </w:t>
      </w:r>
      <w:r w:rsidR="002A1AB1">
        <w:rPr>
          <w:szCs w:val="20"/>
        </w:rPr>
        <w:t>Greenyard Foods</w:t>
      </w:r>
      <w:r w:rsidRPr="00992199">
        <w:rPr>
          <w:szCs w:val="20"/>
        </w:rPr>
        <w:t xml:space="preserve"> Group applies factoring in the Belgian Canning Division.</w:t>
      </w:r>
    </w:p>
    <w:p w:rsidR="0057471A" w:rsidRDefault="0057471A" w:rsidP="003F0BC5">
      <w:pPr>
        <w:rPr>
          <w:szCs w:val="20"/>
        </w:rPr>
      </w:pPr>
      <w:r w:rsidRPr="0057471A">
        <w:rPr>
          <w:szCs w:val="20"/>
        </w:rPr>
        <w:t xml:space="preserve">The total factored receivables as included in factoring programs as mentioned above represent on average over the last year 35% of the total outstanding receivables of </w:t>
      </w:r>
      <w:r w:rsidR="002A1AB1">
        <w:rPr>
          <w:szCs w:val="20"/>
        </w:rPr>
        <w:t>Greenyard Foods</w:t>
      </w:r>
      <w:r w:rsidRPr="0057471A">
        <w:rPr>
          <w:szCs w:val="20"/>
        </w:rPr>
        <w:t xml:space="preserve"> as per 31 March 2015.</w:t>
      </w:r>
    </w:p>
    <w:p w:rsidR="006631BD" w:rsidRDefault="0057471A" w:rsidP="003F0BC5">
      <w:pPr>
        <w:rPr>
          <w:szCs w:val="20"/>
        </w:rPr>
      </w:pPr>
      <w:r>
        <w:rPr>
          <w:szCs w:val="20"/>
        </w:rPr>
        <w:lastRenderedPageBreak/>
        <w:t xml:space="preserve">By using the factoring programs as mentioned above, </w:t>
      </w:r>
      <w:r w:rsidR="003F0BC5" w:rsidRPr="00992199">
        <w:rPr>
          <w:szCs w:val="20"/>
        </w:rPr>
        <w:t xml:space="preserve">the </w:t>
      </w:r>
      <w:r w:rsidR="002A1AB1">
        <w:rPr>
          <w:szCs w:val="20"/>
        </w:rPr>
        <w:t>Greenyard Foods</w:t>
      </w:r>
      <w:r w:rsidR="003F0BC5" w:rsidRPr="00992199">
        <w:rPr>
          <w:szCs w:val="20"/>
        </w:rPr>
        <w:t xml:space="preserve"> Group immediately and definitively receives 90% of the value of sold receivables. The balance is received upon payment by the customer to the financial institution. </w:t>
      </w:r>
      <w:r w:rsidR="006631BD" w:rsidRPr="006631BD">
        <w:rPr>
          <w:szCs w:val="20"/>
        </w:rPr>
        <w:t>No</w:t>
      </w:r>
      <w:r w:rsidR="006631BD" w:rsidRPr="006631BD">
        <w:t xml:space="preserve"> </w:t>
      </w:r>
      <w:r w:rsidR="006631BD" w:rsidRPr="006631BD">
        <w:rPr>
          <w:szCs w:val="20"/>
        </w:rPr>
        <w:t>credit risk therefore remains in respect of the sold receivables other than the credit risk on 10% of the value of the sold receivables.</w:t>
      </w:r>
    </w:p>
    <w:p w:rsidR="003F0BC5" w:rsidRPr="00992199" w:rsidRDefault="003F0BC5" w:rsidP="003F0BC5">
      <w:pPr>
        <w:rPr>
          <w:szCs w:val="20"/>
        </w:rPr>
      </w:pPr>
      <w:r w:rsidRPr="00992199">
        <w:rPr>
          <w:szCs w:val="20"/>
        </w:rPr>
        <w:t xml:space="preserve">The portion of the sold receivables (at 31 March 2015: </w:t>
      </w:r>
      <w:r w:rsidR="00E53641">
        <w:rPr>
          <w:szCs w:val="20"/>
        </w:rPr>
        <w:t>EUR </w:t>
      </w:r>
      <w:r w:rsidRPr="00992199">
        <w:rPr>
          <w:szCs w:val="20"/>
        </w:rPr>
        <w:t xml:space="preserve">54,600,000 at 31 March 2014: </w:t>
      </w:r>
      <w:r w:rsidR="00E53641">
        <w:rPr>
          <w:szCs w:val="20"/>
        </w:rPr>
        <w:t>EUR </w:t>
      </w:r>
      <w:r w:rsidRPr="00992199">
        <w:rPr>
          <w:szCs w:val="20"/>
        </w:rPr>
        <w:t xml:space="preserve">45,000,000) which remains on the balance sheet amounts to </w:t>
      </w:r>
      <w:r w:rsidR="00E53641">
        <w:rPr>
          <w:szCs w:val="20"/>
        </w:rPr>
        <w:t>EUR </w:t>
      </w:r>
      <w:r w:rsidRPr="00992199">
        <w:rPr>
          <w:szCs w:val="20"/>
        </w:rPr>
        <w:t xml:space="preserve">13,100,000 (31 March 2014: </w:t>
      </w:r>
      <w:r w:rsidR="00E53641">
        <w:rPr>
          <w:szCs w:val="20"/>
        </w:rPr>
        <w:t>EUR </w:t>
      </w:r>
      <w:r w:rsidRPr="00992199">
        <w:rPr>
          <w:szCs w:val="20"/>
        </w:rPr>
        <w:t xml:space="preserve">15,400,000). This includes an amount for the maximum risk of late payment at 31 March 2015 of </w:t>
      </w:r>
      <w:r w:rsidR="00E53641">
        <w:rPr>
          <w:szCs w:val="20"/>
        </w:rPr>
        <w:t>EUR </w:t>
      </w:r>
      <w:r w:rsidRPr="00992199">
        <w:rPr>
          <w:szCs w:val="20"/>
        </w:rPr>
        <w:t xml:space="preserve">300,000 (at 31 March 2014: </w:t>
      </w:r>
      <w:r w:rsidR="00E53641">
        <w:rPr>
          <w:szCs w:val="20"/>
        </w:rPr>
        <w:t>EUR </w:t>
      </w:r>
      <w:r w:rsidRPr="00992199">
        <w:rPr>
          <w:szCs w:val="20"/>
        </w:rPr>
        <w:t xml:space="preserve">300,000). The corresponding financial obligation amounts to </w:t>
      </w:r>
      <w:r w:rsidR="00E53641">
        <w:rPr>
          <w:szCs w:val="20"/>
        </w:rPr>
        <w:t>EUR </w:t>
      </w:r>
      <w:r w:rsidRPr="00992199">
        <w:rPr>
          <w:szCs w:val="20"/>
        </w:rPr>
        <w:t xml:space="preserve">300,000 (at 31 March 2014: </w:t>
      </w:r>
      <w:r w:rsidR="00E53641">
        <w:rPr>
          <w:szCs w:val="20"/>
        </w:rPr>
        <w:t>EUR </w:t>
      </w:r>
      <w:r w:rsidRPr="00992199">
        <w:rPr>
          <w:szCs w:val="20"/>
        </w:rPr>
        <w:t>300,000).</w:t>
      </w:r>
    </w:p>
    <w:p w:rsidR="003F0BC5" w:rsidRPr="00992199" w:rsidRDefault="003F0BC5" w:rsidP="003F0BC5">
      <w:pPr>
        <w:rPr>
          <w:szCs w:val="20"/>
        </w:rPr>
      </w:pPr>
      <w:r w:rsidRPr="00992199">
        <w:rPr>
          <w:szCs w:val="20"/>
        </w:rPr>
        <w:t xml:space="preserve">The factoring agreements </w:t>
      </w:r>
      <w:r w:rsidR="006631BD">
        <w:rPr>
          <w:szCs w:val="20"/>
        </w:rPr>
        <w:t>are not secured</w:t>
      </w:r>
      <w:r w:rsidRPr="00992199">
        <w:rPr>
          <w:szCs w:val="20"/>
        </w:rPr>
        <w:t>.</w:t>
      </w:r>
    </w:p>
    <w:p w:rsidR="003F0BC5" w:rsidRPr="00992199" w:rsidRDefault="007D1829" w:rsidP="00353B80">
      <w:pPr>
        <w:pStyle w:val="Firm5L4"/>
        <w:keepNext/>
      </w:pPr>
      <w:r>
        <w:t>B</w:t>
      </w:r>
      <w:r w:rsidR="003F0BC5" w:rsidRPr="00992199">
        <w:t>onds: bank covenants and undertakings</w:t>
      </w:r>
    </w:p>
    <w:p w:rsidR="003F0BC5" w:rsidRPr="00992199" w:rsidRDefault="003F0BC5" w:rsidP="003F0BC5">
      <w:pPr>
        <w:rPr>
          <w:szCs w:val="20"/>
        </w:rPr>
      </w:pPr>
      <w:r w:rsidRPr="00992199">
        <w:rPr>
          <w:szCs w:val="20"/>
        </w:rPr>
        <w:t xml:space="preserve">On </w:t>
      </w:r>
      <w:r w:rsidR="007D1829">
        <w:rPr>
          <w:szCs w:val="20"/>
        </w:rPr>
        <w:t xml:space="preserve">5 July 2013 </w:t>
      </w:r>
      <w:r w:rsidR="002A1AB1">
        <w:rPr>
          <w:szCs w:val="20"/>
        </w:rPr>
        <w:t>Greenyard Foods</w:t>
      </w:r>
      <w:r w:rsidR="007D1829">
        <w:rPr>
          <w:szCs w:val="20"/>
        </w:rPr>
        <w:t xml:space="preserve"> issued a B</w:t>
      </w:r>
      <w:r w:rsidRPr="00992199">
        <w:rPr>
          <w:szCs w:val="20"/>
        </w:rPr>
        <w:t xml:space="preserve">ond with a nominal amount of </w:t>
      </w:r>
      <w:r w:rsidR="00E53641">
        <w:rPr>
          <w:szCs w:val="20"/>
        </w:rPr>
        <w:t>EUR </w:t>
      </w:r>
      <w:r w:rsidRPr="00992199">
        <w:rPr>
          <w:szCs w:val="20"/>
        </w:rPr>
        <w:t>150,000,000 and a gross coupon of 5.0% fixed interest and a period of six years. This issued bond loan provides for a number of covenants that applied for the first time as of 31 March 2014 and consist of the following:</w:t>
      </w:r>
    </w:p>
    <w:p w:rsidR="003F0BC5" w:rsidRPr="00992199" w:rsidRDefault="003F0BC5" w:rsidP="007D1829">
      <w:pPr>
        <w:pStyle w:val="BulletsL1"/>
      </w:pPr>
      <w:r w:rsidRPr="00992199">
        <w:t>EBITDA</w:t>
      </w:r>
      <w:r w:rsidR="007D1829">
        <w:t xml:space="preserve"> relative to interest payments </w:t>
      </w:r>
      <w:r w:rsidR="007D1829" w:rsidRPr="007D1829">
        <w:t xml:space="preserve">must be higher than or equal to </w:t>
      </w:r>
      <w:r w:rsidRPr="00992199">
        <w:t>2.00 as at 31 March 2015;</w:t>
      </w:r>
    </w:p>
    <w:p w:rsidR="003F0BC5" w:rsidRPr="00992199" w:rsidRDefault="003F0BC5" w:rsidP="007D1829">
      <w:pPr>
        <w:pStyle w:val="BulletsL1"/>
      </w:pPr>
      <w:r w:rsidRPr="00992199">
        <w:t xml:space="preserve">Debt relative to balance sheet total </w:t>
      </w:r>
      <w:r w:rsidR="007D1829" w:rsidRPr="007D1829">
        <w:t>must be lower than or equal to</w:t>
      </w:r>
      <w:r w:rsidRPr="00992199">
        <w:t xml:space="preserve"> 0.70 as at 31 March 2015.</w:t>
      </w:r>
    </w:p>
    <w:p w:rsidR="003F0BC5" w:rsidRPr="007D1829" w:rsidRDefault="003F0BC5" w:rsidP="003F0BC5">
      <w:pPr>
        <w:rPr>
          <w:szCs w:val="20"/>
        </w:rPr>
      </w:pPr>
      <w:r w:rsidRPr="00992199">
        <w:rPr>
          <w:szCs w:val="20"/>
        </w:rPr>
        <w:t xml:space="preserve">A financial condition step-up change clause applies to the </w:t>
      </w:r>
      <w:r w:rsidR="007D1829">
        <w:rPr>
          <w:szCs w:val="20"/>
        </w:rPr>
        <w:t>Bond</w:t>
      </w:r>
      <w:r w:rsidRPr="00992199">
        <w:rPr>
          <w:szCs w:val="20"/>
        </w:rPr>
        <w:t>, which entails that the interest rate is cumulatively increased with 1.25% per financial condition step-up change. A financial step-up change arises if a violation of one of the above-mentioned bond loan covenants is established</w:t>
      </w:r>
      <w:r w:rsidR="007D1829">
        <w:rPr>
          <w:szCs w:val="20"/>
        </w:rPr>
        <w:t>, which is likely to occur as a result of the Transactions</w:t>
      </w:r>
      <w:r w:rsidRPr="00992199">
        <w:rPr>
          <w:szCs w:val="20"/>
        </w:rPr>
        <w:t>.</w:t>
      </w:r>
      <w:r w:rsidR="007D1829">
        <w:rPr>
          <w:szCs w:val="20"/>
        </w:rPr>
        <w:t xml:space="preserve"> See also Part II (</w:t>
      </w:r>
      <w:r w:rsidR="007D1829">
        <w:rPr>
          <w:i/>
          <w:szCs w:val="20"/>
        </w:rPr>
        <w:t>Risk Factors</w:t>
      </w:r>
      <w:r w:rsidR="007D1829">
        <w:rPr>
          <w:szCs w:val="20"/>
        </w:rPr>
        <w:t>).</w:t>
      </w:r>
    </w:p>
    <w:p w:rsidR="003F0BC5" w:rsidRDefault="003F0BC5" w:rsidP="003F0BC5">
      <w:pPr>
        <w:rPr>
          <w:szCs w:val="20"/>
        </w:rPr>
      </w:pPr>
      <w:r w:rsidRPr="00992199">
        <w:rPr>
          <w:szCs w:val="20"/>
        </w:rPr>
        <w:t xml:space="preserve">The covenants are tested on an annual basis, at the end of each </w:t>
      </w:r>
      <w:r w:rsidR="00C56728">
        <w:rPr>
          <w:szCs w:val="20"/>
        </w:rPr>
        <w:t>financial year</w:t>
      </w:r>
      <w:r w:rsidRPr="00992199">
        <w:rPr>
          <w:szCs w:val="20"/>
        </w:rPr>
        <w:t>, and are reported to the bond holders on annual basis, based on a conformity agreement that is published on the website of the Company. For the testing on the covenants on the bond obligation per 31 March 2015 there were no covenant breaches.</w:t>
      </w:r>
    </w:p>
    <w:p w:rsidR="007D1829" w:rsidRDefault="007D1829" w:rsidP="007D1829">
      <w:pPr>
        <w:rPr>
          <w:szCs w:val="20"/>
        </w:rPr>
      </w:pPr>
      <w:r>
        <w:rPr>
          <w:szCs w:val="20"/>
        </w:rPr>
        <w:t xml:space="preserve">Further, </w:t>
      </w:r>
      <w:r w:rsidRPr="007D1829">
        <w:rPr>
          <w:szCs w:val="20"/>
        </w:rPr>
        <w:t>an event of default occurs under the Bonds if 25% of the turnover of the group is generated by activities of the group (considered as a whole) which differ from the activities that were carried out on the issue date (Section 8 (g) (i) of Part III of the Bonds’ terms and conditions), the realisation of the Contributions would trigger an event of default.</w:t>
      </w:r>
    </w:p>
    <w:p w:rsidR="007D1829" w:rsidRPr="007D1829" w:rsidRDefault="007D1829" w:rsidP="007D1829">
      <w:pPr>
        <w:rPr>
          <w:szCs w:val="20"/>
        </w:rPr>
      </w:pPr>
      <w:r>
        <w:rPr>
          <w:szCs w:val="20"/>
        </w:rPr>
        <w:t xml:space="preserve">In addition, on a semi-annual basis a </w:t>
      </w:r>
      <w:r w:rsidR="00BF553B">
        <w:rPr>
          <w:szCs w:val="20"/>
        </w:rPr>
        <w:t>“</w:t>
      </w:r>
      <w:r>
        <w:rPr>
          <w:szCs w:val="20"/>
        </w:rPr>
        <w:t>guarantor cover requirement</w:t>
      </w:r>
      <w:r w:rsidR="00BF553B">
        <w:rPr>
          <w:szCs w:val="20"/>
        </w:rPr>
        <w:t>”</w:t>
      </w:r>
      <w:r>
        <w:rPr>
          <w:szCs w:val="20"/>
        </w:rPr>
        <w:t xml:space="preserve"> must be satisfied f</w:t>
      </w:r>
      <w:r w:rsidR="00B45F40">
        <w:rPr>
          <w:szCs w:val="20"/>
        </w:rPr>
        <w:t>or the Bond, pursuant to which t</w:t>
      </w:r>
      <w:r w:rsidRPr="007D1829">
        <w:rPr>
          <w:szCs w:val="20"/>
        </w:rPr>
        <w:t xml:space="preserve">he sum of the total assets of </w:t>
      </w:r>
      <w:r w:rsidR="002A1AB1">
        <w:rPr>
          <w:szCs w:val="20"/>
        </w:rPr>
        <w:t>Greenyard Foods</w:t>
      </w:r>
      <w:r w:rsidRPr="007D1829">
        <w:rPr>
          <w:szCs w:val="20"/>
        </w:rPr>
        <w:t xml:space="preserve"> and the Bond </w:t>
      </w:r>
      <w:r>
        <w:rPr>
          <w:szCs w:val="20"/>
        </w:rPr>
        <w:t>g</w:t>
      </w:r>
      <w:r w:rsidRPr="007D1829">
        <w:rPr>
          <w:szCs w:val="20"/>
        </w:rPr>
        <w:t xml:space="preserve">uarantors (each calculated on a non-consolidated basis and with exclusion of all intra-group transactions) must be equal to at least 75% of the consolidated total assets of the group (Section 2.3 of Part III of the Bonds’ terms and conditions). Pursuant to the realisation of the Contributions, </w:t>
      </w:r>
      <w:r w:rsidR="0082672E">
        <w:rPr>
          <w:szCs w:val="20"/>
        </w:rPr>
        <w:t>Univeg</w:t>
      </w:r>
      <w:r w:rsidRPr="007D1829">
        <w:rPr>
          <w:szCs w:val="20"/>
        </w:rPr>
        <w:t xml:space="preserve"> and Peatinvest (and their respective necessary subsidiaries) would need to become guarantors in order for </w:t>
      </w:r>
      <w:r w:rsidR="002A1AB1">
        <w:rPr>
          <w:szCs w:val="20"/>
        </w:rPr>
        <w:t>Greenyard Foods</w:t>
      </w:r>
      <w:r w:rsidRPr="007D1829">
        <w:rPr>
          <w:szCs w:val="20"/>
        </w:rPr>
        <w:t xml:space="preserve"> to comply with the guarantor coverage requirement, which members of the Univeg Group are restricted to do under the terms of the Indenture governing the Notes issued by the Univeg Group. The failure to meet the guarantor coverage requirement post realisation of the Contributions would constitute an event of default.</w:t>
      </w:r>
    </w:p>
    <w:p w:rsidR="007D1829" w:rsidRPr="007D1829" w:rsidRDefault="007D1829" w:rsidP="007D1829">
      <w:pPr>
        <w:rPr>
          <w:szCs w:val="20"/>
        </w:rPr>
      </w:pPr>
      <w:r w:rsidRPr="007D1829">
        <w:rPr>
          <w:szCs w:val="20"/>
        </w:rPr>
        <w:t xml:space="preserve">On 27 March 2015, the </w:t>
      </w:r>
      <w:r w:rsidR="00FE0FEB" w:rsidRPr="00FE0FEB">
        <w:rPr>
          <w:szCs w:val="20"/>
        </w:rPr>
        <w:t xml:space="preserve">Company </w:t>
      </w:r>
      <w:r w:rsidRPr="007D1829">
        <w:rPr>
          <w:szCs w:val="20"/>
        </w:rPr>
        <w:t>decided to convene a bondholders’ meeting to resolve upon the grant of a waiver with respect to the aforementioned Bonds’ terms and conditions in respect of (i) change of activities and (ii) guarantor coverage requirement.</w:t>
      </w:r>
    </w:p>
    <w:p w:rsidR="007D1829" w:rsidRPr="00992199" w:rsidRDefault="007D1829" w:rsidP="007D1829">
      <w:pPr>
        <w:rPr>
          <w:szCs w:val="20"/>
        </w:rPr>
      </w:pPr>
      <w:r w:rsidRPr="007D1829">
        <w:rPr>
          <w:szCs w:val="20"/>
        </w:rPr>
        <w:t xml:space="preserve">If the bondholders do not resolve to grant a waiver to </w:t>
      </w:r>
      <w:r w:rsidR="002A1AB1">
        <w:rPr>
          <w:szCs w:val="20"/>
        </w:rPr>
        <w:t>Greenyard Foods</w:t>
      </w:r>
      <w:r w:rsidRPr="007D1829">
        <w:rPr>
          <w:szCs w:val="20"/>
        </w:rPr>
        <w:t xml:space="preserve"> in this regard, there will be a breach of the Bonds’ terms and conditions and every bondholder would have the right to give written notice to </w:t>
      </w:r>
      <w:r w:rsidR="002A1AB1">
        <w:rPr>
          <w:szCs w:val="20"/>
        </w:rPr>
        <w:t>Greenyard Foods</w:t>
      </w:r>
      <w:r w:rsidRPr="007D1829">
        <w:rPr>
          <w:szCs w:val="20"/>
        </w:rPr>
        <w:t xml:space="preserve"> (with a copy to the agent) to demand that the Bonds held by him become immediately due and repayable at the nominal value together with accrued interests (if any) until the payment date, without the need of further notice or formalities. In order to cover this risk, </w:t>
      </w:r>
      <w:r w:rsidR="002A1AB1">
        <w:rPr>
          <w:szCs w:val="20"/>
        </w:rPr>
        <w:t>Greenyard Foods</w:t>
      </w:r>
      <w:r w:rsidRPr="007D1829">
        <w:rPr>
          <w:szCs w:val="20"/>
        </w:rPr>
        <w:t xml:space="preserve"> has a committed short-term back-up credit facility in place with ING Bank NV and KBC Bank NV so that </w:t>
      </w:r>
      <w:r w:rsidR="002A1AB1">
        <w:rPr>
          <w:szCs w:val="20"/>
        </w:rPr>
        <w:t>Greenyard Foods</w:t>
      </w:r>
      <w:r w:rsidRPr="007D1829">
        <w:rPr>
          <w:szCs w:val="20"/>
        </w:rPr>
        <w:t xml:space="preserve"> shall have the liquidity it needs to repay all amounts due under the Bonds if and to the extent requested by the bondholders at the occasion of the Transactions.</w:t>
      </w:r>
    </w:p>
    <w:p w:rsidR="007D1829" w:rsidRDefault="007D1829" w:rsidP="00353B80">
      <w:pPr>
        <w:pStyle w:val="Firm5L4"/>
        <w:keepNext/>
      </w:pPr>
      <w:r>
        <w:t>R</w:t>
      </w:r>
      <w:r w:rsidRPr="007D1829">
        <w:t xml:space="preserve">evolving facility agreement: bank covenants and undertakings </w:t>
      </w:r>
    </w:p>
    <w:p w:rsidR="003F0BC5" w:rsidRPr="00992199" w:rsidRDefault="003F0BC5" w:rsidP="003F0BC5">
      <w:pPr>
        <w:rPr>
          <w:szCs w:val="20"/>
        </w:rPr>
      </w:pPr>
      <w:r w:rsidRPr="00992199">
        <w:rPr>
          <w:szCs w:val="20"/>
        </w:rPr>
        <w:t xml:space="preserve">As per 16 December 2013 </w:t>
      </w:r>
      <w:r w:rsidR="002A1AB1">
        <w:rPr>
          <w:szCs w:val="20"/>
        </w:rPr>
        <w:t>Greenyard Foods</w:t>
      </w:r>
      <w:r w:rsidRPr="00992199">
        <w:rPr>
          <w:szCs w:val="20"/>
        </w:rPr>
        <w:t xml:space="preserve"> has closed a working capital facility of </w:t>
      </w:r>
      <w:r w:rsidR="00E53641">
        <w:rPr>
          <w:szCs w:val="20"/>
        </w:rPr>
        <w:t>EUR </w:t>
      </w:r>
      <w:r w:rsidRPr="00992199">
        <w:rPr>
          <w:szCs w:val="20"/>
        </w:rPr>
        <w:t>158,500,000 with a bank consortium, which consists of:</w:t>
      </w:r>
    </w:p>
    <w:p w:rsidR="003F0BC5" w:rsidRPr="00992199" w:rsidRDefault="003F0BC5" w:rsidP="00260F9F">
      <w:pPr>
        <w:pStyle w:val="BulletsL1"/>
      </w:pPr>
      <w:r w:rsidRPr="00992199">
        <w:lastRenderedPageBreak/>
        <w:t xml:space="preserve">A revolving credit facility of </w:t>
      </w:r>
      <w:r w:rsidR="00E53641">
        <w:t>EUR </w:t>
      </w:r>
      <w:r w:rsidRPr="00992199">
        <w:t xml:space="preserve">150,000,000 to </w:t>
      </w:r>
      <w:r w:rsidR="002A1AB1">
        <w:t>Greenyard Foods</w:t>
      </w:r>
      <w:r w:rsidRPr="00992199">
        <w:t xml:space="preserve"> with a term of five years for working capital financing purposes. Utilisations within this facility are for a period of one, two, three or six months.</w:t>
      </w:r>
    </w:p>
    <w:p w:rsidR="003F0BC5" w:rsidRPr="00992199" w:rsidRDefault="003F0BC5" w:rsidP="00260F9F">
      <w:pPr>
        <w:pStyle w:val="BulletsL1"/>
      </w:pPr>
      <w:r w:rsidRPr="00992199">
        <w:t xml:space="preserve">A term loan of </w:t>
      </w:r>
      <w:r w:rsidR="00E53641">
        <w:t>EUR </w:t>
      </w:r>
      <w:r w:rsidRPr="00992199">
        <w:t>8,500,000 granted to Noliko Investments NV, consisting of</w:t>
      </w:r>
      <w:r w:rsidR="00FE0FEB">
        <w:t xml:space="preserve"> three </w:t>
      </w:r>
      <w:r w:rsidRPr="00992199">
        <w:t>tranches. Two tranches of this term loan were negotiated with a bank consortium per 19 July 2011 and a third tranche was closed per 13 March 2013. This term loan was replaced per 16 December 2013 according to the terms of the financing that was closed at that date. The loan is repayable in periodical instalments.</w:t>
      </w:r>
    </w:p>
    <w:p w:rsidR="003F0BC5" w:rsidRPr="00992199" w:rsidRDefault="003F0BC5" w:rsidP="003F0BC5">
      <w:pPr>
        <w:rPr>
          <w:szCs w:val="20"/>
        </w:rPr>
      </w:pPr>
      <w:r w:rsidRPr="00992199">
        <w:rPr>
          <w:szCs w:val="20"/>
        </w:rPr>
        <w:t>The applicable interest rate on the various tranches of the working capital financing amou</w:t>
      </w:r>
      <w:r w:rsidR="00A07615">
        <w:rPr>
          <w:szCs w:val="20"/>
        </w:rPr>
        <w:t>nts to EURIBOR + margin. T</w:t>
      </w:r>
      <w:r w:rsidRPr="00992199">
        <w:rPr>
          <w:szCs w:val="20"/>
        </w:rPr>
        <w:t>his margin can amount to a maximum of 3.35% and depends on the leverage ratio.</w:t>
      </w:r>
    </w:p>
    <w:p w:rsidR="00B45F40" w:rsidRDefault="00B45F40" w:rsidP="00B45F40">
      <w:pPr>
        <w:rPr>
          <w:szCs w:val="20"/>
        </w:rPr>
      </w:pPr>
      <w:r w:rsidRPr="0013201E">
        <w:rPr>
          <w:szCs w:val="20"/>
        </w:rPr>
        <w:t>A number of warranties were granted by Greenyard Foods and related companies to the bank consortium following the closing of the financing. These warranties are also granted to the bondholders on a “pari passu” basis. The existing warranties of Noliko Investments NV were released and replaced by warranties granted under the new facility closed per 16 December 2013.</w:t>
      </w:r>
    </w:p>
    <w:p w:rsidR="003F0BC5" w:rsidRDefault="003F0BC5" w:rsidP="003F0BC5">
      <w:pPr>
        <w:rPr>
          <w:szCs w:val="20"/>
        </w:rPr>
      </w:pPr>
      <w:r w:rsidRPr="00992199">
        <w:rPr>
          <w:szCs w:val="20"/>
        </w:rPr>
        <w:t xml:space="preserve">In accordance with IAS 39.43, the transaction costs related to the negotiation of the working capital financing for a total amount of </w:t>
      </w:r>
      <w:r w:rsidR="00E53641">
        <w:rPr>
          <w:szCs w:val="20"/>
        </w:rPr>
        <w:t>EUR </w:t>
      </w:r>
      <w:r w:rsidRPr="00992199">
        <w:rPr>
          <w:szCs w:val="20"/>
        </w:rPr>
        <w:t xml:space="preserve">2,200,000 are recorded as a deduction of the interest-bearing liabilities and are </w:t>
      </w:r>
      <w:r w:rsidR="007D1829">
        <w:rPr>
          <w:szCs w:val="20"/>
        </w:rPr>
        <w:t>accounted for as costs</w:t>
      </w:r>
      <w:r w:rsidRPr="00992199">
        <w:rPr>
          <w:szCs w:val="20"/>
        </w:rPr>
        <w:t xml:space="preserve"> over the term of the financing.</w:t>
      </w:r>
    </w:p>
    <w:p w:rsidR="00B45F40" w:rsidRPr="00947F57" w:rsidRDefault="00B45F40" w:rsidP="00B45F40">
      <w:pPr>
        <w:rPr>
          <w:szCs w:val="20"/>
        </w:rPr>
      </w:pPr>
      <w:r w:rsidRPr="00947F57">
        <w:rPr>
          <w:szCs w:val="20"/>
        </w:rPr>
        <w:t xml:space="preserve">Within the framework of the revolving credit facility that was negotiated on 16 December 2013, several restrictions were imposed in connection with the dividend policy to be employed: </w:t>
      </w:r>
    </w:p>
    <w:p w:rsidR="00B45F40" w:rsidRPr="00947F57" w:rsidRDefault="00B45F40" w:rsidP="00B45F40">
      <w:pPr>
        <w:pStyle w:val="BulletsL1"/>
        <w:rPr>
          <w:szCs w:val="20"/>
        </w:rPr>
      </w:pPr>
      <w:r w:rsidRPr="00947F57">
        <w:rPr>
          <w:szCs w:val="20"/>
        </w:rPr>
        <w:t>the legal limitations need to be followed;</w:t>
      </w:r>
    </w:p>
    <w:p w:rsidR="00B45F40" w:rsidRPr="00947F57" w:rsidRDefault="00B45F40" w:rsidP="00B45F40">
      <w:pPr>
        <w:pStyle w:val="BulletsL1"/>
        <w:rPr>
          <w:szCs w:val="20"/>
        </w:rPr>
      </w:pPr>
      <w:r w:rsidRPr="00B45F40">
        <w:t>dividend</w:t>
      </w:r>
      <w:r w:rsidRPr="00947F57">
        <w:rPr>
          <w:szCs w:val="20"/>
        </w:rPr>
        <w:t xml:space="preserve"> distributions may not exceed 100% of the excess cash flow, which is defined as the cash flow less the interest cost on financing and the voluntary rapyments of financing;</w:t>
      </w:r>
    </w:p>
    <w:p w:rsidR="00B45F40" w:rsidRPr="00992199" w:rsidRDefault="00B45F40" w:rsidP="00B45F40">
      <w:pPr>
        <w:pStyle w:val="BulletsL1"/>
        <w:rPr>
          <w:szCs w:val="20"/>
        </w:rPr>
      </w:pPr>
      <w:r w:rsidRPr="00947F57">
        <w:rPr>
          <w:szCs w:val="20"/>
        </w:rPr>
        <w:t>the gearing ratio as descrived in the financial covenants is not in breach</w:t>
      </w:r>
      <w:r w:rsidR="00C14169">
        <w:rPr>
          <w:szCs w:val="20"/>
        </w:rPr>
        <w:t xml:space="preserve"> </w:t>
      </w:r>
      <w:r w:rsidRPr="00947F57">
        <w:rPr>
          <w:szCs w:val="20"/>
        </w:rPr>
        <w:t>following the distribution of a dividend.</w:t>
      </w:r>
    </w:p>
    <w:p w:rsidR="00B45F40" w:rsidRPr="00992199" w:rsidRDefault="00B45F40" w:rsidP="00B45F40">
      <w:pPr>
        <w:rPr>
          <w:szCs w:val="20"/>
        </w:rPr>
      </w:pPr>
      <w:r w:rsidRPr="00992199">
        <w:rPr>
          <w:szCs w:val="20"/>
        </w:rPr>
        <w:t>The working capital facility that was agreed on 16 December 2013 includes a number of covenants which were applicable for the first time as per 31 March 2014 and consisting of the following:</w:t>
      </w:r>
    </w:p>
    <w:p w:rsidR="00B45F40" w:rsidRPr="00992199" w:rsidRDefault="00B45F40" w:rsidP="00B45F40">
      <w:pPr>
        <w:pStyle w:val="BulletsL1"/>
      </w:pPr>
      <w:r>
        <w:t>Interest cover ratio (consisting in</w:t>
      </w:r>
      <w:r w:rsidRPr="00992199">
        <w:t xml:space="preserve"> EBITDA </w:t>
      </w:r>
      <w:r>
        <w:t>over</w:t>
      </w:r>
      <w:r w:rsidRPr="00992199">
        <w:t xml:space="preserve"> interest payments</w:t>
      </w:r>
      <w:r>
        <w:t xml:space="preserve">) must be equal to or exceed 2.00 per 31 March 2015 and </w:t>
      </w:r>
      <w:r w:rsidRPr="00737251">
        <w:t>must be equal to or exceed 3.00 per 31 March 2016, 31 March 2017 and 31 March 2018</w:t>
      </w:r>
      <w:r>
        <w:t>;</w:t>
      </w:r>
    </w:p>
    <w:p w:rsidR="00B45F40" w:rsidRPr="00992199" w:rsidRDefault="00B45F40" w:rsidP="00B45F40">
      <w:pPr>
        <w:pStyle w:val="BulletsL1"/>
      </w:pPr>
      <w:r>
        <w:t>Debt over</w:t>
      </w:r>
      <w:r w:rsidRPr="00992199">
        <w:t xml:space="preserve"> total assets </w:t>
      </w:r>
      <w:r>
        <w:t>must be lower than or equal to 0.70 per 31 March 2015</w:t>
      </w:r>
      <w:r w:rsidRPr="00737251">
        <w:t xml:space="preserve"> </w:t>
      </w:r>
      <w:r>
        <w:t xml:space="preserve">and </w:t>
      </w:r>
      <w:r w:rsidRPr="00737251">
        <w:t>must be lower than or equal to 0.65 per 31 March 2016, 31 March 2017 and 31 March 2018</w:t>
      </w:r>
    </w:p>
    <w:p w:rsidR="00B45F40" w:rsidRPr="00737251" w:rsidRDefault="00B45F40" w:rsidP="00B45F40">
      <w:pPr>
        <w:pStyle w:val="BulletsL1"/>
      </w:pPr>
      <w:r>
        <w:t>I</w:t>
      </w:r>
      <w:r w:rsidRPr="00992199">
        <w:t xml:space="preserve">nvestments for </w:t>
      </w:r>
      <w:r>
        <w:t>financial year</w:t>
      </w:r>
      <w:r w:rsidRPr="00992199">
        <w:t xml:space="preserve"> ending as per 31 March 2015 </w:t>
      </w:r>
      <w:r>
        <w:t>may not exceed</w:t>
      </w:r>
      <w:r w:rsidRPr="00992199">
        <w:t xml:space="preserve"> </w:t>
      </w:r>
      <w:r w:rsidR="00E53641">
        <w:t>EUR </w:t>
      </w:r>
      <w:r w:rsidRPr="00992199">
        <w:t>39,700,000</w:t>
      </w:r>
      <w:r>
        <w:t>;</w:t>
      </w:r>
      <w:r w:rsidRPr="00737251">
        <w:t xml:space="preserve"> as per 31 March 2016 may not exceed </w:t>
      </w:r>
      <w:r w:rsidR="00E53641">
        <w:t>EUR </w:t>
      </w:r>
      <w:r w:rsidRPr="00737251">
        <w:t xml:space="preserve">35,800,000; as per 31 March 2017 may not exceed </w:t>
      </w:r>
      <w:r w:rsidR="00E53641">
        <w:t>EUR </w:t>
      </w:r>
      <w:r w:rsidRPr="00737251">
        <w:t>28.250.000 and as per 31 March 201</w:t>
      </w:r>
      <w:r>
        <w:t xml:space="preserve">8 may not exceed </w:t>
      </w:r>
      <w:r w:rsidR="00E53641">
        <w:t>EUR </w:t>
      </w:r>
      <w:r>
        <w:t>27.000.000;</w:t>
      </w:r>
    </w:p>
    <w:p w:rsidR="00B45F40" w:rsidRPr="00992199" w:rsidRDefault="00B45F40" w:rsidP="00B45F40">
      <w:pPr>
        <w:pStyle w:val="BulletsL1"/>
      </w:pPr>
      <w:r w:rsidRPr="00992199">
        <w:t>Indebtedness</w:t>
      </w:r>
      <w:r>
        <w:t xml:space="preserve"> </w:t>
      </w:r>
      <w:r w:rsidRPr="00992199">
        <w:t xml:space="preserve">for </w:t>
      </w:r>
      <w:r>
        <w:t>financial year</w:t>
      </w:r>
      <w:r w:rsidRPr="00992199">
        <w:t xml:space="preserve"> ending as per 31 March 2015 </w:t>
      </w:r>
      <w:r>
        <w:t>may not exceed</w:t>
      </w:r>
      <w:r w:rsidRPr="00992199">
        <w:t xml:space="preserve"> </w:t>
      </w:r>
      <w:r w:rsidR="00E53641">
        <w:t>EUR </w:t>
      </w:r>
      <w:r w:rsidRPr="00992199">
        <w:t>225,000,000</w:t>
      </w:r>
      <w:r>
        <w:t xml:space="preserve"> </w:t>
      </w:r>
      <w:r w:rsidRPr="00737251">
        <w:t xml:space="preserve">and may not exceed </w:t>
      </w:r>
      <w:r w:rsidR="00E53641">
        <w:t>EUR </w:t>
      </w:r>
      <w:r w:rsidRPr="00737251">
        <w:t>250,000,000 as per 31 March 2016, 31 March 2017 and 31 March 2018</w:t>
      </w:r>
      <w:r>
        <w:t>.</w:t>
      </w:r>
    </w:p>
    <w:p w:rsidR="003F0BC5" w:rsidRDefault="003F0BC5" w:rsidP="003F0BC5">
      <w:pPr>
        <w:rPr>
          <w:szCs w:val="20"/>
        </w:rPr>
      </w:pPr>
      <w:r w:rsidRPr="00992199">
        <w:rPr>
          <w:szCs w:val="20"/>
        </w:rPr>
        <w:t xml:space="preserve">The covenants are tested on an annual basis, at the end of each </w:t>
      </w:r>
      <w:r w:rsidR="00C56728">
        <w:rPr>
          <w:szCs w:val="20"/>
        </w:rPr>
        <w:t>financial year</w:t>
      </w:r>
      <w:r w:rsidRPr="00992199">
        <w:rPr>
          <w:szCs w:val="20"/>
        </w:rPr>
        <w:t>, and are reported to the lenders on annual basis.</w:t>
      </w:r>
      <w:r w:rsidR="00F13D58">
        <w:rPr>
          <w:szCs w:val="20"/>
        </w:rPr>
        <w:t xml:space="preserve"> </w:t>
      </w:r>
      <w:r w:rsidRPr="00992199">
        <w:rPr>
          <w:szCs w:val="20"/>
        </w:rPr>
        <w:t>The testing on the covenants for the working capital financing per 31 March 2015 took place without any covenant breaches.</w:t>
      </w:r>
    </w:p>
    <w:p w:rsidR="003F0BC5" w:rsidRPr="00992199" w:rsidRDefault="003F0BC5" w:rsidP="00353B80">
      <w:pPr>
        <w:pStyle w:val="Firm5L2"/>
        <w:keepNext/>
      </w:pPr>
      <w:bookmarkStart w:id="71" w:name="_Toc420593884"/>
      <w:r w:rsidRPr="00992199">
        <w:t>Capital expenditure</w:t>
      </w:r>
      <w:bookmarkEnd w:id="71"/>
    </w:p>
    <w:p w:rsidR="00B45F40" w:rsidRPr="00097260" w:rsidRDefault="00B45F40" w:rsidP="00B45F40">
      <w:pPr>
        <w:rPr>
          <w:szCs w:val="20"/>
        </w:rPr>
      </w:pPr>
      <w:r w:rsidRPr="00097260">
        <w:rPr>
          <w:szCs w:val="20"/>
        </w:rPr>
        <w:t xml:space="preserve">The investments in tangible assets amounting in total to </w:t>
      </w:r>
      <w:r w:rsidR="00E53641">
        <w:rPr>
          <w:szCs w:val="20"/>
        </w:rPr>
        <w:t>EUR </w:t>
      </w:r>
      <w:r w:rsidRPr="00097260">
        <w:rPr>
          <w:szCs w:val="20"/>
        </w:rPr>
        <w:t>51,800,000 consi</w:t>
      </w:r>
      <w:r>
        <w:rPr>
          <w:szCs w:val="20"/>
        </w:rPr>
        <w:t>s</w:t>
      </w:r>
      <w:r w:rsidRPr="00737251">
        <w:rPr>
          <w:szCs w:val="20"/>
        </w:rPr>
        <w:t xml:space="preserve">t </w:t>
      </w:r>
      <w:r w:rsidRPr="00097260">
        <w:rPr>
          <w:szCs w:val="20"/>
        </w:rPr>
        <w:t xml:space="preserve">of the acquired production facility of </w:t>
      </w:r>
      <w:smartTag w:uri="urn:schemas-microsoft-com:office:smarttags" w:element="place">
        <w:r w:rsidRPr="00097260">
          <w:rPr>
            <w:szCs w:val="20"/>
          </w:rPr>
          <w:t>King’s Lynn</w:t>
        </w:r>
      </w:smartTag>
      <w:r w:rsidRPr="00097260">
        <w:rPr>
          <w:szCs w:val="20"/>
        </w:rPr>
        <w:t xml:space="preserve"> in July 2014 (</w:t>
      </w:r>
      <w:r w:rsidR="00E53641">
        <w:rPr>
          <w:szCs w:val="20"/>
        </w:rPr>
        <w:t>EUR </w:t>
      </w:r>
      <w:r w:rsidRPr="00097260">
        <w:rPr>
          <w:szCs w:val="20"/>
        </w:rPr>
        <w:t>19,800,000) and the other investments of the accounting period (</w:t>
      </w:r>
      <w:r w:rsidR="00E53641">
        <w:rPr>
          <w:szCs w:val="20"/>
        </w:rPr>
        <w:t>EUR </w:t>
      </w:r>
      <w:r w:rsidRPr="00097260">
        <w:rPr>
          <w:szCs w:val="20"/>
        </w:rPr>
        <w:t>31,000,000).</w:t>
      </w:r>
    </w:p>
    <w:p w:rsidR="00DC0601" w:rsidRPr="00DC0601" w:rsidRDefault="00B45F40" w:rsidP="00B45F40">
      <w:pPr>
        <w:rPr>
          <w:szCs w:val="20"/>
        </w:rPr>
      </w:pPr>
      <w:r w:rsidRPr="00097260">
        <w:rPr>
          <w:szCs w:val="20"/>
        </w:rPr>
        <w:t xml:space="preserve">The other investments in tangible fixed assets amount to </w:t>
      </w:r>
      <w:r w:rsidR="00E53641">
        <w:rPr>
          <w:szCs w:val="20"/>
        </w:rPr>
        <w:t>EUR </w:t>
      </w:r>
      <w:r w:rsidRPr="00097260">
        <w:rPr>
          <w:szCs w:val="20"/>
        </w:rPr>
        <w:t xml:space="preserve">31,000,000 as per 31 March 2015 </w:t>
      </w:r>
      <w:r>
        <w:rPr>
          <w:szCs w:val="20"/>
        </w:rPr>
        <w:t>and</w:t>
      </w:r>
      <w:r w:rsidRPr="00097260">
        <w:rPr>
          <w:szCs w:val="20"/>
        </w:rPr>
        <w:t xml:space="preserve"> consist of investments in ‘land and buildings’ (</w:t>
      </w:r>
      <w:r w:rsidR="00E53641">
        <w:rPr>
          <w:szCs w:val="20"/>
        </w:rPr>
        <w:t>EUR </w:t>
      </w:r>
      <w:r w:rsidRPr="00097260">
        <w:rPr>
          <w:szCs w:val="20"/>
        </w:rPr>
        <w:t>3,900,000), in ‘plant, machinery and equipment’ (</w:t>
      </w:r>
      <w:r w:rsidR="00E53641">
        <w:rPr>
          <w:szCs w:val="20"/>
        </w:rPr>
        <w:t>EUR </w:t>
      </w:r>
      <w:r w:rsidRPr="00097260">
        <w:rPr>
          <w:szCs w:val="20"/>
        </w:rPr>
        <w:t>23,300,000), in ‘furniture and vehicles’ (</w:t>
      </w:r>
      <w:r w:rsidR="00E53641">
        <w:rPr>
          <w:szCs w:val="20"/>
        </w:rPr>
        <w:t>EUR </w:t>
      </w:r>
      <w:r w:rsidRPr="00097260">
        <w:rPr>
          <w:szCs w:val="20"/>
        </w:rPr>
        <w:t>1,300,000) and ‘other tangible fixed assets’ (</w:t>
      </w:r>
      <w:r w:rsidR="00E53641">
        <w:rPr>
          <w:szCs w:val="20"/>
        </w:rPr>
        <w:t>EUR </w:t>
      </w:r>
      <w:r w:rsidRPr="00097260">
        <w:rPr>
          <w:szCs w:val="20"/>
        </w:rPr>
        <w:t>2,500,000).</w:t>
      </w:r>
    </w:p>
    <w:p w:rsidR="003F0BC5" w:rsidRPr="00992199" w:rsidRDefault="003F0BC5" w:rsidP="00353B80">
      <w:pPr>
        <w:pStyle w:val="Firm5L2"/>
        <w:keepNext/>
      </w:pPr>
      <w:bookmarkStart w:id="72" w:name="_Toc420593885"/>
      <w:r w:rsidRPr="00992199">
        <w:t>Contractual obligations and other commitments</w:t>
      </w:r>
      <w:bookmarkEnd w:id="72"/>
    </w:p>
    <w:p w:rsidR="003F0BC5" w:rsidRPr="00992199" w:rsidRDefault="003F0BC5" w:rsidP="00353B80">
      <w:pPr>
        <w:pStyle w:val="Firm5L3"/>
        <w:keepNext/>
      </w:pPr>
      <w:r w:rsidRPr="00992199">
        <w:t>Commitments concerning investments in tangible fixed assets</w:t>
      </w:r>
    </w:p>
    <w:p w:rsidR="003F0BC5" w:rsidRPr="00992199" w:rsidRDefault="003F0BC5" w:rsidP="003F0BC5">
      <w:pPr>
        <w:rPr>
          <w:szCs w:val="20"/>
        </w:rPr>
      </w:pPr>
      <w:r w:rsidRPr="00992199">
        <w:rPr>
          <w:szCs w:val="20"/>
        </w:rPr>
        <w:t xml:space="preserve">At 31 March 2015 the Frozen Division had commitments to acquire fixed assets in an amount of </w:t>
      </w:r>
      <w:r w:rsidR="00E53641">
        <w:rPr>
          <w:szCs w:val="20"/>
        </w:rPr>
        <w:t>EUR </w:t>
      </w:r>
      <w:r w:rsidRPr="00992199">
        <w:rPr>
          <w:szCs w:val="20"/>
        </w:rPr>
        <w:t xml:space="preserve">1,800,000 (at 31 March 2014: </w:t>
      </w:r>
      <w:r w:rsidR="00E53641">
        <w:rPr>
          <w:szCs w:val="20"/>
        </w:rPr>
        <w:t>EUR </w:t>
      </w:r>
      <w:r w:rsidRPr="00992199">
        <w:rPr>
          <w:szCs w:val="20"/>
        </w:rPr>
        <w:t xml:space="preserve">1,100,000). This mainly relates to various small investments in the </w:t>
      </w:r>
      <w:smartTag w:uri="urn:schemas-microsoft-com:office:smarttags" w:element="country-region">
        <w:r w:rsidRPr="00992199">
          <w:rPr>
            <w:szCs w:val="20"/>
          </w:rPr>
          <w:t>United Kingdom</w:t>
        </w:r>
      </w:smartTag>
      <w:r w:rsidRPr="00992199">
        <w:rPr>
          <w:szCs w:val="20"/>
        </w:rPr>
        <w:t xml:space="preserve"> </w:t>
      </w:r>
      <w:r w:rsidRPr="00992199">
        <w:rPr>
          <w:szCs w:val="20"/>
        </w:rPr>
        <w:lastRenderedPageBreak/>
        <w:t xml:space="preserve">for an amount of </w:t>
      </w:r>
      <w:r w:rsidR="00E53641">
        <w:rPr>
          <w:szCs w:val="20"/>
        </w:rPr>
        <w:t>EUR </w:t>
      </w:r>
      <w:r w:rsidRPr="00992199">
        <w:rPr>
          <w:szCs w:val="20"/>
        </w:rPr>
        <w:t xml:space="preserve">800,000, in </w:t>
      </w:r>
      <w:smartTag w:uri="urn:schemas-microsoft-com:office:smarttags" w:element="country-region">
        <w:r w:rsidRPr="00992199">
          <w:rPr>
            <w:szCs w:val="20"/>
          </w:rPr>
          <w:t>Hungary</w:t>
        </w:r>
      </w:smartTag>
      <w:r w:rsidRPr="00992199">
        <w:rPr>
          <w:szCs w:val="20"/>
        </w:rPr>
        <w:t xml:space="preserve"> for a total amount of </w:t>
      </w:r>
      <w:r w:rsidR="00E53641">
        <w:rPr>
          <w:szCs w:val="20"/>
        </w:rPr>
        <w:t>EUR </w:t>
      </w:r>
      <w:r w:rsidRPr="00992199">
        <w:rPr>
          <w:szCs w:val="20"/>
        </w:rPr>
        <w:t xml:space="preserve">200,000 and </w:t>
      </w:r>
      <w:smartTag w:uri="urn:schemas-microsoft-com:office:smarttags" w:element="country-region">
        <w:smartTag w:uri="urn:schemas-microsoft-com:office:smarttags" w:element="place">
          <w:r w:rsidRPr="00992199">
            <w:rPr>
              <w:szCs w:val="20"/>
            </w:rPr>
            <w:t>France</w:t>
          </w:r>
        </w:smartTag>
      </w:smartTag>
      <w:r w:rsidRPr="00992199">
        <w:rPr>
          <w:szCs w:val="20"/>
        </w:rPr>
        <w:t xml:space="preserve"> for a total amount of </w:t>
      </w:r>
      <w:r w:rsidR="00E53641">
        <w:rPr>
          <w:szCs w:val="20"/>
        </w:rPr>
        <w:t>EUR </w:t>
      </w:r>
      <w:r w:rsidRPr="00992199">
        <w:rPr>
          <w:szCs w:val="20"/>
        </w:rPr>
        <w:t>800,000.</w:t>
      </w:r>
    </w:p>
    <w:p w:rsidR="003F0BC5" w:rsidRPr="00992199" w:rsidRDefault="003F0BC5" w:rsidP="003F0BC5">
      <w:pPr>
        <w:rPr>
          <w:szCs w:val="20"/>
        </w:rPr>
      </w:pPr>
      <w:r w:rsidRPr="00992199">
        <w:rPr>
          <w:szCs w:val="20"/>
        </w:rPr>
        <w:t xml:space="preserve">At 31 March 2015 the Canning Division had commitments to acquire fixed assets in an amount of </w:t>
      </w:r>
      <w:r w:rsidR="00E53641">
        <w:rPr>
          <w:szCs w:val="20"/>
        </w:rPr>
        <w:t>EUR </w:t>
      </w:r>
      <w:r w:rsidRPr="00992199">
        <w:rPr>
          <w:szCs w:val="20"/>
        </w:rPr>
        <w:t xml:space="preserve">2,300,000 (at 31 March 2014: </w:t>
      </w:r>
      <w:r w:rsidR="00E53641">
        <w:rPr>
          <w:szCs w:val="20"/>
        </w:rPr>
        <w:t>EUR </w:t>
      </w:r>
      <w:r w:rsidRPr="00992199">
        <w:rPr>
          <w:szCs w:val="20"/>
        </w:rPr>
        <w:t>4,800,000). This mainly relates to a new steriliser and a freezer and several small replacement and efficiency investments.</w:t>
      </w:r>
    </w:p>
    <w:p w:rsidR="003F0BC5" w:rsidRPr="00992199" w:rsidRDefault="003F0BC5" w:rsidP="00353B80">
      <w:pPr>
        <w:pStyle w:val="Firm5L3"/>
        <w:keepNext/>
        <w:keepLines/>
      </w:pPr>
      <w:r w:rsidRPr="00992199">
        <w:t>Procurement of fresh vegetables</w:t>
      </w:r>
    </w:p>
    <w:p w:rsidR="003F0BC5" w:rsidRPr="00992199" w:rsidRDefault="003F0BC5" w:rsidP="00A07615">
      <w:pPr>
        <w:rPr>
          <w:szCs w:val="20"/>
        </w:rPr>
      </w:pPr>
      <w:r w:rsidRPr="00992199">
        <w:rPr>
          <w:szCs w:val="20"/>
        </w:rPr>
        <w:t xml:space="preserve">The Frozen Division has concluded sowing and purchase contracts with a number of farmers for the procurement of fresh vegetables from the harvests in the financial year 2015-2016. Contracts </w:t>
      </w:r>
      <w:r w:rsidR="00E34880">
        <w:rPr>
          <w:szCs w:val="20"/>
        </w:rPr>
        <w:t>totalling</w:t>
      </w:r>
      <w:r w:rsidRPr="00992199">
        <w:rPr>
          <w:szCs w:val="20"/>
        </w:rPr>
        <w:t xml:space="preserve"> </w:t>
      </w:r>
      <w:r w:rsidR="00E53641">
        <w:rPr>
          <w:szCs w:val="20"/>
        </w:rPr>
        <w:t>EUR </w:t>
      </w:r>
      <w:r w:rsidRPr="00992199">
        <w:rPr>
          <w:szCs w:val="20"/>
        </w:rPr>
        <w:t xml:space="preserve">99,200,000 (together with the </w:t>
      </w:r>
      <w:smartTag w:uri="urn:schemas-microsoft-com:office:smarttags" w:element="country-region">
        <w:r w:rsidRPr="00992199">
          <w:rPr>
            <w:szCs w:val="20"/>
          </w:rPr>
          <w:t>United Kingdom</w:t>
        </w:r>
      </w:smartTag>
      <w:r w:rsidRPr="00992199">
        <w:rPr>
          <w:szCs w:val="20"/>
        </w:rPr>
        <w:t xml:space="preserve">, </w:t>
      </w:r>
      <w:smartTag w:uri="urn:schemas-microsoft-com:office:smarttags" w:element="country-region">
        <w:r w:rsidRPr="00992199">
          <w:rPr>
            <w:szCs w:val="20"/>
          </w:rPr>
          <w:t>Poland</w:t>
        </w:r>
      </w:smartTag>
      <w:r w:rsidRPr="00992199">
        <w:rPr>
          <w:szCs w:val="20"/>
        </w:rPr>
        <w:t xml:space="preserve">, </w:t>
      </w:r>
      <w:smartTag w:uri="urn:schemas-microsoft-com:office:smarttags" w:element="country-region">
        <w:r w:rsidRPr="00992199">
          <w:rPr>
            <w:szCs w:val="20"/>
          </w:rPr>
          <w:t>Hungary</w:t>
        </w:r>
      </w:smartTag>
      <w:r w:rsidRPr="00992199">
        <w:rPr>
          <w:szCs w:val="20"/>
        </w:rPr>
        <w:t xml:space="preserve"> and </w:t>
      </w:r>
      <w:smartTag w:uri="urn:schemas-microsoft-com:office:smarttags" w:element="country-region">
        <w:smartTag w:uri="urn:schemas-microsoft-com:office:smarttags" w:element="place">
          <w:r w:rsidRPr="00992199">
            <w:rPr>
              <w:szCs w:val="20"/>
            </w:rPr>
            <w:t>France</w:t>
          </w:r>
        </w:smartTag>
      </w:smartTag>
      <w:r w:rsidRPr="00992199">
        <w:rPr>
          <w:szCs w:val="20"/>
        </w:rPr>
        <w:t xml:space="preserve">), for the procurement of fresh vegetables, had been concluded at 31 March 2015 (at 31 March 2014: </w:t>
      </w:r>
      <w:r w:rsidR="00E53641">
        <w:rPr>
          <w:szCs w:val="20"/>
        </w:rPr>
        <w:t>EUR </w:t>
      </w:r>
      <w:r w:rsidRPr="00992199">
        <w:rPr>
          <w:szCs w:val="20"/>
        </w:rPr>
        <w:t>113,700,000). This amount can fluctuate as a function of climate conditions and market prices for fresh vegetables.</w:t>
      </w:r>
    </w:p>
    <w:p w:rsidR="003F0BC5" w:rsidRPr="00992199" w:rsidRDefault="003F0BC5" w:rsidP="003F0BC5">
      <w:pPr>
        <w:rPr>
          <w:szCs w:val="20"/>
        </w:rPr>
      </w:pPr>
      <w:r w:rsidRPr="00992199">
        <w:rPr>
          <w:szCs w:val="20"/>
        </w:rPr>
        <w:t xml:space="preserve">The Canning Division has concluded sowing and purchase contracts with a number of farmers for the procurement of fresh vegetables from the harvests in the financial year 2015-2016. Contracts </w:t>
      </w:r>
      <w:r w:rsidR="00E34880">
        <w:rPr>
          <w:szCs w:val="20"/>
        </w:rPr>
        <w:t>totalling</w:t>
      </w:r>
      <w:r w:rsidRPr="00992199">
        <w:rPr>
          <w:szCs w:val="20"/>
        </w:rPr>
        <w:t xml:space="preserve"> </w:t>
      </w:r>
      <w:r w:rsidR="00E53641">
        <w:rPr>
          <w:szCs w:val="20"/>
        </w:rPr>
        <w:t>EUR </w:t>
      </w:r>
      <w:r w:rsidRPr="00992199">
        <w:rPr>
          <w:szCs w:val="20"/>
        </w:rPr>
        <w:t xml:space="preserve">11,000,000 for the procurement of fresh vegetables had been concluded at 31 March 2015 (at 31 March 2014: </w:t>
      </w:r>
      <w:r w:rsidR="00E53641">
        <w:rPr>
          <w:szCs w:val="20"/>
        </w:rPr>
        <w:t>EUR </w:t>
      </w:r>
      <w:r w:rsidRPr="00992199">
        <w:rPr>
          <w:szCs w:val="20"/>
        </w:rPr>
        <w:t>11,900,000). This amount can fluctuate as a function of climate conditions and market prices for fresh vegetables.</w:t>
      </w:r>
    </w:p>
    <w:p w:rsidR="003F0BC5" w:rsidRPr="00992199" w:rsidRDefault="003F0BC5" w:rsidP="00353B80">
      <w:pPr>
        <w:pStyle w:val="Firm5L3"/>
        <w:keepNext/>
      </w:pPr>
      <w:r w:rsidRPr="00992199">
        <w:t>Rent and operating leases</w:t>
      </w:r>
    </w:p>
    <w:p w:rsidR="003F0BC5" w:rsidRPr="00992199" w:rsidRDefault="003F0BC5" w:rsidP="003F0BC5">
      <w:pPr>
        <w:rPr>
          <w:szCs w:val="20"/>
        </w:rPr>
      </w:pPr>
      <w:r w:rsidRPr="00992199">
        <w:rPr>
          <w:szCs w:val="20"/>
        </w:rPr>
        <w:t xml:space="preserve">The </w:t>
      </w:r>
      <w:r w:rsidR="002A1AB1">
        <w:rPr>
          <w:szCs w:val="20"/>
        </w:rPr>
        <w:t>Greenyard Foods</w:t>
      </w:r>
      <w:r w:rsidRPr="00992199">
        <w:rPr>
          <w:szCs w:val="20"/>
        </w:rPr>
        <w:t xml:space="preserve"> Group has concluded rental and lease contracts, mainly for buildings and vehicles. The tables below give an overview of the current value of non-cancellable rental and lease contracts by maturity period.</w:t>
      </w:r>
    </w:p>
    <w:tbl>
      <w:tblPr>
        <w:tblW w:w="5000" w:type="pct"/>
        <w:tblLook w:val="0000" w:firstRow="0" w:lastRow="0" w:firstColumn="0" w:lastColumn="0" w:noHBand="0" w:noVBand="0"/>
      </w:tblPr>
      <w:tblGrid>
        <w:gridCol w:w="5525"/>
        <w:gridCol w:w="1899"/>
        <w:gridCol w:w="1821"/>
      </w:tblGrid>
      <w:tr w:rsidR="00AB62FC" w:rsidRPr="00C14674" w:rsidTr="00AB62FC">
        <w:trPr>
          <w:trHeight w:val="255"/>
        </w:trPr>
        <w:tc>
          <w:tcPr>
            <w:tcW w:w="2988" w:type="pct"/>
            <w:shd w:val="clear" w:color="auto" w:fill="auto"/>
            <w:vAlign w:val="center"/>
          </w:tcPr>
          <w:p w:rsidR="00AB62FC" w:rsidRPr="00C14674" w:rsidRDefault="00AB62FC" w:rsidP="00AB62FC">
            <w:pPr>
              <w:tabs>
                <w:tab w:val="right" w:leader="dot" w:pos="4536"/>
              </w:tabs>
              <w:spacing w:before="0" w:after="0"/>
              <w:rPr>
                <w:i/>
                <w:sz w:val="18"/>
                <w:szCs w:val="18"/>
              </w:rPr>
            </w:pPr>
            <w:r w:rsidRPr="00C14674">
              <w:rPr>
                <w:i/>
                <w:sz w:val="18"/>
                <w:szCs w:val="18"/>
              </w:rPr>
              <w:t>(</w:t>
            </w:r>
            <w:r w:rsidR="00E53641">
              <w:rPr>
                <w:i/>
                <w:sz w:val="18"/>
                <w:szCs w:val="18"/>
              </w:rPr>
              <w:t>EUR </w:t>
            </w:r>
            <w:r w:rsidRPr="00C14674">
              <w:rPr>
                <w:i/>
                <w:sz w:val="18"/>
                <w:szCs w:val="18"/>
              </w:rPr>
              <w:t>in millions)</w:t>
            </w:r>
          </w:p>
        </w:tc>
        <w:tc>
          <w:tcPr>
            <w:tcW w:w="1027" w:type="pct"/>
            <w:shd w:val="clear" w:color="auto" w:fill="auto"/>
            <w:vAlign w:val="center"/>
          </w:tcPr>
          <w:p w:rsidR="00AB62FC" w:rsidRPr="00C14674" w:rsidRDefault="00AB62FC" w:rsidP="00AB62FC">
            <w:pPr>
              <w:pBdr>
                <w:bottom w:val="single" w:sz="4" w:space="1" w:color="auto"/>
              </w:pBdr>
              <w:spacing w:before="0" w:after="0"/>
              <w:jc w:val="center"/>
              <w:rPr>
                <w:b/>
                <w:sz w:val="18"/>
                <w:szCs w:val="18"/>
              </w:rPr>
            </w:pPr>
            <w:r w:rsidRPr="00C14674">
              <w:rPr>
                <w:b/>
                <w:sz w:val="18"/>
                <w:szCs w:val="18"/>
              </w:rPr>
              <w:t>31 March 2015</w:t>
            </w:r>
          </w:p>
        </w:tc>
        <w:tc>
          <w:tcPr>
            <w:tcW w:w="985" w:type="pct"/>
            <w:shd w:val="clear" w:color="auto" w:fill="auto"/>
            <w:vAlign w:val="center"/>
          </w:tcPr>
          <w:p w:rsidR="00AB62FC" w:rsidRPr="00C14674" w:rsidRDefault="00AB62FC" w:rsidP="00AB62FC">
            <w:pPr>
              <w:pBdr>
                <w:bottom w:val="single" w:sz="4" w:space="1" w:color="auto"/>
              </w:pBdr>
              <w:spacing w:before="0" w:after="0"/>
              <w:jc w:val="center"/>
              <w:rPr>
                <w:b/>
                <w:sz w:val="18"/>
                <w:szCs w:val="18"/>
              </w:rPr>
            </w:pPr>
            <w:r w:rsidRPr="00C14674">
              <w:rPr>
                <w:b/>
                <w:sz w:val="18"/>
                <w:szCs w:val="18"/>
              </w:rPr>
              <w:t>31 March 2014</w:t>
            </w:r>
          </w:p>
        </w:tc>
      </w:tr>
      <w:tr w:rsidR="00AB62FC" w:rsidRPr="00C14674" w:rsidTr="00AB62FC">
        <w:trPr>
          <w:trHeight w:val="255"/>
        </w:trPr>
        <w:tc>
          <w:tcPr>
            <w:tcW w:w="2988" w:type="pct"/>
            <w:shd w:val="clear" w:color="auto" w:fill="auto"/>
            <w:noWrap/>
            <w:vAlign w:val="center"/>
          </w:tcPr>
          <w:p w:rsidR="00AB62FC" w:rsidRPr="00C14674" w:rsidRDefault="00AB62FC" w:rsidP="00AB62FC">
            <w:pPr>
              <w:tabs>
                <w:tab w:val="right" w:leader="dot" w:pos="4536"/>
              </w:tabs>
              <w:spacing w:before="0" w:after="0"/>
              <w:rPr>
                <w:sz w:val="18"/>
                <w:szCs w:val="18"/>
              </w:rPr>
            </w:pPr>
            <w:r w:rsidRPr="00C14674">
              <w:rPr>
                <w:sz w:val="18"/>
                <w:szCs w:val="18"/>
              </w:rPr>
              <w:t xml:space="preserve">Within 1 year </w:t>
            </w:r>
            <w:r w:rsidRPr="00C14674">
              <w:rPr>
                <w:sz w:val="18"/>
                <w:szCs w:val="18"/>
              </w:rPr>
              <w:tab/>
            </w:r>
          </w:p>
        </w:tc>
        <w:tc>
          <w:tcPr>
            <w:tcW w:w="1027" w:type="pct"/>
            <w:shd w:val="clear" w:color="auto" w:fill="auto"/>
            <w:vAlign w:val="center"/>
          </w:tcPr>
          <w:p w:rsidR="00AB62FC" w:rsidRPr="00C14674" w:rsidRDefault="00AB62FC" w:rsidP="00AB62FC">
            <w:pPr>
              <w:spacing w:before="0" w:after="0"/>
              <w:jc w:val="right"/>
              <w:rPr>
                <w:sz w:val="18"/>
                <w:szCs w:val="18"/>
                <w:lang w:eastAsia="zh-CN"/>
              </w:rPr>
            </w:pPr>
            <w:r w:rsidRPr="00C14674">
              <w:rPr>
                <w:sz w:val="18"/>
                <w:szCs w:val="18"/>
                <w:lang w:eastAsia="zh-CN"/>
              </w:rPr>
              <w:t>8.1</w:t>
            </w:r>
          </w:p>
        </w:tc>
        <w:tc>
          <w:tcPr>
            <w:tcW w:w="985" w:type="pct"/>
            <w:shd w:val="clear" w:color="auto" w:fill="auto"/>
            <w:vAlign w:val="center"/>
          </w:tcPr>
          <w:p w:rsidR="00AB62FC" w:rsidRPr="00C14674" w:rsidRDefault="00AB62FC" w:rsidP="00AB62FC">
            <w:pPr>
              <w:spacing w:before="0" w:after="0"/>
              <w:jc w:val="right"/>
              <w:rPr>
                <w:sz w:val="18"/>
                <w:szCs w:val="18"/>
                <w:lang w:eastAsia="zh-CN"/>
              </w:rPr>
            </w:pPr>
            <w:r w:rsidRPr="00C14674">
              <w:rPr>
                <w:sz w:val="18"/>
                <w:szCs w:val="18"/>
                <w:lang w:eastAsia="zh-CN"/>
              </w:rPr>
              <w:t>10.2</w:t>
            </w:r>
          </w:p>
        </w:tc>
      </w:tr>
      <w:tr w:rsidR="00AB62FC" w:rsidRPr="00C14674" w:rsidTr="00AB62FC">
        <w:trPr>
          <w:trHeight w:val="255"/>
        </w:trPr>
        <w:tc>
          <w:tcPr>
            <w:tcW w:w="2988" w:type="pct"/>
            <w:shd w:val="clear" w:color="auto" w:fill="auto"/>
            <w:noWrap/>
            <w:vAlign w:val="center"/>
          </w:tcPr>
          <w:p w:rsidR="00AB62FC" w:rsidRPr="00C14674" w:rsidRDefault="00AB62FC" w:rsidP="00AB62FC">
            <w:pPr>
              <w:tabs>
                <w:tab w:val="right" w:leader="dot" w:pos="4536"/>
              </w:tabs>
              <w:spacing w:before="0" w:after="0"/>
              <w:rPr>
                <w:sz w:val="18"/>
                <w:szCs w:val="18"/>
              </w:rPr>
            </w:pPr>
            <w:r w:rsidRPr="00C14674">
              <w:rPr>
                <w:sz w:val="18"/>
                <w:szCs w:val="18"/>
              </w:rPr>
              <w:t xml:space="preserve">Between 1 and 5 years </w:t>
            </w:r>
            <w:r w:rsidRPr="00C14674">
              <w:rPr>
                <w:sz w:val="18"/>
                <w:szCs w:val="18"/>
              </w:rPr>
              <w:tab/>
            </w:r>
          </w:p>
        </w:tc>
        <w:tc>
          <w:tcPr>
            <w:tcW w:w="1027" w:type="pct"/>
            <w:shd w:val="clear" w:color="auto" w:fill="auto"/>
            <w:vAlign w:val="center"/>
          </w:tcPr>
          <w:p w:rsidR="00AB62FC" w:rsidRPr="00C14674" w:rsidRDefault="00AB62FC" w:rsidP="00AB62FC">
            <w:pPr>
              <w:spacing w:before="0" w:after="0"/>
              <w:jc w:val="right"/>
              <w:rPr>
                <w:sz w:val="18"/>
                <w:szCs w:val="18"/>
                <w:lang w:eastAsia="zh-CN"/>
              </w:rPr>
            </w:pPr>
            <w:r w:rsidRPr="00C14674">
              <w:rPr>
                <w:sz w:val="18"/>
                <w:szCs w:val="18"/>
                <w:lang w:eastAsia="zh-CN"/>
              </w:rPr>
              <w:t>27.2</w:t>
            </w:r>
          </w:p>
        </w:tc>
        <w:tc>
          <w:tcPr>
            <w:tcW w:w="985" w:type="pct"/>
            <w:shd w:val="clear" w:color="auto" w:fill="auto"/>
            <w:vAlign w:val="center"/>
          </w:tcPr>
          <w:p w:rsidR="00AB62FC" w:rsidRPr="00C14674" w:rsidRDefault="00AB62FC" w:rsidP="00AB62FC">
            <w:pPr>
              <w:spacing w:before="0" w:after="0"/>
              <w:jc w:val="right"/>
              <w:rPr>
                <w:sz w:val="18"/>
                <w:szCs w:val="18"/>
                <w:lang w:eastAsia="zh-CN"/>
              </w:rPr>
            </w:pPr>
            <w:r w:rsidRPr="00C14674">
              <w:rPr>
                <w:sz w:val="18"/>
                <w:szCs w:val="18"/>
                <w:lang w:eastAsia="zh-CN"/>
              </w:rPr>
              <w:t>32.1</w:t>
            </w:r>
          </w:p>
        </w:tc>
      </w:tr>
      <w:tr w:rsidR="00AB62FC" w:rsidRPr="00C14674" w:rsidTr="00AB62FC">
        <w:trPr>
          <w:trHeight w:val="255"/>
        </w:trPr>
        <w:tc>
          <w:tcPr>
            <w:tcW w:w="2988" w:type="pct"/>
            <w:shd w:val="clear" w:color="auto" w:fill="auto"/>
            <w:noWrap/>
            <w:vAlign w:val="center"/>
          </w:tcPr>
          <w:p w:rsidR="00AB62FC" w:rsidRPr="00C14674" w:rsidRDefault="00AB62FC" w:rsidP="00AB62FC">
            <w:pPr>
              <w:tabs>
                <w:tab w:val="right" w:leader="dot" w:pos="4536"/>
              </w:tabs>
              <w:spacing w:before="0" w:after="0"/>
              <w:rPr>
                <w:sz w:val="18"/>
                <w:szCs w:val="18"/>
              </w:rPr>
            </w:pPr>
            <w:r w:rsidRPr="00C14674">
              <w:rPr>
                <w:sz w:val="18"/>
                <w:szCs w:val="18"/>
              </w:rPr>
              <w:t xml:space="preserve">After 5 years </w:t>
            </w:r>
            <w:r w:rsidRPr="00C14674">
              <w:rPr>
                <w:sz w:val="18"/>
                <w:szCs w:val="18"/>
              </w:rPr>
              <w:tab/>
            </w:r>
          </w:p>
        </w:tc>
        <w:tc>
          <w:tcPr>
            <w:tcW w:w="1027" w:type="pct"/>
            <w:shd w:val="clear" w:color="auto" w:fill="auto"/>
            <w:vAlign w:val="center"/>
          </w:tcPr>
          <w:p w:rsidR="00AB62FC" w:rsidRPr="00C14674" w:rsidRDefault="00AB62FC" w:rsidP="00AB62FC">
            <w:pPr>
              <w:pBdr>
                <w:bottom w:val="single" w:sz="4" w:space="1" w:color="auto"/>
              </w:pBdr>
              <w:spacing w:before="0" w:after="0"/>
              <w:jc w:val="right"/>
              <w:rPr>
                <w:sz w:val="18"/>
                <w:szCs w:val="18"/>
                <w:lang w:eastAsia="zh-CN"/>
              </w:rPr>
            </w:pPr>
            <w:r w:rsidRPr="00C14674">
              <w:rPr>
                <w:sz w:val="18"/>
                <w:szCs w:val="18"/>
                <w:lang w:eastAsia="zh-CN"/>
              </w:rPr>
              <w:t>28.6</w:t>
            </w:r>
          </w:p>
        </w:tc>
        <w:tc>
          <w:tcPr>
            <w:tcW w:w="985" w:type="pct"/>
            <w:shd w:val="clear" w:color="auto" w:fill="auto"/>
            <w:vAlign w:val="center"/>
          </w:tcPr>
          <w:p w:rsidR="00AB62FC" w:rsidRPr="00C14674" w:rsidRDefault="00AB62FC" w:rsidP="00AB62FC">
            <w:pPr>
              <w:pBdr>
                <w:bottom w:val="single" w:sz="4" w:space="1" w:color="auto"/>
              </w:pBdr>
              <w:spacing w:before="0" w:after="0"/>
              <w:jc w:val="right"/>
              <w:rPr>
                <w:sz w:val="18"/>
                <w:szCs w:val="18"/>
                <w:lang w:eastAsia="zh-CN"/>
              </w:rPr>
            </w:pPr>
            <w:r w:rsidRPr="00C14674">
              <w:rPr>
                <w:sz w:val="18"/>
                <w:szCs w:val="18"/>
                <w:lang w:eastAsia="zh-CN"/>
              </w:rPr>
              <w:t>33.9</w:t>
            </w:r>
          </w:p>
        </w:tc>
      </w:tr>
      <w:tr w:rsidR="00AB62FC" w:rsidRPr="00C14674" w:rsidTr="00AB62FC">
        <w:trPr>
          <w:trHeight w:val="255"/>
        </w:trPr>
        <w:tc>
          <w:tcPr>
            <w:tcW w:w="2988" w:type="pct"/>
            <w:shd w:val="clear" w:color="auto" w:fill="auto"/>
            <w:noWrap/>
            <w:vAlign w:val="center"/>
          </w:tcPr>
          <w:p w:rsidR="00AB62FC" w:rsidRPr="00C14674" w:rsidRDefault="00AB62FC" w:rsidP="00AB62FC">
            <w:pPr>
              <w:tabs>
                <w:tab w:val="right" w:leader="dot" w:pos="4536"/>
              </w:tabs>
              <w:spacing w:before="0" w:after="0"/>
              <w:rPr>
                <w:b/>
                <w:sz w:val="18"/>
                <w:szCs w:val="18"/>
              </w:rPr>
            </w:pPr>
            <w:r w:rsidRPr="00C14674">
              <w:rPr>
                <w:b/>
                <w:sz w:val="18"/>
                <w:szCs w:val="18"/>
              </w:rPr>
              <w:t xml:space="preserve">Rent and operating leases: future payments </w:t>
            </w:r>
            <w:r w:rsidRPr="00C14674">
              <w:rPr>
                <w:sz w:val="18"/>
                <w:szCs w:val="18"/>
              </w:rPr>
              <w:tab/>
            </w:r>
          </w:p>
        </w:tc>
        <w:tc>
          <w:tcPr>
            <w:tcW w:w="1027" w:type="pct"/>
            <w:shd w:val="clear" w:color="auto" w:fill="auto"/>
            <w:vAlign w:val="center"/>
          </w:tcPr>
          <w:p w:rsidR="00AB62FC" w:rsidRPr="00C14674" w:rsidRDefault="00AB62FC" w:rsidP="00AB62FC">
            <w:pPr>
              <w:pBdr>
                <w:bottom w:val="double" w:sz="4" w:space="0" w:color="auto"/>
              </w:pBdr>
              <w:spacing w:before="0" w:after="0"/>
              <w:jc w:val="right"/>
              <w:rPr>
                <w:b/>
                <w:sz w:val="18"/>
                <w:szCs w:val="18"/>
                <w:lang w:eastAsia="zh-CN"/>
              </w:rPr>
            </w:pPr>
            <w:r w:rsidRPr="00C14674">
              <w:rPr>
                <w:b/>
                <w:sz w:val="18"/>
                <w:szCs w:val="18"/>
                <w:lang w:eastAsia="zh-CN"/>
              </w:rPr>
              <w:t>63.9</w:t>
            </w:r>
          </w:p>
        </w:tc>
        <w:tc>
          <w:tcPr>
            <w:tcW w:w="985" w:type="pct"/>
            <w:shd w:val="clear" w:color="auto" w:fill="auto"/>
            <w:vAlign w:val="center"/>
          </w:tcPr>
          <w:p w:rsidR="00AB62FC" w:rsidRPr="00C14674" w:rsidRDefault="00B45F40" w:rsidP="00AB62FC">
            <w:pPr>
              <w:pBdr>
                <w:bottom w:val="double" w:sz="4" w:space="0" w:color="auto"/>
              </w:pBdr>
              <w:spacing w:before="0" w:after="0"/>
              <w:jc w:val="right"/>
              <w:rPr>
                <w:b/>
                <w:sz w:val="18"/>
                <w:szCs w:val="18"/>
                <w:lang w:eastAsia="zh-CN"/>
              </w:rPr>
            </w:pPr>
            <w:r>
              <w:rPr>
                <w:b/>
                <w:sz w:val="18"/>
                <w:szCs w:val="18"/>
                <w:lang w:eastAsia="zh-CN"/>
              </w:rPr>
              <w:t>76.2</w:t>
            </w:r>
          </w:p>
        </w:tc>
      </w:tr>
    </w:tbl>
    <w:p w:rsidR="003F0BC5" w:rsidRPr="00C14674" w:rsidRDefault="003F0BC5" w:rsidP="003F0BC5">
      <w:pPr>
        <w:rPr>
          <w:szCs w:val="20"/>
        </w:rPr>
      </w:pPr>
      <w:r w:rsidRPr="00C14674">
        <w:rPr>
          <w:szCs w:val="20"/>
        </w:rPr>
        <w:t xml:space="preserve">The decrease of the amount of rent and leasing debts that are not included in the balance sheet as per 31 March 2015 compared to 31 March 2014 by </w:t>
      </w:r>
      <w:r w:rsidR="00E53641">
        <w:rPr>
          <w:szCs w:val="20"/>
        </w:rPr>
        <w:t>EUR </w:t>
      </w:r>
      <w:r w:rsidRPr="00C14674">
        <w:rPr>
          <w:szCs w:val="20"/>
        </w:rPr>
        <w:t>-12,300,000 is mainly explained by the purchase of the production facilities of King’s Lynn as per July 2014.</w:t>
      </w:r>
    </w:p>
    <w:p w:rsidR="003F0BC5" w:rsidRPr="00C14674" w:rsidRDefault="003F0BC5" w:rsidP="003F0BC5">
      <w:pPr>
        <w:rPr>
          <w:szCs w:val="20"/>
        </w:rPr>
      </w:pPr>
      <w:r w:rsidRPr="00C14674">
        <w:rPr>
          <w:szCs w:val="20"/>
        </w:rPr>
        <w:t>In the Frozen Division, the amount as per 31 March 2015 (</w:t>
      </w:r>
      <w:r w:rsidR="00E53641">
        <w:rPr>
          <w:szCs w:val="20"/>
        </w:rPr>
        <w:t>EUR </w:t>
      </w:r>
      <w:r w:rsidRPr="00C14674">
        <w:rPr>
          <w:szCs w:val="20"/>
        </w:rPr>
        <w:t xml:space="preserve">62,200,000) mainly included </w:t>
      </w:r>
      <w:r w:rsidRPr="00C14674">
        <w:rPr>
          <w:szCs w:val="20"/>
          <w:lang w:bidi="sa-IN"/>
        </w:rPr>
        <w:t xml:space="preserve">the rental of external storage in Wisbech for a nine year term with a nominal annual cost of </w:t>
      </w:r>
      <w:r w:rsidR="00E53641">
        <w:rPr>
          <w:szCs w:val="20"/>
          <w:lang w:bidi="sa-IN"/>
        </w:rPr>
        <w:t>EUR </w:t>
      </w:r>
      <w:r w:rsidRPr="00C14674">
        <w:rPr>
          <w:szCs w:val="20"/>
          <w:lang w:bidi="sa-IN"/>
        </w:rPr>
        <w:t xml:space="preserve">2,400,000 </w:t>
      </w:r>
      <w:r w:rsidRPr="00C14674">
        <w:rPr>
          <w:szCs w:val="20"/>
        </w:rPr>
        <w:t xml:space="preserve">and of the contract </w:t>
      </w:r>
      <w:r w:rsidRPr="00C14674">
        <w:rPr>
          <w:szCs w:val="20"/>
          <w:lang w:bidi="sa-IN"/>
        </w:rPr>
        <w:t xml:space="preserve">to the rental of external storage </w:t>
      </w:r>
      <w:r w:rsidRPr="00C14674">
        <w:rPr>
          <w:szCs w:val="20"/>
        </w:rPr>
        <w:t xml:space="preserve">in Ieper and in Comines for a 13 year term at a common nominal annual cost of </w:t>
      </w:r>
      <w:r w:rsidR="00E53641">
        <w:rPr>
          <w:szCs w:val="20"/>
        </w:rPr>
        <w:t>EUR </w:t>
      </w:r>
      <w:r w:rsidRPr="00C14674">
        <w:rPr>
          <w:szCs w:val="20"/>
        </w:rPr>
        <w:t xml:space="preserve">3,000,000. For the Canning Division, as per 31 March 2015 operational lease obligations are included for an amount of </w:t>
      </w:r>
      <w:r w:rsidR="00E53641">
        <w:rPr>
          <w:szCs w:val="20"/>
        </w:rPr>
        <w:t>EUR </w:t>
      </w:r>
      <w:r w:rsidRPr="00C14674">
        <w:rPr>
          <w:szCs w:val="20"/>
        </w:rPr>
        <w:t>1,700,000. This amount for the Canning Division primarily includes rental obligations for forklift trucks.</w:t>
      </w:r>
    </w:p>
    <w:p w:rsidR="003F0BC5" w:rsidRPr="00C14674" w:rsidRDefault="003F0BC5" w:rsidP="003F0BC5">
      <w:pPr>
        <w:rPr>
          <w:szCs w:val="20"/>
        </w:rPr>
      </w:pPr>
      <w:r w:rsidRPr="00C14674">
        <w:rPr>
          <w:szCs w:val="20"/>
        </w:rPr>
        <w:t>The expenses included in the statement of comprehensive income are included in table below:</w:t>
      </w:r>
    </w:p>
    <w:tbl>
      <w:tblPr>
        <w:tblW w:w="4937" w:type="pct"/>
        <w:tblLook w:val="0000" w:firstRow="0" w:lastRow="0" w:firstColumn="0" w:lastColumn="0" w:noHBand="0" w:noVBand="0"/>
      </w:tblPr>
      <w:tblGrid>
        <w:gridCol w:w="5638"/>
        <w:gridCol w:w="1840"/>
        <w:gridCol w:w="1651"/>
      </w:tblGrid>
      <w:tr w:rsidR="00AB62FC" w:rsidRPr="00C14674" w:rsidTr="00AB62FC">
        <w:tc>
          <w:tcPr>
            <w:tcW w:w="3088" w:type="pct"/>
            <w:shd w:val="clear" w:color="auto" w:fill="auto"/>
            <w:vAlign w:val="center"/>
          </w:tcPr>
          <w:p w:rsidR="00AB62FC" w:rsidRPr="00C14674" w:rsidRDefault="00AB62FC" w:rsidP="00AB62FC">
            <w:pPr>
              <w:tabs>
                <w:tab w:val="right" w:leader="dot" w:pos="5387"/>
              </w:tabs>
              <w:spacing w:before="0" w:after="0"/>
              <w:jc w:val="left"/>
              <w:rPr>
                <w:b/>
                <w:sz w:val="18"/>
                <w:szCs w:val="18"/>
              </w:rPr>
            </w:pPr>
            <w:r w:rsidRPr="00C14674">
              <w:rPr>
                <w:i/>
                <w:sz w:val="18"/>
                <w:szCs w:val="18"/>
              </w:rPr>
              <w:t>(</w:t>
            </w:r>
            <w:r w:rsidR="00E53641">
              <w:rPr>
                <w:i/>
                <w:sz w:val="18"/>
                <w:szCs w:val="18"/>
              </w:rPr>
              <w:t>EUR </w:t>
            </w:r>
            <w:r w:rsidRPr="00C14674">
              <w:rPr>
                <w:i/>
                <w:sz w:val="18"/>
                <w:szCs w:val="18"/>
              </w:rPr>
              <w:t>in millions)</w:t>
            </w:r>
          </w:p>
        </w:tc>
        <w:tc>
          <w:tcPr>
            <w:tcW w:w="1008" w:type="pct"/>
            <w:shd w:val="clear" w:color="auto" w:fill="auto"/>
            <w:vAlign w:val="bottom"/>
          </w:tcPr>
          <w:p w:rsidR="00AB62FC" w:rsidRPr="00C14674" w:rsidRDefault="00AB62FC" w:rsidP="00AB62FC">
            <w:pPr>
              <w:pBdr>
                <w:bottom w:val="single" w:sz="4" w:space="1" w:color="auto"/>
              </w:pBdr>
              <w:spacing w:before="0" w:after="0"/>
              <w:jc w:val="center"/>
              <w:rPr>
                <w:b/>
                <w:sz w:val="18"/>
                <w:szCs w:val="18"/>
              </w:rPr>
            </w:pPr>
            <w:r w:rsidRPr="00C14674">
              <w:rPr>
                <w:b/>
                <w:sz w:val="18"/>
                <w:szCs w:val="18"/>
              </w:rPr>
              <w:t>Year ended 31 March 2015</w:t>
            </w:r>
          </w:p>
        </w:tc>
        <w:tc>
          <w:tcPr>
            <w:tcW w:w="904" w:type="pct"/>
            <w:shd w:val="clear" w:color="auto" w:fill="auto"/>
            <w:vAlign w:val="bottom"/>
          </w:tcPr>
          <w:p w:rsidR="00AB62FC" w:rsidRPr="00C14674" w:rsidRDefault="00AB62FC" w:rsidP="00AB62FC">
            <w:pPr>
              <w:pBdr>
                <w:bottom w:val="single" w:sz="4" w:space="1" w:color="auto"/>
              </w:pBdr>
              <w:spacing w:before="0" w:after="0"/>
              <w:ind w:left="-191"/>
              <w:jc w:val="center"/>
              <w:rPr>
                <w:b/>
                <w:sz w:val="18"/>
                <w:szCs w:val="18"/>
              </w:rPr>
            </w:pPr>
            <w:r w:rsidRPr="00C14674">
              <w:rPr>
                <w:b/>
                <w:sz w:val="18"/>
                <w:szCs w:val="18"/>
              </w:rPr>
              <w:t>Year ended 31 March 2014</w:t>
            </w:r>
          </w:p>
        </w:tc>
      </w:tr>
      <w:tr w:rsidR="00AB62FC" w:rsidRPr="00C14674" w:rsidTr="00AB62FC">
        <w:tc>
          <w:tcPr>
            <w:tcW w:w="3088" w:type="pct"/>
            <w:shd w:val="clear" w:color="auto" w:fill="auto"/>
            <w:noWrap/>
            <w:vAlign w:val="bottom"/>
          </w:tcPr>
          <w:p w:rsidR="00AB62FC" w:rsidRPr="00C14674" w:rsidRDefault="00AB62FC" w:rsidP="00AB62FC">
            <w:pPr>
              <w:tabs>
                <w:tab w:val="right" w:leader="dot" w:pos="5387"/>
              </w:tabs>
              <w:spacing w:before="0" w:after="0"/>
              <w:jc w:val="left"/>
              <w:rPr>
                <w:sz w:val="18"/>
                <w:szCs w:val="18"/>
              </w:rPr>
            </w:pPr>
            <w:r w:rsidRPr="00C14674">
              <w:rPr>
                <w:sz w:val="18"/>
                <w:szCs w:val="18"/>
              </w:rPr>
              <w:t xml:space="preserve">Expenses included in statement of comprehensive income </w:t>
            </w:r>
            <w:r w:rsidRPr="00C14674">
              <w:rPr>
                <w:sz w:val="18"/>
                <w:szCs w:val="18"/>
              </w:rPr>
              <w:br/>
              <w:t>(forklifts, hardware, buildings,)</w:t>
            </w:r>
            <w:r w:rsidRPr="00C14674">
              <w:rPr>
                <w:sz w:val="18"/>
                <w:szCs w:val="18"/>
              </w:rPr>
              <w:tab/>
            </w:r>
          </w:p>
        </w:tc>
        <w:tc>
          <w:tcPr>
            <w:tcW w:w="1008" w:type="pct"/>
            <w:shd w:val="clear" w:color="auto" w:fill="auto"/>
            <w:vAlign w:val="bottom"/>
          </w:tcPr>
          <w:p w:rsidR="00AB62FC" w:rsidRPr="00C14674" w:rsidRDefault="00AB62FC" w:rsidP="00AB62FC">
            <w:pPr>
              <w:pBdr>
                <w:bottom w:val="single" w:sz="4" w:space="1" w:color="auto"/>
              </w:pBdr>
              <w:spacing w:before="0" w:after="0"/>
              <w:jc w:val="right"/>
              <w:rPr>
                <w:sz w:val="18"/>
                <w:szCs w:val="18"/>
              </w:rPr>
            </w:pPr>
            <w:r w:rsidRPr="00C14674">
              <w:rPr>
                <w:sz w:val="18"/>
                <w:szCs w:val="18"/>
              </w:rPr>
              <w:t>5.9</w:t>
            </w:r>
          </w:p>
        </w:tc>
        <w:tc>
          <w:tcPr>
            <w:tcW w:w="904" w:type="pct"/>
            <w:shd w:val="clear" w:color="auto" w:fill="auto"/>
            <w:vAlign w:val="bottom"/>
          </w:tcPr>
          <w:p w:rsidR="00AB62FC" w:rsidRPr="00C14674" w:rsidRDefault="00AB62FC" w:rsidP="00AB62FC">
            <w:pPr>
              <w:pBdr>
                <w:bottom w:val="single" w:sz="4" w:space="1" w:color="auto"/>
              </w:pBdr>
              <w:spacing w:before="0" w:after="0"/>
              <w:jc w:val="right"/>
              <w:rPr>
                <w:sz w:val="18"/>
                <w:szCs w:val="18"/>
              </w:rPr>
            </w:pPr>
            <w:r w:rsidRPr="00C14674">
              <w:rPr>
                <w:sz w:val="18"/>
                <w:szCs w:val="18"/>
              </w:rPr>
              <w:t>11.5</w:t>
            </w:r>
          </w:p>
        </w:tc>
      </w:tr>
      <w:tr w:rsidR="00AB62FC" w:rsidRPr="00C14674" w:rsidTr="00AB62FC">
        <w:tc>
          <w:tcPr>
            <w:tcW w:w="3088" w:type="pct"/>
            <w:shd w:val="clear" w:color="auto" w:fill="auto"/>
            <w:noWrap/>
            <w:vAlign w:val="center"/>
          </w:tcPr>
          <w:p w:rsidR="00AB62FC" w:rsidRPr="00C14674" w:rsidRDefault="00AB62FC" w:rsidP="00AB62FC">
            <w:pPr>
              <w:tabs>
                <w:tab w:val="right" w:leader="dot" w:pos="4536"/>
              </w:tabs>
              <w:spacing w:before="0" w:after="0"/>
              <w:rPr>
                <w:b/>
                <w:sz w:val="18"/>
                <w:szCs w:val="18"/>
              </w:rPr>
            </w:pPr>
            <w:r w:rsidRPr="00C14674">
              <w:rPr>
                <w:b/>
                <w:sz w:val="18"/>
                <w:szCs w:val="18"/>
              </w:rPr>
              <w:t>Rent and operating leases: expenses</w:t>
            </w:r>
            <w:r w:rsidRPr="00C14674">
              <w:rPr>
                <w:sz w:val="18"/>
                <w:szCs w:val="18"/>
              </w:rPr>
              <w:tab/>
            </w:r>
          </w:p>
        </w:tc>
        <w:tc>
          <w:tcPr>
            <w:tcW w:w="1008" w:type="pct"/>
            <w:shd w:val="clear" w:color="auto" w:fill="auto"/>
            <w:vAlign w:val="center"/>
          </w:tcPr>
          <w:p w:rsidR="00AB62FC" w:rsidRPr="00C14674" w:rsidRDefault="00AB62FC" w:rsidP="00AB62FC">
            <w:pPr>
              <w:pBdr>
                <w:bottom w:val="double" w:sz="4" w:space="0" w:color="auto"/>
              </w:pBdr>
              <w:spacing w:before="0" w:after="0"/>
              <w:jc w:val="right"/>
              <w:rPr>
                <w:b/>
                <w:sz w:val="18"/>
                <w:szCs w:val="18"/>
                <w:lang w:eastAsia="zh-CN"/>
              </w:rPr>
            </w:pPr>
            <w:r w:rsidRPr="00C14674">
              <w:rPr>
                <w:b/>
                <w:sz w:val="18"/>
                <w:szCs w:val="18"/>
                <w:lang w:eastAsia="zh-CN"/>
              </w:rPr>
              <w:t>5.9</w:t>
            </w:r>
          </w:p>
        </w:tc>
        <w:tc>
          <w:tcPr>
            <w:tcW w:w="904" w:type="pct"/>
            <w:shd w:val="clear" w:color="auto" w:fill="auto"/>
            <w:vAlign w:val="center"/>
          </w:tcPr>
          <w:p w:rsidR="00AB62FC" w:rsidRPr="00C14674" w:rsidRDefault="00AB62FC" w:rsidP="00AB62FC">
            <w:pPr>
              <w:pBdr>
                <w:bottom w:val="double" w:sz="4" w:space="0" w:color="auto"/>
              </w:pBdr>
              <w:spacing w:before="0" w:after="0"/>
              <w:jc w:val="right"/>
              <w:rPr>
                <w:b/>
                <w:sz w:val="18"/>
                <w:szCs w:val="18"/>
                <w:lang w:eastAsia="zh-CN"/>
              </w:rPr>
            </w:pPr>
            <w:r w:rsidRPr="00C14674">
              <w:rPr>
                <w:b/>
                <w:sz w:val="18"/>
                <w:szCs w:val="18"/>
                <w:lang w:eastAsia="zh-CN"/>
              </w:rPr>
              <w:t>11.5</w:t>
            </w:r>
          </w:p>
        </w:tc>
      </w:tr>
    </w:tbl>
    <w:p w:rsidR="003F0BC5" w:rsidRPr="00C14674" w:rsidRDefault="003F0BC5" w:rsidP="00353B80">
      <w:pPr>
        <w:pStyle w:val="Firm5L3"/>
        <w:keepNext/>
      </w:pPr>
      <w:r w:rsidRPr="00C14674">
        <w:t>Bank covenants</w:t>
      </w:r>
      <w:r w:rsidR="00FE467C" w:rsidRPr="00C14674">
        <w:t xml:space="preserve"> and </w:t>
      </w:r>
      <w:r w:rsidRPr="00C14674">
        <w:t>undertakings</w:t>
      </w:r>
    </w:p>
    <w:p w:rsidR="003F0BC5" w:rsidRPr="00C14674" w:rsidRDefault="003F0BC5" w:rsidP="003F0BC5">
      <w:pPr>
        <w:rPr>
          <w:szCs w:val="20"/>
        </w:rPr>
      </w:pPr>
      <w:r w:rsidRPr="00C14674">
        <w:rPr>
          <w:szCs w:val="20"/>
        </w:rPr>
        <w:t xml:space="preserve">The terms of the </w:t>
      </w:r>
      <w:r w:rsidR="00916DA0">
        <w:rPr>
          <w:szCs w:val="20"/>
        </w:rPr>
        <w:t>Bonds</w:t>
      </w:r>
      <w:r w:rsidRPr="00C14674">
        <w:rPr>
          <w:szCs w:val="20"/>
        </w:rPr>
        <w:t xml:space="preserve"> and the working capital facility impose a number of covenants, warranties and requirements as explained in Section</w:t>
      </w:r>
      <w:r w:rsidR="00916DA0">
        <w:rPr>
          <w:szCs w:val="20"/>
        </w:rPr>
        <w:t xml:space="preserve"> </w:t>
      </w:r>
      <w:r w:rsidRPr="00C14674">
        <w:rPr>
          <w:szCs w:val="20"/>
        </w:rPr>
        <w:t>1.5</w:t>
      </w:r>
      <w:r w:rsidR="00916DA0">
        <w:rPr>
          <w:szCs w:val="20"/>
        </w:rPr>
        <w:t>.3</w:t>
      </w:r>
      <w:r w:rsidRPr="00C14674">
        <w:rPr>
          <w:szCs w:val="20"/>
        </w:rPr>
        <w:t xml:space="preserve"> above.</w:t>
      </w:r>
    </w:p>
    <w:p w:rsidR="003F0BC5" w:rsidRPr="00C14674" w:rsidRDefault="003F0BC5" w:rsidP="00353B80">
      <w:pPr>
        <w:pStyle w:val="Firm5L3"/>
        <w:keepNext/>
      </w:pPr>
      <w:r w:rsidRPr="00C14674">
        <w:t>Bank guarantees</w:t>
      </w:r>
    </w:p>
    <w:p w:rsidR="003F0BC5" w:rsidRPr="00C14674" w:rsidRDefault="003F0BC5" w:rsidP="003F0BC5">
      <w:pPr>
        <w:rPr>
          <w:szCs w:val="20"/>
        </w:rPr>
      </w:pPr>
      <w:r w:rsidRPr="00C14674">
        <w:rPr>
          <w:szCs w:val="20"/>
        </w:rPr>
        <w:t xml:space="preserve">There is a bank guarantee outstanding in an amount of </w:t>
      </w:r>
      <w:r w:rsidR="00E53641">
        <w:rPr>
          <w:szCs w:val="20"/>
        </w:rPr>
        <w:t>EUR </w:t>
      </w:r>
      <w:r w:rsidRPr="00C14674">
        <w:rPr>
          <w:szCs w:val="20"/>
        </w:rPr>
        <w:t xml:space="preserve">200,000 in favour of OVAM (Flemish Public Waste Company) to guarantee the decontamination of polluted soil, and a bank guarantee of </w:t>
      </w:r>
      <w:r w:rsidR="00E53641">
        <w:rPr>
          <w:szCs w:val="20"/>
        </w:rPr>
        <w:t>EUR </w:t>
      </w:r>
      <w:r w:rsidRPr="00C14674">
        <w:rPr>
          <w:szCs w:val="20"/>
        </w:rPr>
        <w:t>100,000 in favour of the Roeselare Customs and Excise office.</w:t>
      </w:r>
    </w:p>
    <w:p w:rsidR="003F0BC5" w:rsidRPr="00C14674" w:rsidRDefault="003F0BC5" w:rsidP="00353B80">
      <w:pPr>
        <w:pStyle w:val="Firm5L3"/>
        <w:keepNext/>
      </w:pPr>
      <w:r w:rsidRPr="00C14674">
        <w:t>Restrictions on dividend</w:t>
      </w:r>
    </w:p>
    <w:p w:rsidR="003F0BC5" w:rsidRPr="00C14674" w:rsidRDefault="003F0BC5" w:rsidP="003F0BC5">
      <w:pPr>
        <w:rPr>
          <w:szCs w:val="20"/>
        </w:rPr>
      </w:pPr>
      <w:r w:rsidRPr="00C14674">
        <w:rPr>
          <w:szCs w:val="20"/>
        </w:rPr>
        <w:t xml:space="preserve">The terms of the working capital financing impose a number of restrictions relating to the dividend distribution by </w:t>
      </w:r>
      <w:r w:rsidR="002A1AB1" w:rsidRPr="00C14674">
        <w:rPr>
          <w:szCs w:val="20"/>
        </w:rPr>
        <w:t>Greenyard Foods</w:t>
      </w:r>
      <w:r w:rsidRPr="00C14674">
        <w:rPr>
          <w:szCs w:val="20"/>
        </w:rPr>
        <w:t xml:space="preserve"> as explained in Section </w:t>
      </w:r>
      <w:r w:rsidR="00916DA0" w:rsidRPr="00916DA0">
        <w:rPr>
          <w:szCs w:val="20"/>
        </w:rPr>
        <w:t xml:space="preserve">1.5.3 </w:t>
      </w:r>
      <w:r w:rsidRPr="00C14674">
        <w:rPr>
          <w:szCs w:val="20"/>
        </w:rPr>
        <w:t>above.</w:t>
      </w:r>
    </w:p>
    <w:p w:rsidR="003F0BC5" w:rsidRPr="00C14674" w:rsidRDefault="003F0BC5" w:rsidP="00353B80">
      <w:pPr>
        <w:pStyle w:val="Firm5L3"/>
        <w:keepNext/>
        <w:keepLines/>
      </w:pPr>
      <w:r w:rsidRPr="00C14674">
        <w:lastRenderedPageBreak/>
        <w:t>Off-balance sheet commitments</w:t>
      </w:r>
    </w:p>
    <w:tbl>
      <w:tblPr>
        <w:tblW w:w="8506" w:type="dxa"/>
        <w:tblInd w:w="108" w:type="dxa"/>
        <w:tblLayout w:type="fixed"/>
        <w:tblLook w:val="0000" w:firstRow="0" w:lastRow="0" w:firstColumn="0" w:lastColumn="0" w:noHBand="0" w:noVBand="0"/>
      </w:tblPr>
      <w:tblGrid>
        <w:gridCol w:w="5580"/>
        <w:gridCol w:w="1366"/>
        <w:gridCol w:w="1560"/>
      </w:tblGrid>
      <w:tr w:rsidR="00AB62FC" w:rsidRPr="00C14674" w:rsidTr="00AB62FC">
        <w:tc>
          <w:tcPr>
            <w:tcW w:w="5580" w:type="dxa"/>
            <w:shd w:val="clear" w:color="auto" w:fill="auto"/>
            <w:noWrap/>
            <w:vAlign w:val="bottom"/>
          </w:tcPr>
          <w:p w:rsidR="00AB62FC" w:rsidRPr="00C14674" w:rsidRDefault="00AB62FC" w:rsidP="00AB62FC">
            <w:pPr>
              <w:tabs>
                <w:tab w:val="right" w:leader="dot" w:pos="5103"/>
              </w:tabs>
              <w:spacing w:before="0" w:after="0"/>
              <w:rPr>
                <w:b/>
                <w:sz w:val="18"/>
                <w:szCs w:val="18"/>
              </w:rPr>
            </w:pPr>
            <w:r w:rsidRPr="00C14674">
              <w:rPr>
                <w:i/>
                <w:sz w:val="18"/>
                <w:szCs w:val="18"/>
              </w:rPr>
              <w:t>(</w:t>
            </w:r>
            <w:r w:rsidR="00E53641">
              <w:rPr>
                <w:i/>
                <w:sz w:val="18"/>
                <w:szCs w:val="18"/>
              </w:rPr>
              <w:t>EUR </w:t>
            </w:r>
            <w:r w:rsidRPr="00C14674">
              <w:rPr>
                <w:i/>
                <w:sz w:val="18"/>
                <w:szCs w:val="18"/>
              </w:rPr>
              <w:t>in millions)</w:t>
            </w:r>
          </w:p>
        </w:tc>
        <w:tc>
          <w:tcPr>
            <w:tcW w:w="1366" w:type="dxa"/>
            <w:shd w:val="clear" w:color="auto" w:fill="auto"/>
            <w:vAlign w:val="bottom"/>
          </w:tcPr>
          <w:p w:rsidR="00AB62FC" w:rsidRPr="00C14674" w:rsidRDefault="00AB62FC" w:rsidP="00AB62FC">
            <w:pPr>
              <w:pBdr>
                <w:bottom w:val="single" w:sz="4" w:space="1" w:color="auto"/>
              </w:pBdr>
              <w:spacing w:before="0" w:after="0"/>
              <w:jc w:val="right"/>
              <w:rPr>
                <w:b/>
                <w:sz w:val="18"/>
                <w:szCs w:val="18"/>
              </w:rPr>
            </w:pPr>
            <w:r w:rsidRPr="00C14674">
              <w:rPr>
                <w:b/>
                <w:sz w:val="18"/>
                <w:szCs w:val="18"/>
              </w:rPr>
              <w:t>31March 2015</w:t>
            </w:r>
          </w:p>
        </w:tc>
        <w:tc>
          <w:tcPr>
            <w:tcW w:w="1560" w:type="dxa"/>
            <w:shd w:val="clear" w:color="auto" w:fill="auto"/>
            <w:vAlign w:val="bottom"/>
          </w:tcPr>
          <w:p w:rsidR="00AB62FC" w:rsidRPr="00C14674" w:rsidRDefault="00AB62FC" w:rsidP="00AB62FC">
            <w:pPr>
              <w:pBdr>
                <w:bottom w:val="single" w:sz="4" w:space="1" w:color="auto"/>
              </w:pBdr>
              <w:spacing w:before="0" w:after="0"/>
              <w:jc w:val="right"/>
              <w:rPr>
                <w:b/>
                <w:sz w:val="18"/>
                <w:szCs w:val="18"/>
              </w:rPr>
            </w:pPr>
            <w:r w:rsidRPr="00C14674">
              <w:rPr>
                <w:b/>
                <w:sz w:val="18"/>
                <w:szCs w:val="18"/>
              </w:rPr>
              <w:t>31 March 2014</w:t>
            </w:r>
          </w:p>
        </w:tc>
      </w:tr>
      <w:tr w:rsidR="00AB62FC" w:rsidRPr="00C14674" w:rsidTr="00AB62FC">
        <w:tc>
          <w:tcPr>
            <w:tcW w:w="5580" w:type="dxa"/>
            <w:shd w:val="clear" w:color="auto" w:fill="auto"/>
            <w:noWrap/>
            <w:vAlign w:val="bottom"/>
          </w:tcPr>
          <w:p w:rsidR="00AB62FC" w:rsidRPr="00C14674" w:rsidRDefault="00AB62FC" w:rsidP="00AB62FC">
            <w:pPr>
              <w:tabs>
                <w:tab w:val="right" w:leader="dot" w:pos="5103"/>
              </w:tabs>
              <w:spacing w:before="0" w:after="0"/>
              <w:rPr>
                <w:sz w:val="18"/>
                <w:szCs w:val="18"/>
              </w:rPr>
            </w:pPr>
            <w:r w:rsidRPr="00C14674">
              <w:rPr>
                <w:sz w:val="18"/>
                <w:szCs w:val="18"/>
              </w:rPr>
              <w:t xml:space="preserve">Registered lien on general assets </w:t>
            </w:r>
            <w:r w:rsidRPr="00C14674">
              <w:rPr>
                <w:sz w:val="18"/>
                <w:szCs w:val="18"/>
              </w:rPr>
              <w:tab/>
            </w:r>
          </w:p>
        </w:tc>
        <w:tc>
          <w:tcPr>
            <w:tcW w:w="1366" w:type="dxa"/>
            <w:shd w:val="clear" w:color="auto" w:fill="auto"/>
            <w:noWrap/>
            <w:vAlign w:val="bottom"/>
          </w:tcPr>
          <w:p w:rsidR="00AB62FC" w:rsidRPr="00C14674" w:rsidRDefault="00AB62FC" w:rsidP="00AB62FC">
            <w:pPr>
              <w:spacing w:before="0" w:after="0"/>
              <w:jc w:val="right"/>
              <w:rPr>
                <w:sz w:val="18"/>
                <w:szCs w:val="18"/>
              </w:rPr>
            </w:pPr>
            <w:r w:rsidRPr="00C14674">
              <w:rPr>
                <w:sz w:val="18"/>
                <w:szCs w:val="18"/>
              </w:rPr>
              <w:t>201.0</w:t>
            </w:r>
          </w:p>
        </w:tc>
        <w:tc>
          <w:tcPr>
            <w:tcW w:w="1560" w:type="dxa"/>
            <w:shd w:val="clear" w:color="auto" w:fill="auto"/>
            <w:noWrap/>
            <w:vAlign w:val="bottom"/>
          </w:tcPr>
          <w:p w:rsidR="00AB62FC" w:rsidRPr="00C14674" w:rsidRDefault="00AB62FC" w:rsidP="00AB62FC">
            <w:pPr>
              <w:spacing w:before="0" w:after="0"/>
              <w:jc w:val="right"/>
              <w:rPr>
                <w:sz w:val="18"/>
                <w:szCs w:val="18"/>
              </w:rPr>
            </w:pPr>
            <w:r w:rsidRPr="00C14674">
              <w:rPr>
                <w:sz w:val="18"/>
                <w:szCs w:val="18"/>
              </w:rPr>
              <w:t>165.6</w:t>
            </w:r>
          </w:p>
        </w:tc>
      </w:tr>
      <w:tr w:rsidR="00AB62FC" w:rsidRPr="00C14674" w:rsidTr="00AB62FC">
        <w:tc>
          <w:tcPr>
            <w:tcW w:w="5580" w:type="dxa"/>
            <w:shd w:val="clear" w:color="auto" w:fill="auto"/>
            <w:noWrap/>
            <w:vAlign w:val="bottom"/>
          </w:tcPr>
          <w:p w:rsidR="00AB62FC" w:rsidRPr="00C14674" w:rsidRDefault="00AB62FC" w:rsidP="00AB62FC">
            <w:pPr>
              <w:tabs>
                <w:tab w:val="right" w:leader="dot" w:pos="5103"/>
              </w:tabs>
              <w:spacing w:before="0" w:after="0"/>
              <w:rPr>
                <w:sz w:val="18"/>
                <w:szCs w:val="18"/>
              </w:rPr>
            </w:pPr>
            <w:r w:rsidRPr="00C14674">
              <w:rPr>
                <w:sz w:val="18"/>
                <w:szCs w:val="18"/>
              </w:rPr>
              <w:t xml:space="preserve">Mandate on general assets </w:t>
            </w:r>
            <w:r w:rsidRPr="00C14674">
              <w:rPr>
                <w:sz w:val="18"/>
                <w:szCs w:val="18"/>
              </w:rPr>
              <w:tab/>
            </w:r>
          </w:p>
        </w:tc>
        <w:tc>
          <w:tcPr>
            <w:tcW w:w="1366" w:type="dxa"/>
            <w:shd w:val="clear" w:color="auto" w:fill="auto"/>
            <w:noWrap/>
            <w:vAlign w:val="bottom"/>
          </w:tcPr>
          <w:p w:rsidR="00AB62FC" w:rsidRPr="00C14674" w:rsidRDefault="00AB62FC" w:rsidP="00AB62FC">
            <w:pPr>
              <w:spacing w:before="0" w:after="0"/>
              <w:jc w:val="right"/>
              <w:rPr>
                <w:sz w:val="18"/>
                <w:szCs w:val="18"/>
              </w:rPr>
            </w:pPr>
            <w:r w:rsidRPr="00C14674">
              <w:rPr>
                <w:sz w:val="18"/>
                <w:szCs w:val="18"/>
              </w:rPr>
              <w:t>200.0</w:t>
            </w:r>
          </w:p>
        </w:tc>
        <w:tc>
          <w:tcPr>
            <w:tcW w:w="1560" w:type="dxa"/>
            <w:shd w:val="clear" w:color="auto" w:fill="auto"/>
            <w:noWrap/>
            <w:vAlign w:val="bottom"/>
          </w:tcPr>
          <w:p w:rsidR="00AB62FC" w:rsidRPr="00C14674" w:rsidRDefault="00AB62FC" w:rsidP="00AB62FC">
            <w:pPr>
              <w:spacing w:before="0" w:after="0"/>
              <w:jc w:val="right"/>
              <w:rPr>
                <w:sz w:val="18"/>
                <w:szCs w:val="18"/>
              </w:rPr>
            </w:pPr>
            <w:r w:rsidRPr="00C14674">
              <w:rPr>
                <w:sz w:val="18"/>
                <w:szCs w:val="18"/>
              </w:rPr>
              <w:t>200.0</w:t>
            </w:r>
          </w:p>
        </w:tc>
      </w:tr>
      <w:tr w:rsidR="00AB62FC" w:rsidRPr="00C14674" w:rsidTr="00AB62FC">
        <w:tc>
          <w:tcPr>
            <w:tcW w:w="5580" w:type="dxa"/>
            <w:shd w:val="clear" w:color="auto" w:fill="auto"/>
            <w:noWrap/>
            <w:vAlign w:val="bottom"/>
          </w:tcPr>
          <w:p w:rsidR="00AB62FC" w:rsidRPr="00C14674" w:rsidRDefault="00AB62FC" w:rsidP="00AB62FC">
            <w:pPr>
              <w:tabs>
                <w:tab w:val="right" w:leader="dot" w:pos="5103"/>
              </w:tabs>
              <w:spacing w:before="0" w:after="0"/>
              <w:rPr>
                <w:sz w:val="18"/>
                <w:szCs w:val="18"/>
              </w:rPr>
            </w:pPr>
            <w:r w:rsidRPr="00C14674">
              <w:rPr>
                <w:sz w:val="18"/>
                <w:szCs w:val="18"/>
              </w:rPr>
              <w:t>Mortgage mandate</w:t>
            </w:r>
            <w:r w:rsidRPr="00C14674">
              <w:rPr>
                <w:sz w:val="18"/>
                <w:szCs w:val="18"/>
              </w:rPr>
              <w:tab/>
            </w:r>
          </w:p>
        </w:tc>
        <w:tc>
          <w:tcPr>
            <w:tcW w:w="1366" w:type="dxa"/>
            <w:shd w:val="clear" w:color="auto" w:fill="auto"/>
            <w:noWrap/>
            <w:vAlign w:val="bottom"/>
          </w:tcPr>
          <w:p w:rsidR="00AB62FC" w:rsidRPr="00C14674" w:rsidRDefault="00AB62FC" w:rsidP="00AB62FC">
            <w:pPr>
              <w:spacing w:before="0" w:after="0"/>
              <w:jc w:val="right"/>
              <w:rPr>
                <w:sz w:val="18"/>
                <w:szCs w:val="18"/>
              </w:rPr>
            </w:pPr>
            <w:r w:rsidRPr="00C14674">
              <w:rPr>
                <w:sz w:val="18"/>
                <w:szCs w:val="18"/>
              </w:rPr>
              <w:t>65.0</w:t>
            </w:r>
          </w:p>
        </w:tc>
        <w:tc>
          <w:tcPr>
            <w:tcW w:w="1560" w:type="dxa"/>
            <w:shd w:val="clear" w:color="auto" w:fill="auto"/>
            <w:noWrap/>
            <w:vAlign w:val="bottom"/>
          </w:tcPr>
          <w:p w:rsidR="00AB62FC" w:rsidRPr="00C14674" w:rsidRDefault="00AB62FC" w:rsidP="00AB62FC">
            <w:pPr>
              <w:spacing w:before="0" w:after="0"/>
              <w:jc w:val="right"/>
              <w:rPr>
                <w:sz w:val="18"/>
                <w:szCs w:val="18"/>
              </w:rPr>
            </w:pPr>
            <w:r w:rsidRPr="00C14674">
              <w:rPr>
                <w:sz w:val="18"/>
                <w:szCs w:val="18"/>
              </w:rPr>
              <w:t>65.0</w:t>
            </w:r>
          </w:p>
        </w:tc>
      </w:tr>
      <w:tr w:rsidR="00AB62FC" w:rsidRPr="00C14674" w:rsidTr="00AB62FC">
        <w:tc>
          <w:tcPr>
            <w:tcW w:w="5580" w:type="dxa"/>
            <w:shd w:val="clear" w:color="auto" w:fill="auto"/>
            <w:noWrap/>
            <w:vAlign w:val="bottom"/>
          </w:tcPr>
          <w:p w:rsidR="00AB62FC" w:rsidRPr="00C14674" w:rsidRDefault="00AB62FC" w:rsidP="00AB62FC">
            <w:pPr>
              <w:tabs>
                <w:tab w:val="right" w:leader="dot" w:pos="5103"/>
              </w:tabs>
              <w:spacing w:before="0" w:after="0"/>
              <w:rPr>
                <w:sz w:val="18"/>
                <w:szCs w:val="18"/>
              </w:rPr>
            </w:pPr>
            <w:r w:rsidRPr="00C14674">
              <w:rPr>
                <w:sz w:val="18"/>
                <w:szCs w:val="18"/>
              </w:rPr>
              <w:t>Registered mortgage</w:t>
            </w:r>
            <w:r w:rsidRPr="00C14674">
              <w:rPr>
                <w:sz w:val="18"/>
                <w:szCs w:val="18"/>
              </w:rPr>
              <w:tab/>
            </w:r>
          </w:p>
        </w:tc>
        <w:tc>
          <w:tcPr>
            <w:tcW w:w="1366" w:type="dxa"/>
            <w:shd w:val="clear" w:color="auto" w:fill="auto"/>
            <w:noWrap/>
            <w:vAlign w:val="bottom"/>
          </w:tcPr>
          <w:p w:rsidR="00AB62FC" w:rsidRPr="00C14674" w:rsidRDefault="00AB62FC" w:rsidP="00AB62FC">
            <w:pPr>
              <w:spacing w:before="0" w:after="0"/>
              <w:jc w:val="right"/>
              <w:rPr>
                <w:sz w:val="18"/>
                <w:szCs w:val="18"/>
              </w:rPr>
            </w:pPr>
            <w:r w:rsidRPr="00C14674">
              <w:rPr>
                <w:sz w:val="18"/>
                <w:szCs w:val="18"/>
              </w:rPr>
              <w:t>10.7</w:t>
            </w:r>
          </w:p>
        </w:tc>
        <w:tc>
          <w:tcPr>
            <w:tcW w:w="1560" w:type="dxa"/>
            <w:shd w:val="clear" w:color="auto" w:fill="auto"/>
            <w:noWrap/>
            <w:vAlign w:val="bottom"/>
          </w:tcPr>
          <w:p w:rsidR="00AB62FC" w:rsidRPr="00C14674" w:rsidRDefault="00AB62FC" w:rsidP="00AB62FC">
            <w:pPr>
              <w:spacing w:before="0" w:after="0"/>
              <w:jc w:val="right"/>
              <w:rPr>
                <w:sz w:val="18"/>
                <w:szCs w:val="18"/>
              </w:rPr>
            </w:pPr>
            <w:r w:rsidRPr="00C14674">
              <w:rPr>
                <w:sz w:val="18"/>
                <w:szCs w:val="18"/>
              </w:rPr>
              <w:t>11.2</w:t>
            </w:r>
          </w:p>
        </w:tc>
      </w:tr>
      <w:tr w:rsidR="00AB62FC" w:rsidRPr="00C14674" w:rsidTr="00AB62FC">
        <w:tc>
          <w:tcPr>
            <w:tcW w:w="5580" w:type="dxa"/>
            <w:shd w:val="clear" w:color="auto" w:fill="auto"/>
            <w:noWrap/>
            <w:vAlign w:val="bottom"/>
          </w:tcPr>
          <w:p w:rsidR="00AB62FC" w:rsidRPr="00C14674" w:rsidRDefault="00AB62FC" w:rsidP="00AB62FC">
            <w:pPr>
              <w:tabs>
                <w:tab w:val="right" w:leader="dot" w:pos="5103"/>
              </w:tabs>
              <w:spacing w:before="0" w:after="0"/>
              <w:rPr>
                <w:sz w:val="18"/>
                <w:szCs w:val="18"/>
              </w:rPr>
            </w:pPr>
            <w:r w:rsidRPr="00C14674">
              <w:rPr>
                <w:sz w:val="18"/>
                <w:szCs w:val="18"/>
              </w:rPr>
              <w:t>Joint guarantee</w:t>
            </w:r>
            <w:r w:rsidRPr="00C14674">
              <w:rPr>
                <w:sz w:val="18"/>
                <w:szCs w:val="18"/>
              </w:rPr>
              <w:tab/>
            </w:r>
          </w:p>
        </w:tc>
        <w:tc>
          <w:tcPr>
            <w:tcW w:w="1366" w:type="dxa"/>
            <w:shd w:val="clear" w:color="auto" w:fill="auto"/>
            <w:noWrap/>
            <w:vAlign w:val="bottom"/>
          </w:tcPr>
          <w:p w:rsidR="00AB62FC" w:rsidRPr="00C14674" w:rsidRDefault="00AB62FC" w:rsidP="00AB62FC">
            <w:pPr>
              <w:pBdr>
                <w:bottom w:val="single" w:sz="4" w:space="1" w:color="auto"/>
              </w:pBdr>
              <w:spacing w:before="0" w:after="0"/>
              <w:jc w:val="right"/>
              <w:rPr>
                <w:sz w:val="18"/>
                <w:szCs w:val="18"/>
              </w:rPr>
            </w:pPr>
            <w:r w:rsidRPr="00C14674">
              <w:rPr>
                <w:sz w:val="18"/>
                <w:szCs w:val="18"/>
              </w:rPr>
              <w:t>0.4</w:t>
            </w:r>
          </w:p>
        </w:tc>
        <w:tc>
          <w:tcPr>
            <w:tcW w:w="1560" w:type="dxa"/>
            <w:shd w:val="clear" w:color="auto" w:fill="auto"/>
            <w:noWrap/>
            <w:vAlign w:val="bottom"/>
          </w:tcPr>
          <w:p w:rsidR="00AB62FC" w:rsidRPr="00C14674" w:rsidRDefault="00AB62FC" w:rsidP="00AB62FC">
            <w:pPr>
              <w:pBdr>
                <w:bottom w:val="single" w:sz="4" w:space="1" w:color="auto"/>
              </w:pBdr>
              <w:spacing w:before="0" w:after="0"/>
              <w:jc w:val="right"/>
              <w:rPr>
                <w:sz w:val="18"/>
                <w:szCs w:val="18"/>
              </w:rPr>
            </w:pPr>
            <w:r w:rsidRPr="00C14674">
              <w:rPr>
                <w:sz w:val="18"/>
                <w:szCs w:val="18"/>
              </w:rPr>
              <w:t>1.3</w:t>
            </w:r>
          </w:p>
        </w:tc>
      </w:tr>
      <w:tr w:rsidR="00AB62FC" w:rsidRPr="00C14674" w:rsidTr="00AB62FC">
        <w:tc>
          <w:tcPr>
            <w:tcW w:w="5580" w:type="dxa"/>
            <w:shd w:val="clear" w:color="auto" w:fill="auto"/>
            <w:noWrap/>
            <w:vAlign w:val="bottom"/>
          </w:tcPr>
          <w:p w:rsidR="00AB62FC" w:rsidRPr="00C14674" w:rsidRDefault="00AB62FC" w:rsidP="00AB62FC">
            <w:pPr>
              <w:tabs>
                <w:tab w:val="right" w:leader="dot" w:pos="5103"/>
              </w:tabs>
              <w:spacing w:before="0" w:after="0"/>
              <w:rPr>
                <w:b/>
                <w:sz w:val="18"/>
                <w:szCs w:val="18"/>
              </w:rPr>
            </w:pPr>
            <w:r w:rsidRPr="00C14674">
              <w:rPr>
                <w:b/>
                <w:sz w:val="18"/>
                <w:szCs w:val="18"/>
              </w:rPr>
              <w:t>Off-balance sheet commitments: guarantees</w:t>
            </w:r>
          </w:p>
        </w:tc>
        <w:tc>
          <w:tcPr>
            <w:tcW w:w="1366" w:type="dxa"/>
            <w:shd w:val="clear" w:color="auto" w:fill="auto"/>
            <w:noWrap/>
            <w:vAlign w:val="bottom"/>
          </w:tcPr>
          <w:p w:rsidR="00AB62FC" w:rsidRPr="00C14674" w:rsidRDefault="00AB62FC" w:rsidP="00AB62FC">
            <w:pPr>
              <w:pBdr>
                <w:bottom w:val="double" w:sz="4" w:space="0" w:color="auto"/>
              </w:pBdr>
              <w:spacing w:before="0" w:after="0"/>
              <w:jc w:val="right"/>
              <w:rPr>
                <w:b/>
                <w:sz w:val="18"/>
                <w:szCs w:val="18"/>
              </w:rPr>
            </w:pPr>
            <w:r w:rsidRPr="00C14674">
              <w:rPr>
                <w:b/>
                <w:sz w:val="18"/>
                <w:szCs w:val="18"/>
              </w:rPr>
              <w:t>477.0</w:t>
            </w:r>
          </w:p>
        </w:tc>
        <w:tc>
          <w:tcPr>
            <w:tcW w:w="1560" w:type="dxa"/>
            <w:shd w:val="clear" w:color="auto" w:fill="auto"/>
            <w:noWrap/>
            <w:vAlign w:val="bottom"/>
          </w:tcPr>
          <w:p w:rsidR="00AB62FC" w:rsidRPr="00C14674" w:rsidRDefault="00AB62FC" w:rsidP="00AB62FC">
            <w:pPr>
              <w:pBdr>
                <w:bottom w:val="double" w:sz="4" w:space="0" w:color="auto"/>
              </w:pBdr>
              <w:spacing w:before="0" w:after="0"/>
              <w:jc w:val="right"/>
              <w:rPr>
                <w:b/>
                <w:sz w:val="18"/>
                <w:szCs w:val="18"/>
              </w:rPr>
            </w:pPr>
            <w:r w:rsidRPr="00C14674">
              <w:rPr>
                <w:b/>
                <w:sz w:val="18"/>
                <w:szCs w:val="18"/>
              </w:rPr>
              <w:t>443.0</w:t>
            </w:r>
          </w:p>
        </w:tc>
      </w:tr>
    </w:tbl>
    <w:p w:rsidR="003F0BC5" w:rsidRPr="00C14674" w:rsidRDefault="003F0BC5" w:rsidP="00353B80">
      <w:pPr>
        <w:pStyle w:val="Firm5L2"/>
        <w:keepNext/>
      </w:pPr>
      <w:bookmarkStart w:id="73" w:name="_Toc420593886"/>
      <w:r w:rsidRPr="00C14674">
        <w:t>Capital structure</w:t>
      </w:r>
      <w:bookmarkEnd w:id="73"/>
    </w:p>
    <w:p w:rsidR="003F0BC5" w:rsidRPr="00C14674" w:rsidRDefault="003F0BC5" w:rsidP="003F0BC5">
      <w:pPr>
        <w:rPr>
          <w:szCs w:val="20"/>
        </w:rPr>
      </w:pPr>
      <w:r w:rsidRPr="00C14674">
        <w:rPr>
          <w:szCs w:val="20"/>
        </w:rPr>
        <w:t xml:space="preserve">The </w:t>
      </w:r>
      <w:r w:rsidR="002A1AB1" w:rsidRPr="00C14674">
        <w:rPr>
          <w:szCs w:val="20"/>
        </w:rPr>
        <w:t>Greenyard Foods</w:t>
      </w:r>
      <w:r w:rsidRPr="00C14674">
        <w:rPr>
          <w:szCs w:val="20"/>
        </w:rPr>
        <w:t xml:space="preserve"> Group constantly seeks to optimise its capital structure (balance between debts and equity) with a view to maximise shareholder value. The </w:t>
      </w:r>
      <w:r w:rsidR="002A1AB1" w:rsidRPr="00C14674">
        <w:rPr>
          <w:szCs w:val="20"/>
        </w:rPr>
        <w:t>Greenyard Foods</w:t>
      </w:r>
      <w:r w:rsidRPr="00C14674">
        <w:rPr>
          <w:szCs w:val="20"/>
        </w:rPr>
        <w:t xml:space="preserve"> Group strives for a flexible structure in terms of periodicity and credit type, which enables it to grab potential opportunities.</w:t>
      </w:r>
    </w:p>
    <w:p w:rsidR="003F0BC5" w:rsidRPr="00C14674" w:rsidRDefault="003F0BC5" w:rsidP="003F0BC5">
      <w:pPr>
        <w:rPr>
          <w:szCs w:val="20"/>
        </w:rPr>
      </w:pPr>
      <w:r w:rsidRPr="00C14674">
        <w:rPr>
          <w:szCs w:val="20"/>
        </w:rPr>
        <w:t xml:space="preserve">The </w:t>
      </w:r>
      <w:r w:rsidR="002A1AB1" w:rsidRPr="00C14674">
        <w:rPr>
          <w:szCs w:val="20"/>
        </w:rPr>
        <w:t>Greenyard Foods</w:t>
      </w:r>
      <w:r w:rsidRPr="00C14674">
        <w:rPr>
          <w:szCs w:val="20"/>
        </w:rPr>
        <w:t xml:space="preserve"> Group does have solvency and gearing ratios which are aligned with the sector. The gearing ratio is a bank covenant as well under the Bonds as under the revolving facility agreement, which implies that solvency and gearing are followed up closely by the </w:t>
      </w:r>
      <w:r w:rsidR="002A1AB1" w:rsidRPr="00C14674">
        <w:rPr>
          <w:szCs w:val="20"/>
        </w:rPr>
        <w:t>Greenyard Foods</w:t>
      </w:r>
      <w:r w:rsidRPr="00C14674">
        <w:rPr>
          <w:szCs w:val="20"/>
        </w:rPr>
        <w:t xml:space="preserve"> Group.</w:t>
      </w:r>
    </w:p>
    <w:p w:rsidR="003F0BC5" w:rsidRPr="00C14674" w:rsidRDefault="003F0BC5" w:rsidP="003F0BC5">
      <w:pPr>
        <w:rPr>
          <w:szCs w:val="20"/>
        </w:rPr>
      </w:pPr>
      <w:r w:rsidRPr="00C14674">
        <w:rPr>
          <w:szCs w:val="20"/>
        </w:rPr>
        <w:t>The capital structure is presented at regular intervals to the Audit Committee and the Board of Directors.</w:t>
      </w:r>
    </w:p>
    <w:p w:rsidR="003F0BC5" w:rsidRPr="00C14674" w:rsidRDefault="00FD6C8D" w:rsidP="00353B80">
      <w:pPr>
        <w:pStyle w:val="Firm5L1"/>
        <w:keepNext/>
      </w:pPr>
      <w:bookmarkStart w:id="74" w:name="_Toc420593887"/>
      <w:r w:rsidRPr="00C14674">
        <w:t>The Univeg Group</w:t>
      </w:r>
      <w:bookmarkEnd w:id="74"/>
    </w:p>
    <w:p w:rsidR="003F0BC5" w:rsidRPr="00C14674" w:rsidRDefault="003F0BC5" w:rsidP="00353B80">
      <w:pPr>
        <w:pStyle w:val="Firm5L2"/>
        <w:keepNext/>
      </w:pPr>
      <w:bookmarkStart w:id="75" w:name="_Toc420593888"/>
      <w:r w:rsidRPr="00C14674">
        <w:t>Overview</w:t>
      </w:r>
      <w:bookmarkEnd w:id="75"/>
    </w:p>
    <w:p w:rsidR="003F0BC5" w:rsidRPr="00C14674" w:rsidRDefault="003F0BC5" w:rsidP="003F0BC5">
      <w:pPr>
        <w:rPr>
          <w:szCs w:val="20"/>
        </w:rPr>
      </w:pPr>
      <w:r w:rsidRPr="00C14674">
        <w:rPr>
          <w:szCs w:val="20"/>
        </w:rPr>
        <w:t>The Univeg Group is a vertically integrated world leader in the sourcing and supply of high quality fresh and fresh-cut fruit and vegetables, with a strong global presence in the fresh produce market and strategically complementary products and services.</w:t>
      </w:r>
    </w:p>
    <w:p w:rsidR="003F0BC5" w:rsidRPr="00C14674" w:rsidRDefault="003F0BC5" w:rsidP="003F0BC5">
      <w:pPr>
        <w:rPr>
          <w:szCs w:val="20"/>
        </w:rPr>
      </w:pPr>
      <w:r w:rsidRPr="00C14674">
        <w:rPr>
          <w:szCs w:val="20"/>
        </w:rPr>
        <w:t xml:space="preserve">The Univeg Group has particularly strong presence in </w:t>
      </w:r>
      <w:smartTag w:uri="urn:schemas-microsoft-com:office:smarttags" w:element="place">
        <w:r w:rsidRPr="00C14674">
          <w:rPr>
            <w:szCs w:val="20"/>
          </w:rPr>
          <w:t>Europe</w:t>
        </w:r>
      </w:smartTag>
      <w:r w:rsidRPr="00C14674">
        <w:rPr>
          <w:szCs w:val="20"/>
        </w:rPr>
        <w:t xml:space="preserve">, supplying the largest food retailers. The Univeg Group’s largest market shares by revenue are in </w:t>
      </w:r>
      <w:r w:rsidR="00703C66" w:rsidRPr="00C14674">
        <w:rPr>
          <w:szCs w:val="20"/>
        </w:rPr>
        <w:t>T</w:t>
      </w:r>
      <w:r w:rsidRPr="00C14674">
        <w:rPr>
          <w:szCs w:val="20"/>
        </w:rPr>
        <w:t xml:space="preserve">he Netherlands, </w:t>
      </w:r>
      <w:smartTag w:uri="urn:schemas-microsoft-com:office:smarttags" w:element="country-region">
        <w:r w:rsidRPr="00C14674">
          <w:rPr>
            <w:szCs w:val="20"/>
          </w:rPr>
          <w:t>Belgium</w:t>
        </w:r>
      </w:smartTag>
      <w:r w:rsidRPr="00C14674">
        <w:rPr>
          <w:szCs w:val="20"/>
        </w:rPr>
        <w:t xml:space="preserve"> and </w:t>
      </w:r>
      <w:smartTag w:uri="urn:schemas-microsoft-com:office:smarttags" w:element="country-region">
        <w:r w:rsidRPr="00C14674">
          <w:rPr>
            <w:szCs w:val="20"/>
          </w:rPr>
          <w:t>Germany</w:t>
        </w:r>
      </w:smartTag>
      <w:r w:rsidRPr="00C14674">
        <w:rPr>
          <w:szCs w:val="20"/>
        </w:rPr>
        <w:t xml:space="preserve"> and the strong generalist position in these countries is complemented by the broadening of an offering through an increasing specialist presence in </w:t>
      </w:r>
      <w:smartTag w:uri="urn:schemas-microsoft-com:office:smarttags" w:element="country-region">
        <w:r w:rsidRPr="00C14674">
          <w:rPr>
            <w:szCs w:val="20"/>
          </w:rPr>
          <w:t>France</w:t>
        </w:r>
      </w:smartTag>
      <w:r w:rsidRPr="00C14674">
        <w:rPr>
          <w:szCs w:val="20"/>
        </w:rPr>
        <w:t xml:space="preserve">, the </w:t>
      </w:r>
      <w:smartTag w:uri="urn:schemas-microsoft-com:office:smarttags" w:element="country-region">
        <w:r w:rsidRPr="00C14674">
          <w:rPr>
            <w:szCs w:val="20"/>
          </w:rPr>
          <w:t>United Kingdom</w:t>
        </w:r>
      </w:smartTag>
      <w:r w:rsidRPr="00C14674">
        <w:rPr>
          <w:szCs w:val="20"/>
        </w:rPr>
        <w:t xml:space="preserve"> and the </w:t>
      </w:r>
      <w:smartTag w:uri="urn:schemas-microsoft-com:office:smarttags" w:element="country-region">
        <w:smartTag w:uri="urn:schemas-microsoft-com:office:smarttags" w:element="place">
          <w:r w:rsidRPr="00C14674">
            <w:rPr>
              <w:szCs w:val="20"/>
            </w:rPr>
            <w:t>United States</w:t>
          </w:r>
        </w:smartTag>
      </w:smartTag>
      <w:r w:rsidRPr="00C14674">
        <w:rPr>
          <w:szCs w:val="20"/>
        </w:rPr>
        <w:t xml:space="preserve">. In the </w:t>
      </w:r>
      <w:r w:rsidR="00ED1BE9" w:rsidRPr="00C14674">
        <w:rPr>
          <w:szCs w:val="20"/>
        </w:rPr>
        <w:t xml:space="preserve">financial </w:t>
      </w:r>
      <w:r w:rsidRPr="00C14674">
        <w:rPr>
          <w:szCs w:val="20"/>
        </w:rPr>
        <w:t xml:space="preserve">year ended 31 December 2014, the Univeg Group generated revenues of </w:t>
      </w:r>
      <w:r w:rsidR="00E53641">
        <w:rPr>
          <w:szCs w:val="20"/>
        </w:rPr>
        <w:t>EUR </w:t>
      </w:r>
      <w:r w:rsidRPr="00C14674">
        <w:rPr>
          <w:szCs w:val="20"/>
        </w:rPr>
        <w:t>3,300,000,000.</w:t>
      </w:r>
    </w:p>
    <w:p w:rsidR="003F0BC5" w:rsidRPr="00992199" w:rsidRDefault="003F0BC5" w:rsidP="003F0BC5">
      <w:pPr>
        <w:rPr>
          <w:szCs w:val="20"/>
        </w:rPr>
      </w:pPr>
      <w:r w:rsidRPr="00C14674">
        <w:rPr>
          <w:szCs w:val="20"/>
        </w:rPr>
        <w:t xml:space="preserve">The sales operations are supported by strong sourcing capabilities in Europe’s most important horticultural countries, such as </w:t>
      </w:r>
      <w:smartTag w:uri="urn:schemas-microsoft-com:office:smarttags" w:element="country-region">
        <w:r w:rsidRPr="00C14674">
          <w:rPr>
            <w:szCs w:val="20"/>
          </w:rPr>
          <w:t>Spain</w:t>
        </w:r>
      </w:smartTag>
      <w:r w:rsidRPr="00C14674">
        <w:rPr>
          <w:szCs w:val="20"/>
        </w:rPr>
        <w:t xml:space="preserve">, </w:t>
      </w:r>
      <w:smartTag w:uri="urn:schemas-microsoft-com:office:smarttags" w:element="country-region">
        <w:smartTag w:uri="urn:schemas-microsoft-com:office:smarttags" w:element="place">
          <w:r w:rsidRPr="00C14674">
            <w:rPr>
              <w:szCs w:val="20"/>
            </w:rPr>
            <w:t>Italy</w:t>
          </w:r>
        </w:smartTag>
      </w:smartTag>
      <w:r w:rsidRPr="00C14674">
        <w:rPr>
          <w:szCs w:val="20"/>
        </w:rPr>
        <w:t xml:space="preserve"> and </w:t>
      </w:r>
      <w:r w:rsidR="00703C66" w:rsidRPr="00C14674">
        <w:rPr>
          <w:szCs w:val="20"/>
        </w:rPr>
        <w:t>T</w:t>
      </w:r>
      <w:r w:rsidRPr="00C14674">
        <w:rPr>
          <w:szCs w:val="20"/>
        </w:rPr>
        <w:t>he Netherlands. Furthermore, in order to procure a year-round supply of fresh produce, the Univeg Group has developed strong sourcing capabilities</w:t>
      </w:r>
      <w:r w:rsidRPr="00992199">
        <w:rPr>
          <w:szCs w:val="20"/>
        </w:rPr>
        <w:t xml:space="preserve"> in other key exporting countries around the world such as South Africa, Turkey, Chile, Argentina, Brazil, Peru, Costa Rica and Uruguay. This geographic diversity helps the Univeg Group to supply its customers with high-quality fresh produce throughout the year.</w:t>
      </w:r>
    </w:p>
    <w:p w:rsidR="003F0BC5" w:rsidRPr="00992199" w:rsidRDefault="003F0BC5" w:rsidP="003F0BC5">
      <w:pPr>
        <w:rPr>
          <w:szCs w:val="20"/>
        </w:rPr>
      </w:pPr>
      <w:r w:rsidRPr="00992199">
        <w:rPr>
          <w:szCs w:val="20"/>
        </w:rPr>
        <w:t>The source markets and sales markets are connected by strategically located European logistics and distribution capabilities, helping to operate a vertically integrated business model over the entire value chain from production to delivery. The Univeg Group has facilities</w:t>
      </w:r>
      <w:r w:rsidR="00703C66">
        <w:rPr>
          <w:szCs w:val="20"/>
        </w:rPr>
        <w:t xml:space="preserve"> located in key import hubs in T</w:t>
      </w:r>
      <w:r w:rsidRPr="00992199">
        <w:rPr>
          <w:szCs w:val="20"/>
        </w:rPr>
        <w:t xml:space="preserve">he Netherlands, </w:t>
      </w:r>
      <w:smartTag w:uri="urn:schemas-microsoft-com:office:smarttags" w:element="country-region">
        <w:r w:rsidRPr="00992199">
          <w:rPr>
            <w:szCs w:val="20"/>
          </w:rPr>
          <w:t>Belgium</w:t>
        </w:r>
      </w:smartTag>
      <w:r w:rsidRPr="00992199">
        <w:rPr>
          <w:szCs w:val="20"/>
        </w:rPr>
        <w:t xml:space="preserve">, </w:t>
      </w:r>
      <w:smartTag w:uri="urn:schemas-microsoft-com:office:smarttags" w:element="country-region">
        <w:r w:rsidRPr="00992199">
          <w:rPr>
            <w:szCs w:val="20"/>
          </w:rPr>
          <w:t>Germany</w:t>
        </w:r>
      </w:smartTag>
      <w:r w:rsidRPr="00992199">
        <w:rPr>
          <w:szCs w:val="20"/>
        </w:rPr>
        <w:t xml:space="preserve"> and </w:t>
      </w:r>
      <w:smartTag w:uri="urn:schemas-microsoft-com:office:smarttags" w:element="country-region">
        <w:smartTag w:uri="urn:schemas-microsoft-com:office:smarttags" w:element="place">
          <w:r w:rsidRPr="00992199">
            <w:rPr>
              <w:szCs w:val="20"/>
            </w:rPr>
            <w:t>Italy</w:t>
          </w:r>
        </w:smartTag>
      </w:smartTag>
      <w:r w:rsidRPr="00992199">
        <w:rPr>
          <w:szCs w:val="20"/>
        </w:rPr>
        <w:t>. The Univeg Group also operates a network of technologically advanced service and distribution centres, where value-added services, such as cold storage, ripening, order picking and customer label packaging, are provided before distributing produce to customers’ own distribution facilities or directly to their stores.</w:t>
      </w:r>
    </w:p>
    <w:p w:rsidR="003F0BC5" w:rsidRPr="00992199" w:rsidRDefault="003F0BC5" w:rsidP="003F0BC5">
      <w:pPr>
        <w:rPr>
          <w:szCs w:val="20"/>
        </w:rPr>
      </w:pPr>
      <w:r w:rsidRPr="00992199">
        <w:rPr>
          <w:szCs w:val="20"/>
        </w:rPr>
        <w:t xml:space="preserve">A key element of its business model is customer intimacy, whereby the Univeg Group focuses on developing customer relationships beyond the simple trading of fruit and vegetables to become a full service provider, offering its customers value-added services tailored to their specific needs and high quality fresh produce year-round as their </w:t>
      </w:r>
      <w:r w:rsidR="00BF553B">
        <w:rPr>
          <w:szCs w:val="20"/>
        </w:rPr>
        <w:t>“</w:t>
      </w:r>
      <w:r w:rsidRPr="00992199">
        <w:rPr>
          <w:szCs w:val="20"/>
        </w:rPr>
        <w:t>direct connection to the field.</w:t>
      </w:r>
      <w:r w:rsidR="00BF553B">
        <w:rPr>
          <w:szCs w:val="20"/>
        </w:rPr>
        <w:t>”</w:t>
      </w:r>
    </w:p>
    <w:p w:rsidR="003F0BC5" w:rsidRPr="00992199" w:rsidRDefault="003F0BC5" w:rsidP="00353B80">
      <w:pPr>
        <w:pStyle w:val="Firm5L2"/>
        <w:keepNext/>
      </w:pPr>
      <w:bookmarkStart w:id="76" w:name="_Toc420593889"/>
      <w:r w:rsidRPr="00992199">
        <w:t>Financial condition and recent events</w:t>
      </w:r>
      <w:bookmarkEnd w:id="76"/>
    </w:p>
    <w:p w:rsidR="003F0BC5" w:rsidRPr="00992199" w:rsidRDefault="003F0BC5" w:rsidP="00353B80">
      <w:pPr>
        <w:pStyle w:val="Firm5L3"/>
        <w:keepNext/>
      </w:pPr>
      <w:r w:rsidRPr="00992199">
        <w:t>Financial condition</w:t>
      </w:r>
    </w:p>
    <w:p w:rsidR="003F0BC5" w:rsidRPr="00992199" w:rsidRDefault="003F0BC5" w:rsidP="00353B80">
      <w:pPr>
        <w:pStyle w:val="Firm5L4"/>
        <w:keepNext/>
      </w:pPr>
      <w:r w:rsidRPr="00992199">
        <w:t>Management’s performance review</w:t>
      </w:r>
    </w:p>
    <w:p w:rsidR="003F0BC5" w:rsidRPr="00992199" w:rsidRDefault="003F0BC5" w:rsidP="003F0BC5">
      <w:pPr>
        <w:rPr>
          <w:szCs w:val="20"/>
        </w:rPr>
      </w:pPr>
      <w:r w:rsidRPr="00992199">
        <w:rPr>
          <w:szCs w:val="20"/>
        </w:rPr>
        <w:t xml:space="preserve">This financial information described below is based primarily on the audited consolidated financial statements of the Univeg Group as of and for the </w:t>
      </w:r>
      <w:r w:rsidR="00ED1BE9">
        <w:rPr>
          <w:szCs w:val="20"/>
        </w:rPr>
        <w:t xml:space="preserve">financial </w:t>
      </w:r>
      <w:r w:rsidRPr="00992199">
        <w:rPr>
          <w:szCs w:val="20"/>
        </w:rPr>
        <w:t>years ended 31 December 2014 and 2013, prepared in accordance with the IFRS.</w:t>
      </w:r>
    </w:p>
    <w:p w:rsidR="003F0BC5" w:rsidRPr="00992199" w:rsidRDefault="003F0BC5" w:rsidP="003F0BC5">
      <w:pPr>
        <w:rPr>
          <w:b/>
          <w:szCs w:val="20"/>
        </w:rPr>
      </w:pPr>
      <w:r w:rsidRPr="00992199">
        <w:rPr>
          <w:b/>
          <w:szCs w:val="20"/>
        </w:rPr>
        <w:t>Revenues</w:t>
      </w:r>
    </w:p>
    <w:p w:rsidR="003F0BC5" w:rsidRPr="00C14674" w:rsidRDefault="003F0BC5" w:rsidP="003F0BC5">
      <w:pPr>
        <w:rPr>
          <w:szCs w:val="20"/>
        </w:rPr>
      </w:pPr>
      <w:r w:rsidRPr="00992199">
        <w:rPr>
          <w:szCs w:val="20"/>
        </w:rPr>
        <w:lastRenderedPageBreak/>
        <w:t xml:space="preserve">The following table sets forth details of revenues attributable to the continuing/discontinued operations for the </w:t>
      </w:r>
      <w:r w:rsidR="00ED1BE9" w:rsidRPr="00ED1BE9">
        <w:rPr>
          <w:szCs w:val="20"/>
        </w:rPr>
        <w:t xml:space="preserve">financial </w:t>
      </w:r>
      <w:r w:rsidRPr="00992199">
        <w:rPr>
          <w:szCs w:val="20"/>
        </w:rPr>
        <w:t xml:space="preserve">years ended </w:t>
      </w:r>
      <w:r w:rsidRPr="00C14674">
        <w:rPr>
          <w:szCs w:val="20"/>
        </w:rPr>
        <w:t>31 December 2013 and 2014:</w:t>
      </w:r>
    </w:p>
    <w:tbl>
      <w:tblPr>
        <w:tblW w:w="4887" w:type="pct"/>
        <w:jc w:val="center"/>
        <w:tblCellMar>
          <w:left w:w="0" w:type="dxa"/>
          <w:right w:w="0" w:type="dxa"/>
        </w:tblCellMar>
        <w:tblLook w:val="0000" w:firstRow="0" w:lastRow="0" w:firstColumn="0" w:lastColumn="0" w:noHBand="0" w:noVBand="0"/>
      </w:tblPr>
      <w:tblGrid>
        <w:gridCol w:w="5861"/>
        <w:gridCol w:w="1596"/>
        <w:gridCol w:w="1509"/>
      </w:tblGrid>
      <w:tr w:rsidR="00AB62FC" w:rsidRPr="00C14674" w:rsidTr="00AB62FC">
        <w:trPr>
          <w:tblHeader/>
          <w:jc w:val="center"/>
        </w:trPr>
        <w:tc>
          <w:tcPr>
            <w:tcW w:w="5877" w:type="dxa"/>
            <w:tcMar>
              <w:top w:w="0" w:type="dxa"/>
              <w:left w:w="144" w:type="dxa"/>
              <w:bottom w:w="0" w:type="dxa"/>
              <w:right w:w="0" w:type="dxa"/>
            </w:tcMar>
            <w:vAlign w:val="center"/>
          </w:tcPr>
          <w:p w:rsidR="00AB62FC" w:rsidRPr="00C14674" w:rsidRDefault="00AB62FC" w:rsidP="00AB62FC">
            <w:pPr>
              <w:keepNext/>
              <w:spacing w:before="0" w:after="0"/>
              <w:ind w:left="-33"/>
              <w:jc w:val="left"/>
              <w:rPr>
                <w:bCs/>
                <w:i/>
                <w:sz w:val="18"/>
                <w:szCs w:val="18"/>
              </w:rPr>
            </w:pPr>
            <w:r w:rsidRPr="00C14674">
              <w:rPr>
                <w:bCs/>
                <w:i/>
                <w:sz w:val="18"/>
                <w:szCs w:val="18"/>
              </w:rPr>
              <w:t>(</w:t>
            </w:r>
            <w:r w:rsidR="00E53641">
              <w:rPr>
                <w:bCs/>
                <w:i/>
                <w:sz w:val="18"/>
                <w:szCs w:val="18"/>
              </w:rPr>
              <w:t>EUR </w:t>
            </w:r>
            <w:r w:rsidRPr="00C14674">
              <w:rPr>
                <w:bCs/>
                <w:i/>
                <w:sz w:val="18"/>
                <w:szCs w:val="18"/>
              </w:rPr>
              <w:t>in millions)</w:t>
            </w:r>
          </w:p>
        </w:tc>
        <w:tc>
          <w:tcPr>
            <w:tcW w:w="1588" w:type="dxa"/>
            <w:tcBorders>
              <w:bottom w:val="single" w:sz="4" w:space="0" w:color="auto"/>
            </w:tcBorders>
            <w:tcMar>
              <w:top w:w="0" w:type="dxa"/>
              <w:left w:w="144" w:type="dxa"/>
              <w:bottom w:w="0" w:type="dxa"/>
              <w:right w:w="0" w:type="dxa"/>
            </w:tcMar>
            <w:vAlign w:val="bottom"/>
          </w:tcPr>
          <w:p w:rsidR="00AB62FC" w:rsidRPr="00C14674" w:rsidRDefault="00AB62FC" w:rsidP="00AB62FC">
            <w:pPr>
              <w:spacing w:before="0" w:after="0"/>
              <w:jc w:val="center"/>
              <w:rPr>
                <w:b/>
                <w:sz w:val="18"/>
                <w:szCs w:val="18"/>
              </w:rPr>
            </w:pPr>
            <w:r w:rsidRPr="00C14674">
              <w:rPr>
                <w:b/>
                <w:bCs/>
                <w:sz w:val="18"/>
                <w:szCs w:val="18"/>
              </w:rPr>
              <w:t>Year Ended</w:t>
            </w:r>
            <w:r w:rsidRPr="00C14674">
              <w:rPr>
                <w:b/>
                <w:bCs/>
                <w:sz w:val="18"/>
                <w:szCs w:val="18"/>
              </w:rPr>
              <w:br/>
              <w:t xml:space="preserve">31 December </w:t>
            </w:r>
            <w:r w:rsidRPr="00C14674">
              <w:rPr>
                <w:b/>
                <w:bCs/>
                <w:sz w:val="18"/>
                <w:szCs w:val="18"/>
              </w:rPr>
              <w:br/>
              <w:t>2014</w:t>
            </w:r>
          </w:p>
        </w:tc>
        <w:tc>
          <w:tcPr>
            <w:tcW w:w="1501" w:type="dxa"/>
            <w:tcBorders>
              <w:bottom w:val="single" w:sz="4" w:space="0" w:color="auto"/>
            </w:tcBorders>
            <w:tcMar>
              <w:top w:w="0" w:type="dxa"/>
              <w:left w:w="144" w:type="dxa"/>
              <w:bottom w:w="0" w:type="dxa"/>
              <w:right w:w="0" w:type="dxa"/>
            </w:tcMar>
            <w:vAlign w:val="bottom"/>
          </w:tcPr>
          <w:p w:rsidR="00AB62FC" w:rsidRPr="00C14674" w:rsidRDefault="00AB62FC" w:rsidP="00AB62FC">
            <w:pPr>
              <w:tabs>
                <w:tab w:val="right" w:pos="1380"/>
                <w:tab w:val="decimal" w:pos="1420"/>
              </w:tabs>
              <w:spacing w:before="0" w:after="0"/>
              <w:jc w:val="center"/>
              <w:rPr>
                <w:b/>
                <w:sz w:val="18"/>
                <w:szCs w:val="18"/>
              </w:rPr>
            </w:pPr>
            <w:r w:rsidRPr="00C14674">
              <w:rPr>
                <w:b/>
                <w:sz w:val="18"/>
                <w:szCs w:val="18"/>
              </w:rPr>
              <w:t>Year Ended</w:t>
            </w:r>
            <w:r w:rsidRPr="00C14674">
              <w:rPr>
                <w:b/>
                <w:sz w:val="18"/>
                <w:szCs w:val="18"/>
              </w:rPr>
              <w:br/>
              <w:t>31 December</w:t>
            </w:r>
            <w:r w:rsidRPr="00C14674">
              <w:rPr>
                <w:b/>
                <w:sz w:val="18"/>
                <w:szCs w:val="18"/>
              </w:rPr>
              <w:br/>
              <w:t>2013</w:t>
            </w:r>
          </w:p>
        </w:tc>
      </w:tr>
      <w:tr w:rsidR="00AB62FC" w:rsidRPr="00C14674" w:rsidTr="00AB62FC">
        <w:trPr>
          <w:jc w:val="center"/>
        </w:trPr>
        <w:tc>
          <w:tcPr>
            <w:tcW w:w="5877" w:type="dxa"/>
            <w:vAlign w:val="bottom"/>
          </w:tcPr>
          <w:p w:rsidR="00AB62FC" w:rsidRPr="00C14674" w:rsidRDefault="00AB62FC" w:rsidP="00AB62FC">
            <w:pPr>
              <w:keepNext/>
              <w:tabs>
                <w:tab w:val="right" w:leader="dot" w:pos="6340"/>
              </w:tabs>
              <w:spacing w:before="0" w:after="0"/>
              <w:ind w:left="480" w:hanging="240"/>
              <w:rPr>
                <w:sz w:val="18"/>
                <w:szCs w:val="18"/>
              </w:rPr>
            </w:pPr>
            <w:r w:rsidRPr="00C14674">
              <w:rPr>
                <w:sz w:val="18"/>
                <w:szCs w:val="18"/>
              </w:rPr>
              <w:t>Revenue from sales of the continuing operations</w:t>
            </w:r>
            <w:r w:rsidRPr="00C14674">
              <w:rPr>
                <w:sz w:val="18"/>
                <w:szCs w:val="18"/>
              </w:rPr>
              <w:tab/>
            </w:r>
          </w:p>
        </w:tc>
        <w:tc>
          <w:tcPr>
            <w:tcW w:w="1588" w:type="dxa"/>
            <w:tcBorders>
              <w:top w:val="single" w:sz="4" w:space="0" w:color="auto"/>
            </w:tcBorders>
            <w:noWrap/>
            <w:tcMar>
              <w:top w:w="0" w:type="dxa"/>
              <w:left w:w="144" w:type="dxa"/>
              <w:bottom w:w="0" w:type="dxa"/>
              <w:right w:w="0" w:type="dxa"/>
            </w:tcMar>
            <w:vAlign w:val="bottom"/>
          </w:tcPr>
          <w:p w:rsidR="00AB62FC" w:rsidRPr="00C14674" w:rsidRDefault="00AB62FC" w:rsidP="00AB62FC">
            <w:pPr>
              <w:tabs>
                <w:tab w:val="right" w:pos="1380"/>
                <w:tab w:val="decimal" w:pos="1420"/>
              </w:tabs>
              <w:spacing w:before="0" w:after="0"/>
              <w:jc w:val="right"/>
              <w:rPr>
                <w:sz w:val="18"/>
                <w:szCs w:val="18"/>
              </w:rPr>
            </w:pPr>
            <w:r w:rsidRPr="00C14674">
              <w:rPr>
                <w:sz w:val="18"/>
                <w:szCs w:val="18"/>
              </w:rPr>
              <w:t>3,170.7</w:t>
            </w:r>
          </w:p>
        </w:tc>
        <w:tc>
          <w:tcPr>
            <w:tcW w:w="1501" w:type="dxa"/>
            <w:tcBorders>
              <w:top w:val="single" w:sz="4" w:space="0" w:color="auto"/>
            </w:tcBorders>
            <w:noWrap/>
            <w:tcMar>
              <w:top w:w="0" w:type="dxa"/>
              <w:left w:w="144" w:type="dxa"/>
              <w:bottom w:w="0" w:type="dxa"/>
              <w:right w:w="0" w:type="dxa"/>
            </w:tcMar>
            <w:vAlign w:val="bottom"/>
          </w:tcPr>
          <w:p w:rsidR="00AB62FC" w:rsidRPr="00C14674" w:rsidRDefault="00AB62FC" w:rsidP="00AB62FC">
            <w:pPr>
              <w:tabs>
                <w:tab w:val="right" w:pos="1380"/>
                <w:tab w:val="decimal" w:pos="1420"/>
              </w:tabs>
              <w:spacing w:before="0" w:after="0"/>
              <w:jc w:val="right"/>
              <w:rPr>
                <w:sz w:val="18"/>
                <w:szCs w:val="18"/>
              </w:rPr>
            </w:pPr>
            <w:r w:rsidRPr="00C14674">
              <w:rPr>
                <w:sz w:val="18"/>
                <w:szCs w:val="18"/>
              </w:rPr>
              <w:t>3,028.5</w:t>
            </w:r>
          </w:p>
        </w:tc>
      </w:tr>
      <w:tr w:rsidR="00AB62FC" w:rsidRPr="00C14674" w:rsidTr="00AB62FC">
        <w:trPr>
          <w:jc w:val="center"/>
        </w:trPr>
        <w:tc>
          <w:tcPr>
            <w:tcW w:w="5877" w:type="dxa"/>
            <w:vAlign w:val="bottom"/>
          </w:tcPr>
          <w:p w:rsidR="00AB62FC" w:rsidRPr="00C14674" w:rsidRDefault="00AB62FC" w:rsidP="00AB62FC">
            <w:pPr>
              <w:keepNext/>
              <w:tabs>
                <w:tab w:val="right" w:leader="dot" w:pos="6340"/>
              </w:tabs>
              <w:spacing w:before="0" w:after="0"/>
              <w:ind w:left="480" w:hanging="240"/>
              <w:rPr>
                <w:sz w:val="18"/>
                <w:szCs w:val="18"/>
              </w:rPr>
            </w:pPr>
            <w:r w:rsidRPr="00C14674">
              <w:rPr>
                <w:sz w:val="18"/>
                <w:szCs w:val="18"/>
              </w:rPr>
              <w:t>Revenue from sales of discontinued operations</w:t>
            </w:r>
            <w:r w:rsidRPr="00C14674">
              <w:rPr>
                <w:sz w:val="18"/>
                <w:szCs w:val="18"/>
              </w:rPr>
              <w:tab/>
            </w:r>
          </w:p>
        </w:tc>
        <w:tc>
          <w:tcPr>
            <w:tcW w:w="1588" w:type="dxa"/>
            <w:noWrap/>
            <w:tcMar>
              <w:top w:w="0" w:type="dxa"/>
              <w:left w:w="144" w:type="dxa"/>
              <w:bottom w:w="0" w:type="dxa"/>
              <w:right w:w="0" w:type="dxa"/>
            </w:tcMar>
            <w:vAlign w:val="bottom"/>
          </w:tcPr>
          <w:p w:rsidR="00AB62FC" w:rsidRPr="00C14674" w:rsidRDefault="00AB62FC" w:rsidP="00AB62FC">
            <w:pPr>
              <w:tabs>
                <w:tab w:val="right" w:pos="1380"/>
                <w:tab w:val="decimal" w:pos="1420"/>
              </w:tabs>
              <w:spacing w:before="0" w:after="0"/>
              <w:jc w:val="right"/>
              <w:rPr>
                <w:sz w:val="18"/>
                <w:szCs w:val="18"/>
              </w:rPr>
            </w:pPr>
            <w:r w:rsidRPr="00C14674">
              <w:rPr>
                <w:sz w:val="18"/>
                <w:szCs w:val="18"/>
              </w:rPr>
              <w:t>94.0</w:t>
            </w:r>
          </w:p>
        </w:tc>
        <w:tc>
          <w:tcPr>
            <w:tcW w:w="1501" w:type="dxa"/>
            <w:noWrap/>
            <w:tcMar>
              <w:top w:w="0" w:type="dxa"/>
              <w:left w:w="144" w:type="dxa"/>
              <w:bottom w:w="0" w:type="dxa"/>
              <w:right w:w="0" w:type="dxa"/>
            </w:tcMar>
            <w:vAlign w:val="bottom"/>
          </w:tcPr>
          <w:p w:rsidR="00AB62FC" w:rsidRPr="00C14674" w:rsidRDefault="00AB62FC" w:rsidP="00AB62FC">
            <w:pPr>
              <w:tabs>
                <w:tab w:val="right" w:pos="1380"/>
                <w:tab w:val="decimal" w:pos="1420"/>
              </w:tabs>
              <w:spacing w:before="0" w:after="0"/>
              <w:jc w:val="right"/>
              <w:rPr>
                <w:sz w:val="18"/>
                <w:szCs w:val="18"/>
              </w:rPr>
            </w:pPr>
            <w:r w:rsidRPr="00C14674">
              <w:rPr>
                <w:sz w:val="18"/>
                <w:szCs w:val="18"/>
              </w:rPr>
              <w:t>106.1</w:t>
            </w:r>
          </w:p>
        </w:tc>
      </w:tr>
      <w:tr w:rsidR="00AB62FC" w:rsidRPr="00C14674" w:rsidTr="00AB62FC">
        <w:trPr>
          <w:jc w:val="center"/>
        </w:trPr>
        <w:tc>
          <w:tcPr>
            <w:tcW w:w="5877" w:type="dxa"/>
            <w:tcMar>
              <w:top w:w="0" w:type="dxa"/>
              <w:left w:w="144" w:type="dxa"/>
              <w:bottom w:w="0" w:type="dxa"/>
              <w:right w:w="0" w:type="dxa"/>
            </w:tcMar>
            <w:vAlign w:val="bottom"/>
          </w:tcPr>
          <w:p w:rsidR="00AB62FC" w:rsidRPr="00C14674" w:rsidRDefault="00AB62FC" w:rsidP="00AB62FC">
            <w:pPr>
              <w:tabs>
                <w:tab w:val="right" w:pos="1380"/>
                <w:tab w:val="decimal" w:pos="1420"/>
              </w:tabs>
              <w:spacing w:before="0" w:after="0"/>
              <w:rPr>
                <w:sz w:val="18"/>
                <w:szCs w:val="18"/>
              </w:rPr>
            </w:pPr>
            <w:r w:rsidRPr="00C14674">
              <w:rPr>
                <w:sz w:val="18"/>
                <w:szCs w:val="18"/>
              </w:rPr>
              <w:t> </w:t>
            </w:r>
          </w:p>
        </w:tc>
        <w:tc>
          <w:tcPr>
            <w:tcW w:w="1588" w:type="dxa"/>
            <w:tcMar>
              <w:top w:w="0" w:type="dxa"/>
              <w:left w:w="144" w:type="dxa"/>
              <w:bottom w:w="0" w:type="dxa"/>
              <w:right w:w="0" w:type="dxa"/>
            </w:tcMar>
            <w:vAlign w:val="bottom"/>
          </w:tcPr>
          <w:p w:rsidR="00AB62FC" w:rsidRPr="00C14674" w:rsidRDefault="00AB62FC" w:rsidP="00AB62FC">
            <w:pPr>
              <w:pBdr>
                <w:top w:val="single" w:sz="8" w:space="1" w:color="auto"/>
              </w:pBdr>
              <w:tabs>
                <w:tab w:val="right" w:pos="1380"/>
                <w:tab w:val="decimal" w:pos="1420"/>
              </w:tabs>
              <w:spacing w:before="0" w:after="0"/>
              <w:jc w:val="right"/>
              <w:rPr>
                <w:sz w:val="18"/>
                <w:szCs w:val="18"/>
              </w:rPr>
            </w:pPr>
            <w:r w:rsidRPr="00C14674">
              <w:rPr>
                <w:sz w:val="18"/>
                <w:szCs w:val="18"/>
              </w:rPr>
              <w:t> </w:t>
            </w:r>
          </w:p>
        </w:tc>
        <w:tc>
          <w:tcPr>
            <w:tcW w:w="1501" w:type="dxa"/>
            <w:tcMar>
              <w:top w:w="0" w:type="dxa"/>
              <w:left w:w="144" w:type="dxa"/>
              <w:bottom w:w="0" w:type="dxa"/>
              <w:right w:w="0" w:type="dxa"/>
            </w:tcMar>
            <w:vAlign w:val="bottom"/>
          </w:tcPr>
          <w:p w:rsidR="00AB62FC" w:rsidRPr="00C14674" w:rsidRDefault="00AB62FC" w:rsidP="00AB62FC">
            <w:pPr>
              <w:pBdr>
                <w:top w:val="single" w:sz="8" w:space="1" w:color="auto"/>
              </w:pBdr>
              <w:tabs>
                <w:tab w:val="right" w:pos="1380"/>
                <w:tab w:val="decimal" w:pos="1420"/>
              </w:tabs>
              <w:spacing w:before="0" w:after="0"/>
              <w:jc w:val="right"/>
              <w:rPr>
                <w:sz w:val="18"/>
                <w:szCs w:val="18"/>
              </w:rPr>
            </w:pPr>
            <w:r w:rsidRPr="00C14674">
              <w:rPr>
                <w:sz w:val="18"/>
                <w:szCs w:val="18"/>
              </w:rPr>
              <w:t> </w:t>
            </w:r>
          </w:p>
        </w:tc>
      </w:tr>
      <w:tr w:rsidR="00AB62FC" w:rsidRPr="00C14674" w:rsidTr="00AB62FC">
        <w:trPr>
          <w:jc w:val="center"/>
        </w:trPr>
        <w:tc>
          <w:tcPr>
            <w:tcW w:w="5877" w:type="dxa"/>
            <w:vAlign w:val="bottom"/>
          </w:tcPr>
          <w:p w:rsidR="00AB62FC" w:rsidRPr="00C14674" w:rsidRDefault="00AB62FC" w:rsidP="00AB62FC">
            <w:pPr>
              <w:tabs>
                <w:tab w:val="right" w:leader="dot" w:pos="6340"/>
              </w:tabs>
              <w:spacing w:before="0" w:after="0"/>
              <w:ind w:left="240" w:hanging="240"/>
              <w:rPr>
                <w:sz w:val="18"/>
                <w:szCs w:val="18"/>
              </w:rPr>
            </w:pPr>
            <w:r w:rsidRPr="00C14674">
              <w:rPr>
                <w:b/>
                <w:bCs/>
                <w:sz w:val="18"/>
                <w:szCs w:val="18"/>
              </w:rPr>
              <w:t>Revenues</w:t>
            </w:r>
            <w:r w:rsidRPr="00C14674">
              <w:rPr>
                <w:bCs/>
                <w:sz w:val="18"/>
                <w:szCs w:val="18"/>
              </w:rPr>
              <w:tab/>
            </w:r>
          </w:p>
        </w:tc>
        <w:tc>
          <w:tcPr>
            <w:tcW w:w="1588" w:type="dxa"/>
            <w:noWrap/>
            <w:tcMar>
              <w:top w:w="0" w:type="dxa"/>
              <w:left w:w="144" w:type="dxa"/>
              <w:bottom w:w="0" w:type="dxa"/>
              <w:right w:w="0" w:type="dxa"/>
            </w:tcMar>
            <w:vAlign w:val="bottom"/>
          </w:tcPr>
          <w:p w:rsidR="00AB62FC" w:rsidRPr="00C14674" w:rsidRDefault="00AB62FC" w:rsidP="00AB62FC">
            <w:pPr>
              <w:pBdr>
                <w:bottom w:val="double" w:sz="4" w:space="1" w:color="auto"/>
              </w:pBdr>
              <w:tabs>
                <w:tab w:val="right" w:pos="1380"/>
                <w:tab w:val="decimal" w:pos="1420"/>
              </w:tabs>
              <w:spacing w:before="0" w:after="0"/>
              <w:jc w:val="right"/>
              <w:rPr>
                <w:sz w:val="18"/>
                <w:szCs w:val="18"/>
              </w:rPr>
            </w:pPr>
            <w:r w:rsidRPr="00C14674">
              <w:rPr>
                <w:b/>
                <w:bCs/>
                <w:sz w:val="18"/>
                <w:szCs w:val="18"/>
              </w:rPr>
              <w:t>3,264.7</w:t>
            </w:r>
          </w:p>
        </w:tc>
        <w:tc>
          <w:tcPr>
            <w:tcW w:w="1501" w:type="dxa"/>
            <w:noWrap/>
            <w:tcMar>
              <w:top w:w="0" w:type="dxa"/>
              <w:left w:w="144" w:type="dxa"/>
              <w:bottom w:w="0" w:type="dxa"/>
              <w:right w:w="0" w:type="dxa"/>
            </w:tcMar>
            <w:vAlign w:val="bottom"/>
          </w:tcPr>
          <w:p w:rsidR="00AB62FC" w:rsidRPr="00C14674" w:rsidRDefault="00AB62FC" w:rsidP="00AB62FC">
            <w:pPr>
              <w:pBdr>
                <w:bottom w:val="double" w:sz="4" w:space="1" w:color="auto"/>
              </w:pBdr>
              <w:tabs>
                <w:tab w:val="right" w:pos="1380"/>
                <w:tab w:val="decimal" w:pos="1420"/>
              </w:tabs>
              <w:spacing w:before="0" w:after="0"/>
              <w:jc w:val="right"/>
              <w:rPr>
                <w:sz w:val="18"/>
                <w:szCs w:val="18"/>
              </w:rPr>
            </w:pPr>
            <w:r w:rsidRPr="00C14674">
              <w:rPr>
                <w:b/>
                <w:bCs/>
                <w:sz w:val="18"/>
                <w:szCs w:val="18"/>
              </w:rPr>
              <w:t>3,134.6</w:t>
            </w:r>
          </w:p>
        </w:tc>
      </w:tr>
    </w:tbl>
    <w:p w:rsidR="003F0BC5" w:rsidRPr="00C14674" w:rsidRDefault="003F0BC5" w:rsidP="008E7547">
      <w:r w:rsidRPr="00C14674">
        <w:t>The increase of revenues in 2014 was largely driven by the Fruit &amp; Vegetables segment, more specifically the start-up of a new operation in the Czech Republic for one of its key customers, the acquisition of a UK operation that resulted in an important growth of domestic market share, higher imports of deciduous and citrus in the US following short supply due to exceptional draught in California and improved Dutch export prices for exotics and local produce. Nevertheless, in a number of key European markets some price deflation for high volume products (a.o. apples, pears, oranges, bell peppers and cucumbers), being more dominant in the first half of 2014, affected revenues unfavourably, however largely offset by some volumes compared to 2013. The variance of revenues in other segments was predominantly affected by the discontinuation of low margin plant programs as well as lower prices of Dutch flower export.</w:t>
      </w:r>
    </w:p>
    <w:p w:rsidR="003F0BC5" w:rsidRPr="00C14674" w:rsidRDefault="003F0BC5" w:rsidP="003F0BC5">
      <w:pPr>
        <w:rPr>
          <w:szCs w:val="20"/>
        </w:rPr>
      </w:pPr>
      <w:r w:rsidRPr="00C14674">
        <w:rPr>
          <w:szCs w:val="20"/>
        </w:rPr>
        <w:t xml:space="preserve">Overall market trends in 2014 were characterised by: an increasing demand in convenience driven by consumer lifestyle changes, such as an increasing demand for ready-to-eat fruit such as mangoes and avocadoes and pre-cut salads, the highly competitive global fresh produce market, particularly as a result of the short lifespan of the products and the fact that they are, for the most part, traded on a ‘customer label’ basis and therefore cannot be easily differentiated from competitors except for quality, sustainability, origin or other specifications, challenging market conditions in the industry such as the Russian import restrictions for fruit and vegetables which has led to an apple and pear price drop of around 22% (for specific product categories only), the Univeg Group’s total basket of Fruit &amp; Vegetables has seen price deflation of 2.4% in 2014. Also European retail is under pressure which resulted in overall lower prices for fruit and vegetables. In addition, the strengthening of the US Dollar versus the euro could impact banana and overseas prices in Europe, while Rouble inflation in the first quarter of 2015 hurt banana imports in </w:t>
      </w:r>
      <w:smartTag w:uri="urn:schemas-microsoft-com:office:smarttags" w:element="country-region">
        <w:smartTag w:uri="urn:schemas-microsoft-com:office:smarttags" w:element="place">
          <w:r w:rsidRPr="00C14674">
            <w:rPr>
              <w:szCs w:val="20"/>
            </w:rPr>
            <w:t>Russia</w:t>
          </w:r>
        </w:smartTag>
      </w:smartTag>
      <w:r w:rsidRPr="00C14674">
        <w:rPr>
          <w:szCs w:val="20"/>
        </w:rPr>
        <w:t>. Further, increasing competition between retailers pushed price reductions through the supply chain.</w:t>
      </w:r>
    </w:p>
    <w:p w:rsidR="003F0BC5" w:rsidRPr="00C14674" w:rsidRDefault="00FD6C8D" w:rsidP="003F0BC5">
      <w:pPr>
        <w:rPr>
          <w:b/>
          <w:szCs w:val="20"/>
        </w:rPr>
      </w:pPr>
      <w:r w:rsidRPr="00C14674">
        <w:rPr>
          <w:b/>
          <w:szCs w:val="20"/>
        </w:rPr>
        <w:t>R</w:t>
      </w:r>
      <w:r w:rsidR="003F0BC5" w:rsidRPr="00C14674">
        <w:rPr>
          <w:b/>
          <w:szCs w:val="20"/>
        </w:rPr>
        <w:t>EBITDA</w:t>
      </w:r>
    </w:p>
    <w:tbl>
      <w:tblPr>
        <w:tblW w:w="5001" w:type="pct"/>
        <w:jc w:val="center"/>
        <w:tblCellMar>
          <w:left w:w="0" w:type="dxa"/>
          <w:right w:w="0" w:type="dxa"/>
        </w:tblCellMar>
        <w:tblLook w:val="0000" w:firstRow="0" w:lastRow="0" w:firstColumn="0" w:lastColumn="0" w:noHBand="0" w:noVBand="0"/>
      </w:tblPr>
      <w:tblGrid>
        <w:gridCol w:w="5083"/>
        <w:gridCol w:w="2144"/>
        <w:gridCol w:w="1804"/>
      </w:tblGrid>
      <w:tr w:rsidR="00AB62FC" w:rsidRPr="00C14674" w:rsidTr="00AB62FC">
        <w:trPr>
          <w:tblHeader/>
          <w:jc w:val="center"/>
        </w:trPr>
        <w:tc>
          <w:tcPr>
            <w:tcW w:w="2814" w:type="pct"/>
            <w:vAlign w:val="center"/>
          </w:tcPr>
          <w:p w:rsidR="00AB62FC" w:rsidRPr="00C14674" w:rsidRDefault="00AB62FC" w:rsidP="00AB62FC">
            <w:pPr>
              <w:spacing w:before="0" w:after="0"/>
              <w:jc w:val="left"/>
              <w:rPr>
                <w:sz w:val="18"/>
                <w:szCs w:val="18"/>
              </w:rPr>
            </w:pPr>
            <w:r w:rsidRPr="00C14674">
              <w:rPr>
                <w:bCs/>
                <w:i/>
                <w:sz w:val="18"/>
                <w:szCs w:val="18"/>
              </w:rPr>
              <w:t>(</w:t>
            </w:r>
            <w:r w:rsidR="00E53641">
              <w:rPr>
                <w:bCs/>
                <w:i/>
                <w:sz w:val="18"/>
                <w:szCs w:val="18"/>
              </w:rPr>
              <w:t>EUR </w:t>
            </w:r>
            <w:r w:rsidRPr="00C14674">
              <w:rPr>
                <w:bCs/>
                <w:i/>
                <w:sz w:val="18"/>
                <w:szCs w:val="18"/>
              </w:rPr>
              <w:t>in millions)</w:t>
            </w:r>
            <w:r w:rsidRPr="00C14674">
              <w:rPr>
                <w:sz w:val="18"/>
                <w:szCs w:val="18"/>
              </w:rPr>
              <w:t> </w:t>
            </w:r>
          </w:p>
        </w:tc>
        <w:tc>
          <w:tcPr>
            <w:tcW w:w="1187" w:type="pct"/>
            <w:tcMar>
              <w:top w:w="0" w:type="dxa"/>
              <w:left w:w="144" w:type="dxa"/>
              <w:bottom w:w="0" w:type="dxa"/>
              <w:right w:w="0" w:type="dxa"/>
            </w:tcMar>
          </w:tcPr>
          <w:p w:rsidR="00AB62FC" w:rsidRPr="00C14674" w:rsidRDefault="00AB62FC" w:rsidP="00AB62FC">
            <w:pPr>
              <w:pBdr>
                <w:bottom w:val="single" w:sz="4" w:space="1" w:color="auto"/>
              </w:pBdr>
              <w:tabs>
                <w:tab w:val="right" w:leader="dot" w:pos="7240"/>
              </w:tabs>
              <w:ind w:left="95" w:firstLine="5"/>
              <w:jc w:val="center"/>
              <w:rPr>
                <w:b/>
                <w:sz w:val="18"/>
                <w:szCs w:val="18"/>
              </w:rPr>
            </w:pPr>
            <w:r w:rsidRPr="00C14674">
              <w:rPr>
                <w:b/>
                <w:sz w:val="18"/>
                <w:szCs w:val="18"/>
              </w:rPr>
              <w:t xml:space="preserve">Year ended 31 December </w:t>
            </w:r>
            <w:r w:rsidRPr="00C14674">
              <w:rPr>
                <w:b/>
                <w:sz w:val="18"/>
                <w:szCs w:val="18"/>
              </w:rPr>
              <w:br/>
              <w:t>2014</w:t>
            </w:r>
          </w:p>
        </w:tc>
        <w:tc>
          <w:tcPr>
            <w:tcW w:w="999" w:type="pct"/>
            <w:tcMar>
              <w:top w:w="0" w:type="dxa"/>
              <w:left w:w="144" w:type="dxa"/>
              <w:bottom w:w="0" w:type="dxa"/>
              <w:right w:w="0" w:type="dxa"/>
            </w:tcMar>
          </w:tcPr>
          <w:p w:rsidR="00AB62FC" w:rsidRPr="00C14674" w:rsidRDefault="00AB62FC" w:rsidP="00AB62FC">
            <w:pPr>
              <w:pBdr>
                <w:bottom w:val="single" w:sz="4" w:space="1" w:color="auto"/>
              </w:pBdr>
              <w:tabs>
                <w:tab w:val="right" w:leader="dot" w:pos="7240"/>
              </w:tabs>
              <w:ind w:left="-1"/>
              <w:jc w:val="center"/>
              <w:rPr>
                <w:b/>
                <w:sz w:val="18"/>
                <w:szCs w:val="18"/>
              </w:rPr>
            </w:pPr>
            <w:r w:rsidRPr="00C14674">
              <w:rPr>
                <w:b/>
                <w:sz w:val="18"/>
                <w:szCs w:val="18"/>
              </w:rPr>
              <w:t xml:space="preserve">Year ended 31 December </w:t>
            </w:r>
            <w:r w:rsidRPr="00C14674">
              <w:rPr>
                <w:b/>
                <w:sz w:val="18"/>
                <w:szCs w:val="18"/>
              </w:rPr>
              <w:br/>
              <w:t>2013</w:t>
            </w:r>
          </w:p>
        </w:tc>
      </w:tr>
      <w:tr w:rsidR="00AB62FC" w:rsidRPr="00C14674" w:rsidTr="00AB62FC">
        <w:tblPrEx>
          <w:jc w:val="right"/>
        </w:tblPrEx>
        <w:trPr>
          <w:jc w:val="right"/>
        </w:trPr>
        <w:tc>
          <w:tcPr>
            <w:tcW w:w="2814" w:type="pct"/>
          </w:tcPr>
          <w:p w:rsidR="00AB62FC" w:rsidRPr="00C14674" w:rsidRDefault="00AB62FC" w:rsidP="00AB62FC">
            <w:pPr>
              <w:keepNext/>
              <w:tabs>
                <w:tab w:val="right" w:leader="dot" w:pos="5160"/>
              </w:tabs>
              <w:spacing w:before="0" w:after="0"/>
              <w:ind w:left="240" w:hanging="240"/>
              <w:rPr>
                <w:b/>
                <w:sz w:val="18"/>
                <w:szCs w:val="18"/>
              </w:rPr>
            </w:pPr>
            <w:r w:rsidRPr="00C14674">
              <w:rPr>
                <w:b/>
                <w:sz w:val="18"/>
                <w:szCs w:val="18"/>
              </w:rPr>
              <w:t xml:space="preserve">Operating result </w:t>
            </w:r>
            <w:r w:rsidRPr="00C14674">
              <w:rPr>
                <w:sz w:val="18"/>
                <w:szCs w:val="18"/>
              </w:rPr>
              <w:tab/>
            </w:r>
          </w:p>
        </w:tc>
        <w:tc>
          <w:tcPr>
            <w:tcW w:w="1187" w:type="pct"/>
            <w:noWrap/>
            <w:tcMar>
              <w:top w:w="0" w:type="dxa"/>
              <w:left w:w="144" w:type="dxa"/>
              <w:bottom w:w="0" w:type="dxa"/>
              <w:right w:w="0" w:type="dxa"/>
            </w:tcMar>
            <w:vAlign w:val="bottom"/>
          </w:tcPr>
          <w:p w:rsidR="00AB62FC" w:rsidRPr="00C14674" w:rsidRDefault="00AB62FC" w:rsidP="00AB62FC">
            <w:pPr>
              <w:spacing w:before="0" w:after="0"/>
              <w:ind w:right="140"/>
              <w:jc w:val="right"/>
              <w:rPr>
                <w:sz w:val="18"/>
                <w:szCs w:val="18"/>
              </w:rPr>
            </w:pPr>
            <w:r w:rsidRPr="00C14674">
              <w:rPr>
                <w:b/>
                <w:bCs/>
                <w:sz w:val="18"/>
                <w:szCs w:val="18"/>
              </w:rPr>
              <w:t>53.3</w:t>
            </w:r>
          </w:p>
        </w:tc>
        <w:tc>
          <w:tcPr>
            <w:tcW w:w="999" w:type="pct"/>
            <w:noWrap/>
            <w:tcMar>
              <w:top w:w="0" w:type="dxa"/>
              <w:left w:w="144" w:type="dxa"/>
              <w:bottom w:w="0" w:type="dxa"/>
              <w:right w:w="0" w:type="dxa"/>
            </w:tcMar>
            <w:vAlign w:val="bottom"/>
          </w:tcPr>
          <w:p w:rsidR="00AB62FC" w:rsidRPr="00C14674" w:rsidRDefault="00AB62FC" w:rsidP="00AB62FC">
            <w:pPr>
              <w:spacing w:before="0" w:after="0"/>
              <w:ind w:right="142"/>
              <w:jc w:val="right"/>
              <w:rPr>
                <w:sz w:val="18"/>
                <w:szCs w:val="18"/>
              </w:rPr>
            </w:pPr>
            <w:r w:rsidRPr="00C14674">
              <w:rPr>
                <w:b/>
                <w:bCs/>
                <w:sz w:val="18"/>
                <w:szCs w:val="18"/>
              </w:rPr>
              <w:t>55.5</w:t>
            </w:r>
          </w:p>
        </w:tc>
      </w:tr>
      <w:tr w:rsidR="00AB62FC" w:rsidRPr="00C14674" w:rsidTr="00AB62FC">
        <w:tblPrEx>
          <w:jc w:val="right"/>
        </w:tblPrEx>
        <w:trPr>
          <w:jc w:val="right"/>
        </w:trPr>
        <w:tc>
          <w:tcPr>
            <w:tcW w:w="2814" w:type="pct"/>
          </w:tcPr>
          <w:p w:rsidR="00AB62FC" w:rsidRPr="00C14674" w:rsidRDefault="00AB62FC" w:rsidP="00AB62FC">
            <w:pPr>
              <w:keepNext/>
              <w:tabs>
                <w:tab w:val="right" w:leader="dot" w:pos="5160"/>
              </w:tabs>
              <w:spacing w:before="0" w:after="0"/>
              <w:ind w:left="240" w:hanging="240"/>
              <w:rPr>
                <w:sz w:val="18"/>
                <w:szCs w:val="18"/>
              </w:rPr>
            </w:pPr>
            <w:r w:rsidRPr="00C14674">
              <w:rPr>
                <w:sz w:val="18"/>
                <w:szCs w:val="18"/>
              </w:rPr>
              <w:t>Depreciation and amortisation, share of profit of equity accounted investments and non-controlling interests</w:t>
            </w:r>
            <w:r w:rsidRPr="00C14674">
              <w:rPr>
                <w:sz w:val="18"/>
                <w:szCs w:val="18"/>
              </w:rPr>
              <w:tab/>
            </w:r>
          </w:p>
        </w:tc>
        <w:tc>
          <w:tcPr>
            <w:tcW w:w="1187" w:type="pct"/>
            <w:noWrap/>
            <w:tcMar>
              <w:top w:w="0" w:type="dxa"/>
              <w:left w:w="144" w:type="dxa"/>
              <w:bottom w:w="0" w:type="dxa"/>
              <w:right w:w="0" w:type="dxa"/>
            </w:tcMar>
            <w:vAlign w:val="bottom"/>
          </w:tcPr>
          <w:p w:rsidR="00AB62FC" w:rsidRPr="00C14674" w:rsidRDefault="00AB62FC" w:rsidP="00AB62FC">
            <w:pPr>
              <w:pBdr>
                <w:bottom w:val="single" w:sz="4" w:space="1" w:color="auto"/>
              </w:pBdr>
              <w:spacing w:before="0" w:after="0"/>
              <w:ind w:right="140"/>
              <w:jc w:val="right"/>
              <w:rPr>
                <w:sz w:val="18"/>
                <w:szCs w:val="18"/>
              </w:rPr>
            </w:pPr>
            <w:r w:rsidRPr="00C14674">
              <w:rPr>
                <w:sz w:val="18"/>
                <w:szCs w:val="18"/>
              </w:rPr>
              <w:t>33.1</w:t>
            </w:r>
          </w:p>
        </w:tc>
        <w:tc>
          <w:tcPr>
            <w:tcW w:w="999" w:type="pct"/>
            <w:noWrap/>
            <w:tcMar>
              <w:top w:w="0" w:type="dxa"/>
              <w:left w:w="144" w:type="dxa"/>
              <w:bottom w:w="0" w:type="dxa"/>
              <w:right w:w="0" w:type="dxa"/>
            </w:tcMar>
            <w:vAlign w:val="bottom"/>
          </w:tcPr>
          <w:p w:rsidR="00AB62FC" w:rsidRPr="00C14674" w:rsidRDefault="00AB62FC" w:rsidP="00AB62FC">
            <w:pPr>
              <w:pBdr>
                <w:bottom w:val="single" w:sz="4" w:space="1" w:color="auto"/>
              </w:pBdr>
              <w:spacing w:before="0" w:after="0"/>
              <w:ind w:right="142"/>
              <w:jc w:val="right"/>
              <w:rPr>
                <w:sz w:val="18"/>
                <w:szCs w:val="18"/>
              </w:rPr>
            </w:pPr>
            <w:r w:rsidRPr="00C14674">
              <w:rPr>
                <w:sz w:val="18"/>
                <w:szCs w:val="18"/>
              </w:rPr>
              <w:t>28.6</w:t>
            </w:r>
          </w:p>
        </w:tc>
      </w:tr>
      <w:tr w:rsidR="00AB62FC" w:rsidRPr="00C14674" w:rsidTr="00AB62FC">
        <w:tblPrEx>
          <w:jc w:val="right"/>
        </w:tblPrEx>
        <w:trPr>
          <w:jc w:val="right"/>
        </w:trPr>
        <w:tc>
          <w:tcPr>
            <w:tcW w:w="2814" w:type="pct"/>
          </w:tcPr>
          <w:p w:rsidR="00AB62FC" w:rsidRPr="00C14674" w:rsidRDefault="00AB62FC" w:rsidP="00AB62FC">
            <w:pPr>
              <w:keepNext/>
              <w:tabs>
                <w:tab w:val="right" w:leader="dot" w:pos="5160"/>
              </w:tabs>
              <w:spacing w:before="0" w:after="0"/>
              <w:ind w:left="240" w:hanging="240"/>
              <w:rPr>
                <w:b/>
                <w:sz w:val="18"/>
                <w:szCs w:val="18"/>
              </w:rPr>
            </w:pPr>
            <w:r w:rsidRPr="00C14674">
              <w:rPr>
                <w:b/>
                <w:sz w:val="18"/>
                <w:szCs w:val="18"/>
              </w:rPr>
              <w:t>EBITDA</w:t>
            </w:r>
            <w:r w:rsidRPr="00C14674">
              <w:rPr>
                <w:sz w:val="18"/>
                <w:szCs w:val="18"/>
              </w:rPr>
              <w:tab/>
            </w:r>
          </w:p>
        </w:tc>
        <w:tc>
          <w:tcPr>
            <w:tcW w:w="1187" w:type="pct"/>
            <w:noWrap/>
            <w:tcMar>
              <w:top w:w="0" w:type="dxa"/>
              <w:left w:w="144" w:type="dxa"/>
              <w:bottom w:w="0" w:type="dxa"/>
              <w:right w:w="0" w:type="dxa"/>
            </w:tcMar>
            <w:vAlign w:val="bottom"/>
          </w:tcPr>
          <w:p w:rsidR="00AB62FC" w:rsidRPr="00C14674" w:rsidRDefault="00AB62FC" w:rsidP="00AB62FC">
            <w:pPr>
              <w:spacing w:before="0" w:after="0"/>
              <w:ind w:right="140"/>
              <w:jc w:val="right"/>
              <w:rPr>
                <w:sz w:val="18"/>
                <w:szCs w:val="18"/>
              </w:rPr>
            </w:pPr>
            <w:r w:rsidRPr="00C14674">
              <w:rPr>
                <w:b/>
                <w:bCs/>
                <w:sz w:val="18"/>
                <w:szCs w:val="18"/>
              </w:rPr>
              <w:t>86.4</w:t>
            </w:r>
          </w:p>
        </w:tc>
        <w:tc>
          <w:tcPr>
            <w:tcW w:w="999" w:type="pct"/>
            <w:noWrap/>
            <w:tcMar>
              <w:top w:w="0" w:type="dxa"/>
              <w:left w:w="144" w:type="dxa"/>
              <w:bottom w:w="0" w:type="dxa"/>
              <w:right w:w="0" w:type="dxa"/>
            </w:tcMar>
            <w:vAlign w:val="bottom"/>
          </w:tcPr>
          <w:p w:rsidR="00AB62FC" w:rsidRPr="00C14674" w:rsidRDefault="00AB62FC" w:rsidP="00AB62FC">
            <w:pPr>
              <w:spacing w:before="0" w:after="0"/>
              <w:ind w:right="142"/>
              <w:jc w:val="right"/>
              <w:rPr>
                <w:sz w:val="18"/>
                <w:szCs w:val="18"/>
              </w:rPr>
            </w:pPr>
            <w:r w:rsidRPr="00C14674">
              <w:rPr>
                <w:b/>
                <w:bCs/>
                <w:sz w:val="18"/>
                <w:szCs w:val="18"/>
              </w:rPr>
              <w:t>84.1</w:t>
            </w:r>
          </w:p>
        </w:tc>
      </w:tr>
      <w:tr w:rsidR="00AB62FC" w:rsidRPr="00C14674" w:rsidTr="00AB62FC">
        <w:tblPrEx>
          <w:jc w:val="right"/>
        </w:tblPrEx>
        <w:trPr>
          <w:jc w:val="right"/>
        </w:trPr>
        <w:tc>
          <w:tcPr>
            <w:tcW w:w="2814" w:type="pct"/>
          </w:tcPr>
          <w:p w:rsidR="00AB62FC" w:rsidRPr="00C14674" w:rsidRDefault="00AB62FC" w:rsidP="00AB62FC">
            <w:pPr>
              <w:keepNext/>
              <w:tabs>
                <w:tab w:val="right" w:leader="dot" w:pos="5160"/>
              </w:tabs>
              <w:spacing w:before="0" w:after="0"/>
              <w:ind w:left="240" w:hanging="240"/>
              <w:rPr>
                <w:sz w:val="18"/>
                <w:szCs w:val="18"/>
              </w:rPr>
            </w:pPr>
            <w:r w:rsidRPr="00C14674">
              <w:rPr>
                <w:sz w:val="18"/>
                <w:szCs w:val="18"/>
              </w:rPr>
              <w:t>EBITDA from discontinued operations</w:t>
            </w:r>
            <w:r w:rsidRPr="00C14674">
              <w:rPr>
                <w:sz w:val="18"/>
                <w:szCs w:val="18"/>
              </w:rPr>
              <w:tab/>
            </w:r>
          </w:p>
        </w:tc>
        <w:tc>
          <w:tcPr>
            <w:tcW w:w="1187" w:type="pct"/>
            <w:noWrap/>
            <w:tcMar>
              <w:top w:w="0" w:type="dxa"/>
              <w:left w:w="144" w:type="dxa"/>
              <w:bottom w:w="0" w:type="dxa"/>
              <w:right w:w="0" w:type="dxa"/>
            </w:tcMar>
            <w:vAlign w:val="bottom"/>
          </w:tcPr>
          <w:p w:rsidR="00AB62FC" w:rsidRPr="00C14674" w:rsidRDefault="00AB62FC" w:rsidP="00AB62FC">
            <w:pPr>
              <w:spacing w:before="0" w:after="0"/>
              <w:ind w:right="140"/>
              <w:jc w:val="right"/>
              <w:rPr>
                <w:sz w:val="18"/>
                <w:szCs w:val="18"/>
              </w:rPr>
            </w:pPr>
            <w:r w:rsidRPr="00C14674">
              <w:rPr>
                <w:sz w:val="18"/>
                <w:szCs w:val="18"/>
              </w:rPr>
              <w:t>6.0</w:t>
            </w:r>
          </w:p>
        </w:tc>
        <w:tc>
          <w:tcPr>
            <w:tcW w:w="999" w:type="pct"/>
            <w:noWrap/>
            <w:tcMar>
              <w:top w:w="0" w:type="dxa"/>
              <w:left w:w="144" w:type="dxa"/>
              <w:bottom w:w="0" w:type="dxa"/>
              <w:right w:w="0" w:type="dxa"/>
            </w:tcMar>
            <w:vAlign w:val="bottom"/>
          </w:tcPr>
          <w:p w:rsidR="00AB62FC" w:rsidRPr="00C14674" w:rsidRDefault="00AB62FC" w:rsidP="00AB62FC">
            <w:pPr>
              <w:spacing w:before="0" w:after="0"/>
              <w:ind w:right="142"/>
              <w:jc w:val="right"/>
              <w:rPr>
                <w:sz w:val="18"/>
                <w:szCs w:val="18"/>
              </w:rPr>
            </w:pPr>
            <w:r w:rsidRPr="00C14674">
              <w:rPr>
                <w:sz w:val="18"/>
                <w:szCs w:val="18"/>
              </w:rPr>
              <w:t>0.6</w:t>
            </w:r>
          </w:p>
        </w:tc>
      </w:tr>
      <w:tr w:rsidR="00AB62FC" w:rsidRPr="00C14674" w:rsidTr="00AB62FC">
        <w:tblPrEx>
          <w:jc w:val="right"/>
        </w:tblPrEx>
        <w:trPr>
          <w:jc w:val="right"/>
        </w:trPr>
        <w:tc>
          <w:tcPr>
            <w:tcW w:w="2814" w:type="pct"/>
          </w:tcPr>
          <w:p w:rsidR="00AB62FC" w:rsidRPr="00C14674" w:rsidRDefault="00AB62FC" w:rsidP="00AB62FC">
            <w:pPr>
              <w:keepNext/>
              <w:tabs>
                <w:tab w:val="right" w:leader="dot" w:pos="5160"/>
              </w:tabs>
              <w:spacing w:before="0" w:after="0"/>
              <w:ind w:left="240" w:hanging="240"/>
              <w:rPr>
                <w:sz w:val="18"/>
                <w:szCs w:val="18"/>
              </w:rPr>
            </w:pPr>
            <w:r w:rsidRPr="00C14674">
              <w:rPr>
                <w:sz w:val="18"/>
                <w:szCs w:val="18"/>
              </w:rPr>
              <w:t>Add-back non-recurring items</w:t>
            </w:r>
            <w:r w:rsidRPr="00C14674">
              <w:rPr>
                <w:sz w:val="18"/>
                <w:szCs w:val="18"/>
              </w:rPr>
              <w:tab/>
            </w:r>
          </w:p>
        </w:tc>
        <w:tc>
          <w:tcPr>
            <w:tcW w:w="1187" w:type="pct"/>
            <w:tcMar>
              <w:top w:w="0" w:type="dxa"/>
              <w:left w:w="144" w:type="dxa"/>
              <w:bottom w:w="0" w:type="dxa"/>
              <w:right w:w="0" w:type="dxa"/>
            </w:tcMar>
            <w:vAlign w:val="bottom"/>
          </w:tcPr>
          <w:p w:rsidR="00AB62FC" w:rsidRPr="00C14674" w:rsidRDefault="00AB62FC" w:rsidP="00AB62FC">
            <w:pPr>
              <w:pBdr>
                <w:bottom w:val="single" w:sz="4" w:space="1" w:color="auto"/>
              </w:pBdr>
              <w:spacing w:before="0" w:after="0"/>
              <w:ind w:right="140"/>
              <w:jc w:val="right"/>
              <w:rPr>
                <w:sz w:val="18"/>
                <w:szCs w:val="18"/>
              </w:rPr>
            </w:pPr>
            <w:r w:rsidRPr="00C14674">
              <w:rPr>
                <w:sz w:val="18"/>
                <w:szCs w:val="18"/>
              </w:rPr>
              <w:t>(15.0)</w:t>
            </w:r>
          </w:p>
        </w:tc>
        <w:tc>
          <w:tcPr>
            <w:tcW w:w="999" w:type="pct"/>
            <w:tcMar>
              <w:top w:w="0" w:type="dxa"/>
              <w:left w:w="144" w:type="dxa"/>
              <w:bottom w:w="0" w:type="dxa"/>
              <w:right w:w="0" w:type="dxa"/>
            </w:tcMar>
            <w:vAlign w:val="bottom"/>
          </w:tcPr>
          <w:p w:rsidR="00AB62FC" w:rsidRPr="00C14674" w:rsidRDefault="00AB62FC" w:rsidP="00AB62FC">
            <w:pPr>
              <w:pBdr>
                <w:bottom w:val="single" w:sz="4" w:space="1" w:color="auto"/>
              </w:pBdr>
              <w:spacing w:before="0" w:after="0"/>
              <w:ind w:right="142"/>
              <w:jc w:val="right"/>
              <w:rPr>
                <w:sz w:val="18"/>
                <w:szCs w:val="18"/>
              </w:rPr>
            </w:pPr>
            <w:r w:rsidRPr="00C14674">
              <w:rPr>
                <w:sz w:val="18"/>
                <w:szCs w:val="18"/>
              </w:rPr>
              <w:t>(13,1)</w:t>
            </w:r>
          </w:p>
        </w:tc>
      </w:tr>
      <w:tr w:rsidR="00AB62FC" w:rsidRPr="00C14674" w:rsidTr="00AB62FC">
        <w:tblPrEx>
          <w:jc w:val="right"/>
        </w:tblPrEx>
        <w:trPr>
          <w:jc w:val="right"/>
        </w:trPr>
        <w:tc>
          <w:tcPr>
            <w:tcW w:w="2814" w:type="pct"/>
          </w:tcPr>
          <w:p w:rsidR="00AB62FC" w:rsidRPr="00C14674" w:rsidRDefault="00AB62FC" w:rsidP="00AB62FC">
            <w:pPr>
              <w:keepNext/>
              <w:tabs>
                <w:tab w:val="right" w:leader="dot" w:pos="5160"/>
              </w:tabs>
              <w:spacing w:before="0" w:after="0"/>
              <w:ind w:left="240" w:hanging="240"/>
              <w:rPr>
                <w:b/>
                <w:sz w:val="18"/>
                <w:szCs w:val="18"/>
              </w:rPr>
            </w:pPr>
            <w:r w:rsidRPr="00C14674">
              <w:rPr>
                <w:b/>
                <w:sz w:val="18"/>
                <w:szCs w:val="18"/>
              </w:rPr>
              <w:t>REBITDA</w:t>
            </w:r>
            <w:r w:rsidRPr="00C14674">
              <w:rPr>
                <w:sz w:val="18"/>
                <w:szCs w:val="18"/>
              </w:rPr>
              <w:tab/>
            </w:r>
          </w:p>
        </w:tc>
        <w:tc>
          <w:tcPr>
            <w:tcW w:w="1187" w:type="pct"/>
            <w:noWrap/>
            <w:tcMar>
              <w:top w:w="0" w:type="dxa"/>
              <w:left w:w="144" w:type="dxa"/>
              <w:bottom w:w="0" w:type="dxa"/>
              <w:right w:w="0" w:type="dxa"/>
            </w:tcMar>
            <w:vAlign w:val="bottom"/>
          </w:tcPr>
          <w:p w:rsidR="00AB62FC" w:rsidRPr="00C14674" w:rsidRDefault="00AB62FC" w:rsidP="00AB62FC">
            <w:pPr>
              <w:pBdr>
                <w:bottom w:val="double" w:sz="4" w:space="1" w:color="auto"/>
              </w:pBdr>
              <w:spacing w:before="0" w:after="0"/>
              <w:ind w:right="140"/>
              <w:jc w:val="right"/>
              <w:rPr>
                <w:sz w:val="18"/>
                <w:szCs w:val="18"/>
              </w:rPr>
            </w:pPr>
            <w:r w:rsidRPr="00C14674">
              <w:rPr>
                <w:b/>
                <w:bCs/>
                <w:sz w:val="18"/>
                <w:szCs w:val="18"/>
              </w:rPr>
              <w:t>77.4</w:t>
            </w:r>
          </w:p>
        </w:tc>
        <w:tc>
          <w:tcPr>
            <w:tcW w:w="999" w:type="pct"/>
            <w:noWrap/>
            <w:tcMar>
              <w:top w:w="0" w:type="dxa"/>
              <w:left w:w="144" w:type="dxa"/>
              <w:bottom w:w="0" w:type="dxa"/>
              <w:right w:w="0" w:type="dxa"/>
            </w:tcMar>
            <w:vAlign w:val="bottom"/>
          </w:tcPr>
          <w:p w:rsidR="00AB62FC" w:rsidRPr="00C14674" w:rsidRDefault="00AB62FC" w:rsidP="00AB62FC">
            <w:pPr>
              <w:pBdr>
                <w:bottom w:val="double" w:sz="4" w:space="1" w:color="auto"/>
              </w:pBdr>
              <w:spacing w:before="0" w:after="0"/>
              <w:ind w:right="142"/>
              <w:jc w:val="right"/>
              <w:rPr>
                <w:sz w:val="18"/>
                <w:szCs w:val="18"/>
              </w:rPr>
            </w:pPr>
            <w:r w:rsidRPr="00C14674">
              <w:rPr>
                <w:b/>
                <w:bCs/>
                <w:sz w:val="18"/>
                <w:szCs w:val="18"/>
              </w:rPr>
              <w:t>71.6</w:t>
            </w:r>
          </w:p>
        </w:tc>
      </w:tr>
    </w:tbl>
    <w:p w:rsidR="003F0BC5" w:rsidRPr="00C14674" w:rsidRDefault="003F0BC5" w:rsidP="003F0BC5">
      <w:pPr>
        <w:rPr>
          <w:szCs w:val="20"/>
        </w:rPr>
      </w:pPr>
      <w:r w:rsidRPr="00C14674">
        <w:rPr>
          <w:szCs w:val="20"/>
        </w:rPr>
        <w:t xml:space="preserve">The increase of </w:t>
      </w:r>
      <w:r w:rsidR="00FD6C8D" w:rsidRPr="00C14674">
        <w:rPr>
          <w:szCs w:val="20"/>
        </w:rPr>
        <w:t>R</w:t>
      </w:r>
      <w:r w:rsidRPr="00C14674">
        <w:rPr>
          <w:szCs w:val="20"/>
        </w:rPr>
        <w:t xml:space="preserve">EBITDA by 8.1% to </w:t>
      </w:r>
      <w:r w:rsidR="00E53641">
        <w:rPr>
          <w:szCs w:val="20"/>
        </w:rPr>
        <w:t>EUR </w:t>
      </w:r>
      <w:r w:rsidRPr="00C14674">
        <w:rPr>
          <w:szCs w:val="20"/>
        </w:rPr>
        <w:t xml:space="preserve">77,400,000 in 2014 is mainly driven by the Fruit &amp; Vegetables and Transport &amp; Logistics segments. Key drivers for the increased earnings in the Fruit &amp; Vegetables segment are the acquisition respectively start-up of operations in the UK and the Czech Republic, higher imports in the US and higher priced exports of local produce and exotics in </w:t>
      </w:r>
      <w:r w:rsidR="00703C66" w:rsidRPr="00C14674">
        <w:rPr>
          <w:szCs w:val="20"/>
        </w:rPr>
        <w:t>T</w:t>
      </w:r>
      <w:r w:rsidRPr="00C14674">
        <w:rPr>
          <w:szCs w:val="20"/>
        </w:rPr>
        <w:t>he Netherlands, partly offset by price deflation for certain high volume products in some key European markets. Main drivers for the improved earnings of the Transport &amp; Logistics segment are the renegotiation of a more favourable lease agreement for the main building and the implementation of cost saving measures, efficiency improvements and new business developments.</w:t>
      </w:r>
    </w:p>
    <w:p w:rsidR="003F0BC5" w:rsidRPr="00C14674" w:rsidRDefault="003F0BC5" w:rsidP="003F0BC5">
      <w:pPr>
        <w:rPr>
          <w:b/>
          <w:szCs w:val="20"/>
        </w:rPr>
      </w:pPr>
      <w:r w:rsidRPr="00C14674">
        <w:rPr>
          <w:b/>
          <w:szCs w:val="20"/>
        </w:rPr>
        <w:t>Cash Flow</w:t>
      </w:r>
    </w:p>
    <w:tbl>
      <w:tblPr>
        <w:tblW w:w="0" w:type="auto"/>
        <w:tblLayout w:type="fixed"/>
        <w:tblLook w:val="0000" w:firstRow="0" w:lastRow="0" w:firstColumn="0" w:lastColumn="0" w:noHBand="0" w:noVBand="0"/>
      </w:tblPr>
      <w:tblGrid>
        <w:gridCol w:w="5155"/>
        <w:gridCol w:w="198"/>
        <w:gridCol w:w="2174"/>
        <w:gridCol w:w="1594"/>
      </w:tblGrid>
      <w:tr w:rsidR="00AB62FC" w:rsidRPr="00C14674" w:rsidTr="00AB62FC">
        <w:trPr>
          <w:trHeight w:val="632"/>
        </w:trPr>
        <w:tc>
          <w:tcPr>
            <w:tcW w:w="5353" w:type="dxa"/>
            <w:gridSpan w:val="2"/>
            <w:vAlign w:val="center"/>
          </w:tcPr>
          <w:p w:rsidR="00AB62FC" w:rsidRPr="00C14674" w:rsidRDefault="00AB62FC" w:rsidP="00AB62FC">
            <w:pPr>
              <w:keepNext/>
              <w:spacing w:before="0" w:after="0"/>
              <w:ind w:left="240" w:hanging="240"/>
              <w:jc w:val="left"/>
              <w:rPr>
                <w:bCs/>
                <w:i/>
                <w:sz w:val="18"/>
                <w:szCs w:val="18"/>
              </w:rPr>
            </w:pPr>
            <w:r w:rsidRPr="00C14674">
              <w:rPr>
                <w:bCs/>
                <w:i/>
                <w:sz w:val="18"/>
                <w:szCs w:val="18"/>
              </w:rPr>
              <w:t>(</w:t>
            </w:r>
            <w:r w:rsidR="00E53641">
              <w:rPr>
                <w:bCs/>
                <w:i/>
                <w:sz w:val="18"/>
                <w:szCs w:val="18"/>
              </w:rPr>
              <w:t>EUR </w:t>
            </w:r>
            <w:r w:rsidRPr="00C14674">
              <w:rPr>
                <w:bCs/>
                <w:i/>
                <w:sz w:val="18"/>
                <w:szCs w:val="18"/>
              </w:rPr>
              <w:t>in millions)</w:t>
            </w:r>
          </w:p>
        </w:tc>
        <w:tc>
          <w:tcPr>
            <w:tcW w:w="2174" w:type="dxa"/>
            <w:vAlign w:val="bottom"/>
          </w:tcPr>
          <w:p w:rsidR="00AB62FC" w:rsidRPr="00C14674" w:rsidRDefault="00AB62FC" w:rsidP="00AB62FC">
            <w:pPr>
              <w:pBdr>
                <w:bottom w:val="single" w:sz="4" w:space="1" w:color="auto"/>
              </w:pBdr>
              <w:spacing w:before="0" w:after="0"/>
              <w:jc w:val="center"/>
              <w:rPr>
                <w:b/>
                <w:sz w:val="18"/>
                <w:szCs w:val="18"/>
              </w:rPr>
            </w:pPr>
            <w:r w:rsidRPr="00C14674">
              <w:rPr>
                <w:b/>
                <w:bCs/>
                <w:sz w:val="18"/>
                <w:szCs w:val="18"/>
              </w:rPr>
              <w:t xml:space="preserve">Year ended </w:t>
            </w:r>
            <w:r w:rsidRPr="00C14674">
              <w:rPr>
                <w:b/>
                <w:bCs/>
                <w:sz w:val="18"/>
                <w:szCs w:val="18"/>
              </w:rPr>
              <w:br/>
              <w:t xml:space="preserve">31 December </w:t>
            </w:r>
            <w:r w:rsidRPr="00C14674">
              <w:rPr>
                <w:b/>
                <w:bCs/>
                <w:sz w:val="18"/>
                <w:szCs w:val="18"/>
              </w:rPr>
              <w:br/>
            </w:r>
            <w:r w:rsidRPr="00C14674">
              <w:rPr>
                <w:b/>
                <w:sz w:val="18"/>
                <w:szCs w:val="18"/>
              </w:rPr>
              <w:t>2014</w:t>
            </w:r>
          </w:p>
        </w:tc>
        <w:tc>
          <w:tcPr>
            <w:tcW w:w="1594" w:type="dxa"/>
            <w:vAlign w:val="bottom"/>
          </w:tcPr>
          <w:p w:rsidR="00AB62FC" w:rsidRPr="00C14674" w:rsidRDefault="00AB62FC" w:rsidP="00AB62FC">
            <w:pPr>
              <w:pBdr>
                <w:bottom w:val="single" w:sz="4" w:space="1" w:color="auto"/>
              </w:pBdr>
              <w:tabs>
                <w:tab w:val="right" w:pos="620"/>
                <w:tab w:val="decimal" w:pos="660"/>
              </w:tabs>
              <w:spacing w:before="0" w:after="0"/>
              <w:jc w:val="center"/>
              <w:rPr>
                <w:b/>
                <w:sz w:val="18"/>
                <w:szCs w:val="18"/>
              </w:rPr>
            </w:pPr>
            <w:r w:rsidRPr="00C14674">
              <w:rPr>
                <w:b/>
                <w:sz w:val="18"/>
                <w:szCs w:val="18"/>
              </w:rPr>
              <w:t>Year ended 31 December 2013</w:t>
            </w:r>
          </w:p>
        </w:tc>
      </w:tr>
      <w:tr w:rsidR="00AB62FC" w:rsidRPr="00C14674" w:rsidTr="00AB62FC">
        <w:trPr>
          <w:trHeight w:val="194"/>
        </w:trPr>
        <w:tc>
          <w:tcPr>
            <w:tcW w:w="5353" w:type="dxa"/>
            <w:gridSpan w:val="2"/>
          </w:tcPr>
          <w:p w:rsidR="00AB62FC" w:rsidRPr="00C14674" w:rsidRDefault="00AB62FC" w:rsidP="00AB62FC">
            <w:pPr>
              <w:spacing w:before="0" w:after="0"/>
              <w:rPr>
                <w:sz w:val="18"/>
                <w:szCs w:val="18"/>
              </w:rPr>
            </w:pPr>
            <w:r w:rsidRPr="00C14674">
              <w:rPr>
                <w:b/>
                <w:bCs/>
                <w:sz w:val="18"/>
                <w:szCs w:val="18"/>
              </w:rPr>
              <w:t>Statement of Cash Flow Data</w:t>
            </w:r>
          </w:p>
        </w:tc>
        <w:tc>
          <w:tcPr>
            <w:tcW w:w="2174" w:type="dxa"/>
          </w:tcPr>
          <w:p w:rsidR="00AB62FC" w:rsidRPr="00C14674" w:rsidRDefault="00AB62FC" w:rsidP="00AB62FC">
            <w:pPr>
              <w:tabs>
                <w:tab w:val="right" w:pos="620"/>
                <w:tab w:val="decimal" w:pos="660"/>
              </w:tabs>
              <w:spacing w:before="0" w:after="0"/>
              <w:jc w:val="right"/>
              <w:rPr>
                <w:sz w:val="18"/>
                <w:szCs w:val="18"/>
              </w:rPr>
            </w:pPr>
            <w:r w:rsidRPr="00C14674">
              <w:rPr>
                <w:sz w:val="18"/>
                <w:szCs w:val="18"/>
              </w:rPr>
              <w:t> </w:t>
            </w:r>
          </w:p>
        </w:tc>
        <w:tc>
          <w:tcPr>
            <w:tcW w:w="1594" w:type="dxa"/>
          </w:tcPr>
          <w:p w:rsidR="00AB62FC" w:rsidRPr="00C14674" w:rsidRDefault="00AB62FC" w:rsidP="00AB62FC">
            <w:pPr>
              <w:tabs>
                <w:tab w:val="right" w:pos="620"/>
                <w:tab w:val="decimal" w:pos="660"/>
              </w:tabs>
              <w:spacing w:before="0" w:after="0"/>
              <w:jc w:val="right"/>
              <w:rPr>
                <w:sz w:val="18"/>
                <w:szCs w:val="18"/>
              </w:rPr>
            </w:pPr>
            <w:r w:rsidRPr="00C14674">
              <w:rPr>
                <w:sz w:val="18"/>
                <w:szCs w:val="18"/>
              </w:rPr>
              <w:t> </w:t>
            </w:r>
          </w:p>
        </w:tc>
      </w:tr>
      <w:tr w:rsidR="00AB62FC" w:rsidRPr="00C14674" w:rsidTr="00AB62FC">
        <w:trPr>
          <w:trHeight w:val="207"/>
        </w:trPr>
        <w:tc>
          <w:tcPr>
            <w:tcW w:w="5353" w:type="dxa"/>
            <w:gridSpan w:val="2"/>
          </w:tcPr>
          <w:p w:rsidR="00AB62FC" w:rsidRPr="00C14674" w:rsidRDefault="00AB62FC" w:rsidP="00AB62FC">
            <w:pPr>
              <w:keepNext/>
              <w:tabs>
                <w:tab w:val="right" w:leader="dot" w:pos="5160"/>
              </w:tabs>
              <w:spacing w:before="0" w:after="0"/>
              <w:ind w:left="240" w:hanging="240"/>
              <w:rPr>
                <w:sz w:val="18"/>
                <w:szCs w:val="18"/>
              </w:rPr>
            </w:pPr>
            <w:r w:rsidRPr="00C14674">
              <w:rPr>
                <w:sz w:val="18"/>
                <w:szCs w:val="18"/>
              </w:rPr>
              <w:lastRenderedPageBreak/>
              <w:t>Cash flow from operating activities</w:t>
            </w:r>
            <w:r w:rsidRPr="00C14674">
              <w:rPr>
                <w:sz w:val="18"/>
                <w:szCs w:val="18"/>
              </w:rPr>
              <w:tab/>
            </w:r>
          </w:p>
        </w:tc>
        <w:tc>
          <w:tcPr>
            <w:tcW w:w="2174" w:type="dxa"/>
            <w:noWrap/>
          </w:tcPr>
          <w:p w:rsidR="00AB62FC" w:rsidRPr="00C14674" w:rsidRDefault="00AB62FC" w:rsidP="00AB62FC">
            <w:pPr>
              <w:spacing w:before="0" w:after="0"/>
              <w:jc w:val="right"/>
              <w:rPr>
                <w:sz w:val="18"/>
                <w:szCs w:val="18"/>
              </w:rPr>
            </w:pPr>
            <w:r w:rsidRPr="00C14674">
              <w:rPr>
                <w:sz w:val="18"/>
                <w:szCs w:val="18"/>
              </w:rPr>
              <w:t>49.3</w:t>
            </w:r>
          </w:p>
        </w:tc>
        <w:tc>
          <w:tcPr>
            <w:tcW w:w="1594" w:type="dxa"/>
            <w:noWrap/>
          </w:tcPr>
          <w:p w:rsidR="00AB62FC" w:rsidRPr="00C14674" w:rsidRDefault="00AB62FC" w:rsidP="00AB62FC">
            <w:pPr>
              <w:spacing w:before="0" w:after="0"/>
              <w:jc w:val="right"/>
              <w:rPr>
                <w:sz w:val="18"/>
                <w:szCs w:val="18"/>
              </w:rPr>
            </w:pPr>
            <w:r w:rsidRPr="00C14674">
              <w:rPr>
                <w:sz w:val="18"/>
                <w:szCs w:val="18"/>
              </w:rPr>
              <w:t>(0.5)</w:t>
            </w:r>
          </w:p>
        </w:tc>
      </w:tr>
      <w:tr w:rsidR="00AB62FC" w:rsidRPr="00C14674" w:rsidTr="00AB62FC">
        <w:trPr>
          <w:trHeight w:val="194"/>
        </w:trPr>
        <w:tc>
          <w:tcPr>
            <w:tcW w:w="5353" w:type="dxa"/>
            <w:gridSpan w:val="2"/>
          </w:tcPr>
          <w:p w:rsidR="00AB62FC" w:rsidRPr="00C14674" w:rsidRDefault="00AB62FC" w:rsidP="00AB62FC">
            <w:pPr>
              <w:keepNext/>
              <w:tabs>
                <w:tab w:val="right" w:leader="dot" w:pos="5160"/>
              </w:tabs>
              <w:spacing w:before="0" w:after="0"/>
              <w:ind w:left="240" w:hanging="240"/>
              <w:rPr>
                <w:sz w:val="18"/>
                <w:szCs w:val="18"/>
              </w:rPr>
            </w:pPr>
            <w:r w:rsidRPr="00C14674">
              <w:rPr>
                <w:sz w:val="18"/>
                <w:szCs w:val="18"/>
              </w:rPr>
              <w:t>Cash flow from investing activities</w:t>
            </w:r>
            <w:r w:rsidRPr="00C14674">
              <w:rPr>
                <w:sz w:val="18"/>
                <w:szCs w:val="18"/>
              </w:rPr>
              <w:tab/>
            </w:r>
          </w:p>
        </w:tc>
        <w:tc>
          <w:tcPr>
            <w:tcW w:w="2174" w:type="dxa"/>
            <w:noWrap/>
          </w:tcPr>
          <w:p w:rsidR="00AB62FC" w:rsidRPr="00C14674" w:rsidRDefault="00AB62FC" w:rsidP="00AB62FC">
            <w:pPr>
              <w:spacing w:before="0" w:after="0"/>
              <w:jc w:val="right"/>
              <w:rPr>
                <w:sz w:val="18"/>
                <w:szCs w:val="18"/>
              </w:rPr>
            </w:pPr>
            <w:r w:rsidRPr="00C14674">
              <w:rPr>
                <w:sz w:val="18"/>
                <w:szCs w:val="18"/>
              </w:rPr>
              <w:t>23.3</w:t>
            </w:r>
          </w:p>
        </w:tc>
        <w:tc>
          <w:tcPr>
            <w:tcW w:w="1594" w:type="dxa"/>
            <w:noWrap/>
          </w:tcPr>
          <w:p w:rsidR="00AB62FC" w:rsidRPr="00C14674" w:rsidRDefault="00AB62FC" w:rsidP="00AB62FC">
            <w:pPr>
              <w:spacing w:before="0" w:after="0"/>
              <w:jc w:val="right"/>
              <w:rPr>
                <w:sz w:val="18"/>
                <w:szCs w:val="18"/>
              </w:rPr>
            </w:pPr>
            <w:r w:rsidRPr="00C14674">
              <w:rPr>
                <w:sz w:val="18"/>
                <w:szCs w:val="18"/>
              </w:rPr>
              <w:t>21.5</w:t>
            </w:r>
          </w:p>
        </w:tc>
      </w:tr>
      <w:tr w:rsidR="00AB62FC" w:rsidRPr="00C14674" w:rsidTr="00AB62FC">
        <w:trPr>
          <w:trHeight w:val="207"/>
        </w:trPr>
        <w:tc>
          <w:tcPr>
            <w:tcW w:w="5353" w:type="dxa"/>
            <w:gridSpan w:val="2"/>
          </w:tcPr>
          <w:p w:rsidR="00AB62FC" w:rsidRPr="00C14674" w:rsidRDefault="00AB62FC" w:rsidP="00AB62FC">
            <w:pPr>
              <w:keepNext/>
              <w:tabs>
                <w:tab w:val="right" w:leader="dot" w:pos="5160"/>
              </w:tabs>
              <w:spacing w:before="0" w:after="0"/>
              <w:ind w:left="240" w:hanging="240"/>
              <w:rPr>
                <w:sz w:val="18"/>
                <w:szCs w:val="18"/>
              </w:rPr>
            </w:pPr>
            <w:r w:rsidRPr="00C14674">
              <w:rPr>
                <w:sz w:val="18"/>
                <w:szCs w:val="18"/>
              </w:rPr>
              <w:t>Cash flow from financing activities</w:t>
            </w:r>
            <w:r w:rsidRPr="00C14674">
              <w:rPr>
                <w:sz w:val="18"/>
                <w:szCs w:val="18"/>
              </w:rPr>
              <w:tab/>
            </w:r>
          </w:p>
        </w:tc>
        <w:tc>
          <w:tcPr>
            <w:tcW w:w="2174" w:type="dxa"/>
            <w:noWrap/>
          </w:tcPr>
          <w:p w:rsidR="00AB62FC" w:rsidRPr="00C14674" w:rsidRDefault="00AB62FC" w:rsidP="00AB62FC">
            <w:pPr>
              <w:tabs>
                <w:tab w:val="right" w:pos="720"/>
                <w:tab w:val="decimal" w:pos="760"/>
              </w:tabs>
              <w:spacing w:before="0" w:after="0"/>
              <w:jc w:val="right"/>
              <w:rPr>
                <w:sz w:val="18"/>
                <w:szCs w:val="18"/>
              </w:rPr>
            </w:pPr>
            <w:r w:rsidRPr="00C14674">
              <w:rPr>
                <w:sz w:val="18"/>
                <w:szCs w:val="18"/>
              </w:rPr>
              <w:t>(34.0)</w:t>
            </w:r>
          </w:p>
        </w:tc>
        <w:tc>
          <w:tcPr>
            <w:tcW w:w="1594" w:type="dxa"/>
            <w:noWrap/>
          </w:tcPr>
          <w:p w:rsidR="00AB62FC" w:rsidRPr="00C14674" w:rsidRDefault="00AB62FC" w:rsidP="00AB62FC">
            <w:pPr>
              <w:spacing w:before="0" w:after="0"/>
              <w:jc w:val="right"/>
              <w:rPr>
                <w:sz w:val="18"/>
                <w:szCs w:val="18"/>
              </w:rPr>
            </w:pPr>
            <w:r w:rsidRPr="00C14674">
              <w:rPr>
                <w:sz w:val="18"/>
                <w:szCs w:val="18"/>
              </w:rPr>
              <w:t>24.9</w:t>
            </w:r>
          </w:p>
        </w:tc>
      </w:tr>
      <w:tr w:rsidR="00AB62FC" w:rsidRPr="00C14674" w:rsidTr="00AB62FC">
        <w:trPr>
          <w:trHeight w:val="207"/>
        </w:trPr>
        <w:tc>
          <w:tcPr>
            <w:tcW w:w="5155" w:type="dxa"/>
          </w:tcPr>
          <w:p w:rsidR="00AB62FC" w:rsidRPr="00C14674" w:rsidRDefault="00AB62FC" w:rsidP="00AB62FC">
            <w:pPr>
              <w:keepNext/>
              <w:tabs>
                <w:tab w:val="right" w:leader="dot" w:pos="5160"/>
              </w:tabs>
              <w:spacing w:before="0" w:after="0"/>
              <w:ind w:left="240" w:hanging="240"/>
              <w:rPr>
                <w:sz w:val="18"/>
                <w:szCs w:val="18"/>
              </w:rPr>
            </w:pPr>
          </w:p>
        </w:tc>
        <w:tc>
          <w:tcPr>
            <w:tcW w:w="2372" w:type="dxa"/>
            <w:gridSpan w:val="2"/>
            <w:noWrap/>
          </w:tcPr>
          <w:p w:rsidR="00AB62FC" w:rsidRPr="00C14674" w:rsidRDefault="00AB62FC" w:rsidP="00AB62FC">
            <w:pPr>
              <w:spacing w:before="0" w:after="0"/>
              <w:jc w:val="right"/>
              <w:rPr>
                <w:sz w:val="18"/>
                <w:szCs w:val="18"/>
              </w:rPr>
            </w:pPr>
          </w:p>
        </w:tc>
        <w:tc>
          <w:tcPr>
            <w:tcW w:w="1594" w:type="dxa"/>
            <w:noWrap/>
          </w:tcPr>
          <w:p w:rsidR="00AB62FC" w:rsidRPr="00C14674" w:rsidRDefault="00AB62FC" w:rsidP="00AB62FC">
            <w:pPr>
              <w:tabs>
                <w:tab w:val="right" w:pos="720"/>
                <w:tab w:val="decimal" w:pos="760"/>
              </w:tabs>
              <w:spacing w:before="0" w:after="0"/>
              <w:jc w:val="right"/>
              <w:rPr>
                <w:sz w:val="18"/>
                <w:szCs w:val="18"/>
              </w:rPr>
            </w:pPr>
          </w:p>
        </w:tc>
      </w:tr>
    </w:tbl>
    <w:p w:rsidR="003F0BC5" w:rsidRPr="00C14674" w:rsidRDefault="003F0BC5" w:rsidP="003F0BC5">
      <w:pPr>
        <w:rPr>
          <w:szCs w:val="20"/>
        </w:rPr>
      </w:pPr>
      <w:r w:rsidRPr="00C14674">
        <w:rPr>
          <w:szCs w:val="20"/>
        </w:rPr>
        <w:t xml:space="preserve">Total cash flow generated for the </w:t>
      </w:r>
      <w:r w:rsidR="00ED1BE9" w:rsidRPr="00C14674">
        <w:rPr>
          <w:szCs w:val="20"/>
        </w:rPr>
        <w:t xml:space="preserve">financial </w:t>
      </w:r>
      <w:r w:rsidRPr="00C14674">
        <w:rPr>
          <w:szCs w:val="20"/>
        </w:rPr>
        <w:t xml:space="preserve">year ended 31 December 2014 amounts to </w:t>
      </w:r>
      <w:r w:rsidR="00E53641">
        <w:rPr>
          <w:szCs w:val="20"/>
        </w:rPr>
        <w:t>EUR </w:t>
      </w:r>
      <w:r w:rsidRPr="00C14674">
        <w:rPr>
          <w:szCs w:val="20"/>
        </w:rPr>
        <w:t xml:space="preserve">38,600,000 (compared to </w:t>
      </w:r>
      <w:r w:rsidR="00E53641">
        <w:rPr>
          <w:szCs w:val="20"/>
        </w:rPr>
        <w:t>EUR </w:t>
      </w:r>
      <w:r w:rsidRPr="00C14674">
        <w:rPr>
          <w:szCs w:val="20"/>
        </w:rPr>
        <w:t xml:space="preserve">45,900,000 last year). Capital expenditure was in line with previous year. The </w:t>
      </w:r>
      <w:r w:rsidR="0083762C">
        <w:rPr>
          <w:szCs w:val="20"/>
        </w:rPr>
        <w:t>divestment of</w:t>
      </w:r>
      <w:r w:rsidRPr="00C14674">
        <w:rPr>
          <w:szCs w:val="20"/>
        </w:rPr>
        <w:t xml:space="preserve"> TFFG positively affected the cash generated from investing activities, however partly offset by the cash used for the acquisitions of FAI, start-up of joint venture Mahindra UNIVEG Private Limited, and the acquisition of the Belgian endive activitie</w:t>
      </w:r>
      <w:r w:rsidR="00916DA0">
        <w:rPr>
          <w:szCs w:val="20"/>
        </w:rPr>
        <w:t>s from A. Heremans – Aerts NV (s</w:t>
      </w:r>
      <w:r w:rsidRPr="00C14674">
        <w:rPr>
          <w:szCs w:val="20"/>
        </w:rPr>
        <w:t xml:space="preserve">ee Section 2.2.2.1 below). In respect of the cash flow from financing activities a shift to cash flow from operating activities occurred compared to last year, as the used balance of the Revolving Credit Facility increased from </w:t>
      </w:r>
      <w:r w:rsidR="00E53641">
        <w:rPr>
          <w:szCs w:val="20"/>
        </w:rPr>
        <w:t>EUR </w:t>
      </w:r>
      <w:r w:rsidRPr="00C14674">
        <w:rPr>
          <w:szCs w:val="20"/>
        </w:rPr>
        <w:t xml:space="preserve">27,000,000 at the end of 2013 to </w:t>
      </w:r>
      <w:r w:rsidR="00E53641">
        <w:rPr>
          <w:szCs w:val="20"/>
        </w:rPr>
        <w:t>EUR </w:t>
      </w:r>
      <w:r w:rsidRPr="00C14674">
        <w:rPr>
          <w:szCs w:val="20"/>
        </w:rPr>
        <w:t>60,800,000 as at 31 December 2014. In addition the repayment of subordinated loans, loans to third parties acquired from FAI, and increased interest expense negatively affected the cash flow generated from financing activities.</w:t>
      </w:r>
    </w:p>
    <w:p w:rsidR="003F0BC5" w:rsidRPr="00C14674" w:rsidRDefault="003F0BC5" w:rsidP="003F0BC5">
      <w:pPr>
        <w:rPr>
          <w:b/>
          <w:szCs w:val="20"/>
        </w:rPr>
      </w:pPr>
      <w:r w:rsidRPr="00C14674">
        <w:rPr>
          <w:b/>
          <w:szCs w:val="20"/>
        </w:rPr>
        <w:t>Working Capital</w:t>
      </w:r>
    </w:p>
    <w:tbl>
      <w:tblPr>
        <w:tblpPr w:leftFromText="141" w:rightFromText="141" w:vertAnchor="text" w:tblpXSpec="center" w:tblpY="1"/>
        <w:tblOverlap w:val="never"/>
        <w:tblW w:w="5157" w:type="pct"/>
        <w:tblLayout w:type="fixed"/>
        <w:tblCellMar>
          <w:left w:w="0" w:type="dxa"/>
          <w:right w:w="0" w:type="dxa"/>
        </w:tblCellMar>
        <w:tblLook w:val="0000" w:firstRow="0" w:lastRow="0" w:firstColumn="0" w:lastColumn="0" w:noHBand="0" w:noVBand="0"/>
      </w:tblPr>
      <w:tblGrid>
        <w:gridCol w:w="561"/>
        <w:gridCol w:w="5375"/>
        <w:gridCol w:w="229"/>
        <w:gridCol w:w="1429"/>
        <w:gridCol w:w="132"/>
        <w:gridCol w:w="1587"/>
      </w:tblGrid>
      <w:tr w:rsidR="00AB62FC" w:rsidRPr="00C14674" w:rsidTr="00AB62FC">
        <w:tc>
          <w:tcPr>
            <w:tcW w:w="5936" w:type="dxa"/>
            <w:gridSpan w:val="2"/>
            <w:vAlign w:val="center"/>
          </w:tcPr>
          <w:p w:rsidR="00AB62FC" w:rsidRPr="00C14674" w:rsidRDefault="00AB62FC" w:rsidP="00AB62FC">
            <w:pPr>
              <w:keepNext/>
              <w:tabs>
                <w:tab w:val="right" w:leader="dot" w:pos="7240"/>
              </w:tabs>
              <w:spacing w:before="0" w:after="0"/>
              <w:ind w:left="140"/>
              <w:jc w:val="left"/>
              <w:rPr>
                <w:sz w:val="18"/>
                <w:szCs w:val="18"/>
              </w:rPr>
            </w:pPr>
            <w:r w:rsidRPr="00C14674">
              <w:rPr>
                <w:bCs/>
                <w:i/>
                <w:sz w:val="18"/>
                <w:szCs w:val="18"/>
              </w:rPr>
              <w:t>(</w:t>
            </w:r>
            <w:r w:rsidR="00E53641">
              <w:rPr>
                <w:bCs/>
                <w:i/>
                <w:sz w:val="18"/>
                <w:szCs w:val="18"/>
              </w:rPr>
              <w:t>EUR </w:t>
            </w:r>
            <w:r w:rsidRPr="00C14674">
              <w:rPr>
                <w:bCs/>
                <w:i/>
                <w:sz w:val="18"/>
                <w:szCs w:val="18"/>
              </w:rPr>
              <w:t>in millions)</w:t>
            </w:r>
          </w:p>
        </w:tc>
        <w:tc>
          <w:tcPr>
            <w:tcW w:w="1658" w:type="dxa"/>
            <w:gridSpan w:val="2"/>
            <w:noWrap/>
            <w:tcMar>
              <w:top w:w="0" w:type="dxa"/>
              <w:left w:w="144" w:type="dxa"/>
              <w:bottom w:w="0" w:type="dxa"/>
              <w:right w:w="0" w:type="dxa"/>
            </w:tcMar>
            <w:vAlign w:val="bottom"/>
          </w:tcPr>
          <w:p w:rsidR="00AB62FC" w:rsidRPr="00C14674" w:rsidRDefault="00AB62FC" w:rsidP="00AB62FC">
            <w:pPr>
              <w:pBdr>
                <w:bottom w:val="single" w:sz="4" w:space="1" w:color="auto"/>
              </w:pBdr>
              <w:tabs>
                <w:tab w:val="right" w:leader="dot" w:pos="7240"/>
              </w:tabs>
              <w:spacing w:before="0" w:after="0"/>
              <w:ind w:left="90" w:firstLine="9"/>
              <w:jc w:val="center"/>
              <w:rPr>
                <w:b/>
                <w:sz w:val="18"/>
                <w:szCs w:val="18"/>
              </w:rPr>
            </w:pPr>
            <w:r w:rsidRPr="00C14674">
              <w:rPr>
                <w:b/>
                <w:sz w:val="18"/>
                <w:szCs w:val="18"/>
              </w:rPr>
              <w:t xml:space="preserve">Year ended 31 December </w:t>
            </w:r>
          </w:p>
          <w:p w:rsidR="00AB62FC" w:rsidRPr="00C14674" w:rsidRDefault="00AB62FC" w:rsidP="00AB62FC">
            <w:pPr>
              <w:pBdr>
                <w:bottom w:val="single" w:sz="4" w:space="1" w:color="auto"/>
              </w:pBdr>
              <w:tabs>
                <w:tab w:val="right" w:leader="dot" w:pos="7240"/>
              </w:tabs>
              <w:spacing w:before="0" w:after="0"/>
              <w:ind w:left="90" w:firstLine="9"/>
              <w:jc w:val="center"/>
              <w:rPr>
                <w:b/>
                <w:sz w:val="18"/>
                <w:szCs w:val="18"/>
              </w:rPr>
            </w:pPr>
            <w:r w:rsidRPr="00C14674">
              <w:rPr>
                <w:b/>
                <w:sz w:val="18"/>
                <w:szCs w:val="18"/>
              </w:rPr>
              <w:t>2014</w:t>
            </w:r>
          </w:p>
        </w:tc>
        <w:tc>
          <w:tcPr>
            <w:tcW w:w="1719" w:type="dxa"/>
            <w:gridSpan w:val="2"/>
            <w:noWrap/>
            <w:tcMar>
              <w:top w:w="0" w:type="dxa"/>
              <w:left w:w="144" w:type="dxa"/>
              <w:bottom w:w="0" w:type="dxa"/>
              <w:right w:w="0" w:type="dxa"/>
            </w:tcMar>
            <w:vAlign w:val="bottom"/>
          </w:tcPr>
          <w:p w:rsidR="00AB62FC" w:rsidRPr="00C14674" w:rsidRDefault="00AB62FC" w:rsidP="00AB62FC">
            <w:pPr>
              <w:pBdr>
                <w:bottom w:val="single" w:sz="4" w:space="1" w:color="auto"/>
              </w:pBdr>
              <w:tabs>
                <w:tab w:val="right" w:leader="dot" w:pos="7240"/>
              </w:tabs>
              <w:spacing w:before="0" w:after="0"/>
              <w:ind w:left="116" w:hanging="17"/>
              <w:jc w:val="center"/>
              <w:rPr>
                <w:b/>
                <w:sz w:val="18"/>
                <w:szCs w:val="18"/>
              </w:rPr>
            </w:pPr>
            <w:r w:rsidRPr="00C14674">
              <w:rPr>
                <w:b/>
                <w:sz w:val="18"/>
                <w:szCs w:val="18"/>
              </w:rPr>
              <w:t xml:space="preserve">Year ended 31 December </w:t>
            </w:r>
          </w:p>
          <w:p w:rsidR="00AB62FC" w:rsidRPr="00C14674" w:rsidRDefault="00AB62FC" w:rsidP="00AB62FC">
            <w:pPr>
              <w:pBdr>
                <w:bottom w:val="single" w:sz="4" w:space="1" w:color="auto"/>
              </w:pBdr>
              <w:tabs>
                <w:tab w:val="right" w:leader="dot" w:pos="7240"/>
              </w:tabs>
              <w:spacing w:before="0" w:after="0"/>
              <w:ind w:left="116" w:hanging="17"/>
              <w:jc w:val="center"/>
              <w:rPr>
                <w:b/>
                <w:sz w:val="18"/>
                <w:szCs w:val="18"/>
              </w:rPr>
            </w:pPr>
            <w:r w:rsidRPr="00C14674">
              <w:rPr>
                <w:b/>
                <w:sz w:val="18"/>
                <w:szCs w:val="18"/>
              </w:rPr>
              <w:t>2013</w:t>
            </w:r>
          </w:p>
        </w:tc>
      </w:tr>
      <w:tr w:rsidR="00AB62FC" w:rsidRPr="00C14674" w:rsidTr="00AB62FC">
        <w:tc>
          <w:tcPr>
            <w:tcW w:w="5936" w:type="dxa"/>
            <w:gridSpan w:val="2"/>
            <w:vAlign w:val="bottom"/>
          </w:tcPr>
          <w:p w:rsidR="00AB62FC" w:rsidRPr="00C14674" w:rsidRDefault="00AB62FC" w:rsidP="00AB62FC">
            <w:pPr>
              <w:keepNext/>
              <w:tabs>
                <w:tab w:val="right" w:leader="dot" w:pos="7240"/>
              </w:tabs>
              <w:spacing w:before="0" w:after="0"/>
              <w:ind w:left="140"/>
              <w:rPr>
                <w:sz w:val="18"/>
                <w:szCs w:val="18"/>
              </w:rPr>
            </w:pPr>
            <w:r w:rsidRPr="00C14674">
              <w:rPr>
                <w:sz w:val="18"/>
                <w:szCs w:val="18"/>
              </w:rPr>
              <w:t>Inventories</w:t>
            </w:r>
            <w:r w:rsidRPr="00C14674">
              <w:rPr>
                <w:sz w:val="18"/>
                <w:szCs w:val="18"/>
              </w:rPr>
              <w:tab/>
            </w:r>
          </w:p>
        </w:tc>
        <w:tc>
          <w:tcPr>
            <w:tcW w:w="1658" w:type="dxa"/>
            <w:gridSpan w:val="2"/>
            <w:noWrap/>
            <w:tcMar>
              <w:top w:w="0" w:type="dxa"/>
              <w:left w:w="144" w:type="dxa"/>
              <w:bottom w:w="0" w:type="dxa"/>
              <w:right w:w="0" w:type="dxa"/>
            </w:tcMar>
            <w:vAlign w:val="bottom"/>
          </w:tcPr>
          <w:p w:rsidR="00AB62FC" w:rsidRPr="00C14674" w:rsidRDefault="00AB62FC" w:rsidP="00AB62FC">
            <w:pPr>
              <w:spacing w:before="0" w:after="0"/>
              <w:ind w:right="140"/>
              <w:jc w:val="right"/>
              <w:rPr>
                <w:sz w:val="18"/>
                <w:szCs w:val="18"/>
              </w:rPr>
            </w:pPr>
            <w:r w:rsidRPr="00C14674">
              <w:rPr>
                <w:sz w:val="18"/>
                <w:szCs w:val="18"/>
              </w:rPr>
              <w:t>43.4</w:t>
            </w:r>
          </w:p>
        </w:tc>
        <w:tc>
          <w:tcPr>
            <w:tcW w:w="1719" w:type="dxa"/>
            <w:gridSpan w:val="2"/>
            <w:noWrap/>
            <w:tcMar>
              <w:top w:w="0" w:type="dxa"/>
              <w:left w:w="144" w:type="dxa"/>
              <w:bottom w:w="0" w:type="dxa"/>
              <w:right w:w="0" w:type="dxa"/>
            </w:tcMar>
            <w:vAlign w:val="bottom"/>
          </w:tcPr>
          <w:p w:rsidR="00AB62FC" w:rsidRPr="00C14674" w:rsidRDefault="00AB62FC" w:rsidP="00AB62FC">
            <w:pPr>
              <w:spacing w:before="0" w:after="0"/>
              <w:ind w:right="166"/>
              <w:jc w:val="right"/>
              <w:rPr>
                <w:sz w:val="18"/>
                <w:szCs w:val="18"/>
              </w:rPr>
            </w:pPr>
            <w:r w:rsidRPr="00C14674">
              <w:rPr>
                <w:sz w:val="18"/>
                <w:szCs w:val="18"/>
              </w:rPr>
              <w:t>52.0</w:t>
            </w:r>
          </w:p>
        </w:tc>
      </w:tr>
      <w:tr w:rsidR="00AB62FC" w:rsidRPr="00C14674" w:rsidTr="00AB62FC">
        <w:tc>
          <w:tcPr>
            <w:tcW w:w="5936" w:type="dxa"/>
            <w:gridSpan w:val="2"/>
            <w:vAlign w:val="bottom"/>
          </w:tcPr>
          <w:p w:rsidR="00AB62FC" w:rsidRPr="00C14674" w:rsidRDefault="00AB62FC" w:rsidP="00AB62FC">
            <w:pPr>
              <w:keepNext/>
              <w:tabs>
                <w:tab w:val="right" w:leader="dot" w:pos="7240"/>
              </w:tabs>
              <w:spacing w:before="0" w:after="0"/>
              <w:ind w:left="140"/>
              <w:rPr>
                <w:sz w:val="18"/>
                <w:szCs w:val="18"/>
              </w:rPr>
            </w:pPr>
            <w:r w:rsidRPr="00C14674">
              <w:rPr>
                <w:sz w:val="18"/>
                <w:szCs w:val="18"/>
              </w:rPr>
              <w:t>Trade receivables</w:t>
            </w:r>
            <w:r w:rsidRPr="00C14674">
              <w:rPr>
                <w:sz w:val="18"/>
                <w:szCs w:val="18"/>
              </w:rPr>
              <w:tab/>
            </w:r>
          </w:p>
        </w:tc>
        <w:tc>
          <w:tcPr>
            <w:tcW w:w="1658" w:type="dxa"/>
            <w:gridSpan w:val="2"/>
            <w:noWrap/>
            <w:tcMar>
              <w:top w:w="0" w:type="dxa"/>
              <w:left w:w="144" w:type="dxa"/>
              <w:bottom w:w="0" w:type="dxa"/>
              <w:right w:w="0" w:type="dxa"/>
            </w:tcMar>
            <w:vAlign w:val="bottom"/>
          </w:tcPr>
          <w:p w:rsidR="00AB62FC" w:rsidRPr="00C14674" w:rsidRDefault="00AB62FC" w:rsidP="00AB62FC">
            <w:pPr>
              <w:spacing w:before="0" w:after="0"/>
              <w:ind w:right="140"/>
              <w:jc w:val="right"/>
              <w:rPr>
                <w:sz w:val="18"/>
                <w:szCs w:val="18"/>
              </w:rPr>
            </w:pPr>
            <w:r w:rsidRPr="00C14674">
              <w:rPr>
                <w:sz w:val="18"/>
                <w:szCs w:val="18"/>
              </w:rPr>
              <w:t>176.6</w:t>
            </w:r>
          </w:p>
        </w:tc>
        <w:tc>
          <w:tcPr>
            <w:tcW w:w="1719" w:type="dxa"/>
            <w:gridSpan w:val="2"/>
            <w:noWrap/>
            <w:tcMar>
              <w:top w:w="0" w:type="dxa"/>
              <w:left w:w="144" w:type="dxa"/>
              <w:bottom w:w="0" w:type="dxa"/>
              <w:right w:w="0" w:type="dxa"/>
            </w:tcMar>
            <w:vAlign w:val="bottom"/>
          </w:tcPr>
          <w:p w:rsidR="00AB62FC" w:rsidRPr="00C14674" w:rsidRDefault="00AB62FC" w:rsidP="00AB62FC">
            <w:pPr>
              <w:spacing w:before="0" w:after="0"/>
              <w:ind w:right="166"/>
              <w:jc w:val="right"/>
              <w:rPr>
                <w:sz w:val="18"/>
                <w:szCs w:val="18"/>
              </w:rPr>
            </w:pPr>
            <w:r w:rsidRPr="00C14674">
              <w:rPr>
                <w:sz w:val="18"/>
                <w:szCs w:val="18"/>
              </w:rPr>
              <w:t>176.7</w:t>
            </w:r>
          </w:p>
        </w:tc>
      </w:tr>
      <w:tr w:rsidR="00AB62FC" w:rsidRPr="00C14674" w:rsidTr="00AB62FC">
        <w:tc>
          <w:tcPr>
            <w:tcW w:w="5936" w:type="dxa"/>
            <w:gridSpan w:val="2"/>
            <w:vAlign w:val="bottom"/>
          </w:tcPr>
          <w:p w:rsidR="00AB62FC" w:rsidRPr="00C14674" w:rsidRDefault="00AB62FC" w:rsidP="00AB62FC">
            <w:pPr>
              <w:tabs>
                <w:tab w:val="right" w:leader="dot" w:pos="7240"/>
              </w:tabs>
              <w:spacing w:before="0" w:after="0"/>
              <w:ind w:left="140"/>
              <w:rPr>
                <w:sz w:val="18"/>
                <w:szCs w:val="18"/>
              </w:rPr>
            </w:pPr>
            <w:r w:rsidRPr="00C14674">
              <w:rPr>
                <w:sz w:val="18"/>
                <w:szCs w:val="18"/>
              </w:rPr>
              <w:t>Trade payables, including advances and prepayments to suppliers</w:t>
            </w:r>
            <w:r w:rsidRPr="00C14674">
              <w:rPr>
                <w:sz w:val="18"/>
                <w:szCs w:val="18"/>
              </w:rPr>
              <w:tab/>
            </w:r>
          </w:p>
        </w:tc>
        <w:tc>
          <w:tcPr>
            <w:tcW w:w="1658" w:type="dxa"/>
            <w:gridSpan w:val="2"/>
            <w:noWrap/>
            <w:tcMar>
              <w:top w:w="0" w:type="dxa"/>
              <w:left w:w="144" w:type="dxa"/>
              <w:bottom w:w="0" w:type="dxa"/>
              <w:right w:w="0" w:type="dxa"/>
            </w:tcMar>
            <w:vAlign w:val="bottom"/>
          </w:tcPr>
          <w:p w:rsidR="00AB62FC" w:rsidRPr="00C14674" w:rsidRDefault="00AB62FC" w:rsidP="00AB62FC">
            <w:pPr>
              <w:spacing w:before="0" w:after="0"/>
              <w:ind w:right="140"/>
              <w:jc w:val="right"/>
              <w:rPr>
                <w:sz w:val="18"/>
                <w:szCs w:val="18"/>
              </w:rPr>
            </w:pPr>
            <w:r w:rsidRPr="00C14674">
              <w:rPr>
                <w:sz w:val="18"/>
                <w:szCs w:val="18"/>
              </w:rPr>
              <w:t>(404.1)</w:t>
            </w:r>
          </w:p>
        </w:tc>
        <w:tc>
          <w:tcPr>
            <w:tcW w:w="1719" w:type="dxa"/>
            <w:gridSpan w:val="2"/>
            <w:noWrap/>
            <w:tcMar>
              <w:top w:w="0" w:type="dxa"/>
              <w:left w:w="144" w:type="dxa"/>
              <w:bottom w:w="0" w:type="dxa"/>
              <w:right w:w="0" w:type="dxa"/>
            </w:tcMar>
            <w:vAlign w:val="bottom"/>
          </w:tcPr>
          <w:p w:rsidR="00AB62FC" w:rsidRPr="00C14674" w:rsidRDefault="00AB62FC" w:rsidP="00AB62FC">
            <w:pPr>
              <w:spacing w:before="0" w:after="0"/>
              <w:ind w:right="166"/>
              <w:jc w:val="right"/>
              <w:rPr>
                <w:sz w:val="18"/>
                <w:szCs w:val="18"/>
              </w:rPr>
            </w:pPr>
            <w:r w:rsidRPr="00C14674">
              <w:rPr>
                <w:sz w:val="18"/>
                <w:szCs w:val="18"/>
              </w:rPr>
              <w:t>(385.0)</w:t>
            </w:r>
          </w:p>
        </w:tc>
      </w:tr>
      <w:tr w:rsidR="00AB62FC" w:rsidRPr="00C14674" w:rsidTr="00AB62FC">
        <w:tc>
          <w:tcPr>
            <w:tcW w:w="5936" w:type="dxa"/>
            <w:gridSpan w:val="2"/>
            <w:vAlign w:val="bottom"/>
          </w:tcPr>
          <w:p w:rsidR="00AB62FC" w:rsidRPr="00C14674" w:rsidRDefault="00AB62FC" w:rsidP="00AB62FC">
            <w:pPr>
              <w:tabs>
                <w:tab w:val="right" w:leader="dot" w:pos="7240"/>
              </w:tabs>
              <w:spacing w:before="0" w:after="0"/>
              <w:ind w:left="140"/>
              <w:rPr>
                <w:sz w:val="18"/>
                <w:szCs w:val="18"/>
              </w:rPr>
            </w:pPr>
            <w:r w:rsidRPr="00C14674">
              <w:rPr>
                <w:sz w:val="18"/>
                <w:szCs w:val="18"/>
              </w:rPr>
              <w:t xml:space="preserve">Other short term receivables, trade related prepayments, social and other payables </w:t>
            </w:r>
            <w:r w:rsidRPr="00C14674">
              <w:rPr>
                <w:sz w:val="18"/>
                <w:szCs w:val="18"/>
              </w:rPr>
              <w:tab/>
            </w:r>
          </w:p>
        </w:tc>
        <w:tc>
          <w:tcPr>
            <w:tcW w:w="1658" w:type="dxa"/>
            <w:gridSpan w:val="2"/>
            <w:noWrap/>
            <w:tcMar>
              <w:top w:w="0" w:type="dxa"/>
              <w:left w:w="144" w:type="dxa"/>
              <w:bottom w:w="0" w:type="dxa"/>
              <w:right w:w="0" w:type="dxa"/>
            </w:tcMar>
            <w:vAlign w:val="bottom"/>
          </w:tcPr>
          <w:p w:rsidR="00AB62FC" w:rsidRPr="00C14674" w:rsidRDefault="00AB62FC" w:rsidP="00AB62FC">
            <w:pPr>
              <w:spacing w:before="0" w:after="0"/>
              <w:ind w:right="140"/>
              <w:jc w:val="right"/>
              <w:rPr>
                <w:sz w:val="18"/>
                <w:szCs w:val="18"/>
              </w:rPr>
            </w:pPr>
            <w:r w:rsidRPr="00C14674">
              <w:rPr>
                <w:sz w:val="18"/>
                <w:szCs w:val="18"/>
              </w:rPr>
              <w:t>(38,8)</w:t>
            </w:r>
          </w:p>
        </w:tc>
        <w:tc>
          <w:tcPr>
            <w:tcW w:w="1719" w:type="dxa"/>
            <w:gridSpan w:val="2"/>
            <w:noWrap/>
            <w:tcMar>
              <w:top w:w="0" w:type="dxa"/>
              <w:left w:w="144" w:type="dxa"/>
              <w:bottom w:w="0" w:type="dxa"/>
              <w:right w:w="0" w:type="dxa"/>
            </w:tcMar>
            <w:vAlign w:val="bottom"/>
          </w:tcPr>
          <w:p w:rsidR="00AB62FC" w:rsidRPr="00C14674" w:rsidRDefault="00AB62FC" w:rsidP="00AB62FC">
            <w:pPr>
              <w:spacing w:before="0" w:after="0"/>
              <w:ind w:right="166"/>
              <w:jc w:val="right"/>
              <w:rPr>
                <w:sz w:val="18"/>
                <w:szCs w:val="18"/>
              </w:rPr>
            </w:pPr>
            <w:r w:rsidRPr="00C14674">
              <w:rPr>
                <w:sz w:val="18"/>
                <w:szCs w:val="18"/>
              </w:rPr>
              <w:t>(42.5)</w:t>
            </w:r>
          </w:p>
        </w:tc>
      </w:tr>
      <w:tr w:rsidR="00AB62FC" w:rsidRPr="00C14674" w:rsidTr="00AB62FC">
        <w:tc>
          <w:tcPr>
            <w:tcW w:w="6165" w:type="dxa"/>
            <w:gridSpan w:val="3"/>
            <w:tcMar>
              <w:top w:w="0" w:type="dxa"/>
              <w:left w:w="144" w:type="dxa"/>
              <w:bottom w:w="0" w:type="dxa"/>
              <w:right w:w="0" w:type="dxa"/>
            </w:tcMar>
            <w:vAlign w:val="bottom"/>
          </w:tcPr>
          <w:p w:rsidR="00AB62FC" w:rsidRPr="00C14674" w:rsidRDefault="00AB62FC" w:rsidP="00AB62FC">
            <w:pPr>
              <w:tabs>
                <w:tab w:val="right" w:pos="620"/>
                <w:tab w:val="decimal" w:pos="660"/>
              </w:tabs>
              <w:spacing w:before="0" w:after="0"/>
              <w:rPr>
                <w:sz w:val="18"/>
                <w:szCs w:val="18"/>
              </w:rPr>
            </w:pPr>
          </w:p>
        </w:tc>
        <w:tc>
          <w:tcPr>
            <w:tcW w:w="1561" w:type="dxa"/>
            <w:gridSpan w:val="2"/>
            <w:tcMar>
              <w:top w:w="0" w:type="dxa"/>
              <w:left w:w="144" w:type="dxa"/>
              <w:bottom w:w="0" w:type="dxa"/>
              <w:right w:w="0" w:type="dxa"/>
            </w:tcMar>
            <w:vAlign w:val="bottom"/>
          </w:tcPr>
          <w:p w:rsidR="00AB62FC" w:rsidRPr="00C14674" w:rsidRDefault="00AB62FC" w:rsidP="00AB62FC">
            <w:pPr>
              <w:pBdr>
                <w:top w:val="single" w:sz="8" w:space="1" w:color="auto"/>
              </w:pBdr>
              <w:tabs>
                <w:tab w:val="right" w:pos="720"/>
                <w:tab w:val="decimal" w:pos="760"/>
              </w:tabs>
              <w:spacing w:before="0" w:after="0"/>
              <w:jc w:val="right"/>
              <w:rPr>
                <w:sz w:val="18"/>
                <w:szCs w:val="18"/>
              </w:rPr>
            </w:pPr>
          </w:p>
        </w:tc>
        <w:tc>
          <w:tcPr>
            <w:tcW w:w="1587" w:type="dxa"/>
            <w:tcMar>
              <w:top w:w="0" w:type="dxa"/>
              <w:left w:w="144" w:type="dxa"/>
              <w:bottom w:w="0" w:type="dxa"/>
              <w:right w:w="0" w:type="dxa"/>
            </w:tcMar>
            <w:vAlign w:val="bottom"/>
          </w:tcPr>
          <w:p w:rsidR="00AB62FC" w:rsidRPr="00C14674" w:rsidRDefault="00AB62FC" w:rsidP="00AB62FC">
            <w:pPr>
              <w:pBdr>
                <w:top w:val="single" w:sz="8" w:space="1" w:color="auto"/>
              </w:pBdr>
              <w:tabs>
                <w:tab w:val="right" w:pos="720"/>
                <w:tab w:val="decimal" w:pos="760"/>
              </w:tabs>
              <w:spacing w:before="0" w:after="0"/>
              <w:ind w:right="166"/>
              <w:jc w:val="right"/>
              <w:rPr>
                <w:sz w:val="18"/>
                <w:szCs w:val="18"/>
              </w:rPr>
            </w:pPr>
          </w:p>
        </w:tc>
      </w:tr>
      <w:tr w:rsidR="00AB62FC" w:rsidRPr="00C14674" w:rsidTr="00AB62FC">
        <w:tc>
          <w:tcPr>
            <w:tcW w:w="6165" w:type="dxa"/>
            <w:gridSpan w:val="3"/>
            <w:vAlign w:val="bottom"/>
          </w:tcPr>
          <w:p w:rsidR="00AB62FC" w:rsidRPr="00C14674" w:rsidRDefault="00AB62FC" w:rsidP="00AB62FC">
            <w:pPr>
              <w:tabs>
                <w:tab w:val="right" w:leader="dot" w:pos="7240"/>
              </w:tabs>
              <w:spacing w:before="0" w:after="0"/>
              <w:ind w:left="140"/>
              <w:rPr>
                <w:sz w:val="18"/>
                <w:szCs w:val="18"/>
              </w:rPr>
            </w:pPr>
            <w:r w:rsidRPr="00C14674">
              <w:rPr>
                <w:b/>
                <w:bCs/>
                <w:sz w:val="18"/>
                <w:szCs w:val="18"/>
              </w:rPr>
              <w:t>Trade working capital</w:t>
            </w:r>
            <w:r w:rsidRPr="00C14674">
              <w:rPr>
                <w:bCs/>
                <w:sz w:val="18"/>
                <w:szCs w:val="18"/>
              </w:rPr>
              <w:tab/>
            </w:r>
          </w:p>
        </w:tc>
        <w:tc>
          <w:tcPr>
            <w:tcW w:w="1561" w:type="dxa"/>
            <w:gridSpan w:val="2"/>
            <w:noWrap/>
            <w:tcMar>
              <w:top w:w="0" w:type="dxa"/>
              <w:left w:w="144" w:type="dxa"/>
              <w:bottom w:w="0" w:type="dxa"/>
              <w:right w:w="0" w:type="dxa"/>
            </w:tcMar>
            <w:vAlign w:val="bottom"/>
          </w:tcPr>
          <w:p w:rsidR="00AB62FC" w:rsidRPr="00C14674" w:rsidRDefault="00AB62FC" w:rsidP="00AB62FC">
            <w:pPr>
              <w:spacing w:before="0" w:after="0"/>
              <w:ind w:right="140"/>
              <w:jc w:val="right"/>
              <w:rPr>
                <w:b/>
                <w:sz w:val="18"/>
                <w:szCs w:val="18"/>
              </w:rPr>
            </w:pPr>
            <w:r w:rsidRPr="00C14674">
              <w:rPr>
                <w:b/>
                <w:sz w:val="18"/>
                <w:szCs w:val="18"/>
              </w:rPr>
              <w:t>(222.9)</w:t>
            </w:r>
          </w:p>
        </w:tc>
        <w:tc>
          <w:tcPr>
            <w:tcW w:w="1587" w:type="dxa"/>
            <w:noWrap/>
            <w:tcMar>
              <w:top w:w="0" w:type="dxa"/>
              <w:left w:w="144" w:type="dxa"/>
              <w:bottom w:w="0" w:type="dxa"/>
              <w:right w:w="0" w:type="dxa"/>
            </w:tcMar>
            <w:vAlign w:val="bottom"/>
          </w:tcPr>
          <w:p w:rsidR="00AB62FC" w:rsidRPr="00C14674" w:rsidRDefault="00AB62FC" w:rsidP="00AB62FC">
            <w:pPr>
              <w:tabs>
                <w:tab w:val="right" w:pos="720"/>
                <w:tab w:val="decimal" w:pos="760"/>
              </w:tabs>
              <w:spacing w:before="0" w:after="0"/>
              <w:ind w:right="166"/>
              <w:jc w:val="right"/>
              <w:rPr>
                <w:b/>
                <w:sz w:val="18"/>
                <w:szCs w:val="18"/>
              </w:rPr>
            </w:pPr>
            <w:r w:rsidRPr="00C14674">
              <w:rPr>
                <w:b/>
                <w:sz w:val="18"/>
                <w:szCs w:val="18"/>
              </w:rPr>
              <w:t>(198.9)</w:t>
            </w:r>
          </w:p>
        </w:tc>
      </w:tr>
      <w:tr w:rsidR="00AB62FC" w:rsidRPr="00C14674" w:rsidTr="00AB62FC">
        <w:trPr>
          <w:gridBefore w:val="1"/>
          <w:wBefore w:w="561" w:type="dxa"/>
        </w:trPr>
        <w:tc>
          <w:tcPr>
            <w:tcW w:w="5604" w:type="dxa"/>
            <w:gridSpan w:val="2"/>
            <w:tcMar>
              <w:top w:w="0" w:type="dxa"/>
              <w:left w:w="144" w:type="dxa"/>
              <w:bottom w:w="0" w:type="dxa"/>
              <w:right w:w="0" w:type="dxa"/>
            </w:tcMar>
            <w:vAlign w:val="bottom"/>
          </w:tcPr>
          <w:p w:rsidR="00AB62FC" w:rsidRPr="00C14674" w:rsidRDefault="00AB62FC" w:rsidP="00AB62FC">
            <w:pPr>
              <w:tabs>
                <w:tab w:val="right" w:pos="620"/>
                <w:tab w:val="decimal" w:pos="660"/>
              </w:tabs>
              <w:spacing w:before="0" w:after="0"/>
              <w:ind w:left="140"/>
              <w:jc w:val="right"/>
              <w:rPr>
                <w:sz w:val="18"/>
                <w:szCs w:val="18"/>
              </w:rPr>
            </w:pPr>
            <w:r w:rsidRPr="00C14674">
              <w:rPr>
                <w:sz w:val="18"/>
                <w:szCs w:val="18"/>
              </w:rPr>
              <w:t> </w:t>
            </w:r>
          </w:p>
        </w:tc>
        <w:tc>
          <w:tcPr>
            <w:tcW w:w="1561" w:type="dxa"/>
            <w:gridSpan w:val="2"/>
            <w:tcMar>
              <w:top w:w="0" w:type="dxa"/>
              <w:left w:w="144" w:type="dxa"/>
              <w:bottom w:w="0" w:type="dxa"/>
              <w:right w:w="0" w:type="dxa"/>
            </w:tcMar>
            <w:vAlign w:val="bottom"/>
          </w:tcPr>
          <w:p w:rsidR="00AB62FC" w:rsidRPr="00C14674" w:rsidRDefault="00AB62FC" w:rsidP="00AB62FC">
            <w:pPr>
              <w:pBdr>
                <w:top w:val="double" w:sz="6" w:space="1" w:color="auto"/>
              </w:pBdr>
              <w:tabs>
                <w:tab w:val="right" w:pos="620"/>
                <w:tab w:val="decimal" w:pos="660"/>
              </w:tabs>
              <w:spacing w:before="0" w:after="0"/>
              <w:jc w:val="right"/>
              <w:rPr>
                <w:sz w:val="18"/>
                <w:szCs w:val="18"/>
              </w:rPr>
            </w:pPr>
            <w:r w:rsidRPr="00C14674">
              <w:rPr>
                <w:sz w:val="18"/>
                <w:szCs w:val="18"/>
              </w:rPr>
              <w:t> </w:t>
            </w:r>
          </w:p>
        </w:tc>
        <w:tc>
          <w:tcPr>
            <w:tcW w:w="1587" w:type="dxa"/>
            <w:tcMar>
              <w:top w:w="0" w:type="dxa"/>
              <w:left w:w="144" w:type="dxa"/>
              <w:bottom w:w="0" w:type="dxa"/>
              <w:right w:w="0" w:type="dxa"/>
            </w:tcMar>
            <w:vAlign w:val="bottom"/>
          </w:tcPr>
          <w:p w:rsidR="00AB62FC" w:rsidRPr="00C14674" w:rsidRDefault="00AB62FC" w:rsidP="00AB62FC">
            <w:pPr>
              <w:pBdr>
                <w:top w:val="double" w:sz="6" w:space="1" w:color="auto"/>
              </w:pBdr>
              <w:tabs>
                <w:tab w:val="right" w:pos="620"/>
                <w:tab w:val="decimal" w:pos="660"/>
              </w:tabs>
              <w:spacing w:before="0" w:after="0"/>
              <w:jc w:val="right"/>
              <w:rPr>
                <w:sz w:val="18"/>
                <w:szCs w:val="18"/>
              </w:rPr>
            </w:pPr>
            <w:r w:rsidRPr="00C14674">
              <w:rPr>
                <w:sz w:val="18"/>
                <w:szCs w:val="18"/>
              </w:rPr>
              <w:t> </w:t>
            </w:r>
          </w:p>
        </w:tc>
      </w:tr>
    </w:tbl>
    <w:p w:rsidR="003F0BC5" w:rsidRPr="00C14674" w:rsidRDefault="003F0BC5" w:rsidP="003F0BC5">
      <w:pPr>
        <w:rPr>
          <w:szCs w:val="20"/>
        </w:rPr>
      </w:pPr>
      <w:r w:rsidRPr="00C14674">
        <w:rPr>
          <w:bCs/>
          <w:szCs w:val="20"/>
        </w:rPr>
        <w:t xml:space="preserve">Total inventories amount to </w:t>
      </w:r>
      <w:r w:rsidR="00E53641">
        <w:rPr>
          <w:bCs/>
          <w:szCs w:val="20"/>
        </w:rPr>
        <w:t>EUR </w:t>
      </w:r>
      <w:r w:rsidRPr="00C14674">
        <w:rPr>
          <w:bCs/>
          <w:szCs w:val="20"/>
        </w:rPr>
        <w:t>43,400,000 as per 31 December 2014. The vast majority (90%) is contributed by the Fruit &amp; Vegetables segment. The stock held by the Flowers &amp; Plants segment as per year-end represents for 8% of total inventories. The impact on reported trade receivables resulting from the acquisition of EWT and the start-up operation in the Czech Republic, is offset by (i) an important</w:t>
      </w:r>
      <w:r w:rsidR="00916DA0">
        <w:rPr>
          <w:bCs/>
          <w:szCs w:val="20"/>
        </w:rPr>
        <w:t xml:space="preserve"> increased factoring capacity (s</w:t>
      </w:r>
      <w:r w:rsidRPr="00C14674">
        <w:rPr>
          <w:bCs/>
          <w:szCs w:val="20"/>
        </w:rPr>
        <w:t>ee Section 2.2.2.3 below</w:t>
      </w:r>
      <w:r w:rsidRPr="00C14674">
        <w:rPr>
          <w:szCs w:val="20"/>
        </w:rPr>
        <w:t xml:space="preserve">) </w:t>
      </w:r>
      <w:r w:rsidRPr="00C14674">
        <w:rPr>
          <w:bCs/>
          <w:szCs w:val="20"/>
        </w:rPr>
        <w:t xml:space="preserve">and (ii) the impact of the divestment of </w:t>
      </w:r>
      <w:r w:rsidR="0083762C">
        <w:rPr>
          <w:bCs/>
          <w:szCs w:val="20"/>
        </w:rPr>
        <w:t>The Fruit Farm Group</w:t>
      </w:r>
      <w:r w:rsidRPr="00C14674">
        <w:rPr>
          <w:bCs/>
          <w:szCs w:val="20"/>
        </w:rPr>
        <w:t xml:space="preserve">, the Belgian non-core transport activities, and the loss making Lincolnshire flower </w:t>
      </w:r>
      <w:r w:rsidR="00916DA0">
        <w:rPr>
          <w:bCs/>
          <w:szCs w:val="20"/>
        </w:rPr>
        <w:t>operations (s</w:t>
      </w:r>
      <w:r w:rsidRPr="00C14674">
        <w:rPr>
          <w:bCs/>
          <w:szCs w:val="20"/>
        </w:rPr>
        <w:t xml:space="preserve">ee </w:t>
      </w:r>
      <w:r w:rsidR="005F5D47">
        <w:rPr>
          <w:szCs w:val="20"/>
        </w:rPr>
        <w:t>Section</w:t>
      </w:r>
      <w:r w:rsidRPr="00C14674">
        <w:rPr>
          <w:szCs w:val="20"/>
        </w:rPr>
        <w:t xml:space="preserve"> 2.2.2.2 below)</w:t>
      </w:r>
      <w:r w:rsidRPr="00C14674">
        <w:rPr>
          <w:bCs/>
          <w:szCs w:val="20"/>
        </w:rPr>
        <w:t xml:space="preserve">. The increase of trade payables is primarily driven by the impact of the acquisition of EWT and start-up in the </w:t>
      </w:r>
      <w:smartTag w:uri="urn:schemas-microsoft-com:office:smarttags" w:element="place">
        <w:smartTag w:uri="urn:schemas-microsoft-com:office:smarttags" w:element="PlaceName">
          <w:r w:rsidRPr="00C14674">
            <w:rPr>
              <w:bCs/>
              <w:szCs w:val="20"/>
            </w:rPr>
            <w:t>Czech</w:t>
          </w:r>
        </w:smartTag>
        <w:r w:rsidRPr="00C14674">
          <w:rPr>
            <w:bCs/>
            <w:szCs w:val="20"/>
          </w:rPr>
          <w:t xml:space="preserve"> </w:t>
        </w:r>
        <w:smartTag w:uri="urn:schemas-microsoft-com:office:smarttags" w:element="PlaceType">
          <w:r w:rsidRPr="00C14674">
            <w:rPr>
              <w:bCs/>
              <w:szCs w:val="20"/>
            </w:rPr>
            <w:t>Republic</w:t>
          </w:r>
        </w:smartTag>
      </w:smartTag>
      <w:r w:rsidRPr="00C14674">
        <w:rPr>
          <w:bCs/>
          <w:szCs w:val="20"/>
        </w:rPr>
        <w:t xml:space="preserve">. Other receivables, primarily relating to sales taxes, empties, accrued income and deferred charges, other trade related prepayments, social and other payables, are largely affected by the divestment of </w:t>
      </w:r>
      <w:r w:rsidR="0083762C">
        <w:rPr>
          <w:bCs/>
          <w:szCs w:val="20"/>
        </w:rPr>
        <w:t>The Fruit Farm Group</w:t>
      </w:r>
      <w:r w:rsidRPr="00C14674">
        <w:rPr>
          <w:bCs/>
          <w:szCs w:val="20"/>
        </w:rPr>
        <w:t>. At 31 December 2014 trade working capital, expressed as percentage of full year revenues from continuing operations, amounts to -7.0%, compared to -6.6% at year-end 2013.</w:t>
      </w:r>
    </w:p>
    <w:p w:rsidR="003F0BC5" w:rsidRPr="00C14674" w:rsidRDefault="003F0BC5" w:rsidP="003F0BC5">
      <w:pPr>
        <w:rPr>
          <w:b/>
          <w:szCs w:val="20"/>
        </w:rPr>
      </w:pPr>
      <w:r w:rsidRPr="00C14674">
        <w:rPr>
          <w:b/>
          <w:szCs w:val="20"/>
        </w:rPr>
        <w:t>Capital Expenditure</w:t>
      </w:r>
    </w:p>
    <w:tbl>
      <w:tblPr>
        <w:tblW w:w="4981" w:type="pct"/>
        <w:jc w:val="center"/>
        <w:tblCellMar>
          <w:left w:w="0" w:type="dxa"/>
          <w:right w:w="0" w:type="dxa"/>
        </w:tblCellMar>
        <w:tblLook w:val="0000" w:firstRow="0" w:lastRow="0" w:firstColumn="0" w:lastColumn="0" w:noHBand="0" w:noVBand="0"/>
      </w:tblPr>
      <w:tblGrid>
        <w:gridCol w:w="5697"/>
        <w:gridCol w:w="1583"/>
        <w:gridCol w:w="1720"/>
        <w:gridCol w:w="138"/>
      </w:tblGrid>
      <w:tr w:rsidR="00AB62FC" w:rsidRPr="00C14674" w:rsidTr="00AB62FC">
        <w:trPr>
          <w:gridAfter w:val="1"/>
          <w:wAfter w:w="141" w:type="dxa"/>
          <w:tblHeader/>
          <w:jc w:val="center"/>
        </w:trPr>
        <w:tc>
          <w:tcPr>
            <w:tcW w:w="5710" w:type="dxa"/>
            <w:tcMar>
              <w:top w:w="0" w:type="dxa"/>
              <w:left w:w="144" w:type="dxa"/>
              <w:bottom w:w="0" w:type="dxa"/>
              <w:right w:w="0" w:type="dxa"/>
            </w:tcMar>
            <w:vAlign w:val="center"/>
          </w:tcPr>
          <w:p w:rsidR="00AB62FC" w:rsidRPr="00C14674" w:rsidRDefault="00AB62FC" w:rsidP="00AB62FC">
            <w:pPr>
              <w:keepNext/>
              <w:spacing w:before="0" w:after="0"/>
              <w:ind w:left="-88"/>
              <w:jc w:val="left"/>
              <w:rPr>
                <w:bCs/>
                <w:i/>
                <w:sz w:val="18"/>
                <w:szCs w:val="18"/>
              </w:rPr>
            </w:pPr>
            <w:r w:rsidRPr="00C14674">
              <w:rPr>
                <w:bCs/>
                <w:i/>
                <w:sz w:val="18"/>
                <w:szCs w:val="18"/>
              </w:rPr>
              <w:t>(</w:t>
            </w:r>
            <w:r w:rsidR="00E53641">
              <w:rPr>
                <w:bCs/>
                <w:i/>
                <w:sz w:val="18"/>
                <w:szCs w:val="18"/>
              </w:rPr>
              <w:t>EUR </w:t>
            </w:r>
            <w:r w:rsidRPr="00C14674">
              <w:rPr>
                <w:bCs/>
                <w:i/>
                <w:sz w:val="18"/>
                <w:szCs w:val="18"/>
              </w:rPr>
              <w:t>in millions)</w:t>
            </w:r>
          </w:p>
        </w:tc>
        <w:tc>
          <w:tcPr>
            <w:tcW w:w="1575" w:type="dxa"/>
            <w:tcMar>
              <w:top w:w="0" w:type="dxa"/>
              <w:left w:w="144" w:type="dxa"/>
              <w:bottom w:w="0" w:type="dxa"/>
              <w:right w:w="0" w:type="dxa"/>
            </w:tcMar>
            <w:vAlign w:val="bottom"/>
          </w:tcPr>
          <w:p w:rsidR="00AB62FC" w:rsidRPr="00C14674" w:rsidRDefault="00AB62FC" w:rsidP="00AB62FC">
            <w:pPr>
              <w:pBdr>
                <w:bottom w:val="single" w:sz="4" w:space="1" w:color="auto"/>
              </w:pBdr>
              <w:spacing w:before="0" w:after="0"/>
              <w:jc w:val="center"/>
              <w:rPr>
                <w:b/>
                <w:sz w:val="18"/>
                <w:szCs w:val="18"/>
              </w:rPr>
            </w:pPr>
            <w:r w:rsidRPr="00C14674">
              <w:rPr>
                <w:b/>
                <w:bCs/>
                <w:sz w:val="18"/>
                <w:szCs w:val="18"/>
              </w:rPr>
              <w:t>Year Ended</w:t>
            </w:r>
            <w:r w:rsidRPr="00C14674">
              <w:rPr>
                <w:b/>
                <w:bCs/>
                <w:sz w:val="18"/>
                <w:szCs w:val="18"/>
              </w:rPr>
              <w:br/>
              <w:t>31 December</w:t>
            </w:r>
            <w:r w:rsidRPr="00C14674">
              <w:rPr>
                <w:b/>
                <w:bCs/>
                <w:sz w:val="18"/>
                <w:szCs w:val="18"/>
              </w:rPr>
              <w:br/>
              <w:t>2014</w:t>
            </w:r>
          </w:p>
        </w:tc>
        <w:tc>
          <w:tcPr>
            <w:tcW w:w="1712" w:type="dxa"/>
            <w:tcMar>
              <w:top w:w="0" w:type="dxa"/>
              <w:left w:w="144" w:type="dxa"/>
              <w:bottom w:w="0" w:type="dxa"/>
              <w:right w:w="0" w:type="dxa"/>
            </w:tcMar>
            <w:vAlign w:val="bottom"/>
          </w:tcPr>
          <w:p w:rsidR="00AB62FC" w:rsidRPr="00C14674" w:rsidRDefault="00AB62FC" w:rsidP="00AB62FC">
            <w:pPr>
              <w:pBdr>
                <w:bottom w:val="single" w:sz="4" w:space="1" w:color="auto"/>
              </w:pBdr>
              <w:tabs>
                <w:tab w:val="right" w:pos="1380"/>
                <w:tab w:val="decimal" w:pos="1420"/>
              </w:tabs>
              <w:spacing w:before="0" w:after="0"/>
              <w:jc w:val="center"/>
              <w:rPr>
                <w:b/>
                <w:sz w:val="18"/>
                <w:szCs w:val="18"/>
              </w:rPr>
            </w:pPr>
            <w:r w:rsidRPr="00C14674">
              <w:rPr>
                <w:b/>
                <w:sz w:val="18"/>
                <w:szCs w:val="18"/>
              </w:rPr>
              <w:t>Year Ended</w:t>
            </w:r>
            <w:r w:rsidRPr="00C14674">
              <w:rPr>
                <w:b/>
                <w:sz w:val="18"/>
                <w:szCs w:val="18"/>
              </w:rPr>
              <w:br/>
              <w:t>31 December</w:t>
            </w:r>
            <w:r w:rsidRPr="00C14674">
              <w:rPr>
                <w:b/>
                <w:sz w:val="18"/>
                <w:szCs w:val="18"/>
              </w:rPr>
              <w:br/>
              <w:t>2013</w:t>
            </w:r>
          </w:p>
        </w:tc>
      </w:tr>
      <w:tr w:rsidR="00AB62FC" w:rsidRPr="00C14674" w:rsidTr="00AB62FC">
        <w:trPr>
          <w:gridAfter w:val="1"/>
          <w:wAfter w:w="141" w:type="dxa"/>
          <w:jc w:val="center"/>
        </w:trPr>
        <w:tc>
          <w:tcPr>
            <w:tcW w:w="5710" w:type="dxa"/>
          </w:tcPr>
          <w:p w:rsidR="00AB62FC" w:rsidRPr="00C14674" w:rsidRDefault="00AB62FC" w:rsidP="00AB62FC">
            <w:pPr>
              <w:keepNext/>
              <w:tabs>
                <w:tab w:val="right" w:leader="dot" w:pos="6340"/>
              </w:tabs>
              <w:spacing w:before="0" w:after="0"/>
              <w:ind w:left="56" w:firstLine="284"/>
              <w:rPr>
                <w:sz w:val="18"/>
                <w:szCs w:val="18"/>
              </w:rPr>
            </w:pPr>
            <w:r w:rsidRPr="00C14674">
              <w:rPr>
                <w:sz w:val="18"/>
                <w:szCs w:val="18"/>
              </w:rPr>
              <w:t>Property, plant and equipment</w:t>
            </w:r>
            <w:r w:rsidRPr="00C14674">
              <w:rPr>
                <w:sz w:val="18"/>
                <w:szCs w:val="18"/>
              </w:rPr>
              <w:tab/>
            </w:r>
          </w:p>
        </w:tc>
        <w:tc>
          <w:tcPr>
            <w:tcW w:w="1575" w:type="dxa"/>
            <w:noWrap/>
            <w:tcMar>
              <w:top w:w="0" w:type="dxa"/>
              <w:left w:w="144" w:type="dxa"/>
              <w:bottom w:w="0" w:type="dxa"/>
              <w:right w:w="0" w:type="dxa"/>
            </w:tcMar>
            <w:vAlign w:val="bottom"/>
          </w:tcPr>
          <w:p w:rsidR="00AB62FC" w:rsidRPr="00C14674" w:rsidRDefault="00AB62FC" w:rsidP="00AB62FC">
            <w:pPr>
              <w:spacing w:before="0" w:after="0"/>
              <w:ind w:right="54"/>
              <w:jc w:val="right"/>
              <w:rPr>
                <w:sz w:val="18"/>
                <w:szCs w:val="18"/>
              </w:rPr>
            </w:pPr>
            <w:r w:rsidRPr="00C14674">
              <w:rPr>
                <w:sz w:val="18"/>
                <w:szCs w:val="18"/>
              </w:rPr>
              <w:t>14.7</w:t>
            </w:r>
          </w:p>
        </w:tc>
        <w:tc>
          <w:tcPr>
            <w:tcW w:w="1712" w:type="dxa"/>
            <w:noWrap/>
            <w:tcMar>
              <w:top w:w="0" w:type="dxa"/>
              <w:left w:w="144" w:type="dxa"/>
              <w:bottom w:w="0" w:type="dxa"/>
              <w:right w:w="0" w:type="dxa"/>
            </w:tcMar>
            <w:vAlign w:val="bottom"/>
          </w:tcPr>
          <w:p w:rsidR="00AB62FC" w:rsidRPr="00C14674" w:rsidRDefault="00AB62FC" w:rsidP="00AB62FC">
            <w:pPr>
              <w:spacing w:before="0" w:after="0"/>
              <w:ind w:right="49"/>
              <w:jc w:val="right"/>
              <w:rPr>
                <w:sz w:val="18"/>
                <w:szCs w:val="18"/>
              </w:rPr>
            </w:pPr>
            <w:r w:rsidRPr="00C14674">
              <w:rPr>
                <w:sz w:val="18"/>
                <w:szCs w:val="18"/>
              </w:rPr>
              <w:t>12.9</w:t>
            </w:r>
          </w:p>
        </w:tc>
      </w:tr>
      <w:tr w:rsidR="00AB62FC" w:rsidRPr="00C14674" w:rsidTr="00AB62FC">
        <w:trPr>
          <w:gridAfter w:val="1"/>
          <w:wAfter w:w="141" w:type="dxa"/>
          <w:jc w:val="center"/>
        </w:trPr>
        <w:tc>
          <w:tcPr>
            <w:tcW w:w="5710" w:type="dxa"/>
          </w:tcPr>
          <w:p w:rsidR="00AB62FC" w:rsidRPr="00C14674" w:rsidRDefault="00AB62FC" w:rsidP="00AB62FC">
            <w:pPr>
              <w:keepNext/>
              <w:tabs>
                <w:tab w:val="right" w:leader="dot" w:pos="6340"/>
              </w:tabs>
              <w:spacing w:before="0" w:after="0"/>
              <w:ind w:left="56" w:firstLine="284"/>
              <w:rPr>
                <w:sz w:val="18"/>
                <w:szCs w:val="18"/>
              </w:rPr>
            </w:pPr>
            <w:r w:rsidRPr="00C14674">
              <w:rPr>
                <w:sz w:val="18"/>
                <w:szCs w:val="18"/>
              </w:rPr>
              <w:t>Biological assets</w:t>
            </w:r>
            <w:r w:rsidRPr="00C14674">
              <w:rPr>
                <w:sz w:val="18"/>
                <w:szCs w:val="18"/>
              </w:rPr>
              <w:tab/>
            </w:r>
          </w:p>
        </w:tc>
        <w:tc>
          <w:tcPr>
            <w:tcW w:w="1575" w:type="dxa"/>
            <w:noWrap/>
            <w:tcMar>
              <w:top w:w="0" w:type="dxa"/>
              <w:left w:w="144" w:type="dxa"/>
              <w:bottom w:w="0" w:type="dxa"/>
              <w:right w:w="0" w:type="dxa"/>
            </w:tcMar>
            <w:vAlign w:val="bottom"/>
          </w:tcPr>
          <w:p w:rsidR="00AB62FC" w:rsidRPr="00C14674" w:rsidRDefault="00AB62FC" w:rsidP="00AB62FC">
            <w:pPr>
              <w:spacing w:before="0" w:after="0"/>
              <w:ind w:right="54"/>
              <w:jc w:val="right"/>
              <w:rPr>
                <w:sz w:val="18"/>
                <w:szCs w:val="18"/>
              </w:rPr>
            </w:pPr>
            <w:r w:rsidRPr="00C14674">
              <w:rPr>
                <w:sz w:val="18"/>
                <w:szCs w:val="18"/>
              </w:rPr>
              <w:t>0.0</w:t>
            </w:r>
          </w:p>
        </w:tc>
        <w:tc>
          <w:tcPr>
            <w:tcW w:w="1712" w:type="dxa"/>
            <w:noWrap/>
            <w:tcMar>
              <w:top w:w="0" w:type="dxa"/>
              <w:left w:w="144" w:type="dxa"/>
              <w:bottom w:w="0" w:type="dxa"/>
              <w:right w:w="0" w:type="dxa"/>
            </w:tcMar>
            <w:vAlign w:val="bottom"/>
          </w:tcPr>
          <w:p w:rsidR="00AB62FC" w:rsidRPr="00C14674" w:rsidRDefault="00AB62FC" w:rsidP="00AB62FC">
            <w:pPr>
              <w:spacing w:before="0" w:after="0"/>
              <w:ind w:right="49"/>
              <w:jc w:val="right"/>
              <w:rPr>
                <w:sz w:val="18"/>
                <w:szCs w:val="18"/>
              </w:rPr>
            </w:pPr>
            <w:r w:rsidRPr="00C14674">
              <w:rPr>
                <w:sz w:val="18"/>
                <w:szCs w:val="18"/>
              </w:rPr>
              <w:t>0.6</w:t>
            </w:r>
          </w:p>
        </w:tc>
      </w:tr>
      <w:tr w:rsidR="00AB62FC" w:rsidRPr="00C14674" w:rsidTr="00AB62FC">
        <w:trPr>
          <w:gridAfter w:val="1"/>
          <w:wAfter w:w="141" w:type="dxa"/>
          <w:jc w:val="center"/>
        </w:trPr>
        <w:tc>
          <w:tcPr>
            <w:tcW w:w="5710" w:type="dxa"/>
          </w:tcPr>
          <w:p w:rsidR="00AB62FC" w:rsidRPr="00C14674" w:rsidRDefault="00AB62FC" w:rsidP="00AB62FC">
            <w:pPr>
              <w:keepNext/>
              <w:tabs>
                <w:tab w:val="right" w:leader="dot" w:pos="6340"/>
              </w:tabs>
              <w:spacing w:before="0" w:after="0"/>
              <w:ind w:left="56" w:firstLine="284"/>
              <w:rPr>
                <w:sz w:val="18"/>
                <w:szCs w:val="18"/>
              </w:rPr>
            </w:pPr>
            <w:r w:rsidRPr="00C14674">
              <w:rPr>
                <w:sz w:val="18"/>
                <w:szCs w:val="18"/>
              </w:rPr>
              <w:t>Intangible assets</w:t>
            </w:r>
            <w:r w:rsidRPr="00C14674">
              <w:rPr>
                <w:sz w:val="18"/>
                <w:szCs w:val="18"/>
              </w:rPr>
              <w:tab/>
            </w:r>
          </w:p>
        </w:tc>
        <w:tc>
          <w:tcPr>
            <w:tcW w:w="1575" w:type="dxa"/>
            <w:noWrap/>
            <w:tcMar>
              <w:top w:w="0" w:type="dxa"/>
              <w:left w:w="144" w:type="dxa"/>
              <w:bottom w:w="0" w:type="dxa"/>
              <w:right w:w="0" w:type="dxa"/>
            </w:tcMar>
            <w:vAlign w:val="bottom"/>
          </w:tcPr>
          <w:p w:rsidR="00AB62FC" w:rsidRPr="00C14674" w:rsidRDefault="00AB62FC" w:rsidP="00AB62FC">
            <w:pPr>
              <w:spacing w:before="0" w:after="0"/>
              <w:ind w:right="54"/>
              <w:jc w:val="right"/>
              <w:rPr>
                <w:sz w:val="18"/>
                <w:szCs w:val="18"/>
              </w:rPr>
            </w:pPr>
            <w:r w:rsidRPr="00C14674">
              <w:rPr>
                <w:sz w:val="18"/>
                <w:szCs w:val="18"/>
              </w:rPr>
              <w:t>2.4</w:t>
            </w:r>
          </w:p>
        </w:tc>
        <w:tc>
          <w:tcPr>
            <w:tcW w:w="1712" w:type="dxa"/>
            <w:noWrap/>
            <w:tcMar>
              <w:top w:w="0" w:type="dxa"/>
              <w:left w:w="144" w:type="dxa"/>
              <w:bottom w:w="0" w:type="dxa"/>
              <w:right w:w="0" w:type="dxa"/>
            </w:tcMar>
            <w:vAlign w:val="bottom"/>
          </w:tcPr>
          <w:p w:rsidR="00AB62FC" w:rsidRPr="00C14674" w:rsidRDefault="00AB62FC" w:rsidP="00AB62FC">
            <w:pPr>
              <w:spacing w:before="0" w:after="0"/>
              <w:ind w:right="49"/>
              <w:jc w:val="right"/>
              <w:rPr>
                <w:sz w:val="18"/>
                <w:szCs w:val="18"/>
              </w:rPr>
            </w:pPr>
            <w:r w:rsidRPr="00C14674">
              <w:rPr>
                <w:sz w:val="18"/>
                <w:szCs w:val="18"/>
              </w:rPr>
              <w:t>1.2</w:t>
            </w:r>
          </w:p>
        </w:tc>
      </w:tr>
      <w:tr w:rsidR="00AB62FC" w:rsidRPr="00C14674" w:rsidTr="00AB62FC">
        <w:trPr>
          <w:gridAfter w:val="1"/>
          <w:wAfter w:w="141" w:type="dxa"/>
          <w:jc w:val="center"/>
        </w:trPr>
        <w:tc>
          <w:tcPr>
            <w:tcW w:w="5710" w:type="dxa"/>
          </w:tcPr>
          <w:p w:rsidR="00AB62FC" w:rsidRPr="00C14674" w:rsidRDefault="00AB62FC" w:rsidP="00AB62FC">
            <w:pPr>
              <w:keepNext/>
              <w:tabs>
                <w:tab w:val="right" w:leader="dot" w:pos="6340"/>
              </w:tabs>
              <w:spacing w:before="0" w:after="0"/>
              <w:ind w:left="56"/>
              <w:rPr>
                <w:sz w:val="18"/>
                <w:szCs w:val="18"/>
              </w:rPr>
            </w:pPr>
            <w:r w:rsidRPr="00C14674">
              <w:rPr>
                <w:sz w:val="18"/>
                <w:szCs w:val="18"/>
              </w:rPr>
              <w:t>Capital expenditure of the continuing operations</w:t>
            </w:r>
            <w:r w:rsidRPr="00C14674">
              <w:rPr>
                <w:sz w:val="18"/>
                <w:szCs w:val="18"/>
              </w:rPr>
              <w:tab/>
            </w:r>
          </w:p>
        </w:tc>
        <w:tc>
          <w:tcPr>
            <w:tcW w:w="1575" w:type="dxa"/>
            <w:noWrap/>
            <w:tcMar>
              <w:top w:w="0" w:type="dxa"/>
              <w:left w:w="144" w:type="dxa"/>
              <w:bottom w:w="0" w:type="dxa"/>
              <w:right w:w="0" w:type="dxa"/>
            </w:tcMar>
            <w:vAlign w:val="bottom"/>
          </w:tcPr>
          <w:p w:rsidR="00AB62FC" w:rsidRPr="00C14674" w:rsidRDefault="00AB62FC" w:rsidP="00AB62FC">
            <w:pPr>
              <w:spacing w:before="0" w:after="0"/>
              <w:ind w:right="54"/>
              <w:jc w:val="right"/>
              <w:rPr>
                <w:sz w:val="18"/>
                <w:szCs w:val="18"/>
              </w:rPr>
            </w:pPr>
            <w:r w:rsidRPr="00C14674">
              <w:rPr>
                <w:sz w:val="18"/>
                <w:szCs w:val="18"/>
              </w:rPr>
              <w:t>17.1</w:t>
            </w:r>
          </w:p>
        </w:tc>
        <w:tc>
          <w:tcPr>
            <w:tcW w:w="1712" w:type="dxa"/>
            <w:noWrap/>
            <w:tcMar>
              <w:top w:w="0" w:type="dxa"/>
              <w:left w:w="144" w:type="dxa"/>
              <w:bottom w:w="0" w:type="dxa"/>
              <w:right w:w="0" w:type="dxa"/>
            </w:tcMar>
            <w:vAlign w:val="bottom"/>
          </w:tcPr>
          <w:p w:rsidR="00AB62FC" w:rsidRPr="00C14674" w:rsidRDefault="00AB62FC" w:rsidP="00AB62FC">
            <w:pPr>
              <w:spacing w:before="0" w:after="0"/>
              <w:ind w:right="49"/>
              <w:jc w:val="right"/>
              <w:rPr>
                <w:sz w:val="18"/>
                <w:szCs w:val="18"/>
              </w:rPr>
            </w:pPr>
            <w:r w:rsidRPr="00C14674">
              <w:rPr>
                <w:sz w:val="18"/>
                <w:szCs w:val="18"/>
              </w:rPr>
              <w:t>14.7</w:t>
            </w:r>
          </w:p>
        </w:tc>
      </w:tr>
      <w:tr w:rsidR="00AB62FC" w:rsidRPr="00C14674" w:rsidTr="00AB62FC">
        <w:trPr>
          <w:gridAfter w:val="1"/>
          <w:wAfter w:w="141" w:type="dxa"/>
          <w:jc w:val="center"/>
        </w:trPr>
        <w:tc>
          <w:tcPr>
            <w:tcW w:w="5710" w:type="dxa"/>
          </w:tcPr>
          <w:p w:rsidR="00AB62FC" w:rsidRPr="00C14674" w:rsidRDefault="00AB62FC" w:rsidP="00AB62FC">
            <w:pPr>
              <w:keepNext/>
              <w:tabs>
                <w:tab w:val="right" w:leader="dot" w:pos="6340"/>
              </w:tabs>
              <w:spacing w:before="0" w:after="0"/>
              <w:ind w:left="56"/>
              <w:rPr>
                <w:sz w:val="18"/>
                <w:szCs w:val="18"/>
              </w:rPr>
            </w:pPr>
            <w:r w:rsidRPr="00C14674">
              <w:rPr>
                <w:sz w:val="18"/>
                <w:szCs w:val="18"/>
              </w:rPr>
              <w:t>Capital expenditure of the discontinued operations</w:t>
            </w:r>
            <w:r w:rsidRPr="00C14674">
              <w:rPr>
                <w:sz w:val="18"/>
                <w:szCs w:val="18"/>
              </w:rPr>
              <w:tab/>
            </w:r>
          </w:p>
        </w:tc>
        <w:tc>
          <w:tcPr>
            <w:tcW w:w="1575" w:type="dxa"/>
            <w:noWrap/>
            <w:tcMar>
              <w:top w:w="0" w:type="dxa"/>
              <w:left w:w="144" w:type="dxa"/>
              <w:bottom w:w="0" w:type="dxa"/>
              <w:right w:w="0" w:type="dxa"/>
            </w:tcMar>
            <w:vAlign w:val="bottom"/>
          </w:tcPr>
          <w:p w:rsidR="00AB62FC" w:rsidRPr="00C14674" w:rsidRDefault="00AB62FC" w:rsidP="00AB62FC">
            <w:pPr>
              <w:spacing w:before="0" w:after="0"/>
              <w:ind w:right="54"/>
              <w:jc w:val="right"/>
              <w:rPr>
                <w:sz w:val="18"/>
                <w:szCs w:val="18"/>
              </w:rPr>
            </w:pPr>
            <w:r w:rsidRPr="00C14674">
              <w:rPr>
                <w:sz w:val="18"/>
                <w:szCs w:val="18"/>
              </w:rPr>
              <w:t>5.0</w:t>
            </w:r>
          </w:p>
        </w:tc>
        <w:tc>
          <w:tcPr>
            <w:tcW w:w="1712" w:type="dxa"/>
            <w:noWrap/>
            <w:tcMar>
              <w:top w:w="0" w:type="dxa"/>
              <w:left w:w="144" w:type="dxa"/>
              <w:bottom w:w="0" w:type="dxa"/>
              <w:right w:w="0" w:type="dxa"/>
            </w:tcMar>
            <w:vAlign w:val="bottom"/>
          </w:tcPr>
          <w:p w:rsidR="00AB62FC" w:rsidRPr="00C14674" w:rsidRDefault="00AB62FC" w:rsidP="00AB62FC">
            <w:pPr>
              <w:spacing w:before="0" w:after="0"/>
              <w:ind w:right="49"/>
              <w:jc w:val="right"/>
              <w:rPr>
                <w:sz w:val="18"/>
                <w:szCs w:val="18"/>
              </w:rPr>
            </w:pPr>
            <w:r w:rsidRPr="00C14674">
              <w:rPr>
                <w:sz w:val="18"/>
                <w:szCs w:val="18"/>
              </w:rPr>
              <w:t>5.9</w:t>
            </w:r>
          </w:p>
        </w:tc>
      </w:tr>
      <w:tr w:rsidR="00AB62FC" w:rsidRPr="00C14674" w:rsidTr="00AB62FC">
        <w:trPr>
          <w:gridAfter w:val="1"/>
          <w:wAfter w:w="141" w:type="dxa"/>
          <w:jc w:val="center"/>
        </w:trPr>
        <w:tc>
          <w:tcPr>
            <w:tcW w:w="5710" w:type="dxa"/>
            <w:tcMar>
              <w:top w:w="0" w:type="dxa"/>
              <w:left w:w="144" w:type="dxa"/>
              <w:bottom w:w="0" w:type="dxa"/>
              <w:right w:w="0" w:type="dxa"/>
            </w:tcMar>
            <w:vAlign w:val="bottom"/>
          </w:tcPr>
          <w:p w:rsidR="00AB62FC" w:rsidRPr="00C14674" w:rsidRDefault="00AB62FC" w:rsidP="00AB62FC">
            <w:pPr>
              <w:tabs>
                <w:tab w:val="right" w:pos="1380"/>
                <w:tab w:val="decimal" w:pos="1420"/>
              </w:tabs>
              <w:spacing w:before="0" w:after="0"/>
              <w:rPr>
                <w:sz w:val="18"/>
                <w:szCs w:val="18"/>
              </w:rPr>
            </w:pPr>
            <w:r w:rsidRPr="00C14674">
              <w:rPr>
                <w:sz w:val="18"/>
                <w:szCs w:val="18"/>
              </w:rPr>
              <w:t> </w:t>
            </w:r>
          </w:p>
        </w:tc>
        <w:tc>
          <w:tcPr>
            <w:tcW w:w="1575" w:type="dxa"/>
            <w:tcMar>
              <w:top w:w="0" w:type="dxa"/>
              <w:left w:w="144" w:type="dxa"/>
              <w:bottom w:w="0" w:type="dxa"/>
              <w:right w:w="0" w:type="dxa"/>
            </w:tcMar>
            <w:vAlign w:val="bottom"/>
          </w:tcPr>
          <w:p w:rsidR="00AB62FC" w:rsidRPr="00C14674" w:rsidRDefault="00AB62FC" w:rsidP="00AB62FC">
            <w:pPr>
              <w:pBdr>
                <w:top w:val="single" w:sz="8" w:space="1" w:color="auto"/>
              </w:pBdr>
              <w:tabs>
                <w:tab w:val="decimal" w:pos="1420"/>
              </w:tabs>
              <w:spacing w:before="0" w:after="0"/>
              <w:jc w:val="right"/>
              <w:rPr>
                <w:sz w:val="18"/>
                <w:szCs w:val="18"/>
              </w:rPr>
            </w:pPr>
            <w:r w:rsidRPr="00C14674">
              <w:rPr>
                <w:sz w:val="18"/>
                <w:szCs w:val="18"/>
              </w:rPr>
              <w:t> </w:t>
            </w:r>
          </w:p>
        </w:tc>
        <w:tc>
          <w:tcPr>
            <w:tcW w:w="1712" w:type="dxa"/>
            <w:tcMar>
              <w:top w:w="0" w:type="dxa"/>
              <w:left w:w="144" w:type="dxa"/>
              <w:bottom w:w="0" w:type="dxa"/>
              <w:right w:w="0" w:type="dxa"/>
            </w:tcMar>
            <w:vAlign w:val="bottom"/>
          </w:tcPr>
          <w:p w:rsidR="00AB62FC" w:rsidRPr="00C14674" w:rsidRDefault="00AB62FC" w:rsidP="00AB62FC">
            <w:pPr>
              <w:pBdr>
                <w:top w:val="single" w:sz="8" w:space="1" w:color="auto"/>
              </w:pBdr>
              <w:tabs>
                <w:tab w:val="decimal" w:pos="1420"/>
              </w:tabs>
              <w:spacing w:before="0" w:after="0"/>
              <w:jc w:val="right"/>
              <w:rPr>
                <w:sz w:val="18"/>
                <w:szCs w:val="18"/>
              </w:rPr>
            </w:pPr>
            <w:r w:rsidRPr="00C14674">
              <w:rPr>
                <w:sz w:val="18"/>
                <w:szCs w:val="18"/>
              </w:rPr>
              <w:t> </w:t>
            </w:r>
          </w:p>
        </w:tc>
      </w:tr>
      <w:tr w:rsidR="00AB62FC" w:rsidRPr="00C14674" w:rsidTr="00AB62FC">
        <w:trPr>
          <w:gridAfter w:val="1"/>
          <w:wAfter w:w="141" w:type="dxa"/>
          <w:jc w:val="center"/>
        </w:trPr>
        <w:tc>
          <w:tcPr>
            <w:tcW w:w="5710" w:type="dxa"/>
          </w:tcPr>
          <w:p w:rsidR="00AB62FC" w:rsidRPr="00C14674" w:rsidRDefault="00AB62FC" w:rsidP="00AB62FC">
            <w:pPr>
              <w:tabs>
                <w:tab w:val="right" w:leader="dot" w:pos="6340"/>
              </w:tabs>
              <w:spacing w:before="0" w:after="0"/>
              <w:rPr>
                <w:sz w:val="18"/>
                <w:szCs w:val="18"/>
              </w:rPr>
            </w:pPr>
            <w:r w:rsidRPr="00C14674">
              <w:rPr>
                <w:b/>
                <w:bCs/>
                <w:sz w:val="18"/>
                <w:szCs w:val="18"/>
              </w:rPr>
              <w:t>Capital expenditure</w:t>
            </w:r>
            <w:r w:rsidRPr="00C14674">
              <w:rPr>
                <w:bCs/>
                <w:sz w:val="18"/>
                <w:szCs w:val="18"/>
              </w:rPr>
              <w:tab/>
            </w:r>
          </w:p>
        </w:tc>
        <w:tc>
          <w:tcPr>
            <w:tcW w:w="1575" w:type="dxa"/>
            <w:noWrap/>
            <w:tcMar>
              <w:top w:w="0" w:type="dxa"/>
              <w:left w:w="144" w:type="dxa"/>
              <w:bottom w:w="0" w:type="dxa"/>
              <w:right w:w="0" w:type="dxa"/>
            </w:tcMar>
            <w:vAlign w:val="bottom"/>
          </w:tcPr>
          <w:p w:rsidR="00AB62FC" w:rsidRPr="00C14674" w:rsidRDefault="00AB62FC" w:rsidP="00AB62FC">
            <w:pPr>
              <w:spacing w:before="0" w:after="0"/>
              <w:ind w:right="54"/>
              <w:jc w:val="right"/>
              <w:rPr>
                <w:sz w:val="18"/>
                <w:szCs w:val="18"/>
              </w:rPr>
            </w:pPr>
            <w:r w:rsidRPr="00C14674">
              <w:rPr>
                <w:b/>
                <w:bCs/>
                <w:sz w:val="18"/>
                <w:szCs w:val="18"/>
              </w:rPr>
              <w:t>22.1</w:t>
            </w:r>
          </w:p>
        </w:tc>
        <w:tc>
          <w:tcPr>
            <w:tcW w:w="1712" w:type="dxa"/>
            <w:noWrap/>
            <w:tcMar>
              <w:top w:w="0" w:type="dxa"/>
              <w:left w:w="144" w:type="dxa"/>
              <w:bottom w:w="0" w:type="dxa"/>
              <w:right w:w="0" w:type="dxa"/>
            </w:tcMar>
            <w:vAlign w:val="bottom"/>
          </w:tcPr>
          <w:p w:rsidR="00AB62FC" w:rsidRPr="00C14674" w:rsidRDefault="00AB62FC" w:rsidP="00AB62FC">
            <w:pPr>
              <w:spacing w:before="0" w:after="0"/>
              <w:ind w:right="54"/>
              <w:jc w:val="right"/>
              <w:rPr>
                <w:sz w:val="18"/>
                <w:szCs w:val="18"/>
              </w:rPr>
            </w:pPr>
            <w:r w:rsidRPr="00C14674">
              <w:rPr>
                <w:b/>
                <w:bCs/>
                <w:sz w:val="18"/>
                <w:szCs w:val="18"/>
              </w:rPr>
              <w:t>20.6</w:t>
            </w:r>
          </w:p>
        </w:tc>
      </w:tr>
      <w:tr w:rsidR="00AB62FC" w:rsidRPr="00C14674" w:rsidTr="00AB62FC">
        <w:trPr>
          <w:jc w:val="center"/>
        </w:trPr>
        <w:tc>
          <w:tcPr>
            <w:tcW w:w="5710" w:type="dxa"/>
            <w:tcMar>
              <w:top w:w="0" w:type="dxa"/>
              <w:left w:w="144" w:type="dxa"/>
              <w:bottom w:w="0" w:type="dxa"/>
              <w:right w:w="0" w:type="dxa"/>
            </w:tcMar>
            <w:vAlign w:val="bottom"/>
          </w:tcPr>
          <w:p w:rsidR="00AB62FC" w:rsidRPr="00C14674" w:rsidRDefault="00AB62FC" w:rsidP="00AB62FC">
            <w:pPr>
              <w:tabs>
                <w:tab w:val="right" w:pos="1380"/>
                <w:tab w:val="decimal" w:pos="1420"/>
              </w:tabs>
              <w:spacing w:before="0" w:after="0"/>
              <w:rPr>
                <w:sz w:val="18"/>
                <w:szCs w:val="18"/>
              </w:rPr>
            </w:pPr>
          </w:p>
        </w:tc>
        <w:tc>
          <w:tcPr>
            <w:tcW w:w="1575" w:type="dxa"/>
            <w:tcMar>
              <w:top w:w="0" w:type="dxa"/>
              <w:left w:w="144" w:type="dxa"/>
              <w:bottom w:w="0" w:type="dxa"/>
              <w:right w:w="0" w:type="dxa"/>
            </w:tcMar>
            <w:vAlign w:val="bottom"/>
          </w:tcPr>
          <w:p w:rsidR="00AB62FC" w:rsidRPr="00C14674" w:rsidRDefault="00AB62FC" w:rsidP="00AB62FC">
            <w:pPr>
              <w:pBdr>
                <w:top w:val="double" w:sz="6" w:space="1" w:color="auto"/>
              </w:pBdr>
              <w:tabs>
                <w:tab w:val="right" w:pos="1380"/>
                <w:tab w:val="decimal" w:pos="1420"/>
              </w:tabs>
              <w:spacing w:before="0" w:after="0"/>
              <w:rPr>
                <w:sz w:val="18"/>
                <w:szCs w:val="18"/>
              </w:rPr>
            </w:pPr>
          </w:p>
        </w:tc>
        <w:tc>
          <w:tcPr>
            <w:tcW w:w="1853" w:type="dxa"/>
            <w:gridSpan w:val="2"/>
            <w:tcMar>
              <w:top w:w="0" w:type="dxa"/>
              <w:left w:w="144" w:type="dxa"/>
              <w:bottom w:w="0" w:type="dxa"/>
              <w:right w:w="0" w:type="dxa"/>
            </w:tcMar>
            <w:vAlign w:val="bottom"/>
          </w:tcPr>
          <w:p w:rsidR="00AB62FC" w:rsidRPr="00C14674" w:rsidRDefault="00AB62FC" w:rsidP="00AB62FC">
            <w:pPr>
              <w:pBdr>
                <w:top w:val="double" w:sz="6" w:space="1" w:color="auto"/>
              </w:pBdr>
              <w:tabs>
                <w:tab w:val="right" w:pos="1380"/>
                <w:tab w:val="decimal" w:pos="1420"/>
              </w:tabs>
              <w:spacing w:before="0" w:after="0"/>
              <w:rPr>
                <w:sz w:val="18"/>
                <w:szCs w:val="18"/>
              </w:rPr>
            </w:pPr>
          </w:p>
        </w:tc>
      </w:tr>
    </w:tbl>
    <w:p w:rsidR="003F0BC5" w:rsidRPr="00C14674" w:rsidRDefault="003F0BC5" w:rsidP="003F0BC5">
      <w:pPr>
        <w:rPr>
          <w:szCs w:val="20"/>
        </w:rPr>
      </w:pPr>
      <w:r w:rsidRPr="00C14674">
        <w:rPr>
          <w:szCs w:val="20"/>
        </w:rPr>
        <w:t>Total capital expenditure of the continuing operations in 2014 primarily relate to (i) the installation of 19 banana ripening rooms in Germany, (ii) banana and avocado ripening rooms and avocado</w:t>
      </w:r>
      <w:r w:rsidR="00732BB5" w:rsidRPr="00C14674">
        <w:rPr>
          <w:szCs w:val="20"/>
        </w:rPr>
        <w:t xml:space="preserve"> sorting line in T</w:t>
      </w:r>
      <w:r w:rsidRPr="00C14674">
        <w:rPr>
          <w:szCs w:val="20"/>
        </w:rPr>
        <w:t xml:space="preserve">he Netherlands, (iii) banana ripening installations and hardware infrastructure in the Czech Republic, (iv) </w:t>
      </w:r>
      <w:r w:rsidR="00703C66" w:rsidRPr="00C14674">
        <w:rPr>
          <w:szCs w:val="20"/>
        </w:rPr>
        <w:t>T</w:t>
      </w:r>
      <w:r w:rsidRPr="00C14674">
        <w:rPr>
          <w:szCs w:val="20"/>
        </w:rPr>
        <w:t>he reorganisation and refurbishment of the packing lines, new cooling system for the convenience department and relocation, and the acquisition of the Belgian endive business in Belgium (v) the installation of a packaging machine in combination with a cold storage building for the UK daffodil operations and (vi) renovation of office building in various locations. Additions of intangible assets predominantly comprise purchases of IT software, warehouse management and accounting information systems.</w:t>
      </w:r>
    </w:p>
    <w:p w:rsidR="003F0BC5" w:rsidRPr="00C14674" w:rsidRDefault="003F0BC5" w:rsidP="003F0BC5">
      <w:pPr>
        <w:rPr>
          <w:szCs w:val="20"/>
        </w:rPr>
      </w:pPr>
      <w:r w:rsidRPr="00C14674">
        <w:rPr>
          <w:szCs w:val="20"/>
        </w:rPr>
        <w:lastRenderedPageBreak/>
        <w:t xml:space="preserve">Lease rentals, amounting to </w:t>
      </w:r>
      <w:r w:rsidR="00E53641">
        <w:rPr>
          <w:szCs w:val="20"/>
        </w:rPr>
        <w:t>EUR </w:t>
      </w:r>
      <w:r w:rsidRPr="00C14674">
        <w:rPr>
          <w:szCs w:val="20"/>
        </w:rPr>
        <w:t xml:space="preserve">29,000,000 in 2014 compared to </w:t>
      </w:r>
      <w:r w:rsidR="00E53641">
        <w:rPr>
          <w:szCs w:val="20"/>
        </w:rPr>
        <w:t>EUR </w:t>
      </w:r>
      <w:r w:rsidRPr="00C14674">
        <w:rPr>
          <w:szCs w:val="20"/>
        </w:rPr>
        <w:t>25,000,000 in 2013, relate to the lease of various buildings, plant, machinery and equipment, and vehicles and are accounted in the income statement.</w:t>
      </w:r>
    </w:p>
    <w:p w:rsidR="003F0BC5" w:rsidRPr="00C14674" w:rsidRDefault="003F0BC5" w:rsidP="00353B80">
      <w:pPr>
        <w:pStyle w:val="Firm5L3"/>
        <w:keepNext/>
        <w:keepLines/>
      </w:pPr>
      <w:r w:rsidRPr="00C14674">
        <w:t>Recent events</w:t>
      </w:r>
    </w:p>
    <w:p w:rsidR="003F0BC5" w:rsidRPr="00C14674" w:rsidRDefault="003F0BC5" w:rsidP="00353B80">
      <w:pPr>
        <w:pStyle w:val="Firm5L4"/>
        <w:keepNext/>
        <w:keepLines/>
      </w:pPr>
      <w:r w:rsidRPr="00C14674">
        <w:t>Acquisitions</w:t>
      </w:r>
    </w:p>
    <w:p w:rsidR="003F0BC5" w:rsidRPr="00C14674" w:rsidRDefault="003F0BC5" w:rsidP="00E3281E">
      <w:pPr>
        <w:pStyle w:val="BulletsL1"/>
      </w:pPr>
      <w:r w:rsidRPr="00C14674">
        <w:t>Empire World Trade</w:t>
      </w:r>
    </w:p>
    <w:p w:rsidR="003F0BC5" w:rsidRPr="00C14674" w:rsidRDefault="003F0BC5" w:rsidP="00C56728">
      <w:pPr>
        <w:widowControl w:val="0"/>
        <w:autoSpaceDE w:val="0"/>
        <w:autoSpaceDN w:val="0"/>
        <w:adjustRightInd w:val="0"/>
        <w:ind w:left="720"/>
        <w:rPr>
          <w:szCs w:val="20"/>
        </w:rPr>
      </w:pPr>
      <w:r w:rsidRPr="00C14674">
        <w:rPr>
          <w:szCs w:val="20"/>
        </w:rPr>
        <w:t>In January 2014, the Univeg Group acquired all shares of Empire World Trade Group Ltd (</w:t>
      </w:r>
      <w:r w:rsidRPr="00C14674">
        <w:rPr>
          <w:b/>
          <w:i/>
          <w:szCs w:val="20"/>
        </w:rPr>
        <w:t>EWT</w:t>
      </w:r>
      <w:r w:rsidRPr="00C14674">
        <w:rPr>
          <w:szCs w:val="20"/>
        </w:rPr>
        <w:t xml:space="preserve">). The business reasons for this acquisition are in line with the Univeg Group’s continued strategic focus and development of the </w:t>
      </w:r>
      <w:smartTag w:uri="urn:schemas-microsoft-com:office:smarttags" w:element="country-region">
        <w:smartTag w:uri="urn:schemas-microsoft-com:office:smarttags" w:element="place">
          <w:r w:rsidRPr="00C14674">
            <w:rPr>
              <w:szCs w:val="20"/>
            </w:rPr>
            <w:t>UK</w:t>
          </w:r>
        </w:smartTag>
      </w:smartTag>
      <w:r w:rsidRPr="00C14674">
        <w:rPr>
          <w:szCs w:val="20"/>
        </w:rPr>
        <w:t xml:space="preserve"> market. Total consideration amounted to 1 British pound sterling resulting in an initial goodwill of </w:t>
      </w:r>
      <w:r w:rsidR="00E53641">
        <w:rPr>
          <w:szCs w:val="20"/>
        </w:rPr>
        <w:t>EUR </w:t>
      </w:r>
      <w:r w:rsidRPr="00C14674">
        <w:rPr>
          <w:szCs w:val="20"/>
        </w:rPr>
        <w:t>8,300,000. The related purchase price allocation was not yet finalised by 31 December 2014.</w:t>
      </w:r>
    </w:p>
    <w:p w:rsidR="003F0BC5" w:rsidRPr="00C14674" w:rsidRDefault="003F0BC5" w:rsidP="006E27F1">
      <w:pPr>
        <w:pStyle w:val="BulletsL1"/>
      </w:pPr>
      <w:r w:rsidRPr="00C14674">
        <w:t>Food and Agriculture Industries</w:t>
      </w:r>
    </w:p>
    <w:p w:rsidR="003F0BC5" w:rsidRPr="00C14674" w:rsidRDefault="003F0BC5" w:rsidP="00C56728">
      <w:pPr>
        <w:widowControl w:val="0"/>
        <w:autoSpaceDE w:val="0"/>
        <w:autoSpaceDN w:val="0"/>
        <w:adjustRightInd w:val="0"/>
        <w:ind w:left="720"/>
        <w:rPr>
          <w:szCs w:val="20"/>
        </w:rPr>
      </w:pPr>
      <w:r w:rsidRPr="00C14674">
        <w:rPr>
          <w:szCs w:val="20"/>
        </w:rPr>
        <w:t xml:space="preserve">As part of a privatisation process of the banana growing industry and more specifically Stichting Behoud Bananen Sector, the </w:t>
      </w:r>
      <w:smartTag w:uri="urn:schemas-microsoft-com:office:smarttags" w:element="place">
        <w:smartTag w:uri="urn:schemas-microsoft-com:office:smarttags" w:element="PlaceType">
          <w:r w:rsidRPr="00C14674">
            <w:rPr>
              <w:szCs w:val="20"/>
            </w:rPr>
            <w:t>Republic</w:t>
          </w:r>
        </w:smartTag>
        <w:r w:rsidRPr="00C14674">
          <w:rPr>
            <w:szCs w:val="20"/>
          </w:rPr>
          <w:t xml:space="preserve"> of </w:t>
        </w:r>
        <w:smartTag w:uri="urn:schemas-microsoft-com:office:smarttags" w:element="PlaceName">
          <w:r w:rsidRPr="00C14674">
            <w:rPr>
              <w:szCs w:val="20"/>
            </w:rPr>
            <w:t>Suriname</w:t>
          </w:r>
        </w:smartTag>
      </w:smartTag>
      <w:r w:rsidRPr="00C14674">
        <w:rPr>
          <w:szCs w:val="20"/>
        </w:rPr>
        <w:t xml:space="preserve"> and the Univeg Group entered into a sale and purchase agreement in respect of the 90% of total shares of Fo</w:t>
      </w:r>
      <w:r w:rsidR="00A07615" w:rsidRPr="00C14674">
        <w:rPr>
          <w:szCs w:val="20"/>
        </w:rPr>
        <w:t>od and Agriculture Industries NV</w:t>
      </w:r>
      <w:r w:rsidRPr="00C14674">
        <w:rPr>
          <w:szCs w:val="20"/>
        </w:rPr>
        <w:t xml:space="preserve"> (</w:t>
      </w:r>
      <w:r w:rsidRPr="00C14674">
        <w:rPr>
          <w:b/>
          <w:i/>
          <w:szCs w:val="20"/>
        </w:rPr>
        <w:t>FAI</w:t>
      </w:r>
      <w:r w:rsidRPr="00C14674">
        <w:rPr>
          <w:szCs w:val="20"/>
        </w:rPr>
        <w:t xml:space="preserve">). In early January 2014, FAI was incorporated following a contribution in kind by Stichting Behoud Bananen Sector and the </w:t>
      </w:r>
      <w:smartTag w:uri="urn:schemas-microsoft-com:office:smarttags" w:element="place">
        <w:smartTag w:uri="urn:schemas-microsoft-com:office:smarttags" w:element="PlaceType">
          <w:r w:rsidRPr="00C14674">
            <w:rPr>
              <w:szCs w:val="20"/>
            </w:rPr>
            <w:t>Republic</w:t>
          </w:r>
        </w:smartTag>
        <w:r w:rsidRPr="00C14674">
          <w:rPr>
            <w:szCs w:val="20"/>
          </w:rPr>
          <w:t xml:space="preserve"> of </w:t>
        </w:r>
        <w:smartTag w:uri="urn:schemas-microsoft-com:office:smarttags" w:element="PlaceName">
          <w:r w:rsidRPr="00C14674">
            <w:rPr>
              <w:szCs w:val="20"/>
            </w:rPr>
            <w:t>Suriname</w:t>
          </w:r>
        </w:smartTag>
      </w:smartTag>
      <w:r w:rsidRPr="00C14674">
        <w:rPr>
          <w:szCs w:val="20"/>
        </w:rPr>
        <w:t>, through Su</w:t>
      </w:r>
      <w:r w:rsidR="00A07615" w:rsidRPr="00C14674">
        <w:rPr>
          <w:szCs w:val="20"/>
        </w:rPr>
        <w:t>rinaamse Landbouwbedrijven N</w:t>
      </w:r>
      <w:r w:rsidR="00E34880" w:rsidRPr="00C14674">
        <w:rPr>
          <w:szCs w:val="20"/>
        </w:rPr>
        <w:t>V</w:t>
      </w:r>
      <w:r w:rsidRPr="00C14674">
        <w:rPr>
          <w:szCs w:val="20"/>
        </w:rPr>
        <w:t>. Subsequently, 10% and 80% of the shares of FAI respectively held by</w:t>
      </w:r>
      <w:r w:rsidR="00A07615" w:rsidRPr="00C14674">
        <w:rPr>
          <w:szCs w:val="20"/>
        </w:rPr>
        <w:t xml:space="preserve"> Surinaamse Landbouwbedrijven NV</w:t>
      </w:r>
      <w:r w:rsidRPr="00C14674">
        <w:rPr>
          <w:szCs w:val="20"/>
        </w:rPr>
        <w:t xml:space="preserve"> and Stichting Behoud Bananen Sector were acquired by the Univeg Group on 23 January 2014 for a consideration of USD 7,900,000. The </w:t>
      </w:r>
      <w:smartTag w:uri="urn:schemas-microsoft-com:office:smarttags" w:element="place">
        <w:smartTag w:uri="urn:schemas-microsoft-com:office:smarttags" w:element="PlaceType">
          <w:r w:rsidRPr="00C14674">
            <w:rPr>
              <w:szCs w:val="20"/>
            </w:rPr>
            <w:t>Republic</w:t>
          </w:r>
        </w:smartTag>
        <w:r w:rsidRPr="00C14674">
          <w:rPr>
            <w:szCs w:val="20"/>
          </w:rPr>
          <w:t xml:space="preserve"> of </w:t>
        </w:r>
        <w:smartTag w:uri="urn:schemas-microsoft-com:office:smarttags" w:element="PlaceName">
          <w:r w:rsidRPr="00C14674">
            <w:rPr>
              <w:szCs w:val="20"/>
            </w:rPr>
            <w:t>Suriname</w:t>
          </w:r>
        </w:smartTag>
      </w:smartTag>
      <w:r w:rsidRPr="00C14674">
        <w:rPr>
          <w:szCs w:val="20"/>
        </w:rPr>
        <w:t xml:space="preserve"> still holds 10% of total shares. As mentioned below, FAI was divested again in December 2014.</w:t>
      </w:r>
    </w:p>
    <w:p w:rsidR="003F0BC5" w:rsidRPr="00C14674" w:rsidRDefault="003F0BC5" w:rsidP="006E27F1">
      <w:pPr>
        <w:pStyle w:val="BulletsL1"/>
      </w:pPr>
      <w:r w:rsidRPr="00C14674">
        <w:t>Univeg Mahindra Joint Venture</w:t>
      </w:r>
    </w:p>
    <w:p w:rsidR="003F0BC5" w:rsidRPr="00C14674" w:rsidRDefault="003F0BC5" w:rsidP="00C56728">
      <w:pPr>
        <w:widowControl w:val="0"/>
        <w:autoSpaceDE w:val="0"/>
        <w:autoSpaceDN w:val="0"/>
        <w:adjustRightInd w:val="0"/>
        <w:ind w:left="720"/>
        <w:rPr>
          <w:szCs w:val="20"/>
        </w:rPr>
      </w:pPr>
      <w:r w:rsidRPr="00C14674">
        <w:rPr>
          <w:szCs w:val="20"/>
        </w:rPr>
        <w:t>In April 2014, Mahindra ShubhLabh Services Ltd. (subsidiary of Mahindra &amp; Mahindra Ltd.) part of the Mahindra group, signed a joint venture agreement with the Univeg Group. Mahindra ShubhLabh Services Ltd and the Un</w:t>
      </w:r>
      <w:r w:rsidR="003012B0" w:rsidRPr="00C14674">
        <w:rPr>
          <w:szCs w:val="20"/>
        </w:rPr>
        <w:t>iveg Group hold respectively 60% and 40</w:t>
      </w:r>
      <w:r w:rsidRPr="00C14674">
        <w:rPr>
          <w:szCs w:val="20"/>
        </w:rPr>
        <w:t>% in the equity of the newly incorporated joint venture UNIVEG Mahindra Private Ltd. UNIVEG Mahindra Private Ltd will focus on developing the fresh fruit supply chain to provide high quality fruits that meet the needs of both the domestic and international markets. Other than grapes UNIVEG Mahindra Private Ltd will focus on select key fruits.</w:t>
      </w:r>
    </w:p>
    <w:p w:rsidR="003F0BC5" w:rsidRPr="00C14674" w:rsidRDefault="003F0BC5" w:rsidP="006E27F1">
      <w:pPr>
        <w:pStyle w:val="BulletsL1"/>
      </w:pPr>
      <w:r w:rsidRPr="00C14674">
        <w:t>Herwi</w:t>
      </w:r>
    </w:p>
    <w:p w:rsidR="003F0BC5" w:rsidRPr="00C14674" w:rsidRDefault="003F0BC5" w:rsidP="00C56728">
      <w:pPr>
        <w:widowControl w:val="0"/>
        <w:autoSpaceDE w:val="0"/>
        <w:autoSpaceDN w:val="0"/>
        <w:adjustRightInd w:val="0"/>
        <w:ind w:left="720"/>
        <w:rPr>
          <w:szCs w:val="20"/>
        </w:rPr>
      </w:pPr>
      <w:r w:rsidRPr="00C14674">
        <w:rPr>
          <w:szCs w:val="20"/>
        </w:rPr>
        <w:t xml:space="preserve">A. Heremans – </w:t>
      </w:r>
      <w:smartTag w:uri="urn:schemas-microsoft-com:office:smarttags" w:element="City">
        <w:r w:rsidRPr="00C14674">
          <w:rPr>
            <w:szCs w:val="20"/>
          </w:rPr>
          <w:t>Aerts</w:t>
        </w:r>
      </w:smartTag>
      <w:r w:rsidRPr="00C14674">
        <w:rPr>
          <w:szCs w:val="20"/>
        </w:rPr>
        <w:t xml:space="preserve"> </w:t>
      </w:r>
      <w:smartTag w:uri="urn:schemas-microsoft-com:office:smarttags" w:element="State">
        <w:r w:rsidRPr="00C14674">
          <w:rPr>
            <w:szCs w:val="20"/>
          </w:rPr>
          <w:t>NV</w:t>
        </w:r>
      </w:smartTag>
      <w:r w:rsidRPr="00C14674">
        <w:rPr>
          <w:szCs w:val="20"/>
        </w:rPr>
        <w:t xml:space="preserve">, located in </w:t>
      </w:r>
      <w:smartTag w:uri="urn:schemas-microsoft-com:office:smarttags" w:element="country-region">
        <w:smartTag w:uri="urn:schemas-microsoft-com:office:smarttags" w:element="place">
          <w:r w:rsidRPr="00C14674">
            <w:rPr>
              <w:szCs w:val="20"/>
            </w:rPr>
            <w:t>Belgium</w:t>
          </w:r>
        </w:smartTag>
      </w:smartTag>
      <w:r w:rsidRPr="00C14674">
        <w:rPr>
          <w:szCs w:val="20"/>
        </w:rPr>
        <w:t xml:space="preserve">, operated a domestic and international distribution of Belgian endive. In September 2014, Univeg Belgium NV acquired the Belgian endive business from A. Heremans – </w:t>
      </w:r>
      <w:smartTag w:uri="urn:schemas-microsoft-com:office:smarttags" w:element="place">
        <w:smartTag w:uri="urn:schemas-microsoft-com:office:smarttags" w:element="City">
          <w:r w:rsidRPr="00C14674">
            <w:rPr>
              <w:szCs w:val="20"/>
            </w:rPr>
            <w:t>Aerts</w:t>
          </w:r>
        </w:smartTag>
        <w:r w:rsidRPr="00C14674">
          <w:rPr>
            <w:szCs w:val="20"/>
          </w:rPr>
          <w:t xml:space="preserve"> </w:t>
        </w:r>
        <w:smartTag w:uri="urn:schemas-microsoft-com:office:smarttags" w:element="State">
          <w:r w:rsidRPr="00C14674">
            <w:rPr>
              <w:szCs w:val="20"/>
            </w:rPr>
            <w:t>NV</w:t>
          </w:r>
        </w:smartTag>
      </w:smartTag>
      <w:r w:rsidRPr="00C14674">
        <w:rPr>
          <w:szCs w:val="20"/>
        </w:rPr>
        <w:t xml:space="preserve"> through an asset deal, which comprised some machinery and inventory associated with the endive business, and two </w:t>
      </w:r>
      <w:r w:rsidR="003601EC" w:rsidRPr="00C14674">
        <w:rPr>
          <w:szCs w:val="20"/>
        </w:rPr>
        <w:t>FTEs</w:t>
      </w:r>
      <w:r w:rsidRPr="00C14674">
        <w:rPr>
          <w:szCs w:val="20"/>
        </w:rPr>
        <w:t>.</w:t>
      </w:r>
    </w:p>
    <w:p w:rsidR="003F0BC5" w:rsidRPr="00C14674" w:rsidRDefault="003F0BC5" w:rsidP="00353B80">
      <w:pPr>
        <w:pStyle w:val="Firm5L4"/>
        <w:keepNext/>
      </w:pPr>
      <w:r w:rsidRPr="00C14674">
        <w:t>Disposals</w:t>
      </w:r>
    </w:p>
    <w:p w:rsidR="003F0BC5" w:rsidRPr="00C14674" w:rsidRDefault="003F0BC5" w:rsidP="006E27F1">
      <w:pPr>
        <w:pStyle w:val="BulletsL1"/>
      </w:pPr>
      <w:r w:rsidRPr="00C14674">
        <w:t>Greenex and Triangle Flowers</w:t>
      </w:r>
    </w:p>
    <w:p w:rsidR="003F0BC5" w:rsidRPr="00C14674" w:rsidRDefault="003F0BC5" w:rsidP="00C56728">
      <w:pPr>
        <w:widowControl w:val="0"/>
        <w:autoSpaceDE w:val="0"/>
        <w:autoSpaceDN w:val="0"/>
        <w:adjustRightInd w:val="0"/>
        <w:ind w:left="720"/>
        <w:rPr>
          <w:szCs w:val="20"/>
        </w:rPr>
      </w:pPr>
      <w:r w:rsidRPr="00C14674">
        <w:rPr>
          <w:szCs w:val="20"/>
        </w:rPr>
        <w:t>Early January 2013, the Univeg Group sold its 100% shareholding in Greenex B</w:t>
      </w:r>
      <w:r w:rsidR="003012B0" w:rsidRPr="00C14674">
        <w:rPr>
          <w:szCs w:val="20"/>
        </w:rPr>
        <w:t>.</w:t>
      </w:r>
      <w:r w:rsidRPr="00C14674">
        <w:rPr>
          <w:szCs w:val="20"/>
        </w:rPr>
        <w:t>V</w:t>
      </w:r>
      <w:r w:rsidR="003012B0" w:rsidRPr="00C14674">
        <w:rPr>
          <w:szCs w:val="20"/>
        </w:rPr>
        <w:t>.</w:t>
      </w:r>
      <w:r w:rsidRPr="00C14674">
        <w:rPr>
          <w:szCs w:val="20"/>
        </w:rPr>
        <w:t xml:space="preserve"> and Triangle Flowers B</w:t>
      </w:r>
      <w:r w:rsidR="003012B0" w:rsidRPr="00C14674">
        <w:rPr>
          <w:szCs w:val="20"/>
        </w:rPr>
        <w:t>.</w:t>
      </w:r>
      <w:r w:rsidRPr="00C14674">
        <w:rPr>
          <w:szCs w:val="20"/>
        </w:rPr>
        <w:t>V</w:t>
      </w:r>
      <w:r w:rsidR="003012B0" w:rsidRPr="00C14674">
        <w:rPr>
          <w:szCs w:val="20"/>
        </w:rPr>
        <w:t>.</w:t>
      </w:r>
      <w:r w:rsidRPr="00C14674">
        <w:rPr>
          <w:szCs w:val="20"/>
        </w:rPr>
        <w:t xml:space="preserve"> to the Dutch Flower Group </w:t>
      </w:r>
      <w:r w:rsidR="00A07615" w:rsidRPr="00C14674">
        <w:rPr>
          <w:szCs w:val="20"/>
        </w:rPr>
        <w:t xml:space="preserve">B.V. </w:t>
      </w:r>
      <w:r w:rsidRPr="00C14674">
        <w:rPr>
          <w:szCs w:val="20"/>
        </w:rPr>
        <w:t xml:space="preserve">The net proceeds from the transaction amounted to </w:t>
      </w:r>
      <w:r w:rsidR="00E53641">
        <w:rPr>
          <w:szCs w:val="20"/>
        </w:rPr>
        <w:t>EUR </w:t>
      </w:r>
      <w:r w:rsidRPr="00C14674">
        <w:rPr>
          <w:szCs w:val="20"/>
        </w:rPr>
        <w:t xml:space="preserve">4,700,000 (net of transaction costs). including a </w:t>
      </w:r>
      <w:r w:rsidR="00E53641">
        <w:rPr>
          <w:szCs w:val="20"/>
        </w:rPr>
        <w:t>EUR </w:t>
      </w:r>
      <w:r w:rsidRPr="00C14674">
        <w:rPr>
          <w:szCs w:val="20"/>
        </w:rPr>
        <w:t>2,400,000 commission on sales realised by Greenex B</w:t>
      </w:r>
      <w:r w:rsidR="003012B0" w:rsidRPr="00C14674">
        <w:rPr>
          <w:szCs w:val="20"/>
        </w:rPr>
        <w:t>.</w:t>
      </w:r>
      <w:r w:rsidRPr="00C14674">
        <w:rPr>
          <w:szCs w:val="20"/>
        </w:rPr>
        <w:t>V</w:t>
      </w:r>
      <w:r w:rsidR="003012B0" w:rsidRPr="00C14674">
        <w:rPr>
          <w:szCs w:val="20"/>
        </w:rPr>
        <w:t>.</w:t>
      </w:r>
      <w:r w:rsidRPr="00C14674">
        <w:rPr>
          <w:szCs w:val="20"/>
        </w:rPr>
        <w:t xml:space="preserve"> and Triangle Flowers B</w:t>
      </w:r>
      <w:r w:rsidR="003012B0" w:rsidRPr="00C14674">
        <w:rPr>
          <w:szCs w:val="20"/>
        </w:rPr>
        <w:t>.</w:t>
      </w:r>
      <w:r w:rsidRPr="00C14674">
        <w:rPr>
          <w:szCs w:val="20"/>
        </w:rPr>
        <w:t>V</w:t>
      </w:r>
      <w:r w:rsidR="003012B0" w:rsidRPr="00C14674">
        <w:rPr>
          <w:szCs w:val="20"/>
        </w:rPr>
        <w:t>.</w:t>
      </w:r>
      <w:r w:rsidRPr="00C14674">
        <w:rPr>
          <w:szCs w:val="20"/>
        </w:rPr>
        <w:t xml:space="preserve"> for the period 2013, 2014 and 2015.</w:t>
      </w:r>
    </w:p>
    <w:p w:rsidR="003F0BC5" w:rsidRPr="00C14674" w:rsidRDefault="003F0BC5" w:rsidP="006E27F1">
      <w:pPr>
        <w:pStyle w:val="BulletsL1"/>
      </w:pPr>
      <w:r w:rsidRPr="00C14674">
        <w:t xml:space="preserve">Univeg Logistics </w:t>
      </w:r>
      <w:smartTag w:uri="urn:schemas-microsoft-com:office:smarttags" w:element="country-region">
        <w:smartTag w:uri="urn:schemas-microsoft-com:office:smarttags" w:element="place">
          <w:r w:rsidRPr="00C14674">
            <w:t>Russia</w:t>
          </w:r>
        </w:smartTag>
      </w:smartTag>
    </w:p>
    <w:p w:rsidR="003F0BC5" w:rsidRPr="00C14674" w:rsidRDefault="003F0BC5" w:rsidP="00C56728">
      <w:pPr>
        <w:widowControl w:val="0"/>
        <w:autoSpaceDE w:val="0"/>
        <w:autoSpaceDN w:val="0"/>
        <w:adjustRightInd w:val="0"/>
        <w:ind w:left="720"/>
        <w:rPr>
          <w:szCs w:val="20"/>
        </w:rPr>
      </w:pPr>
      <w:r w:rsidRPr="00C14674">
        <w:rPr>
          <w:szCs w:val="20"/>
        </w:rPr>
        <w:t>In May 2013, the Univeg Group sold its 100% shareholding in Univeg Logistics LLP (</w:t>
      </w:r>
      <w:smartTag w:uri="urn:schemas-microsoft-com:office:smarttags" w:element="country-region">
        <w:smartTag w:uri="urn:schemas-microsoft-com:office:smarttags" w:element="place">
          <w:r w:rsidRPr="00C14674">
            <w:rPr>
              <w:szCs w:val="20"/>
            </w:rPr>
            <w:t>Russia</w:t>
          </w:r>
        </w:smartTag>
      </w:smartTag>
      <w:r w:rsidRPr="00C14674">
        <w:rPr>
          <w:szCs w:val="20"/>
        </w:rPr>
        <w:t xml:space="preserve">) to FM Logistics. The proceeds from the transaction (net of transaction costs and taxes) amounted to </w:t>
      </w:r>
      <w:r w:rsidR="00E53641">
        <w:rPr>
          <w:szCs w:val="20"/>
        </w:rPr>
        <w:t>EUR </w:t>
      </w:r>
      <w:r w:rsidRPr="00C14674">
        <w:rPr>
          <w:szCs w:val="20"/>
        </w:rPr>
        <w:t>36,200,000.</w:t>
      </w:r>
    </w:p>
    <w:p w:rsidR="003F0BC5" w:rsidRPr="00C14674" w:rsidRDefault="003F0BC5" w:rsidP="006E27F1">
      <w:pPr>
        <w:pStyle w:val="BulletsL1"/>
      </w:pPr>
      <w:r w:rsidRPr="00C14674">
        <w:t>Seald Sweet</w:t>
      </w:r>
    </w:p>
    <w:p w:rsidR="003F0BC5" w:rsidRPr="00C14674" w:rsidRDefault="003F0BC5" w:rsidP="00C56728">
      <w:pPr>
        <w:widowControl w:val="0"/>
        <w:autoSpaceDE w:val="0"/>
        <w:autoSpaceDN w:val="0"/>
        <w:adjustRightInd w:val="0"/>
        <w:ind w:left="720"/>
        <w:rPr>
          <w:szCs w:val="20"/>
        </w:rPr>
      </w:pPr>
      <w:r w:rsidRPr="00C14674">
        <w:rPr>
          <w:szCs w:val="20"/>
        </w:rPr>
        <w:t xml:space="preserve">In May 2013, the Univeg Group closed its subsidiary Seald Sweet West International, in which it held a 80.31% shareholding. A loss of </w:t>
      </w:r>
      <w:r w:rsidR="00E53641">
        <w:rPr>
          <w:szCs w:val="20"/>
        </w:rPr>
        <w:t>EUR </w:t>
      </w:r>
      <w:r w:rsidRPr="00C14674">
        <w:rPr>
          <w:szCs w:val="20"/>
        </w:rPr>
        <w:t xml:space="preserve">700,000 was recorded as a result of the liquidation, yet avoiding a recurring yearly loss of </w:t>
      </w:r>
      <w:r w:rsidR="00E53641">
        <w:rPr>
          <w:szCs w:val="20"/>
        </w:rPr>
        <w:t>EUR </w:t>
      </w:r>
      <w:r w:rsidRPr="00C14674">
        <w:rPr>
          <w:szCs w:val="20"/>
        </w:rPr>
        <w:t>1,200,000.</w:t>
      </w:r>
    </w:p>
    <w:p w:rsidR="003F0BC5" w:rsidRPr="00C14674" w:rsidRDefault="003F0BC5" w:rsidP="006E27F1">
      <w:pPr>
        <w:pStyle w:val="BulletsL1"/>
      </w:pPr>
      <w:r w:rsidRPr="00C14674">
        <w:t xml:space="preserve">Project Fruit </w:t>
      </w:r>
      <w:smartTag w:uri="urn:schemas-microsoft-com:office:smarttags" w:element="country-region">
        <w:smartTag w:uri="urn:schemas-microsoft-com:office:smarttags" w:element="place">
          <w:r w:rsidRPr="00C14674">
            <w:t>Chile</w:t>
          </w:r>
        </w:smartTag>
      </w:smartTag>
    </w:p>
    <w:p w:rsidR="003F0BC5" w:rsidRPr="00C14674" w:rsidRDefault="003F0BC5" w:rsidP="00C56728">
      <w:pPr>
        <w:widowControl w:val="0"/>
        <w:autoSpaceDE w:val="0"/>
        <w:autoSpaceDN w:val="0"/>
        <w:adjustRightInd w:val="0"/>
        <w:ind w:left="720"/>
        <w:rPr>
          <w:szCs w:val="20"/>
        </w:rPr>
      </w:pPr>
      <w:r w:rsidRPr="00C14674">
        <w:rPr>
          <w:szCs w:val="20"/>
        </w:rPr>
        <w:t xml:space="preserve">In June 2013, the Univeg Group entered into a share purchase agreement with the minority shareholder of Project Fruit Chile to sell 75% of the Project Fruit Chile shares. After the transaction, the Univeg </w:t>
      </w:r>
      <w:r w:rsidRPr="00C14674">
        <w:rPr>
          <w:szCs w:val="20"/>
        </w:rPr>
        <w:lastRenderedPageBreak/>
        <w:t xml:space="preserve">Group holds a shareholding of 5% in Project Fruit Chile, supplemented by a marketing agreement. The net proceeds resulting from the sale amounted to </w:t>
      </w:r>
      <w:r w:rsidR="00E53641">
        <w:rPr>
          <w:szCs w:val="20"/>
        </w:rPr>
        <w:t>EUR </w:t>
      </w:r>
      <w:r w:rsidRPr="00C14674">
        <w:rPr>
          <w:szCs w:val="20"/>
        </w:rPr>
        <w:t>2,800,000.</w:t>
      </w:r>
    </w:p>
    <w:p w:rsidR="003F0BC5" w:rsidRPr="00C14674" w:rsidRDefault="003F0BC5" w:rsidP="006E27F1">
      <w:pPr>
        <w:pStyle w:val="BulletsL1"/>
      </w:pPr>
      <w:r w:rsidRPr="00C14674">
        <w:t>European Food Transport</w:t>
      </w:r>
    </w:p>
    <w:p w:rsidR="003F0BC5" w:rsidRPr="00C14674" w:rsidRDefault="003F0BC5" w:rsidP="00C56728">
      <w:pPr>
        <w:widowControl w:val="0"/>
        <w:autoSpaceDE w:val="0"/>
        <w:autoSpaceDN w:val="0"/>
        <w:adjustRightInd w:val="0"/>
        <w:ind w:left="720"/>
        <w:rPr>
          <w:szCs w:val="20"/>
        </w:rPr>
      </w:pPr>
      <w:r w:rsidRPr="00C14674">
        <w:rPr>
          <w:szCs w:val="20"/>
        </w:rPr>
        <w:t>In March 2014, Bakker Logistiek Holding B</w:t>
      </w:r>
      <w:r w:rsidR="003012B0" w:rsidRPr="00C14674">
        <w:rPr>
          <w:szCs w:val="20"/>
        </w:rPr>
        <w:t>.</w:t>
      </w:r>
      <w:r w:rsidRPr="00C14674">
        <w:rPr>
          <w:szCs w:val="20"/>
        </w:rPr>
        <w:t>V</w:t>
      </w:r>
      <w:r w:rsidR="003012B0" w:rsidRPr="00C14674">
        <w:rPr>
          <w:szCs w:val="20"/>
        </w:rPr>
        <w:t>.</w:t>
      </w:r>
      <w:r w:rsidRPr="00C14674">
        <w:rPr>
          <w:szCs w:val="20"/>
        </w:rPr>
        <w:t xml:space="preserve">, through a Belgian subsidiary, a third party, acquired over 70% of all transport activities of European Food Transport NV (currently Fresh Transport NV), the Univeg Group’s transport company in Belgium. The divested activities </w:t>
      </w:r>
      <w:r w:rsidR="00FD6C8D" w:rsidRPr="00C14674">
        <w:rPr>
          <w:szCs w:val="20"/>
        </w:rPr>
        <w:t>relate</w:t>
      </w:r>
      <w:r w:rsidRPr="00C14674">
        <w:rPr>
          <w:szCs w:val="20"/>
        </w:rPr>
        <w:t xml:space="preserve"> to fragmented third party customers in multiple locations which do not add value to the overall group strategy and diverts the focus from servicing the Fruit &amp; Vegetables segment. The remaining business has been maintained and further integrated.</w:t>
      </w:r>
    </w:p>
    <w:p w:rsidR="003F0BC5" w:rsidRPr="00C14674" w:rsidRDefault="0083762C" w:rsidP="0083762C">
      <w:pPr>
        <w:pStyle w:val="BulletsL1"/>
      </w:pPr>
      <w:r w:rsidRPr="0083762C">
        <w:t>The Fruit Farm Group</w:t>
      </w:r>
    </w:p>
    <w:p w:rsidR="003F0BC5" w:rsidRPr="00C14674" w:rsidRDefault="003F0BC5" w:rsidP="00C56728">
      <w:pPr>
        <w:widowControl w:val="0"/>
        <w:autoSpaceDE w:val="0"/>
        <w:autoSpaceDN w:val="0"/>
        <w:adjustRightInd w:val="0"/>
        <w:ind w:left="720"/>
        <w:rPr>
          <w:szCs w:val="20"/>
        </w:rPr>
      </w:pPr>
      <w:r w:rsidRPr="00C14674">
        <w:rPr>
          <w:szCs w:val="20"/>
        </w:rPr>
        <w:t>In order to align the financing needs of its strategic growing operations in Turkey, South Africa, Costa Rica, Suriname, Uruguay and Brazil, and to reduce the overall debt position of the Univeg Group and emphasise the ‘on the farm approach’ of these growing operations, the Univeg Group decided to carve these operations out in the last quarter of the financial year. In December 2014, Univeg Fruitpartners B</w:t>
      </w:r>
      <w:r w:rsidR="003012B0" w:rsidRPr="00C14674">
        <w:rPr>
          <w:szCs w:val="20"/>
        </w:rPr>
        <w:t>.</w:t>
      </w:r>
      <w:r w:rsidRPr="00C14674">
        <w:rPr>
          <w:szCs w:val="20"/>
        </w:rPr>
        <w:t>V</w:t>
      </w:r>
      <w:r w:rsidR="003012B0" w:rsidRPr="00C14674">
        <w:rPr>
          <w:szCs w:val="20"/>
        </w:rPr>
        <w:t>.</w:t>
      </w:r>
      <w:r w:rsidRPr="00C14674">
        <w:rPr>
          <w:szCs w:val="20"/>
        </w:rPr>
        <w:t>, a subsidiary the Univeg Group and the holding parent of, amongst others, this combination, was split through a legal demerger, as a result of which part of the shareholdings in the six growing operations were transferred to a newly established company, Global Farms B</w:t>
      </w:r>
      <w:r w:rsidR="003012B0" w:rsidRPr="00C14674">
        <w:rPr>
          <w:szCs w:val="20"/>
        </w:rPr>
        <w:t>.</w:t>
      </w:r>
      <w:r w:rsidRPr="00C14674">
        <w:rPr>
          <w:szCs w:val="20"/>
        </w:rPr>
        <w:t>V. Subsequently, the shares of Global Farms B</w:t>
      </w:r>
      <w:r w:rsidR="003012B0" w:rsidRPr="00C14674">
        <w:rPr>
          <w:szCs w:val="20"/>
        </w:rPr>
        <w:t>.</w:t>
      </w:r>
      <w:r w:rsidRPr="00C14674">
        <w:rPr>
          <w:szCs w:val="20"/>
        </w:rPr>
        <w:t>V</w:t>
      </w:r>
      <w:r w:rsidR="003012B0" w:rsidRPr="00C14674">
        <w:rPr>
          <w:szCs w:val="20"/>
        </w:rPr>
        <w:t>.</w:t>
      </w:r>
      <w:r w:rsidR="0083762C">
        <w:rPr>
          <w:szCs w:val="20"/>
        </w:rPr>
        <w:t xml:space="preserve"> </w:t>
      </w:r>
      <w:r w:rsidRPr="00C14674">
        <w:rPr>
          <w:szCs w:val="20"/>
        </w:rPr>
        <w:t xml:space="preserve">were divested to The Fruit Farm Group, a related party. The legal operational entities involved are Univeg South Africa Holdings (Pty) Ltd, Bassan Packers (Pty) Ltd, Politsi Fruit Packers (Pty) Ltd, Katope Natal (Pty) Ltd, Mopani Fruit Packer (Pty) Ltd, Univeg Operations South Africa (Pty) Ltd, Univeg Management South Africa (Pty) Ltd, Expofrut Brasil Importadora e Exportadora Ltda, Monte La Providencia SA, Forbel SA, Represa del Chingolo SA, Alara Tarim Urünleri Sanayi Ve Ticaret Anonim Sirketi, Sakura Tarim Urünleri Sanayi Ve Ticaret Anonim Sirketi and FAI. The considered enterprise and equity value amounted to </w:t>
      </w:r>
      <w:r w:rsidR="00E53641">
        <w:rPr>
          <w:szCs w:val="20"/>
        </w:rPr>
        <w:t>EUR </w:t>
      </w:r>
      <w:r w:rsidRPr="00C14674">
        <w:rPr>
          <w:szCs w:val="20"/>
        </w:rPr>
        <w:t>102</w:t>
      </w:r>
      <w:r w:rsidR="00FD6C8D" w:rsidRPr="00C14674">
        <w:rPr>
          <w:szCs w:val="20"/>
        </w:rPr>
        <w:t>,</w:t>
      </w:r>
      <w:r w:rsidRPr="00C14674">
        <w:rPr>
          <w:szCs w:val="20"/>
        </w:rPr>
        <w:t>6</w:t>
      </w:r>
      <w:r w:rsidR="00FD6C8D" w:rsidRPr="00C14674">
        <w:rPr>
          <w:szCs w:val="20"/>
        </w:rPr>
        <w:t>00,000</w:t>
      </w:r>
      <w:r w:rsidRPr="00C14674">
        <w:rPr>
          <w:szCs w:val="20"/>
        </w:rPr>
        <w:t xml:space="preserve"> and </w:t>
      </w:r>
      <w:r w:rsidR="00E53641">
        <w:rPr>
          <w:szCs w:val="20"/>
        </w:rPr>
        <w:t>EUR </w:t>
      </w:r>
      <w:r w:rsidRPr="00C14674">
        <w:rPr>
          <w:szCs w:val="20"/>
        </w:rPr>
        <w:t xml:space="preserve">80,000,000 respectively. The underlying valuation is supported by a fairness opinion issued by a qualified investment bank in line with the terms and conditions of the Univeg Group financing framework. The Univeg Group will continue to benefit from supply from The Fruit Farm Group through a </w:t>
      </w:r>
      <w:smartTag w:uri="urn:schemas-microsoft-com:office:smarttags" w:element="City">
        <w:smartTag w:uri="urn:schemas-microsoft-com:office:smarttags" w:element="place">
          <w:r w:rsidRPr="00C14674">
            <w:rPr>
              <w:szCs w:val="20"/>
            </w:rPr>
            <w:t>Sale</w:t>
          </w:r>
        </w:smartTag>
      </w:smartTag>
      <w:r w:rsidRPr="00C14674">
        <w:rPr>
          <w:szCs w:val="20"/>
        </w:rPr>
        <w:t>, Marketing and Distribution agreement going forward. See also Part VIII (</w:t>
      </w:r>
      <w:r w:rsidRPr="00C14674">
        <w:rPr>
          <w:i/>
          <w:szCs w:val="20"/>
        </w:rPr>
        <w:t>Related Party Transactions</w:t>
      </w:r>
      <w:r w:rsidRPr="00C14674">
        <w:rPr>
          <w:szCs w:val="20"/>
        </w:rPr>
        <w:t>).</w:t>
      </w:r>
    </w:p>
    <w:p w:rsidR="003F0BC5" w:rsidRPr="00C14674" w:rsidRDefault="003F0BC5" w:rsidP="006E27F1">
      <w:pPr>
        <w:pStyle w:val="BulletsL1"/>
      </w:pPr>
      <w:smartTag w:uri="urn:schemas-microsoft-com:office:smarttags" w:element="City">
        <w:smartTag w:uri="urn:schemas-microsoft-com:office:smarttags" w:element="place">
          <w:r w:rsidRPr="00C14674">
            <w:t>Lincolnshire</w:t>
          </w:r>
        </w:smartTag>
      </w:smartTag>
      <w:r w:rsidRPr="00C14674">
        <w:t xml:space="preserve"> flower operations</w:t>
      </w:r>
    </w:p>
    <w:p w:rsidR="003F0BC5" w:rsidRPr="00C14674" w:rsidRDefault="003F0BC5" w:rsidP="00C56728">
      <w:pPr>
        <w:widowControl w:val="0"/>
        <w:autoSpaceDE w:val="0"/>
        <w:autoSpaceDN w:val="0"/>
        <w:adjustRightInd w:val="0"/>
        <w:ind w:left="720"/>
        <w:rPr>
          <w:szCs w:val="20"/>
        </w:rPr>
      </w:pPr>
      <w:r w:rsidRPr="00C14674">
        <w:rPr>
          <w:szCs w:val="20"/>
        </w:rPr>
        <w:t xml:space="preserve">The Univeg Group’s </w:t>
      </w:r>
      <w:smartTag w:uri="urn:schemas-microsoft-com:office:smarttags" w:element="country-region">
        <w:r w:rsidRPr="00C14674">
          <w:rPr>
            <w:szCs w:val="20"/>
          </w:rPr>
          <w:t>UK</w:t>
        </w:r>
      </w:smartTag>
      <w:r w:rsidRPr="00C14674">
        <w:rPr>
          <w:szCs w:val="20"/>
        </w:rPr>
        <w:t xml:space="preserve"> flower operations comprise two activities; (i) daffodil production business, located in </w:t>
      </w:r>
      <w:smartTag w:uri="urn:schemas-microsoft-com:office:smarttags" w:element="City">
        <w:r w:rsidRPr="00C14674">
          <w:rPr>
            <w:szCs w:val="20"/>
          </w:rPr>
          <w:t>Cornwall</w:t>
        </w:r>
      </w:smartTag>
      <w:r w:rsidRPr="00C14674">
        <w:rPr>
          <w:szCs w:val="20"/>
        </w:rPr>
        <w:t xml:space="preserve">, and (ii) seasonal growing of flowers, located in </w:t>
      </w:r>
      <w:smartTag w:uri="urn:schemas-microsoft-com:office:smarttags" w:element="City">
        <w:smartTag w:uri="urn:schemas-microsoft-com:office:smarttags" w:element="place">
          <w:r w:rsidRPr="00C14674">
            <w:rPr>
              <w:szCs w:val="20"/>
            </w:rPr>
            <w:t>Lincolnshire</w:t>
          </w:r>
        </w:smartTag>
      </w:smartTag>
      <w:r w:rsidRPr="00C14674">
        <w:rPr>
          <w:szCs w:val="20"/>
        </w:rPr>
        <w:t xml:space="preserve">. The weak performance of the </w:t>
      </w:r>
      <w:smartTag w:uri="urn:schemas-microsoft-com:office:smarttags" w:element="City">
        <w:smartTag w:uri="urn:schemas-microsoft-com:office:smarttags" w:element="place">
          <w:r w:rsidRPr="00C14674">
            <w:rPr>
              <w:szCs w:val="20"/>
            </w:rPr>
            <w:t>Lincolnshire</w:t>
          </w:r>
        </w:smartTag>
      </w:smartTag>
      <w:r w:rsidRPr="00C14674">
        <w:rPr>
          <w:szCs w:val="20"/>
        </w:rPr>
        <w:t xml:space="preserve"> flower operations of Winchester Growers Ltd initially led to the dismissal of the management in March 2014. The Univeg Group decided in the last quarter of 2014 to hive down and sell the </w:t>
      </w:r>
      <w:smartTag w:uri="urn:schemas-microsoft-com:office:smarttags" w:element="City">
        <w:smartTag w:uri="urn:schemas-microsoft-com:office:smarttags" w:element="place">
          <w:r w:rsidRPr="00C14674">
            <w:rPr>
              <w:szCs w:val="20"/>
            </w:rPr>
            <w:t>Lincolnshire</w:t>
          </w:r>
        </w:smartTag>
      </w:smartTag>
      <w:r w:rsidRPr="00C14674">
        <w:rPr>
          <w:szCs w:val="20"/>
        </w:rPr>
        <w:t xml:space="preserve"> activities to a related party in December 2014. As part of the agreement, Winchester Growers Ltd will be supplying raw materials (other than daffodils) to LincsFlora Ltd. Th</w:t>
      </w:r>
      <w:r w:rsidR="00FD6C8D" w:rsidRPr="00C14674">
        <w:rPr>
          <w:szCs w:val="20"/>
        </w:rPr>
        <w:t>e business activities of th</w:t>
      </w:r>
      <w:r w:rsidRPr="00C14674">
        <w:rPr>
          <w:szCs w:val="20"/>
        </w:rPr>
        <w:t xml:space="preserve">is entity </w:t>
      </w:r>
      <w:r w:rsidR="00FD6C8D" w:rsidRPr="00C14674">
        <w:rPr>
          <w:szCs w:val="20"/>
        </w:rPr>
        <w:t>have</w:t>
      </w:r>
      <w:r w:rsidRPr="00C14674">
        <w:rPr>
          <w:szCs w:val="20"/>
        </w:rPr>
        <w:t xml:space="preserve"> been wound down </w:t>
      </w:r>
      <w:r w:rsidR="00FD6C8D" w:rsidRPr="00C14674">
        <w:rPr>
          <w:szCs w:val="20"/>
        </w:rPr>
        <w:t>in May 2015. [</w:t>
      </w:r>
      <w:r w:rsidR="007B3512" w:rsidRPr="007B3512">
        <w:rPr>
          <w:b/>
          <w:i/>
          <w:szCs w:val="20"/>
        </w:rPr>
        <w:t>Note</w:t>
      </w:r>
      <w:r w:rsidR="007B3512">
        <w:rPr>
          <w:szCs w:val="20"/>
        </w:rPr>
        <w:t xml:space="preserve">: </w:t>
      </w:r>
      <w:r w:rsidR="00FD6C8D" w:rsidRPr="00C14674">
        <w:rPr>
          <w:b/>
          <w:i/>
          <w:szCs w:val="20"/>
        </w:rPr>
        <w:t xml:space="preserve">To </w:t>
      </w:r>
      <w:r w:rsidR="007B3512">
        <w:rPr>
          <w:b/>
          <w:i/>
          <w:szCs w:val="20"/>
        </w:rPr>
        <w:t>be confirmed</w:t>
      </w:r>
      <w:r w:rsidR="00FD6C8D" w:rsidRPr="00C14674">
        <w:rPr>
          <w:szCs w:val="20"/>
        </w:rPr>
        <w:t>]</w:t>
      </w:r>
    </w:p>
    <w:p w:rsidR="003F0BC5" w:rsidRPr="00C14674" w:rsidRDefault="003F0BC5" w:rsidP="006E27F1">
      <w:pPr>
        <w:pStyle w:val="BulletsL1"/>
      </w:pPr>
      <w:r w:rsidRPr="00C14674">
        <w:t xml:space="preserve">Katopé </w:t>
      </w:r>
      <w:smartTag w:uri="urn:schemas-microsoft-com:office:smarttags" w:element="country-region">
        <w:smartTag w:uri="urn:schemas-microsoft-com:office:smarttags" w:element="place">
          <w:r w:rsidRPr="00C14674">
            <w:t>Peru</w:t>
          </w:r>
        </w:smartTag>
      </w:smartTag>
    </w:p>
    <w:p w:rsidR="003F0BC5" w:rsidRPr="00C14674" w:rsidRDefault="003F0BC5" w:rsidP="00C56728">
      <w:pPr>
        <w:widowControl w:val="0"/>
        <w:autoSpaceDE w:val="0"/>
        <w:autoSpaceDN w:val="0"/>
        <w:adjustRightInd w:val="0"/>
        <w:ind w:left="720"/>
        <w:rPr>
          <w:szCs w:val="20"/>
        </w:rPr>
      </w:pPr>
      <w:r w:rsidRPr="00C14674">
        <w:rPr>
          <w:szCs w:val="20"/>
        </w:rPr>
        <w:t>The Univeg Group decided to close down the operations of Univeg Katopé Peru SAC, because of the loss making sourcing activities. All assets of this company will be transferred to Univeg Fruitpartners B</w:t>
      </w:r>
      <w:r w:rsidR="003012B0" w:rsidRPr="00C14674">
        <w:rPr>
          <w:szCs w:val="20"/>
        </w:rPr>
        <w:t>.</w:t>
      </w:r>
      <w:r w:rsidRPr="00C14674">
        <w:rPr>
          <w:szCs w:val="20"/>
        </w:rPr>
        <w:t>V</w:t>
      </w:r>
      <w:r w:rsidR="003012B0" w:rsidRPr="00C14674">
        <w:rPr>
          <w:szCs w:val="20"/>
        </w:rPr>
        <w:t>.</w:t>
      </w:r>
      <w:r w:rsidRPr="00C14674">
        <w:rPr>
          <w:szCs w:val="20"/>
        </w:rPr>
        <w:t>, a subsidiary of the Univeg Group.</w:t>
      </w:r>
    </w:p>
    <w:p w:rsidR="003F0BC5" w:rsidRPr="00C14674" w:rsidRDefault="00AD2433" w:rsidP="00353B80">
      <w:pPr>
        <w:pStyle w:val="Firm5L4"/>
        <w:keepNext/>
      </w:pPr>
      <w:r w:rsidRPr="00C14674">
        <w:t>Syndicated Factoring Agreement</w:t>
      </w:r>
    </w:p>
    <w:p w:rsidR="003F0BC5" w:rsidRPr="00C14674" w:rsidRDefault="003F0BC5" w:rsidP="003F0BC5">
      <w:pPr>
        <w:rPr>
          <w:i/>
          <w:szCs w:val="20"/>
        </w:rPr>
      </w:pPr>
      <w:r w:rsidRPr="00C14674">
        <w:rPr>
          <w:szCs w:val="20"/>
        </w:rPr>
        <w:t xml:space="preserve">In December 2014, the Univeg Group has successfully syndicated </w:t>
      </w:r>
      <w:r w:rsidR="00AD2433" w:rsidRPr="00C14674">
        <w:rPr>
          <w:szCs w:val="20"/>
        </w:rPr>
        <w:t xml:space="preserve">the Syndicated Factoring Agreement, </w:t>
      </w:r>
      <w:r w:rsidRPr="00C14674">
        <w:rPr>
          <w:szCs w:val="20"/>
        </w:rPr>
        <w:t xml:space="preserve">a pan-European off-balance factoring program encompassing five jurisdictions for a program size of </w:t>
      </w:r>
      <w:r w:rsidR="00E53641">
        <w:rPr>
          <w:szCs w:val="20"/>
        </w:rPr>
        <w:t>EUR </w:t>
      </w:r>
      <w:r w:rsidRPr="00C14674">
        <w:rPr>
          <w:szCs w:val="20"/>
        </w:rPr>
        <w:t>350,000,000 and a time horizon of four years. The syndication was provided by a pool of leading Belgian commercial finance companies. The program allows for off-balance treatment and is qualified as non-recourse by the Univeg Group’s auditor in accordance with IFRS. This transaction will lead to further optimisation of the Univeg Group’s funding cost and secures financing for a four year period.</w:t>
      </w:r>
      <w:r w:rsidR="00AD2433" w:rsidRPr="00C14674">
        <w:rPr>
          <w:szCs w:val="20"/>
        </w:rPr>
        <w:t xml:space="preserve"> See also Section 8.2.1 of Part V (</w:t>
      </w:r>
      <w:r w:rsidR="00AD2433" w:rsidRPr="00C14674">
        <w:rPr>
          <w:i/>
          <w:szCs w:val="20"/>
        </w:rPr>
        <w:t>Information about the Combined Greenyard Foods Group upon completion of the Contributions</w:t>
      </w:r>
      <w:r w:rsidR="00AD2433" w:rsidRPr="00C14674">
        <w:rPr>
          <w:szCs w:val="20"/>
        </w:rPr>
        <w:t>)</w:t>
      </w:r>
      <w:r w:rsidR="004E7AC7" w:rsidRPr="00C14674">
        <w:rPr>
          <w:szCs w:val="20"/>
        </w:rPr>
        <w:t>.</w:t>
      </w:r>
    </w:p>
    <w:p w:rsidR="003F0BC5" w:rsidRPr="00C14674" w:rsidRDefault="003F0BC5" w:rsidP="00353B80">
      <w:pPr>
        <w:pStyle w:val="Firm5L4"/>
        <w:keepNext/>
      </w:pPr>
      <w:r w:rsidRPr="00C14674">
        <w:t>Project Roots</w:t>
      </w:r>
    </w:p>
    <w:p w:rsidR="003F0BC5" w:rsidRPr="00C14674" w:rsidRDefault="003F0BC5" w:rsidP="003F0BC5">
      <w:pPr>
        <w:rPr>
          <w:szCs w:val="20"/>
        </w:rPr>
      </w:pPr>
      <w:r w:rsidRPr="00C14674">
        <w:rPr>
          <w:szCs w:val="20"/>
        </w:rPr>
        <w:t xml:space="preserve">The Univeg Group’s results were negatively affected by the presence of EHEC bacteria in certain produce sold in Germany in May 2011 and adverse weather conditions (which resulted in a severe decline in consumption levels particularly in Germany, the Univeg Group’s largest market and by rising rental and labour costs. Also, </w:t>
      </w:r>
      <w:r w:rsidRPr="00C14674">
        <w:rPr>
          <w:szCs w:val="20"/>
        </w:rPr>
        <w:lastRenderedPageBreak/>
        <w:t xml:space="preserve">its results were affected by the poor performance of certain of its growing operations (predominantly in </w:t>
      </w:r>
      <w:smartTag w:uri="urn:schemas-microsoft-com:office:smarttags" w:element="country-region">
        <w:smartTag w:uri="urn:schemas-microsoft-com:office:smarttags" w:element="place">
          <w:r w:rsidRPr="00C14674">
            <w:rPr>
              <w:szCs w:val="20"/>
            </w:rPr>
            <w:t>Argentina</w:t>
          </w:r>
        </w:smartTag>
      </w:smartTag>
      <w:r w:rsidRPr="00C14674">
        <w:rPr>
          <w:szCs w:val="20"/>
        </w:rPr>
        <w:t>) and in the prepared meals businesses.</w:t>
      </w:r>
    </w:p>
    <w:p w:rsidR="003F0BC5" w:rsidRPr="00C14674" w:rsidRDefault="003F0BC5" w:rsidP="003F0BC5">
      <w:pPr>
        <w:rPr>
          <w:szCs w:val="20"/>
        </w:rPr>
      </w:pPr>
      <w:r w:rsidRPr="00C14674">
        <w:rPr>
          <w:szCs w:val="20"/>
        </w:rPr>
        <w:t xml:space="preserve">In November 2011 the Univeg Group devised and began implementing Project Roots, a </w:t>
      </w:r>
      <w:r w:rsidR="001C63A3" w:rsidRPr="00C14674">
        <w:rPr>
          <w:szCs w:val="20"/>
        </w:rPr>
        <w:t>reorganisation</w:t>
      </w:r>
      <w:r w:rsidRPr="00C14674">
        <w:rPr>
          <w:szCs w:val="20"/>
        </w:rPr>
        <w:t xml:space="preserve"> plan the ultimate purpose of which was to accelerate recovery and prepare the Univeg Group for future growth (</w:t>
      </w:r>
      <w:r w:rsidRPr="00C14674">
        <w:rPr>
          <w:b/>
          <w:i/>
          <w:szCs w:val="20"/>
        </w:rPr>
        <w:t>Project Roots</w:t>
      </w:r>
      <w:r w:rsidRPr="00C14674">
        <w:rPr>
          <w:szCs w:val="20"/>
        </w:rPr>
        <w:t>). To this end, the Univeg Group took the following steps:</w:t>
      </w:r>
    </w:p>
    <w:p w:rsidR="003F0BC5" w:rsidRPr="00C14674" w:rsidRDefault="003F0BC5" w:rsidP="006E27F1">
      <w:pPr>
        <w:pStyle w:val="BulletsL1"/>
      </w:pPr>
      <w:r w:rsidRPr="00C14674">
        <w:t>focusing on continuing to invest in the core business of trading fruit and vegetables, including the introduction of the Fruit Partners business model;</w:t>
      </w:r>
    </w:p>
    <w:p w:rsidR="003F0BC5" w:rsidRPr="00C14674" w:rsidRDefault="003F0BC5" w:rsidP="006E27F1">
      <w:pPr>
        <w:pStyle w:val="BulletsL1"/>
      </w:pPr>
      <w:r w:rsidRPr="00C14674">
        <w:t>divesting non-core businesses (including some severely loss-making businesses), such as its prepared meals units, certain of its flowers and plants units and the Russian logistics operations (see Section 2.2.2 above);</w:t>
      </w:r>
    </w:p>
    <w:p w:rsidR="003F0BC5" w:rsidRPr="00C14674" w:rsidRDefault="003F0BC5" w:rsidP="006E27F1">
      <w:pPr>
        <w:pStyle w:val="BulletsL1"/>
      </w:pPr>
      <w:r w:rsidRPr="00C14674">
        <w:t>the balance sheet was deleveraged as a result of voluntary prepayments of its existing term loan facility in connection with proceeds received from certain of the divestitures;</w:t>
      </w:r>
    </w:p>
    <w:p w:rsidR="003F0BC5" w:rsidRPr="00C14674" w:rsidRDefault="003F0BC5" w:rsidP="006E27F1">
      <w:pPr>
        <w:pStyle w:val="BulletsL1"/>
      </w:pPr>
      <w:r w:rsidRPr="00C14674">
        <w:t>streamlining of central and regional management function by reducing headcount, external fees and IT expenses, with a consequent positive impact on the cost base; and</w:t>
      </w:r>
    </w:p>
    <w:p w:rsidR="003F0BC5" w:rsidRPr="00C14674" w:rsidRDefault="003F0BC5" w:rsidP="006E27F1">
      <w:pPr>
        <w:pStyle w:val="BulletsL1"/>
      </w:pPr>
      <w:r w:rsidRPr="00C14674">
        <w:t xml:space="preserve">separating the Univeg Group from </w:t>
      </w:r>
      <w:r w:rsidR="00FD6C8D" w:rsidRPr="00C14674">
        <w:t>the</w:t>
      </w:r>
      <w:r w:rsidRPr="00C14674">
        <w:t xml:space="preserve"> loss-making </w:t>
      </w:r>
      <w:r w:rsidR="00B80FCE" w:rsidRPr="00C14674">
        <w:t>Argentinean Operations</w:t>
      </w:r>
      <w:r w:rsidRPr="00C14674">
        <w:t>.</w:t>
      </w:r>
    </w:p>
    <w:p w:rsidR="003F0BC5" w:rsidRPr="00C14674" w:rsidRDefault="003F0BC5" w:rsidP="003F0BC5">
      <w:pPr>
        <w:rPr>
          <w:szCs w:val="20"/>
        </w:rPr>
      </w:pPr>
      <w:r w:rsidRPr="00C14674">
        <w:rPr>
          <w:szCs w:val="20"/>
        </w:rPr>
        <w:t>The Univeg Group considers Project Roots to have been finalised (in 2013) satisfactorily.</w:t>
      </w:r>
    </w:p>
    <w:p w:rsidR="003F0BC5" w:rsidRPr="00C14674" w:rsidRDefault="003F0BC5" w:rsidP="00353B80">
      <w:pPr>
        <w:pStyle w:val="Firm5L4"/>
        <w:keepNext/>
      </w:pPr>
      <w:r w:rsidRPr="00C14674">
        <w:t>Other initiatives</w:t>
      </w:r>
    </w:p>
    <w:p w:rsidR="003F0BC5" w:rsidRPr="00C14674" w:rsidRDefault="003F0BC5" w:rsidP="003F0BC5">
      <w:pPr>
        <w:rPr>
          <w:szCs w:val="20"/>
        </w:rPr>
      </w:pPr>
      <w:r w:rsidRPr="00C14674">
        <w:rPr>
          <w:szCs w:val="20"/>
        </w:rPr>
        <w:t>The Univeg Group has implemented a number of other initiatives with a view to improving the overall performance. Amongst others the main items are: closed down its loss-making citrus fruits operations in California in May 2013, divestment of the non-core Belgian transport operations in 2014, discontinuation of the Spanish distribution platform servicing local retailers in 2014, restructuring measures taken in the Dutch flower operations, including a move of personnel towards the core trading premises and optimisation of fixed personnel cost base and the implemented cost-saving and business development measures in the Polish logistics and Austrian operations in the Fruit &amp; Vegetables segment.</w:t>
      </w:r>
    </w:p>
    <w:p w:rsidR="003F0BC5" w:rsidRPr="00C14674" w:rsidRDefault="003F0BC5" w:rsidP="00353B80">
      <w:pPr>
        <w:pStyle w:val="Firm5L3"/>
        <w:keepNext/>
      </w:pPr>
      <w:r w:rsidRPr="00C14674">
        <w:t>Segmentation</w:t>
      </w:r>
    </w:p>
    <w:p w:rsidR="003F0BC5" w:rsidRPr="00C14674" w:rsidRDefault="003F0BC5" w:rsidP="00353B80">
      <w:pPr>
        <w:pStyle w:val="Firm5L4"/>
        <w:keepNext/>
      </w:pPr>
      <w:r w:rsidRPr="00C14674">
        <w:t>Fruit &amp; Vegetables</w:t>
      </w:r>
    </w:p>
    <w:p w:rsidR="003F0BC5" w:rsidRPr="00C14674" w:rsidRDefault="003F0BC5" w:rsidP="003F0BC5">
      <w:pPr>
        <w:rPr>
          <w:szCs w:val="20"/>
        </w:rPr>
      </w:pPr>
      <w:r w:rsidRPr="00C14674">
        <w:rPr>
          <w:szCs w:val="20"/>
        </w:rPr>
        <w:t>Its Fruit &amp; Vegetables segment represents the Univeg Group’s core business and generates the vast majority of its revenues, representing 95% of total revenues of continuing operations for the</w:t>
      </w:r>
      <w:r w:rsidR="00ED1BE9" w:rsidRPr="00C14674">
        <w:t xml:space="preserve"> </w:t>
      </w:r>
      <w:r w:rsidR="00ED1BE9" w:rsidRPr="00C14674">
        <w:rPr>
          <w:szCs w:val="20"/>
        </w:rPr>
        <w:t>financial</w:t>
      </w:r>
      <w:r w:rsidRPr="00C14674">
        <w:rPr>
          <w:szCs w:val="20"/>
        </w:rPr>
        <w:t xml:space="preserve"> year ended 31 December 2014. This segment covers the entire value chain in the fruit and vegetable category for retailers from production (growing, sourcing, etc.) to logistics (import and export) and other related services (packing, ripening, category management etc.).</w:t>
      </w:r>
    </w:p>
    <w:p w:rsidR="003F0BC5" w:rsidRPr="00C14674" w:rsidRDefault="003F0BC5" w:rsidP="00353B80">
      <w:pPr>
        <w:pStyle w:val="Firm5L4"/>
        <w:keepNext/>
      </w:pPr>
      <w:r w:rsidRPr="00C14674">
        <w:t>Fruit Partners</w:t>
      </w:r>
    </w:p>
    <w:p w:rsidR="003F0BC5" w:rsidRPr="00C14674" w:rsidRDefault="003F0BC5" w:rsidP="003F0BC5">
      <w:pPr>
        <w:rPr>
          <w:szCs w:val="20"/>
        </w:rPr>
      </w:pPr>
      <w:r w:rsidRPr="00C14674">
        <w:rPr>
          <w:szCs w:val="20"/>
        </w:rPr>
        <w:t xml:space="preserve">Its Fruit Partner segment represents sales of fresh produce grown by its non-European production and sourcing subsidiaries which the Univeg Group calls its Fruit Partners. This segment also includes logistics and distribution of these products. Following the divestment of </w:t>
      </w:r>
      <w:r w:rsidR="0083762C">
        <w:rPr>
          <w:szCs w:val="20"/>
        </w:rPr>
        <w:t>The Fruit Farm Group</w:t>
      </w:r>
      <w:r w:rsidRPr="00C14674">
        <w:rPr>
          <w:szCs w:val="20"/>
        </w:rPr>
        <w:t xml:space="preserve">, its Fruit Partners segment represented only 0.3% of total revenues of continuing operations for the </w:t>
      </w:r>
      <w:r w:rsidR="00ED1BE9" w:rsidRPr="00C14674">
        <w:rPr>
          <w:szCs w:val="20"/>
        </w:rPr>
        <w:t xml:space="preserve">financial </w:t>
      </w:r>
      <w:r w:rsidRPr="00C14674">
        <w:rPr>
          <w:szCs w:val="20"/>
        </w:rPr>
        <w:t>year ended 31 December 2014.</w:t>
      </w:r>
    </w:p>
    <w:p w:rsidR="003F0BC5" w:rsidRPr="00C14674" w:rsidRDefault="003F0BC5" w:rsidP="00353B80">
      <w:pPr>
        <w:pStyle w:val="Firm5L4"/>
        <w:keepNext/>
      </w:pPr>
      <w:r w:rsidRPr="00C14674">
        <w:t>Flowers &amp; Plants</w:t>
      </w:r>
    </w:p>
    <w:p w:rsidR="003F0BC5" w:rsidRPr="00C14674" w:rsidRDefault="003F0BC5" w:rsidP="003F0BC5">
      <w:pPr>
        <w:rPr>
          <w:szCs w:val="20"/>
        </w:rPr>
      </w:pPr>
      <w:r w:rsidRPr="00C14674">
        <w:rPr>
          <w:szCs w:val="20"/>
        </w:rPr>
        <w:t xml:space="preserve">The Flowers &amp; Plants segment represents sales of flowers and plants, including cut flowers, bulbs, potted plants and plant arrangements, to supermarkets, home improvement stores and garden centres. This segment represented 3.1% of total revenues of continuing operations for the </w:t>
      </w:r>
      <w:r w:rsidR="00ED1BE9" w:rsidRPr="00C14674">
        <w:rPr>
          <w:szCs w:val="20"/>
        </w:rPr>
        <w:t xml:space="preserve">financial </w:t>
      </w:r>
      <w:r w:rsidRPr="00C14674">
        <w:rPr>
          <w:szCs w:val="20"/>
        </w:rPr>
        <w:t>year ended 31 December 2014.</w:t>
      </w:r>
    </w:p>
    <w:p w:rsidR="003F0BC5" w:rsidRPr="00C14674" w:rsidRDefault="003F0BC5" w:rsidP="00353B80">
      <w:pPr>
        <w:pStyle w:val="Firm5L4"/>
        <w:keepNext/>
      </w:pPr>
      <w:r w:rsidRPr="00C14674">
        <w:t>Transport and Logistics</w:t>
      </w:r>
    </w:p>
    <w:p w:rsidR="003F0BC5" w:rsidRPr="00C14674" w:rsidRDefault="003F0BC5" w:rsidP="003F0BC5">
      <w:pPr>
        <w:rPr>
          <w:szCs w:val="20"/>
        </w:rPr>
      </w:pPr>
      <w:r w:rsidRPr="00C14674">
        <w:rPr>
          <w:szCs w:val="20"/>
        </w:rPr>
        <w:t xml:space="preserve">The </w:t>
      </w:r>
      <w:r w:rsidR="00A07615" w:rsidRPr="00C14674">
        <w:rPr>
          <w:szCs w:val="20"/>
        </w:rPr>
        <w:t>t</w:t>
      </w:r>
      <w:r w:rsidRPr="00C14674">
        <w:rPr>
          <w:szCs w:val="20"/>
        </w:rPr>
        <w:t xml:space="preserve">ransport and </w:t>
      </w:r>
      <w:r w:rsidR="00A07615" w:rsidRPr="00C14674">
        <w:rPr>
          <w:szCs w:val="20"/>
        </w:rPr>
        <w:t>l</w:t>
      </w:r>
      <w:r w:rsidRPr="00C14674">
        <w:rPr>
          <w:szCs w:val="20"/>
        </w:rPr>
        <w:t xml:space="preserve">ogistics segment represents its logistics and distribution operations in respect of products not produced by the Univeg Group, including storage, picking, handling, packaging and transport of such goods. Its </w:t>
      </w:r>
      <w:r w:rsidR="00A07615" w:rsidRPr="00C14674">
        <w:rPr>
          <w:szCs w:val="20"/>
        </w:rPr>
        <w:t>t</w:t>
      </w:r>
      <w:r w:rsidRPr="00C14674">
        <w:rPr>
          <w:szCs w:val="20"/>
        </w:rPr>
        <w:t xml:space="preserve">ransport and </w:t>
      </w:r>
      <w:r w:rsidR="00A07615" w:rsidRPr="00C14674">
        <w:rPr>
          <w:szCs w:val="20"/>
        </w:rPr>
        <w:t>l</w:t>
      </w:r>
      <w:r w:rsidRPr="00C14674">
        <w:rPr>
          <w:szCs w:val="20"/>
        </w:rPr>
        <w:t xml:space="preserve">ogistics segment represented 1.5% of total revenues of continuing operations </w:t>
      </w:r>
      <w:r w:rsidR="00ED1BE9" w:rsidRPr="00C14674">
        <w:rPr>
          <w:szCs w:val="20"/>
        </w:rPr>
        <w:t>for the financial year ended 31 December</w:t>
      </w:r>
      <w:r w:rsidRPr="00C14674">
        <w:rPr>
          <w:szCs w:val="20"/>
        </w:rPr>
        <w:t xml:space="preserve"> 2014.</w:t>
      </w:r>
    </w:p>
    <w:p w:rsidR="003F0BC5" w:rsidRPr="00C14674" w:rsidRDefault="003F0BC5" w:rsidP="00353B80">
      <w:pPr>
        <w:pStyle w:val="Firm5L4"/>
        <w:keepNext/>
      </w:pPr>
      <w:r w:rsidRPr="00C14674">
        <w:t>Geographical Segmentation</w:t>
      </w:r>
    </w:p>
    <w:p w:rsidR="003F0BC5" w:rsidRPr="00C14674" w:rsidRDefault="003F0BC5" w:rsidP="003F0BC5">
      <w:pPr>
        <w:rPr>
          <w:szCs w:val="20"/>
        </w:rPr>
      </w:pPr>
      <w:r w:rsidRPr="00C14674">
        <w:rPr>
          <w:szCs w:val="20"/>
        </w:rPr>
        <w:t xml:space="preserve">The Univeg Group also provides for a geographical segmentation of its revenues within the Fruit &amp; Vegetables segment, based on the country where the subsidiaries generating such revenues are incorporated. The use of </w:t>
      </w:r>
      <w:r w:rsidRPr="00C14674">
        <w:rPr>
          <w:szCs w:val="20"/>
        </w:rPr>
        <w:lastRenderedPageBreak/>
        <w:t>geographical segmentation in the analysis of its Fruit &amp; Vegetables segment is part of its decentralised approach and allows the Univeg Group to monitor the performance of subsidiaries. The Univeg Group reports revenues fro</w:t>
      </w:r>
      <w:r w:rsidR="00703C66" w:rsidRPr="00C14674">
        <w:rPr>
          <w:szCs w:val="20"/>
        </w:rPr>
        <w:t xml:space="preserve">m its subsidiaries in </w:t>
      </w:r>
      <w:smartTag w:uri="urn:schemas-microsoft-com:office:smarttags" w:element="country-region">
        <w:r w:rsidR="00703C66" w:rsidRPr="00C14674">
          <w:rPr>
            <w:szCs w:val="20"/>
          </w:rPr>
          <w:t>Germany</w:t>
        </w:r>
      </w:smartTag>
      <w:r w:rsidR="00703C66" w:rsidRPr="00C14674">
        <w:rPr>
          <w:szCs w:val="20"/>
        </w:rPr>
        <w:t>, T</w:t>
      </w:r>
      <w:r w:rsidRPr="00C14674">
        <w:rPr>
          <w:szCs w:val="20"/>
        </w:rPr>
        <w:t xml:space="preserve">he Netherlands, </w:t>
      </w:r>
      <w:smartTag w:uri="urn:schemas-microsoft-com:office:smarttags" w:element="country-region">
        <w:smartTag w:uri="urn:schemas-microsoft-com:office:smarttags" w:element="place">
          <w:r w:rsidRPr="00C14674">
            <w:rPr>
              <w:szCs w:val="20"/>
            </w:rPr>
            <w:t>Belgium</w:t>
          </w:r>
        </w:smartTag>
      </w:smartTag>
      <w:r w:rsidRPr="00C14674">
        <w:rPr>
          <w:szCs w:val="20"/>
        </w:rPr>
        <w:t xml:space="preserve"> and </w:t>
      </w:r>
      <w:r w:rsidR="00D51F51" w:rsidRPr="00C14674">
        <w:rPr>
          <w:szCs w:val="20"/>
        </w:rPr>
        <w:t>o</w:t>
      </w:r>
      <w:r w:rsidRPr="00C14674">
        <w:rPr>
          <w:szCs w:val="20"/>
        </w:rPr>
        <w:t xml:space="preserve">ther </w:t>
      </w:r>
      <w:r w:rsidR="00D51F51" w:rsidRPr="00C14674">
        <w:rPr>
          <w:szCs w:val="20"/>
        </w:rPr>
        <w:t>c</w:t>
      </w:r>
      <w:r w:rsidRPr="00C14674">
        <w:rPr>
          <w:szCs w:val="20"/>
        </w:rPr>
        <w:t>ountries.</w:t>
      </w:r>
    </w:p>
    <w:p w:rsidR="003F0BC5" w:rsidRPr="00C14674" w:rsidRDefault="003F0BC5" w:rsidP="003F0BC5">
      <w:pPr>
        <w:rPr>
          <w:szCs w:val="20"/>
        </w:rPr>
      </w:pPr>
      <w:r w:rsidRPr="00C14674">
        <w:rPr>
          <w:szCs w:val="20"/>
        </w:rPr>
        <w:t>Revenues reported from subsidi</w:t>
      </w:r>
      <w:r w:rsidR="00703C66" w:rsidRPr="00C14674">
        <w:rPr>
          <w:szCs w:val="20"/>
        </w:rPr>
        <w:t xml:space="preserve">aries incorporated in </w:t>
      </w:r>
      <w:smartTag w:uri="urn:schemas-microsoft-com:office:smarttags" w:element="country-region">
        <w:r w:rsidR="00703C66" w:rsidRPr="00C14674">
          <w:rPr>
            <w:szCs w:val="20"/>
          </w:rPr>
          <w:t>Germany</w:t>
        </w:r>
      </w:smartTag>
      <w:r w:rsidR="00703C66" w:rsidRPr="00C14674">
        <w:rPr>
          <w:szCs w:val="20"/>
        </w:rPr>
        <w:t>, T</w:t>
      </w:r>
      <w:r w:rsidRPr="00C14674">
        <w:rPr>
          <w:szCs w:val="20"/>
        </w:rPr>
        <w:t xml:space="preserve">he Netherlands and </w:t>
      </w:r>
      <w:smartTag w:uri="urn:schemas-microsoft-com:office:smarttags" w:element="country-region">
        <w:smartTag w:uri="urn:schemas-microsoft-com:office:smarttags" w:element="place">
          <w:r w:rsidRPr="00C14674">
            <w:rPr>
              <w:szCs w:val="20"/>
            </w:rPr>
            <w:t>Belgium</w:t>
          </w:r>
        </w:smartTag>
      </w:smartTag>
      <w:r w:rsidRPr="00C14674">
        <w:rPr>
          <w:szCs w:val="20"/>
        </w:rPr>
        <w:t xml:space="preserve"> in the aggregate represented 82.0% of the Univeg Group’s total revenue </w:t>
      </w:r>
      <w:r w:rsidR="00ED1BE9" w:rsidRPr="00C14674">
        <w:rPr>
          <w:szCs w:val="20"/>
        </w:rPr>
        <w:t>for the financial year ended 31 December</w:t>
      </w:r>
      <w:r w:rsidRPr="00C14674">
        <w:rPr>
          <w:szCs w:val="20"/>
        </w:rPr>
        <w:t xml:space="preserve"> 2014.</w:t>
      </w:r>
    </w:p>
    <w:p w:rsidR="003F0BC5" w:rsidRPr="00C14674" w:rsidRDefault="003F0BC5" w:rsidP="00353B80">
      <w:pPr>
        <w:pStyle w:val="Firm5L2"/>
        <w:keepNext/>
      </w:pPr>
      <w:bookmarkStart w:id="77" w:name="_Toc420593890"/>
      <w:r w:rsidRPr="00C14674">
        <w:t>Recent developments</w:t>
      </w:r>
      <w:bookmarkEnd w:id="77"/>
    </w:p>
    <w:p w:rsidR="003F0BC5" w:rsidRPr="00C14674" w:rsidRDefault="003F0BC5" w:rsidP="003F0BC5">
      <w:pPr>
        <w:rPr>
          <w:szCs w:val="20"/>
        </w:rPr>
      </w:pPr>
      <w:r w:rsidRPr="00C14674">
        <w:rPr>
          <w:szCs w:val="20"/>
        </w:rPr>
        <w:t>As per March 2015, the Univeg Group and The Fruit Farm Group have entered into a share purchase agreement for the sale of</w:t>
      </w:r>
      <w:r w:rsidR="00F13D58" w:rsidRPr="00C14674">
        <w:rPr>
          <w:szCs w:val="20"/>
        </w:rPr>
        <w:t xml:space="preserve"> </w:t>
      </w:r>
      <w:r w:rsidRPr="00C14674">
        <w:rPr>
          <w:szCs w:val="20"/>
        </w:rPr>
        <w:t>its minority share of 22.9% in Agro Vicces SA, a Costa Rican pineapple farm</w:t>
      </w:r>
      <w:r w:rsidR="00FD6C8D" w:rsidRPr="00C14674">
        <w:t xml:space="preserve"> for a consideration of </w:t>
      </w:r>
      <w:r w:rsidR="00E53641">
        <w:t>EUR </w:t>
      </w:r>
      <w:r w:rsidR="00FD6C8D" w:rsidRPr="00C14674">
        <w:t xml:space="preserve">811.000. Other companies involved in growing operations were divested to DWB for a total consideration of </w:t>
      </w:r>
      <w:r w:rsidR="00E53641">
        <w:t>EUR </w:t>
      </w:r>
      <w:r w:rsidR="00FD6C8D" w:rsidRPr="00C14674">
        <w:t xml:space="preserve">5,800,000. These divestments include the (i) 44.65% shareholding are Mouton Citrus Proprieraty Ltd, a citrus grower in South Africa, for an amount of </w:t>
      </w:r>
      <w:r w:rsidR="00E53641">
        <w:t>EUR </w:t>
      </w:r>
      <w:r w:rsidR="00FD6C8D" w:rsidRPr="00C14674">
        <w:t xml:space="preserve">3,800,000, (ii) the </w:t>
      </w:r>
      <w:r w:rsidR="00F2529B">
        <w:t>4</w:t>
      </w:r>
      <w:r w:rsidR="00F2529B" w:rsidRPr="00C14674">
        <w:t>5</w:t>
      </w:r>
      <w:r w:rsidR="00FD6C8D" w:rsidRPr="00C14674">
        <w:t xml:space="preserve">.0% shareholding in Frutas Del Guardiana S.A. and Novafruta Del Guardiana S.A., a multiple product growing company in Spain for an amount of </w:t>
      </w:r>
      <w:r w:rsidR="00E53641">
        <w:t>EUR </w:t>
      </w:r>
      <w:r w:rsidR="00FD6C8D" w:rsidRPr="00C14674">
        <w:t xml:space="preserve">1,200,000, (iii) the 99% shareholding in Univeg Agricola Ltda, a company owing a land plot in Brazil for a zero value considering the debt position of the company fully offset the land value and (v) a landplot in the Netherlands for </w:t>
      </w:r>
      <w:r w:rsidR="00E53641">
        <w:t>EUR </w:t>
      </w:r>
      <w:r w:rsidR="00FD6C8D" w:rsidRPr="00C14674">
        <w:t xml:space="preserve">700,000. </w:t>
      </w:r>
      <w:r w:rsidRPr="00C14674">
        <w:rPr>
          <w:szCs w:val="20"/>
        </w:rPr>
        <w:t xml:space="preserve">See </w:t>
      </w:r>
      <w:r w:rsidR="00CA796D" w:rsidRPr="00C14674">
        <w:rPr>
          <w:szCs w:val="20"/>
        </w:rPr>
        <w:t xml:space="preserve">also </w:t>
      </w:r>
      <w:r w:rsidRPr="00C14674">
        <w:rPr>
          <w:szCs w:val="20"/>
        </w:rPr>
        <w:t>Part VIII (</w:t>
      </w:r>
      <w:r w:rsidRPr="00C14674">
        <w:rPr>
          <w:i/>
          <w:szCs w:val="20"/>
        </w:rPr>
        <w:t>Related Party Transactions</w:t>
      </w:r>
      <w:r w:rsidRPr="00C14674">
        <w:rPr>
          <w:szCs w:val="20"/>
        </w:rPr>
        <w:t>).</w:t>
      </w:r>
    </w:p>
    <w:p w:rsidR="002051AF" w:rsidRPr="00C14674" w:rsidRDefault="002051AF" w:rsidP="003F0BC5">
      <w:pPr>
        <w:rPr>
          <w:szCs w:val="20"/>
        </w:rPr>
      </w:pPr>
      <w:r w:rsidRPr="00F2529B">
        <w:rPr>
          <w:szCs w:val="20"/>
          <w:highlight w:val="yellow"/>
        </w:rPr>
        <w:t>The Univeg Group regularly considers acquisition and investment opportunities that are appropriate for its growth.</w:t>
      </w:r>
      <w:r w:rsidR="00C14169" w:rsidRPr="00F2529B">
        <w:rPr>
          <w:szCs w:val="20"/>
          <w:highlight w:val="yellow"/>
        </w:rPr>
        <w:t xml:space="preserve">  </w:t>
      </w:r>
      <w:r w:rsidRPr="00F2529B">
        <w:rPr>
          <w:szCs w:val="20"/>
          <w:highlight w:val="yellow"/>
        </w:rPr>
        <w:t>Currently, it is examining to invest in “Veilingen Haspengouw”, which investment may take the form of shareholder loans and/or a majority equity investment. [</w:t>
      </w:r>
      <w:r w:rsidRPr="00F2529B">
        <w:rPr>
          <w:b/>
          <w:i/>
          <w:szCs w:val="20"/>
          <w:highlight w:val="yellow"/>
        </w:rPr>
        <w:t>Note:</w:t>
      </w:r>
      <w:r w:rsidR="00C14169" w:rsidRPr="00F2529B">
        <w:rPr>
          <w:b/>
          <w:i/>
          <w:szCs w:val="20"/>
          <w:highlight w:val="yellow"/>
        </w:rPr>
        <w:t xml:space="preserve"> </w:t>
      </w:r>
      <w:r w:rsidRPr="00F2529B">
        <w:rPr>
          <w:b/>
          <w:i/>
          <w:szCs w:val="20"/>
          <w:highlight w:val="yellow"/>
        </w:rPr>
        <w:t>to be updated if the LOI signed prior to approval date</w:t>
      </w:r>
      <w:r w:rsidRPr="00F2529B">
        <w:rPr>
          <w:szCs w:val="20"/>
          <w:highlight w:val="yellow"/>
        </w:rPr>
        <w:t>.]</w:t>
      </w:r>
    </w:p>
    <w:p w:rsidR="00112706" w:rsidRPr="00C14674" w:rsidRDefault="00112706" w:rsidP="00353B80">
      <w:pPr>
        <w:pStyle w:val="Firm5L2"/>
        <w:keepNext/>
      </w:pPr>
      <w:bookmarkStart w:id="78" w:name="_Toc420593891"/>
      <w:r w:rsidRPr="00C14674">
        <w:t>Key factors affecting results of operations</w:t>
      </w:r>
      <w:bookmarkEnd w:id="78"/>
    </w:p>
    <w:p w:rsidR="003F0BC5" w:rsidRPr="00C14674" w:rsidRDefault="00112706" w:rsidP="00112706">
      <w:pPr>
        <w:rPr>
          <w:szCs w:val="20"/>
        </w:rPr>
      </w:pPr>
      <w:r w:rsidRPr="00C14674">
        <w:t>The performance and results of operations have been and will continue to be affected by a number of factors, including external factors. Certain of these key factors that have had, or may have, an effect on its results are set forth below. For further discussion of the factors affecting its results of operations, see Part II (</w:t>
      </w:r>
      <w:r w:rsidRPr="00C14674">
        <w:rPr>
          <w:i/>
        </w:rPr>
        <w:t>Risk Factors</w:t>
      </w:r>
      <w:r w:rsidRPr="00C14674">
        <w:t>).</w:t>
      </w:r>
    </w:p>
    <w:p w:rsidR="003F0BC5" w:rsidRPr="00C14674" w:rsidRDefault="003F0BC5" w:rsidP="00353B80">
      <w:pPr>
        <w:pStyle w:val="Firm5L3"/>
        <w:keepNext/>
      </w:pPr>
      <w:r w:rsidRPr="00C14674">
        <w:t>Revenues</w:t>
      </w:r>
    </w:p>
    <w:p w:rsidR="003F0BC5" w:rsidRPr="00C14674" w:rsidRDefault="003F0BC5" w:rsidP="00353B80">
      <w:pPr>
        <w:pStyle w:val="Firm5L4"/>
        <w:keepNext/>
      </w:pPr>
      <w:r w:rsidRPr="00C14674">
        <w:t xml:space="preserve">Fluctuations in the </w:t>
      </w:r>
      <w:r w:rsidR="00FD6C8D" w:rsidRPr="00C14674">
        <w:t>selling price</w:t>
      </w:r>
    </w:p>
    <w:p w:rsidR="003F0BC5" w:rsidRPr="00C14674" w:rsidRDefault="003F0BC5" w:rsidP="003F0BC5">
      <w:pPr>
        <w:rPr>
          <w:szCs w:val="20"/>
        </w:rPr>
      </w:pPr>
      <w:r w:rsidRPr="00C14674">
        <w:rPr>
          <w:szCs w:val="20"/>
        </w:rPr>
        <w:t xml:space="preserve">The fresh produce market is highly elastic in that changes in the prices of a certain product at source are quickly reflected in changes in the price that the final customer pays in relation to such produce, and vice versa. The pricing model adopted for the vast majority of sales vis-à-vis the customer base is essentially based on margin securing models or </w:t>
      </w:r>
      <w:r w:rsidR="00BF553B" w:rsidRPr="00C14674">
        <w:rPr>
          <w:szCs w:val="20"/>
        </w:rPr>
        <w:t>“</w:t>
      </w:r>
      <w:r w:rsidRPr="00C14674">
        <w:rPr>
          <w:szCs w:val="20"/>
        </w:rPr>
        <w:t>cost plus</w:t>
      </w:r>
      <w:r w:rsidR="00BF553B" w:rsidRPr="00C14674">
        <w:rPr>
          <w:szCs w:val="20"/>
        </w:rPr>
        <w:t>”</w:t>
      </w:r>
      <w:r w:rsidRPr="00C14674">
        <w:rPr>
          <w:szCs w:val="20"/>
        </w:rPr>
        <w:t xml:space="preserve"> mechanisms, where the remuneration is calculated as a percentage of the cost incurred to source the product and deliver the product to the relevant retailer. Profitability under such pricing model is therefore dependent on fluctuations in the cost of product at source. While downward changes in the cost of produce do not have an impact on its commissions as a percentage, they can materially affect profitability in absolute terms.</w:t>
      </w:r>
    </w:p>
    <w:p w:rsidR="003F0BC5" w:rsidRPr="00C14674" w:rsidRDefault="003F0BC5" w:rsidP="00353B80">
      <w:pPr>
        <w:pStyle w:val="Firm5L4"/>
        <w:keepNext/>
      </w:pPr>
      <w:r w:rsidRPr="00C14674">
        <w:t>Seasonality</w:t>
      </w:r>
    </w:p>
    <w:p w:rsidR="003F0BC5" w:rsidRPr="00C14674" w:rsidRDefault="003F0BC5" w:rsidP="003F0BC5">
      <w:pPr>
        <w:rPr>
          <w:szCs w:val="20"/>
        </w:rPr>
      </w:pPr>
      <w:r w:rsidRPr="00C14674">
        <w:rPr>
          <w:szCs w:val="20"/>
        </w:rPr>
        <w:t xml:space="preserve">As a result of seasonal sales price fluctuations, the Univeg Group has historically realised a greater portion of its revenues during the first two calendar quarters of the year. The third and fourth quarters of the year typically have, in the aggregate, lower sales than the first half of the financial year, with a less homogenous sales pattern than in the first six months, with sales spiking in the summer months (especially in case of favourable weather) and in the month of December (which is historically the strongest month for the Univeg Group’s performance, due to the holiday season) and slowing down especially in October and November. Sales can also be affected by the day of the week a certain holiday falls on (typically with </w:t>
      </w:r>
      <w:r w:rsidR="00BF553B" w:rsidRPr="00C14674">
        <w:rPr>
          <w:szCs w:val="20"/>
        </w:rPr>
        <w:t>“</w:t>
      </w:r>
      <w:r w:rsidRPr="00C14674">
        <w:rPr>
          <w:szCs w:val="20"/>
        </w:rPr>
        <w:t>long</w:t>
      </w:r>
      <w:r w:rsidR="00BF553B" w:rsidRPr="00C14674">
        <w:rPr>
          <w:szCs w:val="20"/>
        </w:rPr>
        <w:t>”</w:t>
      </w:r>
      <w:r w:rsidRPr="00C14674">
        <w:rPr>
          <w:szCs w:val="20"/>
        </w:rPr>
        <w:t xml:space="preserve"> weekends leading to a better performance than holidays falling in the middle of the week).</w:t>
      </w:r>
    </w:p>
    <w:p w:rsidR="003F0BC5" w:rsidRPr="00C14674" w:rsidRDefault="003F0BC5" w:rsidP="003F0BC5">
      <w:pPr>
        <w:rPr>
          <w:szCs w:val="20"/>
        </w:rPr>
      </w:pPr>
      <w:r w:rsidRPr="00C14674">
        <w:rPr>
          <w:szCs w:val="20"/>
        </w:rPr>
        <w:t>From a cash flow point of view, movements in cash follow the sourcing cycle. Cash outflows peak towards the end of the last quarter (upon advances to the overseas suppliers with which the Univeg Group has implemented this type of pricing model and the beginning of the first quarter (when produce is mainly sourced overseas) and decline in the second and third quarters (when produce is mainly sourced in Europe at comparably lower costs than the produce sourced overseas).</w:t>
      </w:r>
    </w:p>
    <w:p w:rsidR="003F0BC5" w:rsidRPr="00C14674" w:rsidRDefault="003F0BC5" w:rsidP="00353B80">
      <w:pPr>
        <w:pStyle w:val="Firm5L4"/>
        <w:keepNext/>
      </w:pPr>
      <w:r w:rsidRPr="00C14674">
        <w:t>Competition</w:t>
      </w:r>
    </w:p>
    <w:p w:rsidR="003F0BC5" w:rsidRPr="00C14674" w:rsidRDefault="003F0BC5" w:rsidP="003F0BC5">
      <w:pPr>
        <w:rPr>
          <w:szCs w:val="20"/>
        </w:rPr>
      </w:pPr>
      <w:r w:rsidRPr="00C14674">
        <w:rPr>
          <w:szCs w:val="20"/>
        </w:rPr>
        <w:t xml:space="preserve">The global fresh produce market is highly competitive, particularly as a result of the short shelf life of the products and the fact that they are, for the most part, traded on a ‘customer label’ basis and therefore cannot be differentiated from competitors’ produce in the eyes of consumers on the basis of brand identity. The market is also fragmented and the Univeg Group therefore competes against a broad range of market participants, from other multinational companies to local cooperatives (the latter often benefit from government subsidies which </w:t>
      </w:r>
      <w:r w:rsidRPr="00C14674">
        <w:rPr>
          <w:szCs w:val="20"/>
        </w:rPr>
        <w:lastRenderedPageBreak/>
        <w:t>enables them to offer particularly competitive prices). Given the level of customer intimacy that has been developed with the largest customers, and the fact that services to them are highly customised and thus difficult to replicate, the greatest level of competition is witnessed with smaller customers.</w:t>
      </w:r>
    </w:p>
    <w:p w:rsidR="003F0BC5" w:rsidRPr="00C14674" w:rsidRDefault="003F0BC5" w:rsidP="00353B80">
      <w:pPr>
        <w:pStyle w:val="Firm5L3"/>
        <w:keepNext/>
      </w:pPr>
      <w:r w:rsidRPr="00C14674">
        <w:t>Cost and efficiency</w:t>
      </w:r>
    </w:p>
    <w:p w:rsidR="003F0BC5" w:rsidRPr="00C14674" w:rsidRDefault="003F0BC5" w:rsidP="00353B80">
      <w:pPr>
        <w:pStyle w:val="Firm5L4"/>
        <w:keepNext/>
      </w:pPr>
      <w:r w:rsidRPr="00C14674">
        <w:t>Cost of logistics</w:t>
      </w:r>
    </w:p>
    <w:p w:rsidR="003F0BC5" w:rsidRPr="00C14674" w:rsidRDefault="003F0BC5" w:rsidP="003F0BC5">
      <w:pPr>
        <w:rPr>
          <w:szCs w:val="20"/>
        </w:rPr>
      </w:pPr>
      <w:r w:rsidRPr="00C14674">
        <w:rPr>
          <w:szCs w:val="20"/>
        </w:rPr>
        <w:t xml:space="preserve">Logistics costs include land and sea transportation and expenses related to port facilities and distribution centres. The Univeg Group’s activities concentrate mainly on sourcing of imported produce. The sourcing of products to be sold in the markets where they are produced (or </w:t>
      </w:r>
      <w:r w:rsidR="00BF553B" w:rsidRPr="00C14674">
        <w:rPr>
          <w:szCs w:val="20"/>
        </w:rPr>
        <w:t>“</w:t>
      </w:r>
      <w:r w:rsidRPr="00C14674">
        <w:rPr>
          <w:szCs w:val="20"/>
        </w:rPr>
        <w:t>local to local sourcing</w:t>
      </w:r>
      <w:r w:rsidR="00BF553B" w:rsidRPr="00C14674">
        <w:rPr>
          <w:szCs w:val="20"/>
        </w:rPr>
        <w:t>”</w:t>
      </w:r>
      <w:r w:rsidRPr="00C14674">
        <w:rPr>
          <w:szCs w:val="20"/>
        </w:rPr>
        <w:t>) is not a core activity of the Univeg Group. Since the price of produce is generally fairly consistent across the market at any given point in time, optimisation of logistics costs and other value-added services is often one of the variables that distinguishes the Univeg Group from its competitors and which customers (current or prospective) focus on. The Univeg Group contracts the vast majority of transport activities through third parties. In order to achieve this, aggressive tenders with suppliers are established for transport services and strive to increase bundling of goods to maximise efficiency.</w:t>
      </w:r>
    </w:p>
    <w:p w:rsidR="003F0BC5" w:rsidRPr="00C14674" w:rsidRDefault="003F0BC5" w:rsidP="00353B80">
      <w:pPr>
        <w:pStyle w:val="Firm5L4"/>
        <w:keepNext/>
      </w:pPr>
      <w:r w:rsidRPr="00C14674">
        <w:t>Cost of cultivation</w:t>
      </w:r>
    </w:p>
    <w:p w:rsidR="003F0BC5" w:rsidRPr="00C14674" w:rsidRDefault="003F0BC5" w:rsidP="003F0BC5">
      <w:pPr>
        <w:rPr>
          <w:szCs w:val="20"/>
        </w:rPr>
      </w:pPr>
      <w:r w:rsidRPr="00C14674">
        <w:rPr>
          <w:szCs w:val="20"/>
        </w:rPr>
        <w:t xml:space="preserve">Agriculture is a highly capital intensive activity. Orchards for certain types of fruit only become profitable after ten years from planting and then yields tend to fall about 15 to 20 years after the trees have matured. Furthermore, growing operations are the most vulnerable to, and negatively affected by, adverse weather conditions (see </w:t>
      </w:r>
      <w:r w:rsidR="00916DA0">
        <w:rPr>
          <w:szCs w:val="20"/>
        </w:rPr>
        <w:t>S</w:t>
      </w:r>
      <w:r w:rsidRPr="00C14674">
        <w:rPr>
          <w:szCs w:val="20"/>
        </w:rPr>
        <w:t>ection 2.4.3.2 below). While the Univeg Group and or related parties, only grow about 2% of the produce it sells, investments in its farms (also in terms of fertilisers, local logistics, labour, energy and maintenance costs) have a significant impact on its costs. The desire to lessen the impact of these costs on its overall cost base, given the disproportionately lower revenues generated by own-operated farms, has led the Univeg Group to seek to divest non-strategic growing operations, which it has done, for example, in Argentina.</w:t>
      </w:r>
    </w:p>
    <w:p w:rsidR="003F0BC5" w:rsidRPr="00C14674" w:rsidRDefault="003F0BC5" w:rsidP="003F0BC5">
      <w:pPr>
        <w:tabs>
          <w:tab w:val="left" w:pos="397"/>
          <w:tab w:val="left" w:pos="720"/>
        </w:tabs>
        <w:ind w:left="720" w:hanging="720"/>
        <w:rPr>
          <w:szCs w:val="20"/>
        </w:rPr>
      </w:pPr>
      <w:r w:rsidRPr="00C14674">
        <w:rPr>
          <w:szCs w:val="20"/>
        </w:rPr>
        <w:t>2.4.2.3</w:t>
      </w:r>
      <w:r w:rsidRPr="00C14674">
        <w:rPr>
          <w:szCs w:val="20"/>
        </w:rPr>
        <w:tab/>
        <w:t>Turnaround process in relation to loss-making operations</w:t>
      </w:r>
    </w:p>
    <w:p w:rsidR="003F0BC5" w:rsidRPr="00C14674" w:rsidRDefault="003F0BC5" w:rsidP="003F0BC5">
      <w:pPr>
        <w:rPr>
          <w:szCs w:val="20"/>
        </w:rPr>
      </w:pPr>
      <w:r w:rsidRPr="00C14674">
        <w:rPr>
          <w:szCs w:val="20"/>
        </w:rPr>
        <w:t xml:space="preserve">The Univeg Group’s results of operations are negatively affected by a few of its operations that are loss-making. In the last few years the Univeg Group has implemented a strategy to turn around loss making operations, either by improving efficiency (through, inter alia, revision of production capabilities and reduction of costs) or by selling or liquidating unprofitable operations. While this strategy has so far brought encouraging results, the Univeg Group continues to retain certain operations that impact negatively its results of operations, including Univeg Logistics Poland and the Dutch flower operations, which in the financial year ended 31 December 2014 produced in the aggregate negative EBITDA equal to </w:t>
      </w:r>
      <w:r w:rsidR="00E53641">
        <w:rPr>
          <w:szCs w:val="20"/>
        </w:rPr>
        <w:t>EUR </w:t>
      </w:r>
      <w:r w:rsidRPr="00C14674">
        <w:rPr>
          <w:szCs w:val="20"/>
        </w:rPr>
        <w:t>600,000.</w:t>
      </w:r>
    </w:p>
    <w:p w:rsidR="003F0BC5" w:rsidRPr="00C14674" w:rsidRDefault="003F0BC5" w:rsidP="00353B80">
      <w:pPr>
        <w:pStyle w:val="Firm5L3"/>
        <w:keepNext/>
      </w:pPr>
      <w:r w:rsidRPr="00C14674">
        <w:t>Macroeconomic and external factors</w:t>
      </w:r>
    </w:p>
    <w:p w:rsidR="003F0BC5" w:rsidRPr="00C14674" w:rsidRDefault="003F0BC5" w:rsidP="00353B80">
      <w:pPr>
        <w:pStyle w:val="Firm5L4"/>
        <w:keepNext/>
      </w:pPr>
      <w:r w:rsidRPr="00C14674">
        <w:t>Macroeconomic and political conditions</w:t>
      </w:r>
    </w:p>
    <w:p w:rsidR="003F0BC5" w:rsidRPr="00C14674" w:rsidRDefault="003F0BC5" w:rsidP="003F0BC5">
      <w:pPr>
        <w:rPr>
          <w:szCs w:val="20"/>
        </w:rPr>
      </w:pPr>
      <w:r w:rsidRPr="00C14674">
        <w:rPr>
          <w:szCs w:val="20"/>
        </w:rPr>
        <w:t xml:space="preserve">With global operations spanning Europe, the </w:t>
      </w:r>
      <w:smartTag w:uri="urn:schemas-microsoft-com:office:smarttags" w:element="country-region">
        <w:r w:rsidRPr="00C14674">
          <w:rPr>
            <w:szCs w:val="20"/>
          </w:rPr>
          <w:t>Americas</w:t>
        </w:r>
      </w:smartTag>
      <w:r w:rsidRPr="00C14674">
        <w:rPr>
          <w:szCs w:val="20"/>
        </w:rPr>
        <w:t xml:space="preserve">, Africa and </w:t>
      </w:r>
      <w:smartTag w:uri="urn:schemas-microsoft-com:office:smarttags" w:element="place">
        <w:r w:rsidRPr="00C14674">
          <w:rPr>
            <w:szCs w:val="20"/>
          </w:rPr>
          <w:t>Asia</w:t>
        </w:r>
      </w:smartTag>
      <w:r w:rsidRPr="00C14674">
        <w:rPr>
          <w:szCs w:val="20"/>
        </w:rPr>
        <w:t xml:space="preserve">, the Univeg Group’s performance and results of operations have been and will continue to be affected by global macroeconomic conditions. Such conditions include trade barriers, import and export duties and quotas, currency fluctuations and exchange controls, social unrest, political instability, high levels of inflation and increases in duties, taxes and government royalties. For example, the Univeg Group believes high inflation and labour strikes in </w:t>
      </w:r>
      <w:smartTag w:uri="urn:schemas-microsoft-com:office:smarttags" w:element="country-region">
        <w:smartTag w:uri="urn:schemas-microsoft-com:office:smarttags" w:element="place">
          <w:r w:rsidRPr="00C14674">
            <w:rPr>
              <w:szCs w:val="20"/>
            </w:rPr>
            <w:t>Argentina</w:t>
          </w:r>
        </w:smartTag>
      </w:smartTag>
      <w:r w:rsidRPr="00C14674">
        <w:rPr>
          <w:szCs w:val="20"/>
        </w:rPr>
        <w:t xml:space="preserve"> were key drivers behind the poor performance of the </w:t>
      </w:r>
      <w:r w:rsidR="00B80FCE" w:rsidRPr="00C14674">
        <w:rPr>
          <w:szCs w:val="20"/>
        </w:rPr>
        <w:t>Argentinean Operations</w:t>
      </w:r>
      <w:r w:rsidRPr="00C14674">
        <w:rPr>
          <w:szCs w:val="20"/>
        </w:rPr>
        <w:t xml:space="preserve"> and thus the Univeg Group’s decision to transfer those </w:t>
      </w:r>
      <w:r w:rsidR="00FD6C8D" w:rsidRPr="00C14674">
        <w:rPr>
          <w:szCs w:val="20"/>
        </w:rPr>
        <w:t>operations</w:t>
      </w:r>
      <w:r w:rsidRPr="00C14674">
        <w:rPr>
          <w:szCs w:val="20"/>
        </w:rPr>
        <w:t xml:space="preserve"> to an entity outside of the Univeg Group</w:t>
      </w:r>
      <w:r w:rsidR="00FD6C8D" w:rsidRPr="00C14674">
        <w:rPr>
          <w:szCs w:val="20"/>
        </w:rPr>
        <w:t xml:space="preserve"> (Orchards Invest B.V.)</w:t>
      </w:r>
      <w:r w:rsidRPr="00C14674">
        <w:rPr>
          <w:szCs w:val="20"/>
        </w:rPr>
        <w:t xml:space="preserve">. Its results of operations have also in the past been affected by social unrest in </w:t>
      </w:r>
      <w:smartTag w:uri="urn:schemas-microsoft-com:office:smarttags" w:element="country-region">
        <w:smartTag w:uri="urn:schemas-microsoft-com:office:smarttags" w:element="place">
          <w:r w:rsidRPr="00C14674">
            <w:rPr>
              <w:szCs w:val="20"/>
            </w:rPr>
            <w:t>Uruguay</w:t>
          </w:r>
        </w:smartTag>
      </w:smartTag>
      <w:r w:rsidRPr="00C14674">
        <w:rPr>
          <w:szCs w:val="20"/>
        </w:rPr>
        <w:t xml:space="preserve"> where labour strikes in 2012 caused by political instability in the country resulted in reduced crop yields. While the Univeg Group is highly dependent on the general economic climate which, inter alia, affects consumer spending in the different regions where the Univeg Group operates, the Univeg Group showed resilience during the global economic downturn in 2009 and 2010. The recent financial crisis had, however, a significant impact on the economic conditions of some of its suppliers and customers, thus indirectly affecting the Univeg Group.</w:t>
      </w:r>
    </w:p>
    <w:p w:rsidR="003F0BC5" w:rsidRPr="00C14674" w:rsidRDefault="003F0BC5" w:rsidP="003F0BC5">
      <w:pPr>
        <w:rPr>
          <w:szCs w:val="20"/>
        </w:rPr>
      </w:pPr>
      <w:r w:rsidRPr="00C14674">
        <w:rPr>
          <w:szCs w:val="20"/>
        </w:rPr>
        <w:t>The Russian import restrictions in 2014 did not directly materially affect the Univeg Group’s performance, however price levels of a number of product categories such as apples, pears and tomatoes, have decreased. Nevertheless, this unfavourable price impact was largely offset by price increases in other high value and value-added categories, such as avocadoes.</w:t>
      </w:r>
    </w:p>
    <w:p w:rsidR="003F0BC5" w:rsidRPr="00C14674" w:rsidRDefault="003F0BC5" w:rsidP="003F0BC5">
      <w:pPr>
        <w:rPr>
          <w:szCs w:val="20"/>
        </w:rPr>
      </w:pPr>
      <w:r w:rsidRPr="00C14674">
        <w:rPr>
          <w:szCs w:val="20"/>
        </w:rPr>
        <w:t>Its pricing and operating mechanisms have proven to be resilient to these changes in market prices and dynamics.</w:t>
      </w:r>
    </w:p>
    <w:p w:rsidR="003F0BC5" w:rsidRPr="00C14674" w:rsidRDefault="003F0BC5" w:rsidP="00353B80">
      <w:pPr>
        <w:pStyle w:val="Firm5L4"/>
        <w:keepNext/>
      </w:pPr>
      <w:r w:rsidRPr="00C14674">
        <w:lastRenderedPageBreak/>
        <w:t>Weather conditions</w:t>
      </w:r>
    </w:p>
    <w:p w:rsidR="003F0BC5" w:rsidRPr="00C14674" w:rsidRDefault="003F0BC5" w:rsidP="003F0BC5">
      <w:pPr>
        <w:rPr>
          <w:szCs w:val="20"/>
        </w:rPr>
      </w:pPr>
      <w:r w:rsidRPr="00C14674">
        <w:rPr>
          <w:szCs w:val="20"/>
        </w:rPr>
        <w:t xml:space="preserve">Fresh produce is vulnerable to adverse weather conditions, including windstorms, floods, drought and temperature extremes, which are quite common but difficult to predict and may be influenced by global climate change. Unfavourable growing conditions can reduce both crop size and crop quality. Delayed harvests (which typically depress prices for the produce when sold to customers as the produce can be viewed as </w:t>
      </w:r>
      <w:r w:rsidR="00BF553B" w:rsidRPr="00C14674">
        <w:rPr>
          <w:szCs w:val="20"/>
        </w:rPr>
        <w:t>“</w:t>
      </w:r>
      <w:r w:rsidRPr="00C14674">
        <w:rPr>
          <w:szCs w:val="20"/>
        </w:rPr>
        <w:t>unseasonal</w:t>
      </w:r>
      <w:r w:rsidR="00BF553B" w:rsidRPr="00C14674">
        <w:rPr>
          <w:szCs w:val="20"/>
        </w:rPr>
        <w:t>”</w:t>
      </w:r>
      <w:r w:rsidRPr="00C14674">
        <w:rPr>
          <w:szCs w:val="20"/>
        </w:rPr>
        <w:t>, and therefore less attractive, by the time it can be sold to consumers in stores), and scarce harvests (which typically increase competition among suppliers) tend to reduce the Univeg Group’s profit margins, as fixed costs (especially in relation to its Fruit Partners segment) remain constant.</w:t>
      </w:r>
    </w:p>
    <w:p w:rsidR="003F0BC5" w:rsidRPr="00C14674" w:rsidRDefault="003F0BC5" w:rsidP="003F0BC5">
      <w:pPr>
        <w:rPr>
          <w:szCs w:val="20"/>
        </w:rPr>
      </w:pPr>
      <w:r w:rsidRPr="00C14674">
        <w:rPr>
          <w:szCs w:val="20"/>
        </w:rPr>
        <w:t>Moreover, not only does weather have an impact on the supply of fresh produce but it also influences its demand. Certain products are more attractive to consumers when weather conditions are favourable. Sales of fruit and vegetables, for example, generally perform better during hot summers due to higher consumption connected to outdoor activities.</w:t>
      </w:r>
    </w:p>
    <w:p w:rsidR="003F0BC5" w:rsidRPr="00C14674" w:rsidRDefault="003F0BC5" w:rsidP="00353B80">
      <w:pPr>
        <w:pStyle w:val="Firm5L4"/>
        <w:keepNext/>
      </w:pPr>
      <w:r w:rsidRPr="00C14674">
        <w:t>Customer legislation</w:t>
      </w:r>
    </w:p>
    <w:p w:rsidR="003F0BC5" w:rsidRPr="00C14674" w:rsidRDefault="003F0BC5" w:rsidP="008E279D">
      <w:pPr>
        <w:rPr>
          <w:szCs w:val="20"/>
        </w:rPr>
      </w:pPr>
      <w:r w:rsidRPr="00C14674">
        <w:rPr>
          <w:szCs w:val="20"/>
        </w:rPr>
        <w:t>As a producer, marketer and distributor of fruit and vegetables with major operations within the EU, the Univeg Group is subject to a significant amount of legislation relating to its business. Compliance with certain EU regulations, in particular, can be costly and time consuming, such as regulations relating to the maximum level of pesticides residue allowed on produce, or those banning or restricting the use of certain types of gases normally used in connection with refrigeration and ripening.</w:t>
      </w:r>
    </w:p>
    <w:p w:rsidR="003F0BC5" w:rsidRPr="00C14674" w:rsidRDefault="003F0BC5" w:rsidP="00353B80">
      <w:pPr>
        <w:pStyle w:val="Firm5L2"/>
        <w:keepNext/>
        <w:keepLines/>
      </w:pPr>
      <w:bookmarkStart w:id="79" w:name="_Toc420593892"/>
      <w:r w:rsidRPr="00C14674">
        <w:t>Sourcing, supply and pricing framework for its Fruit and Vegetables segment</w:t>
      </w:r>
      <w:bookmarkEnd w:id="79"/>
    </w:p>
    <w:p w:rsidR="003F0BC5" w:rsidRPr="00C14674" w:rsidRDefault="003F0BC5" w:rsidP="00353B80">
      <w:pPr>
        <w:pStyle w:val="Firm5L3"/>
        <w:keepNext/>
        <w:keepLines/>
      </w:pPr>
      <w:r w:rsidRPr="00C14674">
        <w:t>Interaction with its Fruit and Vegetables business</w:t>
      </w:r>
    </w:p>
    <w:p w:rsidR="003F0BC5" w:rsidRPr="00C14674" w:rsidRDefault="003F0BC5" w:rsidP="00353B80">
      <w:pPr>
        <w:pStyle w:val="Firm5L4"/>
        <w:keepNext/>
        <w:keepLines/>
      </w:pPr>
      <w:r w:rsidRPr="00C14674">
        <w:t>Service business</w:t>
      </w:r>
    </w:p>
    <w:p w:rsidR="003F0BC5" w:rsidRPr="00C14674" w:rsidRDefault="003F0BC5" w:rsidP="003F0BC5">
      <w:pPr>
        <w:rPr>
          <w:szCs w:val="20"/>
        </w:rPr>
      </w:pPr>
      <w:r w:rsidRPr="00C14674">
        <w:rPr>
          <w:szCs w:val="20"/>
        </w:rPr>
        <w:t xml:space="preserve">As part of the Univeg Group’s service business, products are purchased, handled and delivered by the Univeg Group on behalf of the Univeg Group’s customers who direct it to make purchases through their preferred supplier. This is the current relationship that the Univeg Group has with two of its largest customers. Its service business is managed on a </w:t>
      </w:r>
      <w:r w:rsidR="00BF553B" w:rsidRPr="00C14674">
        <w:rPr>
          <w:szCs w:val="20"/>
        </w:rPr>
        <w:t>“</w:t>
      </w:r>
      <w:r w:rsidRPr="00C14674">
        <w:rPr>
          <w:szCs w:val="20"/>
        </w:rPr>
        <w:t>cost plus</w:t>
      </w:r>
      <w:r w:rsidR="00BF553B" w:rsidRPr="00C14674">
        <w:rPr>
          <w:szCs w:val="20"/>
        </w:rPr>
        <w:t>”</w:t>
      </w:r>
      <w:r w:rsidRPr="00C14674">
        <w:rPr>
          <w:szCs w:val="20"/>
        </w:rPr>
        <w:t xml:space="preserve"> model or on a fixed percentage margin model.</w:t>
      </w:r>
    </w:p>
    <w:p w:rsidR="003F0BC5" w:rsidRPr="00C14674" w:rsidRDefault="003F0BC5" w:rsidP="00353B80">
      <w:pPr>
        <w:pStyle w:val="Firm5L4"/>
        <w:keepNext/>
      </w:pPr>
      <w:r w:rsidRPr="00C14674">
        <w:t>Trading business</w:t>
      </w:r>
    </w:p>
    <w:p w:rsidR="003F0BC5" w:rsidRPr="00C14674" w:rsidRDefault="003F0BC5" w:rsidP="003F0BC5">
      <w:pPr>
        <w:rPr>
          <w:szCs w:val="20"/>
        </w:rPr>
      </w:pPr>
      <w:r w:rsidRPr="00C14674">
        <w:rPr>
          <w:szCs w:val="20"/>
        </w:rPr>
        <w:t xml:space="preserve">The trading business consists of the Univeg Group sourcing products (which will be resold to its customers) on its own behalf. The Univeg Group divides the trading business in </w:t>
      </w:r>
      <w:r w:rsidR="00BF553B" w:rsidRPr="00C14674">
        <w:rPr>
          <w:szCs w:val="20"/>
        </w:rPr>
        <w:t>“</w:t>
      </w:r>
      <w:r w:rsidRPr="00C14674">
        <w:rPr>
          <w:szCs w:val="20"/>
        </w:rPr>
        <w:t>short cycle,</w:t>
      </w:r>
      <w:r w:rsidR="00BF553B" w:rsidRPr="00C14674">
        <w:rPr>
          <w:szCs w:val="20"/>
        </w:rPr>
        <w:t>”</w:t>
      </w:r>
      <w:r w:rsidRPr="00C14674">
        <w:rPr>
          <w:szCs w:val="20"/>
        </w:rPr>
        <w:t xml:space="preserve"> </w:t>
      </w:r>
      <w:r w:rsidR="00BF553B" w:rsidRPr="00C14674">
        <w:rPr>
          <w:szCs w:val="20"/>
        </w:rPr>
        <w:t>“</w:t>
      </w:r>
      <w:r w:rsidR="001C63A3" w:rsidRPr="00C14674">
        <w:rPr>
          <w:szCs w:val="20"/>
        </w:rPr>
        <w:t>European</w:t>
      </w:r>
      <w:r w:rsidRPr="00C14674">
        <w:rPr>
          <w:szCs w:val="20"/>
        </w:rPr>
        <w:t xml:space="preserve"> import</w:t>
      </w:r>
      <w:r w:rsidR="00BF553B" w:rsidRPr="00C14674">
        <w:rPr>
          <w:szCs w:val="20"/>
        </w:rPr>
        <w:t>”</w:t>
      </w:r>
      <w:r w:rsidRPr="00C14674">
        <w:rPr>
          <w:szCs w:val="20"/>
        </w:rPr>
        <w:t xml:space="preserve"> and </w:t>
      </w:r>
      <w:r w:rsidR="00BF553B" w:rsidRPr="00C14674">
        <w:rPr>
          <w:szCs w:val="20"/>
        </w:rPr>
        <w:t>“</w:t>
      </w:r>
      <w:r w:rsidRPr="00C14674">
        <w:rPr>
          <w:szCs w:val="20"/>
        </w:rPr>
        <w:t>overseas import</w:t>
      </w:r>
      <w:r w:rsidR="00BF553B" w:rsidRPr="00C14674">
        <w:rPr>
          <w:szCs w:val="20"/>
        </w:rPr>
        <w:t>”</w:t>
      </w:r>
      <w:r w:rsidRPr="00C14674">
        <w:rPr>
          <w:szCs w:val="20"/>
        </w:rPr>
        <w:t>.</w:t>
      </w:r>
    </w:p>
    <w:p w:rsidR="003F0BC5" w:rsidRPr="00C14674" w:rsidRDefault="003F0BC5" w:rsidP="003F0BC5">
      <w:pPr>
        <w:ind w:left="720" w:hanging="720"/>
        <w:rPr>
          <w:i/>
          <w:szCs w:val="20"/>
        </w:rPr>
      </w:pPr>
      <w:r w:rsidRPr="00C14674">
        <w:rPr>
          <w:i/>
          <w:szCs w:val="20"/>
        </w:rPr>
        <w:t>Short cycle</w:t>
      </w:r>
    </w:p>
    <w:p w:rsidR="003F0BC5" w:rsidRPr="00C14674" w:rsidRDefault="003F0BC5" w:rsidP="003F0BC5">
      <w:pPr>
        <w:rPr>
          <w:szCs w:val="20"/>
        </w:rPr>
      </w:pPr>
      <w:r w:rsidRPr="00C14674">
        <w:rPr>
          <w:szCs w:val="20"/>
        </w:rPr>
        <w:t xml:space="preserve">This involves so called </w:t>
      </w:r>
      <w:r w:rsidR="00BF553B" w:rsidRPr="00C14674">
        <w:rPr>
          <w:szCs w:val="20"/>
        </w:rPr>
        <w:t>“</w:t>
      </w:r>
      <w:r w:rsidRPr="00C14674">
        <w:rPr>
          <w:szCs w:val="20"/>
        </w:rPr>
        <w:t>local to local</w:t>
      </w:r>
      <w:r w:rsidR="00BF553B" w:rsidRPr="00C14674">
        <w:rPr>
          <w:szCs w:val="20"/>
        </w:rPr>
        <w:t>”</w:t>
      </w:r>
      <w:r w:rsidRPr="00C14674">
        <w:rPr>
          <w:szCs w:val="20"/>
        </w:rPr>
        <w:t xml:space="preserve"> sourcing, </w:t>
      </w:r>
      <w:r w:rsidRPr="00C14674">
        <w:rPr>
          <w:i/>
          <w:szCs w:val="20"/>
        </w:rPr>
        <w:t>i.e.</w:t>
      </w:r>
      <w:r w:rsidRPr="00C14674">
        <w:rPr>
          <w:szCs w:val="20"/>
        </w:rPr>
        <w:t xml:space="preserve">, sourcing of products to be sold in the markets where they are produced. Its trading business (short cycle) is managed mostly on a </w:t>
      </w:r>
      <w:r w:rsidR="00BF553B" w:rsidRPr="00C14674">
        <w:rPr>
          <w:szCs w:val="20"/>
        </w:rPr>
        <w:t>“</w:t>
      </w:r>
      <w:r w:rsidRPr="00C14674">
        <w:rPr>
          <w:szCs w:val="20"/>
        </w:rPr>
        <w:t>back-to-back</w:t>
      </w:r>
      <w:r w:rsidR="00BF553B" w:rsidRPr="00C14674">
        <w:rPr>
          <w:szCs w:val="20"/>
        </w:rPr>
        <w:t>”</w:t>
      </w:r>
      <w:r w:rsidRPr="00C14674">
        <w:rPr>
          <w:szCs w:val="20"/>
        </w:rPr>
        <w:t xml:space="preserve"> basis.</w:t>
      </w:r>
    </w:p>
    <w:p w:rsidR="003F0BC5" w:rsidRPr="00C14674" w:rsidRDefault="003F0BC5" w:rsidP="003F0BC5">
      <w:pPr>
        <w:ind w:left="720" w:hanging="720"/>
        <w:rPr>
          <w:i/>
          <w:szCs w:val="20"/>
        </w:rPr>
      </w:pPr>
      <w:r w:rsidRPr="00C14674">
        <w:rPr>
          <w:i/>
          <w:szCs w:val="20"/>
        </w:rPr>
        <w:t>European import</w:t>
      </w:r>
    </w:p>
    <w:p w:rsidR="003F0BC5" w:rsidRPr="00C14674" w:rsidRDefault="003F0BC5" w:rsidP="003F0BC5">
      <w:pPr>
        <w:rPr>
          <w:szCs w:val="20"/>
        </w:rPr>
      </w:pPr>
      <w:r w:rsidRPr="00C14674">
        <w:rPr>
          <w:szCs w:val="20"/>
        </w:rPr>
        <w:t xml:space="preserve">This involves the sourcing of products in Europe </w:t>
      </w:r>
      <w:r w:rsidR="00703C66" w:rsidRPr="00C14674">
        <w:rPr>
          <w:szCs w:val="20"/>
        </w:rPr>
        <w:t xml:space="preserve">(mainly in </w:t>
      </w:r>
      <w:smartTag w:uri="urn:schemas-microsoft-com:office:smarttags" w:element="country-region">
        <w:r w:rsidR="00703C66" w:rsidRPr="00C14674">
          <w:rPr>
            <w:szCs w:val="20"/>
          </w:rPr>
          <w:t>Spain</w:t>
        </w:r>
      </w:smartTag>
      <w:r w:rsidR="00703C66" w:rsidRPr="00C14674">
        <w:rPr>
          <w:szCs w:val="20"/>
        </w:rPr>
        <w:t xml:space="preserve">, </w:t>
      </w:r>
      <w:smartTag w:uri="urn:schemas-microsoft-com:office:smarttags" w:element="country-region">
        <w:r w:rsidR="00703C66" w:rsidRPr="00C14674">
          <w:rPr>
            <w:szCs w:val="20"/>
          </w:rPr>
          <w:t>Italy</w:t>
        </w:r>
      </w:smartTag>
      <w:r w:rsidR="00703C66" w:rsidRPr="00C14674">
        <w:rPr>
          <w:szCs w:val="20"/>
        </w:rPr>
        <w:t xml:space="preserve"> and in T</w:t>
      </w:r>
      <w:r w:rsidRPr="00C14674">
        <w:rPr>
          <w:szCs w:val="20"/>
        </w:rPr>
        <w:t xml:space="preserve">he Netherlands) to be sold to retailers in </w:t>
      </w:r>
      <w:smartTag w:uri="urn:schemas-microsoft-com:office:smarttags" w:element="place">
        <w:r w:rsidRPr="00C14674">
          <w:rPr>
            <w:szCs w:val="20"/>
          </w:rPr>
          <w:t>Europe</w:t>
        </w:r>
      </w:smartTag>
      <w:r w:rsidRPr="00C14674">
        <w:rPr>
          <w:szCs w:val="20"/>
        </w:rPr>
        <w:t xml:space="preserve">. The trading businesses (European import) are managed mostly on a </w:t>
      </w:r>
      <w:r w:rsidR="00BF553B" w:rsidRPr="00C14674">
        <w:rPr>
          <w:szCs w:val="20"/>
        </w:rPr>
        <w:t>“</w:t>
      </w:r>
      <w:r w:rsidRPr="00C14674">
        <w:rPr>
          <w:szCs w:val="20"/>
        </w:rPr>
        <w:t>back-to-back</w:t>
      </w:r>
      <w:r w:rsidR="00BF553B" w:rsidRPr="00C14674">
        <w:rPr>
          <w:szCs w:val="20"/>
        </w:rPr>
        <w:t>”</w:t>
      </w:r>
      <w:r w:rsidRPr="00C14674">
        <w:rPr>
          <w:szCs w:val="20"/>
        </w:rPr>
        <w:t xml:space="preserve"> basis, and, to a lesser extent, on a fixed percentage margin model.</w:t>
      </w:r>
    </w:p>
    <w:p w:rsidR="003F0BC5" w:rsidRPr="00C14674" w:rsidRDefault="003F0BC5" w:rsidP="003F0BC5">
      <w:pPr>
        <w:ind w:left="720" w:hanging="720"/>
        <w:rPr>
          <w:i/>
          <w:szCs w:val="20"/>
        </w:rPr>
      </w:pPr>
      <w:r w:rsidRPr="00C14674">
        <w:rPr>
          <w:i/>
          <w:szCs w:val="20"/>
        </w:rPr>
        <w:t>Overseas import</w:t>
      </w:r>
    </w:p>
    <w:p w:rsidR="003F0BC5" w:rsidRPr="00C14674" w:rsidRDefault="003F0BC5" w:rsidP="003F0BC5">
      <w:pPr>
        <w:rPr>
          <w:szCs w:val="20"/>
        </w:rPr>
      </w:pPr>
      <w:r w:rsidRPr="00C14674">
        <w:rPr>
          <w:szCs w:val="20"/>
        </w:rPr>
        <w:t xml:space="preserve">This involves the sourcing of products overseas to be sold to retailers in </w:t>
      </w:r>
      <w:smartTag w:uri="urn:schemas-microsoft-com:office:smarttags" w:element="place">
        <w:r w:rsidRPr="00C14674">
          <w:rPr>
            <w:szCs w:val="20"/>
          </w:rPr>
          <w:t>Europe</w:t>
        </w:r>
      </w:smartTag>
      <w:r w:rsidRPr="00C14674">
        <w:rPr>
          <w:szCs w:val="20"/>
        </w:rPr>
        <w:t xml:space="preserve"> or other exporters. It comprises:</w:t>
      </w:r>
    </w:p>
    <w:p w:rsidR="003F0BC5" w:rsidRPr="00C14674" w:rsidRDefault="003F0BC5" w:rsidP="006D7D72">
      <w:pPr>
        <w:pStyle w:val="BulletsL1"/>
      </w:pPr>
      <w:r w:rsidRPr="00C14674">
        <w:t>Banana trade: under this item, one can refer to revenues generated by banana imports, which are managed on a free consignment basis and on a fixed percentage margin basis.</w:t>
      </w:r>
    </w:p>
    <w:p w:rsidR="003F0BC5" w:rsidRPr="00C14674" w:rsidRDefault="003F0BC5" w:rsidP="006D7D72">
      <w:pPr>
        <w:pStyle w:val="BulletsL1"/>
      </w:pPr>
      <w:r w:rsidRPr="00C14674">
        <w:t>Products purchased from the Univeg Group’s import units: some of this produce is sourced from Fruit Partners subsidiaries and TFFG. This is the line of business that the Company believes carries the greatest margin risk for the Univeg Group (as both production risk and market risk fall entirely on the Univeg Group). However, it is a relatively small portion of the Univeg Group’s overall business. The rest of the produce under this item is managed half on a free consignment basis and half on a minimum guaranteed price basis.</w:t>
      </w:r>
    </w:p>
    <w:p w:rsidR="003F0BC5" w:rsidRPr="00C14674" w:rsidRDefault="003F0BC5" w:rsidP="006D7D72">
      <w:pPr>
        <w:pStyle w:val="BulletsL1"/>
      </w:pPr>
      <w:r w:rsidRPr="00C14674">
        <w:t>Third party exporters: under this item, one can refer to products purchased from third party exporters, which are managed predominantly on a free consignment basis.</w:t>
      </w:r>
    </w:p>
    <w:p w:rsidR="003F0BC5" w:rsidRPr="00C14674" w:rsidRDefault="003F0BC5" w:rsidP="006D7D72">
      <w:pPr>
        <w:pStyle w:val="BulletsL1"/>
      </w:pPr>
      <w:r w:rsidRPr="00C14674">
        <w:lastRenderedPageBreak/>
        <w:t xml:space="preserve">Third party importers: under this item, one can refer to products purchased from companies that have already imported the product into </w:t>
      </w:r>
      <w:smartTag w:uri="urn:schemas-microsoft-com:office:smarttags" w:element="place">
        <w:r w:rsidRPr="00C14674">
          <w:t>Europe</w:t>
        </w:r>
      </w:smartTag>
      <w:r w:rsidRPr="00C14674">
        <w:t xml:space="preserve"> (usually in relation to </w:t>
      </w:r>
      <w:r w:rsidR="00BF553B" w:rsidRPr="00C14674">
        <w:t>“</w:t>
      </w:r>
      <w:r w:rsidRPr="00C14674">
        <w:t>branded</w:t>
      </w:r>
      <w:r w:rsidR="00BF553B" w:rsidRPr="00C14674">
        <w:t>”</w:t>
      </w:r>
      <w:r w:rsidRPr="00C14674">
        <w:t xml:space="preserve"> products bought for third party exporters such as Zespri kiwis, Enza apples etc). This is managed on a </w:t>
      </w:r>
      <w:r w:rsidR="00BF553B" w:rsidRPr="00C14674">
        <w:t>“</w:t>
      </w:r>
      <w:r w:rsidRPr="00C14674">
        <w:t>back-to-back</w:t>
      </w:r>
      <w:r w:rsidR="00BF553B" w:rsidRPr="00C14674">
        <w:t>”</w:t>
      </w:r>
      <w:r w:rsidRPr="00C14674">
        <w:t xml:space="preserve"> basis.</w:t>
      </w:r>
    </w:p>
    <w:p w:rsidR="003F0BC5" w:rsidRPr="00C14674" w:rsidRDefault="003F0BC5" w:rsidP="00353B80">
      <w:pPr>
        <w:pStyle w:val="Firm5L4"/>
        <w:keepNext/>
      </w:pPr>
      <w:r w:rsidRPr="00C14674">
        <w:t>Banana ripening</w:t>
      </w:r>
    </w:p>
    <w:p w:rsidR="003F0BC5" w:rsidRPr="00C14674" w:rsidRDefault="003F0BC5" w:rsidP="003F0BC5">
      <w:pPr>
        <w:rPr>
          <w:szCs w:val="20"/>
        </w:rPr>
      </w:pPr>
      <w:r w:rsidRPr="00C14674">
        <w:rPr>
          <w:szCs w:val="20"/>
        </w:rPr>
        <w:t xml:space="preserve">The banana ripening business relates to the agreement with a third party to provide ripened bananas. This is managed on a </w:t>
      </w:r>
      <w:r w:rsidR="00BF553B" w:rsidRPr="00C14674">
        <w:rPr>
          <w:szCs w:val="20"/>
        </w:rPr>
        <w:t>“</w:t>
      </w:r>
      <w:r w:rsidRPr="00C14674">
        <w:rPr>
          <w:szCs w:val="20"/>
        </w:rPr>
        <w:t>per box</w:t>
      </w:r>
      <w:r w:rsidR="00BF553B" w:rsidRPr="00C14674">
        <w:rPr>
          <w:szCs w:val="20"/>
        </w:rPr>
        <w:t>”</w:t>
      </w:r>
      <w:r w:rsidRPr="00C14674">
        <w:rPr>
          <w:szCs w:val="20"/>
        </w:rPr>
        <w:t xml:space="preserve"> basis.</w:t>
      </w:r>
    </w:p>
    <w:p w:rsidR="003F0BC5" w:rsidRPr="00C14674" w:rsidRDefault="003F0BC5" w:rsidP="00353B80">
      <w:pPr>
        <w:pStyle w:val="Firm5L2"/>
        <w:keepNext/>
      </w:pPr>
      <w:bookmarkStart w:id="80" w:name="_Toc420593893"/>
      <w:r w:rsidRPr="00C14674">
        <w:t>Results of operations</w:t>
      </w:r>
      <w:bookmarkEnd w:id="80"/>
    </w:p>
    <w:p w:rsidR="003F0BC5" w:rsidRPr="00C14674" w:rsidRDefault="003F0BC5" w:rsidP="003F0BC5">
      <w:pPr>
        <w:rPr>
          <w:szCs w:val="20"/>
        </w:rPr>
      </w:pPr>
      <w:r w:rsidRPr="00C14674">
        <w:rPr>
          <w:szCs w:val="20"/>
        </w:rPr>
        <w:t>The numbers presented under this Section are extracted from its audited consolidated financial statements prepared in accordance with IFRS for the financial years ended 31 December 2013 and 2014.</w:t>
      </w:r>
    </w:p>
    <w:p w:rsidR="003F0BC5" w:rsidRPr="00C14674" w:rsidRDefault="003F0BC5" w:rsidP="003F0BC5">
      <w:pPr>
        <w:rPr>
          <w:szCs w:val="20"/>
        </w:rPr>
      </w:pPr>
      <w:r w:rsidRPr="00C14674">
        <w:rPr>
          <w:szCs w:val="20"/>
        </w:rPr>
        <w:t xml:space="preserve">The following table sets forth certain financial information regarding its consolidated results of operations for the </w:t>
      </w:r>
      <w:r w:rsidR="00ED1BE9" w:rsidRPr="00C14674">
        <w:rPr>
          <w:szCs w:val="20"/>
        </w:rPr>
        <w:t xml:space="preserve">financial </w:t>
      </w:r>
      <w:r w:rsidRPr="00C14674">
        <w:rPr>
          <w:szCs w:val="20"/>
        </w:rPr>
        <w:t>years ended 31 December 2013 and 2014:</w:t>
      </w:r>
    </w:p>
    <w:tbl>
      <w:tblPr>
        <w:tblW w:w="0" w:type="auto"/>
        <w:tblLook w:val="04A0" w:firstRow="1" w:lastRow="0" w:firstColumn="1" w:lastColumn="0" w:noHBand="0" w:noVBand="1"/>
      </w:tblPr>
      <w:tblGrid>
        <w:gridCol w:w="5598"/>
        <w:gridCol w:w="1740"/>
        <w:gridCol w:w="1842"/>
      </w:tblGrid>
      <w:tr w:rsidR="00AB62FC" w:rsidRPr="00C14674" w:rsidTr="00AB62FC">
        <w:tc>
          <w:tcPr>
            <w:tcW w:w="5598" w:type="dxa"/>
            <w:shd w:val="clear" w:color="auto" w:fill="auto"/>
            <w:vAlign w:val="center"/>
          </w:tcPr>
          <w:p w:rsidR="00AB62FC" w:rsidRPr="00C14674" w:rsidRDefault="00AB62FC" w:rsidP="00AB62FC">
            <w:pPr>
              <w:spacing w:before="0" w:after="0"/>
              <w:jc w:val="left"/>
              <w:rPr>
                <w:bCs/>
                <w:i/>
                <w:sz w:val="18"/>
                <w:szCs w:val="18"/>
              </w:rPr>
            </w:pPr>
            <w:r w:rsidRPr="00C14674">
              <w:rPr>
                <w:bCs/>
                <w:i/>
                <w:sz w:val="18"/>
                <w:szCs w:val="18"/>
              </w:rPr>
              <w:t>(</w:t>
            </w:r>
            <w:r w:rsidR="00E53641">
              <w:rPr>
                <w:bCs/>
                <w:i/>
                <w:sz w:val="18"/>
                <w:szCs w:val="18"/>
              </w:rPr>
              <w:t>EUR </w:t>
            </w:r>
            <w:r w:rsidRPr="00C14674">
              <w:rPr>
                <w:bCs/>
                <w:i/>
                <w:sz w:val="18"/>
                <w:szCs w:val="18"/>
              </w:rPr>
              <w:t>in millions)</w:t>
            </w:r>
          </w:p>
        </w:tc>
        <w:tc>
          <w:tcPr>
            <w:tcW w:w="1740" w:type="dxa"/>
            <w:shd w:val="clear" w:color="auto" w:fill="auto"/>
          </w:tcPr>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 xml:space="preserve">Year ended </w:t>
            </w:r>
            <w:r w:rsidRPr="00C14674">
              <w:rPr>
                <w:b/>
                <w:bCs/>
                <w:sz w:val="18"/>
                <w:szCs w:val="18"/>
              </w:rPr>
              <w:br/>
              <w:t>31 December 2014</w:t>
            </w:r>
          </w:p>
        </w:tc>
        <w:tc>
          <w:tcPr>
            <w:tcW w:w="1842" w:type="dxa"/>
            <w:shd w:val="clear" w:color="auto" w:fill="auto"/>
            <w:vAlign w:val="bottom"/>
          </w:tcPr>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 xml:space="preserve">Year ended </w:t>
            </w:r>
            <w:r w:rsidRPr="00C14674">
              <w:rPr>
                <w:b/>
                <w:bCs/>
                <w:sz w:val="18"/>
                <w:szCs w:val="18"/>
              </w:rPr>
              <w:br/>
              <w:t>31 December 2013</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b/>
                <w:sz w:val="18"/>
                <w:szCs w:val="18"/>
              </w:rPr>
            </w:pPr>
            <w:r w:rsidRPr="00C14674">
              <w:rPr>
                <w:b/>
                <w:bCs/>
                <w:sz w:val="18"/>
                <w:szCs w:val="18"/>
              </w:rPr>
              <w:t>Summary Consolidated Statement of Income Data</w:t>
            </w:r>
          </w:p>
        </w:tc>
        <w:tc>
          <w:tcPr>
            <w:tcW w:w="1740" w:type="dxa"/>
            <w:shd w:val="clear" w:color="auto" w:fill="auto"/>
          </w:tcPr>
          <w:p w:rsidR="00AB62FC" w:rsidRPr="00C14674" w:rsidRDefault="00AB62FC" w:rsidP="00AB62FC">
            <w:pPr>
              <w:spacing w:before="0" w:after="0"/>
              <w:jc w:val="right"/>
              <w:rPr>
                <w:sz w:val="18"/>
                <w:szCs w:val="18"/>
              </w:rPr>
            </w:pPr>
          </w:p>
        </w:tc>
        <w:tc>
          <w:tcPr>
            <w:tcW w:w="1842" w:type="dxa"/>
            <w:shd w:val="clear" w:color="auto" w:fill="auto"/>
          </w:tcPr>
          <w:p w:rsidR="00AB62FC" w:rsidRPr="00C14674" w:rsidRDefault="00AB62FC" w:rsidP="00AB62FC">
            <w:pPr>
              <w:spacing w:before="0" w:after="0"/>
              <w:jc w:val="right"/>
              <w:rPr>
                <w:sz w:val="18"/>
                <w:szCs w:val="18"/>
              </w:rPr>
            </w:pP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b/>
                <w:sz w:val="18"/>
                <w:szCs w:val="18"/>
              </w:rPr>
            </w:pPr>
            <w:r w:rsidRPr="00C14674">
              <w:rPr>
                <w:sz w:val="18"/>
                <w:szCs w:val="18"/>
              </w:rPr>
              <w:t>Sales from continuing operations</w:t>
            </w:r>
            <w:r w:rsidRPr="00C14674">
              <w:rPr>
                <w:sz w:val="18"/>
                <w:szCs w:val="18"/>
              </w:rPr>
              <w:tab/>
            </w:r>
          </w:p>
        </w:tc>
        <w:tc>
          <w:tcPr>
            <w:tcW w:w="1740" w:type="dxa"/>
            <w:shd w:val="clear" w:color="auto" w:fill="auto"/>
          </w:tcPr>
          <w:p w:rsidR="00AB62FC" w:rsidRPr="00C14674" w:rsidRDefault="00AB62FC" w:rsidP="00AB62FC">
            <w:pPr>
              <w:spacing w:before="0" w:after="0"/>
              <w:jc w:val="right"/>
              <w:rPr>
                <w:sz w:val="18"/>
                <w:szCs w:val="18"/>
              </w:rPr>
            </w:pPr>
            <w:r w:rsidRPr="00C14674">
              <w:rPr>
                <w:sz w:val="18"/>
                <w:szCs w:val="18"/>
              </w:rPr>
              <w:t>3,170.7</w:t>
            </w:r>
          </w:p>
        </w:tc>
        <w:tc>
          <w:tcPr>
            <w:tcW w:w="1842" w:type="dxa"/>
            <w:shd w:val="clear" w:color="auto" w:fill="auto"/>
          </w:tcPr>
          <w:p w:rsidR="00AB62FC" w:rsidRPr="00C14674" w:rsidRDefault="00AB62FC" w:rsidP="00AB62FC">
            <w:pPr>
              <w:spacing w:before="0" w:after="0"/>
              <w:jc w:val="right"/>
              <w:rPr>
                <w:sz w:val="18"/>
                <w:szCs w:val="18"/>
              </w:rPr>
            </w:pPr>
            <w:r w:rsidRPr="00C14674">
              <w:rPr>
                <w:sz w:val="18"/>
                <w:szCs w:val="18"/>
              </w:rPr>
              <w:t>3,028.5</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b/>
                <w:sz w:val="18"/>
                <w:szCs w:val="18"/>
              </w:rPr>
            </w:pPr>
            <w:r w:rsidRPr="00C14674">
              <w:rPr>
                <w:sz w:val="18"/>
                <w:szCs w:val="18"/>
              </w:rPr>
              <w:t>Sales from discontinued operations</w:t>
            </w:r>
            <w:r w:rsidRPr="00C14674">
              <w:rPr>
                <w:sz w:val="18"/>
                <w:szCs w:val="18"/>
              </w:rPr>
              <w:tab/>
            </w:r>
          </w:p>
        </w:tc>
        <w:tc>
          <w:tcPr>
            <w:tcW w:w="1740" w:type="dxa"/>
            <w:shd w:val="clear" w:color="auto" w:fill="auto"/>
          </w:tcPr>
          <w:p w:rsidR="00AB62FC" w:rsidRPr="00C14674" w:rsidRDefault="00AB62FC" w:rsidP="00AB62FC">
            <w:pPr>
              <w:spacing w:before="0" w:after="0"/>
              <w:jc w:val="right"/>
              <w:rPr>
                <w:sz w:val="18"/>
                <w:szCs w:val="18"/>
              </w:rPr>
            </w:pPr>
            <w:r w:rsidRPr="00C14674">
              <w:rPr>
                <w:sz w:val="18"/>
                <w:szCs w:val="18"/>
              </w:rPr>
              <w:t>94.0</w:t>
            </w:r>
          </w:p>
        </w:tc>
        <w:tc>
          <w:tcPr>
            <w:tcW w:w="1842" w:type="dxa"/>
            <w:shd w:val="clear" w:color="auto" w:fill="auto"/>
          </w:tcPr>
          <w:p w:rsidR="00AB62FC" w:rsidRPr="00C14674" w:rsidRDefault="00AB62FC" w:rsidP="00AB62FC">
            <w:pPr>
              <w:spacing w:before="0" w:after="0"/>
              <w:jc w:val="right"/>
              <w:rPr>
                <w:sz w:val="18"/>
                <w:szCs w:val="18"/>
              </w:rPr>
            </w:pPr>
            <w:r w:rsidRPr="00C14674">
              <w:rPr>
                <w:sz w:val="18"/>
                <w:szCs w:val="18"/>
              </w:rPr>
              <w:t>106.1</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b/>
                <w:sz w:val="18"/>
                <w:szCs w:val="18"/>
              </w:rPr>
            </w:pPr>
            <w:r w:rsidRPr="00C14674">
              <w:rPr>
                <w:b/>
                <w:sz w:val="18"/>
                <w:szCs w:val="18"/>
              </w:rPr>
              <w:t>Revenue from sales</w:t>
            </w:r>
            <w:r w:rsidRPr="00C14674">
              <w:rPr>
                <w:sz w:val="18"/>
                <w:szCs w:val="18"/>
              </w:rPr>
              <w:tab/>
            </w:r>
          </w:p>
        </w:tc>
        <w:tc>
          <w:tcPr>
            <w:tcW w:w="1740" w:type="dxa"/>
            <w:shd w:val="clear" w:color="auto" w:fill="auto"/>
          </w:tcPr>
          <w:p w:rsidR="00AB62FC" w:rsidRPr="00C14674" w:rsidRDefault="00AB62FC" w:rsidP="00AB62FC">
            <w:pPr>
              <w:spacing w:before="0" w:after="0"/>
              <w:jc w:val="right"/>
              <w:rPr>
                <w:sz w:val="18"/>
                <w:szCs w:val="18"/>
              </w:rPr>
            </w:pPr>
            <w:r w:rsidRPr="00C14674">
              <w:rPr>
                <w:b/>
                <w:bCs/>
                <w:sz w:val="18"/>
                <w:szCs w:val="18"/>
              </w:rPr>
              <w:t>3,264.7</w:t>
            </w:r>
          </w:p>
        </w:tc>
        <w:tc>
          <w:tcPr>
            <w:tcW w:w="1842" w:type="dxa"/>
            <w:shd w:val="clear" w:color="auto" w:fill="auto"/>
          </w:tcPr>
          <w:p w:rsidR="00AB62FC" w:rsidRPr="00C14674" w:rsidRDefault="00AB62FC" w:rsidP="00AB62FC">
            <w:pPr>
              <w:spacing w:before="0" w:after="0"/>
              <w:jc w:val="right"/>
              <w:rPr>
                <w:sz w:val="18"/>
                <w:szCs w:val="18"/>
              </w:rPr>
            </w:pPr>
            <w:r w:rsidRPr="00C14674">
              <w:rPr>
                <w:b/>
                <w:bCs/>
                <w:sz w:val="18"/>
                <w:szCs w:val="18"/>
              </w:rPr>
              <w:t>3,134.6</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b/>
                <w:sz w:val="18"/>
                <w:szCs w:val="18"/>
              </w:rPr>
            </w:pPr>
            <w:r w:rsidRPr="00C14674">
              <w:rPr>
                <w:sz w:val="18"/>
                <w:szCs w:val="18"/>
              </w:rPr>
              <w:t>Cost of sales</w:t>
            </w:r>
            <w:r w:rsidRPr="00C14674">
              <w:rPr>
                <w:sz w:val="18"/>
                <w:szCs w:val="18"/>
              </w:rPr>
              <w:tab/>
            </w:r>
          </w:p>
        </w:tc>
        <w:tc>
          <w:tcPr>
            <w:tcW w:w="1740" w:type="dxa"/>
            <w:shd w:val="clear" w:color="auto" w:fill="auto"/>
          </w:tcPr>
          <w:p w:rsidR="00AB62FC" w:rsidRPr="00C14674" w:rsidRDefault="00AB62FC" w:rsidP="00AB62FC">
            <w:pPr>
              <w:pBdr>
                <w:bottom w:val="single" w:sz="4" w:space="1" w:color="auto"/>
              </w:pBdr>
              <w:spacing w:before="0" w:after="0"/>
              <w:jc w:val="right"/>
              <w:rPr>
                <w:sz w:val="18"/>
                <w:szCs w:val="18"/>
              </w:rPr>
            </w:pPr>
            <w:r w:rsidRPr="00C14674">
              <w:rPr>
                <w:sz w:val="18"/>
                <w:szCs w:val="18"/>
              </w:rPr>
              <w:t>(3,052.8)</w:t>
            </w:r>
          </w:p>
        </w:tc>
        <w:tc>
          <w:tcPr>
            <w:tcW w:w="1842" w:type="dxa"/>
            <w:shd w:val="clear" w:color="auto" w:fill="auto"/>
          </w:tcPr>
          <w:p w:rsidR="00AB62FC" w:rsidRPr="00C14674" w:rsidRDefault="00AB62FC" w:rsidP="00AB62FC">
            <w:pPr>
              <w:pBdr>
                <w:bottom w:val="single" w:sz="4" w:space="1" w:color="auto"/>
              </w:pBdr>
              <w:spacing w:before="0" w:after="0"/>
              <w:jc w:val="right"/>
              <w:rPr>
                <w:sz w:val="18"/>
                <w:szCs w:val="18"/>
              </w:rPr>
            </w:pPr>
            <w:r w:rsidRPr="00C14674">
              <w:rPr>
                <w:sz w:val="18"/>
                <w:szCs w:val="18"/>
              </w:rPr>
              <w:t>(2,925.1)</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b/>
                <w:sz w:val="18"/>
                <w:szCs w:val="18"/>
              </w:rPr>
            </w:pPr>
            <w:r w:rsidRPr="00C14674">
              <w:rPr>
                <w:b/>
                <w:sz w:val="18"/>
                <w:szCs w:val="18"/>
              </w:rPr>
              <w:t>Gross</w:t>
            </w:r>
            <w:r w:rsidRPr="00C14674">
              <w:rPr>
                <w:b/>
                <w:bCs/>
                <w:sz w:val="18"/>
                <w:szCs w:val="18"/>
              </w:rPr>
              <w:t xml:space="preserve"> profit</w:t>
            </w:r>
            <w:r w:rsidRPr="00C14674">
              <w:rPr>
                <w:bCs/>
                <w:sz w:val="18"/>
                <w:szCs w:val="18"/>
              </w:rPr>
              <w:tab/>
            </w:r>
          </w:p>
        </w:tc>
        <w:tc>
          <w:tcPr>
            <w:tcW w:w="1740" w:type="dxa"/>
            <w:shd w:val="clear" w:color="auto" w:fill="auto"/>
          </w:tcPr>
          <w:p w:rsidR="00AB62FC" w:rsidRPr="00C14674" w:rsidRDefault="00AB62FC" w:rsidP="00AB62FC">
            <w:pPr>
              <w:spacing w:before="0" w:after="0"/>
              <w:jc w:val="right"/>
              <w:rPr>
                <w:sz w:val="18"/>
                <w:szCs w:val="18"/>
              </w:rPr>
            </w:pPr>
            <w:r w:rsidRPr="00C14674">
              <w:rPr>
                <w:b/>
                <w:bCs/>
                <w:sz w:val="18"/>
                <w:szCs w:val="18"/>
              </w:rPr>
              <w:t>211.9</w:t>
            </w:r>
          </w:p>
        </w:tc>
        <w:tc>
          <w:tcPr>
            <w:tcW w:w="1842" w:type="dxa"/>
            <w:shd w:val="clear" w:color="auto" w:fill="auto"/>
          </w:tcPr>
          <w:p w:rsidR="00AB62FC" w:rsidRPr="00C14674" w:rsidRDefault="00AB62FC" w:rsidP="00AB62FC">
            <w:pPr>
              <w:spacing w:before="0" w:after="0"/>
              <w:jc w:val="right"/>
              <w:rPr>
                <w:sz w:val="18"/>
                <w:szCs w:val="18"/>
              </w:rPr>
            </w:pPr>
            <w:r w:rsidRPr="00C14674">
              <w:rPr>
                <w:b/>
                <w:bCs/>
                <w:sz w:val="18"/>
                <w:szCs w:val="18"/>
              </w:rPr>
              <w:t>209.5</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b/>
                <w:sz w:val="18"/>
                <w:szCs w:val="18"/>
              </w:rPr>
            </w:pPr>
            <w:r w:rsidRPr="00C14674">
              <w:rPr>
                <w:sz w:val="18"/>
                <w:szCs w:val="18"/>
              </w:rPr>
              <w:t>Selling, marketing and distribution expenses</w:t>
            </w:r>
            <w:r w:rsidRPr="00C14674">
              <w:rPr>
                <w:sz w:val="18"/>
                <w:szCs w:val="18"/>
              </w:rPr>
              <w:tab/>
            </w:r>
          </w:p>
        </w:tc>
        <w:tc>
          <w:tcPr>
            <w:tcW w:w="1740" w:type="dxa"/>
            <w:shd w:val="clear" w:color="auto" w:fill="auto"/>
          </w:tcPr>
          <w:p w:rsidR="00AB62FC" w:rsidRPr="00C14674" w:rsidRDefault="00AB62FC" w:rsidP="00AB62FC">
            <w:pPr>
              <w:spacing w:before="0" w:after="0"/>
              <w:jc w:val="right"/>
              <w:rPr>
                <w:sz w:val="18"/>
                <w:szCs w:val="18"/>
              </w:rPr>
            </w:pPr>
            <w:r w:rsidRPr="00C14674">
              <w:rPr>
                <w:sz w:val="18"/>
                <w:szCs w:val="18"/>
              </w:rPr>
              <w:t>(64.6)</w:t>
            </w:r>
          </w:p>
        </w:tc>
        <w:tc>
          <w:tcPr>
            <w:tcW w:w="1842" w:type="dxa"/>
            <w:shd w:val="clear" w:color="auto" w:fill="auto"/>
          </w:tcPr>
          <w:p w:rsidR="00AB62FC" w:rsidRPr="00C14674" w:rsidRDefault="00AB62FC" w:rsidP="00AB62FC">
            <w:pPr>
              <w:spacing w:before="0" w:after="0"/>
              <w:jc w:val="right"/>
              <w:rPr>
                <w:sz w:val="18"/>
                <w:szCs w:val="18"/>
              </w:rPr>
            </w:pPr>
            <w:r w:rsidRPr="00C14674">
              <w:rPr>
                <w:sz w:val="18"/>
                <w:szCs w:val="18"/>
              </w:rPr>
              <w:t>(60.3)</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b/>
                <w:sz w:val="18"/>
                <w:szCs w:val="18"/>
              </w:rPr>
            </w:pPr>
            <w:r w:rsidRPr="00C14674">
              <w:rPr>
                <w:sz w:val="18"/>
                <w:szCs w:val="18"/>
              </w:rPr>
              <w:t>General &amp; administrative expenses</w:t>
            </w:r>
            <w:r w:rsidRPr="00C14674">
              <w:rPr>
                <w:sz w:val="18"/>
                <w:szCs w:val="18"/>
              </w:rPr>
              <w:tab/>
            </w:r>
          </w:p>
        </w:tc>
        <w:tc>
          <w:tcPr>
            <w:tcW w:w="1740" w:type="dxa"/>
            <w:shd w:val="clear" w:color="auto" w:fill="auto"/>
          </w:tcPr>
          <w:p w:rsidR="00AB62FC" w:rsidRPr="00C14674" w:rsidRDefault="00AB62FC" w:rsidP="00AB62FC">
            <w:pPr>
              <w:spacing w:before="0" w:after="0"/>
              <w:jc w:val="right"/>
              <w:rPr>
                <w:sz w:val="18"/>
                <w:szCs w:val="18"/>
              </w:rPr>
            </w:pPr>
            <w:r w:rsidRPr="00C14674">
              <w:rPr>
                <w:sz w:val="18"/>
                <w:szCs w:val="18"/>
              </w:rPr>
              <w:t>(112.7)</w:t>
            </w:r>
          </w:p>
        </w:tc>
        <w:tc>
          <w:tcPr>
            <w:tcW w:w="1842" w:type="dxa"/>
            <w:shd w:val="clear" w:color="auto" w:fill="auto"/>
          </w:tcPr>
          <w:p w:rsidR="00AB62FC" w:rsidRPr="00C14674" w:rsidRDefault="00AB62FC" w:rsidP="00AB62FC">
            <w:pPr>
              <w:spacing w:before="0" w:after="0"/>
              <w:jc w:val="right"/>
              <w:rPr>
                <w:sz w:val="18"/>
                <w:szCs w:val="18"/>
              </w:rPr>
            </w:pPr>
            <w:r w:rsidRPr="00C14674">
              <w:rPr>
                <w:sz w:val="18"/>
                <w:szCs w:val="18"/>
              </w:rPr>
              <w:t>(109.5)</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b/>
                <w:sz w:val="18"/>
                <w:szCs w:val="18"/>
              </w:rPr>
            </w:pPr>
            <w:r w:rsidRPr="00C14674">
              <w:rPr>
                <w:sz w:val="18"/>
                <w:szCs w:val="18"/>
              </w:rPr>
              <w:t>Other operating income/(expense), net</w:t>
            </w:r>
            <w:r w:rsidRPr="00C14674">
              <w:rPr>
                <w:sz w:val="18"/>
                <w:szCs w:val="18"/>
              </w:rPr>
              <w:tab/>
            </w:r>
          </w:p>
        </w:tc>
        <w:tc>
          <w:tcPr>
            <w:tcW w:w="1740" w:type="dxa"/>
            <w:shd w:val="clear" w:color="auto" w:fill="auto"/>
          </w:tcPr>
          <w:p w:rsidR="00AB62FC" w:rsidRPr="00C14674" w:rsidRDefault="00AB62FC" w:rsidP="00AB62FC">
            <w:pPr>
              <w:spacing w:before="0" w:after="0"/>
              <w:jc w:val="right"/>
              <w:rPr>
                <w:sz w:val="18"/>
                <w:szCs w:val="18"/>
              </w:rPr>
            </w:pPr>
            <w:r w:rsidRPr="00C14674">
              <w:rPr>
                <w:sz w:val="18"/>
                <w:szCs w:val="18"/>
              </w:rPr>
              <w:t>3.7</w:t>
            </w:r>
          </w:p>
        </w:tc>
        <w:tc>
          <w:tcPr>
            <w:tcW w:w="1842" w:type="dxa"/>
            <w:shd w:val="clear" w:color="auto" w:fill="auto"/>
          </w:tcPr>
          <w:p w:rsidR="00AB62FC" w:rsidRPr="00C14674" w:rsidRDefault="00AB62FC" w:rsidP="00AB62FC">
            <w:pPr>
              <w:spacing w:before="0" w:after="0"/>
              <w:jc w:val="right"/>
              <w:rPr>
                <w:sz w:val="18"/>
                <w:szCs w:val="18"/>
              </w:rPr>
            </w:pPr>
            <w:r w:rsidRPr="00C14674">
              <w:rPr>
                <w:sz w:val="18"/>
                <w:szCs w:val="18"/>
              </w:rPr>
              <w:t>1.9</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sz w:val="18"/>
                <w:szCs w:val="18"/>
              </w:rPr>
            </w:pPr>
            <w:r w:rsidRPr="00C14674">
              <w:rPr>
                <w:b/>
                <w:sz w:val="18"/>
                <w:szCs w:val="18"/>
              </w:rPr>
              <w:t>Operating profit/(loss) before non-recurring items</w:t>
            </w:r>
            <w:r w:rsidRPr="00C14674">
              <w:rPr>
                <w:sz w:val="18"/>
                <w:szCs w:val="18"/>
              </w:rPr>
              <w:tab/>
            </w:r>
          </w:p>
        </w:tc>
        <w:tc>
          <w:tcPr>
            <w:tcW w:w="1740" w:type="dxa"/>
            <w:shd w:val="clear" w:color="auto" w:fill="auto"/>
          </w:tcPr>
          <w:p w:rsidR="00AB62FC" w:rsidRPr="00C14674" w:rsidRDefault="00AB62FC" w:rsidP="00AB62FC">
            <w:pPr>
              <w:spacing w:before="0" w:after="0"/>
              <w:jc w:val="right"/>
              <w:rPr>
                <w:sz w:val="18"/>
                <w:szCs w:val="18"/>
              </w:rPr>
            </w:pPr>
            <w:r w:rsidRPr="00C14674">
              <w:rPr>
                <w:b/>
                <w:bCs/>
                <w:sz w:val="18"/>
                <w:szCs w:val="18"/>
              </w:rPr>
              <w:t>38.3</w:t>
            </w:r>
          </w:p>
        </w:tc>
        <w:tc>
          <w:tcPr>
            <w:tcW w:w="1842" w:type="dxa"/>
            <w:shd w:val="clear" w:color="auto" w:fill="auto"/>
          </w:tcPr>
          <w:p w:rsidR="00AB62FC" w:rsidRPr="00C14674" w:rsidRDefault="00AB62FC" w:rsidP="00AB62FC">
            <w:pPr>
              <w:spacing w:before="0" w:after="0"/>
              <w:jc w:val="right"/>
              <w:rPr>
                <w:sz w:val="18"/>
                <w:szCs w:val="18"/>
              </w:rPr>
            </w:pPr>
            <w:r w:rsidRPr="00C14674">
              <w:rPr>
                <w:b/>
                <w:bCs/>
                <w:sz w:val="18"/>
                <w:szCs w:val="18"/>
              </w:rPr>
              <w:t>41.6</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sz w:val="18"/>
                <w:szCs w:val="18"/>
              </w:rPr>
            </w:pPr>
            <w:r w:rsidRPr="00C14674">
              <w:rPr>
                <w:sz w:val="18"/>
                <w:szCs w:val="18"/>
              </w:rPr>
              <w:t>Non-recurring items</w:t>
            </w:r>
            <w:r w:rsidRPr="00C14674">
              <w:rPr>
                <w:sz w:val="18"/>
                <w:szCs w:val="18"/>
              </w:rPr>
              <w:tab/>
            </w:r>
          </w:p>
        </w:tc>
        <w:tc>
          <w:tcPr>
            <w:tcW w:w="1740" w:type="dxa"/>
            <w:shd w:val="clear" w:color="auto" w:fill="auto"/>
          </w:tcPr>
          <w:p w:rsidR="00AB62FC" w:rsidRPr="00C14674" w:rsidRDefault="00AB62FC" w:rsidP="00AB62FC">
            <w:pPr>
              <w:spacing w:before="0" w:after="0"/>
              <w:jc w:val="right"/>
              <w:rPr>
                <w:sz w:val="18"/>
                <w:szCs w:val="18"/>
              </w:rPr>
            </w:pPr>
            <w:r w:rsidRPr="00C14674">
              <w:rPr>
                <w:sz w:val="18"/>
                <w:szCs w:val="18"/>
              </w:rPr>
              <w:t>15.0</w:t>
            </w:r>
          </w:p>
        </w:tc>
        <w:tc>
          <w:tcPr>
            <w:tcW w:w="1842" w:type="dxa"/>
            <w:shd w:val="clear" w:color="auto" w:fill="auto"/>
          </w:tcPr>
          <w:p w:rsidR="00AB62FC" w:rsidRPr="00C14674" w:rsidRDefault="00AB62FC" w:rsidP="00AB62FC">
            <w:pPr>
              <w:spacing w:before="0" w:after="0"/>
              <w:jc w:val="right"/>
              <w:rPr>
                <w:sz w:val="18"/>
                <w:szCs w:val="18"/>
              </w:rPr>
            </w:pPr>
            <w:r w:rsidRPr="00C14674">
              <w:rPr>
                <w:sz w:val="18"/>
                <w:szCs w:val="18"/>
              </w:rPr>
              <w:t>13.9</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sz w:val="18"/>
                <w:szCs w:val="18"/>
              </w:rPr>
            </w:pPr>
            <w:r w:rsidRPr="00C14674">
              <w:rPr>
                <w:b/>
                <w:sz w:val="18"/>
                <w:szCs w:val="18"/>
              </w:rPr>
              <w:t>Operating profit/(loss) after non-recurring items</w:t>
            </w:r>
            <w:r w:rsidRPr="00C14674">
              <w:rPr>
                <w:sz w:val="18"/>
                <w:szCs w:val="18"/>
              </w:rPr>
              <w:tab/>
            </w:r>
          </w:p>
        </w:tc>
        <w:tc>
          <w:tcPr>
            <w:tcW w:w="1740" w:type="dxa"/>
            <w:shd w:val="clear" w:color="auto" w:fill="auto"/>
          </w:tcPr>
          <w:p w:rsidR="00AB62FC" w:rsidRPr="00C14674" w:rsidRDefault="00AB62FC" w:rsidP="00AB62FC">
            <w:pPr>
              <w:spacing w:before="0" w:after="0"/>
              <w:jc w:val="right"/>
              <w:rPr>
                <w:sz w:val="18"/>
                <w:szCs w:val="18"/>
              </w:rPr>
            </w:pPr>
            <w:r w:rsidRPr="00C14674">
              <w:rPr>
                <w:b/>
                <w:bCs/>
                <w:sz w:val="18"/>
                <w:szCs w:val="18"/>
              </w:rPr>
              <w:t>53.3</w:t>
            </w:r>
          </w:p>
        </w:tc>
        <w:tc>
          <w:tcPr>
            <w:tcW w:w="1842" w:type="dxa"/>
            <w:shd w:val="clear" w:color="auto" w:fill="auto"/>
          </w:tcPr>
          <w:p w:rsidR="00AB62FC" w:rsidRPr="00C14674" w:rsidRDefault="00AB62FC" w:rsidP="00AB62FC">
            <w:pPr>
              <w:spacing w:before="0" w:after="0"/>
              <w:jc w:val="right"/>
              <w:rPr>
                <w:sz w:val="18"/>
                <w:szCs w:val="18"/>
              </w:rPr>
            </w:pPr>
            <w:r w:rsidRPr="00C14674">
              <w:rPr>
                <w:b/>
                <w:bCs/>
                <w:sz w:val="18"/>
                <w:szCs w:val="18"/>
              </w:rPr>
              <w:t>55.5</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sz w:val="18"/>
                <w:szCs w:val="18"/>
              </w:rPr>
            </w:pPr>
            <w:r w:rsidRPr="00C14674">
              <w:rPr>
                <w:sz w:val="18"/>
                <w:szCs w:val="18"/>
              </w:rPr>
              <w:t>Financial income/(expense)</w:t>
            </w:r>
            <w:r w:rsidRPr="00C14674">
              <w:rPr>
                <w:sz w:val="18"/>
                <w:szCs w:val="18"/>
              </w:rPr>
              <w:tab/>
            </w:r>
          </w:p>
        </w:tc>
        <w:tc>
          <w:tcPr>
            <w:tcW w:w="1740" w:type="dxa"/>
            <w:shd w:val="clear" w:color="auto" w:fill="auto"/>
          </w:tcPr>
          <w:p w:rsidR="00AB62FC" w:rsidRPr="00C14674" w:rsidRDefault="00AB62FC" w:rsidP="00AB62FC">
            <w:pPr>
              <w:spacing w:before="0" w:after="0"/>
              <w:jc w:val="right"/>
              <w:rPr>
                <w:sz w:val="18"/>
                <w:szCs w:val="18"/>
              </w:rPr>
            </w:pPr>
            <w:r w:rsidRPr="00C14674">
              <w:rPr>
                <w:sz w:val="18"/>
                <w:szCs w:val="18"/>
              </w:rPr>
              <w:t>(40.4)</w:t>
            </w:r>
          </w:p>
        </w:tc>
        <w:tc>
          <w:tcPr>
            <w:tcW w:w="1842" w:type="dxa"/>
            <w:shd w:val="clear" w:color="auto" w:fill="auto"/>
          </w:tcPr>
          <w:p w:rsidR="00AB62FC" w:rsidRPr="00C14674" w:rsidRDefault="00AB62FC" w:rsidP="00AB62FC">
            <w:pPr>
              <w:spacing w:before="0" w:after="0"/>
              <w:jc w:val="right"/>
              <w:rPr>
                <w:sz w:val="18"/>
                <w:szCs w:val="18"/>
              </w:rPr>
            </w:pPr>
            <w:r w:rsidRPr="00C14674">
              <w:rPr>
                <w:sz w:val="18"/>
                <w:szCs w:val="18"/>
              </w:rPr>
              <w:t>(34.1)</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sz w:val="18"/>
                <w:szCs w:val="18"/>
              </w:rPr>
            </w:pPr>
            <w:r w:rsidRPr="00C14674">
              <w:rPr>
                <w:sz w:val="18"/>
                <w:szCs w:val="18"/>
              </w:rPr>
              <w:t>Share of profit of equity accounted investments</w:t>
            </w:r>
            <w:r w:rsidRPr="00C14674">
              <w:rPr>
                <w:sz w:val="18"/>
                <w:szCs w:val="18"/>
              </w:rPr>
              <w:tab/>
            </w:r>
          </w:p>
        </w:tc>
        <w:tc>
          <w:tcPr>
            <w:tcW w:w="1740" w:type="dxa"/>
            <w:shd w:val="clear" w:color="auto" w:fill="auto"/>
          </w:tcPr>
          <w:p w:rsidR="00AB62FC" w:rsidRPr="00C14674" w:rsidRDefault="00AB62FC" w:rsidP="00AB62FC">
            <w:pPr>
              <w:pBdr>
                <w:bottom w:val="single" w:sz="4" w:space="1" w:color="auto"/>
              </w:pBdr>
              <w:spacing w:before="0" w:after="0"/>
              <w:jc w:val="right"/>
              <w:rPr>
                <w:sz w:val="18"/>
                <w:szCs w:val="18"/>
              </w:rPr>
            </w:pPr>
            <w:r w:rsidRPr="00C14674">
              <w:rPr>
                <w:sz w:val="18"/>
                <w:szCs w:val="18"/>
              </w:rPr>
              <w:t>1.6</w:t>
            </w:r>
          </w:p>
        </w:tc>
        <w:tc>
          <w:tcPr>
            <w:tcW w:w="1842" w:type="dxa"/>
            <w:shd w:val="clear" w:color="auto" w:fill="auto"/>
          </w:tcPr>
          <w:p w:rsidR="00AB62FC" w:rsidRPr="00C14674" w:rsidRDefault="00AB62FC" w:rsidP="00AB62FC">
            <w:pPr>
              <w:pBdr>
                <w:bottom w:val="single" w:sz="4" w:space="1" w:color="auto"/>
              </w:pBdr>
              <w:spacing w:before="0" w:after="0"/>
              <w:jc w:val="right"/>
              <w:rPr>
                <w:sz w:val="18"/>
                <w:szCs w:val="18"/>
              </w:rPr>
            </w:pPr>
            <w:r w:rsidRPr="00C14674">
              <w:rPr>
                <w:sz w:val="18"/>
                <w:szCs w:val="18"/>
              </w:rPr>
              <w:t>0.4</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sz w:val="18"/>
                <w:szCs w:val="18"/>
              </w:rPr>
            </w:pPr>
            <w:r w:rsidRPr="00C14674">
              <w:rPr>
                <w:b/>
                <w:sz w:val="18"/>
                <w:szCs w:val="18"/>
              </w:rPr>
              <w:t>Profit/(loss) before income tax</w:t>
            </w:r>
            <w:r w:rsidRPr="00C14674">
              <w:rPr>
                <w:sz w:val="18"/>
                <w:szCs w:val="18"/>
              </w:rPr>
              <w:tab/>
            </w:r>
          </w:p>
        </w:tc>
        <w:tc>
          <w:tcPr>
            <w:tcW w:w="1740" w:type="dxa"/>
            <w:shd w:val="clear" w:color="auto" w:fill="auto"/>
          </w:tcPr>
          <w:p w:rsidR="00AB62FC" w:rsidRPr="00C14674" w:rsidRDefault="00AB62FC" w:rsidP="00AB62FC">
            <w:pPr>
              <w:spacing w:before="0" w:after="0"/>
              <w:jc w:val="right"/>
              <w:rPr>
                <w:sz w:val="18"/>
                <w:szCs w:val="18"/>
              </w:rPr>
            </w:pPr>
            <w:r w:rsidRPr="00C14674">
              <w:rPr>
                <w:b/>
                <w:bCs/>
                <w:sz w:val="18"/>
                <w:szCs w:val="18"/>
              </w:rPr>
              <w:t>14.5</w:t>
            </w:r>
          </w:p>
        </w:tc>
        <w:tc>
          <w:tcPr>
            <w:tcW w:w="1842" w:type="dxa"/>
            <w:shd w:val="clear" w:color="auto" w:fill="auto"/>
          </w:tcPr>
          <w:p w:rsidR="00AB62FC" w:rsidRPr="00C14674" w:rsidRDefault="00AB62FC" w:rsidP="00AB62FC">
            <w:pPr>
              <w:spacing w:before="0" w:after="0"/>
              <w:jc w:val="right"/>
              <w:rPr>
                <w:sz w:val="18"/>
                <w:szCs w:val="18"/>
              </w:rPr>
            </w:pPr>
            <w:r w:rsidRPr="00C14674">
              <w:rPr>
                <w:b/>
                <w:bCs/>
                <w:sz w:val="18"/>
                <w:szCs w:val="18"/>
              </w:rPr>
              <w:t>21,9</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sz w:val="18"/>
                <w:szCs w:val="18"/>
              </w:rPr>
            </w:pPr>
            <w:r w:rsidRPr="00C14674">
              <w:rPr>
                <w:sz w:val="18"/>
                <w:szCs w:val="18"/>
              </w:rPr>
              <w:t>Income tax income/(expense)</w:t>
            </w:r>
            <w:r w:rsidRPr="00C14674">
              <w:rPr>
                <w:sz w:val="18"/>
                <w:szCs w:val="18"/>
              </w:rPr>
              <w:tab/>
            </w:r>
          </w:p>
        </w:tc>
        <w:tc>
          <w:tcPr>
            <w:tcW w:w="1740" w:type="dxa"/>
            <w:shd w:val="clear" w:color="auto" w:fill="auto"/>
          </w:tcPr>
          <w:p w:rsidR="00AB62FC" w:rsidRPr="00C14674" w:rsidRDefault="00AB62FC" w:rsidP="00AB62FC">
            <w:pPr>
              <w:pBdr>
                <w:bottom w:val="single" w:sz="4" w:space="1" w:color="auto"/>
              </w:pBdr>
              <w:spacing w:before="0" w:after="0"/>
              <w:jc w:val="right"/>
              <w:rPr>
                <w:sz w:val="18"/>
                <w:szCs w:val="18"/>
              </w:rPr>
            </w:pPr>
            <w:r w:rsidRPr="00C14674">
              <w:rPr>
                <w:sz w:val="18"/>
                <w:szCs w:val="18"/>
              </w:rPr>
              <w:t>2.1</w:t>
            </w:r>
          </w:p>
        </w:tc>
        <w:tc>
          <w:tcPr>
            <w:tcW w:w="1842" w:type="dxa"/>
            <w:shd w:val="clear" w:color="auto" w:fill="auto"/>
          </w:tcPr>
          <w:p w:rsidR="00AB62FC" w:rsidRPr="00C14674" w:rsidRDefault="00AB62FC" w:rsidP="00AB62FC">
            <w:pPr>
              <w:pBdr>
                <w:bottom w:val="single" w:sz="4" w:space="1" w:color="auto"/>
              </w:pBdr>
              <w:spacing w:before="0" w:after="0"/>
              <w:jc w:val="right"/>
              <w:rPr>
                <w:sz w:val="18"/>
                <w:szCs w:val="18"/>
              </w:rPr>
            </w:pPr>
            <w:r w:rsidRPr="00C14674">
              <w:rPr>
                <w:sz w:val="18"/>
                <w:szCs w:val="18"/>
              </w:rPr>
              <w:t>(5.6)</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sz w:val="18"/>
                <w:szCs w:val="18"/>
              </w:rPr>
            </w:pPr>
            <w:r w:rsidRPr="00C14674">
              <w:rPr>
                <w:b/>
                <w:sz w:val="18"/>
                <w:szCs w:val="18"/>
              </w:rPr>
              <w:t>Profit/(loss) for the period from continuing operations</w:t>
            </w:r>
            <w:r w:rsidRPr="00C14674">
              <w:rPr>
                <w:sz w:val="18"/>
                <w:szCs w:val="18"/>
              </w:rPr>
              <w:tab/>
            </w:r>
          </w:p>
        </w:tc>
        <w:tc>
          <w:tcPr>
            <w:tcW w:w="1740" w:type="dxa"/>
            <w:shd w:val="clear" w:color="auto" w:fill="auto"/>
          </w:tcPr>
          <w:p w:rsidR="00AB62FC" w:rsidRPr="00C14674" w:rsidRDefault="00AB62FC" w:rsidP="00AB62FC">
            <w:pPr>
              <w:spacing w:before="0" w:after="0"/>
              <w:jc w:val="right"/>
              <w:rPr>
                <w:sz w:val="18"/>
                <w:szCs w:val="18"/>
              </w:rPr>
            </w:pPr>
            <w:r w:rsidRPr="00C14674">
              <w:rPr>
                <w:b/>
                <w:bCs/>
                <w:sz w:val="18"/>
                <w:szCs w:val="18"/>
              </w:rPr>
              <w:t>16.6</w:t>
            </w:r>
          </w:p>
        </w:tc>
        <w:tc>
          <w:tcPr>
            <w:tcW w:w="1842" w:type="dxa"/>
            <w:shd w:val="clear" w:color="auto" w:fill="auto"/>
          </w:tcPr>
          <w:p w:rsidR="00AB62FC" w:rsidRPr="00C14674" w:rsidRDefault="00AB62FC" w:rsidP="00AB62FC">
            <w:pPr>
              <w:spacing w:before="0" w:after="0"/>
              <w:jc w:val="right"/>
              <w:rPr>
                <w:sz w:val="18"/>
                <w:szCs w:val="18"/>
              </w:rPr>
            </w:pPr>
            <w:r w:rsidRPr="00C14674">
              <w:rPr>
                <w:b/>
                <w:bCs/>
                <w:sz w:val="18"/>
                <w:szCs w:val="18"/>
              </w:rPr>
              <w:t>16,3</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sz w:val="18"/>
                <w:szCs w:val="18"/>
              </w:rPr>
            </w:pPr>
            <w:r w:rsidRPr="00C14674">
              <w:rPr>
                <w:sz w:val="18"/>
                <w:szCs w:val="18"/>
              </w:rPr>
              <w:t>Discontinued operations (attributable to owners of the parent)</w:t>
            </w:r>
            <w:r w:rsidRPr="00C14674">
              <w:rPr>
                <w:sz w:val="18"/>
                <w:szCs w:val="18"/>
              </w:rPr>
              <w:tab/>
            </w:r>
          </w:p>
        </w:tc>
        <w:tc>
          <w:tcPr>
            <w:tcW w:w="1740" w:type="dxa"/>
            <w:shd w:val="clear" w:color="auto" w:fill="auto"/>
          </w:tcPr>
          <w:p w:rsidR="00AB62FC" w:rsidRPr="00C14674" w:rsidRDefault="00AB62FC" w:rsidP="00AB62FC">
            <w:pPr>
              <w:pBdr>
                <w:bottom w:val="single" w:sz="4" w:space="1" w:color="auto"/>
              </w:pBdr>
              <w:spacing w:before="0" w:after="0"/>
              <w:jc w:val="right"/>
              <w:rPr>
                <w:sz w:val="18"/>
                <w:szCs w:val="18"/>
              </w:rPr>
            </w:pPr>
            <w:r w:rsidRPr="00C14674">
              <w:rPr>
                <w:sz w:val="18"/>
                <w:szCs w:val="18"/>
              </w:rPr>
              <w:t>—</w:t>
            </w:r>
          </w:p>
        </w:tc>
        <w:tc>
          <w:tcPr>
            <w:tcW w:w="1842" w:type="dxa"/>
            <w:shd w:val="clear" w:color="auto" w:fill="auto"/>
          </w:tcPr>
          <w:p w:rsidR="00AB62FC" w:rsidRPr="00C14674" w:rsidRDefault="00AB62FC" w:rsidP="00AB62FC">
            <w:pPr>
              <w:pBdr>
                <w:bottom w:val="single" w:sz="4" w:space="1" w:color="auto"/>
              </w:pBdr>
              <w:spacing w:before="0" w:after="0"/>
              <w:jc w:val="right"/>
              <w:rPr>
                <w:sz w:val="18"/>
                <w:szCs w:val="18"/>
              </w:rPr>
            </w:pPr>
            <w:r w:rsidRPr="00C14674">
              <w:rPr>
                <w:sz w:val="18"/>
                <w:szCs w:val="18"/>
              </w:rPr>
              <w:t>(0.3)</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sz w:val="18"/>
                <w:szCs w:val="18"/>
              </w:rPr>
            </w:pPr>
            <w:r w:rsidRPr="00C14674">
              <w:rPr>
                <w:b/>
                <w:sz w:val="18"/>
                <w:szCs w:val="18"/>
              </w:rPr>
              <w:t>Profit/(loss) for period</w:t>
            </w:r>
            <w:r w:rsidRPr="00C14674">
              <w:rPr>
                <w:sz w:val="18"/>
                <w:szCs w:val="18"/>
              </w:rPr>
              <w:tab/>
            </w:r>
          </w:p>
        </w:tc>
        <w:tc>
          <w:tcPr>
            <w:tcW w:w="1740" w:type="dxa"/>
            <w:shd w:val="clear" w:color="auto" w:fill="auto"/>
          </w:tcPr>
          <w:p w:rsidR="00AB62FC" w:rsidRPr="00C14674" w:rsidRDefault="00AB62FC" w:rsidP="00AB62FC">
            <w:pPr>
              <w:pBdr>
                <w:bottom w:val="double" w:sz="4" w:space="1" w:color="auto"/>
              </w:pBdr>
              <w:spacing w:before="0" w:after="0"/>
              <w:jc w:val="right"/>
              <w:rPr>
                <w:sz w:val="18"/>
                <w:szCs w:val="18"/>
              </w:rPr>
            </w:pPr>
            <w:r w:rsidRPr="00C14674">
              <w:rPr>
                <w:b/>
                <w:bCs/>
                <w:sz w:val="18"/>
                <w:szCs w:val="18"/>
              </w:rPr>
              <w:t>16.6</w:t>
            </w:r>
          </w:p>
        </w:tc>
        <w:tc>
          <w:tcPr>
            <w:tcW w:w="1842" w:type="dxa"/>
            <w:shd w:val="clear" w:color="auto" w:fill="auto"/>
          </w:tcPr>
          <w:p w:rsidR="00AB62FC" w:rsidRPr="00C14674" w:rsidRDefault="00AB62FC" w:rsidP="00AB62FC">
            <w:pPr>
              <w:pBdr>
                <w:bottom w:val="double" w:sz="4" w:space="1" w:color="auto"/>
              </w:pBdr>
              <w:spacing w:before="0" w:after="0"/>
              <w:jc w:val="right"/>
              <w:rPr>
                <w:sz w:val="18"/>
                <w:szCs w:val="18"/>
              </w:rPr>
            </w:pPr>
            <w:r w:rsidRPr="00C14674">
              <w:rPr>
                <w:b/>
                <w:bCs/>
                <w:sz w:val="18"/>
                <w:szCs w:val="18"/>
              </w:rPr>
              <w:t>16.0</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sz w:val="18"/>
                <w:szCs w:val="18"/>
              </w:rPr>
            </w:pPr>
          </w:p>
        </w:tc>
        <w:tc>
          <w:tcPr>
            <w:tcW w:w="1740" w:type="dxa"/>
            <w:shd w:val="clear" w:color="auto" w:fill="auto"/>
          </w:tcPr>
          <w:p w:rsidR="00AB62FC" w:rsidRPr="00C14674" w:rsidRDefault="00AB62FC" w:rsidP="00AB62FC">
            <w:pPr>
              <w:spacing w:before="0" w:after="0"/>
              <w:jc w:val="right"/>
              <w:rPr>
                <w:sz w:val="18"/>
                <w:szCs w:val="18"/>
              </w:rPr>
            </w:pPr>
          </w:p>
        </w:tc>
        <w:tc>
          <w:tcPr>
            <w:tcW w:w="1842" w:type="dxa"/>
            <w:shd w:val="clear" w:color="auto" w:fill="auto"/>
          </w:tcPr>
          <w:p w:rsidR="00AB62FC" w:rsidRPr="00C14674" w:rsidRDefault="00AB62FC" w:rsidP="00AB62FC">
            <w:pPr>
              <w:spacing w:before="0" w:after="0"/>
              <w:jc w:val="right"/>
              <w:rPr>
                <w:sz w:val="18"/>
                <w:szCs w:val="18"/>
              </w:rPr>
            </w:pP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sz w:val="18"/>
                <w:szCs w:val="18"/>
              </w:rPr>
            </w:pPr>
            <w:r w:rsidRPr="00C14674">
              <w:rPr>
                <w:b/>
                <w:bCs/>
                <w:sz w:val="18"/>
                <w:szCs w:val="18"/>
              </w:rPr>
              <w:t>Other Financial Data</w:t>
            </w:r>
          </w:p>
        </w:tc>
        <w:tc>
          <w:tcPr>
            <w:tcW w:w="1740" w:type="dxa"/>
            <w:shd w:val="clear" w:color="auto" w:fill="auto"/>
          </w:tcPr>
          <w:p w:rsidR="00AB62FC" w:rsidRPr="00C14674" w:rsidRDefault="00AB62FC" w:rsidP="00AB62FC">
            <w:pPr>
              <w:spacing w:before="0" w:after="0"/>
              <w:jc w:val="right"/>
              <w:rPr>
                <w:sz w:val="18"/>
                <w:szCs w:val="18"/>
              </w:rPr>
            </w:pPr>
          </w:p>
        </w:tc>
        <w:tc>
          <w:tcPr>
            <w:tcW w:w="1842" w:type="dxa"/>
            <w:shd w:val="clear" w:color="auto" w:fill="auto"/>
          </w:tcPr>
          <w:p w:rsidR="00AB62FC" w:rsidRPr="00C14674" w:rsidRDefault="00AB62FC" w:rsidP="00AB62FC">
            <w:pPr>
              <w:spacing w:before="0" w:after="0"/>
              <w:jc w:val="right"/>
              <w:rPr>
                <w:sz w:val="18"/>
                <w:szCs w:val="18"/>
              </w:rPr>
            </w:pP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b/>
                <w:sz w:val="18"/>
                <w:szCs w:val="18"/>
              </w:rPr>
            </w:pPr>
            <w:r w:rsidRPr="00C14674">
              <w:rPr>
                <w:sz w:val="18"/>
                <w:szCs w:val="18"/>
              </w:rPr>
              <w:t>Capital expenditures</w:t>
            </w:r>
            <w:r w:rsidRPr="00C14674">
              <w:rPr>
                <w:sz w:val="18"/>
                <w:szCs w:val="18"/>
              </w:rPr>
              <w:tab/>
            </w:r>
          </w:p>
        </w:tc>
        <w:tc>
          <w:tcPr>
            <w:tcW w:w="1740" w:type="dxa"/>
            <w:shd w:val="clear" w:color="auto" w:fill="auto"/>
          </w:tcPr>
          <w:p w:rsidR="00AB62FC" w:rsidRPr="00C14674" w:rsidRDefault="00AB62FC" w:rsidP="00AB62FC">
            <w:pPr>
              <w:pBdr>
                <w:bottom w:val="single" w:sz="4" w:space="1" w:color="auto"/>
              </w:pBdr>
              <w:spacing w:before="0" w:after="0"/>
              <w:jc w:val="right"/>
              <w:rPr>
                <w:b/>
                <w:sz w:val="18"/>
                <w:szCs w:val="18"/>
              </w:rPr>
            </w:pPr>
            <w:r w:rsidRPr="00C14674">
              <w:rPr>
                <w:b/>
                <w:sz w:val="18"/>
                <w:szCs w:val="18"/>
              </w:rPr>
              <w:t>22.1</w:t>
            </w:r>
          </w:p>
        </w:tc>
        <w:tc>
          <w:tcPr>
            <w:tcW w:w="1842" w:type="dxa"/>
            <w:shd w:val="clear" w:color="auto" w:fill="auto"/>
          </w:tcPr>
          <w:p w:rsidR="00AB62FC" w:rsidRPr="00C14674" w:rsidRDefault="00AB62FC" w:rsidP="00AB62FC">
            <w:pPr>
              <w:pBdr>
                <w:bottom w:val="single" w:sz="4" w:space="1" w:color="auto"/>
              </w:pBdr>
              <w:spacing w:before="0" w:after="0"/>
              <w:jc w:val="right"/>
              <w:rPr>
                <w:b/>
                <w:sz w:val="18"/>
                <w:szCs w:val="18"/>
              </w:rPr>
            </w:pPr>
            <w:r w:rsidRPr="00C14674">
              <w:rPr>
                <w:b/>
                <w:sz w:val="18"/>
                <w:szCs w:val="18"/>
              </w:rPr>
              <w:t>20.6</w:t>
            </w:r>
          </w:p>
        </w:tc>
      </w:tr>
    </w:tbl>
    <w:p w:rsidR="003F0BC5" w:rsidRPr="00C14674" w:rsidRDefault="003F0BC5" w:rsidP="00353B80">
      <w:pPr>
        <w:pStyle w:val="Firm5L3"/>
        <w:keepNext/>
      </w:pPr>
      <w:r w:rsidRPr="00C14674">
        <w:t>Revenues</w:t>
      </w:r>
    </w:p>
    <w:tbl>
      <w:tblPr>
        <w:tblW w:w="0" w:type="auto"/>
        <w:tblLook w:val="04A0" w:firstRow="1" w:lastRow="0" w:firstColumn="1" w:lastColumn="0" w:noHBand="0" w:noVBand="1"/>
      </w:tblPr>
      <w:tblGrid>
        <w:gridCol w:w="5598"/>
        <w:gridCol w:w="1740"/>
        <w:gridCol w:w="1842"/>
      </w:tblGrid>
      <w:tr w:rsidR="00AB62FC" w:rsidRPr="00C14674" w:rsidTr="00AB62FC">
        <w:tc>
          <w:tcPr>
            <w:tcW w:w="5598" w:type="dxa"/>
            <w:shd w:val="clear" w:color="auto" w:fill="auto"/>
            <w:vAlign w:val="center"/>
          </w:tcPr>
          <w:p w:rsidR="00AB62FC" w:rsidRPr="00C14674" w:rsidRDefault="00AB62FC" w:rsidP="00AB62FC">
            <w:pPr>
              <w:spacing w:before="0" w:after="0"/>
              <w:jc w:val="left"/>
              <w:rPr>
                <w:bCs/>
                <w:i/>
                <w:sz w:val="18"/>
                <w:szCs w:val="18"/>
              </w:rPr>
            </w:pPr>
            <w:r w:rsidRPr="00C14674">
              <w:rPr>
                <w:bCs/>
                <w:i/>
                <w:sz w:val="18"/>
                <w:szCs w:val="18"/>
              </w:rPr>
              <w:t>(</w:t>
            </w:r>
            <w:r w:rsidR="00E53641">
              <w:rPr>
                <w:bCs/>
                <w:i/>
                <w:sz w:val="18"/>
                <w:szCs w:val="18"/>
              </w:rPr>
              <w:t>EUR </w:t>
            </w:r>
            <w:r w:rsidRPr="00C14674">
              <w:rPr>
                <w:bCs/>
                <w:i/>
                <w:sz w:val="18"/>
                <w:szCs w:val="18"/>
              </w:rPr>
              <w:t>in millions)</w:t>
            </w:r>
          </w:p>
        </w:tc>
        <w:tc>
          <w:tcPr>
            <w:tcW w:w="1740" w:type="dxa"/>
            <w:shd w:val="clear" w:color="auto" w:fill="auto"/>
          </w:tcPr>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 xml:space="preserve">Year Ended </w:t>
            </w:r>
            <w:r w:rsidRPr="00C14674">
              <w:rPr>
                <w:b/>
                <w:bCs/>
                <w:sz w:val="18"/>
                <w:szCs w:val="18"/>
              </w:rPr>
              <w:br/>
              <w:t>31 December 2014</w:t>
            </w:r>
          </w:p>
        </w:tc>
        <w:tc>
          <w:tcPr>
            <w:tcW w:w="1842" w:type="dxa"/>
            <w:shd w:val="clear" w:color="auto" w:fill="auto"/>
            <w:vAlign w:val="bottom"/>
          </w:tcPr>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 xml:space="preserve">Year Ended </w:t>
            </w:r>
            <w:r w:rsidRPr="00C14674">
              <w:rPr>
                <w:b/>
                <w:bCs/>
                <w:sz w:val="18"/>
                <w:szCs w:val="18"/>
              </w:rPr>
              <w:br/>
              <w:t>31 December 2013</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b/>
                <w:sz w:val="18"/>
                <w:szCs w:val="18"/>
              </w:rPr>
            </w:pPr>
            <w:r w:rsidRPr="00C14674">
              <w:rPr>
                <w:sz w:val="18"/>
                <w:szCs w:val="18"/>
              </w:rPr>
              <w:t>Sales of the continuing operations</w:t>
            </w:r>
            <w:r w:rsidRPr="00C14674">
              <w:rPr>
                <w:sz w:val="18"/>
                <w:szCs w:val="18"/>
              </w:rPr>
              <w:tab/>
            </w:r>
          </w:p>
        </w:tc>
        <w:tc>
          <w:tcPr>
            <w:tcW w:w="1740" w:type="dxa"/>
            <w:shd w:val="clear" w:color="auto" w:fill="auto"/>
          </w:tcPr>
          <w:p w:rsidR="00AB62FC" w:rsidRPr="00C14674" w:rsidRDefault="00AB62FC" w:rsidP="00AB62FC">
            <w:pPr>
              <w:spacing w:before="0" w:after="0"/>
              <w:jc w:val="right"/>
              <w:rPr>
                <w:sz w:val="18"/>
                <w:szCs w:val="18"/>
              </w:rPr>
            </w:pPr>
            <w:r w:rsidRPr="00C14674">
              <w:rPr>
                <w:sz w:val="18"/>
                <w:szCs w:val="18"/>
              </w:rPr>
              <w:t>3,170.7</w:t>
            </w:r>
          </w:p>
        </w:tc>
        <w:tc>
          <w:tcPr>
            <w:tcW w:w="1842" w:type="dxa"/>
            <w:shd w:val="clear" w:color="auto" w:fill="auto"/>
          </w:tcPr>
          <w:p w:rsidR="00AB62FC" w:rsidRPr="00C14674" w:rsidRDefault="00AB62FC" w:rsidP="00AB62FC">
            <w:pPr>
              <w:spacing w:before="0" w:after="0"/>
              <w:jc w:val="right"/>
              <w:rPr>
                <w:sz w:val="18"/>
                <w:szCs w:val="18"/>
              </w:rPr>
            </w:pPr>
            <w:r w:rsidRPr="00C14674">
              <w:rPr>
                <w:sz w:val="18"/>
                <w:szCs w:val="18"/>
              </w:rPr>
              <w:t>3,028.5</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b/>
                <w:sz w:val="18"/>
                <w:szCs w:val="18"/>
              </w:rPr>
            </w:pPr>
            <w:r w:rsidRPr="00C14674">
              <w:rPr>
                <w:sz w:val="18"/>
                <w:szCs w:val="18"/>
              </w:rPr>
              <w:t>Sales of discontinued operations</w:t>
            </w:r>
            <w:r w:rsidRPr="00C14674">
              <w:rPr>
                <w:sz w:val="18"/>
                <w:szCs w:val="18"/>
              </w:rPr>
              <w:tab/>
            </w:r>
          </w:p>
        </w:tc>
        <w:tc>
          <w:tcPr>
            <w:tcW w:w="1740" w:type="dxa"/>
            <w:shd w:val="clear" w:color="auto" w:fill="auto"/>
          </w:tcPr>
          <w:p w:rsidR="00AB62FC" w:rsidRPr="00C14674" w:rsidRDefault="00AB62FC" w:rsidP="00AB62FC">
            <w:pPr>
              <w:pBdr>
                <w:bottom w:val="single" w:sz="4" w:space="1" w:color="auto"/>
              </w:pBdr>
              <w:spacing w:before="0" w:after="0"/>
              <w:jc w:val="right"/>
              <w:rPr>
                <w:sz w:val="18"/>
                <w:szCs w:val="18"/>
              </w:rPr>
            </w:pPr>
            <w:r w:rsidRPr="00C14674">
              <w:rPr>
                <w:sz w:val="18"/>
                <w:szCs w:val="18"/>
              </w:rPr>
              <w:t>94.0</w:t>
            </w:r>
          </w:p>
        </w:tc>
        <w:tc>
          <w:tcPr>
            <w:tcW w:w="1842" w:type="dxa"/>
            <w:shd w:val="clear" w:color="auto" w:fill="auto"/>
          </w:tcPr>
          <w:p w:rsidR="00AB62FC" w:rsidRPr="00C14674" w:rsidRDefault="00AB62FC" w:rsidP="00AB62FC">
            <w:pPr>
              <w:pBdr>
                <w:bottom w:val="single" w:sz="4" w:space="1" w:color="auto"/>
              </w:pBdr>
              <w:spacing w:before="0" w:after="0"/>
              <w:jc w:val="right"/>
              <w:rPr>
                <w:sz w:val="18"/>
                <w:szCs w:val="18"/>
              </w:rPr>
            </w:pPr>
            <w:r w:rsidRPr="00C14674">
              <w:rPr>
                <w:sz w:val="18"/>
                <w:szCs w:val="18"/>
              </w:rPr>
              <w:t>106.1</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40"/>
              <w:ind w:left="90" w:hanging="90"/>
              <w:jc w:val="left"/>
              <w:rPr>
                <w:bCs/>
                <w:sz w:val="18"/>
                <w:szCs w:val="18"/>
              </w:rPr>
            </w:pPr>
            <w:r w:rsidRPr="00C14674">
              <w:rPr>
                <w:b/>
                <w:bCs/>
                <w:sz w:val="18"/>
                <w:szCs w:val="18"/>
              </w:rPr>
              <w:t>Sales</w:t>
            </w:r>
            <w:r w:rsidRPr="00C14674">
              <w:rPr>
                <w:bCs/>
                <w:sz w:val="18"/>
                <w:szCs w:val="18"/>
              </w:rPr>
              <w:tab/>
            </w:r>
          </w:p>
        </w:tc>
        <w:tc>
          <w:tcPr>
            <w:tcW w:w="1740" w:type="dxa"/>
            <w:shd w:val="clear" w:color="auto" w:fill="auto"/>
          </w:tcPr>
          <w:p w:rsidR="00AB62FC" w:rsidRPr="00C14674" w:rsidRDefault="00AB62FC" w:rsidP="00AB62FC">
            <w:pPr>
              <w:pBdr>
                <w:bottom w:val="double" w:sz="4" w:space="1" w:color="auto"/>
              </w:pBdr>
              <w:spacing w:before="0" w:after="40"/>
              <w:jc w:val="right"/>
              <w:rPr>
                <w:sz w:val="18"/>
                <w:szCs w:val="18"/>
              </w:rPr>
            </w:pPr>
            <w:r w:rsidRPr="00C14674">
              <w:rPr>
                <w:b/>
                <w:bCs/>
                <w:sz w:val="18"/>
                <w:szCs w:val="18"/>
              </w:rPr>
              <w:t>3,264.7</w:t>
            </w:r>
          </w:p>
        </w:tc>
        <w:tc>
          <w:tcPr>
            <w:tcW w:w="1842" w:type="dxa"/>
            <w:shd w:val="clear" w:color="auto" w:fill="auto"/>
          </w:tcPr>
          <w:p w:rsidR="00AB62FC" w:rsidRPr="00C14674" w:rsidRDefault="00AB62FC" w:rsidP="00AB62FC">
            <w:pPr>
              <w:pBdr>
                <w:bottom w:val="double" w:sz="4" w:space="1" w:color="auto"/>
              </w:pBdr>
              <w:spacing w:before="0" w:after="40"/>
              <w:jc w:val="right"/>
              <w:rPr>
                <w:sz w:val="18"/>
                <w:szCs w:val="18"/>
              </w:rPr>
            </w:pPr>
            <w:r w:rsidRPr="00C14674">
              <w:rPr>
                <w:b/>
                <w:bCs/>
                <w:sz w:val="18"/>
                <w:szCs w:val="18"/>
              </w:rPr>
              <w:t>3,134.6</w:t>
            </w:r>
          </w:p>
        </w:tc>
      </w:tr>
    </w:tbl>
    <w:p w:rsidR="003F0BC5" w:rsidRPr="00C14674" w:rsidRDefault="003F0BC5" w:rsidP="001C136A">
      <w:pPr>
        <w:rPr>
          <w:szCs w:val="20"/>
        </w:rPr>
      </w:pPr>
      <w:r w:rsidRPr="00C14674">
        <w:rPr>
          <w:szCs w:val="20"/>
        </w:rPr>
        <w:t xml:space="preserve">Total revenue from sales amounts to </w:t>
      </w:r>
      <w:r w:rsidR="00E53641">
        <w:rPr>
          <w:szCs w:val="20"/>
        </w:rPr>
        <w:t>EUR </w:t>
      </w:r>
      <w:r w:rsidRPr="00C14674">
        <w:rPr>
          <w:szCs w:val="20"/>
        </w:rPr>
        <w:t xml:space="preserve">3,264,700,000 </w:t>
      </w:r>
      <w:r w:rsidR="00ED1BE9" w:rsidRPr="00C14674">
        <w:rPr>
          <w:szCs w:val="20"/>
        </w:rPr>
        <w:t>for the financial year ended 31 December</w:t>
      </w:r>
      <w:r w:rsidRPr="00C14674">
        <w:rPr>
          <w:szCs w:val="20"/>
        </w:rPr>
        <w:t xml:space="preserve"> 2014 representing an increase of </w:t>
      </w:r>
      <w:r w:rsidR="00E53641">
        <w:rPr>
          <w:szCs w:val="20"/>
        </w:rPr>
        <w:t>EUR </w:t>
      </w:r>
      <w:r w:rsidRPr="00C14674">
        <w:rPr>
          <w:szCs w:val="20"/>
        </w:rPr>
        <w:t xml:space="preserve">130,100,000 compared to the </w:t>
      </w:r>
      <w:r w:rsidR="00ED1BE9" w:rsidRPr="00C14674">
        <w:rPr>
          <w:szCs w:val="20"/>
        </w:rPr>
        <w:t xml:space="preserve">financial </w:t>
      </w:r>
      <w:r w:rsidRPr="00C14674">
        <w:rPr>
          <w:szCs w:val="20"/>
        </w:rPr>
        <w:t xml:space="preserve">year ended 31 December 2013. </w:t>
      </w:r>
      <w:r w:rsidR="00BA7632" w:rsidRPr="00C14674">
        <w:rPr>
          <w:szCs w:val="20"/>
        </w:rPr>
        <w:t>Continuing</w:t>
      </w:r>
      <w:r w:rsidRPr="00C14674">
        <w:rPr>
          <w:szCs w:val="20"/>
        </w:rPr>
        <w:t xml:space="preserve"> business activities triggered an increase of </w:t>
      </w:r>
      <w:r w:rsidR="00E53641">
        <w:rPr>
          <w:szCs w:val="20"/>
        </w:rPr>
        <w:t>EUR </w:t>
      </w:r>
      <w:r w:rsidRPr="00C14674">
        <w:rPr>
          <w:szCs w:val="20"/>
        </w:rPr>
        <w:t xml:space="preserve">142,200,000 or 4.7% compared to the previous year while discontinued activities recorded a drop of </w:t>
      </w:r>
      <w:r w:rsidR="00E53641">
        <w:rPr>
          <w:szCs w:val="20"/>
        </w:rPr>
        <w:t>EUR </w:t>
      </w:r>
      <w:r w:rsidRPr="00C14674">
        <w:rPr>
          <w:szCs w:val="20"/>
        </w:rPr>
        <w:t>12,100,000. The Fruit &amp; Vegetables segment is the main driver of top line growth and contributes for over 90% to the consolidated sales. The sales allocated to the Fruit &amp; Vegetables segment are generated through the entire value chain in the fruit and vegetables category for supermarkets, from production to import/ export and related services such as packaging.</w:t>
      </w:r>
    </w:p>
    <w:p w:rsidR="003F0BC5" w:rsidRPr="00C14674" w:rsidRDefault="003F0BC5" w:rsidP="003F0BC5">
      <w:pPr>
        <w:rPr>
          <w:szCs w:val="20"/>
        </w:rPr>
      </w:pPr>
      <w:r w:rsidRPr="00C14674">
        <w:rPr>
          <w:szCs w:val="20"/>
        </w:rPr>
        <w:t>Other segments include Fruit Partners, Flowers &amp; Plants and Transport &amp; Logistics. Sales in the Transport &amp; Logistics segment, representing 1% of consolidated sales, is derived from logistics (mainly temperature controlled) allowing to operate distribution centres for retailers and suppliers. Fruit Partner sales are generated by companies performing sourcing activities for the Fruit &amp; Vegetables segment mainly in Latin American countries. 3% of consolidated sales are generated by the continuing Flowers &amp; Plants segment for the produce and sale of Flowers &amp; Plants in close collaboration with large retailers and supermarkets.</w:t>
      </w:r>
    </w:p>
    <w:p w:rsidR="003F0BC5" w:rsidRPr="00C14674" w:rsidRDefault="003F0BC5" w:rsidP="003F0BC5">
      <w:pPr>
        <w:rPr>
          <w:szCs w:val="20"/>
        </w:rPr>
      </w:pPr>
      <w:r w:rsidRPr="00C14674">
        <w:rPr>
          <w:szCs w:val="20"/>
        </w:rPr>
        <w:t xml:space="preserve">Sales from discontinued operations, </w:t>
      </w:r>
      <w:r w:rsidR="00E53641">
        <w:rPr>
          <w:szCs w:val="20"/>
        </w:rPr>
        <w:t>EUR </w:t>
      </w:r>
      <w:r w:rsidRPr="00C14674">
        <w:rPr>
          <w:szCs w:val="20"/>
        </w:rPr>
        <w:t xml:space="preserve">94,000,000, mainly relate to farming operations sold to The Fruit Farm Group for </w:t>
      </w:r>
      <w:r w:rsidR="00E53641">
        <w:rPr>
          <w:szCs w:val="20"/>
        </w:rPr>
        <w:t>EUR </w:t>
      </w:r>
      <w:r w:rsidRPr="00C14674">
        <w:rPr>
          <w:szCs w:val="20"/>
        </w:rPr>
        <w:t xml:space="preserve">54,000,000, the divestment of the </w:t>
      </w:r>
      <w:smartTag w:uri="urn:schemas-microsoft-com:office:smarttags" w:element="City">
        <w:smartTag w:uri="urn:schemas-microsoft-com:office:smarttags" w:element="place">
          <w:r w:rsidRPr="00C14674">
            <w:rPr>
              <w:szCs w:val="20"/>
            </w:rPr>
            <w:t>Lincolnshire</w:t>
          </w:r>
        </w:smartTag>
      </w:smartTag>
      <w:r w:rsidRPr="00C14674">
        <w:rPr>
          <w:szCs w:val="20"/>
        </w:rPr>
        <w:t xml:space="preserve"> flower business for </w:t>
      </w:r>
      <w:r w:rsidR="00E53641">
        <w:rPr>
          <w:szCs w:val="20"/>
        </w:rPr>
        <w:t>EUR </w:t>
      </w:r>
      <w:r w:rsidRPr="00C14674">
        <w:rPr>
          <w:szCs w:val="20"/>
        </w:rPr>
        <w:t xml:space="preserve">36,700,000 and </w:t>
      </w:r>
      <w:r w:rsidRPr="00C14674">
        <w:rPr>
          <w:szCs w:val="20"/>
        </w:rPr>
        <w:lastRenderedPageBreak/>
        <w:t xml:space="preserve">non-core Belgian transport activities sold early 2014 representing </w:t>
      </w:r>
      <w:r w:rsidR="00E53641">
        <w:rPr>
          <w:szCs w:val="20"/>
        </w:rPr>
        <w:t>EUR </w:t>
      </w:r>
      <w:r w:rsidRPr="00C14674">
        <w:rPr>
          <w:szCs w:val="20"/>
        </w:rPr>
        <w:t xml:space="preserve">3,300,000. The sales reported under this caption </w:t>
      </w:r>
      <w:r w:rsidR="00ED1BE9" w:rsidRPr="00C14674">
        <w:rPr>
          <w:szCs w:val="20"/>
        </w:rPr>
        <w:t>for the financial year ended 31 December</w:t>
      </w:r>
      <w:r w:rsidRPr="00C14674">
        <w:rPr>
          <w:szCs w:val="20"/>
        </w:rPr>
        <w:t xml:space="preserve"> 2013 relate to the discontinued US operation in California for </w:t>
      </w:r>
      <w:r w:rsidR="00E53641">
        <w:rPr>
          <w:szCs w:val="20"/>
        </w:rPr>
        <w:t>EUR </w:t>
      </w:r>
      <w:r w:rsidRPr="00C14674">
        <w:rPr>
          <w:szCs w:val="20"/>
        </w:rPr>
        <w:t xml:space="preserve">2,7000,000, the non-core Belgian transport activities for </w:t>
      </w:r>
      <w:r w:rsidR="00E53641">
        <w:rPr>
          <w:szCs w:val="20"/>
        </w:rPr>
        <w:t>EUR </w:t>
      </w:r>
      <w:r w:rsidRPr="00C14674">
        <w:rPr>
          <w:szCs w:val="20"/>
        </w:rPr>
        <w:t xml:space="preserve">19,600,000, The Fruit Farm Group for </w:t>
      </w:r>
      <w:r w:rsidR="00E53641">
        <w:rPr>
          <w:szCs w:val="20"/>
        </w:rPr>
        <w:t>EUR </w:t>
      </w:r>
      <w:r w:rsidRPr="00C14674">
        <w:rPr>
          <w:szCs w:val="20"/>
        </w:rPr>
        <w:t xml:space="preserve">32,400,000 and the Lincolnshire flower business for </w:t>
      </w:r>
      <w:r w:rsidR="00E53641">
        <w:rPr>
          <w:szCs w:val="20"/>
        </w:rPr>
        <w:t>EUR </w:t>
      </w:r>
      <w:r w:rsidRPr="00C14674">
        <w:rPr>
          <w:szCs w:val="20"/>
        </w:rPr>
        <w:t>43,800,000.</w:t>
      </w:r>
    </w:p>
    <w:tbl>
      <w:tblPr>
        <w:tblW w:w="0" w:type="auto"/>
        <w:tblLayout w:type="fixed"/>
        <w:tblLook w:val="04A0" w:firstRow="1" w:lastRow="0" w:firstColumn="1" w:lastColumn="0" w:noHBand="0" w:noVBand="1"/>
      </w:tblPr>
      <w:tblGrid>
        <w:gridCol w:w="4518"/>
        <w:gridCol w:w="1080"/>
        <w:gridCol w:w="990"/>
        <w:gridCol w:w="1317"/>
        <w:gridCol w:w="1275"/>
      </w:tblGrid>
      <w:tr w:rsidR="00AB62FC" w:rsidRPr="00C14674" w:rsidTr="00AB62FC">
        <w:tc>
          <w:tcPr>
            <w:tcW w:w="4518" w:type="dxa"/>
            <w:shd w:val="clear" w:color="auto" w:fill="auto"/>
            <w:vAlign w:val="bottom"/>
          </w:tcPr>
          <w:p w:rsidR="00AB62FC" w:rsidRPr="00C14674" w:rsidRDefault="00AB62FC" w:rsidP="00AB62FC">
            <w:pPr>
              <w:spacing w:before="0" w:after="0"/>
              <w:rPr>
                <w:bCs/>
                <w:i/>
                <w:sz w:val="18"/>
                <w:szCs w:val="18"/>
              </w:rPr>
            </w:pPr>
            <w:r w:rsidRPr="00C14674">
              <w:rPr>
                <w:bCs/>
                <w:i/>
                <w:sz w:val="18"/>
                <w:szCs w:val="18"/>
              </w:rPr>
              <w:t>((</w:t>
            </w:r>
            <w:r w:rsidR="00E53641">
              <w:rPr>
                <w:bCs/>
                <w:i/>
                <w:sz w:val="18"/>
                <w:szCs w:val="18"/>
              </w:rPr>
              <w:t>EUR </w:t>
            </w:r>
            <w:r w:rsidRPr="00C14674">
              <w:rPr>
                <w:bCs/>
                <w:i/>
                <w:sz w:val="18"/>
                <w:szCs w:val="18"/>
              </w:rPr>
              <w:t>in millions except percentages)</w:t>
            </w:r>
          </w:p>
        </w:tc>
        <w:tc>
          <w:tcPr>
            <w:tcW w:w="2070" w:type="dxa"/>
            <w:gridSpan w:val="2"/>
            <w:shd w:val="clear" w:color="auto" w:fill="auto"/>
            <w:vAlign w:val="bottom"/>
          </w:tcPr>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 xml:space="preserve">Year Ended </w:t>
            </w:r>
            <w:r w:rsidRPr="00C14674">
              <w:rPr>
                <w:b/>
                <w:bCs/>
                <w:sz w:val="18"/>
                <w:szCs w:val="18"/>
              </w:rPr>
              <w:br/>
              <w:t>31 December</w:t>
            </w:r>
          </w:p>
        </w:tc>
        <w:tc>
          <w:tcPr>
            <w:tcW w:w="2592" w:type="dxa"/>
            <w:gridSpan w:val="2"/>
            <w:shd w:val="clear" w:color="auto" w:fill="auto"/>
          </w:tcPr>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 of Total Revenues Year Ended 31 December</w:t>
            </w:r>
          </w:p>
        </w:tc>
      </w:tr>
      <w:tr w:rsidR="00AB62FC" w:rsidRPr="00C14674" w:rsidTr="00AB62FC">
        <w:tc>
          <w:tcPr>
            <w:tcW w:w="4518" w:type="dxa"/>
            <w:shd w:val="clear" w:color="auto" w:fill="auto"/>
          </w:tcPr>
          <w:p w:rsidR="00AB62FC" w:rsidRPr="00C14674" w:rsidRDefault="00AB62FC" w:rsidP="00AB62FC">
            <w:pPr>
              <w:tabs>
                <w:tab w:val="right" w:leader="dot" w:pos="5310"/>
              </w:tabs>
              <w:spacing w:before="0" w:after="0"/>
              <w:jc w:val="left"/>
              <w:rPr>
                <w:b/>
                <w:sz w:val="18"/>
                <w:szCs w:val="18"/>
              </w:rPr>
            </w:pPr>
          </w:p>
        </w:tc>
        <w:tc>
          <w:tcPr>
            <w:tcW w:w="1080" w:type="dxa"/>
            <w:shd w:val="clear" w:color="auto" w:fill="auto"/>
          </w:tcPr>
          <w:p w:rsidR="00AB62FC" w:rsidRPr="00C14674" w:rsidRDefault="00AB62FC" w:rsidP="00AB62FC">
            <w:pPr>
              <w:pBdr>
                <w:bottom w:val="single" w:sz="4" w:space="1" w:color="auto"/>
              </w:pBdr>
              <w:spacing w:before="0" w:after="0"/>
              <w:jc w:val="center"/>
              <w:rPr>
                <w:b/>
                <w:sz w:val="18"/>
                <w:szCs w:val="18"/>
              </w:rPr>
            </w:pPr>
            <w:r w:rsidRPr="00C14674">
              <w:rPr>
                <w:b/>
                <w:sz w:val="18"/>
                <w:szCs w:val="18"/>
              </w:rPr>
              <w:t>2014</w:t>
            </w:r>
          </w:p>
        </w:tc>
        <w:tc>
          <w:tcPr>
            <w:tcW w:w="990" w:type="dxa"/>
            <w:shd w:val="clear" w:color="auto" w:fill="auto"/>
          </w:tcPr>
          <w:p w:rsidR="00AB62FC" w:rsidRPr="00C14674" w:rsidRDefault="00AB62FC" w:rsidP="00AB62FC">
            <w:pPr>
              <w:pBdr>
                <w:bottom w:val="single" w:sz="4" w:space="1" w:color="auto"/>
              </w:pBdr>
              <w:spacing w:before="0" w:after="0"/>
              <w:jc w:val="center"/>
              <w:rPr>
                <w:b/>
                <w:sz w:val="18"/>
                <w:szCs w:val="18"/>
              </w:rPr>
            </w:pPr>
            <w:r w:rsidRPr="00C14674">
              <w:rPr>
                <w:b/>
                <w:sz w:val="18"/>
                <w:szCs w:val="18"/>
              </w:rPr>
              <w:t>2013</w:t>
            </w:r>
          </w:p>
        </w:tc>
        <w:tc>
          <w:tcPr>
            <w:tcW w:w="1317" w:type="dxa"/>
            <w:shd w:val="clear" w:color="auto" w:fill="auto"/>
          </w:tcPr>
          <w:p w:rsidR="00AB62FC" w:rsidRPr="00C14674" w:rsidRDefault="00AB62FC" w:rsidP="00AB62FC">
            <w:pPr>
              <w:pBdr>
                <w:bottom w:val="single" w:sz="4" w:space="1" w:color="auto"/>
              </w:pBdr>
              <w:spacing w:before="0" w:after="0"/>
              <w:jc w:val="center"/>
              <w:rPr>
                <w:b/>
                <w:sz w:val="18"/>
                <w:szCs w:val="18"/>
              </w:rPr>
            </w:pPr>
            <w:r w:rsidRPr="00C14674">
              <w:rPr>
                <w:b/>
                <w:sz w:val="18"/>
                <w:szCs w:val="18"/>
              </w:rPr>
              <w:t>2014</w:t>
            </w:r>
          </w:p>
        </w:tc>
        <w:tc>
          <w:tcPr>
            <w:tcW w:w="1275" w:type="dxa"/>
            <w:shd w:val="clear" w:color="auto" w:fill="auto"/>
          </w:tcPr>
          <w:p w:rsidR="00AB62FC" w:rsidRPr="00C14674" w:rsidRDefault="00AB62FC" w:rsidP="00AB62FC">
            <w:pPr>
              <w:pBdr>
                <w:bottom w:val="single" w:sz="4" w:space="1" w:color="auto"/>
              </w:pBdr>
              <w:spacing w:before="0" w:after="0"/>
              <w:jc w:val="center"/>
              <w:rPr>
                <w:b/>
                <w:sz w:val="18"/>
                <w:szCs w:val="18"/>
              </w:rPr>
            </w:pPr>
            <w:r w:rsidRPr="00C14674">
              <w:rPr>
                <w:b/>
                <w:sz w:val="18"/>
                <w:szCs w:val="18"/>
              </w:rPr>
              <w:t>2013</w:t>
            </w:r>
          </w:p>
        </w:tc>
      </w:tr>
      <w:tr w:rsidR="00AB62FC" w:rsidRPr="00C14674" w:rsidTr="00AB62FC">
        <w:tc>
          <w:tcPr>
            <w:tcW w:w="4518" w:type="dxa"/>
            <w:shd w:val="clear" w:color="auto" w:fill="auto"/>
          </w:tcPr>
          <w:p w:rsidR="00AB62FC" w:rsidRPr="00C14674" w:rsidRDefault="00AB62FC" w:rsidP="00AB62FC">
            <w:pPr>
              <w:tabs>
                <w:tab w:val="right" w:leader="dot" w:pos="4302"/>
              </w:tabs>
              <w:spacing w:before="0" w:after="0"/>
              <w:ind w:left="181"/>
              <w:jc w:val="left"/>
              <w:rPr>
                <w:b/>
                <w:sz w:val="18"/>
                <w:szCs w:val="18"/>
              </w:rPr>
            </w:pPr>
            <w:smartTag w:uri="urn:schemas-microsoft-com:office:smarttags" w:element="country-region">
              <w:smartTag w:uri="urn:schemas-microsoft-com:office:smarttags" w:element="place">
                <w:r w:rsidRPr="00C14674">
                  <w:rPr>
                    <w:i/>
                    <w:iCs/>
                    <w:sz w:val="18"/>
                    <w:szCs w:val="18"/>
                  </w:rPr>
                  <w:t>Germany</w:t>
                </w:r>
              </w:smartTag>
            </w:smartTag>
            <w:r w:rsidRPr="00C14674">
              <w:rPr>
                <w:i/>
                <w:iCs/>
                <w:sz w:val="18"/>
                <w:szCs w:val="18"/>
              </w:rPr>
              <w:tab/>
            </w:r>
          </w:p>
        </w:tc>
        <w:tc>
          <w:tcPr>
            <w:tcW w:w="1080" w:type="dxa"/>
            <w:shd w:val="clear" w:color="auto" w:fill="auto"/>
            <w:vAlign w:val="bottom"/>
          </w:tcPr>
          <w:p w:rsidR="00AB62FC" w:rsidRPr="00C14674" w:rsidRDefault="00AB62FC" w:rsidP="00AB62FC">
            <w:pPr>
              <w:spacing w:before="0" w:after="0"/>
              <w:jc w:val="right"/>
              <w:rPr>
                <w:sz w:val="18"/>
                <w:szCs w:val="18"/>
              </w:rPr>
            </w:pPr>
            <w:r w:rsidRPr="00C14674">
              <w:rPr>
                <w:i/>
                <w:iCs/>
                <w:sz w:val="18"/>
                <w:szCs w:val="18"/>
              </w:rPr>
              <w:t>1,313.6</w:t>
            </w:r>
          </w:p>
        </w:tc>
        <w:tc>
          <w:tcPr>
            <w:tcW w:w="990" w:type="dxa"/>
            <w:shd w:val="clear" w:color="auto" w:fill="auto"/>
            <w:vAlign w:val="bottom"/>
          </w:tcPr>
          <w:p w:rsidR="00AB62FC" w:rsidRPr="00C14674" w:rsidRDefault="00AB62FC" w:rsidP="00AB62FC">
            <w:pPr>
              <w:spacing w:before="0" w:after="0"/>
              <w:jc w:val="right"/>
              <w:rPr>
                <w:i/>
                <w:iCs/>
                <w:sz w:val="18"/>
                <w:szCs w:val="18"/>
              </w:rPr>
            </w:pPr>
            <w:r w:rsidRPr="00C14674">
              <w:rPr>
                <w:i/>
                <w:iCs/>
                <w:sz w:val="18"/>
                <w:szCs w:val="18"/>
              </w:rPr>
              <w:t>1,327.1</w:t>
            </w:r>
          </w:p>
        </w:tc>
        <w:tc>
          <w:tcPr>
            <w:tcW w:w="1317" w:type="dxa"/>
            <w:shd w:val="clear" w:color="auto" w:fill="auto"/>
            <w:vAlign w:val="bottom"/>
          </w:tcPr>
          <w:p w:rsidR="00AB62FC" w:rsidRPr="00C14674" w:rsidRDefault="00AB62FC" w:rsidP="00AB62FC">
            <w:pPr>
              <w:spacing w:before="0" w:after="0"/>
              <w:jc w:val="right"/>
              <w:rPr>
                <w:sz w:val="18"/>
                <w:szCs w:val="18"/>
              </w:rPr>
            </w:pPr>
            <w:r w:rsidRPr="00C14674">
              <w:rPr>
                <w:i/>
                <w:iCs/>
                <w:sz w:val="18"/>
                <w:szCs w:val="18"/>
              </w:rPr>
              <w:t>40.4</w:t>
            </w:r>
          </w:p>
        </w:tc>
        <w:tc>
          <w:tcPr>
            <w:tcW w:w="1275" w:type="dxa"/>
            <w:shd w:val="clear" w:color="auto" w:fill="auto"/>
            <w:vAlign w:val="bottom"/>
          </w:tcPr>
          <w:p w:rsidR="00AB62FC" w:rsidRPr="00C14674" w:rsidRDefault="00AB62FC" w:rsidP="00AB62FC">
            <w:pPr>
              <w:spacing w:before="0" w:after="0"/>
              <w:jc w:val="right"/>
              <w:rPr>
                <w:sz w:val="18"/>
                <w:szCs w:val="18"/>
              </w:rPr>
            </w:pPr>
            <w:r w:rsidRPr="00C14674">
              <w:rPr>
                <w:i/>
                <w:iCs/>
                <w:sz w:val="18"/>
                <w:szCs w:val="18"/>
              </w:rPr>
              <w:t>42.6</w:t>
            </w:r>
          </w:p>
        </w:tc>
      </w:tr>
      <w:tr w:rsidR="00AB62FC" w:rsidRPr="00C14674" w:rsidTr="00AB62FC">
        <w:tc>
          <w:tcPr>
            <w:tcW w:w="4518" w:type="dxa"/>
            <w:shd w:val="clear" w:color="auto" w:fill="auto"/>
          </w:tcPr>
          <w:p w:rsidR="00AB62FC" w:rsidRPr="00C14674" w:rsidRDefault="00AB62FC" w:rsidP="00AB62FC">
            <w:pPr>
              <w:tabs>
                <w:tab w:val="right" w:leader="dot" w:pos="4302"/>
              </w:tabs>
              <w:spacing w:before="0" w:after="0"/>
              <w:ind w:left="180"/>
              <w:jc w:val="left"/>
              <w:rPr>
                <w:bCs/>
                <w:sz w:val="18"/>
                <w:szCs w:val="18"/>
              </w:rPr>
            </w:pPr>
            <w:smartTag w:uri="urn:schemas-microsoft-com:office:smarttags" w:element="country-region">
              <w:smartTag w:uri="urn:schemas-microsoft-com:office:smarttags" w:element="place">
                <w:r w:rsidRPr="00C14674">
                  <w:rPr>
                    <w:i/>
                    <w:iCs/>
                    <w:sz w:val="18"/>
                    <w:szCs w:val="18"/>
                  </w:rPr>
                  <w:t>Netherlands</w:t>
                </w:r>
              </w:smartTag>
            </w:smartTag>
            <w:r w:rsidRPr="00C14674">
              <w:rPr>
                <w:i/>
                <w:iCs/>
                <w:sz w:val="18"/>
                <w:szCs w:val="18"/>
              </w:rPr>
              <w:tab/>
            </w:r>
          </w:p>
        </w:tc>
        <w:tc>
          <w:tcPr>
            <w:tcW w:w="1080" w:type="dxa"/>
            <w:shd w:val="clear" w:color="auto" w:fill="auto"/>
            <w:vAlign w:val="bottom"/>
          </w:tcPr>
          <w:p w:rsidR="00AB62FC" w:rsidRPr="00C14674" w:rsidRDefault="00AB62FC" w:rsidP="00AB62FC">
            <w:pPr>
              <w:spacing w:before="0" w:after="0"/>
              <w:jc w:val="right"/>
              <w:rPr>
                <w:sz w:val="18"/>
                <w:szCs w:val="18"/>
              </w:rPr>
            </w:pPr>
            <w:r w:rsidRPr="00C14674">
              <w:rPr>
                <w:i/>
                <w:iCs/>
                <w:sz w:val="18"/>
                <w:szCs w:val="18"/>
              </w:rPr>
              <w:t>934.1</w:t>
            </w:r>
          </w:p>
        </w:tc>
        <w:tc>
          <w:tcPr>
            <w:tcW w:w="990" w:type="dxa"/>
            <w:shd w:val="clear" w:color="auto" w:fill="auto"/>
            <w:vAlign w:val="bottom"/>
          </w:tcPr>
          <w:p w:rsidR="00AB62FC" w:rsidRPr="00C14674" w:rsidRDefault="00AB62FC" w:rsidP="00AB62FC">
            <w:pPr>
              <w:spacing w:before="0" w:after="0"/>
              <w:jc w:val="right"/>
              <w:rPr>
                <w:sz w:val="18"/>
                <w:szCs w:val="18"/>
              </w:rPr>
            </w:pPr>
            <w:r w:rsidRPr="00C14674">
              <w:rPr>
                <w:i/>
                <w:iCs/>
                <w:sz w:val="18"/>
                <w:szCs w:val="18"/>
              </w:rPr>
              <w:t>861.6</w:t>
            </w:r>
          </w:p>
        </w:tc>
        <w:tc>
          <w:tcPr>
            <w:tcW w:w="1317" w:type="dxa"/>
            <w:shd w:val="clear" w:color="auto" w:fill="auto"/>
            <w:vAlign w:val="bottom"/>
          </w:tcPr>
          <w:p w:rsidR="00AB62FC" w:rsidRPr="00C14674" w:rsidRDefault="00AB62FC" w:rsidP="00AB62FC">
            <w:pPr>
              <w:spacing w:before="0" w:after="0"/>
              <w:jc w:val="right"/>
              <w:rPr>
                <w:sz w:val="18"/>
                <w:szCs w:val="18"/>
              </w:rPr>
            </w:pPr>
            <w:r w:rsidRPr="00C14674">
              <w:rPr>
                <w:i/>
                <w:iCs/>
                <w:sz w:val="18"/>
                <w:szCs w:val="18"/>
              </w:rPr>
              <w:t>28.6</w:t>
            </w:r>
          </w:p>
        </w:tc>
        <w:tc>
          <w:tcPr>
            <w:tcW w:w="1275" w:type="dxa"/>
            <w:shd w:val="clear" w:color="auto" w:fill="auto"/>
            <w:vAlign w:val="bottom"/>
          </w:tcPr>
          <w:p w:rsidR="00AB62FC" w:rsidRPr="00C14674" w:rsidRDefault="00AB62FC" w:rsidP="00AB62FC">
            <w:pPr>
              <w:spacing w:before="0" w:after="0"/>
              <w:jc w:val="right"/>
              <w:rPr>
                <w:sz w:val="18"/>
                <w:szCs w:val="18"/>
              </w:rPr>
            </w:pPr>
            <w:r w:rsidRPr="00C14674">
              <w:rPr>
                <w:i/>
                <w:iCs/>
                <w:sz w:val="18"/>
                <w:szCs w:val="18"/>
              </w:rPr>
              <w:t>27.8</w:t>
            </w:r>
          </w:p>
        </w:tc>
      </w:tr>
      <w:tr w:rsidR="00AB62FC" w:rsidRPr="00C14674" w:rsidTr="00AB62FC">
        <w:tc>
          <w:tcPr>
            <w:tcW w:w="4518" w:type="dxa"/>
            <w:shd w:val="clear" w:color="auto" w:fill="auto"/>
          </w:tcPr>
          <w:p w:rsidR="00AB62FC" w:rsidRPr="00C14674" w:rsidRDefault="00AB62FC" w:rsidP="00AB62FC">
            <w:pPr>
              <w:tabs>
                <w:tab w:val="right" w:leader="dot" w:pos="4302"/>
              </w:tabs>
              <w:spacing w:before="0" w:after="0"/>
              <w:ind w:left="180"/>
              <w:jc w:val="left"/>
              <w:rPr>
                <w:sz w:val="18"/>
                <w:szCs w:val="18"/>
              </w:rPr>
            </w:pPr>
            <w:smartTag w:uri="urn:schemas-microsoft-com:office:smarttags" w:element="country-region">
              <w:smartTag w:uri="urn:schemas-microsoft-com:office:smarttags" w:element="place">
                <w:r w:rsidRPr="00C14674">
                  <w:rPr>
                    <w:i/>
                    <w:iCs/>
                    <w:sz w:val="18"/>
                    <w:szCs w:val="18"/>
                  </w:rPr>
                  <w:t>Belgium</w:t>
                </w:r>
              </w:smartTag>
            </w:smartTag>
            <w:r w:rsidRPr="00C14674">
              <w:rPr>
                <w:i/>
                <w:iCs/>
                <w:sz w:val="18"/>
                <w:szCs w:val="18"/>
              </w:rPr>
              <w:tab/>
            </w:r>
          </w:p>
        </w:tc>
        <w:tc>
          <w:tcPr>
            <w:tcW w:w="1080" w:type="dxa"/>
            <w:shd w:val="clear" w:color="auto" w:fill="auto"/>
            <w:vAlign w:val="bottom"/>
          </w:tcPr>
          <w:p w:rsidR="00AB62FC" w:rsidRPr="00C14674" w:rsidRDefault="00AB62FC" w:rsidP="00AB62FC">
            <w:pPr>
              <w:spacing w:before="0" w:after="0"/>
              <w:jc w:val="right"/>
              <w:rPr>
                <w:sz w:val="18"/>
                <w:szCs w:val="18"/>
              </w:rPr>
            </w:pPr>
            <w:r w:rsidRPr="00C14674">
              <w:rPr>
                <w:i/>
                <w:iCs/>
                <w:sz w:val="18"/>
                <w:szCs w:val="18"/>
              </w:rPr>
              <w:t>301.3</w:t>
            </w:r>
          </w:p>
        </w:tc>
        <w:tc>
          <w:tcPr>
            <w:tcW w:w="990" w:type="dxa"/>
            <w:shd w:val="clear" w:color="auto" w:fill="auto"/>
            <w:vAlign w:val="bottom"/>
          </w:tcPr>
          <w:p w:rsidR="00AB62FC" w:rsidRPr="00C14674" w:rsidRDefault="00AB62FC" w:rsidP="00AB62FC">
            <w:pPr>
              <w:spacing w:before="0" w:after="0"/>
              <w:jc w:val="right"/>
              <w:rPr>
                <w:sz w:val="18"/>
                <w:szCs w:val="18"/>
              </w:rPr>
            </w:pPr>
            <w:r w:rsidRPr="00C14674">
              <w:rPr>
                <w:i/>
                <w:iCs/>
                <w:sz w:val="18"/>
                <w:szCs w:val="18"/>
              </w:rPr>
              <w:t>306.5</w:t>
            </w:r>
          </w:p>
        </w:tc>
        <w:tc>
          <w:tcPr>
            <w:tcW w:w="1317" w:type="dxa"/>
            <w:shd w:val="clear" w:color="auto" w:fill="auto"/>
            <w:vAlign w:val="bottom"/>
          </w:tcPr>
          <w:p w:rsidR="00AB62FC" w:rsidRPr="00C14674" w:rsidRDefault="00AB62FC" w:rsidP="00AB62FC">
            <w:pPr>
              <w:spacing w:before="0" w:after="0"/>
              <w:jc w:val="right"/>
              <w:rPr>
                <w:sz w:val="18"/>
                <w:szCs w:val="18"/>
              </w:rPr>
            </w:pPr>
            <w:r w:rsidRPr="00C14674">
              <w:rPr>
                <w:i/>
                <w:iCs/>
                <w:sz w:val="18"/>
                <w:szCs w:val="18"/>
              </w:rPr>
              <w:t>9.2</w:t>
            </w:r>
          </w:p>
        </w:tc>
        <w:tc>
          <w:tcPr>
            <w:tcW w:w="1275" w:type="dxa"/>
            <w:shd w:val="clear" w:color="auto" w:fill="auto"/>
            <w:vAlign w:val="bottom"/>
          </w:tcPr>
          <w:p w:rsidR="00AB62FC" w:rsidRPr="00C14674" w:rsidRDefault="00AB62FC" w:rsidP="00AB62FC">
            <w:pPr>
              <w:spacing w:before="0" w:after="0"/>
              <w:jc w:val="right"/>
              <w:rPr>
                <w:sz w:val="18"/>
                <w:szCs w:val="18"/>
              </w:rPr>
            </w:pPr>
            <w:r w:rsidRPr="00C14674">
              <w:rPr>
                <w:i/>
                <w:iCs/>
                <w:sz w:val="18"/>
                <w:szCs w:val="18"/>
              </w:rPr>
              <w:t>9.9</w:t>
            </w:r>
          </w:p>
        </w:tc>
      </w:tr>
      <w:tr w:rsidR="00AB62FC" w:rsidRPr="00C14674" w:rsidTr="00AB62FC">
        <w:tc>
          <w:tcPr>
            <w:tcW w:w="4518" w:type="dxa"/>
            <w:shd w:val="clear" w:color="auto" w:fill="auto"/>
          </w:tcPr>
          <w:p w:rsidR="00AB62FC" w:rsidRPr="00C14674" w:rsidRDefault="00AB62FC" w:rsidP="00AB62FC">
            <w:pPr>
              <w:tabs>
                <w:tab w:val="right" w:leader="dot" w:pos="4302"/>
              </w:tabs>
              <w:spacing w:before="0" w:after="0"/>
              <w:ind w:left="180"/>
              <w:jc w:val="left"/>
              <w:rPr>
                <w:sz w:val="18"/>
                <w:szCs w:val="18"/>
              </w:rPr>
            </w:pPr>
            <w:r w:rsidRPr="00C14674">
              <w:rPr>
                <w:i/>
                <w:iCs/>
                <w:sz w:val="18"/>
                <w:szCs w:val="18"/>
              </w:rPr>
              <w:t>Other</w:t>
            </w:r>
            <w:r w:rsidRPr="00C14674">
              <w:rPr>
                <w:i/>
                <w:iCs/>
                <w:sz w:val="18"/>
                <w:szCs w:val="18"/>
              </w:rPr>
              <w:tab/>
            </w:r>
          </w:p>
        </w:tc>
        <w:tc>
          <w:tcPr>
            <w:tcW w:w="1080" w:type="dxa"/>
            <w:shd w:val="clear" w:color="auto" w:fill="auto"/>
            <w:vAlign w:val="bottom"/>
          </w:tcPr>
          <w:p w:rsidR="00AB62FC" w:rsidRPr="00C14674" w:rsidRDefault="00AB62FC" w:rsidP="00AB62FC">
            <w:pPr>
              <w:spacing w:before="0" w:after="0"/>
              <w:jc w:val="right"/>
              <w:rPr>
                <w:sz w:val="18"/>
                <w:szCs w:val="18"/>
              </w:rPr>
            </w:pPr>
            <w:r w:rsidRPr="00C14674">
              <w:rPr>
                <w:i/>
                <w:iCs/>
                <w:sz w:val="18"/>
                <w:szCs w:val="18"/>
              </w:rPr>
              <w:t>463.6</w:t>
            </w:r>
          </w:p>
        </w:tc>
        <w:tc>
          <w:tcPr>
            <w:tcW w:w="990" w:type="dxa"/>
            <w:shd w:val="clear" w:color="auto" w:fill="auto"/>
            <w:vAlign w:val="bottom"/>
          </w:tcPr>
          <w:p w:rsidR="00AB62FC" w:rsidRPr="00C14674" w:rsidRDefault="00AB62FC" w:rsidP="00AB62FC">
            <w:pPr>
              <w:spacing w:before="0" w:after="0"/>
              <w:jc w:val="right"/>
              <w:rPr>
                <w:sz w:val="18"/>
                <w:szCs w:val="18"/>
              </w:rPr>
            </w:pPr>
            <w:r w:rsidRPr="00C14674">
              <w:rPr>
                <w:i/>
                <w:iCs/>
                <w:sz w:val="18"/>
                <w:szCs w:val="18"/>
              </w:rPr>
              <w:t>368.1</w:t>
            </w:r>
          </w:p>
        </w:tc>
        <w:tc>
          <w:tcPr>
            <w:tcW w:w="1317" w:type="dxa"/>
            <w:shd w:val="clear" w:color="auto" w:fill="auto"/>
            <w:vAlign w:val="bottom"/>
          </w:tcPr>
          <w:p w:rsidR="00AB62FC" w:rsidRPr="00C14674" w:rsidRDefault="00AB62FC" w:rsidP="00AB62FC">
            <w:pPr>
              <w:spacing w:before="0" w:after="0"/>
              <w:jc w:val="right"/>
              <w:rPr>
                <w:sz w:val="18"/>
                <w:szCs w:val="18"/>
              </w:rPr>
            </w:pPr>
            <w:r w:rsidRPr="00C14674">
              <w:rPr>
                <w:i/>
                <w:iCs/>
                <w:sz w:val="18"/>
                <w:szCs w:val="18"/>
              </w:rPr>
              <w:t>14.2</w:t>
            </w:r>
          </w:p>
        </w:tc>
        <w:tc>
          <w:tcPr>
            <w:tcW w:w="1275" w:type="dxa"/>
            <w:shd w:val="clear" w:color="auto" w:fill="auto"/>
            <w:vAlign w:val="bottom"/>
          </w:tcPr>
          <w:p w:rsidR="00AB62FC" w:rsidRPr="00C14674" w:rsidRDefault="00AB62FC" w:rsidP="00AB62FC">
            <w:pPr>
              <w:spacing w:before="0" w:after="0"/>
              <w:jc w:val="right"/>
              <w:rPr>
                <w:sz w:val="18"/>
                <w:szCs w:val="18"/>
              </w:rPr>
            </w:pPr>
            <w:r w:rsidRPr="00C14674">
              <w:rPr>
                <w:i/>
                <w:iCs/>
                <w:sz w:val="18"/>
                <w:szCs w:val="18"/>
              </w:rPr>
              <w:t>11.9</w:t>
            </w:r>
          </w:p>
        </w:tc>
      </w:tr>
      <w:tr w:rsidR="00AB62FC" w:rsidRPr="00C14674" w:rsidTr="00AB62FC">
        <w:tc>
          <w:tcPr>
            <w:tcW w:w="4518" w:type="dxa"/>
            <w:shd w:val="clear" w:color="auto" w:fill="auto"/>
          </w:tcPr>
          <w:p w:rsidR="00AB62FC" w:rsidRPr="00C14674" w:rsidRDefault="00AB62FC" w:rsidP="00AB62FC">
            <w:pPr>
              <w:tabs>
                <w:tab w:val="right" w:leader="dot" w:pos="4302"/>
              </w:tabs>
              <w:spacing w:before="0" w:after="0"/>
              <w:ind w:left="90" w:hanging="90"/>
              <w:jc w:val="left"/>
              <w:rPr>
                <w:sz w:val="18"/>
                <w:szCs w:val="18"/>
              </w:rPr>
            </w:pPr>
            <w:r w:rsidRPr="00C14674">
              <w:rPr>
                <w:sz w:val="18"/>
                <w:szCs w:val="18"/>
              </w:rPr>
              <w:t>Fruit &amp; Vegetables sales</w:t>
            </w:r>
            <w:r w:rsidRPr="00C14674">
              <w:rPr>
                <w:sz w:val="18"/>
                <w:szCs w:val="18"/>
              </w:rPr>
              <w:tab/>
            </w:r>
          </w:p>
        </w:tc>
        <w:tc>
          <w:tcPr>
            <w:tcW w:w="1080" w:type="dxa"/>
            <w:shd w:val="clear" w:color="auto" w:fill="auto"/>
            <w:vAlign w:val="bottom"/>
          </w:tcPr>
          <w:p w:rsidR="00AB62FC" w:rsidRPr="00C14674" w:rsidRDefault="00AB62FC" w:rsidP="00AB62FC">
            <w:pPr>
              <w:spacing w:before="0" w:after="0"/>
              <w:jc w:val="right"/>
              <w:rPr>
                <w:sz w:val="18"/>
                <w:szCs w:val="18"/>
              </w:rPr>
            </w:pPr>
            <w:r w:rsidRPr="00C14674">
              <w:rPr>
                <w:sz w:val="18"/>
                <w:szCs w:val="18"/>
              </w:rPr>
              <w:t>3,012.6</w:t>
            </w:r>
          </w:p>
        </w:tc>
        <w:tc>
          <w:tcPr>
            <w:tcW w:w="990" w:type="dxa"/>
            <w:shd w:val="clear" w:color="auto" w:fill="auto"/>
            <w:vAlign w:val="bottom"/>
          </w:tcPr>
          <w:p w:rsidR="00AB62FC" w:rsidRPr="00C14674" w:rsidRDefault="00AB62FC" w:rsidP="00AB62FC">
            <w:pPr>
              <w:spacing w:before="0" w:after="0"/>
              <w:jc w:val="right"/>
              <w:rPr>
                <w:sz w:val="18"/>
                <w:szCs w:val="18"/>
              </w:rPr>
            </w:pPr>
            <w:r w:rsidRPr="00C14674">
              <w:rPr>
                <w:sz w:val="18"/>
                <w:szCs w:val="18"/>
              </w:rPr>
              <w:t>2,863.3</w:t>
            </w:r>
          </w:p>
        </w:tc>
        <w:tc>
          <w:tcPr>
            <w:tcW w:w="1317" w:type="dxa"/>
            <w:shd w:val="clear" w:color="auto" w:fill="auto"/>
            <w:vAlign w:val="bottom"/>
          </w:tcPr>
          <w:p w:rsidR="00AB62FC" w:rsidRPr="00C14674" w:rsidRDefault="00AB62FC" w:rsidP="00AB62FC">
            <w:pPr>
              <w:spacing w:before="0" w:after="0"/>
              <w:jc w:val="right"/>
              <w:rPr>
                <w:sz w:val="18"/>
                <w:szCs w:val="18"/>
              </w:rPr>
            </w:pPr>
            <w:r w:rsidRPr="00C14674">
              <w:rPr>
                <w:sz w:val="18"/>
                <w:szCs w:val="18"/>
              </w:rPr>
              <w:t>92.4</w:t>
            </w:r>
          </w:p>
        </w:tc>
        <w:tc>
          <w:tcPr>
            <w:tcW w:w="1275" w:type="dxa"/>
            <w:shd w:val="clear" w:color="auto" w:fill="auto"/>
            <w:vAlign w:val="bottom"/>
          </w:tcPr>
          <w:p w:rsidR="00AB62FC" w:rsidRPr="00C14674" w:rsidRDefault="00AB62FC" w:rsidP="00AB62FC">
            <w:pPr>
              <w:spacing w:before="0" w:after="0"/>
              <w:jc w:val="right"/>
              <w:rPr>
                <w:sz w:val="18"/>
                <w:szCs w:val="18"/>
              </w:rPr>
            </w:pPr>
            <w:r w:rsidRPr="00C14674">
              <w:rPr>
                <w:sz w:val="18"/>
                <w:szCs w:val="18"/>
              </w:rPr>
              <w:t>92.2</w:t>
            </w:r>
          </w:p>
        </w:tc>
      </w:tr>
      <w:tr w:rsidR="00AB62FC" w:rsidRPr="00C14674" w:rsidTr="00AB62FC">
        <w:tc>
          <w:tcPr>
            <w:tcW w:w="4518" w:type="dxa"/>
            <w:shd w:val="clear" w:color="auto" w:fill="auto"/>
          </w:tcPr>
          <w:p w:rsidR="00AB62FC" w:rsidRPr="00C14674" w:rsidRDefault="00AB62FC" w:rsidP="00AB62FC">
            <w:pPr>
              <w:tabs>
                <w:tab w:val="right" w:leader="dot" w:pos="4302"/>
              </w:tabs>
              <w:spacing w:before="0" w:after="0"/>
              <w:ind w:left="90" w:hanging="90"/>
              <w:jc w:val="left"/>
              <w:rPr>
                <w:sz w:val="18"/>
                <w:szCs w:val="18"/>
              </w:rPr>
            </w:pPr>
            <w:r w:rsidRPr="00C14674">
              <w:rPr>
                <w:sz w:val="18"/>
                <w:szCs w:val="18"/>
              </w:rPr>
              <w:t>Fruit Partners sales</w:t>
            </w:r>
            <w:r w:rsidRPr="00C14674">
              <w:rPr>
                <w:sz w:val="18"/>
                <w:szCs w:val="18"/>
              </w:rPr>
              <w:tab/>
            </w:r>
          </w:p>
        </w:tc>
        <w:tc>
          <w:tcPr>
            <w:tcW w:w="1080" w:type="dxa"/>
            <w:shd w:val="clear" w:color="auto" w:fill="auto"/>
            <w:vAlign w:val="bottom"/>
          </w:tcPr>
          <w:p w:rsidR="00AB62FC" w:rsidRPr="00C14674" w:rsidRDefault="00AB62FC" w:rsidP="00AB62FC">
            <w:pPr>
              <w:spacing w:before="0" w:after="0"/>
              <w:jc w:val="right"/>
              <w:rPr>
                <w:sz w:val="18"/>
                <w:szCs w:val="18"/>
              </w:rPr>
            </w:pPr>
            <w:r w:rsidRPr="00C14674">
              <w:rPr>
                <w:sz w:val="18"/>
                <w:szCs w:val="18"/>
              </w:rPr>
              <w:t>10.1</w:t>
            </w:r>
          </w:p>
        </w:tc>
        <w:tc>
          <w:tcPr>
            <w:tcW w:w="990" w:type="dxa"/>
            <w:shd w:val="clear" w:color="auto" w:fill="auto"/>
            <w:vAlign w:val="bottom"/>
          </w:tcPr>
          <w:p w:rsidR="00AB62FC" w:rsidRPr="00C14674" w:rsidRDefault="00AB62FC" w:rsidP="00AB62FC">
            <w:pPr>
              <w:spacing w:before="0" w:after="0"/>
              <w:jc w:val="right"/>
              <w:rPr>
                <w:sz w:val="18"/>
                <w:szCs w:val="18"/>
              </w:rPr>
            </w:pPr>
            <w:r w:rsidRPr="00C14674">
              <w:rPr>
                <w:sz w:val="18"/>
                <w:szCs w:val="18"/>
              </w:rPr>
              <w:t>9.5</w:t>
            </w:r>
          </w:p>
        </w:tc>
        <w:tc>
          <w:tcPr>
            <w:tcW w:w="1317" w:type="dxa"/>
            <w:shd w:val="clear" w:color="auto" w:fill="auto"/>
            <w:vAlign w:val="bottom"/>
          </w:tcPr>
          <w:p w:rsidR="00AB62FC" w:rsidRPr="00C14674" w:rsidRDefault="00AB62FC" w:rsidP="00AB62FC">
            <w:pPr>
              <w:spacing w:before="0" w:after="0"/>
              <w:jc w:val="right"/>
              <w:rPr>
                <w:sz w:val="18"/>
                <w:szCs w:val="18"/>
              </w:rPr>
            </w:pPr>
            <w:r w:rsidRPr="00C14674">
              <w:rPr>
                <w:sz w:val="18"/>
                <w:szCs w:val="18"/>
              </w:rPr>
              <w:t>2.0</w:t>
            </w:r>
          </w:p>
        </w:tc>
        <w:tc>
          <w:tcPr>
            <w:tcW w:w="1275" w:type="dxa"/>
            <w:shd w:val="clear" w:color="auto" w:fill="auto"/>
            <w:vAlign w:val="bottom"/>
          </w:tcPr>
          <w:p w:rsidR="00AB62FC" w:rsidRPr="00C14674" w:rsidRDefault="00AB62FC" w:rsidP="00AB62FC">
            <w:pPr>
              <w:spacing w:before="0" w:after="0"/>
              <w:jc w:val="right"/>
              <w:rPr>
                <w:sz w:val="18"/>
                <w:szCs w:val="18"/>
              </w:rPr>
            </w:pPr>
            <w:r w:rsidRPr="00C14674">
              <w:rPr>
                <w:sz w:val="18"/>
                <w:szCs w:val="18"/>
              </w:rPr>
              <w:t>1.4</w:t>
            </w:r>
          </w:p>
        </w:tc>
      </w:tr>
      <w:tr w:rsidR="00AB62FC" w:rsidRPr="00C14674" w:rsidTr="00AB62FC">
        <w:tc>
          <w:tcPr>
            <w:tcW w:w="4518" w:type="dxa"/>
            <w:shd w:val="clear" w:color="auto" w:fill="auto"/>
          </w:tcPr>
          <w:p w:rsidR="00AB62FC" w:rsidRPr="00C14674" w:rsidRDefault="00AB62FC" w:rsidP="00AB62FC">
            <w:pPr>
              <w:tabs>
                <w:tab w:val="right" w:leader="dot" w:pos="4302"/>
              </w:tabs>
              <w:spacing w:before="0" w:after="0"/>
              <w:ind w:left="90" w:hanging="90"/>
              <w:jc w:val="left"/>
              <w:rPr>
                <w:sz w:val="18"/>
                <w:szCs w:val="18"/>
              </w:rPr>
            </w:pPr>
            <w:r w:rsidRPr="00C14674">
              <w:rPr>
                <w:sz w:val="18"/>
                <w:szCs w:val="18"/>
              </w:rPr>
              <w:t>Flower &amp; Plants sales</w:t>
            </w:r>
            <w:r w:rsidRPr="00C14674">
              <w:rPr>
                <w:sz w:val="18"/>
                <w:szCs w:val="18"/>
              </w:rPr>
              <w:tab/>
            </w:r>
          </w:p>
        </w:tc>
        <w:tc>
          <w:tcPr>
            <w:tcW w:w="1080" w:type="dxa"/>
            <w:shd w:val="clear" w:color="auto" w:fill="auto"/>
            <w:vAlign w:val="bottom"/>
          </w:tcPr>
          <w:p w:rsidR="00AB62FC" w:rsidRPr="00C14674" w:rsidRDefault="00AB62FC" w:rsidP="00AB62FC">
            <w:pPr>
              <w:spacing w:before="0" w:after="0"/>
              <w:jc w:val="right"/>
              <w:rPr>
                <w:sz w:val="18"/>
                <w:szCs w:val="18"/>
              </w:rPr>
            </w:pPr>
            <w:r w:rsidRPr="00C14674">
              <w:rPr>
                <w:sz w:val="18"/>
                <w:szCs w:val="18"/>
              </w:rPr>
              <w:t>99.4</w:t>
            </w:r>
          </w:p>
        </w:tc>
        <w:tc>
          <w:tcPr>
            <w:tcW w:w="990" w:type="dxa"/>
            <w:shd w:val="clear" w:color="auto" w:fill="auto"/>
            <w:vAlign w:val="bottom"/>
          </w:tcPr>
          <w:p w:rsidR="00AB62FC" w:rsidRPr="00C14674" w:rsidRDefault="00AB62FC" w:rsidP="00AB62FC">
            <w:pPr>
              <w:spacing w:before="0" w:after="0"/>
              <w:jc w:val="right"/>
              <w:rPr>
                <w:sz w:val="18"/>
                <w:szCs w:val="18"/>
              </w:rPr>
            </w:pPr>
            <w:r w:rsidRPr="00C14674">
              <w:rPr>
                <w:sz w:val="18"/>
                <w:szCs w:val="18"/>
              </w:rPr>
              <w:t>109.5</w:t>
            </w:r>
          </w:p>
        </w:tc>
        <w:tc>
          <w:tcPr>
            <w:tcW w:w="1317" w:type="dxa"/>
            <w:shd w:val="clear" w:color="auto" w:fill="auto"/>
            <w:vAlign w:val="bottom"/>
          </w:tcPr>
          <w:p w:rsidR="00AB62FC" w:rsidRPr="00C14674" w:rsidRDefault="00AB62FC" w:rsidP="00AB62FC">
            <w:pPr>
              <w:spacing w:before="0" w:after="0"/>
              <w:jc w:val="right"/>
              <w:rPr>
                <w:sz w:val="18"/>
                <w:szCs w:val="18"/>
              </w:rPr>
            </w:pPr>
            <w:r w:rsidRPr="00C14674">
              <w:rPr>
                <w:sz w:val="18"/>
                <w:szCs w:val="18"/>
              </w:rPr>
              <w:t>4.2</w:t>
            </w:r>
          </w:p>
        </w:tc>
        <w:tc>
          <w:tcPr>
            <w:tcW w:w="1275" w:type="dxa"/>
            <w:shd w:val="clear" w:color="auto" w:fill="auto"/>
            <w:vAlign w:val="bottom"/>
          </w:tcPr>
          <w:p w:rsidR="00AB62FC" w:rsidRPr="00C14674" w:rsidRDefault="00AB62FC" w:rsidP="00AB62FC">
            <w:pPr>
              <w:spacing w:before="0" w:after="0"/>
              <w:jc w:val="right"/>
              <w:rPr>
                <w:sz w:val="18"/>
                <w:szCs w:val="18"/>
              </w:rPr>
            </w:pPr>
            <w:r w:rsidRPr="00C14674">
              <w:rPr>
                <w:sz w:val="18"/>
                <w:szCs w:val="18"/>
              </w:rPr>
              <w:t>4.9</w:t>
            </w:r>
          </w:p>
        </w:tc>
      </w:tr>
      <w:tr w:rsidR="00AB62FC" w:rsidRPr="00C14674" w:rsidTr="00AB62FC">
        <w:tc>
          <w:tcPr>
            <w:tcW w:w="4518" w:type="dxa"/>
            <w:shd w:val="clear" w:color="auto" w:fill="auto"/>
          </w:tcPr>
          <w:p w:rsidR="00AB62FC" w:rsidRPr="00C14674" w:rsidRDefault="00AB62FC" w:rsidP="00AB62FC">
            <w:pPr>
              <w:tabs>
                <w:tab w:val="right" w:leader="dot" w:pos="4302"/>
              </w:tabs>
              <w:spacing w:before="0" w:after="0"/>
              <w:ind w:left="90" w:hanging="90"/>
              <w:jc w:val="left"/>
              <w:rPr>
                <w:sz w:val="18"/>
                <w:szCs w:val="18"/>
              </w:rPr>
            </w:pPr>
            <w:r w:rsidRPr="00C14674">
              <w:rPr>
                <w:sz w:val="18"/>
                <w:szCs w:val="18"/>
              </w:rPr>
              <w:t>Transport &amp; Logistics sales</w:t>
            </w:r>
            <w:r w:rsidRPr="00C14674">
              <w:rPr>
                <w:sz w:val="18"/>
                <w:szCs w:val="18"/>
              </w:rPr>
              <w:tab/>
            </w:r>
          </w:p>
        </w:tc>
        <w:tc>
          <w:tcPr>
            <w:tcW w:w="1080" w:type="dxa"/>
            <w:shd w:val="clear" w:color="auto" w:fill="auto"/>
            <w:vAlign w:val="bottom"/>
          </w:tcPr>
          <w:p w:rsidR="00AB62FC" w:rsidRPr="00C14674" w:rsidRDefault="00AB62FC" w:rsidP="00AB62FC">
            <w:pPr>
              <w:pBdr>
                <w:bottom w:val="single" w:sz="4" w:space="1" w:color="auto"/>
              </w:pBdr>
              <w:spacing w:before="0" w:after="0"/>
              <w:jc w:val="right"/>
              <w:rPr>
                <w:sz w:val="18"/>
                <w:szCs w:val="18"/>
              </w:rPr>
            </w:pPr>
            <w:r w:rsidRPr="00C14674">
              <w:rPr>
                <w:sz w:val="18"/>
                <w:szCs w:val="18"/>
              </w:rPr>
              <w:t>48.7</w:t>
            </w:r>
          </w:p>
        </w:tc>
        <w:tc>
          <w:tcPr>
            <w:tcW w:w="990" w:type="dxa"/>
            <w:shd w:val="clear" w:color="auto" w:fill="auto"/>
            <w:vAlign w:val="bottom"/>
          </w:tcPr>
          <w:p w:rsidR="00AB62FC" w:rsidRPr="00C14674" w:rsidRDefault="00AB62FC" w:rsidP="00AB62FC">
            <w:pPr>
              <w:pBdr>
                <w:bottom w:val="single" w:sz="4" w:space="1" w:color="auto"/>
              </w:pBdr>
              <w:spacing w:before="0" w:after="0"/>
              <w:jc w:val="right"/>
              <w:rPr>
                <w:sz w:val="18"/>
                <w:szCs w:val="18"/>
              </w:rPr>
            </w:pPr>
            <w:r w:rsidRPr="00C14674">
              <w:rPr>
                <w:sz w:val="18"/>
                <w:szCs w:val="18"/>
              </w:rPr>
              <w:t>46.1</w:t>
            </w:r>
          </w:p>
        </w:tc>
        <w:tc>
          <w:tcPr>
            <w:tcW w:w="1317" w:type="dxa"/>
            <w:shd w:val="clear" w:color="auto" w:fill="auto"/>
            <w:vAlign w:val="bottom"/>
          </w:tcPr>
          <w:p w:rsidR="00AB62FC" w:rsidRPr="00C14674" w:rsidRDefault="00AB62FC" w:rsidP="00AB62FC">
            <w:pPr>
              <w:pBdr>
                <w:bottom w:val="single" w:sz="4" w:space="1" w:color="auto"/>
              </w:pBdr>
              <w:spacing w:before="0" w:after="0"/>
              <w:jc w:val="right"/>
              <w:rPr>
                <w:sz w:val="18"/>
                <w:szCs w:val="18"/>
              </w:rPr>
            </w:pPr>
            <w:r w:rsidRPr="00C14674">
              <w:rPr>
                <w:sz w:val="18"/>
                <w:szCs w:val="18"/>
              </w:rPr>
              <w:t>1.5</w:t>
            </w:r>
          </w:p>
        </w:tc>
        <w:tc>
          <w:tcPr>
            <w:tcW w:w="1275" w:type="dxa"/>
            <w:shd w:val="clear" w:color="auto" w:fill="auto"/>
            <w:vAlign w:val="bottom"/>
          </w:tcPr>
          <w:p w:rsidR="00AB62FC" w:rsidRPr="00C14674" w:rsidRDefault="00AB62FC" w:rsidP="00AB62FC">
            <w:pPr>
              <w:pBdr>
                <w:bottom w:val="single" w:sz="4" w:space="1" w:color="auto"/>
              </w:pBdr>
              <w:spacing w:before="0" w:after="0"/>
              <w:jc w:val="right"/>
              <w:rPr>
                <w:sz w:val="18"/>
                <w:szCs w:val="18"/>
              </w:rPr>
            </w:pPr>
            <w:r w:rsidRPr="00C14674">
              <w:rPr>
                <w:sz w:val="18"/>
                <w:szCs w:val="18"/>
              </w:rPr>
              <w:t>1.5</w:t>
            </w:r>
          </w:p>
        </w:tc>
      </w:tr>
      <w:tr w:rsidR="00AB62FC" w:rsidRPr="00C14674" w:rsidTr="00AB62FC">
        <w:tc>
          <w:tcPr>
            <w:tcW w:w="4518" w:type="dxa"/>
            <w:shd w:val="clear" w:color="auto" w:fill="auto"/>
          </w:tcPr>
          <w:p w:rsidR="00AB62FC" w:rsidRPr="00C14674" w:rsidRDefault="00AB62FC" w:rsidP="00AB62FC">
            <w:pPr>
              <w:tabs>
                <w:tab w:val="right" w:leader="dot" w:pos="4302"/>
              </w:tabs>
              <w:spacing w:before="0" w:after="0"/>
              <w:ind w:left="90" w:hanging="90"/>
              <w:jc w:val="left"/>
              <w:rPr>
                <w:sz w:val="18"/>
                <w:szCs w:val="18"/>
              </w:rPr>
            </w:pPr>
            <w:r w:rsidRPr="00C14674">
              <w:rPr>
                <w:b/>
                <w:bCs/>
                <w:sz w:val="18"/>
                <w:szCs w:val="18"/>
              </w:rPr>
              <w:t>Sales continuing operations</w:t>
            </w:r>
            <w:r w:rsidRPr="00C14674">
              <w:rPr>
                <w:bCs/>
                <w:sz w:val="18"/>
                <w:szCs w:val="18"/>
              </w:rPr>
              <w:tab/>
            </w:r>
          </w:p>
        </w:tc>
        <w:tc>
          <w:tcPr>
            <w:tcW w:w="1080" w:type="dxa"/>
            <w:shd w:val="clear" w:color="auto" w:fill="auto"/>
            <w:vAlign w:val="bottom"/>
          </w:tcPr>
          <w:p w:rsidR="00AB62FC" w:rsidRPr="00C14674" w:rsidRDefault="00AB62FC" w:rsidP="00AB62FC">
            <w:pPr>
              <w:spacing w:before="0" w:after="0"/>
              <w:jc w:val="right"/>
              <w:rPr>
                <w:sz w:val="18"/>
                <w:szCs w:val="18"/>
              </w:rPr>
            </w:pPr>
            <w:r w:rsidRPr="00C14674">
              <w:rPr>
                <w:b/>
                <w:bCs/>
                <w:sz w:val="18"/>
                <w:szCs w:val="18"/>
              </w:rPr>
              <w:t>3,170.7</w:t>
            </w:r>
          </w:p>
        </w:tc>
        <w:tc>
          <w:tcPr>
            <w:tcW w:w="990" w:type="dxa"/>
            <w:shd w:val="clear" w:color="auto" w:fill="auto"/>
            <w:vAlign w:val="bottom"/>
          </w:tcPr>
          <w:p w:rsidR="00AB62FC" w:rsidRPr="00C14674" w:rsidRDefault="00AB62FC" w:rsidP="00AB62FC">
            <w:pPr>
              <w:spacing w:before="0" w:after="0"/>
              <w:jc w:val="right"/>
              <w:rPr>
                <w:sz w:val="18"/>
                <w:szCs w:val="18"/>
              </w:rPr>
            </w:pPr>
            <w:r w:rsidRPr="00C14674">
              <w:rPr>
                <w:b/>
                <w:bCs/>
                <w:sz w:val="18"/>
                <w:szCs w:val="18"/>
              </w:rPr>
              <w:t>3,028.5</w:t>
            </w:r>
          </w:p>
        </w:tc>
        <w:tc>
          <w:tcPr>
            <w:tcW w:w="1317" w:type="dxa"/>
            <w:shd w:val="clear" w:color="auto" w:fill="auto"/>
            <w:vAlign w:val="bottom"/>
          </w:tcPr>
          <w:p w:rsidR="00AB62FC" w:rsidRPr="00C14674" w:rsidRDefault="00AB62FC" w:rsidP="00AB62FC">
            <w:pPr>
              <w:spacing w:before="0" w:after="0"/>
              <w:jc w:val="right"/>
              <w:rPr>
                <w:sz w:val="18"/>
                <w:szCs w:val="18"/>
              </w:rPr>
            </w:pPr>
            <w:r w:rsidRPr="00C14674">
              <w:rPr>
                <w:b/>
                <w:sz w:val="18"/>
                <w:szCs w:val="18"/>
              </w:rPr>
              <w:t>100.0</w:t>
            </w:r>
          </w:p>
        </w:tc>
        <w:tc>
          <w:tcPr>
            <w:tcW w:w="1275" w:type="dxa"/>
            <w:shd w:val="clear" w:color="auto" w:fill="auto"/>
            <w:vAlign w:val="bottom"/>
          </w:tcPr>
          <w:p w:rsidR="00AB62FC" w:rsidRPr="00C14674" w:rsidRDefault="00AB62FC" w:rsidP="00AB62FC">
            <w:pPr>
              <w:spacing w:before="0" w:after="0"/>
              <w:jc w:val="right"/>
              <w:rPr>
                <w:sz w:val="18"/>
                <w:szCs w:val="18"/>
              </w:rPr>
            </w:pPr>
            <w:r w:rsidRPr="00C14674">
              <w:rPr>
                <w:b/>
                <w:sz w:val="18"/>
                <w:szCs w:val="18"/>
              </w:rPr>
              <w:t>100.0</w:t>
            </w:r>
          </w:p>
        </w:tc>
      </w:tr>
    </w:tbl>
    <w:p w:rsidR="003F0BC5" w:rsidRPr="00C14674" w:rsidRDefault="003F0BC5" w:rsidP="00353B80">
      <w:pPr>
        <w:pStyle w:val="Firm5L4"/>
        <w:keepNext/>
      </w:pPr>
      <w:r w:rsidRPr="00C14674">
        <w:t>Fruit &amp; Vegetables</w:t>
      </w:r>
    </w:p>
    <w:p w:rsidR="003F0BC5" w:rsidRPr="00C14674" w:rsidRDefault="003F0BC5" w:rsidP="003F0BC5">
      <w:pPr>
        <w:rPr>
          <w:szCs w:val="20"/>
        </w:rPr>
      </w:pPr>
      <w:r w:rsidRPr="00C14674">
        <w:rPr>
          <w:szCs w:val="20"/>
        </w:rPr>
        <w:t xml:space="preserve">The Fruit &amp; Vegetables segment reported an increase of sales of </w:t>
      </w:r>
      <w:r w:rsidR="00E53641">
        <w:rPr>
          <w:szCs w:val="20"/>
        </w:rPr>
        <w:t>EUR </w:t>
      </w:r>
      <w:r w:rsidRPr="00C14674">
        <w:rPr>
          <w:szCs w:val="20"/>
        </w:rPr>
        <w:t xml:space="preserve">149,300,000 or 5,2% to </w:t>
      </w:r>
      <w:r w:rsidR="00E53641">
        <w:rPr>
          <w:szCs w:val="20"/>
        </w:rPr>
        <w:t>EUR </w:t>
      </w:r>
      <w:r w:rsidRPr="00C14674">
        <w:rPr>
          <w:szCs w:val="20"/>
        </w:rPr>
        <w:t>3,012,600,000. This evolution is predominantly driven by the elements described below.</w:t>
      </w:r>
    </w:p>
    <w:p w:rsidR="003F0BC5" w:rsidRPr="00C14674" w:rsidRDefault="003F0BC5" w:rsidP="003F0BC5">
      <w:pPr>
        <w:rPr>
          <w:szCs w:val="20"/>
        </w:rPr>
      </w:pPr>
      <w:r w:rsidRPr="00C14674">
        <w:rPr>
          <w:szCs w:val="20"/>
        </w:rPr>
        <w:t xml:space="preserve">The start-up of a new operation in the </w:t>
      </w:r>
      <w:smartTag w:uri="urn:schemas-microsoft-com:office:smarttags" w:element="PlaceName">
        <w:r w:rsidRPr="00C14674">
          <w:rPr>
            <w:szCs w:val="20"/>
          </w:rPr>
          <w:t>Czech</w:t>
        </w:r>
      </w:smartTag>
      <w:r w:rsidRPr="00C14674">
        <w:rPr>
          <w:szCs w:val="20"/>
        </w:rPr>
        <w:t xml:space="preserve"> </w:t>
      </w:r>
      <w:smartTag w:uri="urn:schemas-microsoft-com:office:smarttags" w:element="PlaceType">
        <w:r w:rsidRPr="00C14674">
          <w:rPr>
            <w:szCs w:val="20"/>
          </w:rPr>
          <w:t>Republic</w:t>
        </w:r>
      </w:smartTag>
      <w:r w:rsidRPr="00C14674">
        <w:rPr>
          <w:szCs w:val="20"/>
        </w:rPr>
        <w:t xml:space="preserve"> for a key customer represents </w:t>
      </w:r>
      <w:r w:rsidR="00E53641">
        <w:rPr>
          <w:szCs w:val="20"/>
        </w:rPr>
        <w:t>EUR </w:t>
      </w:r>
      <w:r w:rsidRPr="00C14674">
        <w:rPr>
          <w:szCs w:val="20"/>
        </w:rPr>
        <w:t xml:space="preserve">74,100,000, and the acquisition of EWT, a product specialist in apples and pears in the </w:t>
      </w:r>
      <w:smartTag w:uri="urn:schemas-microsoft-com:office:smarttags" w:element="country-region">
        <w:smartTag w:uri="urn:schemas-microsoft-com:office:smarttags" w:element="place">
          <w:r w:rsidRPr="00C14674">
            <w:rPr>
              <w:szCs w:val="20"/>
            </w:rPr>
            <w:t>UK</w:t>
          </w:r>
        </w:smartTag>
      </w:smartTag>
      <w:r w:rsidRPr="00C14674">
        <w:rPr>
          <w:szCs w:val="20"/>
        </w:rPr>
        <w:t xml:space="preserve">, in the first quarter of 2014 increasing sales by </w:t>
      </w:r>
      <w:r w:rsidR="00E53641">
        <w:rPr>
          <w:szCs w:val="20"/>
        </w:rPr>
        <w:t>EUR </w:t>
      </w:r>
      <w:r w:rsidRPr="00C14674">
        <w:rPr>
          <w:szCs w:val="20"/>
        </w:rPr>
        <w:t xml:space="preserve">87,100,000, have contributed significantly to the sales growth for the year. The operations in the </w:t>
      </w:r>
      <w:smartTag w:uri="urn:schemas-microsoft-com:office:smarttags" w:element="country-region">
        <w:r w:rsidRPr="00C14674">
          <w:rPr>
            <w:szCs w:val="20"/>
          </w:rPr>
          <w:t>US</w:t>
        </w:r>
      </w:smartTag>
      <w:r w:rsidRPr="00C14674">
        <w:rPr>
          <w:szCs w:val="20"/>
        </w:rPr>
        <w:t xml:space="preserve"> have imported higher volumes in citrus and deciduous products from </w:t>
      </w:r>
      <w:smartTag w:uri="urn:schemas-microsoft-com:office:smarttags" w:element="country-region">
        <w:r w:rsidRPr="00C14674">
          <w:rPr>
            <w:szCs w:val="20"/>
          </w:rPr>
          <w:t>Morocco</w:t>
        </w:r>
      </w:smartTag>
      <w:r w:rsidRPr="00C14674">
        <w:rPr>
          <w:szCs w:val="20"/>
        </w:rPr>
        <w:t xml:space="preserve">, </w:t>
      </w:r>
      <w:smartTag w:uri="urn:schemas-microsoft-com:office:smarttags" w:element="country-region">
        <w:r w:rsidRPr="00C14674">
          <w:rPr>
            <w:szCs w:val="20"/>
          </w:rPr>
          <w:t>Mexico</w:t>
        </w:r>
      </w:smartTag>
      <w:r w:rsidRPr="00C14674">
        <w:rPr>
          <w:szCs w:val="20"/>
        </w:rPr>
        <w:t xml:space="preserve"> and </w:t>
      </w:r>
      <w:smartTag w:uri="urn:schemas-microsoft-com:office:smarttags" w:element="country-region">
        <w:smartTag w:uri="urn:schemas-microsoft-com:office:smarttags" w:element="place">
          <w:r w:rsidRPr="00C14674">
            <w:rPr>
              <w:szCs w:val="20"/>
            </w:rPr>
            <w:t>South Africa</w:t>
          </w:r>
        </w:smartTag>
      </w:smartTag>
      <w:r w:rsidRPr="00C14674">
        <w:rPr>
          <w:szCs w:val="20"/>
        </w:rPr>
        <w:t xml:space="preserve"> (</w:t>
      </w:r>
      <w:r w:rsidR="00E53641">
        <w:rPr>
          <w:szCs w:val="20"/>
        </w:rPr>
        <w:t>EUR </w:t>
      </w:r>
      <w:r w:rsidRPr="00C14674">
        <w:rPr>
          <w:szCs w:val="20"/>
        </w:rPr>
        <w:t xml:space="preserve">15,000,000). The Univeg Group’s Dutch export operation has increased the supply of traditional Dutch vegetables like bell peppers, tomatoes and cucumbers towards </w:t>
      </w:r>
      <w:smartTag w:uri="urn:schemas-microsoft-com:office:smarttags" w:element="country-region">
        <w:smartTag w:uri="urn:schemas-microsoft-com:office:smarttags" w:element="place">
          <w:r w:rsidRPr="00C14674">
            <w:rPr>
              <w:szCs w:val="20"/>
            </w:rPr>
            <w:t>Germany</w:t>
          </w:r>
        </w:smartTag>
      </w:smartTag>
      <w:r w:rsidRPr="00C14674">
        <w:rPr>
          <w:szCs w:val="20"/>
        </w:rPr>
        <w:t xml:space="preserve"> and also boosted the supply of overseas exotics into the same market amounting to growth of some </w:t>
      </w:r>
      <w:r w:rsidR="00E53641">
        <w:rPr>
          <w:szCs w:val="20"/>
        </w:rPr>
        <w:t>EUR </w:t>
      </w:r>
      <w:r w:rsidRPr="00C14674">
        <w:rPr>
          <w:szCs w:val="20"/>
        </w:rPr>
        <w:t>6,700,000.</w:t>
      </w:r>
    </w:p>
    <w:p w:rsidR="003F0BC5" w:rsidRPr="00C14674" w:rsidRDefault="003F0BC5" w:rsidP="003F0BC5">
      <w:pPr>
        <w:rPr>
          <w:szCs w:val="20"/>
        </w:rPr>
      </w:pPr>
      <w:r w:rsidRPr="00C14674">
        <w:rPr>
          <w:szCs w:val="20"/>
        </w:rPr>
        <w:t>These were offset by certain evolutions in different countries. There was significant price deflation in the Dutch service business (-</w:t>
      </w:r>
      <w:r w:rsidR="00E53641">
        <w:rPr>
          <w:szCs w:val="20"/>
        </w:rPr>
        <w:t>EUR </w:t>
      </w:r>
      <w:r w:rsidRPr="00C14674">
        <w:rPr>
          <w:szCs w:val="20"/>
        </w:rPr>
        <w:t xml:space="preserve">8,400,000) in combination with lower price levels in other key European markets, for most high volume products: apples (-19.3%), pears (-17.0%), oranges (-3.3%), bell peppers (-9.5%) and cucumbers (-8.2%). Here the main impact is noted in </w:t>
      </w:r>
      <w:smartTag w:uri="urn:schemas-microsoft-com:office:smarttags" w:element="country-region">
        <w:smartTag w:uri="urn:schemas-microsoft-com:office:smarttags" w:element="place">
          <w:r w:rsidRPr="00C14674">
            <w:rPr>
              <w:szCs w:val="20"/>
            </w:rPr>
            <w:t>Germany</w:t>
          </w:r>
        </w:smartTag>
      </w:smartTag>
      <w:r w:rsidRPr="00C14674">
        <w:rPr>
          <w:szCs w:val="20"/>
        </w:rPr>
        <w:t xml:space="preserve"> showing a decrease of </w:t>
      </w:r>
      <w:r w:rsidR="00E53641">
        <w:rPr>
          <w:szCs w:val="20"/>
        </w:rPr>
        <w:t>EUR </w:t>
      </w:r>
      <w:r w:rsidRPr="00C14674">
        <w:rPr>
          <w:szCs w:val="20"/>
        </w:rPr>
        <w:t xml:space="preserve">13,600,000). Pre-cut salad sales in </w:t>
      </w:r>
      <w:smartTag w:uri="urn:schemas-microsoft-com:office:smarttags" w:element="country-region">
        <w:smartTag w:uri="urn:schemas-microsoft-com:office:smarttags" w:element="place">
          <w:r w:rsidRPr="00C14674">
            <w:rPr>
              <w:szCs w:val="20"/>
            </w:rPr>
            <w:t>Belgium</w:t>
          </w:r>
        </w:smartTag>
      </w:smartTag>
      <w:r w:rsidRPr="00C14674">
        <w:rPr>
          <w:szCs w:val="20"/>
        </w:rPr>
        <w:t xml:space="preserve"> decreased by </w:t>
      </w:r>
      <w:r w:rsidR="00E53641">
        <w:rPr>
          <w:szCs w:val="20"/>
        </w:rPr>
        <w:t>EUR </w:t>
      </w:r>
      <w:r w:rsidRPr="00C14674">
        <w:rPr>
          <w:szCs w:val="20"/>
        </w:rPr>
        <w:t>5,800,000 due to the loss of a contract with a key customer, this was partially regained towards the end of the year.</w:t>
      </w:r>
    </w:p>
    <w:p w:rsidR="003F0BC5" w:rsidRPr="00C14674" w:rsidRDefault="003F0BC5" w:rsidP="003F0BC5">
      <w:pPr>
        <w:rPr>
          <w:szCs w:val="20"/>
        </w:rPr>
      </w:pPr>
      <w:r w:rsidRPr="00C14674">
        <w:rPr>
          <w:szCs w:val="20"/>
        </w:rPr>
        <w:t>The top</w:t>
      </w:r>
      <w:r w:rsidR="006042CC" w:rsidRPr="00C14674">
        <w:rPr>
          <w:szCs w:val="20"/>
        </w:rPr>
        <w:t xml:space="preserve"> ten </w:t>
      </w:r>
      <w:r w:rsidRPr="00C14674">
        <w:rPr>
          <w:szCs w:val="20"/>
        </w:rPr>
        <w:t xml:space="preserve">customers in Fruit &amp; Vegetables generated sales growth of 5.1% or </w:t>
      </w:r>
      <w:r w:rsidR="00E53641">
        <w:rPr>
          <w:szCs w:val="20"/>
        </w:rPr>
        <w:t>EUR </w:t>
      </w:r>
      <w:r w:rsidRPr="00C14674">
        <w:rPr>
          <w:szCs w:val="20"/>
        </w:rPr>
        <w:t>115,400,000 in 2014.</w:t>
      </w:r>
    </w:p>
    <w:p w:rsidR="003F0BC5" w:rsidRPr="00C14674" w:rsidRDefault="003F0BC5" w:rsidP="00353B80">
      <w:pPr>
        <w:pStyle w:val="Firm5L4"/>
        <w:keepNext/>
      </w:pPr>
      <w:r w:rsidRPr="00C14674">
        <w:t>Fruit Partners</w:t>
      </w:r>
    </w:p>
    <w:p w:rsidR="003F0BC5" w:rsidRPr="00C14674" w:rsidRDefault="003F0BC5" w:rsidP="003F0BC5">
      <w:pPr>
        <w:rPr>
          <w:szCs w:val="20"/>
        </w:rPr>
      </w:pPr>
      <w:r w:rsidRPr="00C14674">
        <w:rPr>
          <w:szCs w:val="20"/>
        </w:rPr>
        <w:t>Fruit Partners r</w:t>
      </w:r>
      <w:r w:rsidR="00FD6C8D" w:rsidRPr="00C14674">
        <w:rPr>
          <w:szCs w:val="20"/>
        </w:rPr>
        <w:t xml:space="preserve">eported sales of </w:t>
      </w:r>
      <w:r w:rsidR="00E53641">
        <w:rPr>
          <w:szCs w:val="20"/>
        </w:rPr>
        <w:t>EUR </w:t>
      </w:r>
      <w:r w:rsidR="00FD6C8D" w:rsidRPr="00C14674">
        <w:rPr>
          <w:szCs w:val="20"/>
        </w:rPr>
        <w:t>10,100,000</w:t>
      </w:r>
      <w:r w:rsidRPr="00C14674">
        <w:rPr>
          <w:szCs w:val="20"/>
        </w:rPr>
        <w:t xml:space="preserve"> representing an increase of </w:t>
      </w:r>
      <w:r w:rsidR="00E53641">
        <w:rPr>
          <w:szCs w:val="20"/>
        </w:rPr>
        <w:t>EUR </w:t>
      </w:r>
      <w:r w:rsidRPr="00C14674">
        <w:rPr>
          <w:szCs w:val="20"/>
        </w:rPr>
        <w:t xml:space="preserve">500,000 or 5.7% compared to 2013 mainly resulting from higher pineapple sourcing in Costa Rica for </w:t>
      </w:r>
      <w:r w:rsidR="00E53641">
        <w:rPr>
          <w:szCs w:val="20"/>
        </w:rPr>
        <w:t>EUR </w:t>
      </w:r>
      <w:r w:rsidRPr="00C14674">
        <w:rPr>
          <w:szCs w:val="20"/>
        </w:rPr>
        <w:t xml:space="preserve">1,800,000, the start-up of trading activities in Brazil for </w:t>
      </w:r>
      <w:r w:rsidR="00E53641">
        <w:rPr>
          <w:szCs w:val="20"/>
        </w:rPr>
        <w:t>EUR </w:t>
      </w:r>
      <w:r w:rsidRPr="00C14674">
        <w:rPr>
          <w:szCs w:val="20"/>
        </w:rPr>
        <w:t xml:space="preserve">1,400,000 and the impact of higher lime and clove prices and early market for grapes in Brazil increasing sales for </w:t>
      </w:r>
      <w:r w:rsidR="00E53641">
        <w:rPr>
          <w:szCs w:val="20"/>
        </w:rPr>
        <w:t>EUR </w:t>
      </w:r>
      <w:r w:rsidRPr="00C14674">
        <w:rPr>
          <w:szCs w:val="20"/>
        </w:rPr>
        <w:t xml:space="preserve">1,000,000. These were largely offset by the discontinuation of asparagus business in </w:t>
      </w:r>
      <w:smartTag w:uri="urn:schemas-microsoft-com:office:smarttags" w:element="country-region">
        <w:smartTag w:uri="urn:schemas-microsoft-com:office:smarttags" w:element="place">
          <w:r w:rsidRPr="00C14674">
            <w:rPr>
              <w:szCs w:val="20"/>
            </w:rPr>
            <w:t>Peru</w:t>
          </w:r>
        </w:smartTag>
      </w:smartTag>
      <w:r w:rsidRPr="00C14674">
        <w:rPr>
          <w:szCs w:val="20"/>
        </w:rPr>
        <w:t xml:space="preserve"> impacting the sales by </w:t>
      </w:r>
      <w:r w:rsidR="00E53641">
        <w:rPr>
          <w:szCs w:val="20"/>
        </w:rPr>
        <w:t>EUR </w:t>
      </w:r>
      <w:r w:rsidRPr="00C14674">
        <w:rPr>
          <w:szCs w:val="20"/>
        </w:rPr>
        <w:t>3,700,000.</w:t>
      </w:r>
    </w:p>
    <w:p w:rsidR="003F0BC5" w:rsidRPr="00C14674" w:rsidRDefault="003F0BC5" w:rsidP="00353B80">
      <w:pPr>
        <w:pStyle w:val="Firm5L4"/>
        <w:keepNext/>
      </w:pPr>
      <w:r w:rsidRPr="00C14674">
        <w:t>Transport &amp; Logistics</w:t>
      </w:r>
    </w:p>
    <w:p w:rsidR="003F0BC5" w:rsidRPr="00C14674" w:rsidRDefault="003F0BC5" w:rsidP="003F0BC5">
      <w:pPr>
        <w:rPr>
          <w:szCs w:val="20"/>
        </w:rPr>
      </w:pPr>
      <w:r w:rsidRPr="00C14674">
        <w:rPr>
          <w:szCs w:val="20"/>
        </w:rPr>
        <w:t xml:space="preserve">Higher sales in Transport &amp; Logistics by </w:t>
      </w:r>
      <w:r w:rsidR="00E53641">
        <w:rPr>
          <w:szCs w:val="20"/>
        </w:rPr>
        <w:t>EUR </w:t>
      </w:r>
      <w:r w:rsidRPr="00C14674">
        <w:rPr>
          <w:szCs w:val="20"/>
        </w:rPr>
        <w:t xml:space="preserve">2,600,000 relate to the increased activities in </w:t>
      </w:r>
      <w:smartTag w:uri="urn:schemas-microsoft-com:office:smarttags" w:element="country-region">
        <w:r w:rsidRPr="00C14674">
          <w:rPr>
            <w:szCs w:val="20"/>
          </w:rPr>
          <w:t>Portugal</w:t>
        </w:r>
      </w:smartTag>
      <w:r w:rsidRPr="00C14674">
        <w:rPr>
          <w:szCs w:val="20"/>
        </w:rPr>
        <w:t xml:space="preserve"> for </w:t>
      </w:r>
      <w:r w:rsidR="00E53641">
        <w:rPr>
          <w:szCs w:val="20"/>
        </w:rPr>
        <w:t>EUR </w:t>
      </w:r>
      <w:r w:rsidRPr="00C14674">
        <w:rPr>
          <w:szCs w:val="20"/>
        </w:rPr>
        <w:t xml:space="preserve">2,500,000 and </w:t>
      </w:r>
      <w:smartTag w:uri="urn:schemas-microsoft-com:office:smarttags" w:element="country-region">
        <w:smartTag w:uri="urn:schemas-microsoft-com:office:smarttags" w:element="place">
          <w:r w:rsidRPr="00C14674">
            <w:rPr>
              <w:szCs w:val="20"/>
            </w:rPr>
            <w:t>Bulgaria</w:t>
          </w:r>
        </w:smartTag>
      </w:smartTag>
      <w:r w:rsidRPr="00C14674">
        <w:rPr>
          <w:szCs w:val="20"/>
        </w:rPr>
        <w:t xml:space="preserve"> for </w:t>
      </w:r>
      <w:r w:rsidR="00E53641">
        <w:rPr>
          <w:szCs w:val="20"/>
        </w:rPr>
        <w:t>EUR </w:t>
      </w:r>
      <w:r w:rsidRPr="00C14674">
        <w:rPr>
          <w:szCs w:val="20"/>
        </w:rPr>
        <w:t xml:space="preserve">1,000,000. This is only partially offset by the termination of the contract with an important customer in </w:t>
      </w:r>
      <w:smartTag w:uri="urn:schemas-microsoft-com:office:smarttags" w:element="country-region">
        <w:smartTag w:uri="urn:schemas-microsoft-com:office:smarttags" w:element="place">
          <w:r w:rsidRPr="00C14674">
            <w:rPr>
              <w:szCs w:val="20"/>
            </w:rPr>
            <w:t>Poland</w:t>
          </w:r>
        </w:smartTag>
      </w:smartTag>
      <w:r w:rsidRPr="00C14674">
        <w:rPr>
          <w:szCs w:val="20"/>
        </w:rPr>
        <w:t xml:space="preserve"> dropping sales by </w:t>
      </w:r>
      <w:r w:rsidR="00E53641">
        <w:rPr>
          <w:szCs w:val="20"/>
        </w:rPr>
        <w:t>EUR </w:t>
      </w:r>
      <w:r w:rsidRPr="00C14674">
        <w:rPr>
          <w:szCs w:val="20"/>
        </w:rPr>
        <w:t>900,000.</w:t>
      </w:r>
    </w:p>
    <w:p w:rsidR="003F0BC5" w:rsidRPr="00C14674" w:rsidRDefault="003F0BC5" w:rsidP="00353B80">
      <w:pPr>
        <w:pStyle w:val="Firm5L4"/>
        <w:keepNext/>
      </w:pPr>
      <w:r w:rsidRPr="00C14674">
        <w:t>Flowers &amp; Plants</w:t>
      </w:r>
    </w:p>
    <w:p w:rsidR="003F0BC5" w:rsidRPr="00C14674" w:rsidRDefault="003F0BC5" w:rsidP="003F0BC5">
      <w:pPr>
        <w:rPr>
          <w:szCs w:val="20"/>
        </w:rPr>
      </w:pPr>
      <w:r w:rsidRPr="00C14674">
        <w:rPr>
          <w:szCs w:val="20"/>
        </w:rPr>
        <w:t xml:space="preserve">The drop in sales of </w:t>
      </w:r>
      <w:r w:rsidR="00E53641">
        <w:rPr>
          <w:szCs w:val="20"/>
        </w:rPr>
        <w:t>EUR </w:t>
      </w:r>
      <w:r w:rsidRPr="00C14674">
        <w:rPr>
          <w:szCs w:val="20"/>
        </w:rPr>
        <w:t>10,100,000 in Flowers &amp; Plants primarily results from the discontinuation of low margin plant business and lower sales prices in the Univeg Group’s Dutch export operation (-</w:t>
      </w:r>
      <w:r w:rsidR="00E53641">
        <w:rPr>
          <w:szCs w:val="20"/>
        </w:rPr>
        <w:t>EUR </w:t>
      </w:r>
      <w:r w:rsidRPr="00C14674">
        <w:rPr>
          <w:szCs w:val="20"/>
        </w:rPr>
        <w:t>10,300,000).</w:t>
      </w:r>
    </w:p>
    <w:p w:rsidR="003F0BC5" w:rsidRPr="00C14674" w:rsidRDefault="003F0BC5" w:rsidP="00353B80">
      <w:pPr>
        <w:pStyle w:val="Firm5L4"/>
        <w:keepNext/>
      </w:pPr>
      <w:r w:rsidRPr="00C14674">
        <w:t>Allocation of its Fruit and Vegetables Segment by geography</w:t>
      </w:r>
    </w:p>
    <w:p w:rsidR="003F0BC5" w:rsidRPr="00C14674" w:rsidRDefault="003F0BC5" w:rsidP="003F0BC5">
      <w:pPr>
        <w:rPr>
          <w:szCs w:val="20"/>
        </w:rPr>
      </w:pPr>
      <w:smartTag w:uri="urn:schemas-microsoft-com:office:smarttags" w:element="country-region">
        <w:smartTag w:uri="urn:schemas-microsoft-com:office:smarttags" w:element="place">
          <w:r w:rsidRPr="00C14674">
            <w:rPr>
              <w:bCs/>
              <w:szCs w:val="20"/>
            </w:rPr>
            <w:t>Germany</w:t>
          </w:r>
        </w:smartTag>
      </w:smartTag>
      <w:r w:rsidRPr="00C14674">
        <w:rPr>
          <w:b/>
          <w:bCs/>
          <w:szCs w:val="20"/>
        </w:rPr>
        <w:t xml:space="preserve"> </w:t>
      </w:r>
      <w:r w:rsidRPr="00C14674">
        <w:rPr>
          <w:szCs w:val="20"/>
        </w:rPr>
        <w:t xml:space="preserve">generates 43.6% of the Fruit &amp; Vegetable sales </w:t>
      </w:r>
      <w:r w:rsidR="00ED1BE9" w:rsidRPr="00C14674">
        <w:rPr>
          <w:szCs w:val="20"/>
        </w:rPr>
        <w:t>for the financial year ended 31 December</w:t>
      </w:r>
      <w:r w:rsidRPr="00C14674">
        <w:rPr>
          <w:szCs w:val="20"/>
        </w:rPr>
        <w:t xml:space="preserve"> 2014 amounting to </w:t>
      </w:r>
      <w:r w:rsidR="00E53641">
        <w:rPr>
          <w:szCs w:val="20"/>
        </w:rPr>
        <w:t>EUR </w:t>
      </w:r>
      <w:r w:rsidRPr="00C14674">
        <w:rPr>
          <w:szCs w:val="20"/>
        </w:rPr>
        <w:t xml:space="preserve">1,313,600,000. This represents a decrease compared to last year of 1%. This drop is explained by the fact that </w:t>
      </w:r>
      <w:smartTag w:uri="urn:schemas-microsoft-com:office:smarttags" w:element="country-region">
        <w:smartTag w:uri="urn:schemas-microsoft-com:office:smarttags" w:element="place">
          <w:r w:rsidRPr="00C14674">
            <w:rPr>
              <w:szCs w:val="20"/>
            </w:rPr>
            <w:t>Germany</w:t>
          </w:r>
        </w:smartTag>
      </w:smartTag>
      <w:r w:rsidRPr="00C14674">
        <w:rPr>
          <w:szCs w:val="20"/>
        </w:rPr>
        <w:t xml:space="preserve"> is impacted by the overall price deflation in the market and is not able to offset this by volume growth despite strong efforts made in the service business.</w:t>
      </w:r>
    </w:p>
    <w:p w:rsidR="003F0BC5" w:rsidRPr="00C14674" w:rsidRDefault="003F0BC5" w:rsidP="003F0BC5">
      <w:pPr>
        <w:rPr>
          <w:szCs w:val="20"/>
        </w:rPr>
      </w:pPr>
      <w:r w:rsidRPr="00C14674">
        <w:rPr>
          <w:bCs/>
          <w:szCs w:val="20"/>
        </w:rPr>
        <w:t xml:space="preserve">The Netherlands represents 31.0% </w:t>
      </w:r>
      <w:r w:rsidRPr="00C14674">
        <w:rPr>
          <w:szCs w:val="20"/>
        </w:rPr>
        <w:t xml:space="preserve">of the Fruit &amp; Vegetable sales </w:t>
      </w:r>
      <w:r w:rsidR="00ED1BE9" w:rsidRPr="00C14674">
        <w:rPr>
          <w:szCs w:val="20"/>
        </w:rPr>
        <w:t>for the financial year ended 31 December</w:t>
      </w:r>
      <w:r w:rsidRPr="00C14674">
        <w:rPr>
          <w:szCs w:val="20"/>
        </w:rPr>
        <w:t xml:space="preserve"> 2014 and includes </w:t>
      </w:r>
      <w:r w:rsidRPr="00C14674">
        <w:rPr>
          <w:bCs/>
          <w:szCs w:val="20"/>
        </w:rPr>
        <w:t>the exclusive supply contract service business of</w:t>
      </w:r>
      <w:r w:rsidRPr="00C14674">
        <w:rPr>
          <w:b/>
          <w:bCs/>
          <w:szCs w:val="20"/>
        </w:rPr>
        <w:t xml:space="preserve"> </w:t>
      </w:r>
      <w:r w:rsidRPr="00C14674">
        <w:rPr>
          <w:bCs/>
          <w:szCs w:val="20"/>
        </w:rPr>
        <w:t>Bakker Barendrecht B</w:t>
      </w:r>
      <w:r w:rsidR="003012B0" w:rsidRPr="00C14674">
        <w:rPr>
          <w:bCs/>
          <w:szCs w:val="20"/>
        </w:rPr>
        <w:t>.</w:t>
      </w:r>
      <w:r w:rsidRPr="00C14674">
        <w:rPr>
          <w:bCs/>
          <w:szCs w:val="20"/>
        </w:rPr>
        <w:t>V</w:t>
      </w:r>
      <w:r w:rsidR="003012B0" w:rsidRPr="00C14674">
        <w:rPr>
          <w:bCs/>
          <w:szCs w:val="20"/>
        </w:rPr>
        <w:t>.</w:t>
      </w:r>
      <w:r w:rsidRPr="00C14674">
        <w:rPr>
          <w:bCs/>
          <w:szCs w:val="20"/>
        </w:rPr>
        <w:t xml:space="preserve"> towards </w:t>
      </w:r>
      <w:r w:rsidRPr="00C14674">
        <w:rPr>
          <w:szCs w:val="20"/>
        </w:rPr>
        <w:t xml:space="preserve">Albert </w:t>
      </w:r>
      <w:r w:rsidRPr="00C14674">
        <w:rPr>
          <w:szCs w:val="20"/>
        </w:rPr>
        <w:lastRenderedPageBreak/>
        <w:t xml:space="preserve">Hein of fruit and vegetables (except for apples and pears) and the Dutch trading operations of local Dutch product and imported exotics towards the German market. Sales decreased by </w:t>
      </w:r>
      <w:r w:rsidR="00E53641">
        <w:rPr>
          <w:szCs w:val="20"/>
        </w:rPr>
        <w:t>EUR </w:t>
      </w:r>
      <w:r w:rsidRPr="00C14674">
        <w:rPr>
          <w:szCs w:val="20"/>
        </w:rPr>
        <w:t xml:space="preserve">72,500,000 due to the new activities for </w:t>
      </w:r>
      <w:r w:rsidR="00D370A5" w:rsidRPr="00C14674">
        <w:rPr>
          <w:szCs w:val="20"/>
        </w:rPr>
        <w:t>a key customer in The Netherlands into</w:t>
      </w:r>
      <w:r w:rsidRPr="00C14674">
        <w:rPr>
          <w:szCs w:val="20"/>
        </w:rPr>
        <w:t xml:space="preserve"> the </w:t>
      </w:r>
      <w:smartTag w:uri="urn:schemas-microsoft-com:office:smarttags" w:element="country-region">
        <w:r w:rsidRPr="00C14674">
          <w:rPr>
            <w:szCs w:val="20"/>
          </w:rPr>
          <w:t>Czech Republic</w:t>
        </w:r>
      </w:smartTag>
      <w:r w:rsidRPr="00C14674">
        <w:rPr>
          <w:szCs w:val="20"/>
        </w:rPr>
        <w:t xml:space="preserve"> amounting to </w:t>
      </w:r>
      <w:r w:rsidR="00E53641">
        <w:rPr>
          <w:szCs w:val="20"/>
        </w:rPr>
        <w:t>EUR </w:t>
      </w:r>
      <w:r w:rsidRPr="00C14674">
        <w:rPr>
          <w:szCs w:val="20"/>
        </w:rPr>
        <w:t xml:space="preserve">74,100,000, general volume growth and the opening of new stores and increased sales of the Dutch export operations towards </w:t>
      </w:r>
      <w:smartTag w:uri="urn:schemas-microsoft-com:office:smarttags" w:element="country-region">
        <w:smartTag w:uri="urn:schemas-microsoft-com:office:smarttags" w:element="place">
          <w:r w:rsidRPr="00C14674">
            <w:rPr>
              <w:szCs w:val="20"/>
            </w:rPr>
            <w:t>Germany</w:t>
          </w:r>
        </w:smartTag>
      </w:smartTag>
      <w:r w:rsidRPr="00C14674">
        <w:rPr>
          <w:szCs w:val="20"/>
        </w:rPr>
        <w:t xml:space="preserve">. This is only partially offset by overall price reductions of </w:t>
      </w:r>
      <w:r w:rsidR="00D370A5" w:rsidRPr="00C14674">
        <w:rPr>
          <w:szCs w:val="20"/>
        </w:rPr>
        <w:t>this key customer</w:t>
      </w:r>
      <w:r w:rsidRPr="00C14674">
        <w:rPr>
          <w:szCs w:val="20"/>
        </w:rPr>
        <w:t xml:space="preserve"> (increased competition in the market).</w:t>
      </w:r>
    </w:p>
    <w:p w:rsidR="003F0BC5" w:rsidRPr="00C14674" w:rsidRDefault="003F0BC5" w:rsidP="003F0BC5">
      <w:pPr>
        <w:rPr>
          <w:szCs w:val="20"/>
        </w:rPr>
      </w:pPr>
      <w:smartTag w:uri="urn:schemas-microsoft-com:office:smarttags" w:element="country-region">
        <w:smartTag w:uri="urn:schemas-microsoft-com:office:smarttags" w:element="place">
          <w:r w:rsidRPr="00C14674">
            <w:rPr>
              <w:bCs/>
              <w:szCs w:val="20"/>
            </w:rPr>
            <w:t>Belgium</w:t>
          </w:r>
        </w:smartTag>
      </w:smartTag>
      <w:r w:rsidRPr="00C14674">
        <w:rPr>
          <w:b/>
          <w:bCs/>
          <w:szCs w:val="20"/>
        </w:rPr>
        <w:t xml:space="preserve"> </w:t>
      </w:r>
      <w:r w:rsidRPr="00C14674">
        <w:rPr>
          <w:szCs w:val="20"/>
        </w:rPr>
        <w:t xml:space="preserve">represents 10.0% of the Fruit &amp; Vegetable sales </w:t>
      </w:r>
      <w:r w:rsidR="00ED1BE9" w:rsidRPr="00C14674">
        <w:rPr>
          <w:szCs w:val="20"/>
        </w:rPr>
        <w:t>for the financial year ended 31 December</w:t>
      </w:r>
      <w:r w:rsidRPr="00C14674">
        <w:rPr>
          <w:szCs w:val="20"/>
        </w:rPr>
        <w:t xml:space="preserve"> 2014. The decrease in sales by </w:t>
      </w:r>
      <w:r w:rsidR="00E53641">
        <w:rPr>
          <w:szCs w:val="20"/>
        </w:rPr>
        <w:t>EUR </w:t>
      </w:r>
      <w:r w:rsidRPr="00C14674">
        <w:rPr>
          <w:szCs w:val="20"/>
        </w:rPr>
        <w:t>5,200,000 or 1.7% is the result of price deflation in the market, adverse timing of the different harvest seasons (</w:t>
      </w:r>
      <w:r w:rsidR="00A431F0" w:rsidRPr="00A431F0">
        <w:rPr>
          <w:i/>
          <w:szCs w:val="20"/>
        </w:rPr>
        <w:t>e.g.,</w:t>
      </w:r>
      <w:r w:rsidR="00A431F0">
        <w:rPr>
          <w:szCs w:val="20"/>
        </w:rPr>
        <w:t xml:space="preserve"> </w:t>
      </w:r>
      <w:r w:rsidRPr="00C14674">
        <w:rPr>
          <w:szCs w:val="20"/>
        </w:rPr>
        <w:t>Greek and Turkish cherries pushed together in the market) and reduced volumes in the pre-cut salad business with a key customer.</w:t>
      </w:r>
    </w:p>
    <w:p w:rsidR="003F0BC5" w:rsidRPr="00C14674" w:rsidRDefault="003F0BC5" w:rsidP="003F0BC5">
      <w:pPr>
        <w:rPr>
          <w:szCs w:val="20"/>
        </w:rPr>
      </w:pPr>
      <w:r w:rsidRPr="00C14674">
        <w:rPr>
          <w:bCs/>
          <w:szCs w:val="20"/>
        </w:rPr>
        <w:t xml:space="preserve">Other sales in the Fruit &amp; Vegetables segment mainly include </w:t>
      </w:r>
      <w:smartTag w:uri="urn:schemas-microsoft-com:office:smarttags" w:element="country-region">
        <w:r w:rsidRPr="00C14674">
          <w:rPr>
            <w:bCs/>
            <w:szCs w:val="20"/>
          </w:rPr>
          <w:t>France</w:t>
        </w:r>
      </w:smartTag>
      <w:r w:rsidRPr="00C14674">
        <w:rPr>
          <w:bCs/>
          <w:szCs w:val="20"/>
        </w:rPr>
        <w:t xml:space="preserve">, the </w:t>
      </w:r>
      <w:smartTag w:uri="urn:schemas-microsoft-com:office:smarttags" w:element="country-region">
        <w:r w:rsidRPr="00C14674">
          <w:rPr>
            <w:bCs/>
            <w:szCs w:val="20"/>
          </w:rPr>
          <w:t>US</w:t>
        </w:r>
      </w:smartTag>
      <w:r w:rsidRPr="00C14674">
        <w:rPr>
          <w:bCs/>
          <w:szCs w:val="20"/>
        </w:rPr>
        <w:t xml:space="preserve"> and the </w:t>
      </w:r>
      <w:smartTag w:uri="urn:schemas-microsoft-com:office:smarttags" w:element="country-region">
        <w:smartTag w:uri="urn:schemas-microsoft-com:office:smarttags" w:element="place">
          <w:r w:rsidRPr="00C14674">
            <w:rPr>
              <w:bCs/>
              <w:szCs w:val="20"/>
            </w:rPr>
            <w:t>UK</w:t>
          </w:r>
        </w:smartTag>
      </w:smartTag>
      <w:r w:rsidRPr="00C14674">
        <w:rPr>
          <w:bCs/>
          <w:szCs w:val="20"/>
        </w:rPr>
        <w:t xml:space="preserve"> and have increased by </w:t>
      </w:r>
      <w:r w:rsidR="00E53641">
        <w:rPr>
          <w:bCs/>
          <w:szCs w:val="20"/>
        </w:rPr>
        <w:t>EUR </w:t>
      </w:r>
      <w:r w:rsidRPr="00C14674">
        <w:rPr>
          <w:bCs/>
          <w:szCs w:val="20"/>
        </w:rPr>
        <w:t xml:space="preserve">95,500,000 </w:t>
      </w:r>
      <w:r w:rsidR="00ED1BE9" w:rsidRPr="00C14674">
        <w:rPr>
          <w:szCs w:val="20"/>
        </w:rPr>
        <w:t>for the financial year ended 31 December</w:t>
      </w:r>
      <w:r w:rsidRPr="00C14674">
        <w:rPr>
          <w:szCs w:val="20"/>
        </w:rPr>
        <w:t xml:space="preserve"> 2014</w:t>
      </w:r>
      <w:r w:rsidRPr="00C14674">
        <w:rPr>
          <w:bCs/>
          <w:szCs w:val="20"/>
        </w:rPr>
        <w:t xml:space="preserve">. The main increase is realised in the </w:t>
      </w:r>
      <w:smartTag w:uri="urn:schemas-microsoft-com:office:smarttags" w:element="country-region">
        <w:smartTag w:uri="urn:schemas-microsoft-com:office:smarttags" w:element="place">
          <w:r w:rsidRPr="00C14674">
            <w:rPr>
              <w:bCs/>
              <w:szCs w:val="20"/>
            </w:rPr>
            <w:t>UK</w:t>
          </w:r>
        </w:smartTag>
      </w:smartTag>
      <w:r w:rsidRPr="00C14674">
        <w:rPr>
          <w:bCs/>
          <w:szCs w:val="20"/>
        </w:rPr>
        <w:t xml:space="preserve"> where the acquisition of Empire World Trade contributed </w:t>
      </w:r>
      <w:r w:rsidR="00E53641">
        <w:rPr>
          <w:bCs/>
          <w:szCs w:val="20"/>
        </w:rPr>
        <w:t>EUR </w:t>
      </w:r>
      <w:r w:rsidRPr="00C14674">
        <w:rPr>
          <w:bCs/>
          <w:szCs w:val="20"/>
        </w:rPr>
        <w:t xml:space="preserve">87,100,000. The </w:t>
      </w:r>
      <w:smartTag w:uri="urn:schemas-microsoft-com:office:smarttags" w:element="country-region">
        <w:r w:rsidRPr="00C14674">
          <w:rPr>
            <w:bCs/>
            <w:szCs w:val="20"/>
          </w:rPr>
          <w:t>US</w:t>
        </w:r>
      </w:smartTag>
      <w:r w:rsidRPr="00C14674">
        <w:rPr>
          <w:bCs/>
          <w:szCs w:val="20"/>
        </w:rPr>
        <w:t xml:space="preserve"> has increased sales by </w:t>
      </w:r>
      <w:r w:rsidR="00E53641">
        <w:rPr>
          <w:bCs/>
          <w:szCs w:val="20"/>
        </w:rPr>
        <w:t>EUR </w:t>
      </w:r>
      <w:r w:rsidRPr="00C14674">
        <w:rPr>
          <w:bCs/>
          <w:szCs w:val="20"/>
        </w:rPr>
        <w:t xml:space="preserve">15,000,000 through new import programs while </w:t>
      </w:r>
      <w:smartTag w:uri="urn:schemas-microsoft-com:office:smarttags" w:element="country-region">
        <w:smartTag w:uri="urn:schemas-microsoft-com:office:smarttags" w:element="place">
          <w:r w:rsidRPr="00C14674">
            <w:rPr>
              <w:bCs/>
              <w:szCs w:val="20"/>
            </w:rPr>
            <w:t>France</w:t>
          </w:r>
        </w:smartTag>
      </w:smartTag>
      <w:r w:rsidRPr="00C14674">
        <w:rPr>
          <w:bCs/>
          <w:szCs w:val="20"/>
        </w:rPr>
        <w:t xml:space="preserve"> has </w:t>
      </w:r>
      <w:r w:rsidRPr="00C14674">
        <w:rPr>
          <w:szCs w:val="20"/>
        </w:rPr>
        <w:t xml:space="preserve">decreased by </w:t>
      </w:r>
      <w:r w:rsidR="00E53641">
        <w:rPr>
          <w:szCs w:val="20"/>
        </w:rPr>
        <w:t>EUR </w:t>
      </w:r>
      <w:r w:rsidRPr="00C14674">
        <w:rPr>
          <w:szCs w:val="20"/>
        </w:rPr>
        <w:t>1,900,000 because of lower availability of certain products such as litchis, pears, grapes and pineapples in the first half of the year.</w:t>
      </w:r>
    </w:p>
    <w:p w:rsidR="003F0BC5" w:rsidRPr="00C14674" w:rsidRDefault="003F0BC5" w:rsidP="00353B80">
      <w:pPr>
        <w:pStyle w:val="Firm5L3"/>
        <w:keepNext/>
      </w:pPr>
      <w:r w:rsidRPr="00C14674">
        <w:t>Costs</w:t>
      </w:r>
    </w:p>
    <w:p w:rsidR="003F0BC5" w:rsidRPr="00C14674" w:rsidRDefault="003F0BC5" w:rsidP="003F0BC5">
      <w:pPr>
        <w:rPr>
          <w:szCs w:val="20"/>
        </w:rPr>
      </w:pPr>
      <w:r w:rsidRPr="00C14674">
        <w:rPr>
          <w:szCs w:val="20"/>
        </w:rPr>
        <w:t xml:space="preserve">Unlike under Revenues, the Univeg Group does not identify </w:t>
      </w:r>
      <w:r w:rsidR="00A07615" w:rsidRPr="00C14674">
        <w:rPr>
          <w:szCs w:val="20"/>
        </w:rPr>
        <w:t>c</w:t>
      </w:r>
      <w:r w:rsidRPr="00C14674">
        <w:rPr>
          <w:szCs w:val="20"/>
        </w:rPr>
        <w:t xml:space="preserve">osts that are attributable to the </w:t>
      </w:r>
      <w:r w:rsidR="00BA7632" w:rsidRPr="00C14674">
        <w:rPr>
          <w:szCs w:val="20"/>
        </w:rPr>
        <w:t>continuing</w:t>
      </w:r>
      <w:r w:rsidRPr="00C14674">
        <w:rPr>
          <w:szCs w:val="20"/>
        </w:rPr>
        <w:t xml:space="preserve"> </w:t>
      </w:r>
      <w:r w:rsidR="00A07615" w:rsidRPr="00C14674">
        <w:rPr>
          <w:szCs w:val="20"/>
        </w:rPr>
        <w:t>b</w:t>
      </w:r>
      <w:r w:rsidRPr="00C14674">
        <w:rPr>
          <w:szCs w:val="20"/>
        </w:rPr>
        <w:t>usiness only.</w:t>
      </w:r>
    </w:p>
    <w:p w:rsidR="003F0BC5" w:rsidRPr="00C14674" w:rsidRDefault="003F0BC5" w:rsidP="00353B80">
      <w:pPr>
        <w:pStyle w:val="Firm5L4"/>
        <w:keepNext/>
      </w:pPr>
      <w:r w:rsidRPr="00C14674">
        <w:t>Cost of sales</w:t>
      </w:r>
    </w:p>
    <w:p w:rsidR="003F0BC5" w:rsidRPr="00C14674" w:rsidRDefault="003F0BC5" w:rsidP="003F0BC5">
      <w:pPr>
        <w:rPr>
          <w:szCs w:val="20"/>
        </w:rPr>
      </w:pPr>
      <w:r w:rsidRPr="00C14674">
        <w:rPr>
          <w:szCs w:val="20"/>
        </w:rPr>
        <w:t xml:space="preserve">Its </w:t>
      </w:r>
      <w:r w:rsidR="00A07615" w:rsidRPr="00C14674">
        <w:rPr>
          <w:szCs w:val="20"/>
        </w:rPr>
        <w:t>c</w:t>
      </w:r>
      <w:r w:rsidRPr="00C14674">
        <w:rPr>
          <w:szCs w:val="20"/>
        </w:rPr>
        <w:t xml:space="preserve">ost of </w:t>
      </w:r>
      <w:r w:rsidR="00A07615" w:rsidRPr="00C14674">
        <w:rPr>
          <w:szCs w:val="20"/>
        </w:rPr>
        <w:t>s</w:t>
      </w:r>
      <w:r w:rsidRPr="00C14674">
        <w:rPr>
          <w:szCs w:val="20"/>
        </w:rPr>
        <w:t xml:space="preserve">ales increased by </w:t>
      </w:r>
      <w:r w:rsidR="00E53641">
        <w:rPr>
          <w:szCs w:val="20"/>
        </w:rPr>
        <w:t>EUR </w:t>
      </w:r>
      <w:r w:rsidRPr="00C14674">
        <w:rPr>
          <w:szCs w:val="20"/>
        </w:rPr>
        <w:t xml:space="preserve">127,800,000, or 4,4%, to </w:t>
      </w:r>
      <w:r w:rsidR="00E53641">
        <w:rPr>
          <w:szCs w:val="20"/>
        </w:rPr>
        <w:t>EUR </w:t>
      </w:r>
      <w:r w:rsidRPr="00C14674">
        <w:rPr>
          <w:szCs w:val="20"/>
        </w:rPr>
        <w:t xml:space="preserve">3,052,800,000, </w:t>
      </w:r>
      <w:r w:rsidR="00ED1BE9" w:rsidRPr="00C14674">
        <w:rPr>
          <w:szCs w:val="20"/>
        </w:rPr>
        <w:t>for the financial year ended 31 December</w:t>
      </w:r>
      <w:r w:rsidRPr="00C14674">
        <w:rPr>
          <w:szCs w:val="20"/>
        </w:rPr>
        <w:t xml:space="preserve"> 2014 compared to </w:t>
      </w:r>
      <w:r w:rsidR="00E53641">
        <w:rPr>
          <w:szCs w:val="20"/>
        </w:rPr>
        <w:t>EUR </w:t>
      </w:r>
      <w:r w:rsidRPr="00C14674">
        <w:rPr>
          <w:szCs w:val="20"/>
        </w:rPr>
        <w:t xml:space="preserve">2,925,000,000, </w:t>
      </w:r>
      <w:r w:rsidR="00ED1BE9" w:rsidRPr="00C14674">
        <w:rPr>
          <w:szCs w:val="20"/>
        </w:rPr>
        <w:t>for the financial year ended 31 December</w:t>
      </w:r>
      <w:r w:rsidRPr="00C14674">
        <w:rPr>
          <w:szCs w:val="20"/>
        </w:rPr>
        <w:t xml:space="preserve"> 2013. The main reason for this increase is the acquisition of EWT and the start-up of the service business in </w:t>
      </w:r>
      <w:smartTag w:uri="urn:schemas-microsoft-com:office:smarttags" w:element="place">
        <w:smartTag w:uri="urn:schemas-microsoft-com:office:smarttags" w:element="PlaceName">
          <w:r w:rsidRPr="00C14674">
            <w:rPr>
              <w:szCs w:val="20"/>
            </w:rPr>
            <w:t>Czech</w:t>
          </w:r>
        </w:smartTag>
        <w:r w:rsidRPr="00C14674">
          <w:rPr>
            <w:szCs w:val="20"/>
          </w:rPr>
          <w:t xml:space="preserve"> </w:t>
        </w:r>
        <w:smartTag w:uri="urn:schemas-microsoft-com:office:smarttags" w:element="PlaceType">
          <w:r w:rsidRPr="00C14674">
            <w:rPr>
              <w:szCs w:val="20"/>
            </w:rPr>
            <w:t>Republic</w:t>
          </w:r>
        </w:smartTag>
      </w:smartTag>
      <w:r w:rsidRPr="00C14674">
        <w:rPr>
          <w:szCs w:val="20"/>
        </w:rPr>
        <w:t>. A more detailed analysis of the changes of the principal components of Cost of Sales is described below:</w:t>
      </w:r>
    </w:p>
    <w:tbl>
      <w:tblPr>
        <w:tblW w:w="0" w:type="auto"/>
        <w:tblLook w:val="04A0" w:firstRow="1" w:lastRow="0" w:firstColumn="1" w:lastColumn="0" w:noHBand="0" w:noVBand="1"/>
      </w:tblPr>
      <w:tblGrid>
        <w:gridCol w:w="5598"/>
        <w:gridCol w:w="1881"/>
        <w:gridCol w:w="1701"/>
      </w:tblGrid>
      <w:tr w:rsidR="00AB62FC" w:rsidRPr="00C14674" w:rsidTr="00AB62FC">
        <w:tc>
          <w:tcPr>
            <w:tcW w:w="5598" w:type="dxa"/>
            <w:shd w:val="clear" w:color="auto" w:fill="auto"/>
            <w:vAlign w:val="center"/>
          </w:tcPr>
          <w:p w:rsidR="00AB62FC" w:rsidRPr="00C14674" w:rsidRDefault="00AB62FC" w:rsidP="00AB62FC">
            <w:pPr>
              <w:spacing w:before="0" w:after="0"/>
              <w:jc w:val="left"/>
              <w:rPr>
                <w:bCs/>
                <w:i/>
                <w:sz w:val="18"/>
                <w:szCs w:val="18"/>
              </w:rPr>
            </w:pPr>
            <w:r w:rsidRPr="00C14674">
              <w:rPr>
                <w:bCs/>
                <w:i/>
                <w:sz w:val="18"/>
                <w:szCs w:val="18"/>
              </w:rPr>
              <w:t>(</w:t>
            </w:r>
            <w:r w:rsidR="00E53641">
              <w:rPr>
                <w:bCs/>
                <w:i/>
                <w:sz w:val="18"/>
                <w:szCs w:val="18"/>
              </w:rPr>
              <w:t>EUR </w:t>
            </w:r>
            <w:r w:rsidRPr="00C14674">
              <w:rPr>
                <w:bCs/>
                <w:i/>
                <w:sz w:val="18"/>
                <w:szCs w:val="18"/>
              </w:rPr>
              <w:t>in millions)</w:t>
            </w:r>
          </w:p>
        </w:tc>
        <w:tc>
          <w:tcPr>
            <w:tcW w:w="1881" w:type="dxa"/>
            <w:shd w:val="clear" w:color="auto" w:fill="auto"/>
          </w:tcPr>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 xml:space="preserve">Year ended </w:t>
            </w:r>
            <w:r w:rsidRPr="00C14674">
              <w:rPr>
                <w:b/>
                <w:bCs/>
                <w:sz w:val="18"/>
                <w:szCs w:val="18"/>
              </w:rPr>
              <w:br/>
              <w:t>31 December 2014</w:t>
            </w:r>
          </w:p>
        </w:tc>
        <w:tc>
          <w:tcPr>
            <w:tcW w:w="1701" w:type="dxa"/>
            <w:shd w:val="clear" w:color="auto" w:fill="auto"/>
            <w:vAlign w:val="bottom"/>
          </w:tcPr>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 xml:space="preserve">Year ended </w:t>
            </w:r>
            <w:r w:rsidRPr="00C14674">
              <w:rPr>
                <w:b/>
                <w:bCs/>
                <w:sz w:val="18"/>
                <w:szCs w:val="18"/>
              </w:rPr>
              <w:br/>
              <w:t>31 December 2013</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b/>
                <w:sz w:val="18"/>
                <w:szCs w:val="18"/>
              </w:rPr>
            </w:pPr>
            <w:r w:rsidRPr="00C14674">
              <w:rPr>
                <w:sz w:val="18"/>
                <w:szCs w:val="18"/>
              </w:rPr>
              <w:t>Cost of Produce</w:t>
            </w:r>
            <w:r w:rsidRPr="00C14674">
              <w:rPr>
                <w:sz w:val="18"/>
                <w:szCs w:val="18"/>
              </w:rPr>
              <w:tab/>
            </w:r>
          </w:p>
        </w:tc>
        <w:tc>
          <w:tcPr>
            <w:tcW w:w="1881" w:type="dxa"/>
            <w:shd w:val="clear" w:color="auto" w:fill="auto"/>
          </w:tcPr>
          <w:p w:rsidR="00AB62FC" w:rsidRPr="00C14674" w:rsidRDefault="00AB62FC" w:rsidP="00AB62FC">
            <w:pPr>
              <w:spacing w:before="0" w:after="0"/>
              <w:jc w:val="right"/>
              <w:rPr>
                <w:sz w:val="18"/>
                <w:szCs w:val="18"/>
              </w:rPr>
            </w:pPr>
            <w:r w:rsidRPr="00C14674">
              <w:rPr>
                <w:sz w:val="18"/>
                <w:szCs w:val="18"/>
              </w:rPr>
              <w:t>2,423.5</w:t>
            </w:r>
          </w:p>
        </w:tc>
        <w:tc>
          <w:tcPr>
            <w:tcW w:w="1701" w:type="dxa"/>
            <w:shd w:val="clear" w:color="auto" w:fill="auto"/>
          </w:tcPr>
          <w:p w:rsidR="00AB62FC" w:rsidRPr="00C14674" w:rsidRDefault="00AB62FC" w:rsidP="00AB62FC">
            <w:pPr>
              <w:spacing w:before="0" w:after="0"/>
              <w:jc w:val="right"/>
              <w:rPr>
                <w:sz w:val="18"/>
                <w:szCs w:val="18"/>
              </w:rPr>
            </w:pPr>
            <w:r w:rsidRPr="00C14674">
              <w:rPr>
                <w:sz w:val="18"/>
                <w:szCs w:val="18"/>
              </w:rPr>
              <w:t>2,358.8</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jc w:val="left"/>
              <w:rPr>
                <w:b/>
                <w:sz w:val="18"/>
                <w:szCs w:val="18"/>
              </w:rPr>
            </w:pPr>
            <w:r w:rsidRPr="00C14674">
              <w:rPr>
                <w:sz w:val="18"/>
                <w:szCs w:val="18"/>
              </w:rPr>
              <w:t>Direct Packaging and Warehousing Costs</w:t>
            </w:r>
            <w:r w:rsidRPr="00C14674">
              <w:rPr>
                <w:sz w:val="18"/>
                <w:szCs w:val="18"/>
              </w:rPr>
              <w:tab/>
            </w:r>
          </w:p>
        </w:tc>
        <w:tc>
          <w:tcPr>
            <w:tcW w:w="1881" w:type="dxa"/>
            <w:shd w:val="clear" w:color="auto" w:fill="auto"/>
          </w:tcPr>
          <w:p w:rsidR="00AB62FC" w:rsidRPr="00C14674" w:rsidRDefault="00AB62FC" w:rsidP="00AB62FC">
            <w:pPr>
              <w:spacing w:before="0" w:after="0"/>
              <w:jc w:val="right"/>
              <w:rPr>
                <w:sz w:val="18"/>
                <w:szCs w:val="18"/>
              </w:rPr>
            </w:pPr>
            <w:r w:rsidRPr="00C14674">
              <w:rPr>
                <w:sz w:val="18"/>
                <w:szCs w:val="18"/>
              </w:rPr>
              <w:t>167.6</w:t>
            </w:r>
          </w:p>
        </w:tc>
        <w:tc>
          <w:tcPr>
            <w:tcW w:w="1701" w:type="dxa"/>
            <w:shd w:val="clear" w:color="auto" w:fill="auto"/>
          </w:tcPr>
          <w:p w:rsidR="00AB62FC" w:rsidRPr="00C14674" w:rsidRDefault="00AB62FC" w:rsidP="00AB62FC">
            <w:pPr>
              <w:spacing w:before="0" w:after="0"/>
              <w:jc w:val="right"/>
              <w:rPr>
                <w:sz w:val="18"/>
                <w:szCs w:val="18"/>
              </w:rPr>
            </w:pPr>
            <w:r w:rsidRPr="00C14674">
              <w:rPr>
                <w:sz w:val="18"/>
                <w:szCs w:val="18"/>
              </w:rPr>
              <w:t>152.8</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ind w:left="90" w:hanging="90"/>
              <w:jc w:val="left"/>
              <w:rPr>
                <w:bCs/>
                <w:sz w:val="18"/>
                <w:szCs w:val="18"/>
              </w:rPr>
            </w:pPr>
            <w:r w:rsidRPr="00C14674">
              <w:rPr>
                <w:sz w:val="18"/>
                <w:szCs w:val="18"/>
              </w:rPr>
              <w:t>Direct Transport Costs</w:t>
            </w:r>
            <w:r w:rsidRPr="00C14674">
              <w:rPr>
                <w:sz w:val="18"/>
                <w:szCs w:val="18"/>
              </w:rPr>
              <w:tab/>
            </w:r>
          </w:p>
        </w:tc>
        <w:tc>
          <w:tcPr>
            <w:tcW w:w="1881" w:type="dxa"/>
            <w:shd w:val="clear" w:color="auto" w:fill="auto"/>
          </w:tcPr>
          <w:p w:rsidR="00AB62FC" w:rsidRPr="00C14674" w:rsidRDefault="00AB62FC" w:rsidP="00AB62FC">
            <w:pPr>
              <w:spacing w:before="0" w:after="0"/>
              <w:jc w:val="right"/>
              <w:rPr>
                <w:sz w:val="18"/>
                <w:szCs w:val="18"/>
              </w:rPr>
            </w:pPr>
            <w:r w:rsidRPr="00C14674">
              <w:rPr>
                <w:sz w:val="18"/>
                <w:szCs w:val="18"/>
              </w:rPr>
              <w:t>245.7</w:t>
            </w:r>
          </w:p>
        </w:tc>
        <w:tc>
          <w:tcPr>
            <w:tcW w:w="1701" w:type="dxa"/>
            <w:shd w:val="clear" w:color="auto" w:fill="auto"/>
          </w:tcPr>
          <w:p w:rsidR="00AB62FC" w:rsidRPr="00C14674" w:rsidRDefault="00AB62FC" w:rsidP="00AB62FC">
            <w:pPr>
              <w:spacing w:before="0" w:after="0"/>
              <w:jc w:val="right"/>
              <w:rPr>
                <w:sz w:val="18"/>
                <w:szCs w:val="18"/>
              </w:rPr>
            </w:pPr>
            <w:r w:rsidRPr="00C14674">
              <w:rPr>
                <w:sz w:val="18"/>
                <w:szCs w:val="18"/>
              </w:rPr>
              <w:t>229.2</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ind w:left="90" w:hanging="90"/>
              <w:jc w:val="left"/>
              <w:rPr>
                <w:sz w:val="18"/>
                <w:szCs w:val="18"/>
              </w:rPr>
            </w:pPr>
            <w:r w:rsidRPr="00C14674">
              <w:rPr>
                <w:sz w:val="18"/>
                <w:szCs w:val="18"/>
              </w:rPr>
              <w:t>Direct Personnel Costs</w:t>
            </w:r>
            <w:r w:rsidRPr="00C14674">
              <w:rPr>
                <w:sz w:val="18"/>
                <w:szCs w:val="18"/>
              </w:rPr>
              <w:tab/>
            </w:r>
          </w:p>
        </w:tc>
        <w:tc>
          <w:tcPr>
            <w:tcW w:w="1881" w:type="dxa"/>
            <w:shd w:val="clear" w:color="auto" w:fill="auto"/>
            <w:vAlign w:val="bottom"/>
          </w:tcPr>
          <w:p w:rsidR="00AB62FC" w:rsidRPr="00C14674" w:rsidRDefault="00AB62FC" w:rsidP="00AB62FC">
            <w:pPr>
              <w:spacing w:before="0" w:after="0"/>
              <w:jc w:val="right"/>
              <w:rPr>
                <w:sz w:val="18"/>
                <w:szCs w:val="18"/>
              </w:rPr>
            </w:pPr>
            <w:r w:rsidRPr="00C14674">
              <w:rPr>
                <w:sz w:val="18"/>
                <w:szCs w:val="18"/>
              </w:rPr>
              <w:t>176.4</w:t>
            </w:r>
          </w:p>
        </w:tc>
        <w:tc>
          <w:tcPr>
            <w:tcW w:w="1701" w:type="dxa"/>
            <w:shd w:val="clear" w:color="auto" w:fill="auto"/>
            <w:vAlign w:val="bottom"/>
          </w:tcPr>
          <w:p w:rsidR="00AB62FC" w:rsidRPr="00C14674" w:rsidRDefault="00AB62FC" w:rsidP="00AB62FC">
            <w:pPr>
              <w:spacing w:before="0" w:after="0"/>
              <w:jc w:val="right"/>
              <w:rPr>
                <w:sz w:val="18"/>
                <w:szCs w:val="18"/>
              </w:rPr>
            </w:pPr>
            <w:r w:rsidRPr="00C14674">
              <w:rPr>
                <w:sz w:val="18"/>
                <w:szCs w:val="18"/>
              </w:rPr>
              <w:t>150.6</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ind w:left="90" w:hanging="90"/>
              <w:jc w:val="left"/>
              <w:rPr>
                <w:sz w:val="18"/>
                <w:szCs w:val="18"/>
              </w:rPr>
            </w:pPr>
            <w:r w:rsidRPr="00C14674">
              <w:rPr>
                <w:sz w:val="18"/>
                <w:szCs w:val="18"/>
              </w:rPr>
              <w:t>Other Costs</w:t>
            </w:r>
            <w:r w:rsidRPr="00C14674">
              <w:rPr>
                <w:sz w:val="18"/>
                <w:szCs w:val="18"/>
              </w:rPr>
              <w:tab/>
            </w:r>
          </w:p>
        </w:tc>
        <w:tc>
          <w:tcPr>
            <w:tcW w:w="1881" w:type="dxa"/>
            <w:shd w:val="clear" w:color="auto" w:fill="auto"/>
            <w:vAlign w:val="bottom"/>
          </w:tcPr>
          <w:p w:rsidR="00AB62FC" w:rsidRPr="00C14674" w:rsidRDefault="00AB62FC" w:rsidP="00AB62FC">
            <w:pPr>
              <w:pBdr>
                <w:bottom w:val="single" w:sz="4" w:space="1" w:color="auto"/>
              </w:pBdr>
              <w:spacing w:before="0" w:after="0"/>
              <w:jc w:val="right"/>
              <w:rPr>
                <w:sz w:val="18"/>
                <w:szCs w:val="18"/>
              </w:rPr>
            </w:pPr>
            <w:r w:rsidRPr="00C14674">
              <w:rPr>
                <w:sz w:val="18"/>
                <w:szCs w:val="18"/>
              </w:rPr>
              <w:t>39.6</w:t>
            </w:r>
          </w:p>
        </w:tc>
        <w:tc>
          <w:tcPr>
            <w:tcW w:w="1701" w:type="dxa"/>
            <w:shd w:val="clear" w:color="auto" w:fill="auto"/>
            <w:vAlign w:val="bottom"/>
          </w:tcPr>
          <w:p w:rsidR="00AB62FC" w:rsidRPr="00C14674" w:rsidRDefault="00AB62FC" w:rsidP="00AB62FC">
            <w:pPr>
              <w:pBdr>
                <w:bottom w:val="single" w:sz="4" w:space="1" w:color="auto"/>
              </w:pBdr>
              <w:spacing w:before="0" w:after="0"/>
              <w:jc w:val="right"/>
              <w:rPr>
                <w:sz w:val="18"/>
                <w:szCs w:val="18"/>
              </w:rPr>
            </w:pPr>
            <w:r w:rsidRPr="00C14674">
              <w:rPr>
                <w:sz w:val="18"/>
                <w:szCs w:val="18"/>
              </w:rPr>
              <w:t>33.6</w:t>
            </w:r>
          </w:p>
        </w:tc>
      </w:tr>
      <w:tr w:rsidR="00AB62FC" w:rsidRPr="00C14674" w:rsidTr="00AB62FC">
        <w:tc>
          <w:tcPr>
            <w:tcW w:w="5598" w:type="dxa"/>
            <w:shd w:val="clear" w:color="auto" w:fill="auto"/>
          </w:tcPr>
          <w:p w:rsidR="00AB62FC" w:rsidRPr="00C14674" w:rsidRDefault="00AB62FC" w:rsidP="00AB62FC">
            <w:pPr>
              <w:tabs>
                <w:tab w:val="right" w:leader="dot" w:pos="5382"/>
              </w:tabs>
              <w:spacing w:before="0" w:after="0"/>
              <w:ind w:left="90" w:hanging="90"/>
              <w:jc w:val="left"/>
              <w:rPr>
                <w:sz w:val="18"/>
                <w:szCs w:val="18"/>
              </w:rPr>
            </w:pPr>
            <w:r w:rsidRPr="00C14674">
              <w:rPr>
                <w:b/>
                <w:bCs/>
                <w:sz w:val="18"/>
                <w:szCs w:val="18"/>
              </w:rPr>
              <w:t>Cost of sales</w:t>
            </w:r>
            <w:r w:rsidRPr="00C14674">
              <w:rPr>
                <w:bCs/>
                <w:sz w:val="18"/>
                <w:szCs w:val="18"/>
              </w:rPr>
              <w:tab/>
            </w:r>
          </w:p>
        </w:tc>
        <w:tc>
          <w:tcPr>
            <w:tcW w:w="1881" w:type="dxa"/>
            <w:shd w:val="clear" w:color="auto" w:fill="auto"/>
            <w:vAlign w:val="bottom"/>
          </w:tcPr>
          <w:p w:rsidR="00AB62FC" w:rsidRPr="00C14674" w:rsidRDefault="00AB62FC" w:rsidP="00AB62FC">
            <w:pPr>
              <w:pBdr>
                <w:bottom w:val="double" w:sz="4" w:space="1" w:color="auto"/>
              </w:pBdr>
              <w:spacing w:before="0" w:after="0"/>
              <w:jc w:val="right"/>
              <w:rPr>
                <w:sz w:val="18"/>
                <w:szCs w:val="18"/>
              </w:rPr>
            </w:pPr>
            <w:r w:rsidRPr="00C14674">
              <w:rPr>
                <w:b/>
                <w:bCs/>
                <w:sz w:val="18"/>
                <w:szCs w:val="18"/>
              </w:rPr>
              <w:t>3,052.8</w:t>
            </w:r>
          </w:p>
        </w:tc>
        <w:tc>
          <w:tcPr>
            <w:tcW w:w="1701" w:type="dxa"/>
            <w:shd w:val="clear" w:color="auto" w:fill="auto"/>
            <w:vAlign w:val="bottom"/>
          </w:tcPr>
          <w:p w:rsidR="00AB62FC" w:rsidRPr="00C14674" w:rsidRDefault="00AB62FC" w:rsidP="00AB62FC">
            <w:pPr>
              <w:pBdr>
                <w:bottom w:val="double" w:sz="4" w:space="1" w:color="auto"/>
              </w:pBdr>
              <w:spacing w:before="0" w:after="20"/>
              <w:jc w:val="right"/>
              <w:rPr>
                <w:sz w:val="18"/>
                <w:szCs w:val="18"/>
              </w:rPr>
            </w:pPr>
            <w:r w:rsidRPr="00C14674">
              <w:rPr>
                <w:b/>
                <w:bCs/>
                <w:sz w:val="18"/>
                <w:szCs w:val="18"/>
              </w:rPr>
              <w:t>2,925.0</w:t>
            </w:r>
          </w:p>
        </w:tc>
      </w:tr>
    </w:tbl>
    <w:p w:rsidR="003F0BC5" w:rsidRPr="00C14674" w:rsidRDefault="003F0BC5" w:rsidP="00353B80">
      <w:pPr>
        <w:pStyle w:val="Firm5L4"/>
        <w:keepNext/>
      </w:pPr>
      <w:r w:rsidRPr="00C14674">
        <w:t>Cost of produce</w:t>
      </w:r>
    </w:p>
    <w:p w:rsidR="003F0BC5" w:rsidRPr="00C14674" w:rsidRDefault="003F0BC5" w:rsidP="003F0BC5">
      <w:pPr>
        <w:autoSpaceDE w:val="0"/>
        <w:autoSpaceDN w:val="0"/>
        <w:adjustRightInd w:val="0"/>
        <w:rPr>
          <w:color w:val="000000"/>
          <w:szCs w:val="20"/>
        </w:rPr>
      </w:pPr>
      <w:r w:rsidRPr="00C14674">
        <w:rPr>
          <w:color w:val="000000"/>
          <w:szCs w:val="20"/>
        </w:rPr>
        <w:t xml:space="preserve">Cost of produce comprises cost of produce and sourcing </w:t>
      </w:r>
      <w:r w:rsidRPr="00C14674">
        <w:rPr>
          <w:i/>
          <w:color w:val="000000"/>
          <w:szCs w:val="20"/>
        </w:rPr>
        <w:t>i.e.</w:t>
      </w:r>
      <w:r w:rsidRPr="00C14674">
        <w:rPr>
          <w:color w:val="000000"/>
          <w:szCs w:val="20"/>
        </w:rPr>
        <w:t xml:space="preserve">, the cost of the raw material (fruit and vegetables) that are bought from third party suppliers or on the spot market, as well as the cost of farming products that the Univeg Group produces and sources. Cost of goods account for 74.2% of total net sales for the </w:t>
      </w:r>
      <w:r w:rsidR="00ED1BE9" w:rsidRPr="00C14674">
        <w:rPr>
          <w:color w:val="000000"/>
          <w:szCs w:val="20"/>
        </w:rPr>
        <w:t>financial year</w:t>
      </w:r>
      <w:r w:rsidRPr="00C14674">
        <w:rPr>
          <w:color w:val="000000"/>
          <w:szCs w:val="20"/>
        </w:rPr>
        <w:t xml:space="preserve"> ended 31 December 2014.</w:t>
      </w:r>
    </w:p>
    <w:p w:rsidR="003F0BC5" w:rsidRPr="00C14674" w:rsidRDefault="003F0BC5" w:rsidP="00353B80">
      <w:pPr>
        <w:pStyle w:val="Firm5L4"/>
        <w:keepNext/>
      </w:pPr>
      <w:r w:rsidRPr="00C14674">
        <w:t>Packaging and warehousing costs</w:t>
      </w:r>
    </w:p>
    <w:p w:rsidR="003F0BC5" w:rsidRPr="00C14674" w:rsidRDefault="003F0BC5" w:rsidP="003F0BC5">
      <w:pPr>
        <w:autoSpaceDE w:val="0"/>
        <w:autoSpaceDN w:val="0"/>
        <w:adjustRightInd w:val="0"/>
        <w:rPr>
          <w:color w:val="000000"/>
          <w:szCs w:val="20"/>
        </w:rPr>
      </w:pPr>
      <w:r w:rsidRPr="00C14674">
        <w:rPr>
          <w:color w:val="000000"/>
          <w:szCs w:val="20"/>
        </w:rPr>
        <w:t xml:space="preserve">Under this item the Univeg Group accounts for the costs connected to the packaging and warehousing of produce grown by affiliated companies or sourced from third parties. These include cost of packing material, packing services, ripening and warehousing services (warehouse rent, maintenance and repair, utilities, insurance and related depreciation). Packaging accounted for 5.1% of total net sales </w:t>
      </w:r>
      <w:r w:rsidR="00ED1BE9" w:rsidRPr="00C14674">
        <w:rPr>
          <w:color w:val="000000"/>
          <w:szCs w:val="20"/>
        </w:rPr>
        <w:t>for the financial year ended 31 December</w:t>
      </w:r>
      <w:r w:rsidRPr="00C14674">
        <w:rPr>
          <w:color w:val="000000"/>
          <w:szCs w:val="20"/>
        </w:rPr>
        <w:t xml:space="preserve"> 2014.</w:t>
      </w:r>
    </w:p>
    <w:p w:rsidR="003F0BC5" w:rsidRPr="00C14674" w:rsidRDefault="003F0BC5" w:rsidP="00353B80">
      <w:pPr>
        <w:pStyle w:val="Firm5L4"/>
        <w:keepNext/>
      </w:pPr>
      <w:r w:rsidRPr="00C14674">
        <w:t>Transport costs</w:t>
      </w:r>
    </w:p>
    <w:p w:rsidR="003F0BC5" w:rsidRPr="00C14674" w:rsidRDefault="003F0BC5" w:rsidP="003F0BC5">
      <w:pPr>
        <w:autoSpaceDE w:val="0"/>
        <w:autoSpaceDN w:val="0"/>
        <w:adjustRightInd w:val="0"/>
        <w:rPr>
          <w:color w:val="000000"/>
          <w:szCs w:val="20"/>
        </w:rPr>
      </w:pPr>
      <w:r w:rsidRPr="00C14674">
        <w:rPr>
          <w:color w:val="000000"/>
          <w:szCs w:val="20"/>
        </w:rPr>
        <w:t xml:space="preserve">Transport costs comprise direct costs connected to the transportation of produce sourced by the Company. These include costs for sea freight, international and domestic transport to warehouses and customer locations. Transport costs accounted for 7.5% of total net sales </w:t>
      </w:r>
      <w:r w:rsidR="00ED1BE9" w:rsidRPr="00C14674">
        <w:rPr>
          <w:color w:val="000000"/>
          <w:szCs w:val="20"/>
        </w:rPr>
        <w:t>for the financial year ended 31 December</w:t>
      </w:r>
      <w:r w:rsidRPr="00C14674">
        <w:rPr>
          <w:color w:val="000000"/>
          <w:szCs w:val="20"/>
        </w:rPr>
        <w:t xml:space="preserve"> 2014.</w:t>
      </w:r>
    </w:p>
    <w:p w:rsidR="003F0BC5" w:rsidRPr="00C14674" w:rsidRDefault="003F0BC5" w:rsidP="00353B80">
      <w:pPr>
        <w:pStyle w:val="Firm5L4"/>
        <w:keepNext/>
      </w:pPr>
      <w:r w:rsidRPr="00C14674">
        <w:t>Staff costs</w:t>
      </w:r>
    </w:p>
    <w:p w:rsidR="003F0BC5" w:rsidRPr="00C14674" w:rsidRDefault="003F0BC5" w:rsidP="003F0BC5">
      <w:pPr>
        <w:autoSpaceDE w:val="0"/>
        <w:autoSpaceDN w:val="0"/>
        <w:adjustRightInd w:val="0"/>
        <w:rPr>
          <w:color w:val="000000"/>
          <w:szCs w:val="20"/>
        </w:rPr>
      </w:pPr>
      <w:r w:rsidRPr="00C14674">
        <w:rPr>
          <w:color w:val="000000"/>
          <w:szCs w:val="20"/>
        </w:rPr>
        <w:t xml:space="preserve">This comprises direct salaries and social charges of permanent and/or temporary personnel who are directly involved with the product supplied to customers, at whichever stage of the sourcing cycle (such as blue collar workers and temporary in the warehouses). Direct personnel cost accounted for 5.4% of net sales </w:t>
      </w:r>
      <w:r w:rsidR="00ED1BE9" w:rsidRPr="00C14674">
        <w:rPr>
          <w:color w:val="000000"/>
          <w:szCs w:val="20"/>
        </w:rPr>
        <w:t>for the financial year ended 31 December</w:t>
      </w:r>
      <w:r w:rsidRPr="00C14674">
        <w:rPr>
          <w:color w:val="000000"/>
          <w:szCs w:val="20"/>
        </w:rPr>
        <w:t xml:space="preserve"> 2014. As the organic growth of sales was fuelled by increased sales volume, extra staffing was required to facilitate this additional volume.</w:t>
      </w:r>
    </w:p>
    <w:p w:rsidR="003F0BC5" w:rsidRPr="00C14674" w:rsidRDefault="003F0BC5" w:rsidP="00353B80">
      <w:pPr>
        <w:pStyle w:val="Firm5L4"/>
        <w:keepNext/>
      </w:pPr>
      <w:r w:rsidRPr="00C14674">
        <w:lastRenderedPageBreak/>
        <w:t>Overhead expenses</w:t>
      </w:r>
    </w:p>
    <w:p w:rsidR="003F0BC5" w:rsidRPr="00C14674" w:rsidRDefault="003F0BC5" w:rsidP="003F0BC5">
      <w:pPr>
        <w:rPr>
          <w:szCs w:val="20"/>
        </w:rPr>
      </w:pPr>
      <w:r w:rsidRPr="00C14674">
        <w:rPr>
          <w:color w:val="000000"/>
          <w:szCs w:val="20"/>
        </w:rPr>
        <w:t>The total of selling, marketing, distribution, general</w:t>
      </w:r>
      <w:r w:rsidR="00FE467C" w:rsidRPr="00C14674">
        <w:rPr>
          <w:color w:val="000000"/>
          <w:szCs w:val="20"/>
        </w:rPr>
        <w:t xml:space="preserve"> and </w:t>
      </w:r>
      <w:r w:rsidRPr="00C14674">
        <w:rPr>
          <w:color w:val="000000"/>
          <w:szCs w:val="20"/>
        </w:rPr>
        <w:t xml:space="preserve">administrative expenses amounts to </w:t>
      </w:r>
      <w:r w:rsidR="00E53641">
        <w:rPr>
          <w:color w:val="000000"/>
          <w:szCs w:val="20"/>
        </w:rPr>
        <w:t>EUR </w:t>
      </w:r>
      <w:r w:rsidRPr="00C14674">
        <w:rPr>
          <w:color w:val="000000"/>
          <w:szCs w:val="20"/>
        </w:rPr>
        <w:t xml:space="preserve">177,300,000 </w:t>
      </w:r>
      <w:r w:rsidR="00ED1BE9" w:rsidRPr="00C14674">
        <w:rPr>
          <w:color w:val="000000"/>
          <w:szCs w:val="20"/>
        </w:rPr>
        <w:t>for the financial year ended 31 December</w:t>
      </w:r>
      <w:r w:rsidRPr="00C14674">
        <w:rPr>
          <w:color w:val="000000"/>
          <w:szCs w:val="20"/>
        </w:rPr>
        <w:t xml:space="preserve"> 2014 (compared to </w:t>
      </w:r>
      <w:r w:rsidR="00E53641">
        <w:rPr>
          <w:color w:val="000000"/>
          <w:szCs w:val="20"/>
        </w:rPr>
        <w:t>EUR </w:t>
      </w:r>
      <w:r w:rsidRPr="00C14674">
        <w:rPr>
          <w:color w:val="000000"/>
          <w:szCs w:val="20"/>
        </w:rPr>
        <w:t xml:space="preserve">169,800,000 in 2013), increased as a result of the acquisition of EWT, the startup of the activities in Czech Republic and the acquisition of the Suriname banana business in January 2014. On a like-for-like basis, operating expenses decreased by </w:t>
      </w:r>
      <w:r w:rsidR="00E53641">
        <w:rPr>
          <w:color w:val="000000"/>
          <w:szCs w:val="20"/>
        </w:rPr>
        <w:t>EUR </w:t>
      </w:r>
      <w:r w:rsidRPr="00C14674">
        <w:rPr>
          <w:color w:val="000000"/>
          <w:szCs w:val="20"/>
        </w:rPr>
        <w:t>1,000,000.</w:t>
      </w:r>
    </w:p>
    <w:p w:rsidR="003F0BC5" w:rsidRPr="00C14674" w:rsidRDefault="003F0BC5" w:rsidP="003F0BC5">
      <w:pPr>
        <w:autoSpaceDE w:val="0"/>
        <w:autoSpaceDN w:val="0"/>
        <w:adjustRightInd w:val="0"/>
        <w:rPr>
          <w:szCs w:val="20"/>
        </w:rPr>
      </w:pPr>
      <w:r w:rsidRPr="00C14674">
        <w:rPr>
          <w:szCs w:val="20"/>
        </w:rPr>
        <w:t xml:space="preserve">The selling, marketing and distribution expenses comprise indirect wages and salaries, social charges and pension charges of indirect staff employed by the Univeg Group and the cost of temporary workforce. These costs have increased by </w:t>
      </w:r>
      <w:r w:rsidR="00E53641">
        <w:rPr>
          <w:szCs w:val="20"/>
        </w:rPr>
        <w:t>EUR </w:t>
      </w:r>
      <w:r w:rsidRPr="00C14674">
        <w:rPr>
          <w:szCs w:val="20"/>
        </w:rPr>
        <w:t xml:space="preserve">4,300,000 due to the increase in wages and social security charges due to the reasons mentioned above. The average number of indirect </w:t>
      </w:r>
      <w:r w:rsidR="003601EC" w:rsidRPr="00C14674">
        <w:rPr>
          <w:szCs w:val="20"/>
        </w:rPr>
        <w:t>FTEs</w:t>
      </w:r>
      <w:r w:rsidRPr="00C14674">
        <w:rPr>
          <w:szCs w:val="20"/>
        </w:rPr>
        <w:t xml:space="preserve"> during the year 2013 amounted to 1,346 and increased to 1,375 upon exclusion of TFFG. Social security charges increased in line with personnel expenses. On consolidated level social charges as a percentage of total wages and salaries over the periods ended December 2013 and December 2014 remained relatively stable (ranging between 18.9% - 19.0%).</w:t>
      </w:r>
    </w:p>
    <w:p w:rsidR="003F0BC5" w:rsidRPr="00C14674" w:rsidRDefault="003F0BC5" w:rsidP="003F0BC5">
      <w:pPr>
        <w:autoSpaceDE w:val="0"/>
        <w:autoSpaceDN w:val="0"/>
        <w:adjustRightInd w:val="0"/>
        <w:rPr>
          <w:szCs w:val="20"/>
        </w:rPr>
      </w:pPr>
      <w:r w:rsidRPr="00C14674">
        <w:rPr>
          <w:szCs w:val="20"/>
        </w:rPr>
        <w:t>General</w:t>
      </w:r>
      <w:r w:rsidR="00FE467C" w:rsidRPr="00C14674">
        <w:rPr>
          <w:szCs w:val="20"/>
        </w:rPr>
        <w:t xml:space="preserve"> and </w:t>
      </w:r>
      <w:r w:rsidRPr="00C14674">
        <w:rPr>
          <w:szCs w:val="20"/>
        </w:rPr>
        <w:t xml:space="preserve">administrative expenses have increased by </w:t>
      </w:r>
      <w:r w:rsidR="00E53641">
        <w:rPr>
          <w:szCs w:val="20"/>
        </w:rPr>
        <w:t>EUR </w:t>
      </w:r>
      <w:r w:rsidRPr="00C14674">
        <w:rPr>
          <w:szCs w:val="20"/>
        </w:rPr>
        <w:t>3,200,000 which is explained by increased travel expenses related to the higher involvement of sourcing and import companies to secure their supply. Fees have increased as result of the full year expense of shareholder fees and legal fees related to the numerous transactions in the recent past amongst others being the TFFG transaction.</w:t>
      </w:r>
    </w:p>
    <w:p w:rsidR="003F0BC5" w:rsidRPr="00C14674" w:rsidRDefault="003F0BC5" w:rsidP="003F0BC5">
      <w:pPr>
        <w:autoSpaceDE w:val="0"/>
        <w:autoSpaceDN w:val="0"/>
        <w:adjustRightInd w:val="0"/>
        <w:rPr>
          <w:szCs w:val="20"/>
        </w:rPr>
      </w:pPr>
      <w:r w:rsidRPr="00C14674">
        <w:rPr>
          <w:szCs w:val="20"/>
        </w:rPr>
        <w:t>Rent</w:t>
      </w:r>
      <w:r w:rsidR="00FE467C" w:rsidRPr="00C14674">
        <w:rPr>
          <w:szCs w:val="20"/>
        </w:rPr>
        <w:t xml:space="preserve"> and </w:t>
      </w:r>
      <w:r w:rsidRPr="00C14674">
        <w:rPr>
          <w:szCs w:val="20"/>
        </w:rPr>
        <w:t xml:space="preserve">operating leases mainly comprise of rent of premises. Rental expenses in </w:t>
      </w:r>
      <w:r w:rsidR="00703C66" w:rsidRPr="00C14674">
        <w:rPr>
          <w:szCs w:val="20"/>
        </w:rPr>
        <w:t>T</w:t>
      </w:r>
      <w:r w:rsidRPr="00C14674">
        <w:rPr>
          <w:szCs w:val="20"/>
        </w:rPr>
        <w:t>he Netherlands (Bakker Barendrecht B</w:t>
      </w:r>
      <w:r w:rsidR="003012B0" w:rsidRPr="00C14674">
        <w:rPr>
          <w:szCs w:val="20"/>
        </w:rPr>
        <w:t>.</w:t>
      </w:r>
      <w:r w:rsidRPr="00C14674">
        <w:rPr>
          <w:szCs w:val="20"/>
        </w:rPr>
        <w:t>V</w:t>
      </w:r>
      <w:r w:rsidR="003012B0" w:rsidRPr="00C14674">
        <w:rPr>
          <w:szCs w:val="20"/>
        </w:rPr>
        <w:t>.</w:t>
      </w:r>
      <w:r w:rsidRPr="00C14674">
        <w:rPr>
          <w:szCs w:val="20"/>
        </w:rPr>
        <w:t xml:space="preserve"> and the Dutch export organisation) and </w:t>
      </w:r>
      <w:smartTag w:uri="urn:schemas-microsoft-com:office:smarttags" w:element="country-region">
        <w:smartTag w:uri="urn:schemas-microsoft-com:office:smarttags" w:element="place">
          <w:r w:rsidRPr="00C14674">
            <w:rPr>
              <w:szCs w:val="20"/>
            </w:rPr>
            <w:t>Germany</w:t>
          </w:r>
        </w:smartTag>
      </w:smartTag>
      <w:r w:rsidRPr="00C14674">
        <w:rPr>
          <w:szCs w:val="20"/>
        </w:rPr>
        <w:t xml:space="preserve"> represent roughly 80% of total rent expenses. The annual rent expenses of the Univeg Group’s HQ in Sint-Katelijne-Waver amounts to </w:t>
      </w:r>
      <w:r w:rsidR="00E53641">
        <w:rPr>
          <w:szCs w:val="20"/>
        </w:rPr>
        <w:t>EUR </w:t>
      </w:r>
      <w:r w:rsidRPr="00C14674">
        <w:rPr>
          <w:szCs w:val="20"/>
        </w:rPr>
        <w:t>400,000.</w:t>
      </w:r>
    </w:p>
    <w:p w:rsidR="003F0BC5" w:rsidRPr="00C14674" w:rsidRDefault="003F0BC5" w:rsidP="003F0BC5">
      <w:pPr>
        <w:autoSpaceDE w:val="0"/>
        <w:autoSpaceDN w:val="0"/>
        <w:adjustRightInd w:val="0"/>
        <w:rPr>
          <w:szCs w:val="20"/>
        </w:rPr>
      </w:pPr>
      <w:r w:rsidRPr="00C14674">
        <w:rPr>
          <w:szCs w:val="20"/>
        </w:rPr>
        <w:t xml:space="preserve">Other operating expenses have increased by </w:t>
      </w:r>
      <w:r w:rsidR="00E53641">
        <w:rPr>
          <w:szCs w:val="20"/>
        </w:rPr>
        <w:t>EUR </w:t>
      </w:r>
      <w:r w:rsidRPr="00C14674">
        <w:rPr>
          <w:szCs w:val="20"/>
        </w:rPr>
        <w:t xml:space="preserve">1,800,000 and mainly relate to indemnities received during the </w:t>
      </w:r>
      <w:r w:rsidR="00ED1BE9" w:rsidRPr="00C14674">
        <w:rPr>
          <w:szCs w:val="20"/>
        </w:rPr>
        <w:t xml:space="preserve">financial </w:t>
      </w:r>
      <w:r w:rsidRPr="00C14674">
        <w:rPr>
          <w:szCs w:val="20"/>
        </w:rPr>
        <w:t xml:space="preserve">year ended 31 December 2014 and mainly includes proceeds from maritime insurance claims in </w:t>
      </w:r>
      <w:smartTag w:uri="urn:schemas-microsoft-com:office:smarttags" w:element="country-region">
        <w:r w:rsidRPr="00C14674">
          <w:rPr>
            <w:szCs w:val="20"/>
          </w:rPr>
          <w:t>Belgium</w:t>
        </w:r>
      </w:smartTag>
      <w:r w:rsidRPr="00C14674">
        <w:rPr>
          <w:szCs w:val="20"/>
        </w:rPr>
        <w:t xml:space="preserve"> and crop insurance proceeds in </w:t>
      </w:r>
      <w:smartTag w:uri="urn:schemas-microsoft-com:office:smarttags" w:element="place">
        <w:smartTag w:uri="urn:schemas-microsoft-com:office:smarttags" w:element="country-region">
          <w:r w:rsidRPr="00C14674">
            <w:rPr>
              <w:szCs w:val="20"/>
            </w:rPr>
            <w:t>Turkey</w:t>
          </w:r>
        </w:smartTag>
      </w:smartTag>
      <w:r w:rsidRPr="00C14674">
        <w:rPr>
          <w:szCs w:val="20"/>
        </w:rPr>
        <w:t>.</w:t>
      </w:r>
    </w:p>
    <w:p w:rsidR="003F0BC5" w:rsidRPr="00C14674" w:rsidRDefault="003F0BC5" w:rsidP="00353B80">
      <w:pPr>
        <w:pStyle w:val="Firm5L3"/>
        <w:keepNext/>
      </w:pPr>
      <w:r w:rsidRPr="00C14674">
        <w:t>Non-recurring items</w:t>
      </w:r>
    </w:p>
    <w:p w:rsidR="003F0BC5" w:rsidRPr="00C14674" w:rsidRDefault="003F0BC5" w:rsidP="00353B80">
      <w:pPr>
        <w:pStyle w:val="Firm5L4"/>
        <w:keepNext/>
      </w:pPr>
      <w:r w:rsidRPr="00C14674">
        <w:t>2013</w:t>
      </w:r>
    </w:p>
    <w:p w:rsidR="003F0BC5" w:rsidRPr="00C14674" w:rsidRDefault="003F0BC5" w:rsidP="003F0BC5">
      <w:pPr>
        <w:rPr>
          <w:bCs/>
          <w:szCs w:val="20"/>
        </w:rPr>
      </w:pPr>
      <w:r w:rsidRPr="00C14674">
        <w:rPr>
          <w:bCs/>
          <w:szCs w:val="20"/>
        </w:rPr>
        <w:t xml:space="preserve">In May 2013, the Univeg Group sold its 100% shareholding in Univeg Logistics LLP to FM Logistics. The net proceeds (net of transaction costs and taxes) from the transaction were equal to </w:t>
      </w:r>
      <w:r w:rsidR="00E53641">
        <w:rPr>
          <w:bCs/>
          <w:szCs w:val="20"/>
        </w:rPr>
        <w:t>EUR </w:t>
      </w:r>
      <w:r w:rsidRPr="00C14674">
        <w:rPr>
          <w:bCs/>
          <w:szCs w:val="20"/>
        </w:rPr>
        <w:t xml:space="preserve">36,200,000. The gain realised on the sale amounted to </w:t>
      </w:r>
      <w:r w:rsidR="00E53641">
        <w:rPr>
          <w:bCs/>
          <w:szCs w:val="20"/>
        </w:rPr>
        <w:t>EUR </w:t>
      </w:r>
      <w:r w:rsidRPr="00C14674">
        <w:rPr>
          <w:bCs/>
          <w:szCs w:val="20"/>
        </w:rPr>
        <w:t>25,600,000.</w:t>
      </w:r>
    </w:p>
    <w:p w:rsidR="003F0BC5" w:rsidRPr="00C14674" w:rsidRDefault="003F0BC5" w:rsidP="003F0BC5">
      <w:pPr>
        <w:rPr>
          <w:bCs/>
          <w:szCs w:val="20"/>
        </w:rPr>
      </w:pPr>
      <w:r w:rsidRPr="00C14674">
        <w:rPr>
          <w:bCs/>
          <w:szCs w:val="20"/>
        </w:rPr>
        <w:t>Early January 2013, the Univeg Group sold its 100% shareholding in Greenex B</w:t>
      </w:r>
      <w:r w:rsidR="003012B0" w:rsidRPr="00C14674">
        <w:rPr>
          <w:bCs/>
          <w:szCs w:val="20"/>
        </w:rPr>
        <w:t>.</w:t>
      </w:r>
      <w:r w:rsidRPr="00C14674">
        <w:rPr>
          <w:bCs/>
          <w:szCs w:val="20"/>
        </w:rPr>
        <w:t>V</w:t>
      </w:r>
      <w:r w:rsidR="003012B0" w:rsidRPr="00C14674">
        <w:rPr>
          <w:bCs/>
          <w:szCs w:val="20"/>
        </w:rPr>
        <w:t>.</w:t>
      </w:r>
      <w:r w:rsidRPr="00C14674">
        <w:rPr>
          <w:bCs/>
          <w:szCs w:val="20"/>
        </w:rPr>
        <w:t xml:space="preserve"> and Triangle Flowers B</w:t>
      </w:r>
      <w:r w:rsidR="003012B0" w:rsidRPr="00C14674">
        <w:rPr>
          <w:bCs/>
          <w:szCs w:val="20"/>
        </w:rPr>
        <w:t>.</w:t>
      </w:r>
      <w:r w:rsidRPr="00C14674">
        <w:rPr>
          <w:bCs/>
          <w:szCs w:val="20"/>
        </w:rPr>
        <w:t>V</w:t>
      </w:r>
      <w:r w:rsidR="003012B0" w:rsidRPr="00C14674">
        <w:rPr>
          <w:bCs/>
          <w:szCs w:val="20"/>
        </w:rPr>
        <w:t>.</w:t>
      </w:r>
      <w:r w:rsidRPr="00C14674">
        <w:rPr>
          <w:bCs/>
          <w:szCs w:val="20"/>
        </w:rPr>
        <w:t xml:space="preserve"> to the Dutch Flower Group B</w:t>
      </w:r>
      <w:r w:rsidR="003012B0" w:rsidRPr="00C14674">
        <w:rPr>
          <w:bCs/>
          <w:szCs w:val="20"/>
        </w:rPr>
        <w:t>.</w:t>
      </w:r>
      <w:r w:rsidRPr="00C14674">
        <w:rPr>
          <w:bCs/>
          <w:szCs w:val="20"/>
        </w:rPr>
        <w:t xml:space="preserve">V. The net proceeds from the transaction amount to </w:t>
      </w:r>
      <w:r w:rsidR="00E53641">
        <w:rPr>
          <w:bCs/>
          <w:szCs w:val="20"/>
        </w:rPr>
        <w:t>EUR </w:t>
      </w:r>
      <w:r w:rsidRPr="00C14674">
        <w:rPr>
          <w:bCs/>
          <w:szCs w:val="20"/>
        </w:rPr>
        <w:t xml:space="preserve">3,400,000 (net of transaction costs). The loss realised on the sale amounted to </w:t>
      </w:r>
      <w:r w:rsidR="00E53641">
        <w:rPr>
          <w:bCs/>
          <w:szCs w:val="20"/>
        </w:rPr>
        <w:t>EUR </w:t>
      </w:r>
      <w:r w:rsidRPr="00C14674">
        <w:rPr>
          <w:bCs/>
          <w:szCs w:val="20"/>
        </w:rPr>
        <w:t>500,000.</w:t>
      </w:r>
    </w:p>
    <w:p w:rsidR="003F0BC5" w:rsidRPr="00C14674" w:rsidRDefault="003F0BC5" w:rsidP="003F0BC5">
      <w:pPr>
        <w:rPr>
          <w:bCs/>
          <w:szCs w:val="20"/>
        </w:rPr>
      </w:pPr>
      <w:r w:rsidRPr="00C14674">
        <w:rPr>
          <w:bCs/>
          <w:szCs w:val="20"/>
        </w:rPr>
        <w:t xml:space="preserve">Also in May 2013, the Univeg Group liquidated its subsidiary Seald Sweet West International, in which it held a 80,31% shareholding. As a result of the liquidation, a loss of </w:t>
      </w:r>
      <w:r w:rsidR="00E53641">
        <w:rPr>
          <w:bCs/>
          <w:szCs w:val="20"/>
        </w:rPr>
        <w:t>EUR </w:t>
      </w:r>
      <w:r w:rsidRPr="00C14674">
        <w:rPr>
          <w:bCs/>
          <w:szCs w:val="20"/>
        </w:rPr>
        <w:t>800,000 was recorded.</w:t>
      </w:r>
    </w:p>
    <w:p w:rsidR="003F0BC5" w:rsidRPr="00C14674" w:rsidRDefault="003F0BC5" w:rsidP="003F0BC5">
      <w:pPr>
        <w:rPr>
          <w:bCs/>
          <w:szCs w:val="20"/>
        </w:rPr>
      </w:pPr>
      <w:r w:rsidRPr="00C14674">
        <w:rPr>
          <w:bCs/>
          <w:szCs w:val="20"/>
        </w:rPr>
        <w:t xml:space="preserve">In June 2013, the Univeg Group entered into a share purchase agreement with the minority shareholder of Project Fruit Chile to sell 75% of the shares of Project Fruit Chile. After the transaction, the Univeg Group holds a shareholding of 5% in Project Fruit Chile. The sale was completed on 23 October 2013 and the net proceeds resulting from the sale amounted to </w:t>
      </w:r>
      <w:r w:rsidR="00E53641">
        <w:rPr>
          <w:bCs/>
          <w:szCs w:val="20"/>
        </w:rPr>
        <w:t>EUR </w:t>
      </w:r>
      <w:r w:rsidRPr="00C14674">
        <w:rPr>
          <w:bCs/>
          <w:szCs w:val="20"/>
        </w:rPr>
        <w:t xml:space="preserve">2,600,000. The Univeg Group realised a loss of </w:t>
      </w:r>
      <w:r w:rsidR="00E53641">
        <w:rPr>
          <w:bCs/>
          <w:szCs w:val="20"/>
        </w:rPr>
        <w:t>EUR </w:t>
      </w:r>
      <w:r w:rsidRPr="00C14674">
        <w:rPr>
          <w:bCs/>
          <w:szCs w:val="20"/>
        </w:rPr>
        <w:t>900,000 on the sale of its shareholding.</w:t>
      </w:r>
    </w:p>
    <w:p w:rsidR="003F0BC5" w:rsidRPr="00C14674" w:rsidRDefault="00E34880" w:rsidP="003F0BC5">
      <w:pPr>
        <w:rPr>
          <w:bCs/>
          <w:szCs w:val="20"/>
        </w:rPr>
      </w:pPr>
      <w:r w:rsidRPr="00C14674">
        <w:rPr>
          <w:bCs/>
          <w:szCs w:val="20"/>
        </w:rPr>
        <w:t xml:space="preserve">In July 2013, </w:t>
      </w:r>
      <w:r w:rsidR="00334BBC" w:rsidRPr="00C14674">
        <w:rPr>
          <w:bCs/>
          <w:szCs w:val="20"/>
        </w:rPr>
        <w:t>Mr Hein Deprez</w:t>
      </w:r>
      <w:r w:rsidR="003F0BC5" w:rsidRPr="00C14674">
        <w:rPr>
          <w:bCs/>
          <w:szCs w:val="20"/>
        </w:rPr>
        <w:t xml:space="preserve"> together with management and a group of investors acquired the shares from CVC Capital Partners, which held a majority stake in </w:t>
      </w:r>
      <w:r w:rsidR="0082672E" w:rsidRPr="00C14674">
        <w:rPr>
          <w:bCs/>
          <w:szCs w:val="20"/>
        </w:rPr>
        <w:t>Univeg</w:t>
      </w:r>
      <w:r w:rsidR="003F0BC5" w:rsidRPr="00C14674">
        <w:rPr>
          <w:bCs/>
          <w:szCs w:val="20"/>
        </w:rPr>
        <w:t xml:space="preserve"> since 2006. Related to this change of control</w:t>
      </w:r>
      <w:r w:rsidR="00D370A5" w:rsidRPr="00C14674">
        <w:rPr>
          <w:bCs/>
          <w:szCs w:val="20"/>
        </w:rPr>
        <w:t>,</w:t>
      </w:r>
      <w:r w:rsidR="003F0BC5" w:rsidRPr="00C14674">
        <w:rPr>
          <w:bCs/>
          <w:szCs w:val="20"/>
        </w:rPr>
        <w:t xml:space="preserve"> the Univeg Group paid </w:t>
      </w:r>
      <w:r w:rsidR="00E53641">
        <w:rPr>
          <w:bCs/>
          <w:szCs w:val="20"/>
        </w:rPr>
        <w:t>EUR </w:t>
      </w:r>
      <w:r w:rsidR="003F0BC5" w:rsidRPr="00C14674">
        <w:rPr>
          <w:bCs/>
          <w:szCs w:val="20"/>
        </w:rPr>
        <w:t>8,100,000 on advisory and bank fees and on compensation for change in management.</w:t>
      </w:r>
    </w:p>
    <w:p w:rsidR="003F0BC5" w:rsidRPr="00C14674" w:rsidRDefault="003F0BC5" w:rsidP="00353B80">
      <w:pPr>
        <w:pStyle w:val="Firm5L4"/>
        <w:keepNext/>
      </w:pPr>
      <w:r w:rsidRPr="00C14674">
        <w:t>2014</w:t>
      </w:r>
    </w:p>
    <w:p w:rsidR="003F0BC5" w:rsidRPr="00C14674" w:rsidRDefault="003F0BC5" w:rsidP="003F0BC5">
      <w:pPr>
        <w:rPr>
          <w:bCs/>
          <w:szCs w:val="20"/>
        </w:rPr>
      </w:pPr>
      <w:r w:rsidRPr="00C14674">
        <w:rPr>
          <w:bCs/>
          <w:szCs w:val="20"/>
        </w:rPr>
        <w:t xml:space="preserve">For the </w:t>
      </w:r>
      <w:r w:rsidR="00ED1BE9" w:rsidRPr="00C14674">
        <w:rPr>
          <w:bCs/>
          <w:szCs w:val="20"/>
        </w:rPr>
        <w:t>financial year</w:t>
      </w:r>
      <w:r w:rsidRPr="00C14674">
        <w:rPr>
          <w:bCs/>
          <w:szCs w:val="20"/>
        </w:rPr>
        <w:t xml:space="preserve"> ended 31 December 2014 items included in the non-recurring expenses are listed below.</w:t>
      </w:r>
    </w:p>
    <w:p w:rsidR="003F0BC5" w:rsidRPr="00C14674" w:rsidRDefault="003F0BC5" w:rsidP="003F0BC5">
      <w:pPr>
        <w:rPr>
          <w:bCs/>
          <w:szCs w:val="20"/>
        </w:rPr>
      </w:pPr>
      <w:r w:rsidRPr="00C14674">
        <w:rPr>
          <w:bCs/>
          <w:szCs w:val="20"/>
        </w:rPr>
        <w:t xml:space="preserve">On December 2014, the Univeg Group completed the </w:t>
      </w:r>
      <w:r w:rsidR="0083762C">
        <w:rPr>
          <w:bCs/>
          <w:szCs w:val="20"/>
        </w:rPr>
        <w:t>divestment of</w:t>
      </w:r>
      <w:r w:rsidRPr="00C14674">
        <w:rPr>
          <w:bCs/>
          <w:szCs w:val="20"/>
        </w:rPr>
        <w:t xml:space="preserve"> TFFG, this resulted in a net capital gain from the sale of assets of </w:t>
      </w:r>
      <w:r w:rsidR="00E53641">
        <w:rPr>
          <w:bCs/>
          <w:szCs w:val="20"/>
        </w:rPr>
        <w:t>EUR </w:t>
      </w:r>
      <w:r w:rsidRPr="00C14674">
        <w:rPr>
          <w:bCs/>
          <w:szCs w:val="20"/>
        </w:rPr>
        <w:t>28,000,000.</w:t>
      </w:r>
    </w:p>
    <w:p w:rsidR="003F0BC5" w:rsidRPr="00C14674" w:rsidRDefault="003F0BC5" w:rsidP="003F0BC5">
      <w:pPr>
        <w:rPr>
          <w:bCs/>
          <w:szCs w:val="20"/>
        </w:rPr>
      </w:pPr>
      <w:r w:rsidRPr="00C14674">
        <w:rPr>
          <w:bCs/>
          <w:szCs w:val="20"/>
        </w:rPr>
        <w:t xml:space="preserve">In respect of the owned plot of land in </w:t>
      </w:r>
      <w:smartTag w:uri="urn:schemas-microsoft-com:office:smarttags" w:element="country-region">
        <w:smartTag w:uri="urn:schemas-microsoft-com:office:smarttags" w:element="place">
          <w:r w:rsidRPr="00C14674">
            <w:rPr>
              <w:bCs/>
              <w:szCs w:val="20"/>
            </w:rPr>
            <w:t>Russia</w:t>
          </w:r>
        </w:smartTag>
      </w:smartTag>
      <w:r w:rsidRPr="00C14674">
        <w:rPr>
          <w:bCs/>
          <w:szCs w:val="20"/>
        </w:rPr>
        <w:t xml:space="preserve">, on 29 December 2014 a letter of intent was agreed on with a third party investor. The consideration amounts to </w:t>
      </w:r>
      <w:r w:rsidR="00E53641">
        <w:rPr>
          <w:bCs/>
          <w:szCs w:val="20"/>
        </w:rPr>
        <w:t>EUR </w:t>
      </w:r>
      <w:r w:rsidRPr="00C14674">
        <w:rPr>
          <w:bCs/>
          <w:szCs w:val="20"/>
        </w:rPr>
        <w:t xml:space="preserve">4,300,000 (net of costs to sell). As the carrying value amounted to </w:t>
      </w:r>
      <w:r w:rsidR="00E53641">
        <w:rPr>
          <w:bCs/>
          <w:szCs w:val="20"/>
        </w:rPr>
        <w:t>EUR </w:t>
      </w:r>
      <w:r w:rsidRPr="00C14674">
        <w:rPr>
          <w:bCs/>
          <w:szCs w:val="20"/>
        </w:rPr>
        <w:t xml:space="preserve">2,700,000, a positive fair value adjustment of </w:t>
      </w:r>
      <w:r w:rsidR="00E53641">
        <w:rPr>
          <w:bCs/>
          <w:szCs w:val="20"/>
        </w:rPr>
        <w:t>EUR </w:t>
      </w:r>
      <w:r w:rsidRPr="00C14674">
        <w:rPr>
          <w:bCs/>
          <w:szCs w:val="20"/>
        </w:rPr>
        <w:t>1,500,000 was recorded as at 31 December 2014.</w:t>
      </w:r>
    </w:p>
    <w:p w:rsidR="003F0BC5" w:rsidRPr="00C14674" w:rsidRDefault="003F0BC5" w:rsidP="003F0BC5">
      <w:pPr>
        <w:rPr>
          <w:bCs/>
          <w:szCs w:val="20"/>
        </w:rPr>
      </w:pPr>
      <w:r w:rsidRPr="00C14674">
        <w:rPr>
          <w:bCs/>
          <w:szCs w:val="20"/>
        </w:rPr>
        <w:t xml:space="preserve">The weak performance of the </w:t>
      </w:r>
      <w:smartTag w:uri="urn:schemas-microsoft-com:office:smarttags" w:element="City">
        <w:r w:rsidRPr="00C14674">
          <w:rPr>
            <w:bCs/>
            <w:szCs w:val="20"/>
          </w:rPr>
          <w:t>Lincolnshire</w:t>
        </w:r>
      </w:smartTag>
      <w:r w:rsidRPr="00C14674">
        <w:rPr>
          <w:bCs/>
          <w:szCs w:val="20"/>
        </w:rPr>
        <w:t xml:space="preserve"> flower operations of Winchester Growers Ltd initially led to the dismissal of the management in March 2014 and the Univeg Group decided in the last quarter of 2014 to hive </w:t>
      </w:r>
      <w:r w:rsidRPr="00C14674">
        <w:rPr>
          <w:bCs/>
          <w:szCs w:val="20"/>
        </w:rPr>
        <w:lastRenderedPageBreak/>
        <w:t xml:space="preserve">down and sell the </w:t>
      </w:r>
      <w:smartTag w:uri="urn:schemas-microsoft-com:office:smarttags" w:element="City">
        <w:smartTag w:uri="urn:schemas-microsoft-com:office:smarttags" w:element="place">
          <w:r w:rsidRPr="00C14674">
            <w:rPr>
              <w:bCs/>
              <w:szCs w:val="20"/>
            </w:rPr>
            <w:t>Lincolnshire</w:t>
          </w:r>
        </w:smartTag>
      </w:smartTag>
      <w:r w:rsidRPr="00C14674">
        <w:rPr>
          <w:bCs/>
          <w:szCs w:val="20"/>
        </w:rPr>
        <w:t xml:space="preserve"> activities to a related party</w:t>
      </w:r>
      <w:r w:rsidR="00D370A5" w:rsidRPr="00C14674">
        <w:rPr>
          <w:bCs/>
          <w:szCs w:val="20"/>
        </w:rPr>
        <w:t xml:space="preserve"> outside the Univeg Group</w:t>
      </w:r>
      <w:r w:rsidRPr="00C14674">
        <w:rPr>
          <w:bCs/>
          <w:szCs w:val="20"/>
        </w:rPr>
        <w:t xml:space="preserve">. The REBITDA of the </w:t>
      </w:r>
      <w:smartTag w:uri="urn:schemas-microsoft-com:office:smarttags" w:element="City">
        <w:smartTag w:uri="urn:schemas-microsoft-com:office:smarttags" w:element="place">
          <w:r w:rsidRPr="00C14674">
            <w:rPr>
              <w:bCs/>
              <w:szCs w:val="20"/>
            </w:rPr>
            <w:t>Lincolnshire</w:t>
          </w:r>
        </w:smartTag>
      </w:smartTag>
      <w:r w:rsidRPr="00C14674">
        <w:rPr>
          <w:bCs/>
          <w:szCs w:val="20"/>
        </w:rPr>
        <w:t xml:space="preserve"> operations </w:t>
      </w:r>
      <w:r w:rsidR="00ED1BE9" w:rsidRPr="00C14674">
        <w:rPr>
          <w:bCs/>
          <w:szCs w:val="20"/>
        </w:rPr>
        <w:t>for the financial year ended 31 December</w:t>
      </w:r>
      <w:r w:rsidRPr="00C14674">
        <w:rPr>
          <w:bCs/>
          <w:szCs w:val="20"/>
        </w:rPr>
        <w:t xml:space="preserve"> 2014 amounts to </w:t>
      </w:r>
      <w:r w:rsidR="007F2150" w:rsidRPr="00C14674">
        <w:rPr>
          <w:bCs/>
          <w:szCs w:val="20"/>
        </w:rPr>
        <w:t>–</w:t>
      </w:r>
      <w:r w:rsidR="00E53641">
        <w:rPr>
          <w:bCs/>
          <w:szCs w:val="20"/>
        </w:rPr>
        <w:t>EUR </w:t>
      </w:r>
      <w:r w:rsidRPr="00C14674">
        <w:rPr>
          <w:bCs/>
          <w:szCs w:val="20"/>
        </w:rPr>
        <w:t xml:space="preserve">5,700,000. The hive down of the </w:t>
      </w:r>
      <w:smartTag w:uri="urn:schemas-microsoft-com:office:smarttags" w:element="City">
        <w:smartTag w:uri="urn:schemas-microsoft-com:office:smarttags" w:element="place">
          <w:r w:rsidRPr="00C14674">
            <w:rPr>
              <w:bCs/>
              <w:szCs w:val="20"/>
            </w:rPr>
            <w:t>Lincolnshire</w:t>
          </w:r>
        </w:smartTag>
      </w:smartTag>
      <w:r w:rsidRPr="00C14674">
        <w:rPr>
          <w:bCs/>
          <w:szCs w:val="20"/>
        </w:rPr>
        <w:t xml:space="preserve"> operations resulting in non-recurring expenses, such as write-off of assets, inventories and receivables amounted up to </w:t>
      </w:r>
      <w:r w:rsidR="00E53641">
        <w:rPr>
          <w:bCs/>
          <w:szCs w:val="20"/>
        </w:rPr>
        <w:t>EUR </w:t>
      </w:r>
      <w:r w:rsidRPr="00C14674">
        <w:rPr>
          <w:bCs/>
          <w:szCs w:val="20"/>
        </w:rPr>
        <w:t xml:space="preserve">3,500,000, with lease commitments and legal fees representing </w:t>
      </w:r>
      <w:r w:rsidR="00E53641">
        <w:rPr>
          <w:bCs/>
          <w:szCs w:val="20"/>
        </w:rPr>
        <w:t>EUR </w:t>
      </w:r>
      <w:r w:rsidRPr="00C14674">
        <w:rPr>
          <w:bCs/>
          <w:szCs w:val="20"/>
        </w:rPr>
        <w:t>200,000.</w:t>
      </w:r>
    </w:p>
    <w:p w:rsidR="003F0BC5" w:rsidRPr="00C14674" w:rsidRDefault="003F0BC5" w:rsidP="003F0BC5">
      <w:pPr>
        <w:rPr>
          <w:bCs/>
          <w:szCs w:val="20"/>
        </w:rPr>
      </w:pPr>
      <w:r w:rsidRPr="00C14674">
        <w:rPr>
          <w:bCs/>
          <w:szCs w:val="20"/>
        </w:rPr>
        <w:t xml:space="preserve">Following a strategic review of the customer portfolio on group level, the Univeg Group discontinued the business with an important German customer of March 2015. The main drivers for this decision were (i) limited added value provided in exchange of a significant capex and human capital need going forward and (ii) the commercial objective to employ these funds in order to unlock and initiate new opportunities with other German customers and new geographies. In view of the discontinuation, the decision was taken to close or revamp some distribution centres. Total estimated restructuring cost amounts up to </w:t>
      </w:r>
      <w:r w:rsidR="00E53641">
        <w:rPr>
          <w:bCs/>
          <w:szCs w:val="20"/>
        </w:rPr>
        <w:t>EUR </w:t>
      </w:r>
      <w:r w:rsidRPr="00C14674">
        <w:rPr>
          <w:bCs/>
          <w:szCs w:val="20"/>
        </w:rPr>
        <w:t>5,700,000 accounted for in this respect as at 31 December 2014, comprises severance costs (</w:t>
      </w:r>
      <w:r w:rsidR="00E53641">
        <w:rPr>
          <w:bCs/>
          <w:szCs w:val="20"/>
        </w:rPr>
        <w:t>EUR </w:t>
      </w:r>
      <w:r w:rsidRPr="00C14674">
        <w:rPr>
          <w:bCs/>
          <w:szCs w:val="20"/>
        </w:rPr>
        <w:t>4,000,000), onerous lease commitments (</w:t>
      </w:r>
      <w:r w:rsidR="00E53641">
        <w:rPr>
          <w:bCs/>
          <w:szCs w:val="20"/>
        </w:rPr>
        <w:t>EUR </w:t>
      </w:r>
      <w:r w:rsidRPr="00C14674">
        <w:rPr>
          <w:bCs/>
          <w:szCs w:val="20"/>
        </w:rPr>
        <w:t>1,300,000) and some write-offs (</w:t>
      </w:r>
      <w:r w:rsidR="00E53641">
        <w:rPr>
          <w:bCs/>
          <w:szCs w:val="20"/>
        </w:rPr>
        <w:t>EUR </w:t>
      </w:r>
      <w:r w:rsidRPr="00C14674">
        <w:rPr>
          <w:bCs/>
          <w:szCs w:val="20"/>
        </w:rPr>
        <w:t xml:space="preserve">400,000). Apart from this provision, a decision was made in September 2014 to close a small distribution centre, resulting in severance costs of </w:t>
      </w:r>
      <w:r w:rsidR="00E53641">
        <w:rPr>
          <w:bCs/>
          <w:szCs w:val="20"/>
        </w:rPr>
        <w:t>EUR </w:t>
      </w:r>
      <w:r w:rsidRPr="00C14674">
        <w:rPr>
          <w:bCs/>
          <w:szCs w:val="20"/>
        </w:rPr>
        <w:t>300,000.</w:t>
      </w:r>
    </w:p>
    <w:p w:rsidR="003F0BC5" w:rsidRPr="00C14674" w:rsidRDefault="003F0BC5" w:rsidP="003F0BC5">
      <w:pPr>
        <w:rPr>
          <w:bCs/>
          <w:szCs w:val="20"/>
        </w:rPr>
      </w:pPr>
      <w:r w:rsidRPr="00C14674">
        <w:rPr>
          <w:bCs/>
          <w:szCs w:val="20"/>
        </w:rPr>
        <w:t xml:space="preserve">In December 2014, a restructuring provision of </w:t>
      </w:r>
      <w:r w:rsidR="00E53641">
        <w:rPr>
          <w:bCs/>
          <w:szCs w:val="20"/>
        </w:rPr>
        <w:t>EUR </w:t>
      </w:r>
      <w:r w:rsidRPr="00C14674">
        <w:rPr>
          <w:bCs/>
          <w:szCs w:val="20"/>
        </w:rPr>
        <w:t xml:space="preserve">2,500,000 was accounted for in respect of its Dutch flower operations. Given the relatively significant operating expense base, a decision was taken to relocate the flower operations to Waddinxveen. A provision for an onerous lease agreement of </w:t>
      </w:r>
      <w:r w:rsidR="00E53641">
        <w:rPr>
          <w:bCs/>
          <w:szCs w:val="20"/>
        </w:rPr>
        <w:t>EUR </w:t>
      </w:r>
      <w:r w:rsidRPr="00C14674">
        <w:rPr>
          <w:bCs/>
          <w:szCs w:val="20"/>
        </w:rPr>
        <w:t xml:space="preserve">1,500,000 and a provision for severance costs of </w:t>
      </w:r>
      <w:r w:rsidR="00E53641">
        <w:rPr>
          <w:bCs/>
          <w:szCs w:val="20"/>
        </w:rPr>
        <w:t>EUR </w:t>
      </w:r>
      <w:r w:rsidRPr="00C14674">
        <w:rPr>
          <w:bCs/>
          <w:szCs w:val="20"/>
        </w:rPr>
        <w:t>1,000,000 were accounted for. Management of the Dutch flower operations will be integrated in the current Dutch Fruit &amp; Vegetable structure.</w:t>
      </w:r>
    </w:p>
    <w:p w:rsidR="003F0BC5" w:rsidRPr="00C14674" w:rsidRDefault="003F0BC5" w:rsidP="003F0BC5">
      <w:pPr>
        <w:rPr>
          <w:bCs/>
          <w:szCs w:val="20"/>
        </w:rPr>
      </w:pPr>
      <w:r w:rsidRPr="00C14674">
        <w:rPr>
          <w:bCs/>
          <w:szCs w:val="20"/>
        </w:rPr>
        <w:t xml:space="preserve">As per 31 December 2013, an amount of </w:t>
      </w:r>
      <w:r w:rsidR="00E53641">
        <w:rPr>
          <w:bCs/>
          <w:szCs w:val="20"/>
        </w:rPr>
        <w:t>EUR </w:t>
      </w:r>
      <w:r w:rsidRPr="00C14674">
        <w:rPr>
          <w:bCs/>
          <w:szCs w:val="20"/>
        </w:rPr>
        <w:t xml:space="preserve">3,500,000 was provided for pending tax litigations and import licenses. Following a legal update, the estimated costs have been increased by </w:t>
      </w:r>
      <w:r w:rsidR="00E53641">
        <w:rPr>
          <w:bCs/>
          <w:szCs w:val="20"/>
        </w:rPr>
        <w:t>EUR </w:t>
      </w:r>
      <w:r w:rsidRPr="00C14674">
        <w:rPr>
          <w:bCs/>
          <w:szCs w:val="20"/>
        </w:rPr>
        <w:t>1,200,000.</w:t>
      </w:r>
    </w:p>
    <w:p w:rsidR="003F0BC5" w:rsidRPr="00C14674" w:rsidRDefault="003F0BC5" w:rsidP="003F0BC5">
      <w:pPr>
        <w:rPr>
          <w:bCs/>
          <w:szCs w:val="20"/>
        </w:rPr>
      </w:pPr>
      <w:r w:rsidRPr="00C14674">
        <w:rPr>
          <w:bCs/>
          <w:szCs w:val="20"/>
        </w:rPr>
        <w:t xml:space="preserve">In the course of 2014, a number of cost saving measures were taken in the Fruit Partners segment, resulting in redundancy payments </w:t>
      </w:r>
      <w:r w:rsidR="00D370A5" w:rsidRPr="00C14674">
        <w:rPr>
          <w:bCs/>
          <w:szCs w:val="20"/>
        </w:rPr>
        <w:t xml:space="preserve">of </w:t>
      </w:r>
      <w:r w:rsidR="00E53641">
        <w:rPr>
          <w:bCs/>
          <w:szCs w:val="20"/>
        </w:rPr>
        <w:t>EUR </w:t>
      </w:r>
      <w:r w:rsidRPr="00C14674">
        <w:rPr>
          <w:bCs/>
          <w:szCs w:val="20"/>
        </w:rPr>
        <w:t>900,000.</w:t>
      </w:r>
    </w:p>
    <w:p w:rsidR="003F0BC5" w:rsidRPr="00C14674" w:rsidRDefault="003F0BC5" w:rsidP="003F0BC5">
      <w:pPr>
        <w:rPr>
          <w:bCs/>
          <w:szCs w:val="20"/>
        </w:rPr>
      </w:pPr>
      <w:r w:rsidRPr="00C14674">
        <w:rPr>
          <w:bCs/>
          <w:szCs w:val="20"/>
        </w:rPr>
        <w:t xml:space="preserve">The Company incurred one-off legal and advisory fees, of </w:t>
      </w:r>
      <w:r w:rsidR="00E53641">
        <w:rPr>
          <w:bCs/>
          <w:szCs w:val="20"/>
        </w:rPr>
        <w:t>EUR </w:t>
      </w:r>
      <w:r w:rsidRPr="00C14674">
        <w:rPr>
          <w:bCs/>
          <w:szCs w:val="20"/>
        </w:rPr>
        <w:t>400,000, that related to the acquisitions of EWT and FAI.</w:t>
      </w:r>
    </w:p>
    <w:p w:rsidR="00D370A5" w:rsidRPr="00C14674" w:rsidRDefault="00D370A5" w:rsidP="00353B80">
      <w:pPr>
        <w:pStyle w:val="Firm5L3"/>
        <w:keepNext/>
        <w:rPr>
          <w:bCs/>
        </w:rPr>
      </w:pPr>
      <w:r w:rsidRPr="00C14674">
        <w:t xml:space="preserve">Operating profit before non-recurring items </w:t>
      </w:r>
    </w:p>
    <w:p w:rsidR="00D370A5" w:rsidRPr="00C14674" w:rsidRDefault="00D370A5" w:rsidP="00D370A5">
      <w:pPr>
        <w:rPr>
          <w:bCs/>
          <w:szCs w:val="20"/>
        </w:rPr>
      </w:pPr>
      <w:r w:rsidRPr="00C14674">
        <w:rPr>
          <w:bCs/>
          <w:szCs w:val="20"/>
        </w:rPr>
        <w:t xml:space="preserve">Operating profit before non-recurring items amounts to </w:t>
      </w:r>
      <w:r w:rsidR="00E53641">
        <w:rPr>
          <w:bCs/>
          <w:szCs w:val="20"/>
        </w:rPr>
        <w:t>EUR </w:t>
      </w:r>
      <w:r w:rsidRPr="00C14674">
        <w:rPr>
          <w:bCs/>
          <w:szCs w:val="20"/>
        </w:rPr>
        <w:t xml:space="preserve">38,300,000 </w:t>
      </w:r>
      <w:r w:rsidR="00ED1BE9" w:rsidRPr="00C14674">
        <w:rPr>
          <w:bCs/>
          <w:szCs w:val="20"/>
        </w:rPr>
        <w:t>for the financial year ended 31 December</w:t>
      </w:r>
      <w:r w:rsidRPr="00C14674">
        <w:rPr>
          <w:bCs/>
          <w:szCs w:val="20"/>
        </w:rPr>
        <w:t xml:space="preserve"> 2014, which is a decrease of </w:t>
      </w:r>
      <w:r w:rsidR="00E53641">
        <w:rPr>
          <w:bCs/>
          <w:szCs w:val="20"/>
        </w:rPr>
        <w:t>EUR </w:t>
      </w:r>
      <w:r w:rsidRPr="00C14674">
        <w:rPr>
          <w:bCs/>
          <w:szCs w:val="20"/>
        </w:rPr>
        <w:t xml:space="preserve">2,300,000, or 5.5% compared to the </w:t>
      </w:r>
      <w:r w:rsidR="00ED1BE9" w:rsidRPr="00C14674">
        <w:rPr>
          <w:bCs/>
          <w:szCs w:val="20"/>
        </w:rPr>
        <w:t xml:space="preserve">financial </w:t>
      </w:r>
      <w:r w:rsidRPr="00C14674">
        <w:rPr>
          <w:bCs/>
          <w:szCs w:val="20"/>
        </w:rPr>
        <w:t>year ended 31 December 2013 mainly due to the fact that the 2014 number includes several entities, mainly TFFG production units, whih have been divested at the end of the year which triggered increased depreciation expenses.</w:t>
      </w:r>
    </w:p>
    <w:p w:rsidR="003F0BC5" w:rsidRPr="00C14674" w:rsidRDefault="003F0BC5" w:rsidP="00353B80">
      <w:pPr>
        <w:pStyle w:val="Firm5L3"/>
        <w:keepNext/>
      </w:pPr>
      <w:r w:rsidRPr="00C14674">
        <w:t>Depreciation / Amortisation and share of profit for equity accounted investments and non- controlling interests</w:t>
      </w:r>
    </w:p>
    <w:p w:rsidR="003F0BC5" w:rsidRPr="00C14674" w:rsidRDefault="003F0BC5" w:rsidP="003F0BC5">
      <w:pPr>
        <w:rPr>
          <w:bCs/>
          <w:szCs w:val="20"/>
        </w:rPr>
      </w:pPr>
      <w:r w:rsidRPr="00C14674">
        <w:rPr>
          <w:bCs/>
          <w:szCs w:val="20"/>
        </w:rPr>
        <w:t xml:space="preserve">Depreciation and amortisation expenses and share of profit for equity accounted investments and non-controlling interests have increased by </w:t>
      </w:r>
      <w:r w:rsidR="00E53641">
        <w:rPr>
          <w:bCs/>
          <w:szCs w:val="20"/>
        </w:rPr>
        <w:t>EUR </w:t>
      </w:r>
      <w:r w:rsidRPr="00C14674">
        <w:rPr>
          <w:bCs/>
          <w:szCs w:val="20"/>
        </w:rPr>
        <w:t xml:space="preserve">4,600,000, or 16.1%, to </w:t>
      </w:r>
      <w:r w:rsidR="00E53641">
        <w:rPr>
          <w:bCs/>
          <w:szCs w:val="20"/>
        </w:rPr>
        <w:t>EUR </w:t>
      </w:r>
      <w:r w:rsidRPr="00C14674">
        <w:rPr>
          <w:bCs/>
          <w:szCs w:val="20"/>
        </w:rPr>
        <w:t xml:space="preserve">33,200,000, </w:t>
      </w:r>
      <w:r w:rsidR="00ED1BE9" w:rsidRPr="00C14674">
        <w:rPr>
          <w:bCs/>
          <w:szCs w:val="20"/>
        </w:rPr>
        <w:t>for the financial year ended 31 December</w:t>
      </w:r>
      <w:r w:rsidRPr="00C14674">
        <w:rPr>
          <w:bCs/>
          <w:szCs w:val="20"/>
        </w:rPr>
        <w:t xml:space="preserve"> 2014 compared to </w:t>
      </w:r>
      <w:r w:rsidR="00E53641">
        <w:rPr>
          <w:bCs/>
          <w:szCs w:val="20"/>
        </w:rPr>
        <w:t>EUR </w:t>
      </w:r>
      <w:r w:rsidRPr="00C14674">
        <w:rPr>
          <w:bCs/>
          <w:szCs w:val="20"/>
        </w:rPr>
        <w:t xml:space="preserve">28,600,000, </w:t>
      </w:r>
      <w:r w:rsidR="00ED1BE9" w:rsidRPr="00C14674">
        <w:rPr>
          <w:bCs/>
          <w:szCs w:val="20"/>
        </w:rPr>
        <w:t>for the financial year ended 31 December</w:t>
      </w:r>
      <w:r w:rsidRPr="00C14674">
        <w:rPr>
          <w:bCs/>
          <w:szCs w:val="20"/>
        </w:rPr>
        <w:t xml:space="preserve"> 2013. The increase can be explained by the increased depreciation and amortisation charges for </w:t>
      </w:r>
      <w:r w:rsidR="00E53641">
        <w:rPr>
          <w:bCs/>
          <w:szCs w:val="20"/>
        </w:rPr>
        <w:t>EUR </w:t>
      </w:r>
      <w:r w:rsidRPr="00C14674">
        <w:rPr>
          <w:bCs/>
          <w:szCs w:val="20"/>
        </w:rPr>
        <w:t xml:space="preserve">3,200,000 due to the acquisition of the banana growing operations in January 2014 holding substantial depreciation charges. The result on equity accounted investments increased by </w:t>
      </w:r>
      <w:r w:rsidR="00E53641">
        <w:rPr>
          <w:bCs/>
          <w:szCs w:val="20"/>
        </w:rPr>
        <w:t>EUR </w:t>
      </w:r>
      <w:r w:rsidRPr="00C14674">
        <w:rPr>
          <w:bCs/>
          <w:szCs w:val="20"/>
        </w:rPr>
        <w:t>1,100,000 mainly due to the gain booked on the shareholding in Mouton Citrus Proprietary Ltd. The remaining variance is explained by the movement on non-controlling interests considering the fact that the main portion of minority shareholdings are held in entities with a negative net result.</w:t>
      </w:r>
    </w:p>
    <w:p w:rsidR="003F0BC5" w:rsidRPr="00C14674" w:rsidRDefault="003F0BC5" w:rsidP="00353B80">
      <w:pPr>
        <w:pStyle w:val="Firm5L3"/>
        <w:keepNext/>
      </w:pPr>
      <w:r w:rsidRPr="00C14674">
        <w:t>Financial income</w:t>
      </w:r>
      <w:r w:rsidR="008E5C3F" w:rsidRPr="00C14674">
        <w:t xml:space="preserve"> </w:t>
      </w:r>
      <w:r w:rsidRPr="00C14674">
        <w:t>/</w:t>
      </w:r>
      <w:r w:rsidR="008E5C3F" w:rsidRPr="00C14674">
        <w:t xml:space="preserve"> </w:t>
      </w:r>
      <w:r w:rsidRPr="00C14674">
        <w:t>expense</w:t>
      </w:r>
    </w:p>
    <w:p w:rsidR="00D370A5" w:rsidRPr="00C14674" w:rsidRDefault="003F0BC5" w:rsidP="00D370A5">
      <w:pPr>
        <w:rPr>
          <w:bCs/>
          <w:szCs w:val="20"/>
        </w:rPr>
      </w:pPr>
      <w:r w:rsidRPr="00C14674">
        <w:rPr>
          <w:bCs/>
          <w:szCs w:val="20"/>
        </w:rPr>
        <w:t xml:space="preserve">The financial income and expenses have increased by </w:t>
      </w:r>
      <w:r w:rsidR="00E53641">
        <w:rPr>
          <w:bCs/>
          <w:szCs w:val="20"/>
        </w:rPr>
        <w:t>EUR </w:t>
      </w:r>
      <w:r w:rsidRPr="00C14674">
        <w:rPr>
          <w:bCs/>
          <w:szCs w:val="20"/>
        </w:rPr>
        <w:t xml:space="preserve">6,300,000 or 18.5% to </w:t>
      </w:r>
      <w:r w:rsidR="00E53641">
        <w:rPr>
          <w:bCs/>
          <w:szCs w:val="20"/>
        </w:rPr>
        <w:t>EUR </w:t>
      </w:r>
      <w:r w:rsidRPr="00C14674">
        <w:rPr>
          <w:bCs/>
          <w:szCs w:val="20"/>
        </w:rPr>
        <w:t xml:space="preserve">40,400,000 </w:t>
      </w:r>
      <w:r w:rsidR="00ED1BE9" w:rsidRPr="00C14674">
        <w:rPr>
          <w:bCs/>
          <w:szCs w:val="20"/>
        </w:rPr>
        <w:t>for the financial year ended 31 December</w:t>
      </w:r>
      <w:r w:rsidRPr="00C14674">
        <w:rPr>
          <w:bCs/>
          <w:szCs w:val="20"/>
        </w:rPr>
        <w:t xml:space="preserve"> 2014, compared to </w:t>
      </w:r>
      <w:r w:rsidR="00E53641">
        <w:rPr>
          <w:bCs/>
          <w:szCs w:val="20"/>
        </w:rPr>
        <w:t>EUR </w:t>
      </w:r>
      <w:r w:rsidRPr="00C14674">
        <w:rPr>
          <w:bCs/>
          <w:szCs w:val="20"/>
        </w:rPr>
        <w:t xml:space="preserve">34,100,000 </w:t>
      </w:r>
      <w:r w:rsidR="00ED1BE9" w:rsidRPr="00C14674">
        <w:rPr>
          <w:bCs/>
          <w:szCs w:val="20"/>
        </w:rPr>
        <w:t>for the financial year ended 31 December</w:t>
      </w:r>
      <w:r w:rsidRPr="00C14674">
        <w:rPr>
          <w:bCs/>
          <w:szCs w:val="20"/>
        </w:rPr>
        <w:t xml:space="preserve"> 2013. This variance is largely explained by the increased </w:t>
      </w:r>
      <w:r w:rsidR="00D370A5" w:rsidRPr="00C14674">
        <w:rPr>
          <w:bCs/>
          <w:szCs w:val="20"/>
        </w:rPr>
        <w:t xml:space="preserve">refinancing costs and </w:t>
      </w:r>
      <w:r w:rsidRPr="00C14674">
        <w:rPr>
          <w:bCs/>
          <w:szCs w:val="20"/>
        </w:rPr>
        <w:t>interest charge</w:t>
      </w:r>
      <w:r w:rsidR="00D370A5" w:rsidRPr="00C14674">
        <w:rPr>
          <w:bCs/>
          <w:szCs w:val="20"/>
        </w:rPr>
        <w:t>s</w:t>
      </w:r>
      <w:r w:rsidRPr="00C14674">
        <w:rPr>
          <w:bCs/>
          <w:szCs w:val="20"/>
        </w:rPr>
        <w:t xml:space="preserve"> as a result of the full year effect of the Univeg Group’s bond issue in 2013, this represents an increase of </w:t>
      </w:r>
      <w:r w:rsidR="00E53641">
        <w:rPr>
          <w:bCs/>
          <w:szCs w:val="20"/>
        </w:rPr>
        <w:t>EUR </w:t>
      </w:r>
      <w:r w:rsidRPr="00C14674">
        <w:rPr>
          <w:bCs/>
          <w:szCs w:val="20"/>
        </w:rPr>
        <w:t>8,200,000. This was partially offset by lower foreign currency and bank expenses.</w:t>
      </w:r>
      <w:r w:rsidR="00D370A5" w:rsidRPr="00C14674">
        <w:rPr>
          <w:bCs/>
          <w:szCs w:val="20"/>
        </w:rPr>
        <w:t xml:space="preserve"> A detail of the financial expenses is shown below.</w:t>
      </w:r>
    </w:p>
    <w:tbl>
      <w:tblPr>
        <w:tblW w:w="0" w:type="auto"/>
        <w:tblLook w:val="04A0" w:firstRow="1" w:lastRow="0" w:firstColumn="1" w:lastColumn="0" w:noHBand="0" w:noVBand="1"/>
      </w:tblPr>
      <w:tblGrid>
        <w:gridCol w:w="5561"/>
        <w:gridCol w:w="1918"/>
        <w:gridCol w:w="1701"/>
      </w:tblGrid>
      <w:tr w:rsidR="00AB62FC" w:rsidRPr="00C14674" w:rsidTr="00AB62FC">
        <w:tc>
          <w:tcPr>
            <w:tcW w:w="5561" w:type="dxa"/>
            <w:shd w:val="clear" w:color="auto" w:fill="auto"/>
            <w:vAlign w:val="center"/>
          </w:tcPr>
          <w:p w:rsidR="00AB62FC" w:rsidRPr="00C14674" w:rsidRDefault="00AB62FC" w:rsidP="00AB62FC">
            <w:pPr>
              <w:spacing w:before="0" w:after="0"/>
              <w:jc w:val="left"/>
              <w:rPr>
                <w:bCs/>
                <w:i/>
                <w:sz w:val="18"/>
                <w:szCs w:val="18"/>
              </w:rPr>
            </w:pPr>
            <w:r w:rsidRPr="00C14674">
              <w:rPr>
                <w:bCs/>
                <w:i/>
                <w:sz w:val="18"/>
                <w:szCs w:val="18"/>
              </w:rPr>
              <w:t>(</w:t>
            </w:r>
            <w:r w:rsidR="00E53641">
              <w:rPr>
                <w:bCs/>
                <w:i/>
                <w:sz w:val="18"/>
                <w:szCs w:val="18"/>
              </w:rPr>
              <w:t>EUR </w:t>
            </w:r>
            <w:r w:rsidRPr="00C14674">
              <w:rPr>
                <w:bCs/>
                <w:i/>
                <w:sz w:val="18"/>
                <w:szCs w:val="18"/>
              </w:rPr>
              <w:t>in millions)</w:t>
            </w:r>
          </w:p>
        </w:tc>
        <w:tc>
          <w:tcPr>
            <w:tcW w:w="1918" w:type="dxa"/>
            <w:shd w:val="clear" w:color="auto" w:fill="auto"/>
          </w:tcPr>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 xml:space="preserve">Year ended </w:t>
            </w:r>
            <w:r w:rsidRPr="00C14674">
              <w:rPr>
                <w:b/>
                <w:bCs/>
                <w:sz w:val="18"/>
                <w:szCs w:val="18"/>
              </w:rPr>
              <w:br/>
              <w:t>31 December 2014</w:t>
            </w:r>
          </w:p>
        </w:tc>
        <w:tc>
          <w:tcPr>
            <w:tcW w:w="1701" w:type="dxa"/>
            <w:shd w:val="clear" w:color="auto" w:fill="auto"/>
            <w:vAlign w:val="bottom"/>
          </w:tcPr>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 xml:space="preserve">Year ended </w:t>
            </w:r>
            <w:r w:rsidRPr="00C14674">
              <w:rPr>
                <w:b/>
                <w:bCs/>
                <w:sz w:val="18"/>
                <w:szCs w:val="18"/>
              </w:rPr>
              <w:br/>
              <w:t>31 December 2013</w:t>
            </w:r>
          </w:p>
        </w:tc>
      </w:tr>
      <w:tr w:rsidR="00AB62FC" w:rsidRPr="00C14674" w:rsidTr="00AB62FC">
        <w:tc>
          <w:tcPr>
            <w:tcW w:w="5561" w:type="dxa"/>
            <w:shd w:val="clear" w:color="auto" w:fill="auto"/>
          </w:tcPr>
          <w:p w:rsidR="00AB62FC" w:rsidRPr="00C14674" w:rsidRDefault="00AB62FC" w:rsidP="00AB62FC">
            <w:pPr>
              <w:tabs>
                <w:tab w:val="right" w:leader="dot" w:pos="5382"/>
              </w:tabs>
              <w:spacing w:before="0" w:after="0"/>
              <w:jc w:val="left"/>
              <w:rPr>
                <w:b/>
                <w:sz w:val="18"/>
                <w:szCs w:val="18"/>
              </w:rPr>
            </w:pPr>
            <w:r w:rsidRPr="00C14674">
              <w:rPr>
                <w:sz w:val="18"/>
                <w:szCs w:val="18"/>
              </w:rPr>
              <w:t>Interest expense, net</w:t>
            </w:r>
            <w:r w:rsidRPr="00C14674">
              <w:rPr>
                <w:sz w:val="18"/>
                <w:szCs w:val="18"/>
              </w:rPr>
              <w:tab/>
            </w:r>
          </w:p>
        </w:tc>
        <w:tc>
          <w:tcPr>
            <w:tcW w:w="1918" w:type="dxa"/>
            <w:shd w:val="clear" w:color="auto" w:fill="auto"/>
          </w:tcPr>
          <w:p w:rsidR="00AB62FC" w:rsidRPr="00C14674" w:rsidRDefault="00AB62FC" w:rsidP="00AB62FC">
            <w:pPr>
              <w:spacing w:before="0" w:after="0"/>
              <w:jc w:val="right"/>
              <w:rPr>
                <w:sz w:val="18"/>
                <w:szCs w:val="18"/>
              </w:rPr>
            </w:pPr>
            <w:r w:rsidRPr="00C14674">
              <w:rPr>
                <w:sz w:val="18"/>
                <w:szCs w:val="18"/>
              </w:rPr>
              <w:t>31.2</w:t>
            </w:r>
          </w:p>
        </w:tc>
        <w:tc>
          <w:tcPr>
            <w:tcW w:w="1701" w:type="dxa"/>
            <w:shd w:val="clear" w:color="auto" w:fill="auto"/>
          </w:tcPr>
          <w:p w:rsidR="00AB62FC" w:rsidRPr="00C14674" w:rsidRDefault="00AB62FC" w:rsidP="00AB62FC">
            <w:pPr>
              <w:spacing w:before="0" w:after="0"/>
              <w:jc w:val="right"/>
              <w:rPr>
                <w:sz w:val="18"/>
                <w:szCs w:val="18"/>
              </w:rPr>
            </w:pPr>
            <w:r w:rsidRPr="00C14674">
              <w:rPr>
                <w:sz w:val="18"/>
                <w:szCs w:val="18"/>
              </w:rPr>
              <w:t>19.1</w:t>
            </w:r>
          </w:p>
        </w:tc>
      </w:tr>
      <w:tr w:rsidR="00AB62FC" w:rsidRPr="00C14674" w:rsidTr="00AB62FC">
        <w:tc>
          <w:tcPr>
            <w:tcW w:w="5561" w:type="dxa"/>
            <w:shd w:val="clear" w:color="auto" w:fill="auto"/>
          </w:tcPr>
          <w:p w:rsidR="00AB62FC" w:rsidRPr="00C14674" w:rsidRDefault="00AB62FC" w:rsidP="00AB62FC">
            <w:pPr>
              <w:tabs>
                <w:tab w:val="right" w:leader="dot" w:pos="5382"/>
              </w:tabs>
              <w:spacing w:before="0" w:after="0"/>
              <w:jc w:val="left"/>
              <w:rPr>
                <w:b/>
                <w:sz w:val="18"/>
                <w:szCs w:val="18"/>
              </w:rPr>
            </w:pPr>
            <w:r w:rsidRPr="00C14674">
              <w:rPr>
                <w:sz w:val="18"/>
                <w:szCs w:val="18"/>
              </w:rPr>
              <w:t>Bank charges including refinancing costs</w:t>
            </w:r>
            <w:r w:rsidRPr="00C14674">
              <w:rPr>
                <w:sz w:val="18"/>
                <w:szCs w:val="18"/>
              </w:rPr>
              <w:tab/>
            </w:r>
          </w:p>
        </w:tc>
        <w:tc>
          <w:tcPr>
            <w:tcW w:w="1918" w:type="dxa"/>
            <w:shd w:val="clear" w:color="auto" w:fill="auto"/>
          </w:tcPr>
          <w:p w:rsidR="00AB62FC" w:rsidRPr="00C14674" w:rsidRDefault="00AB62FC" w:rsidP="00AB62FC">
            <w:pPr>
              <w:spacing w:before="0" w:after="0"/>
              <w:jc w:val="right"/>
              <w:rPr>
                <w:sz w:val="18"/>
                <w:szCs w:val="18"/>
              </w:rPr>
            </w:pPr>
            <w:r w:rsidRPr="00C14674">
              <w:rPr>
                <w:sz w:val="18"/>
                <w:szCs w:val="18"/>
              </w:rPr>
              <w:t>3.2</w:t>
            </w:r>
          </w:p>
        </w:tc>
        <w:tc>
          <w:tcPr>
            <w:tcW w:w="1701" w:type="dxa"/>
            <w:shd w:val="clear" w:color="auto" w:fill="auto"/>
          </w:tcPr>
          <w:p w:rsidR="00AB62FC" w:rsidRPr="00C14674" w:rsidRDefault="00AB62FC" w:rsidP="00AB62FC">
            <w:pPr>
              <w:spacing w:before="0" w:after="0"/>
              <w:jc w:val="right"/>
              <w:rPr>
                <w:sz w:val="18"/>
                <w:szCs w:val="18"/>
              </w:rPr>
            </w:pPr>
            <w:r w:rsidRPr="00C14674">
              <w:rPr>
                <w:sz w:val="18"/>
                <w:szCs w:val="18"/>
              </w:rPr>
              <w:t>7.8</w:t>
            </w:r>
          </w:p>
        </w:tc>
      </w:tr>
      <w:tr w:rsidR="00AB62FC" w:rsidRPr="00C14674" w:rsidTr="00AB62FC">
        <w:tc>
          <w:tcPr>
            <w:tcW w:w="5561" w:type="dxa"/>
            <w:shd w:val="clear" w:color="auto" w:fill="auto"/>
          </w:tcPr>
          <w:p w:rsidR="00AB62FC" w:rsidRPr="00C14674" w:rsidRDefault="00AB62FC" w:rsidP="00AB62FC">
            <w:pPr>
              <w:tabs>
                <w:tab w:val="right" w:leader="dot" w:pos="5382"/>
              </w:tabs>
              <w:spacing w:before="0" w:after="0"/>
              <w:ind w:left="90" w:hanging="90"/>
              <w:jc w:val="left"/>
              <w:rPr>
                <w:bCs/>
                <w:sz w:val="18"/>
                <w:szCs w:val="18"/>
              </w:rPr>
            </w:pPr>
            <w:r w:rsidRPr="00C14674">
              <w:rPr>
                <w:sz w:val="18"/>
                <w:szCs w:val="18"/>
              </w:rPr>
              <w:t>Factoring interests</w:t>
            </w:r>
            <w:r w:rsidRPr="00C14674">
              <w:rPr>
                <w:sz w:val="18"/>
                <w:szCs w:val="18"/>
              </w:rPr>
              <w:tab/>
            </w:r>
          </w:p>
        </w:tc>
        <w:tc>
          <w:tcPr>
            <w:tcW w:w="1918" w:type="dxa"/>
            <w:shd w:val="clear" w:color="auto" w:fill="auto"/>
          </w:tcPr>
          <w:p w:rsidR="00AB62FC" w:rsidRPr="00C14674" w:rsidRDefault="00AB62FC" w:rsidP="00AB62FC">
            <w:pPr>
              <w:spacing w:before="0" w:after="0"/>
              <w:jc w:val="right"/>
              <w:rPr>
                <w:sz w:val="18"/>
                <w:szCs w:val="18"/>
              </w:rPr>
            </w:pPr>
            <w:r w:rsidRPr="00C14674">
              <w:rPr>
                <w:sz w:val="18"/>
                <w:szCs w:val="18"/>
              </w:rPr>
              <w:t>3.1</w:t>
            </w:r>
          </w:p>
        </w:tc>
        <w:tc>
          <w:tcPr>
            <w:tcW w:w="1701" w:type="dxa"/>
            <w:shd w:val="clear" w:color="auto" w:fill="auto"/>
          </w:tcPr>
          <w:p w:rsidR="00AB62FC" w:rsidRPr="00C14674" w:rsidRDefault="00AB62FC" w:rsidP="00AB62FC">
            <w:pPr>
              <w:spacing w:before="0" w:after="0"/>
              <w:jc w:val="right"/>
              <w:rPr>
                <w:sz w:val="18"/>
                <w:szCs w:val="18"/>
              </w:rPr>
            </w:pPr>
            <w:r w:rsidRPr="00C14674">
              <w:rPr>
                <w:sz w:val="18"/>
                <w:szCs w:val="18"/>
              </w:rPr>
              <w:t>2.9</w:t>
            </w:r>
          </w:p>
        </w:tc>
      </w:tr>
      <w:tr w:rsidR="00AB62FC" w:rsidRPr="00C14674" w:rsidTr="00AB62FC">
        <w:tc>
          <w:tcPr>
            <w:tcW w:w="5561" w:type="dxa"/>
            <w:shd w:val="clear" w:color="auto" w:fill="auto"/>
          </w:tcPr>
          <w:p w:rsidR="00AB62FC" w:rsidRPr="00C14674" w:rsidRDefault="00AB62FC" w:rsidP="00AB62FC">
            <w:pPr>
              <w:tabs>
                <w:tab w:val="right" w:leader="dot" w:pos="5382"/>
              </w:tabs>
              <w:spacing w:before="0" w:after="0"/>
              <w:jc w:val="left"/>
              <w:rPr>
                <w:sz w:val="18"/>
                <w:szCs w:val="18"/>
              </w:rPr>
            </w:pPr>
            <w:r w:rsidRPr="00C14674">
              <w:rPr>
                <w:sz w:val="18"/>
                <w:szCs w:val="18"/>
              </w:rPr>
              <w:t>MTM (gains)/losses</w:t>
            </w:r>
            <w:r w:rsidRPr="00C14674">
              <w:rPr>
                <w:sz w:val="18"/>
                <w:szCs w:val="18"/>
              </w:rPr>
              <w:tab/>
            </w:r>
          </w:p>
        </w:tc>
        <w:tc>
          <w:tcPr>
            <w:tcW w:w="1918" w:type="dxa"/>
            <w:shd w:val="clear" w:color="auto" w:fill="auto"/>
            <w:vAlign w:val="bottom"/>
          </w:tcPr>
          <w:p w:rsidR="00AB62FC" w:rsidRPr="00C14674" w:rsidRDefault="00AB62FC" w:rsidP="00AB62FC">
            <w:pPr>
              <w:spacing w:before="0" w:after="0"/>
              <w:jc w:val="right"/>
              <w:rPr>
                <w:sz w:val="18"/>
                <w:szCs w:val="18"/>
              </w:rPr>
            </w:pPr>
            <w:r w:rsidRPr="00C14674">
              <w:rPr>
                <w:sz w:val="18"/>
                <w:szCs w:val="18"/>
              </w:rPr>
              <w:t>(3.3)</w:t>
            </w:r>
          </w:p>
        </w:tc>
        <w:tc>
          <w:tcPr>
            <w:tcW w:w="1701" w:type="dxa"/>
            <w:shd w:val="clear" w:color="auto" w:fill="auto"/>
            <w:vAlign w:val="bottom"/>
          </w:tcPr>
          <w:p w:rsidR="00AB62FC" w:rsidRPr="00C14674" w:rsidRDefault="00AB62FC" w:rsidP="00AB62FC">
            <w:pPr>
              <w:spacing w:before="0" w:after="0"/>
              <w:jc w:val="right"/>
              <w:rPr>
                <w:sz w:val="18"/>
                <w:szCs w:val="18"/>
              </w:rPr>
            </w:pPr>
            <w:r w:rsidRPr="00C14674">
              <w:rPr>
                <w:sz w:val="18"/>
                <w:szCs w:val="18"/>
              </w:rPr>
              <w:t>(3.9)</w:t>
            </w:r>
          </w:p>
        </w:tc>
      </w:tr>
      <w:tr w:rsidR="00AB62FC" w:rsidRPr="00C14674" w:rsidTr="00AB62FC">
        <w:tc>
          <w:tcPr>
            <w:tcW w:w="5561" w:type="dxa"/>
            <w:shd w:val="clear" w:color="auto" w:fill="auto"/>
          </w:tcPr>
          <w:p w:rsidR="00AB62FC" w:rsidRPr="00C14674" w:rsidRDefault="00AB62FC" w:rsidP="00AB62FC">
            <w:pPr>
              <w:tabs>
                <w:tab w:val="right" w:leader="dot" w:pos="5382"/>
              </w:tabs>
              <w:spacing w:before="0" w:after="0"/>
              <w:jc w:val="left"/>
              <w:rPr>
                <w:sz w:val="18"/>
                <w:szCs w:val="18"/>
              </w:rPr>
            </w:pPr>
            <w:r w:rsidRPr="00C14674">
              <w:rPr>
                <w:sz w:val="18"/>
                <w:szCs w:val="18"/>
              </w:rPr>
              <w:lastRenderedPageBreak/>
              <w:t>Exchange (gains)/losses</w:t>
            </w:r>
            <w:r w:rsidRPr="00C14674">
              <w:rPr>
                <w:sz w:val="18"/>
                <w:szCs w:val="18"/>
              </w:rPr>
              <w:tab/>
            </w:r>
          </w:p>
        </w:tc>
        <w:tc>
          <w:tcPr>
            <w:tcW w:w="1918" w:type="dxa"/>
            <w:shd w:val="clear" w:color="auto" w:fill="auto"/>
            <w:vAlign w:val="bottom"/>
          </w:tcPr>
          <w:p w:rsidR="00AB62FC" w:rsidRPr="00C14674" w:rsidRDefault="00AB62FC" w:rsidP="00AB62FC">
            <w:pPr>
              <w:spacing w:before="0" w:after="0"/>
              <w:jc w:val="right"/>
              <w:rPr>
                <w:sz w:val="18"/>
                <w:szCs w:val="18"/>
              </w:rPr>
            </w:pPr>
            <w:r w:rsidRPr="00C14674">
              <w:rPr>
                <w:sz w:val="18"/>
                <w:szCs w:val="18"/>
              </w:rPr>
              <w:t>3.5</w:t>
            </w:r>
          </w:p>
        </w:tc>
        <w:tc>
          <w:tcPr>
            <w:tcW w:w="1701" w:type="dxa"/>
            <w:shd w:val="clear" w:color="auto" w:fill="auto"/>
            <w:vAlign w:val="bottom"/>
          </w:tcPr>
          <w:p w:rsidR="00AB62FC" w:rsidRPr="00C14674" w:rsidRDefault="00AB62FC" w:rsidP="00AB62FC">
            <w:pPr>
              <w:spacing w:before="0" w:after="0"/>
              <w:jc w:val="right"/>
              <w:rPr>
                <w:sz w:val="18"/>
                <w:szCs w:val="18"/>
              </w:rPr>
            </w:pPr>
            <w:r w:rsidRPr="00C14674">
              <w:rPr>
                <w:sz w:val="18"/>
                <w:szCs w:val="18"/>
              </w:rPr>
              <w:t>4.1</w:t>
            </w:r>
          </w:p>
        </w:tc>
      </w:tr>
      <w:tr w:rsidR="00AB62FC" w:rsidRPr="00C14674" w:rsidTr="00AB62FC">
        <w:tc>
          <w:tcPr>
            <w:tcW w:w="5561" w:type="dxa"/>
            <w:shd w:val="clear" w:color="auto" w:fill="auto"/>
          </w:tcPr>
          <w:p w:rsidR="00AB62FC" w:rsidRPr="00C14674" w:rsidRDefault="00AB62FC" w:rsidP="00AB62FC">
            <w:pPr>
              <w:tabs>
                <w:tab w:val="right" w:leader="dot" w:pos="5382"/>
              </w:tabs>
              <w:spacing w:before="0" w:after="0"/>
              <w:jc w:val="left"/>
              <w:rPr>
                <w:sz w:val="18"/>
                <w:szCs w:val="18"/>
              </w:rPr>
            </w:pPr>
            <w:r w:rsidRPr="00C14674">
              <w:rPr>
                <w:sz w:val="18"/>
                <w:szCs w:val="18"/>
              </w:rPr>
              <w:t>Other</w:t>
            </w:r>
            <w:r w:rsidRPr="00C14674">
              <w:rPr>
                <w:sz w:val="18"/>
                <w:szCs w:val="18"/>
              </w:rPr>
              <w:tab/>
            </w:r>
          </w:p>
        </w:tc>
        <w:tc>
          <w:tcPr>
            <w:tcW w:w="1918" w:type="dxa"/>
            <w:shd w:val="clear" w:color="auto" w:fill="auto"/>
            <w:vAlign w:val="bottom"/>
          </w:tcPr>
          <w:p w:rsidR="00AB62FC" w:rsidRPr="00C14674" w:rsidRDefault="00AB62FC" w:rsidP="00AB62FC">
            <w:pPr>
              <w:pBdr>
                <w:bottom w:val="single" w:sz="4" w:space="1" w:color="auto"/>
              </w:pBdr>
              <w:spacing w:before="0" w:after="0"/>
              <w:jc w:val="right"/>
              <w:rPr>
                <w:sz w:val="18"/>
                <w:szCs w:val="18"/>
              </w:rPr>
            </w:pPr>
            <w:r w:rsidRPr="00C14674">
              <w:rPr>
                <w:sz w:val="18"/>
                <w:szCs w:val="18"/>
              </w:rPr>
              <w:t>2.8</w:t>
            </w:r>
          </w:p>
        </w:tc>
        <w:tc>
          <w:tcPr>
            <w:tcW w:w="1701" w:type="dxa"/>
            <w:shd w:val="clear" w:color="auto" w:fill="auto"/>
            <w:vAlign w:val="bottom"/>
          </w:tcPr>
          <w:p w:rsidR="00AB62FC" w:rsidRPr="00C14674" w:rsidRDefault="00AB62FC" w:rsidP="00AB62FC">
            <w:pPr>
              <w:pBdr>
                <w:bottom w:val="single" w:sz="4" w:space="1" w:color="auto"/>
              </w:pBdr>
              <w:spacing w:before="0" w:after="0"/>
              <w:jc w:val="right"/>
              <w:rPr>
                <w:sz w:val="18"/>
                <w:szCs w:val="18"/>
              </w:rPr>
            </w:pPr>
            <w:r w:rsidRPr="00C14674">
              <w:rPr>
                <w:sz w:val="18"/>
                <w:szCs w:val="18"/>
              </w:rPr>
              <w:t>4.2</w:t>
            </w:r>
          </w:p>
        </w:tc>
      </w:tr>
      <w:tr w:rsidR="00AB62FC" w:rsidRPr="00C14674" w:rsidTr="00AB62FC">
        <w:tc>
          <w:tcPr>
            <w:tcW w:w="5561" w:type="dxa"/>
            <w:shd w:val="clear" w:color="auto" w:fill="auto"/>
          </w:tcPr>
          <w:p w:rsidR="00AB62FC" w:rsidRPr="00C14674" w:rsidRDefault="00AB62FC" w:rsidP="00AB62FC">
            <w:pPr>
              <w:tabs>
                <w:tab w:val="right" w:leader="dot" w:pos="5382"/>
              </w:tabs>
              <w:spacing w:before="0" w:after="0"/>
              <w:jc w:val="left"/>
              <w:rPr>
                <w:b/>
                <w:sz w:val="18"/>
                <w:szCs w:val="18"/>
              </w:rPr>
            </w:pPr>
            <w:r w:rsidRPr="00C14674">
              <w:rPr>
                <w:b/>
                <w:sz w:val="18"/>
                <w:szCs w:val="18"/>
              </w:rPr>
              <w:t>Financial expense/(income)</w:t>
            </w:r>
            <w:r w:rsidRPr="00C14674">
              <w:rPr>
                <w:b/>
                <w:sz w:val="18"/>
                <w:szCs w:val="18"/>
              </w:rPr>
              <w:tab/>
            </w:r>
          </w:p>
        </w:tc>
        <w:tc>
          <w:tcPr>
            <w:tcW w:w="1918" w:type="dxa"/>
            <w:shd w:val="clear" w:color="auto" w:fill="auto"/>
          </w:tcPr>
          <w:p w:rsidR="00AB62FC" w:rsidRPr="00C14674" w:rsidRDefault="00AB62FC" w:rsidP="00AB62FC">
            <w:pPr>
              <w:pBdr>
                <w:bottom w:val="double" w:sz="4" w:space="0" w:color="auto"/>
              </w:pBdr>
              <w:spacing w:before="0" w:after="0"/>
              <w:jc w:val="right"/>
              <w:rPr>
                <w:b/>
                <w:sz w:val="18"/>
                <w:szCs w:val="18"/>
              </w:rPr>
            </w:pPr>
            <w:r w:rsidRPr="00C14674">
              <w:rPr>
                <w:b/>
                <w:sz w:val="18"/>
                <w:szCs w:val="18"/>
              </w:rPr>
              <w:t>40.4</w:t>
            </w:r>
          </w:p>
        </w:tc>
        <w:tc>
          <w:tcPr>
            <w:tcW w:w="1701" w:type="dxa"/>
            <w:shd w:val="clear" w:color="auto" w:fill="auto"/>
          </w:tcPr>
          <w:p w:rsidR="00AB62FC" w:rsidRPr="00C14674" w:rsidRDefault="00AB62FC" w:rsidP="00AB62FC">
            <w:pPr>
              <w:pBdr>
                <w:bottom w:val="double" w:sz="4" w:space="0" w:color="auto"/>
              </w:pBdr>
              <w:spacing w:before="0" w:after="0"/>
              <w:jc w:val="right"/>
              <w:rPr>
                <w:b/>
                <w:sz w:val="18"/>
                <w:szCs w:val="18"/>
              </w:rPr>
            </w:pPr>
            <w:r w:rsidRPr="00C14674">
              <w:rPr>
                <w:b/>
                <w:sz w:val="18"/>
                <w:szCs w:val="18"/>
              </w:rPr>
              <w:t>40.4</w:t>
            </w:r>
          </w:p>
        </w:tc>
      </w:tr>
    </w:tbl>
    <w:p w:rsidR="003F0BC5" w:rsidRPr="00C14674" w:rsidRDefault="003F0BC5" w:rsidP="00353B80">
      <w:pPr>
        <w:pStyle w:val="Firm5L3"/>
        <w:keepNext/>
      </w:pPr>
      <w:r w:rsidRPr="00C14674">
        <w:t>Income tax income</w:t>
      </w:r>
      <w:r w:rsidR="008E5C3F" w:rsidRPr="00C14674">
        <w:t xml:space="preserve"> </w:t>
      </w:r>
      <w:r w:rsidRPr="00C14674">
        <w:t>/</w:t>
      </w:r>
      <w:r w:rsidR="008E5C3F" w:rsidRPr="00C14674">
        <w:t xml:space="preserve"> </w:t>
      </w:r>
      <w:r w:rsidRPr="00C14674">
        <w:t>expense</w:t>
      </w:r>
    </w:p>
    <w:p w:rsidR="003F0BC5" w:rsidRPr="00C14674" w:rsidRDefault="003F0BC5" w:rsidP="003F0BC5">
      <w:pPr>
        <w:rPr>
          <w:bCs/>
          <w:szCs w:val="20"/>
        </w:rPr>
      </w:pPr>
      <w:r w:rsidRPr="00C14674">
        <w:rPr>
          <w:bCs/>
          <w:szCs w:val="20"/>
        </w:rPr>
        <w:t xml:space="preserve">Net income tax expense </w:t>
      </w:r>
      <w:r w:rsidR="00ED1BE9" w:rsidRPr="00C14674">
        <w:rPr>
          <w:bCs/>
          <w:szCs w:val="20"/>
        </w:rPr>
        <w:t>for the financial year ended 31 December</w:t>
      </w:r>
      <w:r w:rsidRPr="00C14674">
        <w:rPr>
          <w:bCs/>
          <w:szCs w:val="20"/>
        </w:rPr>
        <w:t xml:space="preserve"> 2013 amounted to a net expense of </w:t>
      </w:r>
      <w:r w:rsidR="00E53641">
        <w:rPr>
          <w:bCs/>
          <w:szCs w:val="20"/>
        </w:rPr>
        <w:t>EUR </w:t>
      </w:r>
      <w:r w:rsidRPr="00C14674">
        <w:rPr>
          <w:bCs/>
          <w:szCs w:val="20"/>
        </w:rPr>
        <w:t xml:space="preserve">5,600,000. This expense has decreased by </w:t>
      </w:r>
      <w:r w:rsidR="00E53641">
        <w:rPr>
          <w:bCs/>
          <w:szCs w:val="20"/>
        </w:rPr>
        <w:t>EUR </w:t>
      </w:r>
      <w:r w:rsidRPr="00C14674">
        <w:rPr>
          <w:bCs/>
          <w:szCs w:val="20"/>
        </w:rPr>
        <w:t xml:space="preserve">7,700,000 to a net income of </w:t>
      </w:r>
      <w:r w:rsidR="00E53641">
        <w:rPr>
          <w:bCs/>
          <w:szCs w:val="20"/>
        </w:rPr>
        <w:t>EUR </w:t>
      </w:r>
      <w:r w:rsidRPr="00C14674">
        <w:rPr>
          <w:bCs/>
          <w:szCs w:val="20"/>
        </w:rPr>
        <w:t xml:space="preserve">2,100,000 </w:t>
      </w:r>
      <w:r w:rsidR="00ED1BE9" w:rsidRPr="00C14674">
        <w:rPr>
          <w:bCs/>
          <w:szCs w:val="20"/>
        </w:rPr>
        <w:t>for the financial year ended 31 December</w:t>
      </w:r>
      <w:r w:rsidRPr="00C14674">
        <w:rPr>
          <w:bCs/>
          <w:szCs w:val="20"/>
        </w:rPr>
        <w:t xml:space="preserve"> 2014. This is largely explained by the change in deferred tax position for </w:t>
      </w:r>
      <w:r w:rsidR="00E53641">
        <w:rPr>
          <w:bCs/>
          <w:szCs w:val="20"/>
        </w:rPr>
        <w:t>EUR </w:t>
      </w:r>
      <w:r w:rsidRPr="00C14674">
        <w:rPr>
          <w:bCs/>
          <w:szCs w:val="20"/>
        </w:rPr>
        <w:t xml:space="preserve">6,300,000 upon the recognition of tax losses not recognised in prior years for an amount of </w:t>
      </w:r>
      <w:r w:rsidR="00E53641">
        <w:rPr>
          <w:bCs/>
          <w:szCs w:val="20"/>
        </w:rPr>
        <w:t>EUR </w:t>
      </w:r>
      <w:r w:rsidRPr="00C14674">
        <w:rPr>
          <w:bCs/>
          <w:szCs w:val="20"/>
        </w:rPr>
        <w:t xml:space="preserve">9,400,000 partially offset by corrections on temporary differences on deferred taxes for </w:t>
      </w:r>
      <w:r w:rsidR="00E53641">
        <w:rPr>
          <w:bCs/>
          <w:szCs w:val="20"/>
        </w:rPr>
        <w:t>EUR </w:t>
      </w:r>
      <w:r w:rsidRPr="00C14674">
        <w:rPr>
          <w:bCs/>
          <w:szCs w:val="20"/>
        </w:rPr>
        <w:t xml:space="preserve">3,100,000. The remaining difference is explained by the lower profit before income tax </w:t>
      </w:r>
      <w:r w:rsidR="00ED1BE9" w:rsidRPr="00C14674">
        <w:rPr>
          <w:bCs/>
          <w:szCs w:val="20"/>
        </w:rPr>
        <w:t>for the financial year ended 31 December</w:t>
      </w:r>
      <w:r w:rsidRPr="00C14674">
        <w:rPr>
          <w:bCs/>
          <w:szCs w:val="20"/>
        </w:rPr>
        <w:t xml:space="preserve"> 2014.</w:t>
      </w:r>
    </w:p>
    <w:p w:rsidR="003F0BC5" w:rsidRPr="00C14674" w:rsidRDefault="003F0BC5" w:rsidP="00353B80">
      <w:pPr>
        <w:pStyle w:val="Firm5L3"/>
        <w:keepNext/>
      </w:pPr>
      <w:r w:rsidRPr="00C14674">
        <w:t>Net profit for the period</w:t>
      </w:r>
    </w:p>
    <w:p w:rsidR="003F0BC5" w:rsidRPr="00C14674" w:rsidRDefault="003F0BC5" w:rsidP="003F0BC5">
      <w:pPr>
        <w:rPr>
          <w:bCs/>
          <w:szCs w:val="20"/>
        </w:rPr>
      </w:pPr>
      <w:r w:rsidRPr="00C14674">
        <w:rPr>
          <w:bCs/>
          <w:szCs w:val="20"/>
        </w:rPr>
        <w:t xml:space="preserve">The profit for the period </w:t>
      </w:r>
      <w:r w:rsidR="00ED1BE9" w:rsidRPr="00C14674">
        <w:rPr>
          <w:bCs/>
          <w:szCs w:val="20"/>
        </w:rPr>
        <w:t>for the financial year ended 31 December</w:t>
      </w:r>
      <w:r w:rsidRPr="00C14674">
        <w:rPr>
          <w:bCs/>
          <w:szCs w:val="20"/>
        </w:rPr>
        <w:t xml:space="preserve"> 2014 amounts to </w:t>
      </w:r>
      <w:r w:rsidR="00E53641">
        <w:rPr>
          <w:bCs/>
          <w:szCs w:val="20"/>
        </w:rPr>
        <w:t>EUR </w:t>
      </w:r>
      <w:r w:rsidRPr="00C14674">
        <w:rPr>
          <w:bCs/>
          <w:szCs w:val="20"/>
        </w:rPr>
        <w:t xml:space="preserve">16,600,000 showing an increase of </w:t>
      </w:r>
      <w:r w:rsidR="00E53641">
        <w:rPr>
          <w:bCs/>
          <w:szCs w:val="20"/>
        </w:rPr>
        <w:t>EUR </w:t>
      </w:r>
      <w:r w:rsidRPr="00C14674">
        <w:rPr>
          <w:bCs/>
          <w:szCs w:val="20"/>
        </w:rPr>
        <w:t xml:space="preserve">600,000 or 3.8%, to </w:t>
      </w:r>
      <w:r w:rsidR="00E53641">
        <w:rPr>
          <w:bCs/>
          <w:szCs w:val="20"/>
        </w:rPr>
        <w:t>EUR </w:t>
      </w:r>
      <w:r w:rsidRPr="00C14674">
        <w:rPr>
          <w:bCs/>
          <w:szCs w:val="20"/>
        </w:rPr>
        <w:t>16,000,000. This being the result of the elements as explained above.</w:t>
      </w:r>
    </w:p>
    <w:p w:rsidR="003F0BC5" w:rsidRPr="00C14674" w:rsidRDefault="003F0BC5" w:rsidP="00353B80">
      <w:pPr>
        <w:pStyle w:val="Firm5L2"/>
        <w:keepNext/>
        <w:keepLines/>
      </w:pPr>
      <w:bookmarkStart w:id="81" w:name="_Toc420593894"/>
      <w:r w:rsidRPr="00C14674">
        <w:t>Liquidity and capital resources</w:t>
      </w:r>
      <w:bookmarkEnd w:id="81"/>
    </w:p>
    <w:p w:rsidR="003F0BC5" w:rsidRPr="00C14674" w:rsidRDefault="003F0BC5" w:rsidP="00353B80">
      <w:pPr>
        <w:pStyle w:val="Firm5L3"/>
        <w:keepNext/>
        <w:keepLines/>
      </w:pPr>
      <w:r w:rsidRPr="00C14674">
        <w:t>Liquidity</w:t>
      </w:r>
    </w:p>
    <w:p w:rsidR="003F0BC5" w:rsidRPr="00C14674" w:rsidRDefault="003F0BC5" w:rsidP="00D86DC1">
      <w:pPr>
        <w:keepNext/>
        <w:keepLines/>
        <w:ind w:left="720" w:hanging="720"/>
        <w:rPr>
          <w:b/>
          <w:szCs w:val="20"/>
        </w:rPr>
      </w:pPr>
      <w:r w:rsidRPr="00C14674">
        <w:rPr>
          <w:b/>
          <w:szCs w:val="20"/>
        </w:rPr>
        <w:t>Cash Flow</w:t>
      </w:r>
    </w:p>
    <w:tbl>
      <w:tblPr>
        <w:tblW w:w="0" w:type="auto"/>
        <w:tblLayout w:type="fixed"/>
        <w:tblLook w:val="0000" w:firstRow="0" w:lastRow="0" w:firstColumn="0" w:lastColumn="0" w:noHBand="0" w:noVBand="0"/>
      </w:tblPr>
      <w:tblGrid>
        <w:gridCol w:w="4928"/>
        <w:gridCol w:w="2126"/>
        <w:gridCol w:w="2126"/>
      </w:tblGrid>
      <w:tr w:rsidR="00AB62FC" w:rsidRPr="00C14674" w:rsidTr="00AB62FC">
        <w:tc>
          <w:tcPr>
            <w:tcW w:w="4928" w:type="dxa"/>
            <w:vAlign w:val="center"/>
          </w:tcPr>
          <w:p w:rsidR="00AB62FC" w:rsidRPr="00C14674" w:rsidRDefault="00AB62FC" w:rsidP="00AB62FC">
            <w:pPr>
              <w:keepNext/>
              <w:spacing w:before="0" w:after="0"/>
              <w:ind w:left="240" w:hanging="240"/>
              <w:jc w:val="left"/>
              <w:rPr>
                <w:bCs/>
                <w:i/>
                <w:sz w:val="18"/>
                <w:szCs w:val="18"/>
              </w:rPr>
            </w:pPr>
            <w:r w:rsidRPr="00C14674">
              <w:rPr>
                <w:bCs/>
                <w:i/>
                <w:sz w:val="18"/>
                <w:szCs w:val="18"/>
              </w:rPr>
              <w:t>(</w:t>
            </w:r>
            <w:r w:rsidR="00E53641">
              <w:rPr>
                <w:bCs/>
                <w:i/>
                <w:sz w:val="18"/>
                <w:szCs w:val="18"/>
              </w:rPr>
              <w:t>EUR </w:t>
            </w:r>
            <w:r w:rsidRPr="00C14674">
              <w:rPr>
                <w:bCs/>
                <w:i/>
                <w:sz w:val="18"/>
                <w:szCs w:val="18"/>
              </w:rPr>
              <w:t>in millions)</w:t>
            </w:r>
          </w:p>
        </w:tc>
        <w:tc>
          <w:tcPr>
            <w:tcW w:w="2126" w:type="dxa"/>
            <w:vAlign w:val="bottom"/>
          </w:tcPr>
          <w:p w:rsidR="00AB62FC" w:rsidRPr="00C14674" w:rsidRDefault="00AB62FC" w:rsidP="00AB62FC">
            <w:pPr>
              <w:pBdr>
                <w:bottom w:val="single" w:sz="4" w:space="1" w:color="auto"/>
              </w:pBdr>
              <w:spacing w:before="0" w:after="0"/>
              <w:jc w:val="center"/>
              <w:rPr>
                <w:b/>
                <w:sz w:val="18"/>
                <w:szCs w:val="18"/>
              </w:rPr>
            </w:pPr>
            <w:r w:rsidRPr="00C14674">
              <w:rPr>
                <w:b/>
                <w:bCs/>
                <w:sz w:val="18"/>
                <w:szCs w:val="18"/>
              </w:rPr>
              <w:t xml:space="preserve">Year ended </w:t>
            </w:r>
            <w:r w:rsidRPr="00C14674">
              <w:rPr>
                <w:b/>
                <w:bCs/>
                <w:sz w:val="18"/>
                <w:szCs w:val="18"/>
              </w:rPr>
              <w:br/>
              <w:t>31 December</w:t>
            </w:r>
            <w:r w:rsidRPr="00C14674">
              <w:rPr>
                <w:b/>
                <w:sz w:val="18"/>
                <w:szCs w:val="18"/>
              </w:rPr>
              <w:t xml:space="preserve"> 2014</w:t>
            </w:r>
          </w:p>
        </w:tc>
        <w:tc>
          <w:tcPr>
            <w:tcW w:w="2126" w:type="dxa"/>
            <w:vAlign w:val="bottom"/>
          </w:tcPr>
          <w:p w:rsidR="00AB62FC" w:rsidRPr="00C14674" w:rsidRDefault="00AB62FC" w:rsidP="00AB62FC">
            <w:pPr>
              <w:pBdr>
                <w:bottom w:val="single" w:sz="4" w:space="1" w:color="auto"/>
              </w:pBdr>
              <w:tabs>
                <w:tab w:val="right" w:pos="620"/>
                <w:tab w:val="decimal" w:pos="660"/>
              </w:tabs>
              <w:spacing w:before="0" w:after="0"/>
              <w:jc w:val="center"/>
              <w:rPr>
                <w:b/>
                <w:sz w:val="18"/>
                <w:szCs w:val="18"/>
              </w:rPr>
            </w:pPr>
            <w:r w:rsidRPr="00C14674">
              <w:rPr>
                <w:b/>
                <w:sz w:val="18"/>
                <w:szCs w:val="18"/>
              </w:rPr>
              <w:t>Year ended 31 December 2013</w:t>
            </w:r>
          </w:p>
        </w:tc>
      </w:tr>
      <w:tr w:rsidR="00AB62FC" w:rsidRPr="00C14674" w:rsidTr="00AB62FC">
        <w:tc>
          <w:tcPr>
            <w:tcW w:w="4928" w:type="dxa"/>
          </w:tcPr>
          <w:p w:rsidR="00AB62FC" w:rsidRPr="00C14674" w:rsidRDefault="00AB62FC" w:rsidP="00AB62FC">
            <w:pPr>
              <w:spacing w:before="0" w:after="0"/>
              <w:rPr>
                <w:sz w:val="18"/>
                <w:szCs w:val="18"/>
              </w:rPr>
            </w:pPr>
            <w:r w:rsidRPr="00C14674">
              <w:rPr>
                <w:b/>
                <w:bCs/>
                <w:sz w:val="18"/>
                <w:szCs w:val="18"/>
              </w:rPr>
              <w:t>Statement of Cash Flow Data</w:t>
            </w:r>
          </w:p>
        </w:tc>
        <w:tc>
          <w:tcPr>
            <w:tcW w:w="2126" w:type="dxa"/>
          </w:tcPr>
          <w:p w:rsidR="00AB62FC" w:rsidRPr="00C14674" w:rsidRDefault="00AB62FC" w:rsidP="00AB62FC">
            <w:pPr>
              <w:tabs>
                <w:tab w:val="right" w:pos="620"/>
                <w:tab w:val="decimal" w:pos="660"/>
              </w:tabs>
              <w:spacing w:before="0" w:after="0"/>
              <w:jc w:val="right"/>
              <w:rPr>
                <w:sz w:val="18"/>
                <w:szCs w:val="18"/>
              </w:rPr>
            </w:pPr>
            <w:r w:rsidRPr="00C14674">
              <w:rPr>
                <w:sz w:val="18"/>
                <w:szCs w:val="18"/>
              </w:rPr>
              <w:t> </w:t>
            </w:r>
          </w:p>
        </w:tc>
        <w:tc>
          <w:tcPr>
            <w:tcW w:w="2126" w:type="dxa"/>
          </w:tcPr>
          <w:p w:rsidR="00AB62FC" w:rsidRPr="00C14674" w:rsidRDefault="00AB62FC" w:rsidP="00AB62FC">
            <w:pPr>
              <w:tabs>
                <w:tab w:val="right" w:pos="620"/>
                <w:tab w:val="decimal" w:pos="660"/>
              </w:tabs>
              <w:spacing w:before="0" w:after="0"/>
              <w:jc w:val="right"/>
              <w:rPr>
                <w:sz w:val="18"/>
                <w:szCs w:val="18"/>
              </w:rPr>
            </w:pPr>
            <w:r w:rsidRPr="00C14674">
              <w:rPr>
                <w:sz w:val="18"/>
                <w:szCs w:val="18"/>
              </w:rPr>
              <w:t> </w:t>
            </w:r>
          </w:p>
        </w:tc>
      </w:tr>
      <w:tr w:rsidR="00AB62FC" w:rsidRPr="00C14674" w:rsidTr="00AB62FC">
        <w:tc>
          <w:tcPr>
            <w:tcW w:w="4928" w:type="dxa"/>
          </w:tcPr>
          <w:p w:rsidR="00AB62FC" w:rsidRPr="00C14674" w:rsidRDefault="00AB62FC" w:rsidP="00AB62FC">
            <w:pPr>
              <w:keepNext/>
              <w:tabs>
                <w:tab w:val="right" w:leader="dot" w:pos="5160"/>
              </w:tabs>
              <w:spacing w:before="0" w:after="0"/>
              <w:ind w:left="240" w:hanging="240"/>
              <w:rPr>
                <w:sz w:val="18"/>
                <w:szCs w:val="18"/>
              </w:rPr>
            </w:pPr>
            <w:r w:rsidRPr="00C14674">
              <w:rPr>
                <w:sz w:val="18"/>
                <w:szCs w:val="18"/>
              </w:rPr>
              <w:t>Cash flow from operating activities</w:t>
            </w:r>
            <w:r w:rsidRPr="00C14674">
              <w:rPr>
                <w:sz w:val="18"/>
                <w:szCs w:val="18"/>
              </w:rPr>
              <w:tab/>
            </w:r>
          </w:p>
        </w:tc>
        <w:tc>
          <w:tcPr>
            <w:tcW w:w="2126" w:type="dxa"/>
            <w:noWrap/>
          </w:tcPr>
          <w:p w:rsidR="00AB62FC" w:rsidRPr="00C14674" w:rsidRDefault="00AB62FC" w:rsidP="00AB62FC">
            <w:pPr>
              <w:spacing w:before="0" w:after="0"/>
              <w:jc w:val="right"/>
              <w:rPr>
                <w:sz w:val="18"/>
                <w:szCs w:val="18"/>
              </w:rPr>
            </w:pPr>
            <w:r w:rsidRPr="00C14674">
              <w:rPr>
                <w:sz w:val="18"/>
                <w:szCs w:val="18"/>
              </w:rPr>
              <w:t>49.3</w:t>
            </w:r>
          </w:p>
        </w:tc>
        <w:tc>
          <w:tcPr>
            <w:tcW w:w="2126" w:type="dxa"/>
            <w:noWrap/>
          </w:tcPr>
          <w:p w:rsidR="00AB62FC" w:rsidRPr="00C14674" w:rsidRDefault="00AB62FC" w:rsidP="00AB62FC">
            <w:pPr>
              <w:spacing w:before="0" w:after="0"/>
              <w:jc w:val="right"/>
              <w:rPr>
                <w:sz w:val="18"/>
                <w:szCs w:val="18"/>
              </w:rPr>
            </w:pPr>
            <w:r w:rsidRPr="00C14674">
              <w:rPr>
                <w:sz w:val="18"/>
                <w:szCs w:val="18"/>
              </w:rPr>
              <w:t>(0.5)</w:t>
            </w:r>
          </w:p>
        </w:tc>
      </w:tr>
      <w:tr w:rsidR="00AB62FC" w:rsidRPr="00C14674" w:rsidTr="00AB62FC">
        <w:tc>
          <w:tcPr>
            <w:tcW w:w="4928" w:type="dxa"/>
          </w:tcPr>
          <w:p w:rsidR="00AB62FC" w:rsidRPr="00C14674" w:rsidRDefault="00AB62FC" w:rsidP="00AB62FC">
            <w:pPr>
              <w:keepNext/>
              <w:tabs>
                <w:tab w:val="right" w:leader="dot" w:pos="5160"/>
              </w:tabs>
              <w:spacing w:before="0" w:after="0"/>
              <w:ind w:left="240" w:hanging="240"/>
              <w:rPr>
                <w:sz w:val="18"/>
                <w:szCs w:val="18"/>
              </w:rPr>
            </w:pPr>
            <w:r w:rsidRPr="00C14674">
              <w:rPr>
                <w:sz w:val="18"/>
                <w:szCs w:val="18"/>
              </w:rPr>
              <w:t>Cash flow from investing activities</w:t>
            </w:r>
            <w:r w:rsidRPr="00C14674">
              <w:rPr>
                <w:sz w:val="18"/>
                <w:szCs w:val="18"/>
              </w:rPr>
              <w:tab/>
            </w:r>
          </w:p>
        </w:tc>
        <w:tc>
          <w:tcPr>
            <w:tcW w:w="2126" w:type="dxa"/>
            <w:noWrap/>
          </w:tcPr>
          <w:p w:rsidR="00AB62FC" w:rsidRPr="00C14674" w:rsidRDefault="00AB62FC" w:rsidP="00AB62FC">
            <w:pPr>
              <w:spacing w:before="0" w:after="0"/>
              <w:jc w:val="right"/>
              <w:rPr>
                <w:sz w:val="18"/>
                <w:szCs w:val="18"/>
              </w:rPr>
            </w:pPr>
            <w:r w:rsidRPr="00C14674">
              <w:rPr>
                <w:sz w:val="18"/>
                <w:szCs w:val="18"/>
              </w:rPr>
              <w:t>23.3</w:t>
            </w:r>
          </w:p>
        </w:tc>
        <w:tc>
          <w:tcPr>
            <w:tcW w:w="2126" w:type="dxa"/>
            <w:noWrap/>
          </w:tcPr>
          <w:p w:rsidR="00AB62FC" w:rsidRPr="00C14674" w:rsidRDefault="00AB62FC" w:rsidP="00AB62FC">
            <w:pPr>
              <w:spacing w:before="0" w:after="0"/>
              <w:jc w:val="right"/>
              <w:rPr>
                <w:sz w:val="18"/>
                <w:szCs w:val="18"/>
              </w:rPr>
            </w:pPr>
            <w:r w:rsidRPr="00C14674">
              <w:rPr>
                <w:sz w:val="18"/>
                <w:szCs w:val="18"/>
              </w:rPr>
              <w:t>21.5</w:t>
            </w:r>
          </w:p>
        </w:tc>
      </w:tr>
      <w:tr w:rsidR="00AB62FC" w:rsidRPr="00C14674" w:rsidTr="00AB62FC">
        <w:tc>
          <w:tcPr>
            <w:tcW w:w="4928" w:type="dxa"/>
          </w:tcPr>
          <w:p w:rsidR="00AB62FC" w:rsidRPr="00C14674" w:rsidRDefault="00AB62FC" w:rsidP="00AB62FC">
            <w:pPr>
              <w:keepNext/>
              <w:tabs>
                <w:tab w:val="right" w:leader="dot" w:pos="5160"/>
              </w:tabs>
              <w:spacing w:before="0" w:after="0"/>
              <w:ind w:left="240" w:hanging="240"/>
              <w:rPr>
                <w:sz w:val="18"/>
                <w:szCs w:val="18"/>
              </w:rPr>
            </w:pPr>
            <w:r w:rsidRPr="00C14674">
              <w:rPr>
                <w:sz w:val="18"/>
                <w:szCs w:val="18"/>
              </w:rPr>
              <w:t>Cash flow from financing activities</w:t>
            </w:r>
            <w:r w:rsidRPr="00C14674">
              <w:rPr>
                <w:sz w:val="18"/>
                <w:szCs w:val="18"/>
              </w:rPr>
              <w:tab/>
            </w:r>
          </w:p>
        </w:tc>
        <w:tc>
          <w:tcPr>
            <w:tcW w:w="2126" w:type="dxa"/>
            <w:noWrap/>
          </w:tcPr>
          <w:p w:rsidR="00AB62FC" w:rsidRPr="00C14674" w:rsidRDefault="00AB62FC" w:rsidP="00AB62FC">
            <w:pPr>
              <w:tabs>
                <w:tab w:val="right" w:pos="720"/>
                <w:tab w:val="decimal" w:pos="760"/>
              </w:tabs>
              <w:spacing w:before="0" w:after="0"/>
              <w:jc w:val="right"/>
              <w:rPr>
                <w:sz w:val="18"/>
                <w:szCs w:val="18"/>
              </w:rPr>
            </w:pPr>
            <w:r w:rsidRPr="00C14674">
              <w:rPr>
                <w:sz w:val="18"/>
                <w:szCs w:val="18"/>
              </w:rPr>
              <w:t>(34.0)</w:t>
            </w:r>
          </w:p>
        </w:tc>
        <w:tc>
          <w:tcPr>
            <w:tcW w:w="2126" w:type="dxa"/>
            <w:noWrap/>
          </w:tcPr>
          <w:p w:rsidR="00AB62FC" w:rsidRPr="00C14674" w:rsidRDefault="00AB62FC" w:rsidP="00AB62FC">
            <w:pPr>
              <w:spacing w:before="0" w:after="0"/>
              <w:jc w:val="right"/>
              <w:rPr>
                <w:sz w:val="18"/>
                <w:szCs w:val="18"/>
              </w:rPr>
            </w:pPr>
            <w:r w:rsidRPr="00C14674">
              <w:rPr>
                <w:sz w:val="18"/>
                <w:szCs w:val="18"/>
              </w:rPr>
              <w:t>24.9</w:t>
            </w:r>
          </w:p>
        </w:tc>
      </w:tr>
    </w:tbl>
    <w:p w:rsidR="003F0BC5" w:rsidRPr="00C14674" w:rsidRDefault="003F0BC5" w:rsidP="003F0BC5">
      <w:pPr>
        <w:rPr>
          <w:bCs/>
          <w:szCs w:val="20"/>
        </w:rPr>
      </w:pPr>
      <w:r w:rsidRPr="00C14674">
        <w:rPr>
          <w:bCs/>
          <w:szCs w:val="20"/>
        </w:rPr>
        <w:t xml:space="preserve">Total cash flow generated </w:t>
      </w:r>
      <w:r w:rsidR="00ED1BE9" w:rsidRPr="00C14674">
        <w:rPr>
          <w:bCs/>
          <w:szCs w:val="20"/>
        </w:rPr>
        <w:t>for the financial year ended 31 December</w:t>
      </w:r>
      <w:r w:rsidRPr="00C14674">
        <w:rPr>
          <w:bCs/>
          <w:szCs w:val="20"/>
        </w:rPr>
        <w:t xml:space="preserve"> 2014 amounts to </w:t>
      </w:r>
      <w:r w:rsidR="00E53641">
        <w:rPr>
          <w:bCs/>
          <w:szCs w:val="20"/>
        </w:rPr>
        <w:t>EUR </w:t>
      </w:r>
      <w:r w:rsidRPr="00C14674">
        <w:rPr>
          <w:bCs/>
          <w:szCs w:val="20"/>
        </w:rPr>
        <w:t xml:space="preserve">38,600,000 (compared to </w:t>
      </w:r>
      <w:r w:rsidR="00E53641">
        <w:rPr>
          <w:bCs/>
          <w:szCs w:val="20"/>
        </w:rPr>
        <w:t>EUR </w:t>
      </w:r>
      <w:r w:rsidRPr="00C14674">
        <w:rPr>
          <w:bCs/>
          <w:szCs w:val="20"/>
        </w:rPr>
        <w:t xml:space="preserve">45,900,000 last year). Capital expenditure </w:t>
      </w:r>
      <w:r w:rsidR="00ED1BE9" w:rsidRPr="00C14674">
        <w:rPr>
          <w:bCs/>
          <w:szCs w:val="20"/>
        </w:rPr>
        <w:t>for the financial year ended 31 December</w:t>
      </w:r>
      <w:r w:rsidR="00D370A5" w:rsidRPr="00C14674">
        <w:rPr>
          <w:bCs/>
          <w:szCs w:val="20"/>
        </w:rPr>
        <w:t xml:space="preserve"> 2014 </w:t>
      </w:r>
      <w:r w:rsidRPr="00C14674">
        <w:rPr>
          <w:bCs/>
          <w:szCs w:val="20"/>
        </w:rPr>
        <w:t xml:space="preserve">was in line with the previous year. The </w:t>
      </w:r>
      <w:r w:rsidR="0083762C">
        <w:rPr>
          <w:bCs/>
          <w:szCs w:val="20"/>
        </w:rPr>
        <w:t xml:space="preserve">divestment of </w:t>
      </w:r>
      <w:r w:rsidR="0083762C" w:rsidRPr="0083762C">
        <w:rPr>
          <w:bCs/>
          <w:szCs w:val="20"/>
        </w:rPr>
        <w:t>The Fruit Farm Group</w:t>
      </w:r>
      <w:r w:rsidRPr="00C14674">
        <w:rPr>
          <w:bCs/>
          <w:szCs w:val="20"/>
        </w:rPr>
        <w:t xml:space="preserve"> positively affected the cash generated from investing activities, however partly offset by the cash used for the acquisitions of FAI, start-up of joint venture UNIVEG Mahindra Private Limited, and the acquisition of the Belgian endive activities from A. Heremans – Aerts NV (see Section 2.2.2.1 above). In respect of the cash flow from financing activities a shift to cash flow from operating activities occurred compared to last year, as </w:t>
      </w:r>
      <w:r w:rsidR="00D370A5" w:rsidRPr="00C14674">
        <w:rPr>
          <w:bCs/>
          <w:szCs w:val="20"/>
        </w:rPr>
        <w:t>drawing</w:t>
      </w:r>
      <w:r w:rsidRPr="00C14674">
        <w:rPr>
          <w:bCs/>
          <w:szCs w:val="20"/>
        </w:rPr>
        <w:t xml:space="preserve"> of the Revolving Credit Facility increased from </w:t>
      </w:r>
      <w:r w:rsidR="00E53641">
        <w:rPr>
          <w:bCs/>
          <w:szCs w:val="20"/>
        </w:rPr>
        <w:t>EUR </w:t>
      </w:r>
      <w:r w:rsidRPr="00C14674">
        <w:rPr>
          <w:bCs/>
          <w:szCs w:val="20"/>
        </w:rPr>
        <w:t xml:space="preserve">27,000,000 at the end of 2013 to </w:t>
      </w:r>
      <w:r w:rsidR="00E53641">
        <w:rPr>
          <w:bCs/>
          <w:szCs w:val="20"/>
        </w:rPr>
        <w:t>EUR </w:t>
      </w:r>
      <w:r w:rsidRPr="00C14674">
        <w:rPr>
          <w:bCs/>
          <w:szCs w:val="20"/>
        </w:rPr>
        <w:t>60,800,000 as at 31 December 2014</w:t>
      </w:r>
      <w:r w:rsidR="00D370A5" w:rsidRPr="00C14674">
        <w:rPr>
          <w:bCs/>
          <w:szCs w:val="20"/>
        </w:rPr>
        <w:t>. In addition the repayment of S</w:t>
      </w:r>
      <w:r w:rsidRPr="00C14674">
        <w:rPr>
          <w:bCs/>
          <w:szCs w:val="20"/>
        </w:rPr>
        <w:t>ubordinated</w:t>
      </w:r>
      <w:r w:rsidR="00D370A5" w:rsidRPr="00C14674">
        <w:rPr>
          <w:bCs/>
          <w:szCs w:val="20"/>
        </w:rPr>
        <w:t xml:space="preserve"> Shareholder L</w:t>
      </w:r>
      <w:r w:rsidRPr="00C14674">
        <w:rPr>
          <w:bCs/>
          <w:szCs w:val="20"/>
        </w:rPr>
        <w:t>oans, loans to third parties acquired from FAI, and increased interest expense negatively affected the cash flow generated from financing activities.</w:t>
      </w:r>
    </w:p>
    <w:p w:rsidR="003F0BC5" w:rsidRPr="00C14674" w:rsidRDefault="003F0BC5" w:rsidP="00353B80">
      <w:pPr>
        <w:pStyle w:val="Firm5L3"/>
        <w:keepNext/>
      </w:pPr>
      <w:r w:rsidRPr="00C14674">
        <w:t>Working Capital</w:t>
      </w:r>
    </w:p>
    <w:tbl>
      <w:tblPr>
        <w:tblW w:w="0" w:type="auto"/>
        <w:tblLook w:val="04A0" w:firstRow="1" w:lastRow="0" w:firstColumn="1" w:lastColumn="0" w:noHBand="0" w:noVBand="1"/>
      </w:tblPr>
      <w:tblGrid>
        <w:gridCol w:w="5070"/>
        <w:gridCol w:w="2268"/>
        <w:gridCol w:w="1842"/>
      </w:tblGrid>
      <w:tr w:rsidR="00AB62FC" w:rsidRPr="00C14674" w:rsidTr="00AB62FC">
        <w:tc>
          <w:tcPr>
            <w:tcW w:w="5070" w:type="dxa"/>
            <w:shd w:val="clear" w:color="auto" w:fill="auto"/>
            <w:vAlign w:val="center"/>
          </w:tcPr>
          <w:p w:rsidR="00AB62FC" w:rsidRPr="00C14674" w:rsidRDefault="00AB62FC" w:rsidP="00AB62FC">
            <w:pPr>
              <w:spacing w:before="0" w:after="0"/>
              <w:jc w:val="left"/>
              <w:rPr>
                <w:bCs/>
                <w:i/>
                <w:sz w:val="18"/>
                <w:szCs w:val="18"/>
              </w:rPr>
            </w:pPr>
            <w:r w:rsidRPr="00C14674">
              <w:rPr>
                <w:bCs/>
                <w:i/>
                <w:sz w:val="18"/>
                <w:szCs w:val="18"/>
              </w:rPr>
              <w:t>(</w:t>
            </w:r>
            <w:r w:rsidR="00E53641">
              <w:rPr>
                <w:bCs/>
                <w:i/>
                <w:sz w:val="18"/>
                <w:szCs w:val="18"/>
              </w:rPr>
              <w:t>EUR </w:t>
            </w:r>
            <w:r w:rsidRPr="00C14674">
              <w:rPr>
                <w:bCs/>
                <w:i/>
                <w:sz w:val="18"/>
                <w:szCs w:val="18"/>
              </w:rPr>
              <w:t>in millions)</w:t>
            </w:r>
          </w:p>
        </w:tc>
        <w:tc>
          <w:tcPr>
            <w:tcW w:w="2268" w:type="dxa"/>
            <w:shd w:val="clear" w:color="auto" w:fill="auto"/>
          </w:tcPr>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 xml:space="preserve">Year ended </w:t>
            </w:r>
            <w:r w:rsidRPr="00C14674">
              <w:rPr>
                <w:b/>
                <w:bCs/>
                <w:sz w:val="18"/>
                <w:szCs w:val="18"/>
              </w:rPr>
              <w:br/>
              <w:t>31 December</w:t>
            </w:r>
          </w:p>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2014</w:t>
            </w:r>
          </w:p>
        </w:tc>
        <w:tc>
          <w:tcPr>
            <w:tcW w:w="1842" w:type="dxa"/>
            <w:shd w:val="clear" w:color="auto" w:fill="auto"/>
            <w:vAlign w:val="bottom"/>
          </w:tcPr>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 xml:space="preserve">Year ended </w:t>
            </w:r>
            <w:r w:rsidRPr="00C14674">
              <w:rPr>
                <w:b/>
                <w:bCs/>
                <w:sz w:val="18"/>
                <w:szCs w:val="18"/>
              </w:rPr>
              <w:br/>
              <w:t>31 December</w:t>
            </w:r>
          </w:p>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2013</w:t>
            </w:r>
          </w:p>
        </w:tc>
      </w:tr>
      <w:tr w:rsidR="00AB62FC" w:rsidRPr="00C14674" w:rsidTr="00AB62FC">
        <w:tc>
          <w:tcPr>
            <w:tcW w:w="5070" w:type="dxa"/>
            <w:shd w:val="clear" w:color="auto" w:fill="auto"/>
          </w:tcPr>
          <w:p w:rsidR="00AB62FC" w:rsidRPr="00C14674" w:rsidRDefault="00AB62FC" w:rsidP="00AB62FC">
            <w:pPr>
              <w:tabs>
                <w:tab w:val="right" w:leader="dot" w:pos="5310"/>
              </w:tabs>
              <w:spacing w:before="0" w:after="0"/>
              <w:jc w:val="left"/>
              <w:rPr>
                <w:b/>
                <w:sz w:val="18"/>
                <w:szCs w:val="18"/>
              </w:rPr>
            </w:pPr>
            <w:r w:rsidRPr="00C14674">
              <w:rPr>
                <w:sz w:val="18"/>
                <w:szCs w:val="18"/>
              </w:rPr>
              <w:t>Inventories</w:t>
            </w:r>
            <w:r w:rsidRPr="00C14674">
              <w:rPr>
                <w:sz w:val="18"/>
                <w:szCs w:val="18"/>
              </w:rPr>
              <w:tab/>
            </w:r>
          </w:p>
        </w:tc>
        <w:tc>
          <w:tcPr>
            <w:tcW w:w="2268" w:type="dxa"/>
            <w:shd w:val="clear" w:color="auto" w:fill="auto"/>
          </w:tcPr>
          <w:p w:rsidR="00AB62FC" w:rsidRPr="00C14674" w:rsidRDefault="00AB62FC" w:rsidP="00AB62FC">
            <w:pPr>
              <w:spacing w:before="0" w:after="0"/>
              <w:jc w:val="right"/>
              <w:rPr>
                <w:sz w:val="18"/>
                <w:szCs w:val="18"/>
              </w:rPr>
            </w:pPr>
            <w:r w:rsidRPr="00C14674">
              <w:rPr>
                <w:sz w:val="18"/>
                <w:szCs w:val="18"/>
              </w:rPr>
              <w:t>43.4</w:t>
            </w:r>
          </w:p>
        </w:tc>
        <w:tc>
          <w:tcPr>
            <w:tcW w:w="1842" w:type="dxa"/>
            <w:shd w:val="clear" w:color="auto" w:fill="auto"/>
          </w:tcPr>
          <w:p w:rsidR="00AB62FC" w:rsidRPr="00C14674" w:rsidRDefault="00AB62FC" w:rsidP="00AB62FC">
            <w:pPr>
              <w:spacing w:before="0" w:after="0"/>
              <w:jc w:val="right"/>
              <w:rPr>
                <w:sz w:val="18"/>
                <w:szCs w:val="18"/>
              </w:rPr>
            </w:pPr>
            <w:r w:rsidRPr="00C14674">
              <w:rPr>
                <w:sz w:val="18"/>
                <w:szCs w:val="18"/>
              </w:rPr>
              <w:t>52.0</w:t>
            </w:r>
          </w:p>
        </w:tc>
      </w:tr>
      <w:tr w:rsidR="00AB62FC" w:rsidRPr="00C14674" w:rsidTr="00AB62FC">
        <w:tc>
          <w:tcPr>
            <w:tcW w:w="5070" w:type="dxa"/>
            <w:shd w:val="clear" w:color="auto" w:fill="auto"/>
          </w:tcPr>
          <w:p w:rsidR="00AB62FC" w:rsidRPr="00C14674" w:rsidRDefault="00AB62FC" w:rsidP="00AB62FC">
            <w:pPr>
              <w:tabs>
                <w:tab w:val="right" w:leader="dot" w:pos="5310"/>
              </w:tabs>
              <w:spacing w:before="0" w:after="0"/>
              <w:jc w:val="left"/>
              <w:rPr>
                <w:b/>
                <w:sz w:val="18"/>
                <w:szCs w:val="18"/>
              </w:rPr>
            </w:pPr>
            <w:r w:rsidRPr="00C14674">
              <w:rPr>
                <w:sz w:val="18"/>
                <w:szCs w:val="18"/>
              </w:rPr>
              <w:t>Trade receivables</w:t>
            </w:r>
            <w:r w:rsidRPr="00C14674">
              <w:rPr>
                <w:sz w:val="18"/>
                <w:szCs w:val="18"/>
              </w:rPr>
              <w:tab/>
            </w:r>
          </w:p>
        </w:tc>
        <w:tc>
          <w:tcPr>
            <w:tcW w:w="2268" w:type="dxa"/>
            <w:shd w:val="clear" w:color="auto" w:fill="auto"/>
          </w:tcPr>
          <w:p w:rsidR="00AB62FC" w:rsidRPr="00C14674" w:rsidRDefault="00AB62FC" w:rsidP="00AB62FC">
            <w:pPr>
              <w:spacing w:before="0" w:after="0"/>
              <w:jc w:val="right"/>
              <w:rPr>
                <w:sz w:val="18"/>
                <w:szCs w:val="18"/>
              </w:rPr>
            </w:pPr>
            <w:r w:rsidRPr="00C14674">
              <w:rPr>
                <w:sz w:val="18"/>
                <w:szCs w:val="18"/>
              </w:rPr>
              <w:t>176.6</w:t>
            </w:r>
          </w:p>
        </w:tc>
        <w:tc>
          <w:tcPr>
            <w:tcW w:w="1842" w:type="dxa"/>
            <w:shd w:val="clear" w:color="auto" w:fill="auto"/>
          </w:tcPr>
          <w:p w:rsidR="00AB62FC" w:rsidRPr="00C14674" w:rsidRDefault="00AB62FC" w:rsidP="00AB62FC">
            <w:pPr>
              <w:spacing w:before="0" w:after="0"/>
              <w:jc w:val="right"/>
              <w:rPr>
                <w:sz w:val="18"/>
                <w:szCs w:val="18"/>
              </w:rPr>
            </w:pPr>
            <w:r w:rsidRPr="00C14674">
              <w:rPr>
                <w:sz w:val="18"/>
                <w:szCs w:val="18"/>
              </w:rPr>
              <w:t>176.7</w:t>
            </w:r>
          </w:p>
        </w:tc>
      </w:tr>
      <w:tr w:rsidR="00AB62FC" w:rsidRPr="00C14674" w:rsidTr="00AB62FC">
        <w:tc>
          <w:tcPr>
            <w:tcW w:w="5070" w:type="dxa"/>
            <w:shd w:val="clear" w:color="auto" w:fill="auto"/>
          </w:tcPr>
          <w:p w:rsidR="00AB62FC" w:rsidRPr="00C14674" w:rsidRDefault="00AB62FC" w:rsidP="00AB62FC">
            <w:pPr>
              <w:tabs>
                <w:tab w:val="right" w:leader="dot" w:pos="5310"/>
              </w:tabs>
              <w:spacing w:before="0" w:after="0"/>
              <w:ind w:left="90" w:hanging="90"/>
              <w:jc w:val="left"/>
              <w:rPr>
                <w:bCs/>
                <w:sz w:val="18"/>
                <w:szCs w:val="18"/>
              </w:rPr>
            </w:pPr>
            <w:r w:rsidRPr="00C14674">
              <w:rPr>
                <w:sz w:val="18"/>
                <w:szCs w:val="18"/>
              </w:rPr>
              <w:t>Trade payables, including advances and prepayments to suppliers</w:t>
            </w:r>
            <w:r w:rsidRPr="00C14674">
              <w:rPr>
                <w:sz w:val="18"/>
                <w:szCs w:val="18"/>
              </w:rPr>
              <w:tab/>
            </w:r>
          </w:p>
        </w:tc>
        <w:tc>
          <w:tcPr>
            <w:tcW w:w="2268" w:type="dxa"/>
            <w:shd w:val="clear" w:color="auto" w:fill="auto"/>
          </w:tcPr>
          <w:p w:rsidR="00AB62FC" w:rsidRPr="00C14674" w:rsidRDefault="00AB62FC" w:rsidP="00AB62FC">
            <w:pPr>
              <w:spacing w:before="0" w:after="0"/>
              <w:jc w:val="right"/>
              <w:rPr>
                <w:sz w:val="18"/>
                <w:szCs w:val="18"/>
              </w:rPr>
            </w:pPr>
            <w:r w:rsidRPr="00C14674">
              <w:rPr>
                <w:sz w:val="18"/>
                <w:szCs w:val="18"/>
              </w:rPr>
              <w:t>(404.1)</w:t>
            </w:r>
          </w:p>
        </w:tc>
        <w:tc>
          <w:tcPr>
            <w:tcW w:w="1842" w:type="dxa"/>
            <w:shd w:val="clear" w:color="auto" w:fill="auto"/>
          </w:tcPr>
          <w:p w:rsidR="00AB62FC" w:rsidRPr="00C14674" w:rsidRDefault="00AB62FC" w:rsidP="00AB62FC">
            <w:pPr>
              <w:spacing w:before="0" w:after="0"/>
              <w:jc w:val="right"/>
              <w:rPr>
                <w:sz w:val="18"/>
                <w:szCs w:val="18"/>
              </w:rPr>
            </w:pPr>
            <w:r w:rsidRPr="00C14674">
              <w:rPr>
                <w:sz w:val="18"/>
                <w:szCs w:val="18"/>
              </w:rPr>
              <w:t>(385.0)</w:t>
            </w:r>
          </w:p>
        </w:tc>
      </w:tr>
      <w:tr w:rsidR="00AB62FC" w:rsidRPr="00C14674" w:rsidTr="00AB62FC">
        <w:tc>
          <w:tcPr>
            <w:tcW w:w="5070" w:type="dxa"/>
            <w:shd w:val="clear" w:color="auto" w:fill="auto"/>
          </w:tcPr>
          <w:p w:rsidR="00AB62FC" w:rsidRPr="00C14674" w:rsidRDefault="00AB62FC" w:rsidP="00AB62FC">
            <w:pPr>
              <w:tabs>
                <w:tab w:val="right" w:leader="dot" w:pos="5310"/>
              </w:tabs>
              <w:spacing w:before="0" w:after="0"/>
              <w:ind w:left="90" w:hanging="90"/>
              <w:jc w:val="left"/>
              <w:rPr>
                <w:sz w:val="18"/>
                <w:szCs w:val="18"/>
              </w:rPr>
            </w:pPr>
            <w:r w:rsidRPr="00C14674">
              <w:rPr>
                <w:sz w:val="18"/>
                <w:szCs w:val="18"/>
              </w:rPr>
              <w:t>Other short term receivables, trade related prepayments, social and other payables</w:t>
            </w:r>
            <w:r w:rsidRPr="00C14674">
              <w:rPr>
                <w:sz w:val="18"/>
                <w:szCs w:val="18"/>
              </w:rPr>
              <w:tab/>
            </w:r>
          </w:p>
        </w:tc>
        <w:tc>
          <w:tcPr>
            <w:tcW w:w="2268" w:type="dxa"/>
            <w:shd w:val="clear" w:color="auto" w:fill="auto"/>
            <w:vAlign w:val="bottom"/>
          </w:tcPr>
          <w:p w:rsidR="00AB62FC" w:rsidRPr="00C14674" w:rsidRDefault="00AB62FC" w:rsidP="00AB62FC">
            <w:pPr>
              <w:pBdr>
                <w:bottom w:val="single" w:sz="4" w:space="1" w:color="auto"/>
              </w:pBdr>
              <w:spacing w:before="0" w:after="0"/>
              <w:jc w:val="right"/>
              <w:rPr>
                <w:sz w:val="18"/>
                <w:szCs w:val="18"/>
              </w:rPr>
            </w:pPr>
            <w:r w:rsidRPr="00C14674">
              <w:rPr>
                <w:sz w:val="18"/>
                <w:szCs w:val="18"/>
              </w:rPr>
              <w:t>(38,8)</w:t>
            </w:r>
          </w:p>
        </w:tc>
        <w:tc>
          <w:tcPr>
            <w:tcW w:w="1842" w:type="dxa"/>
            <w:shd w:val="clear" w:color="auto" w:fill="auto"/>
            <w:vAlign w:val="bottom"/>
          </w:tcPr>
          <w:p w:rsidR="00AB62FC" w:rsidRPr="00C14674" w:rsidRDefault="00AB62FC" w:rsidP="00AB62FC">
            <w:pPr>
              <w:pBdr>
                <w:bottom w:val="single" w:sz="4" w:space="1" w:color="auto"/>
              </w:pBdr>
              <w:spacing w:before="0" w:after="0"/>
              <w:jc w:val="right"/>
              <w:rPr>
                <w:sz w:val="18"/>
                <w:szCs w:val="18"/>
              </w:rPr>
            </w:pPr>
            <w:r w:rsidRPr="00C14674">
              <w:rPr>
                <w:sz w:val="18"/>
                <w:szCs w:val="18"/>
              </w:rPr>
              <w:t>(42.5)</w:t>
            </w:r>
          </w:p>
        </w:tc>
      </w:tr>
      <w:tr w:rsidR="00AB62FC" w:rsidRPr="00C14674" w:rsidTr="00AB62FC">
        <w:tc>
          <w:tcPr>
            <w:tcW w:w="5070" w:type="dxa"/>
            <w:shd w:val="clear" w:color="auto" w:fill="auto"/>
          </w:tcPr>
          <w:p w:rsidR="00AB62FC" w:rsidRPr="00C14674" w:rsidRDefault="00AB62FC" w:rsidP="00AB62FC">
            <w:pPr>
              <w:tabs>
                <w:tab w:val="right" w:leader="dot" w:pos="5310"/>
              </w:tabs>
              <w:spacing w:before="0" w:after="0"/>
              <w:jc w:val="left"/>
              <w:rPr>
                <w:bCs/>
                <w:sz w:val="18"/>
                <w:szCs w:val="18"/>
              </w:rPr>
            </w:pPr>
            <w:r w:rsidRPr="00C14674">
              <w:rPr>
                <w:b/>
                <w:bCs/>
                <w:sz w:val="18"/>
                <w:szCs w:val="18"/>
              </w:rPr>
              <w:t>Trade working capital</w:t>
            </w:r>
            <w:r w:rsidRPr="00C14674">
              <w:rPr>
                <w:b/>
                <w:bCs/>
                <w:sz w:val="18"/>
                <w:szCs w:val="18"/>
              </w:rPr>
              <w:tab/>
            </w:r>
          </w:p>
        </w:tc>
        <w:tc>
          <w:tcPr>
            <w:tcW w:w="2268" w:type="dxa"/>
            <w:shd w:val="clear" w:color="auto" w:fill="auto"/>
          </w:tcPr>
          <w:p w:rsidR="00AB62FC" w:rsidRPr="00C14674" w:rsidRDefault="00AB62FC" w:rsidP="00AB62FC">
            <w:pPr>
              <w:pBdr>
                <w:bottom w:val="double" w:sz="4" w:space="1" w:color="auto"/>
              </w:pBdr>
              <w:spacing w:before="0" w:after="0"/>
              <w:jc w:val="right"/>
              <w:rPr>
                <w:sz w:val="18"/>
                <w:szCs w:val="18"/>
              </w:rPr>
            </w:pPr>
            <w:r w:rsidRPr="00C14674">
              <w:rPr>
                <w:b/>
                <w:bCs/>
                <w:sz w:val="18"/>
                <w:szCs w:val="18"/>
              </w:rPr>
              <w:t>(222.9)</w:t>
            </w:r>
          </w:p>
        </w:tc>
        <w:tc>
          <w:tcPr>
            <w:tcW w:w="1842" w:type="dxa"/>
            <w:shd w:val="clear" w:color="auto" w:fill="auto"/>
          </w:tcPr>
          <w:p w:rsidR="00AB62FC" w:rsidRPr="00C14674" w:rsidRDefault="00AB62FC" w:rsidP="00AB62FC">
            <w:pPr>
              <w:pBdr>
                <w:bottom w:val="double" w:sz="4" w:space="1" w:color="auto"/>
              </w:pBdr>
              <w:spacing w:before="0" w:after="0"/>
              <w:jc w:val="right"/>
              <w:rPr>
                <w:sz w:val="18"/>
                <w:szCs w:val="18"/>
              </w:rPr>
            </w:pPr>
            <w:r w:rsidRPr="00C14674">
              <w:rPr>
                <w:b/>
                <w:bCs/>
                <w:sz w:val="18"/>
                <w:szCs w:val="18"/>
              </w:rPr>
              <w:t>(198.9)</w:t>
            </w:r>
          </w:p>
        </w:tc>
      </w:tr>
    </w:tbl>
    <w:p w:rsidR="003F0BC5" w:rsidRPr="00C14674" w:rsidRDefault="003F0BC5" w:rsidP="003F0BC5">
      <w:pPr>
        <w:rPr>
          <w:bCs/>
          <w:szCs w:val="20"/>
        </w:rPr>
      </w:pPr>
      <w:r w:rsidRPr="00C14674">
        <w:rPr>
          <w:bCs/>
          <w:szCs w:val="20"/>
        </w:rPr>
        <w:t xml:space="preserve">Total inventories amount to </w:t>
      </w:r>
      <w:r w:rsidR="00E53641">
        <w:rPr>
          <w:bCs/>
          <w:szCs w:val="20"/>
        </w:rPr>
        <w:t>EUR </w:t>
      </w:r>
      <w:r w:rsidRPr="00C14674">
        <w:rPr>
          <w:bCs/>
          <w:szCs w:val="20"/>
        </w:rPr>
        <w:t xml:space="preserve">43,400,000 as per 31 December 2014. The vast majority (90%) is contributed by the Fruit &amp; Vegetables segment. The stock held by the Flowers &amp; Plants segment as per year-end represents for 8% of total inventories. The impact on reported trade receivables resulting from the acquisition of EWT and the start-up operation in the Czech Republic, is offset by (i) an important increased factoring capacity (see Section 2.2.2.3 above) and (ii) the impact of the divestment of </w:t>
      </w:r>
      <w:r w:rsidR="0083762C">
        <w:rPr>
          <w:bCs/>
          <w:szCs w:val="20"/>
        </w:rPr>
        <w:t>The Fruit Farm Group</w:t>
      </w:r>
      <w:r w:rsidRPr="00C14674">
        <w:rPr>
          <w:bCs/>
          <w:szCs w:val="20"/>
        </w:rPr>
        <w:t xml:space="preserve">, the Belgian non-core transport activities, and the loss making Lincolnshire flower operations (see Section 2.2.2.2 above). The increase of trade payables is primarily driven by the impact of the acquisition of EWT and start-up in the </w:t>
      </w:r>
      <w:smartTag w:uri="urn:schemas-microsoft-com:office:smarttags" w:element="place">
        <w:smartTag w:uri="urn:schemas-microsoft-com:office:smarttags" w:element="PlaceName">
          <w:r w:rsidRPr="00C14674">
            <w:rPr>
              <w:bCs/>
              <w:szCs w:val="20"/>
            </w:rPr>
            <w:t>Czech</w:t>
          </w:r>
        </w:smartTag>
        <w:r w:rsidRPr="00C14674">
          <w:rPr>
            <w:bCs/>
            <w:szCs w:val="20"/>
          </w:rPr>
          <w:t xml:space="preserve"> </w:t>
        </w:r>
        <w:smartTag w:uri="urn:schemas-microsoft-com:office:smarttags" w:element="PlaceType">
          <w:r w:rsidRPr="00C14674">
            <w:rPr>
              <w:bCs/>
              <w:szCs w:val="20"/>
            </w:rPr>
            <w:t>Republic</w:t>
          </w:r>
        </w:smartTag>
      </w:smartTag>
      <w:r w:rsidRPr="00C14674">
        <w:rPr>
          <w:bCs/>
          <w:szCs w:val="20"/>
        </w:rPr>
        <w:t xml:space="preserve">. Other receivables, primarily relating to sales taxes, empties, accrued income and deferred charges, other trade related prepayments, social and other payables, are largely affected by the divestment of </w:t>
      </w:r>
      <w:r w:rsidR="0083762C">
        <w:rPr>
          <w:bCs/>
          <w:szCs w:val="20"/>
        </w:rPr>
        <w:t>The Fruit Farm Group</w:t>
      </w:r>
      <w:r w:rsidRPr="00C14674">
        <w:rPr>
          <w:bCs/>
          <w:szCs w:val="20"/>
        </w:rPr>
        <w:t>. As at 31 December 2014 trade working capital, expressed as percentage of full year revenues from continuing operations, amounts to -7.0%, compared to -6.6% as at year-end</w:t>
      </w:r>
      <w:r w:rsidR="00D370A5" w:rsidRPr="00C14674">
        <w:rPr>
          <w:bCs/>
          <w:szCs w:val="20"/>
        </w:rPr>
        <w:t xml:space="preserve"> 31 December</w:t>
      </w:r>
      <w:r w:rsidRPr="00C14674">
        <w:rPr>
          <w:bCs/>
          <w:szCs w:val="20"/>
        </w:rPr>
        <w:t xml:space="preserve"> 2013.</w:t>
      </w:r>
    </w:p>
    <w:p w:rsidR="003F0BC5" w:rsidRPr="00C14674" w:rsidRDefault="003F0BC5" w:rsidP="00353B80">
      <w:pPr>
        <w:pStyle w:val="Firm5L3"/>
        <w:keepNext/>
      </w:pPr>
      <w:r w:rsidRPr="00C14674">
        <w:lastRenderedPageBreak/>
        <w:t>Indebtedness</w:t>
      </w:r>
    </w:p>
    <w:tbl>
      <w:tblPr>
        <w:tblW w:w="0" w:type="auto"/>
        <w:tblLook w:val="04A0" w:firstRow="1" w:lastRow="0" w:firstColumn="1" w:lastColumn="0" w:noHBand="0" w:noVBand="1"/>
      </w:tblPr>
      <w:tblGrid>
        <w:gridCol w:w="7128"/>
        <w:gridCol w:w="2052"/>
      </w:tblGrid>
      <w:tr w:rsidR="00AB62FC" w:rsidRPr="00C14674" w:rsidTr="00AB62FC">
        <w:tc>
          <w:tcPr>
            <w:tcW w:w="7128" w:type="dxa"/>
            <w:shd w:val="clear" w:color="auto" w:fill="auto"/>
            <w:vAlign w:val="center"/>
          </w:tcPr>
          <w:p w:rsidR="00AB62FC" w:rsidRPr="00C14674" w:rsidRDefault="00AB62FC" w:rsidP="00AB62FC">
            <w:pPr>
              <w:spacing w:before="0" w:after="0"/>
              <w:jc w:val="left"/>
            </w:pPr>
            <w:r w:rsidRPr="00C14674">
              <w:rPr>
                <w:bCs/>
                <w:i/>
                <w:sz w:val="18"/>
                <w:szCs w:val="18"/>
              </w:rPr>
              <w:t>(</w:t>
            </w:r>
            <w:r w:rsidR="00E53641">
              <w:rPr>
                <w:bCs/>
                <w:i/>
                <w:sz w:val="18"/>
                <w:szCs w:val="18"/>
              </w:rPr>
              <w:t>EUR </w:t>
            </w:r>
            <w:r w:rsidRPr="00C14674">
              <w:rPr>
                <w:bCs/>
                <w:i/>
                <w:sz w:val="18"/>
                <w:szCs w:val="18"/>
              </w:rPr>
              <w:t>in millions)</w:t>
            </w:r>
          </w:p>
        </w:tc>
        <w:tc>
          <w:tcPr>
            <w:tcW w:w="2052" w:type="dxa"/>
            <w:shd w:val="clear" w:color="auto" w:fill="auto"/>
            <w:vAlign w:val="bottom"/>
          </w:tcPr>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br/>
              <w:t>31 December</w:t>
            </w:r>
          </w:p>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2014</w:t>
            </w:r>
          </w:p>
        </w:tc>
      </w:tr>
      <w:tr w:rsidR="00AB62FC" w:rsidRPr="00C14674" w:rsidTr="00AB62FC">
        <w:tc>
          <w:tcPr>
            <w:tcW w:w="7128" w:type="dxa"/>
            <w:shd w:val="clear" w:color="auto" w:fill="auto"/>
          </w:tcPr>
          <w:p w:rsidR="00AB62FC" w:rsidRPr="00C14674" w:rsidRDefault="00AB62FC" w:rsidP="00AB62FC">
            <w:pPr>
              <w:tabs>
                <w:tab w:val="right" w:leader="dot" w:pos="6912"/>
              </w:tabs>
              <w:spacing w:before="0" w:after="0"/>
              <w:rPr>
                <w:b/>
                <w:sz w:val="18"/>
                <w:szCs w:val="18"/>
              </w:rPr>
            </w:pPr>
            <w:r w:rsidRPr="00C14674">
              <w:rPr>
                <w:b/>
                <w:bCs/>
                <w:sz w:val="18"/>
                <w:szCs w:val="18"/>
              </w:rPr>
              <w:t>Cash and cash equivalents</w:t>
            </w:r>
            <w:r w:rsidRPr="00C14674">
              <w:rPr>
                <w:bCs/>
                <w:sz w:val="18"/>
                <w:szCs w:val="18"/>
              </w:rPr>
              <w:tab/>
            </w:r>
          </w:p>
        </w:tc>
        <w:tc>
          <w:tcPr>
            <w:tcW w:w="2052" w:type="dxa"/>
            <w:shd w:val="clear" w:color="auto" w:fill="auto"/>
          </w:tcPr>
          <w:p w:rsidR="00AB62FC" w:rsidRPr="00C14674" w:rsidRDefault="00AB62FC" w:rsidP="00AB62FC">
            <w:pPr>
              <w:spacing w:before="0" w:after="0"/>
              <w:jc w:val="right"/>
              <w:rPr>
                <w:sz w:val="18"/>
                <w:szCs w:val="18"/>
              </w:rPr>
            </w:pPr>
            <w:r w:rsidRPr="00C14674">
              <w:rPr>
                <w:sz w:val="18"/>
                <w:szCs w:val="18"/>
              </w:rPr>
              <w:t>117.9</w:t>
            </w:r>
          </w:p>
        </w:tc>
      </w:tr>
      <w:tr w:rsidR="00AB62FC" w:rsidRPr="00C14674" w:rsidTr="00AB62FC">
        <w:tc>
          <w:tcPr>
            <w:tcW w:w="7128" w:type="dxa"/>
            <w:shd w:val="clear" w:color="auto" w:fill="auto"/>
          </w:tcPr>
          <w:p w:rsidR="00AB62FC" w:rsidRPr="00C14674" w:rsidRDefault="00AB62FC" w:rsidP="00AB62FC">
            <w:pPr>
              <w:tabs>
                <w:tab w:val="right" w:leader="dot" w:pos="6912"/>
              </w:tabs>
              <w:spacing w:before="0" w:after="0"/>
              <w:rPr>
                <w:b/>
                <w:sz w:val="18"/>
                <w:szCs w:val="18"/>
              </w:rPr>
            </w:pPr>
            <w:r w:rsidRPr="00C14674">
              <w:rPr>
                <w:b/>
                <w:sz w:val="18"/>
                <w:szCs w:val="18"/>
              </w:rPr>
              <w:t>Indebtedness</w:t>
            </w:r>
          </w:p>
        </w:tc>
        <w:tc>
          <w:tcPr>
            <w:tcW w:w="2052" w:type="dxa"/>
            <w:shd w:val="clear" w:color="auto" w:fill="auto"/>
          </w:tcPr>
          <w:p w:rsidR="00AB62FC" w:rsidRPr="00C14674" w:rsidRDefault="00AB62FC" w:rsidP="00AB62FC">
            <w:pPr>
              <w:spacing w:before="0" w:after="0"/>
              <w:jc w:val="right"/>
              <w:rPr>
                <w:sz w:val="18"/>
                <w:szCs w:val="18"/>
              </w:rPr>
            </w:pPr>
          </w:p>
        </w:tc>
      </w:tr>
      <w:tr w:rsidR="00AB62FC" w:rsidRPr="00C14674" w:rsidTr="00AB62FC">
        <w:tc>
          <w:tcPr>
            <w:tcW w:w="7128" w:type="dxa"/>
            <w:shd w:val="clear" w:color="auto" w:fill="auto"/>
          </w:tcPr>
          <w:p w:rsidR="00AB62FC" w:rsidRPr="00C14674" w:rsidRDefault="00AB62FC" w:rsidP="00AB62FC">
            <w:pPr>
              <w:tabs>
                <w:tab w:val="right" w:leader="dot" w:pos="6912"/>
              </w:tabs>
              <w:spacing w:before="0" w:after="0"/>
              <w:rPr>
                <w:bCs/>
                <w:sz w:val="18"/>
                <w:szCs w:val="18"/>
              </w:rPr>
            </w:pPr>
            <w:r w:rsidRPr="00C14674">
              <w:rPr>
                <w:sz w:val="18"/>
                <w:szCs w:val="18"/>
              </w:rPr>
              <w:t>Notes</w:t>
            </w:r>
            <w:r w:rsidRPr="00C14674">
              <w:rPr>
                <w:sz w:val="18"/>
                <w:szCs w:val="18"/>
              </w:rPr>
              <w:tab/>
            </w:r>
          </w:p>
        </w:tc>
        <w:tc>
          <w:tcPr>
            <w:tcW w:w="2052" w:type="dxa"/>
            <w:shd w:val="clear" w:color="auto" w:fill="auto"/>
          </w:tcPr>
          <w:p w:rsidR="00AB62FC" w:rsidRPr="00C14674" w:rsidRDefault="00AB62FC" w:rsidP="00AB62FC">
            <w:pPr>
              <w:spacing w:before="0" w:after="0"/>
              <w:jc w:val="right"/>
              <w:rPr>
                <w:sz w:val="18"/>
                <w:szCs w:val="18"/>
              </w:rPr>
            </w:pPr>
            <w:r w:rsidRPr="00C14674">
              <w:rPr>
                <w:sz w:val="18"/>
                <w:szCs w:val="18"/>
              </w:rPr>
              <w:t>(284.1)</w:t>
            </w:r>
          </w:p>
        </w:tc>
      </w:tr>
      <w:tr w:rsidR="00AB62FC" w:rsidRPr="00C14674" w:rsidTr="00AB62FC">
        <w:tc>
          <w:tcPr>
            <w:tcW w:w="7128" w:type="dxa"/>
            <w:shd w:val="clear" w:color="auto" w:fill="auto"/>
          </w:tcPr>
          <w:p w:rsidR="00AB62FC" w:rsidRPr="00C14674" w:rsidRDefault="00AB62FC" w:rsidP="00AB62FC">
            <w:pPr>
              <w:tabs>
                <w:tab w:val="right" w:leader="dot" w:pos="6912"/>
              </w:tabs>
              <w:spacing w:before="0" w:after="0"/>
              <w:rPr>
                <w:sz w:val="18"/>
                <w:szCs w:val="18"/>
              </w:rPr>
            </w:pPr>
            <w:r w:rsidRPr="00C14674">
              <w:rPr>
                <w:sz w:val="18"/>
                <w:szCs w:val="18"/>
              </w:rPr>
              <w:t>Revolving Credit Facility</w:t>
            </w:r>
            <w:r w:rsidRPr="00C14674">
              <w:rPr>
                <w:sz w:val="18"/>
                <w:szCs w:val="18"/>
              </w:rPr>
              <w:tab/>
            </w:r>
          </w:p>
        </w:tc>
        <w:tc>
          <w:tcPr>
            <w:tcW w:w="2052" w:type="dxa"/>
            <w:shd w:val="clear" w:color="auto" w:fill="auto"/>
          </w:tcPr>
          <w:p w:rsidR="00AB62FC" w:rsidRPr="00C14674" w:rsidRDefault="00AB62FC" w:rsidP="00AB62FC">
            <w:pPr>
              <w:spacing w:before="0" w:after="0"/>
              <w:jc w:val="right"/>
              <w:rPr>
                <w:sz w:val="18"/>
                <w:szCs w:val="18"/>
              </w:rPr>
            </w:pPr>
            <w:r w:rsidRPr="00C14674">
              <w:rPr>
                <w:sz w:val="18"/>
                <w:szCs w:val="18"/>
              </w:rPr>
              <w:t>(60.8)</w:t>
            </w:r>
          </w:p>
        </w:tc>
      </w:tr>
      <w:tr w:rsidR="00AB62FC" w:rsidRPr="00C14674" w:rsidTr="00AB62FC">
        <w:tc>
          <w:tcPr>
            <w:tcW w:w="7128" w:type="dxa"/>
            <w:shd w:val="clear" w:color="auto" w:fill="auto"/>
          </w:tcPr>
          <w:p w:rsidR="00AB62FC" w:rsidRPr="00C14674" w:rsidRDefault="00AB62FC" w:rsidP="00AB62FC">
            <w:pPr>
              <w:tabs>
                <w:tab w:val="right" w:leader="dot" w:pos="6912"/>
              </w:tabs>
              <w:spacing w:before="0" w:after="0"/>
              <w:rPr>
                <w:bCs/>
                <w:sz w:val="18"/>
                <w:szCs w:val="18"/>
              </w:rPr>
            </w:pPr>
            <w:r w:rsidRPr="00C14674">
              <w:rPr>
                <w:sz w:val="18"/>
                <w:szCs w:val="18"/>
              </w:rPr>
              <w:t>Other Loans</w:t>
            </w:r>
            <w:r w:rsidRPr="00C14674">
              <w:rPr>
                <w:sz w:val="18"/>
                <w:szCs w:val="18"/>
              </w:rPr>
              <w:tab/>
            </w:r>
          </w:p>
        </w:tc>
        <w:tc>
          <w:tcPr>
            <w:tcW w:w="2052" w:type="dxa"/>
            <w:shd w:val="clear" w:color="auto" w:fill="auto"/>
          </w:tcPr>
          <w:p w:rsidR="00AB62FC" w:rsidRPr="00C14674" w:rsidRDefault="00AB62FC" w:rsidP="00AB62FC">
            <w:pPr>
              <w:pBdr>
                <w:bottom w:val="single" w:sz="4" w:space="1" w:color="auto"/>
              </w:pBdr>
              <w:spacing w:before="0" w:after="0"/>
              <w:jc w:val="right"/>
              <w:rPr>
                <w:sz w:val="18"/>
                <w:szCs w:val="18"/>
              </w:rPr>
            </w:pPr>
            <w:r w:rsidRPr="00C14674">
              <w:rPr>
                <w:sz w:val="18"/>
                <w:szCs w:val="18"/>
              </w:rPr>
              <w:t>(2.6)</w:t>
            </w:r>
          </w:p>
        </w:tc>
      </w:tr>
      <w:tr w:rsidR="00AB62FC" w:rsidRPr="00C14674" w:rsidTr="00AB62FC">
        <w:tc>
          <w:tcPr>
            <w:tcW w:w="7128" w:type="dxa"/>
            <w:shd w:val="clear" w:color="auto" w:fill="auto"/>
          </w:tcPr>
          <w:p w:rsidR="00AB62FC" w:rsidRPr="00C14674" w:rsidRDefault="00AB62FC" w:rsidP="00AB62FC">
            <w:pPr>
              <w:tabs>
                <w:tab w:val="right" w:leader="dot" w:pos="6912"/>
              </w:tabs>
              <w:spacing w:before="0" w:after="0"/>
              <w:rPr>
                <w:sz w:val="18"/>
                <w:szCs w:val="18"/>
              </w:rPr>
            </w:pPr>
            <w:r w:rsidRPr="00C14674">
              <w:rPr>
                <w:b/>
                <w:bCs/>
                <w:sz w:val="18"/>
                <w:szCs w:val="18"/>
              </w:rPr>
              <w:t>Net debt</w:t>
            </w:r>
            <w:r w:rsidRPr="00C14674">
              <w:rPr>
                <w:bCs/>
                <w:sz w:val="18"/>
                <w:szCs w:val="18"/>
              </w:rPr>
              <w:tab/>
            </w:r>
          </w:p>
        </w:tc>
        <w:tc>
          <w:tcPr>
            <w:tcW w:w="2052" w:type="dxa"/>
            <w:shd w:val="clear" w:color="auto" w:fill="auto"/>
          </w:tcPr>
          <w:p w:rsidR="00AB62FC" w:rsidRPr="00C14674" w:rsidRDefault="00AB62FC" w:rsidP="00AB62FC">
            <w:pPr>
              <w:pBdr>
                <w:bottom w:val="double" w:sz="4" w:space="1" w:color="auto"/>
              </w:pBdr>
              <w:spacing w:before="0" w:after="0"/>
              <w:jc w:val="right"/>
              <w:rPr>
                <w:sz w:val="18"/>
                <w:szCs w:val="18"/>
              </w:rPr>
            </w:pPr>
            <w:r w:rsidRPr="00C14674">
              <w:rPr>
                <w:b/>
                <w:sz w:val="18"/>
                <w:szCs w:val="18"/>
              </w:rPr>
              <w:t>(229.6)</w:t>
            </w:r>
          </w:p>
        </w:tc>
      </w:tr>
    </w:tbl>
    <w:p w:rsidR="00AB62FC" w:rsidRPr="00C14674" w:rsidRDefault="00AB62FC" w:rsidP="00AB62FC">
      <w:pPr>
        <w:tabs>
          <w:tab w:val="left" w:pos="567"/>
        </w:tabs>
        <w:ind w:left="567" w:hanging="567"/>
        <w:rPr>
          <w:sz w:val="18"/>
          <w:szCs w:val="20"/>
        </w:rPr>
      </w:pPr>
    </w:p>
    <w:tbl>
      <w:tblPr>
        <w:tblW w:w="0" w:type="auto"/>
        <w:tblLook w:val="04A0" w:firstRow="1" w:lastRow="0" w:firstColumn="1" w:lastColumn="0" w:noHBand="0" w:noVBand="1"/>
      </w:tblPr>
      <w:tblGrid>
        <w:gridCol w:w="7128"/>
        <w:gridCol w:w="2052"/>
      </w:tblGrid>
      <w:tr w:rsidR="00AB62FC" w:rsidRPr="00C14674" w:rsidTr="00AB62FC">
        <w:tc>
          <w:tcPr>
            <w:tcW w:w="7128" w:type="dxa"/>
            <w:shd w:val="clear" w:color="auto" w:fill="auto"/>
            <w:vAlign w:val="center"/>
          </w:tcPr>
          <w:p w:rsidR="00AB62FC" w:rsidRPr="00C14674" w:rsidRDefault="00AB62FC" w:rsidP="00AB62FC">
            <w:pPr>
              <w:spacing w:before="0" w:after="0"/>
              <w:jc w:val="left"/>
              <w:rPr>
                <w:bCs/>
                <w:i/>
                <w:sz w:val="18"/>
                <w:szCs w:val="18"/>
              </w:rPr>
            </w:pPr>
            <w:r w:rsidRPr="00C14674">
              <w:rPr>
                <w:bCs/>
                <w:i/>
                <w:sz w:val="18"/>
                <w:szCs w:val="18"/>
              </w:rPr>
              <w:t>(</w:t>
            </w:r>
            <w:r w:rsidR="00E53641">
              <w:rPr>
                <w:bCs/>
                <w:i/>
                <w:sz w:val="18"/>
                <w:szCs w:val="18"/>
              </w:rPr>
              <w:t>EUR </w:t>
            </w:r>
            <w:r w:rsidRPr="00C14674">
              <w:rPr>
                <w:bCs/>
                <w:i/>
                <w:sz w:val="18"/>
                <w:szCs w:val="18"/>
              </w:rPr>
              <w:t>in millions)</w:t>
            </w:r>
          </w:p>
        </w:tc>
        <w:tc>
          <w:tcPr>
            <w:tcW w:w="2052" w:type="dxa"/>
            <w:shd w:val="clear" w:color="auto" w:fill="auto"/>
            <w:vAlign w:val="bottom"/>
          </w:tcPr>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br/>
              <w:t>31 December</w:t>
            </w:r>
          </w:p>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2014</w:t>
            </w:r>
          </w:p>
        </w:tc>
      </w:tr>
      <w:tr w:rsidR="00AB62FC" w:rsidRPr="00C14674" w:rsidTr="00AB62FC">
        <w:tc>
          <w:tcPr>
            <w:tcW w:w="7128" w:type="dxa"/>
            <w:shd w:val="clear" w:color="auto" w:fill="auto"/>
          </w:tcPr>
          <w:p w:rsidR="00AB62FC" w:rsidRPr="00C14674" w:rsidRDefault="00AB62FC" w:rsidP="00AB62FC">
            <w:pPr>
              <w:tabs>
                <w:tab w:val="right" w:leader="dot" w:pos="6912"/>
              </w:tabs>
              <w:spacing w:before="0" w:after="0"/>
              <w:rPr>
                <w:sz w:val="18"/>
                <w:szCs w:val="18"/>
              </w:rPr>
            </w:pPr>
            <w:r w:rsidRPr="00C14674">
              <w:rPr>
                <w:sz w:val="18"/>
                <w:szCs w:val="18"/>
              </w:rPr>
              <w:t>Adjusted debt</w:t>
            </w:r>
            <w:r w:rsidRPr="00C14674">
              <w:rPr>
                <w:b/>
                <w:sz w:val="18"/>
                <w:szCs w:val="18"/>
                <w:vertAlign w:val="superscript"/>
              </w:rPr>
              <w:t>(1)</w:t>
            </w:r>
            <w:r w:rsidRPr="00C14674">
              <w:rPr>
                <w:sz w:val="18"/>
                <w:szCs w:val="18"/>
              </w:rPr>
              <w:tab/>
            </w:r>
          </w:p>
        </w:tc>
        <w:tc>
          <w:tcPr>
            <w:tcW w:w="2052" w:type="dxa"/>
            <w:shd w:val="clear" w:color="auto" w:fill="auto"/>
          </w:tcPr>
          <w:p w:rsidR="00AB62FC" w:rsidRPr="00C14674" w:rsidRDefault="00AB62FC" w:rsidP="00AB62FC">
            <w:pPr>
              <w:spacing w:before="0" w:after="0"/>
              <w:jc w:val="right"/>
              <w:rPr>
                <w:sz w:val="18"/>
                <w:szCs w:val="18"/>
              </w:rPr>
            </w:pPr>
            <w:r w:rsidRPr="00C14674">
              <w:rPr>
                <w:bCs/>
                <w:sz w:val="18"/>
                <w:szCs w:val="18"/>
              </w:rPr>
              <w:t>348.5</w:t>
            </w:r>
          </w:p>
        </w:tc>
      </w:tr>
      <w:tr w:rsidR="00AB62FC" w:rsidRPr="00C14674" w:rsidTr="00AB62FC">
        <w:tc>
          <w:tcPr>
            <w:tcW w:w="7128" w:type="dxa"/>
            <w:shd w:val="clear" w:color="auto" w:fill="auto"/>
          </w:tcPr>
          <w:p w:rsidR="00AB62FC" w:rsidRPr="00C14674" w:rsidRDefault="00AB62FC" w:rsidP="00AB62FC">
            <w:pPr>
              <w:tabs>
                <w:tab w:val="right" w:leader="dot" w:pos="6912"/>
              </w:tabs>
              <w:spacing w:before="0" w:after="0"/>
              <w:rPr>
                <w:bCs/>
                <w:sz w:val="18"/>
                <w:szCs w:val="18"/>
              </w:rPr>
            </w:pPr>
            <w:r w:rsidRPr="00C14674">
              <w:rPr>
                <w:sz w:val="18"/>
                <w:szCs w:val="18"/>
              </w:rPr>
              <w:t>Cash and cash equivalents</w:t>
            </w:r>
            <w:r w:rsidRPr="00C14674">
              <w:rPr>
                <w:sz w:val="18"/>
                <w:szCs w:val="18"/>
              </w:rPr>
              <w:tab/>
            </w:r>
          </w:p>
        </w:tc>
        <w:tc>
          <w:tcPr>
            <w:tcW w:w="2052" w:type="dxa"/>
            <w:shd w:val="clear" w:color="auto" w:fill="auto"/>
          </w:tcPr>
          <w:p w:rsidR="00AB62FC" w:rsidRPr="00C14674" w:rsidRDefault="00AB62FC" w:rsidP="00AB62FC">
            <w:pPr>
              <w:spacing w:before="0" w:after="0"/>
              <w:jc w:val="right"/>
              <w:rPr>
                <w:sz w:val="18"/>
                <w:szCs w:val="18"/>
              </w:rPr>
            </w:pPr>
            <w:r w:rsidRPr="00C14674">
              <w:rPr>
                <w:bCs/>
                <w:sz w:val="18"/>
                <w:szCs w:val="18"/>
              </w:rPr>
              <w:t>117.9</w:t>
            </w:r>
          </w:p>
        </w:tc>
      </w:tr>
      <w:tr w:rsidR="00AB62FC" w:rsidRPr="00C14674" w:rsidTr="00AB62FC">
        <w:tc>
          <w:tcPr>
            <w:tcW w:w="7128" w:type="dxa"/>
            <w:shd w:val="clear" w:color="auto" w:fill="auto"/>
          </w:tcPr>
          <w:p w:rsidR="00AB62FC" w:rsidRPr="00C14674" w:rsidRDefault="00AB62FC" w:rsidP="00AB62FC">
            <w:pPr>
              <w:tabs>
                <w:tab w:val="right" w:leader="dot" w:pos="6912"/>
              </w:tabs>
              <w:spacing w:before="0" w:after="0"/>
              <w:rPr>
                <w:sz w:val="18"/>
                <w:szCs w:val="18"/>
              </w:rPr>
            </w:pPr>
            <w:r w:rsidRPr="00C14674">
              <w:rPr>
                <w:sz w:val="18"/>
                <w:szCs w:val="18"/>
              </w:rPr>
              <w:t>Adjusted net debt</w:t>
            </w:r>
            <w:r w:rsidRPr="00C14674">
              <w:rPr>
                <w:b/>
                <w:sz w:val="18"/>
                <w:szCs w:val="18"/>
                <w:vertAlign w:val="superscript"/>
              </w:rPr>
              <w:t>(2)</w:t>
            </w:r>
            <w:r w:rsidRPr="00C14674">
              <w:rPr>
                <w:sz w:val="18"/>
                <w:szCs w:val="18"/>
              </w:rPr>
              <w:tab/>
            </w:r>
          </w:p>
        </w:tc>
        <w:tc>
          <w:tcPr>
            <w:tcW w:w="2052" w:type="dxa"/>
            <w:shd w:val="clear" w:color="auto" w:fill="auto"/>
          </w:tcPr>
          <w:p w:rsidR="00AB62FC" w:rsidRPr="00C14674" w:rsidRDefault="00AB62FC" w:rsidP="00AB62FC">
            <w:pPr>
              <w:spacing w:before="0" w:after="0"/>
              <w:jc w:val="right"/>
              <w:rPr>
                <w:sz w:val="18"/>
                <w:szCs w:val="18"/>
              </w:rPr>
            </w:pPr>
            <w:r w:rsidRPr="00C14674">
              <w:rPr>
                <w:bCs/>
                <w:sz w:val="18"/>
                <w:szCs w:val="18"/>
              </w:rPr>
              <w:t>230.6</w:t>
            </w:r>
          </w:p>
        </w:tc>
      </w:tr>
      <w:tr w:rsidR="00AB62FC" w:rsidRPr="00C14674" w:rsidTr="00AB62FC">
        <w:tc>
          <w:tcPr>
            <w:tcW w:w="7128" w:type="dxa"/>
            <w:shd w:val="clear" w:color="auto" w:fill="auto"/>
          </w:tcPr>
          <w:p w:rsidR="00AB62FC" w:rsidRPr="00C14674" w:rsidRDefault="00AB62FC" w:rsidP="00AB62FC">
            <w:pPr>
              <w:tabs>
                <w:tab w:val="right" w:leader="dot" w:pos="6912"/>
              </w:tabs>
              <w:spacing w:before="0" w:after="0"/>
              <w:rPr>
                <w:bCs/>
                <w:sz w:val="18"/>
                <w:szCs w:val="18"/>
              </w:rPr>
            </w:pPr>
            <w:r w:rsidRPr="00C14674">
              <w:rPr>
                <w:sz w:val="18"/>
                <w:szCs w:val="18"/>
              </w:rPr>
              <w:t>Adjusted net debt/REBITDA for bank covenant purposes</w:t>
            </w:r>
            <w:r w:rsidRPr="00C14674">
              <w:rPr>
                <w:sz w:val="18"/>
                <w:szCs w:val="18"/>
              </w:rPr>
              <w:tab/>
            </w:r>
          </w:p>
        </w:tc>
        <w:tc>
          <w:tcPr>
            <w:tcW w:w="2052" w:type="dxa"/>
            <w:shd w:val="clear" w:color="auto" w:fill="auto"/>
          </w:tcPr>
          <w:p w:rsidR="00AB62FC" w:rsidRPr="00C14674" w:rsidRDefault="00AB62FC" w:rsidP="00AB62FC">
            <w:pPr>
              <w:spacing w:before="0" w:after="0"/>
              <w:jc w:val="right"/>
              <w:rPr>
                <w:sz w:val="18"/>
                <w:szCs w:val="18"/>
              </w:rPr>
            </w:pPr>
            <w:r w:rsidRPr="00C14674">
              <w:rPr>
                <w:bCs/>
                <w:sz w:val="18"/>
                <w:szCs w:val="18"/>
              </w:rPr>
              <w:t>2.96</w:t>
            </w:r>
          </w:p>
        </w:tc>
      </w:tr>
    </w:tbl>
    <w:p w:rsidR="00AB62FC" w:rsidRPr="00C14674" w:rsidRDefault="00AB62FC" w:rsidP="00AB62FC">
      <w:pPr>
        <w:tabs>
          <w:tab w:val="left" w:pos="567"/>
        </w:tabs>
        <w:ind w:left="567" w:hanging="567"/>
        <w:rPr>
          <w:sz w:val="18"/>
          <w:szCs w:val="20"/>
        </w:rPr>
      </w:pPr>
      <w:r w:rsidRPr="00C14674">
        <w:rPr>
          <w:sz w:val="18"/>
          <w:szCs w:val="20"/>
        </w:rPr>
        <w:t>_____________________</w:t>
      </w:r>
    </w:p>
    <w:p w:rsidR="00AB62FC" w:rsidRPr="00C14674" w:rsidRDefault="00AB62FC" w:rsidP="00AB62FC">
      <w:pPr>
        <w:tabs>
          <w:tab w:val="left" w:pos="567"/>
        </w:tabs>
        <w:ind w:left="567" w:hanging="567"/>
        <w:rPr>
          <w:sz w:val="18"/>
          <w:szCs w:val="20"/>
        </w:rPr>
      </w:pPr>
      <w:r w:rsidRPr="00C14674">
        <w:rPr>
          <w:sz w:val="18"/>
          <w:szCs w:val="20"/>
        </w:rPr>
        <w:t>(1)</w:t>
      </w:r>
      <w:r w:rsidRPr="00C14674">
        <w:rPr>
          <w:sz w:val="18"/>
          <w:szCs w:val="20"/>
        </w:rPr>
        <w:tab/>
        <w:t>As adjusted total debt is defined as reported financial indebtedness (excluding shareholder loans), adjusted for one item not considered in accordance with terms and conditions of the Revolving Credit Facility.</w:t>
      </w:r>
    </w:p>
    <w:p w:rsidR="00AB62FC" w:rsidRPr="00C14674" w:rsidRDefault="00AB62FC" w:rsidP="00AB62FC">
      <w:pPr>
        <w:tabs>
          <w:tab w:val="left" w:pos="567"/>
        </w:tabs>
        <w:ind w:left="567" w:hanging="567"/>
        <w:rPr>
          <w:sz w:val="18"/>
          <w:szCs w:val="20"/>
        </w:rPr>
      </w:pPr>
      <w:r w:rsidRPr="00C14674">
        <w:rPr>
          <w:sz w:val="18"/>
          <w:szCs w:val="20"/>
        </w:rPr>
        <w:t>(2)</w:t>
      </w:r>
      <w:r w:rsidRPr="00C14674">
        <w:rPr>
          <w:sz w:val="18"/>
          <w:szCs w:val="20"/>
        </w:rPr>
        <w:tab/>
        <w:t xml:space="preserve">As adjusted net debt is defined as adjusted total debt less as adjusted cash and cash equivalents. </w:t>
      </w:r>
    </w:p>
    <w:p w:rsidR="003F0BC5" w:rsidRPr="00C14674" w:rsidRDefault="003F0BC5" w:rsidP="00353B80">
      <w:pPr>
        <w:pStyle w:val="Firm5L2"/>
        <w:keepNext/>
      </w:pPr>
      <w:bookmarkStart w:id="82" w:name="_Toc420593895"/>
      <w:r w:rsidRPr="00C14674">
        <w:t>Contractual obligations and other commitments</w:t>
      </w:r>
      <w:bookmarkEnd w:id="82"/>
    </w:p>
    <w:p w:rsidR="003F0BC5" w:rsidRPr="00C14674" w:rsidRDefault="003F0BC5" w:rsidP="003F0BC5">
      <w:pPr>
        <w:rPr>
          <w:bCs/>
          <w:szCs w:val="20"/>
        </w:rPr>
      </w:pPr>
      <w:r w:rsidRPr="00C14674">
        <w:rPr>
          <w:bCs/>
          <w:szCs w:val="20"/>
        </w:rPr>
        <w:t>The following table sets forth the aggregate maturities of its financial debt and other contractual obligations as of 31 December 2014:</w:t>
      </w:r>
    </w:p>
    <w:tbl>
      <w:tblPr>
        <w:tblW w:w="5000" w:type="pct"/>
        <w:tblLook w:val="04A0" w:firstRow="1" w:lastRow="0" w:firstColumn="1" w:lastColumn="0" w:noHBand="0" w:noVBand="1"/>
      </w:tblPr>
      <w:tblGrid>
        <w:gridCol w:w="4217"/>
        <w:gridCol w:w="1335"/>
        <w:gridCol w:w="1241"/>
        <w:gridCol w:w="1241"/>
        <w:gridCol w:w="1211"/>
      </w:tblGrid>
      <w:tr w:rsidR="00AB62FC" w:rsidRPr="00C14674" w:rsidTr="00AB62FC">
        <w:tc>
          <w:tcPr>
            <w:tcW w:w="2281" w:type="pct"/>
            <w:shd w:val="clear" w:color="auto" w:fill="auto"/>
            <w:vAlign w:val="bottom"/>
          </w:tcPr>
          <w:p w:rsidR="00AB62FC" w:rsidRPr="00C14674" w:rsidRDefault="00AB62FC" w:rsidP="00AB62FC">
            <w:pPr>
              <w:spacing w:before="0" w:after="0"/>
              <w:rPr>
                <w:bCs/>
                <w:i/>
                <w:sz w:val="18"/>
                <w:szCs w:val="18"/>
              </w:rPr>
            </w:pPr>
          </w:p>
        </w:tc>
        <w:tc>
          <w:tcPr>
            <w:tcW w:w="2719" w:type="pct"/>
            <w:gridSpan w:val="4"/>
            <w:shd w:val="clear" w:color="auto" w:fill="auto"/>
            <w:vAlign w:val="bottom"/>
          </w:tcPr>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Payment due by period</w:t>
            </w:r>
            <w:r w:rsidRPr="00C14674">
              <w:rPr>
                <w:b/>
                <w:bCs/>
                <w:sz w:val="18"/>
                <w:szCs w:val="18"/>
              </w:rPr>
              <w:br/>
            </w:r>
          </w:p>
        </w:tc>
      </w:tr>
      <w:tr w:rsidR="00AB62FC" w:rsidRPr="00C14674" w:rsidTr="00AB62FC">
        <w:tc>
          <w:tcPr>
            <w:tcW w:w="2281" w:type="pct"/>
            <w:shd w:val="clear" w:color="auto" w:fill="auto"/>
            <w:vAlign w:val="center"/>
          </w:tcPr>
          <w:p w:rsidR="00AB62FC" w:rsidRPr="00C14674" w:rsidRDefault="00AB62FC" w:rsidP="00AB62FC">
            <w:pPr>
              <w:spacing w:before="0" w:after="0"/>
              <w:rPr>
                <w:bCs/>
                <w:i/>
                <w:sz w:val="18"/>
                <w:szCs w:val="18"/>
              </w:rPr>
            </w:pPr>
            <w:r w:rsidRPr="00C14674">
              <w:rPr>
                <w:bCs/>
                <w:i/>
                <w:sz w:val="18"/>
                <w:szCs w:val="18"/>
              </w:rPr>
              <w:t>(</w:t>
            </w:r>
            <w:r w:rsidR="00E53641">
              <w:rPr>
                <w:bCs/>
                <w:i/>
                <w:sz w:val="18"/>
                <w:szCs w:val="18"/>
              </w:rPr>
              <w:t>EUR </w:t>
            </w:r>
            <w:r w:rsidRPr="00C14674">
              <w:rPr>
                <w:bCs/>
                <w:i/>
                <w:sz w:val="18"/>
                <w:szCs w:val="18"/>
              </w:rPr>
              <w:t>in millions)</w:t>
            </w:r>
          </w:p>
        </w:tc>
        <w:tc>
          <w:tcPr>
            <w:tcW w:w="722" w:type="pct"/>
            <w:shd w:val="clear" w:color="auto" w:fill="auto"/>
            <w:vAlign w:val="bottom"/>
          </w:tcPr>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Year Ended 31 December 2014</w:t>
            </w:r>
          </w:p>
        </w:tc>
        <w:tc>
          <w:tcPr>
            <w:tcW w:w="671" w:type="pct"/>
            <w:shd w:val="clear" w:color="auto" w:fill="auto"/>
            <w:vAlign w:val="bottom"/>
          </w:tcPr>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Due within 1 year</w:t>
            </w:r>
          </w:p>
        </w:tc>
        <w:tc>
          <w:tcPr>
            <w:tcW w:w="671" w:type="pct"/>
            <w:shd w:val="clear" w:color="auto" w:fill="auto"/>
            <w:vAlign w:val="bottom"/>
          </w:tcPr>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Due in 1 to 5 years</w:t>
            </w:r>
          </w:p>
        </w:tc>
        <w:tc>
          <w:tcPr>
            <w:tcW w:w="655" w:type="pct"/>
            <w:shd w:val="clear" w:color="auto" w:fill="auto"/>
            <w:vAlign w:val="bottom"/>
          </w:tcPr>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Due beyond 5 years</w:t>
            </w:r>
          </w:p>
        </w:tc>
      </w:tr>
      <w:tr w:rsidR="00AB62FC" w:rsidRPr="00C14674" w:rsidTr="00AB62FC">
        <w:tc>
          <w:tcPr>
            <w:tcW w:w="2281" w:type="pct"/>
            <w:shd w:val="clear" w:color="auto" w:fill="auto"/>
          </w:tcPr>
          <w:p w:rsidR="00AB62FC" w:rsidRPr="00C14674" w:rsidRDefault="00AB62FC" w:rsidP="00AB62FC">
            <w:pPr>
              <w:tabs>
                <w:tab w:val="right" w:leader="dot" w:pos="3969"/>
              </w:tabs>
              <w:spacing w:before="0" w:after="0"/>
              <w:rPr>
                <w:bCs/>
                <w:sz w:val="18"/>
                <w:szCs w:val="18"/>
              </w:rPr>
            </w:pPr>
            <w:r w:rsidRPr="00C14674">
              <w:rPr>
                <w:bCs/>
                <w:sz w:val="18"/>
                <w:szCs w:val="18"/>
              </w:rPr>
              <w:t>Long-term debt</w:t>
            </w:r>
            <w:r w:rsidRPr="00C14674">
              <w:rPr>
                <w:bCs/>
                <w:sz w:val="18"/>
                <w:szCs w:val="18"/>
              </w:rPr>
              <w:tab/>
            </w:r>
          </w:p>
        </w:tc>
        <w:tc>
          <w:tcPr>
            <w:tcW w:w="722" w:type="pct"/>
            <w:shd w:val="clear" w:color="auto" w:fill="auto"/>
          </w:tcPr>
          <w:p w:rsidR="00AB62FC" w:rsidRPr="00C14674" w:rsidRDefault="00AB62FC" w:rsidP="00AB62FC">
            <w:pPr>
              <w:tabs>
                <w:tab w:val="right" w:leader="dot" w:pos="3969"/>
              </w:tabs>
              <w:spacing w:before="0" w:after="0"/>
              <w:jc w:val="right"/>
              <w:rPr>
                <w:sz w:val="18"/>
                <w:szCs w:val="18"/>
              </w:rPr>
            </w:pPr>
            <w:r w:rsidRPr="00C14674">
              <w:rPr>
                <w:sz w:val="18"/>
                <w:szCs w:val="18"/>
              </w:rPr>
              <w:t>284.9</w:t>
            </w:r>
          </w:p>
        </w:tc>
        <w:tc>
          <w:tcPr>
            <w:tcW w:w="671" w:type="pct"/>
            <w:shd w:val="clear" w:color="auto" w:fill="auto"/>
          </w:tcPr>
          <w:p w:rsidR="00AB62FC" w:rsidRPr="00C14674" w:rsidRDefault="00AB62FC" w:rsidP="00AB62FC">
            <w:pPr>
              <w:tabs>
                <w:tab w:val="right" w:leader="dot" w:pos="3969"/>
              </w:tabs>
              <w:spacing w:before="0" w:after="0"/>
              <w:jc w:val="right"/>
              <w:rPr>
                <w:sz w:val="18"/>
                <w:szCs w:val="18"/>
              </w:rPr>
            </w:pPr>
            <w:r w:rsidRPr="00C14674">
              <w:rPr>
                <w:sz w:val="18"/>
                <w:szCs w:val="18"/>
              </w:rPr>
              <w:t>—</w:t>
            </w:r>
          </w:p>
        </w:tc>
        <w:tc>
          <w:tcPr>
            <w:tcW w:w="671" w:type="pct"/>
            <w:shd w:val="clear" w:color="auto" w:fill="auto"/>
          </w:tcPr>
          <w:p w:rsidR="00AB62FC" w:rsidRPr="00C14674" w:rsidRDefault="00AB62FC" w:rsidP="00AB62FC">
            <w:pPr>
              <w:tabs>
                <w:tab w:val="right" w:leader="dot" w:pos="3969"/>
              </w:tabs>
              <w:spacing w:before="0" w:after="0"/>
              <w:jc w:val="right"/>
              <w:rPr>
                <w:sz w:val="18"/>
                <w:szCs w:val="18"/>
              </w:rPr>
            </w:pPr>
            <w:r w:rsidRPr="00C14674">
              <w:rPr>
                <w:sz w:val="18"/>
                <w:szCs w:val="18"/>
              </w:rPr>
              <w:t>0.9</w:t>
            </w:r>
          </w:p>
        </w:tc>
        <w:tc>
          <w:tcPr>
            <w:tcW w:w="655" w:type="pct"/>
            <w:shd w:val="clear" w:color="auto" w:fill="auto"/>
          </w:tcPr>
          <w:p w:rsidR="00AB62FC" w:rsidRPr="00C14674" w:rsidRDefault="00AB62FC" w:rsidP="00AB62FC">
            <w:pPr>
              <w:tabs>
                <w:tab w:val="right" w:leader="dot" w:pos="3969"/>
              </w:tabs>
              <w:spacing w:before="0" w:after="0"/>
              <w:jc w:val="right"/>
              <w:rPr>
                <w:sz w:val="18"/>
                <w:szCs w:val="18"/>
              </w:rPr>
            </w:pPr>
            <w:r w:rsidRPr="00C14674">
              <w:rPr>
                <w:sz w:val="18"/>
                <w:szCs w:val="18"/>
              </w:rPr>
              <w:t>284.0</w:t>
            </w:r>
          </w:p>
        </w:tc>
      </w:tr>
      <w:tr w:rsidR="00AB62FC" w:rsidRPr="00C14674" w:rsidTr="00AB62FC">
        <w:tc>
          <w:tcPr>
            <w:tcW w:w="2281" w:type="pct"/>
            <w:shd w:val="clear" w:color="auto" w:fill="auto"/>
          </w:tcPr>
          <w:p w:rsidR="00AB62FC" w:rsidRPr="00C14674" w:rsidRDefault="00AB62FC" w:rsidP="00AB62FC">
            <w:pPr>
              <w:tabs>
                <w:tab w:val="right" w:leader="dot" w:pos="3969"/>
              </w:tabs>
              <w:spacing w:before="0" w:after="0"/>
              <w:rPr>
                <w:bCs/>
                <w:sz w:val="18"/>
                <w:szCs w:val="18"/>
              </w:rPr>
            </w:pPr>
            <w:r w:rsidRPr="00C14674">
              <w:rPr>
                <w:bCs/>
                <w:sz w:val="18"/>
                <w:szCs w:val="18"/>
              </w:rPr>
              <w:t>Short-term debt</w:t>
            </w:r>
            <w:r w:rsidRPr="00C14674">
              <w:rPr>
                <w:bCs/>
                <w:sz w:val="18"/>
                <w:szCs w:val="18"/>
              </w:rPr>
              <w:tab/>
            </w:r>
          </w:p>
        </w:tc>
        <w:tc>
          <w:tcPr>
            <w:tcW w:w="722" w:type="pct"/>
            <w:shd w:val="clear" w:color="auto" w:fill="auto"/>
          </w:tcPr>
          <w:p w:rsidR="00AB62FC" w:rsidRPr="00C14674" w:rsidRDefault="00AB62FC" w:rsidP="00AB62FC">
            <w:pPr>
              <w:pBdr>
                <w:bottom w:val="single" w:sz="4" w:space="1" w:color="auto"/>
              </w:pBdr>
              <w:tabs>
                <w:tab w:val="right" w:leader="dot" w:pos="3969"/>
              </w:tabs>
              <w:spacing w:before="0" w:after="0"/>
              <w:jc w:val="right"/>
              <w:rPr>
                <w:sz w:val="18"/>
                <w:szCs w:val="18"/>
              </w:rPr>
            </w:pPr>
            <w:r w:rsidRPr="00C14674">
              <w:rPr>
                <w:sz w:val="18"/>
                <w:szCs w:val="18"/>
              </w:rPr>
              <w:t>62.6</w:t>
            </w:r>
          </w:p>
        </w:tc>
        <w:tc>
          <w:tcPr>
            <w:tcW w:w="671" w:type="pct"/>
            <w:shd w:val="clear" w:color="auto" w:fill="auto"/>
          </w:tcPr>
          <w:p w:rsidR="00AB62FC" w:rsidRPr="00C14674" w:rsidRDefault="00AB62FC" w:rsidP="00AB62FC">
            <w:pPr>
              <w:pBdr>
                <w:bottom w:val="single" w:sz="4" w:space="1" w:color="auto"/>
              </w:pBdr>
              <w:tabs>
                <w:tab w:val="right" w:leader="dot" w:pos="3969"/>
              </w:tabs>
              <w:spacing w:before="0" w:after="0"/>
              <w:jc w:val="right"/>
              <w:rPr>
                <w:sz w:val="18"/>
                <w:szCs w:val="18"/>
              </w:rPr>
            </w:pPr>
            <w:r w:rsidRPr="00C14674">
              <w:rPr>
                <w:sz w:val="18"/>
                <w:szCs w:val="18"/>
              </w:rPr>
              <w:t>62.6</w:t>
            </w:r>
          </w:p>
        </w:tc>
        <w:tc>
          <w:tcPr>
            <w:tcW w:w="671" w:type="pct"/>
            <w:shd w:val="clear" w:color="auto" w:fill="auto"/>
          </w:tcPr>
          <w:p w:rsidR="00AB62FC" w:rsidRPr="00C14674" w:rsidRDefault="00AB62FC" w:rsidP="00AB62FC">
            <w:pPr>
              <w:pBdr>
                <w:bottom w:val="single" w:sz="4" w:space="1" w:color="auto"/>
              </w:pBdr>
              <w:tabs>
                <w:tab w:val="right" w:leader="dot" w:pos="3969"/>
              </w:tabs>
              <w:spacing w:before="0" w:after="0"/>
              <w:jc w:val="right"/>
              <w:rPr>
                <w:sz w:val="18"/>
                <w:szCs w:val="18"/>
              </w:rPr>
            </w:pPr>
            <w:r w:rsidRPr="00C14674">
              <w:rPr>
                <w:sz w:val="18"/>
                <w:szCs w:val="18"/>
              </w:rPr>
              <w:t>—</w:t>
            </w:r>
          </w:p>
        </w:tc>
        <w:tc>
          <w:tcPr>
            <w:tcW w:w="655" w:type="pct"/>
            <w:shd w:val="clear" w:color="auto" w:fill="auto"/>
          </w:tcPr>
          <w:p w:rsidR="00AB62FC" w:rsidRPr="00C14674" w:rsidRDefault="00AB62FC" w:rsidP="00AB62FC">
            <w:pPr>
              <w:pBdr>
                <w:bottom w:val="single" w:sz="4" w:space="1" w:color="auto"/>
              </w:pBdr>
              <w:tabs>
                <w:tab w:val="right" w:leader="dot" w:pos="3969"/>
              </w:tabs>
              <w:spacing w:before="0" w:after="0"/>
              <w:jc w:val="right"/>
              <w:rPr>
                <w:sz w:val="18"/>
                <w:szCs w:val="18"/>
              </w:rPr>
            </w:pPr>
            <w:r w:rsidRPr="00C14674">
              <w:rPr>
                <w:sz w:val="18"/>
                <w:szCs w:val="18"/>
              </w:rPr>
              <w:t>—</w:t>
            </w:r>
          </w:p>
        </w:tc>
      </w:tr>
      <w:tr w:rsidR="00AB62FC" w:rsidRPr="00C14674" w:rsidTr="00AB62FC">
        <w:tc>
          <w:tcPr>
            <w:tcW w:w="2281" w:type="pct"/>
            <w:shd w:val="clear" w:color="auto" w:fill="auto"/>
          </w:tcPr>
          <w:p w:rsidR="00AB62FC" w:rsidRPr="00C14674" w:rsidRDefault="00AB62FC" w:rsidP="00AB62FC">
            <w:pPr>
              <w:tabs>
                <w:tab w:val="right" w:leader="dot" w:pos="3969"/>
              </w:tabs>
              <w:spacing w:before="0" w:after="40"/>
              <w:rPr>
                <w:b/>
                <w:bCs/>
                <w:sz w:val="18"/>
                <w:szCs w:val="18"/>
              </w:rPr>
            </w:pPr>
            <w:r w:rsidRPr="00C14674">
              <w:rPr>
                <w:b/>
                <w:bCs/>
                <w:sz w:val="18"/>
                <w:szCs w:val="18"/>
              </w:rPr>
              <w:t>Total</w:t>
            </w:r>
            <w:r w:rsidRPr="00C14674">
              <w:rPr>
                <w:bCs/>
                <w:sz w:val="18"/>
                <w:szCs w:val="18"/>
              </w:rPr>
              <w:tab/>
            </w:r>
          </w:p>
        </w:tc>
        <w:tc>
          <w:tcPr>
            <w:tcW w:w="722" w:type="pct"/>
            <w:shd w:val="clear" w:color="auto" w:fill="auto"/>
          </w:tcPr>
          <w:p w:rsidR="00AB62FC" w:rsidRPr="00C14674" w:rsidRDefault="00AB62FC" w:rsidP="00AB62FC">
            <w:pPr>
              <w:pBdr>
                <w:bottom w:val="double" w:sz="4" w:space="1" w:color="auto"/>
              </w:pBdr>
              <w:tabs>
                <w:tab w:val="right" w:leader="dot" w:pos="3969"/>
              </w:tabs>
              <w:spacing w:before="0" w:after="40"/>
              <w:jc w:val="right"/>
              <w:rPr>
                <w:b/>
                <w:sz w:val="18"/>
                <w:szCs w:val="18"/>
              </w:rPr>
            </w:pPr>
            <w:r w:rsidRPr="00C14674">
              <w:rPr>
                <w:b/>
                <w:sz w:val="18"/>
                <w:szCs w:val="18"/>
              </w:rPr>
              <w:t>347.5</w:t>
            </w:r>
          </w:p>
        </w:tc>
        <w:tc>
          <w:tcPr>
            <w:tcW w:w="671" w:type="pct"/>
            <w:shd w:val="clear" w:color="auto" w:fill="auto"/>
          </w:tcPr>
          <w:p w:rsidR="00AB62FC" w:rsidRPr="00C14674" w:rsidRDefault="00AB62FC" w:rsidP="00AB62FC">
            <w:pPr>
              <w:pBdr>
                <w:bottom w:val="double" w:sz="4" w:space="1" w:color="auto"/>
              </w:pBdr>
              <w:tabs>
                <w:tab w:val="right" w:leader="dot" w:pos="3969"/>
              </w:tabs>
              <w:spacing w:before="0" w:after="40"/>
              <w:jc w:val="right"/>
              <w:rPr>
                <w:b/>
                <w:sz w:val="18"/>
                <w:szCs w:val="18"/>
              </w:rPr>
            </w:pPr>
            <w:r w:rsidRPr="00C14674">
              <w:rPr>
                <w:b/>
                <w:sz w:val="18"/>
                <w:szCs w:val="18"/>
              </w:rPr>
              <w:t>62.6</w:t>
            </w:r>
          </w:p>
        </w:tc>
        <w:tc>
          <w:tcPr>
            <w:tcW w:w="671" w:type="pct"/>
            <w:shd w:val="clear" w:color="auto" w:fill="auto"/>
          </w:tcPr>
          <w:p w:rsidR="00AB62FC" w:rsidRPr="00C14674" w:rsidRDefault="00AB62FC" w:rsidP="00AB62FC">
            <w:pPr>
              <w:pBdr>
                <w:bottom w:val="double" w:sz="4" w:space="1" w:color="auto"/>
              </w:pBdr>
              <w:tabs>
                <w:tab w:val="right" w:leader="dot" w:pos="3969"/>
              </w:tabs>
              <w:spacing w:before="0" w:after="40"/>
              <w:jc w:val="right"/>
              <w:rPr>
                <w:b/>
                <w:sz w:val="18"/>
                <w:szCs w:val="18"/>
              </w:rPr>
            </w:pPr>
            <w:r w:rsidRPr="00C14674">
              <w:rPr>
                <w:b/>
                <w:sz w:val="18"/>
                <w:szCs w:val="18"/>
              </w:rPr>
              <w:t>0.9</w:t>
            </w:r>
          </w:p>
        </w:tc>
        <w:tc>
          <w:tcPr>
            <w:tcW w:w="655" w:type="pct"/>
            <w:shd w:val="clear" w:color="auto" w:fill="auto"/>
          </w:tcPr>
          <w:p w:rsidR="00AB62FC" w:rsidRPr="00C14674" w:rsidRDefault="00AB62FC" w:rsidP="00AB62FC">
            <w:pPr>
              <w:pBdr>
                <w:bottom w:val="double" w:sz="4" w:space="1" w:color="auto"/>
              </w:pBdr>
              <w:tabs>
                <w:tab w:val="right" w:leader="dot" w:pos="3969"/>
              </w:tabs>
              <w:spacing w:before="0" w:after="40"/>
              <w:jc w:val="right"/>
              <w:rPr>
                <w:b/>
                <w:sz w:val="18"/>
                <w:szCs w:val="18"/>
              </w:rPr>
            </w:pPr>
            <w:r w:rsidRPr="00C14674">
              <w:rPr>
                <w:b/>
                <w:sz w:val="18"/>
                <w:szCs w:val="18"/>
              </w:rPr>
              <w:t>284.0</w:t>
            </w:r>
          </w:p>
        </w:tc>
      </w:tr>
    </w:tbl>
    <w:p w:rsidR="00AB62FC" w:rsidRPr="00C14674" w:rsidRDefault="00AB62FC" w:rsidP="00AB62FC">
      <w:pPr>
        <w:tabs>
          <w:tab w:val="left" w:pos="0"/>
          <w:tab w:val="right" w:leader="dot" w:pos="3969"/>
        </w:tabs>
        <w:rPr>
          <w:szCs w:val="20"/>
        </w:rPr>
      </w:pPr>
      <w:r w:rsidRPr="00C14674">
        <w:rPr>
          <w:szCs w:val="20"/>
        </w:rPr>
        <w:t>The following table represents the future aggregate minimum lease payments under non-cancellable operating leases as per 31 December 2014:</w:t>
      </w:r>
    </w:p>
    <w:tbl>
      <w:tblPr>
        <w:tblW w:w="5000" w:type="pct"/>
        <w:tblLook w:val="04A0" w:firstRow="1" w:lastRow="0" w:firstColumn="1" w:lastColumn="0" w:noHBand="0" w:noVBand="1"/>
      </w:tblPr>
      <w:tblGrid>
        <w:gridCol w:w="4217"/>
        <w:gridCol w:w="1335"/>
        <w:gridCol w:w="1241"/>
        <w:gridCol w:w="1241"/>
        <w:gridCol w:w="1211"/>
      </w:tblGrid>
      <w:tr w:rsidR="00AB62FC" w:rsidRPr="00C14674" w:rsidTr="00AB62FC">
        <w:tc>
          <w:tcPr>
            <w:tcW w:w="2281" w:type="pct"/>
            <w:shd w:val="clear" w:color="auto" w:fill="auto"/>
            <w:vAlign w:val="bottom"/>
          </w:tcPr>
          <w:p w:rsidR="00AB62FC" w:rsidRPr="00C14674" w:rsidRDefault="00AB62FC" w:rsidP="00AB62FC">
            <w:pPr>
              <w:tabs>
                <w:tab w:val="right" w:leader="dot" w:pos="3969"/>
              </w:tabs>
              <w:spacing w:before="0" w:after="0"/>
              <w:rPr>
                <w:bCs/>
                <w:i/>
                <w:sz w:val="18"/>
                <w:szCs w:val="18"/>
              </w:rPr>
            </w:pPr>
          </w:p>
        </w:tc>
        <w:tc>
          <w:tcPr>
            <w:tcW w:w="2719" w:type="pct"/>
            <w:gridSpan w:val="4"/>
            <w:shd w:val="clear" w:color="auto" w:fill="auto"/>
            <w:vAlign w:val="bottom"/>
          </w:tcPr>
          <w:p w:rsidR="00AB62FC" w:rsidRPr="00C14674" w:rsidRDefault="00AB62FC" w:rsidP="00AB62FC">
            <w:pPr>
              <w:pBdr>
                <w:bottom w:val="single" w:sz="4" w:space="1" w:color="auto"/>
              </w:pBdr>
              <w:tabs>
                <w:tab w:val="right" w:leader="dot" w:pos="3969"/>
              </w:tabs>
              <w:spacing w:before="0" w:after="0"/>
              <w:jc w:val="center"/>
              <w:rPr>
                <w:b/>
                <w:bCs/>
                <w:sz w:val="18"/>
                <w:szCs w:val="18"/>
              </w:rPr>
            </w:pPr>
            <w:r w:rsidRPr="00C14674">
              <w:rPr>
                <w:b/>
                <w:bCs/>
                <w:sz w:val="18"/>
                <w:szCs w:val="18"/>
              </w:rPr>
              <w:t>Payment due by period</w:t>
            </w:r>
            <w:r w:rsidRPr="00C14674">
              <w:rPr>
                <w:b/>
                <w:bCs/>
                <w:sz w:val="18"/>
                <w:szCs w:val="18"/>
              </w:rPr>
              <w:br/>
            </w:r>
          </w:p>
        </w:tc>
      </w:tr>
      <w:tr w:rsidR="00AB62FC" w:rsidRPr="00C14674" w:rsidTr="00AB62FC">
        <w:tc>
          <w:tcPr>
            <w:tcW w:w="2281" w:type="pct"/>
            <w:shd w:val="clear" w:color="auto" w:fill="auto"/>
            <w:vAlign w:val="center"/>
          </w:tcPr>
          <w:p w:rsidR="00AB62FC" w:rsidRPr="00C14674" w:rsidRDefault="00AB62FC" w:rsidP="00AB62FC">
            <w:pPr>
              <w:tabs>
                <w:tab w:val="right" w:leader="dot" w:pos="3969"/>
              </w:tabs>
              <w:spacing w:before="0" w:after="0"/>
              <w:rPr>
                <w:bCs/>
                <w:i/>
                <w:sz w:val="18"/>
                <w:szCs w:val="18"/>
              </w:rPr>
            </w:pPr>
            <w:r w:rsidRPr="00C14674">
              <w:rPr>
                <w:bCs/>
                <w:i/>
                <w:sz w:val="18"/>
                <w:szCs w:val="18"/>
              </w:rPr>
              <w:t>(</w:t>
            </w:r>
            <w:r w:rsidR="00E53641">
              <w:rPr>
                <w:bCs/>
                <w:i/>
                <w:sz w:val="18"/>
                <w:szCs w:val="18"/>
              </w:rPr>
              <w:t>EUR </w:t>
            </w:r>
            <w:r w:rsidRPr="00C14674">
              <w:rPr>
                <w:bCs/>
                <w:i/>
                <w:sz w:val="18"/>
                <w:szCs w:val="18"/>
              </w:rPr>
              <w:t>in millions)</w:t>
            </w:r>
          </w:p>
        </w:tc>
        <w:tc>
          <w:tcPr>
            <w:tcW w:w="722" w:type="pct"/>
            <w:shd w:val="clear" w:color="auto" w:fill="auto"/>
            <w:vAlign w:val="bottom"/>
          </w:tcPr>
          <w:p w:rsidR="00AB62FC" w:rsidRPr="00C14674" w:rsidRDefault="00AB62FC" w:rsidP="00AB62FC">
            <w:pPr>
              <w:pBdr>
                <w:bottom w:val="single" w:sz="4" w:space="1" w:color="auto"/>
              </w:pBdr>
              <w:tabs>
                <w:tab w:val="right" w:leader="dot" w:pos="3969"/>
              </w:tabs>
              <w:spacing w:before="0" w:after="0"/>
              <w:jc w:val="center"/>
              <w:rPr>
                <w:b/>
                <w:bCs/>
                <w:sz w:val="18"/>
                <w:szCs w:val="18"/>
              </w:rPr>
            </w:pPr>
            <w:r w:rsidRPr="00C14674">
              <w:rPr>
                <w:b/>
                <w:bCs/>
                <w:sz w:val="18"/>
                <w:szCs w:val="18"/>
              </w:rPr>
              <w:t>Year Ended 31 December 2014</w:t>
            </w:r>
          </w:p>
        </w:tc>
        <w:tc>
          <w:tcPr>
            <w:tcW w:w="671" w:type="pct"/>
            <w:shd w:val="clear" w:color="auto" w:fill="auto"/>
            <w:vAlign w:val="bottom"/>
          </w:tcPr>
          <w:p w:rsidR="00AB62FC" w:rsidRPr="00C14674" w:rsidRDefault="00AB62FC" w:rsidP="00AB62FC">
            <w:pPr>
              <w:pBdr>
                <w:bottom w:val="single" w:sz="4" w:space="1" w:color="auto"/>
              </w:pBdr>
              <w:tabs>
                <w:tab w:val="right" w:leader="dot" w:pos="3969"/>
              </w:tabs>
              <w:spacing w:before="0" w:after="0"/>
              <w:jc w:val="center"/>
              <w:rPr>
                <w:b/>
                <w:bCs/>
                <w:sz w:val="18"/>
                <w:szCs w:val="18"/>
              </w:rPr>
            </w:pPr>
            <w:r w:rsidRPr="00C14674">
              <w:rPr>
                <w:b/>
                <w:bCs/>
                <w:sz w:val="18"/>
                <w:szCs w:val="18"/>
              </w:rPr>
              <w:t>Due within 1 year</w:t>
            </w:r>
          </w:p>
        </w:tc>
        <w:tc>
          <w:tcPr>
            <w:tcW w:w="671" w:type="pct"/>
            <w:shd w:val="clear" w:color="auto" w:fill="auto"/>
            <w:vAlign w:val="bottom"/>
          </w:tcPr>
          <w:p w:rsidR="00AB62FC" w:rsidRPr="00C14674" w:rsidRDefault="00AB62FC" w:rsidP="00AB62FC">
            <w:pPr>
              <w:pBdr>
                <w:bottom w:val="single" w:sz="4" w:space="1" w:color="auto"/>
              </w:pBdr>
              <w:tabs>
                <w:tab w:val="right" w:leader="dot" w:pos="3969"/>
              </w:tabs>
              <w:spacing w:before="0" w:after="0"/>
              <w:jc w:val="center"/>
              <w:rPr>
                <w:b/>
                <w:bCs/>
                <w:sz w:val="18"/>
                <w:szCs w:val="18"/>
              </w:rPr>
            </w:pPr>
            <w:r w:rsidRPr="00C14674">
              <w:rPr>
                <w:b/>
                <w:bCs/>
                <w:sz w:val="18"/>
                <w:szCs w:val="18"/>
              </w:rPr>
              <w:t>Due in 1 to 5 years</w:t>
            </w:r>
          </w:p>
        </w:tc>
        <w:tc>
          <w:tcPr>
            <w:tcW w:w="655" w:type="pct"/>
            <w:shd w:val="clear" w:color="auto" w:fill="auto"/>
            <w:vAlign w:val="bottom"/>
          </w:tcPr>
          <w:p w:rsidR="00AB62FC" w:rsidRPr="00C14674" w:rsidRDefault="00AB62FC" w:rsidP="00AB62FC">
            <w:pPr>
              <w:pBdr>
                <w:bottom w:val="single" w:sz="4" w:space="1" w:color="auto"/>
              </w:pBdr>
              <w:tabs>
                <w:tab w:val="right" w:leader="dot" w:pos="3969"/>
              </w:tabs>
              <w:spacing w:before="0" w:after="0"/>
              <w:jc w:val="center"/>
              <w:rPr>
                <w:b/>
                <w:bCs/>
                <w:sz w:val="18"/>
                <w:szCs w:val="18"/>
              </w:rPr>
            </w:pPr>
            <w:r w:rsidRPr="00C14674">
              <w:rPr>
                <w:b/>
                <w:bCs/>
                <w:sz w:val="18"/>
                <w:szCs w:val="18"/>
              </w:rPr>
              <w:t>Due beyond 5 years</w:t>
            </w:r>
          </w:p>
        </w:tc>
      </w:tr>
      <w:tr w:rsidR="00AB62FC" w:rsidRPr="00C14674" w:rsidTr="00AB62FC">
        <w:tc>
          <w:tcPr>
            <w:tcW w:w="2281" w:type="pct"/>
            <w:shd w:val="clear" w:color="auto" w:fill="auto"/>
          </w:tcPr>
          <w:p w:rsidR="00AB62FC" w:rsidRPr="00C14674" w:rsidRDefault="00AB62FC" w:rsidP="00AB62FC">
            <w:pPr>
              <w:tabs>
                <w:tab w:val="right" w:leader="dot" w:pos="3969"/>
              </w:tabs>
              <w:spacing w:before="0" w:after="0"/>
              <w:rPr>
                <w:bCs/>
                <w:sz w:val="18"/>
                <w:szCs w:val="18"/>
              </w:rPr>
            </w:pPr>
            <w:r w:rsidRPr="00C14674">
              <w:rPr>
                <w:bCs/>
                <w:sz w:val="18"/>
                <w:szCs w:val="18"/>
              </w:rPr>
              <w:t>Operating lease commitments</w:t>
            </w:r>
            <w:r w:rsidRPr="00C14674">
              <w:rPr>
                <w:bCs/>
                <w:sz w:val="18"/>
                <w:szCs w:val="18"/>
              </w:rPr>
              <w:tab/>
            </w:r>
          </w:p>
        </w:tc>
        <w:tc>
          <w:tcPr>
            <w:tcW w:w="722" w:type="pct"/>
            <w:shd w:val="clear" w:color="auto" w:fill="auto"/>
          </w:tcPr>
          <w:p w:rsidR="00AB62FC" w:rsidRPr="00C14674" w:rsidRDefault="00AB62FC" w:rsidP="00AB62FC">
            <w:pPr>
              <w:pBdr>
                <w:bottom w:val="single" w:sz="4" w:space="1" w:color="auto"/>
              </w:pBdr>
              <w:tabs>
                <w:tab w:val="right" w:leader="dot" w:pos="3969"/>
              </w:tabs>
              <w:spacing w:before="0" w:after="0"/>
              <w:jc w:val="right"/>
              <w:rPr>
                <w:sz w:val="18"/>
                <w:szCs w:val="18"/>
              </w:rPr>
            </w:pPr>
            <w:r w:rsidRPr="00C14674">
              <w:rPr>
                <w:sz w:val="18"/>
                <w:szCs w:val="18"/>
              </w:rPr>
              <w:t>243.1</w:t>
            </w:r>
          </w:p>
        </w:tc>
        <w:tc>
          <w:tcPr>
            <w:tcW w:w="671" w:type="pct"/>
            <w:shd w:val="clear" w:color="auto" w:fill="auto"/>
          </w:tcPr>
          <w:p w:rsidR="00AB62FC" w:rsidRPr="00C14674" w:rsidRDefault="00AB62FC" w:rsidP="00AB62FC">
            <w:pPr>
              <w:pBdr>
                <w:bottom w:val="single" w:sz="4" w:space="1" w:color="auto"/>
              </w:pBdr>
              <w:tabs>
                <w:tab w:val="right" w:leader="dot" w:pos="3969"/>
              </w:tabs>
              <w:spacing w:before="0" w:after="0"/>
              <w:jc w:val="right"/>
              <w:rPr>
                <w:sz w:val="18"/>
                <w:szCs w:val="18"/>
              </w:rPr>
            </w:pPr>
            <w:r w:rsidRPr="00C14674">
              <w:rPr>
                <w:sz w:val="18"/>
                <w:szCs w:val="18"/>
              </w:rPr>
              <w:t>29.1</w:t>
            </w:r>
          </w:p>
        </w:tc>
        <w:tc>
          <w:tcPr>
            <w:tcW w:w="671" w:type="pct"/>
            <w:shd w:val="clear" w:color="auto" w:fill="auto"/>
          </w:tcPr>
          <w:p w:rsidR="00AB62FC" w:rsidRPr="00C14674" w:rsidRDefault="00AB62FC" w:rsidP="00AB62FC">
            <w:pPr>
              <w:pBdr>
                <w:bottom w:val="single" w:sz="4" w:space="1" w:color="auto"/>
              </w:pBdr>
              <w:tabs>
                <w:tab w:val="right" w:leader="dot" w:pos="3969"/>
              </w:tabs>
              <w:spacing w:before="0" w:after="0"/>
              <w:jc w:val="right"/>
              <w:rPr>
                <w:sz w:val="18"/>
                <w:szCs w:val="18"/>
              </w:rPr>
            </w:pPr>
            <w:r w:rsidRPr="00C14674">
              <w:rPr>
                <w:sz w:val="18"/>
                <w:szCs w:val="18"/>
              </w:rPr>
              <w:t>86.9</w:t>
            </w:r>
          </w:p>
        </w:tc>
        <w:tc>
          <w:tcPr>
            <w:tcW w:w="655" w:type="pct"/>
            <w:shd w:val="clear" w:color="auto" w:fill="auto"/>
          </w:tcPr>
          <w:p w:rsidR="00AB62FC" w:rsidRPr="00C14674" w:rsidRDefault="00AB62FC" w:rsidP="00AB62FC">
            <w:pPr>
              <w:pBdr>
                <w:bottom w:val="single" w:sz="4" w:space="1" w:color="auto"/>
              </w:pBdr>
              <w:tabs>
                <w:tab w:val="right" w:leader="dot" w:pos="3969"/>
              </w:tabs>
              <w:spacing w:before="0" w:after="0"/>
              <w:jc w:val="right"/>
              <w:rPr>
                <w:sz w:val="18"/>
                <w:szCs w:val="18"/>
              </w:rPr>
            </w:pPr>
            <w:r w:rsidRPr="00C14674">
              <w:rPr>
                <w:sz w:val="18"/>
                <w:szCs w:val="18"/>
              </w:rPr>
              <w:t>127.1</w:t>
            </w:r>
          </w:p>
        </w:tc>
      </w:tr>
      <w:tr w:rsidR="00AB62FC" w:rsidRPr="00C14674" w:rsidTr="00AB62FC">
        <w:tc>
          <w:tcPr>
            <w:tcW w:w="2281" w:type="pct"/>
            <w:shd w:val="clear" w:color="auto" w:fill="auto"/>
          </w:tcPr>
          <w:p w:rsidR="00AB62FC" w:rsidRPr="00C14674" w:rsidRDefault="00AB62FC" w:rsidP="00AB62FC">
            <w:pPr>
              <w:tabs>
                <w:tab w:val="right" w:leader="dot" w:pos="3969"/>
              </w:tabs>
              <w:spacing w:before="0" w:after="40"/>
              <w:rPr>
                <w:b/>
                <w:bCs/>
                <w:sz w:val="18"/>
                <w:szCs w:val="18"/>
              </w:rPr>
            </w:pPr>
            <w:r w:rsidRPr="00C14674">
              <w:rPr>
                <w:b/>
                <w:bCs/>
                <w:sz w:val="18"/>
                <w:szCs w:val="18"/>
              </w:rPr>
              <w:t>Total</w:t>
            </w:r>
            <w:r w:rsidRPr="00C14674">
              <w:rPr>
                <w:bCs/>
                <w:sz w:val="18"/>
                <w:szCs w:val="18"/>
              </w:rPr>
              <w:tab/>
            </w:r>
          </w:p>
        </w:tc>
        <w:tc>
          <w:tcPr>
            <w:tcW w:w="722" w:type="pct"/>
            <w:shd w:val="clear" w:color="auto" w:fill="auto"/>
          </w:tcPr>
          <w:p w:rsidR="00AB62FC" w:rsidRPr="00C14674" w:rsidRDefault="00AB62FC" w:rsidP="00AB62FC">
            <w:pPr>
              <w:pBdr>
                <w:bottom w:val="double" w:sz="4" w:space="1" w:color="auto"/>
              </w:pBdr>
              <w:tabs>
                <w:tab w:val="right" w:leader="dot" w:pos="3969"/>
              </w:tabs>
              <w:spacing w:before="0" w:after="40"/>
              <w:jc w:val="right"/>
              <w:rPr>
                <w:b/>
                <w:sz w:val="18"/>
                <w:szCs w:val="18"/>
              </w:rPr>
            </w:pPr>
            <w:r w:rsidRPr="00C14674">
              <w:rPr>
                <w:b/>
                <w:sz w:val="18"/>
                <w:szCs w:val="18"/>
              </w:rPr>
              <w:t>243.1</w:t>
            </w:r>
          </w:p>
        </w:tc>
        <w:tc>
          <w:tcPr>
            <w:tcW w:w="671" w:type="pct"/>
            <w:shd w:val="clear" w:color="auto" w:fill="auto"/>
          </w:tcPr>
          <w:p w:rsidR="00AB62FC" w:rsidRPr="00C14674" w:rsidRDefault="00AB62FC" w:rsidP="00AB62FC">
            <w:pPr>
              <w:pBdr>
                <w:bottom w:val="double" w:sz="4" w:space="1" w:color="auto"/>
              </w:pBdr>
              <w:tabs>
                <w:tab w:val="right" w:leader="dot" w:pos="3969"/>
              </w:tabs>
              <w:spacing w:before="0" w:after="40"/>
              <w:jc w:val="right"/>
              <w:rPr>
                <w:b/>
                <w:sz w:val="18"/>
                <w:szCs w:val="18"/>
              </w:rPr>
            </w:pPr>
            <w:r w:rsidRPr="00C14674">
              <w:rPr>
                <w:b/>
                <w:sz w:val="18"/>
                <w:szCs w:val="18"/>
              </w:rPr>
              <w:t>29.1</w:t>
            </w:r>
          </w:p>
        </w:tc>
        <w:tc>
          <w:tcPr>
            <w:tcW w:w="671" w:type="pct"/>
            <w:shd w:val="clear" w:color="auto" w:fill="auto"/>
          </w:tcPr>
          <w:p w:rsidR="00AB62FC" w:rsidRPr="00C14674" w:rsidRDefault="00AB62FC" w:rsidP="00AB62FC">
            <w:pPr>
              <w:pBdr>
                <w:bottom w:val="double" w:sz="4" w:space="1" w:color="auto"/>
              </w:pBdr>
              <w:tabs>
                <w:tab w:val="right" w:leader="dot" w:pos="3969"/>
              </w:tabs>
              <w:spacing w:before="0" w:after="40"/>
              <w:jc w:val="right"/>
              <w:rPr>
                <w:b/>
                <w:sz w:val="18"/>
                <w:szCs w:val="18"/>
              </w:rPr>
            </w:pPr>
            <w:r w:rsidRPr="00C14674">
              <w:rPr>
                <w:b/>
                <w:sz w:val="18"/>
                <w:szCs w:val="18"/>
              </w:rPr>
              <w:t>86.9</w:t>
            </w:r>
          </w:p>
        </w:tc>
        <w:tc>
          <w:tcPr>
            <w:tcW w:w="655" w:type="pct"/>
            <w:shd w:val="clear" w:color="auto" w:fill="auto"/>
          </w:tcPr>
          <w:p w:rsidR="00AB62FC" w:rsidRPr="00C14674" w:rsidRDefault="00AB62FC" w:rsidP="00AB62FC">
            <w:pPr>
              <w:pBdr>
                <w:bottom w:val="double" w:sz="4" w:space="1" w:color="auto"/>
              </w:pBdr>
              <w:tabs>
                <w:tab w:val="right" w:leader="dot" w:pos="3969"/>
              </w:tabs>
              <w:spacing w:before="0" w:after="40"/>
              <w:jc w:val="right"/>
              <w:rPr>
                <w:b/>
                <w:sz w:val="18"/>
                <w:szCs w:val="18"/>
              </w:rPr>
            </w:pPr>
            <w:r w:rsidRPr="00C14674">
              <w:rPr>
                <w:b/>
                <w:sz w:val="18"/>
                <w:szCs w:val="18"/>
              </w:rPr>
              <w:t>127.1</w:t>
            </w:r>
          </w:p>
        </w:tc>
      </w:tr>
    </w:tbl>
    <w:p w:rsidR="003F0BC5" w:rsidRPr="00C14674" w:rsidRDefault="003F0BC5" w:rsidP="003F0BC5">
      <w:pPr>
        <w:rPr>
          <w:szCs w:val="20"/>
        </w:rPr>
      </w:pPr>
      <w:r w:rsidRPr="00C14674">
        <w:rPr>
          <w:szCs w:val="20"/>
        </w:rPr>
        <w:t>The Univeg Group mainly leases land, buildings, equipment and vehicles under operating lease agreements. The lease terms are mainly between 1 and 30 years.</w:t>
      </w:r>
    </w:p>
    <w:p w:rsidR="003F0BC5" w:rsidRPr="00C14674" w:rsidRDefault="003F0BC5" w:rsidP="003F0BC5">
      <w:pPr>
        <w:rPr>
          <w:szCs w:val="20"/>
        </w:rPr>
      </w:pPr>
      <w:r w:rsidRPr="00C14674">
        <w:rPr>
          <w:szCs w:val="20"/>
        </w:rPr>
        <w:t xml:space="preserve">As at 31 December 2014, the Univeg Group entered into capital expenditure commitments, totalling </w:t>
      </w:r>
      <w:r w:rsidR="00E53641">
        <w:rPr>
          <w:szCs w:val="20"/>
        </w:rPr>
        <w:t>EUR </w:t>
      </w:r>
      <w:r w:rsidRPr="00C14674">
        <w:rPr>
          <w:szCs w:val="20"/>
        </w:rPr>
        <w:t>900,000.</w:t>
      </w:r>
    </w:p>
    <w:p w:rsidR="003F0BC5" w:rsidRPr="00C14674" w:rsidRDefault="003F0BC5" w:rsidP="003F0BC5">
      <w:pPr>
        <w:rPr>
          <w:szCs w:val="20"/>
        </w:rPr>
      </w:pPr>
      <w:r w:rsidRPr="00C14674">
        <w:rPr>
          <w:szCs w:val="20"/>
        </w:rPr>
        <w:t>The Notes and Revolving Credit Facility are secured through different types of assets. These include:</w:t>
      </w:r>
    </w:p>
    <w:p w:rsidR="003F0BC5" w:rsidRPr="00C14674" w:rsidRDefault="003F0BC5" w:rsidP="00A440C3">
      <w:pPr>
        <w:pStyle w:val="BulletsL1"/>
      </w:pPr>
      <w:r w:rsidRPr="00C14674">
        <w:t>Pledge on the intercompany receivables of the major Dutch and Belgian subsidiaries of the Univeg Group;</w:t>
      </w:r>
    </w:p>
    <w:p w:rsidR="003F0BC5" w:rsidRPr="00C14674" w:rsidRDefault="003F0BC5" w:rsidP="005D7C36">
      <w:pPr>
        <w:pStyle w:val="BulletsL1"/>
      </w:pPr>
      <w:r w:rsidRPr="00C14674">
        <w:t>Pledge on the receivables of the most important Dutch, Belgian and Spanish subsidiaries of the Univeg Group outstanding on their insurance companies following claims;</w:t>
      </w:r>
    </w:p>
    <w:p w:rsidR="003F0BC5" w:rsidRPr="00C14674" w:rsidRDefault="003F0BC5" w:rsidP="005D7C36">
      <w:pPr>
        <w:pStyle w:val="BulletsL1"/>
      </w:pPr>
      <w:r w:rsidRPr="00C14674">
        <w:t>Pledge on VAT and tax receivables, as well as subsidies granted by government of the most important Belgian subsidiaries of the Univeg Group;</w:t>
      </w:r>
    </w:p>
    <w:p w:rsidR="003F0BC5" w:rsidRPr="00C14674" w:rsidRDefault="003F0BC5" w:rsidP="005D7C36">
      <w:pPr>
        <w:pStyle w:val="BulletsL1"/>
      </w:pPr>
      <w:r w:rsidRPr="00C14674">
        <w:lastRenderedPageBreak/>
        <w:t>Silent pledge on the trade receivables of the most important Dutch, Belgian and Spanish subsidiaries of the Univeg Group;</w:t>
      </w:r>
    </w:p>
    <w:p w:rsidR="003F0BC5" w:rsidRPr="00C14674" w:rsidRDefault="003F0BC5" w:rsidP="005D7C36">
      <w:pPr>
        <w:pStyle w:val="BulletsL1"/>
      </w:pPr>
      <w:r w:rsidRPr="00C14674">
        <w:t>Pledge on the bank accounts of the most important Dutch, Belgian, Spanish and German subsidiaries of the Univeg Group;</w:t>
      </w:r>
    </w:p>
    <w:p w:rsidR="003F0BC5" w:rsidRPr="00C14674" w:rsidRDefault="003F0BC5" w:rsidP="005D7C36">
      <w:pPr>
        <w:pStyle w:val="BulletsL1"/>
      </w:pPr>
      <w:r w:rsidRPr="00C14674">
        <w:t>Pledge on moveable assets of the most important Dutch and Belgian subsidiaries;</w:t>
      </w:r>
    </w:p>
    <w:p w:rsidR="003F0BC5" w:rsidRPr="00C14674" w:rsidRDefault="003F0BC5" w:rsidP="005D7C36">
      <w:pPr>
        <w:pStyle w:val="BulletsL1"/>
      </w:pPr>
      <w:r w:rsidRPr="00C14674">
        <w:t>Pledge on the shares of the most important Dutch, Belgian, Italian, German, English, French and Spanish affiliates of the Univeg Group;</w:t>
      </w:r>
    </w:p>
    <w:p w:rsidR="003F0BC5" w:rsidRDefault="003F0BC5" w:rsidP="005D7C36">
      <w:pPr>
        <w:pStyle w:val="BulletsL1"/>
      </w:pPr>
      <w:r w:rsidRPr="00C14674">
        <w:t>Silent pledge on the assets of the most important German and English affiliates of the Univeg Group.</w:t>
      </w:r>
    </w:p>
    <w:p w:rsidR="0083762C" w:rsidRPr="0083762C" w:rsidRDefault="0083762C" w:rsidP="0083762C">
      <w:pPr>
        <w:pStyle w:val="BulletsL1"/>
        <w:numPr>
          <w:ilvl w:val="0"/>
          <w:numId w:val="0"/>
        </w:numPr>
      </w:pPr>
      <w:r>
        <w:t xml:space="preserve">See also Section 8.2.4.3 of Part </w:t>
      </w:r>
      <w:r w:rsidR="00F2529B">
        <w:t>V (</w:t>
      </w:r>
      <w:r w:rsidR="00F2529B">
        <w:rPr>
          <w:i/>
        </w:rPr>
        <w:t>Information about the Combined Greenyard Foods Group upon completion of the Contributions</w:t>
      </w:r>
      <w:r w:rsidR="00F2529B">
        <w:t>)</w:t>
      </w:r>
      <w:r>
        <w:t>.</w:t>
      </w:r>
    </w:p>
    <w:p w:rsidR="00AB62FC" w:rsidRPr="00C14674" w:rsidRDefault="00AB62FC" w:rsidP="00353B80">
      <w:pPr>
        <w:pStyle w:val="Firm5L2"/>
        <w:keepNext/>
      </w:pPr>
      <w:bookmarkStart w:id="83" w:name="_Toc420593896"/>
      <w:r w:rsidRPr="00C14674">
        <w:t>Current trading</w:t>
      </w:r>
      <w:r w:rsidR="00C8137D" w:rsidRPr="00C14674">
        <w:t xml:space="preserve"> as of and for the period ended 31 March 2015</w:t>
      </w:r>
      <w:bookmarkEnd w:id="83"/>
    </w:p>
    <w:p w:rsidR="00AB62FC" w:rsidRPr="00C14674" w:rsidRDefault="00AB62FC" w:rsidP="00AB62FC">
      <w:pPr>
        <w:rPr>
          <w:bCs/>
        </w:rPr>
      </w:pPr>
      <w:r w:rsidRPr="00C14674">
        <w:rPr>
          <w:bCs/>
          <w:szCs w:val="20"/>
        </w:rPr>
        <w:t xml:space="preserve">The financial information described below is based primarily on (i) the audited consolidated financial statements of the Univeg Group as of and for the </w:t>
      </w:r>
      <w:r w:rsidR="00C8137D" w:rsidRPr="00C14674">
        <w:rPr>
          <w:bCs/>
          <w:szCs w:val="20"/>
        </w:rPr>
        <w:t xml:space="preserve">financial </w:t>
      </w:r>
      <w:r w:rsidRPr="00C14674">
        <w:rPr>
          <w:bCs/>
          <w:szCs w:val="20"/>
        </w:rPr>
        <w:t>year ended 31 December 2014,</w:t>
      </w:r>
      <w:r w:rsidR="00C14169">
        <w:rPr>
          <w:bCs/>
          <w:szCs w:val="20"/>
        </w:rPr>
        <w:t xml:space="preserve"> </w:t>
      </w:r>
      <w:r w:rsidRPr="00C14674">
        <w:rPr>
          <w:bCs/>
          <w:szCs w:val="20"/>
        </w:rPr>
        <w:t xml:space="preserve">prepared in accordance with </w:t>
      </w:r>
      <w:r w:rsidR="0034670F" w:rsidRPr="00C14674">
        <w:rPr>
          <w:bCs/>
          <w:szCs w:val="20"/>
        </w:rPr>
        <w:t>IFRS</w:t>
      </w:r>
      <w:r w:rsidRPr="00C14674">
        <w:rPr>
          <w:bCs/>
          <w:szCs w:val="20"/>
        </w:rPr>
        <w:t xml:space="preserve"> and (ii) the unaudited financial information as of and for the three months periods ended 31 March 2014 and 2015, measured in accordance with the group accounting policies of the Univeg Group as disclosed in the consolidated financials statements as of and for the </w:t>
      </w:r>
      <w:r w:rsidR="00C8137D" w:rsidRPr="00C14674">
        <w:rPr>
          <w:bCs/>
          <w:szCs w:val="20"/>
        </w:rPr>
        <w:t xml:space="preserve">financial </w:t>
      </w:r>
      <w:r w:rsidRPr="00C14674">
        <w:rPr>
          <w:bCs/>
          <w:szCs w:val="20"/>
        </w:rPr>
        <w:t xml:space="preserve">year ended 31 December 2014. </w:t>
      </w:r>
    </w:p>
    <w:p w:rsidR="00AB62FC" w:rsidRPr="00C14674" w:rsidRDefault="00AB62FC" w:rsidP="00AB62FC">
      <w:r w:rsidRPr="00C14674">
        <w:rPr>
          <w:b/>
        </w:rPr>
        <w:t>Revenues</w:t>
      </w:r>
    </w:p>
    <w:tbl>
      <w:tblPr>
        <w:tblW w:w="4870" w:type="pct"/>
        <w:jc w:val="center"/>
        <w:tblCellMar>
          <w:left w:w="0" w:type="dxa"/>
          <w:right w:w="0" w:type="dxa"/>
        </w:tblCellMar>
        <w:tblLook w:val="0000" w:firstRow="0" w:lastRow="0" w:firstColumn="0" w:lastColumn="0" w:noHBand="0" w:noVBand="0"/>
      </w:tblPr>
      <w:tblGrid>
        <w:gridCol w:w="6062"/>
        <w:gridCol w:w="1655"/>
        <w:gridCol w:w="1218"/>
      </w:tblGrid>
      <w:tr w:rsidR="00AB62FC" w:rsidRPr="00C14674" w:rsidTr="00AB62FC">
        <w:trPr>
          <w:tblHeader/>
          <w:jc w:val="center"/>
        </w:trPr>
        <w:tc>
          <w:tcPr>
            <w:tcW w:w="6078" w:type="dxa"/>
            <w:tcMar>
              <w:top w:w="0" w:type="dxa"/>
              <w:left w:w="144" w:type="dxa"/>
              <w:bottom w:w="0" w:type="dxa"/>
              <w:right w:w="0" w:type="dxa"/>
            </w:tcMar>
            <w:vAlign w:val="center"/>
          </w:tcPr>
          <w:p w:rsidR="00AB62FC" w:rsidRPr="00C14674" w:rsidRDefault="00AB62FC" w:rsidP="00AB62FC">
            <w:pPr>
              <w:keepNext/>
              <w:spacing w:before="0" w:after="0"/>
              <w:ind w:hanging="153"/>
              <w:rPr>
                <w:bCs/>
                <w:i/>
                <w:sz w:val="18"/>
                <w:szCs w:val="18"/>
              </w:rPr>
            </w:pPr>
            <w:r w:rsidRPr="00C14674">
              <w:rPr>
                <w:bCs/>
                <w:i/>
                <w:sz w:val="18"/>
                <w:szCs w:val="18"/>
              </w:rPr>
              <w:t>(</w:t>
            </w:r>
            <w:r w:rsidR="00E53641">
              <w:rPr>
                <w:bCs/>
                <w:i/>
                <w:sz w:val="18"/>
                <w:szCs w:val="18"/>
              </w:rPr>
              <w:t>EUR </w:t>
            </w:r>
            <w:r w:rsidRPr="00C14674">
              <w:rPr>
                <w:bCs/>
                <w:i/>
                <w:sz w:val="18"/>
                <w:szCs w:val="18"/>
              </w:rPr>
              <w:t>in millions)</w:t>
            </w:r>
          </w:p>
        </w:tc>
        <w:tc>
          <w:tcPr>
            <w:tcW w:w="1647" w:type="dxa"/>
            <w:tcBorders>
              <w:bottom w:val="single" w:sz="4" w:space="0" w:color="auto"/>
            </w:tcBorders>
            <w:tcMar>
              <w:top w:w="0" w:type="dxa"/>
              <w:left w:w="144" w:type="dxa"/>
              <w:bottom w:w="0" w:type="dxa"/>
              <w:right w:w="0" w:type="dxa"/>
            </w:tcMar>
            <w:vAlign w:val="bottom"/>
          </w:tcPr>
          <w:p w:rsidR="00AB62FC" w:rsidRPr="00C14674" w:rsidRDefault="00F2529B" w:rsidP="00AB62FC">
            <w:pPr>
              <w:spacing w:before="0" w:after="0"/>
              <w:jc w:val="center"/>
              <w:rPr>
                <w:b/>
                <w:sz w:val="18"/>
                <w:szCs w:val="18"/>
              </w:rPr>
            </w:pPr>
            <w:r>
              <w:rPr>
                <w:b/>
                <w:bCs/>
                <w:sz w:val="18"/>
                <w:szCs w:val="18"/>
              </w:rPr>
              <w:t>12 months</w:t>
            </w:r>
            <w:r w:rsidRPr="00C14674">
              <w:rPr>
                <w:b/>
                <w:bCs/>
                <w:sz w:val="18"/>
                <w:szCs w:val="18"/>
              </w:rPr>
              <w:t xml:space="preserve"> </w:t>
            </w:r>
            <w:r w:rsidR="00AB62FC" w:rsidRPr="00C14674">
              <w:rPr>
                <w:b/>
                <w:bCs/>
                <w:sz w:val="18"/>
                <w:szCs w:val="18"/>
              </w:rPr>
              <w:t>Ended</w:t>
            </w:r>
            <w:r w:rsidR="00AB62FC" w:rsidRPr="00C14674">
              <w:rPr>
                <w:b/>
                <w:bCs/>
                <w:sz w:val="18"/>
                <w:szCs w:val="18"/>
              </w:rPr>
              <w:br/>
              <w:t xml:space="preserve">31 March </w:t>
            </w:r>
            <w:r w:rsidR="00AB62FC" w:rsidRPr="00C14674">
              <w:rPr>
                <w:b/>
                <w:bCs/>
                <w:sz w:val="18"/>
                <w:szCs w:val="18"/>
              </w:rPr>
              <w:br/>
              <w:t>2015</w:t>
            </w:r>
          </w:p>
        </w:tc>
        <w:tc>
          <w:tcPr>
            <w:tcW w:w="1210" w:type="dxa"/>
            <w:tcBorders>
              <w:bottom w:val="single" w:sz="4" w:space="0" w:color="auto"/>
            </w:tcBorders>
            <w:tcMar>
              <w:top w:w="0" w:type="dxa"/>
              <w:left w:w="144" w:type="dxa"/>
              <w:bottom w:w="0" w:type="dxa"/>
              <w:right w:w="0" w:type="dxa"/>
            </w:tcMar>
            <w:vAlign w:val="bottom"/>
          </w:tcPr>
          <w:p w:rsidR="00AB62FC" w:rsidRPr="00C14674" w:rsidRDefault="00AB62FC" w:rsidP="00AB62FC">
            <w:pPr>
              <w:spacing w:before="0" w:after="0"/>
              <w:jc w:val="center"/>
              <w:rPr>
                <w:b/>
                <w:sz w:val="18"/>
                <w:szCs w:val="18"/>
              </w:rPr>
            </w:pPr>
            <w:r w:rsidRPr="00C14674">
              <w:rPr>
                <w:b/>
                <w:bCs/>
                <w:sz w:val="18"/>
                <w:szCs w:val="18"/>
              </w:rPr>
              <w:t>Year Ended</w:t>
            </w:r>
            <w:r w:rsidRPr="00C14674">
              <w:rPr>
                <w:b/>
                <w:bCs/>
                <w:sz w:val="18"/>
                <w:szCs w:val="18"/>
              </w:rPr>
              <w:br/>
              <w:t xml:space="preserve">31 December </w:t>
            </w:r>
            <w:r w:rsidRPr="00C14674">
              <w:rPr>
                <w:b/>
                <w:bCs/>
                <w:sz w:val="18"/>
                <w:szCs w:val="18"/>
              </w:rPr>
              <w:br/>
              <w:t>2014</w:t>
            </w:r>
          </w:p>
        </w:tc>
      </w:tr>
      <w:tr w:rsidR="00AB62FC" w:rsidRPr="00C14674" w:rsidTr="00AB62FC">
        <w:trPr>
          <w:jc w:val="center"/>
        </w:trPr>
        <w:tc>
          <w:tcPr>
            <w:tcW w:w="6078" w:type="dxa"/>
            <w:vAlign w:val="bottom"/>
          </w:tcPr>
          <w:p w:rsidR="00AB62FC" w:rsidRPr="00C14674" w:rsidRDefault="00AB62FC" w:rsidP="00AB62FC">
            <w:pPr>
              <w:keepNext/>
              <w:tabs>
                <w:tab w:val="right" w:leader="dot" w:pos="6340"/>
              </w:tabs>
              <w:spacing w:before="0" w:after="0"/>
              <w:ind w:left="102"/>
              <w:rPr>
                <w:sz w:val="18"/>
                <w:szCs w:val="18"/>
              </w:rPr>
            </w:pPr>
            <w:r w:rsidRPr="00C14674">
              <w:rPr>
                <w:sz w:val="18"/>
                <w:szCs w:val="18"/>
              </w:rPr>
              <w:t>Revenue from sales of the continuing operations</w:t>
            </w:r>
            <w:r w:rsidRPr="00C14674">
              <w:rPr>
                <w:sz w:val="18"/>
                <w:szCs w:val="18"/>
              </w:rPr>
              <w:tab/>
            </w:r>
          </w:p>
        </w:tc>
        <w:tc>
          <w:tcPr>
            <w:tcW w:w="1647" w:type="dxa"/>
            <w:tcBorders>
              <w:top w:val="single" w:sz="4" w:space="0" w:color="auto"/>
            </w:tcBorders>
            <w:noWrap/>
            <w:tcMar>
              <w:top w:w="0" w:type="dxa"/>
              <w:left w:w="144" w:type="dxa"/>
              <w:bottom w:w="0" w:type="dxa"/>
              <w:right w:w="0" w:type="dxa"/>
            </w:tcMar>
            <w:vAlign w:val="bottom"/>
          </w:tcPr>
          <w:p w:rsidR="00AB62FC" w:rsidRPr="00C14674" w:rsidRDefault="00AB62FC" w:rsidP="00AB62FC">
            <w:pPr>
              <w:tabs>
                <w:tab w:val="right" w:pos="1380"/>
                <w:tab w:val="decimal" w:pos="1420"/>
              </w:tabs>
              <w:spacing w:before="0" w:after="0"/>
              <w:jc w:val="right"/>
              <w:rPr>
                <w:sz w:val="18"/>
                <w:szCs w:val="18"/>
              </w:rPr>
            </w:pPr>
            <w:r w:rsidRPr="00C14674">
              <w:rPr>
                <w:sz w:val="18"/>
                <w:szCs w:val="18"/>
              </w:rPr>
              <w:t>3,241.3</w:t>
            </w:r>
          </w:p>
        </w:tc>
        <w:tc>
          <w:tcPr>
            <w:tcW w:w="1210" w:type="dxa"/>
            <w:tcBorders>
              <w:top w:val="single" w:sz="4" w:space="0" w:color="auto"/>
            </w:tcBorders>
            <w:noWrap/>
            <w:tcMar>
              <w:top w:w="0" w:type="dxa"/>
              <w:left w:w="144" w:type="dxa"/>
              <w:bottom w:w="0" w:type="dxa"/>
              <w:right w:w="0" w:type="dxa"/>
            </w:tcMar>
            <w:vAlign w:val="bottom"/>
          </w:tcPr>
          <w:p w:rsidR="00AB62FC" w:rsidRPr="00C14674" w:rsidRDefault="00AB62FC" w:rsidP="00AB62FC">
            <w:pPr>
              <w:tabs>
                <w:tab w:val="right" w:pos="1380"/>
                <w:tab w:val="decimal" w:pos="1420"/>
              </w:tabs>
              <w:spacing w:before="0" w:after="0"/>
              <w:jc w:val="right"/>
              <w:rPr>
                <w:sz w:val="18"/>
                <w:szCs w:val="18"/>
              </w:rPr>
            </w:pPr>
            <w:r w:rsidRPr="00C14674">
              <w:rPr>
                <w:sz w:val="18"/>
                <w:szCs w:val="18"/>
              </w:rPr>
              <w:t>3,170.7</w:t>
            </w:r>
          </w:p>
        </w:tc>
      </w:tr>
      <w:tr w:rsidR="00AB62FC" w:rsidRPr="00C14674" w:rsidTr="00AB62FC">
        <w:trPr>
          <w:jc w:val="center"/>
        </w:trPr>
        <w:tc>
          <w:tcPr>
            <w:tcW w:w="6078" w:type="dxa"/>
            <w:vAlign w:val="bottom"/>
          </w:tcPr>
          <w:p w:rsidR="00AB62FC" w:rsidRPr="00C14674" w:rsidRDefault="00AB62FC" w:rsidP="00AB62FC">
            <w:pPr>
              <w:keepNext/>
              <w:tabs>
                <w:tab w:val="right" w:leader="dot" w:pos="6340"/>
              </w:tabs>
              <w:spacing w:before="0" w:after="0"/>
              <w:ind w:left="244" w:hanging="142"/>
              <w:rPr>
                <w:sz w:val="18"/>
                <w:szCs w:val="18"/>
              </w:rPr>
            </w:pPr>
            <w:r w:rsidRPr="00C14674">
              <w:rPr>
                <w:sz w:val="18"/>
                <w:szCs w:val="18"/>
              </w:rPr>
              <w:t>Revenue from sales of discontinued operations</w:t>
            </w:r>
            <w:r w:rsidRPr="00C14674">
              <w:rPr>
                <w:sz w:val="18"/>
                <w:szCs w:val="18"/>
              </w:rPr>
              <w:tab/>
            </w:r>
          </w:p>
        </w:tc>
        <w:tc>
          <w:tcPr>
            <w:tcW w:w="1647" w:type="dxa"/>
            <w:noWrap/>
            <w:tcMar>
              <w:top w:w="0" w:type="dxa"/>
              <w:left w:w="144" w:type="dxa"/>
              <w:bottom w:w="0" w:type="dxa"/>
              <w:right w:w="0" w:type="dxa"/>
            </w:tcMar>
            <w:vAlign w:val="bottom"/>
          </w:tcPr>
          <w:p w:rsidR="00AB62FC" w:rsidRPr="00C14674" w:rsidRDefault="00AB62FC" w:rsidP="00AB62FC">
            <w:pPr>
              <w:tabs>
                <w:tab w:val="right" w:pos="1380"/>
                <w:tab w:val="decimal" w:pos="1420"/>
              </w:tabs>
              <w:spacing w:before="0" w:after="0"/>
              <w:jc w:val="right"/>
              <w:rPr>
                <w:sz w:val="18"/>
                <w:szCs w:val="18"/>
              </w:rPr>
            </w:pPr>
            <w:r w:rsidRPr="00C14674">
              <w:rPr>
                <w:sz w:val="18"/>
                <w:szCs w:val="18"/>
              </w:rPr>
              <w:t>69.2</w:t>
            </w:r>
          </w:p>
        </w:tc>
        <w:tc>
          <w:tcPr>
            <w:tcW w:w="1210" w:type="dxa"/>
            <w:noWrap/>
            <w:tcMar>
              <w:top w:w="0" w:type="dxa"/>
              <w:left w:w="144" w:type="dxa"/>
              <w:bottom w:w="0" w:type="dxa"/>
              <w:right w:w="0" w:type="dxa"/>
            </w:tcMar>
            <w:vAlign w:val="bottom"/>
          </w:tcPr>
          <w:p w:rsidR="00AB62FC" w:rsidRPr="00C14674" w:rsidRDefault="00AB62FC" w:rsidP="00AB62FC">
            <w:pPr>
              <w:tabs>
                <w:tab w:val="right" w:pos="1380"/>
                <w:tab w:val="decimal" w:pos="1420"/>
              </w:tabs>
              <w:spacing w:before="0" w:after="0"/>
              <w:jc w:val="right"/>
              <w:rPr>
                <w:sz w:val="18"/>
                <w:szCs w:val="18"/>
              </w:rPr>
            </w:pPr>
            <w:r w:rsidRPr="00C14674">
              <w:rPr>
                <w:sz w:val="18"/>
                <w:szCs w:val="18"/>
              </w:rPr>
              <w:t>94.0</w:t>
            </w:r>
          </w:p>
        </w:tc>
      </w:tr>
      <w:tr w:rsidR="00AB62FC" w:rsidRPr="00C14674" w:rsidTr="00AB62FC">
        <w:trPr>
          <w:jc w:val="center"/>
        </w:trPr>
        <w:tc>
          <w:tcPr>
            <w:tcW w:w="6078" w:type="dxa"/>
            <w:tcMar>
              <w:top w:w="0" w:type="dxa"/>
              <w:left w:w="144" w:type="dxa"/>
              <w:bottom w:w="0" w:type="dxa"/>
              <w:right w:w="0" w:type="dxa"/>
            </w:tcMar>
            <w:vAlign w:val="bottom"/>
          </w:tcPr>
          <w:p w:rsidR="00AB62FC" w:rsidRPr="00C14674" w:rsidRDefault="00AB62FC" w:rsidP="00AB62FC">
            <w:pPr>
              <w:tabs>
                <w:tab w:val="right" w:pos="1380"/>
                <w:tab w:val="decimal" w:pos="1420"/>
              </w:tabs>
              <w:spacing w:before="0" w:after="0"/>
              <w:rPr>
                <w:sz w:val="18"/>
                <w:szCs w:val="18"/>
              </w:rPr>
            </w:pPr>
            <w:r w:rsidRPr="00C14674">
              <w:rPr>
                <w:sz w:val="18"/>
                <w:szCs w:val="18"/>
              </w:rPr>
              <w:t> </w:t>
            </w:r>
          </w:p>
        </w:tc>
        <w:tc>
          <w:tcPr>
            <w:tcW w:w="1647" w:type="dxa"/>
            <w:tcMar>
              <w:top w:w="0" w:type="dxa"/>
              <w:left w:w="144" w:type="dxa"/>
              <w:bottom w:w="0" w:type="dxa"/>
              <w:right w:w="0" w:type="dxa"/>
            </w:tcMar>
            <w:vAlign w:val="bottom"/>
          </w:tcPr>
          <w:p w:rsidR="00AB62FC" w:rsidRPr="00C14674" w:rsidRDefault="00AB62FC" w:rsidP="00AB62FC">
            <w:pPr>
              <w:pBdr>
                <w:top w:val="single" w:sz="8" w:space="1" w:color="auto"/>
              </w:pBdr>
              <w:tabs>
                <w:tab w:val="right" w:pos="1380"/>
                <w:tab w:val="decimal" w:pos="1420"/>
              </w:tabs>
              <w:spacing w:before="0" w:after="0"/>
              <w:jc w:val="right"/>
              <w:rPr>
                <w:sz w:val="18"/>
                <w:szCs w:val="18"/>
              </w:rPr>
            </w:pPr>
            <w:r w:rsidRPr="00C14674">
              <w:rPr>
                <w:sz w:val="18"/>
                <w:szCs w:val="18"/>
              </w:rPr>
              <w:t> </w:t>
            </w:r>
          </w:p>
        </w:tc>
        <w:tc>
          <w:tcPr>
            <w:tcW w:w="1210" w:type="dxa"/>
            <w:tcMar>
              <w:top w:w="0" w:type="dxa"/>
              <w:left w:w="144" w:type="dxa"/>
              <w:bottom w:w="0" w:type="dxa"/>
              <w:right w:w="0" w:type="dxa"/>
            </w:tcMar>
            <w:vAlign w:val="bottom"/>
          </w:tcPr>
          <w:p w:rsidR="00AB62FC" w:rsidRPr="00C14674" w:rsidRDefault="00AB62FC" w:rsidP="00AB62FC">
            <w:pPr>
              <w:pBdr>
                <w:top w:val="single" w:sz="8" w:space="1" w:color="auto"/>
              </w:pBdr>
              <w:tabs>
                <w:tab w:val="right" w:pos="1380"/>
                <w:tab w:val="decimal" w:pos="1420"/>
              </w:tabs>
              <w:spacing w:before="0" w:after="0"/>
              <w:jc w:val="right"/>
              <w:rPr>
                <w:sz w:val="18"/>
                <w:szCs w:val="18"/>
              </w:rPr>
            </w:pPr>
            <w:r w:rsidRPr="00C14674">
              <w:rPr>
                <w:sz w:val="18"/>
                <w:szCs w:val="18"/>
              </w:rPr>
              <w:t> </w:t>
            </w:r>
          </w:p>
        </w:tc>
      </w:tr>
      <w:tr w:rsidR="00AB62FC" w:rsidRPr="00C14674" w:rsidTr="00AB62FC">
        <w:trPr>
          <w:jc w:val="center"/>
        </w:trPr>
        <w:tc>
          <w:tcPr>
            <w:tcW w:w="6078" w:type="dxa"/>
            <w:vAlign w:val="bottom"/>
          </w:tcPr>
          <w:p w:rsidR="00AB62FC" w:rsidRPr="00C14674" w:rsidRDefault="00AB62FC" w:rsidP="00AB62FC">
            <w:pPr>
              <w:tabs>
                <w:tab w:val="right" w:leader="dot" w:pos="6340"/>
              </w:tabs>
              <w:spacing w:before="0" w:after="0"/>
              <w:ind w:left="240" w:hanging="240"/>
              <w:rPr>
                <w:sz w:val="18"/>
                <w:szCs w:val="18"/>
              </w:rPr>
            </w:pPr>
            <w:r w:rsidRPr="00C14674">
              <w:rPr>
                <w:b/>
                <w:bCs/>
                <w:sz w:val="18"/>
                <w:szCs w:val="18"/>
              </w:rPr>
              <w:t>Revenues</w:t>
            </w:r>
            <w:r w:rsidRPr="00C14674">
              <w:rPr>
                <w:bCs/>
                <w:sz w:val="18"/>
                <w:szCs w:val="18"/>
              </w:rPr>
              <w:tab/>
            </w:r>
          </w:p>
        </w:tc>
        <w:tc>
          <w:tcPr>
            <w:tcW w:w="1647" w:type="dxa"/>
            <w:noWrap/>
            <w:tcMar>
              <w:top w:w="0" w:type="dxa"/>
              <w:left w:w="144" w:type="dxa"/>
              <w:bottom w:w="0" w:type="dxa"/>
              <w:right w:w="0" w:type="dxa"/>
            </w:tcMar>
            <w:vAlign w:val="bottom"/>
          </w:tcPr>
          <w:p w:rsidR="00AB62FC" w:rsidRPr="00C14674" w:rsidRDefault="00AB62FC" w:rsidP="00AB62FC">
            <w:pPr>
              <w:tabs>
                <w:tab w:val="right" w:pos="1380"/>
                <w:tab w:val="decimal" w:pos="1420"/>
              </w:tabs>
              <w:spacing w:before="0" w:after="0"/>
              <w:jc w:val="right"/>
              <w:rPr>
                <w:sz w:val="18"/>
                <w:szCs w:val="18"/>
              </w:rPr>
            </w:pPr>
            <w:r w:rsidRPr="00C14674">
              <w:rPr>
                <w:b/>
                <w:bCs/>
                <w:sz w:val="18"/>
                <w:szCs w:val="18"/>
              </w:rPr>
              <w:t>3,310.5</w:t>
            </w:r>
          </w:p>
        </w:tc>
        <w:tc>
          <w:tcPr>
            <w:tcW w:w="1210" w:type="dxa"/>
            <w:noWrap/>
            <w:tcMar>
              <w:top w:w="0" w:type="dxa"/>
              <w:left w:w="144" w:type="dxa"/>
              <w:bottom w:w="0" w:type="dxa"/>
              <w:right w:w="0" w:type="dxa"/>
            </w:tcMar>
            <w:vAlign w:val="bottom"/>
          </w:tcPr>
          <w:p w:rsidR="00AB62FC" w:rsidRPr="00C14674" w:rsidRDefault="00AB62FC" w:rsidP="00AB62FC">
            <w:pPr>
              <w:tabs>
                <w:tab w:val="right" w:pos="1380"/>
                <w:tab w:val="decimal" w:pos="1420"/>
              </w:tabs>
              <w:spacing w:before="0" w:after="0"/>
              <w:jc w:val="right"/>
              <w:rPr>
                <w:sz w:val="18"/>
                <w:szCs w:val="18"/>
              </w:rPr>
            </w:pPr>
            <w:r w:rsidRPr="00C14674">
              <w:rPr>
                <w:b/>
                <w:bCs/>
                <w:sz w:val="18"/>
                <w:szCs w:val="18"/>
              </w:rPr>
              <w:t>3,264.7</w:t>
            </w:r>
          </w:p>
        </w:tc>
      </w:tr>
      <w:tr w:rsidR="00AB62FC" w:rsidRPr="00C14674" w:rsidTr="00AB62FC">
        <w:trPr>
          <w:jc w:val="center"/>
        </w:trPr>
        <w:tc>
          <w:tcPr>
            <w:tcW w:w="6078" w:type="dxa"/>
            <w:tcMar>
              <w:top w:w="0" w:type="dxa"/>
              <w:left w:w="144" w:type="dxa"/>
              <w:bottom w:w="0" w:type="dxa"/>
              <w:right w:w="0" w:type="dxa"/>
            </w:tcMar>
            <w:vAlign w:val="bottom"/>
          </w:tcPr>
          <w:p w:rsidR="00AB62FC" w:rsidRPr="00C14674" w:rsidRDefault="00AB62FC" w:rsidP="00AB62FC">
            <w:pPr>
              <w:tabs>
                <w:tab w:val="right" w:pos="1380"/>
                <w:tab w:val="decimal" w:pos="1420"/>
              </w:tabs>
              <w:spacing w:before="0" w:after="0"/>
              <w:rPr>
                <w:sz w:val="18"/>
                <w:szCs w:val="18"/>
              </w:rPr>
            </w:pPr>
          </w:p>
        </w:tc>
        <w:tc>
          <w:tcPr>
            <w:tcW w:w="1647" w:type="dxa"/>
            <w:tcMar>
              <w:top w:w="0" w:type="dxa"/>
              <w:left w:w="144" w:type="dxa"/>
              <w:bottom w:w="0" w:type="dxa"/>
              <w:right w:w="0" w:type="dxa"/>
            </w:tcMar>
            <w:vAlign w:val="bottom"/>
          </w:tcPr>
          <w:p w:rsidR="00AB62FC" w:rsidRPr="00C14674" w:rsidRDefault="00AB62FC" w:rsidP="00AB62FC">
            <w:pPr>
              <w:pBdr>
                <w:top w:val="double" w:sz="6" w:space="1" w:color="auto"/>
              </w:pBdr>
              <w:tabs>
                <w:tab w:val="right" w:pos="1380"/>
                <w:tab w:val="decimal" w:pos="1420"/>
              </w:tabs>
              <w:spacing w:before="0" w:after="0"/>
              <w:rPr>
                <w:sz w:val="18"/>
                <w:szCs w:val="18"/>
              </w:rPr>
            </w:pPr>
          </w:p>
        </w:tc>
        <w:tc>
          <w:tcPr>
            <w:tcW w:w="1210" w:type="dxa"/>
            <w:tcMar>
              <w:top w:w="0" w:type="dxa"/>
              <w:left w:w="144" w:type="dxa"/>
              <w:bottom w:w="0" w:type="dxa"/>
              <w:right w:w="0" w:type="dxa"/>
            </w:tcMar>
            <w:vAlign w:val="bottom"/>
          </w:tcPr>
          <w:p w:rsidR="00AB62FC" w:rsidRPr="00C14674" w:rsidRDefault="00AB62FC" w:rsidP="00AB62FC">
            <w:pPr>
              <w:pBdr>
                <w:top w:val="double" w:sz="6" w:space="1" w:color="auto"/>
              </w:pBdr>
              <w:tabs>
                <w:tab w:val="right" w:pos="1380"/>
                <w:tab w:val="decimal" w:pos="1420"/>
              </w:tabs>
              <w:spacing w:before="0" w:after="0"/>
              <w:rPr>
                <w:sz w:val="18"/>
                <w:szCs w:val="18"/>
              </w:rPr>
            </w:pPr>
          </w:p>
        </w:tc>
      </w:tr>
    </w:tbl>
    <w:p w:rsidR="00AB62FC" w:rsidRPr="00C14674" w:rsidRDefault="00AB62FC" w:rsidP="00AB62FC">
      <w:pPr>
        <w:rPr>
          <w:bCs/>
          <w:szCs w:val="20"/>
        </w:rPr>
      </w:pPr>
      <w:r w:rsidRPr="00C14674">
        <w:rPr>
          <w:bCs/>
          <w:szCs w:val="20"/>
        </w:rPr>
        <w:t>The increase of revenues</w:t>
      </w:r>
      <w:r w:rsidR="00C14169">
        <w:rPr>
          <w:bCs/>
          <w:szCs w:val="20"/>
        </w:rPr>
        <w:t xml:space="preserve"> </w:t>
      </w:r>
      <w:r w:rsidRPr="00C14674">
        <w:rPr>
          <w:bCs/>
          <w:szCs w:val="20"/>
        </w:rPr>
        <w:t xml:space="preserve">over the </w:t>
      </w:r>
      <w:r w:rsidR="00F2529B">
        <w:rPr>
          <w:bCs/>
          <w:szCs w:val="20"/>
        </w:rPr>
        <w:t>12 months</w:t>
      </w:r>
      <w:r w:rsidR="00F2529B" w:rsidRPr="00C14674">
        <w:rPr>
          <w:bCs/>
          <w:szCs w:val="20"/>
        </w:rPr>
        <w:t xml:space="preserve"> </w:t>
      </w:r>
      <w:r w:rsidRPr="00C14674">
        <w:rPr>
          <w:bCs/>
          <w:szCs w:val="20"/>
        </w:rPr>
        <w:t xml:space="preserve">ended 31 March 2015 compared to </w:t>
      </w:r>
      <w:r w:rsidR="00C8137D" w:rsidRPr="00C14674">
        <w:rPr>
          <w:bCs/>
          <w:szCs w:val="20"/>
        </w:rPr>
        <w:t>the financial year ended</w:t>
      </w:r>
      <w:r w:rsidRPr="00C14674">
        <w:rPr>
          <w:bCs/>
          <w:szCs w:val="20"/>
        </w:rPr>
        <w:t xml:space="preserve"> 31 December 2014 was largely driven by the Fruit &amp; Vegetables segment. The operations in the </w:t>
      </w:r>
      <w:smartTag w:uri="urn:schemas-microsoft-com:office:smarttags" w:element="place">
        <w:smartTag w:uri="urn:schemas-microsoft-com:office:smarttags" w:element="PlaceName">
          <w:r w:rsidRPr="00C14674">
            <w:rPr>
              <w:bCs/>
              <w:szCs w:val="20"/>
            </w:rPr>
            <w:t>Czech</w:t>
          </w:r>
        </w:smartTag>
        <w:r w:rsidRPr="00C14674">
          <w:rPr>
            <w:bCs/>
            <w:szCs w:val="20"/>
          </w:rPr>
          <w:t xml:space="preserve"> </w:t>
        </w:r>
        <w:smartTag w:uri="urn:schemas-microsoft-com:office:smarttags" w:element="PlaceType">
          <w:r w:rsidRPr="00C14674">
            <w:rPr>
              <w:bCs/>
              <w:szCs w:val="20"/>
            </w:rPr>
            <w:t>Republic</w:t>
          </w:r>
        </w:smartTag>
      </w:smartTag>
      <w:r w:rsidRPr="00C14674">
        <w:rPr>
          <w:bCs/>
          <w:szCs w:val="20"/>
        </w:rPr>
        <w:t>, started early 2014, have benefited from an important volume growth thanks to increasing contributing stores. In addition, an important volume growth combined with increased prices resulted in a</w:t>
      </w:r>
      <w:r w:rsidR="0034670F" w:rsidRPr="00C14674">
        <w:rPr>
          <w:bCs/>
          <w:szCs w:val="20"/>
        </w:rPr>
        <w:t xml:space="preserve"> significant sales increase in T</w:t>
      </w:r>
      <w:r w:rsidRPr="00C14674">
        <w:rPr>
          <w:bCs/>
          <w:szCs w:val="20"/>
        </w:rPr>
        <w:t>he Netherlands. Overall, revenues to our current key customer over the first quarter ended 31 March 2015 were characterised by volume and price growth. For the month ended 31 March 2015, the decrease of revenues following the discontinuation by one of our key customers at the end of February was partly compensated by increased revenues to other German key customers.</w:t>
      </w:r>
    </w:p>
    <w:p w:rsidR="00AB62FC" w:rsidRPr="00C14674" w:rsidRDefault="00AB62FC" w:rsidP="00AB62FC">
      <w:pPr>
        <w:rPr>
          <w:b/>
          <w:bCs/>
          <w:szCs w:val="20"/>
        </w:rPr>
      </w:pPr>
      <w:r w:rsidRPr="00C14674">
        <w:rPr>
          <w:b/>
        </w:rPr>
        <w:t>REBITDA</w:t>
      </w:r>
    </w:p>
    <w:tbl>
      <w:tblPr>
        <w:tblW w:w="5001" w:type="pct"/>
        <w:jc w:val="center"/>
        <w:tblCellMar>
          <w:left w:w="0" w:type="dxa"/>
          <w:right w:w="0" w:type="dxa"/>
        </w:tblCellMar>
        <w:tblLook w:val="0000" w:firstRow="0" w:lastRow="0" w:firstColumn="0" w:lastColumn="0" w:noHBand="0" w:noVBand="0"/>
      </w:tblPr>
      <w:tblGrid>
        <w:gridCol w:w="5083"/>
        <w:gridCol w:w="2144"/>
        <w:gridCol w:w="1804"/>
      </w:tblGrid>
      <w:tr w:rsidR="00AB62FC" w:rsidRPr="00C14674" w:rsidTr="00AB62FC">
        <w:trPr>
          <w:tblHeader/>
          <w:jc w:val="center"/>
        </w:trPr>
        <w:tc>
          <w:tcPr>
            <w:tcW w:w="2814" w:type="pct"/>
            <w:vAlign w:val="center"/>
          </w:tcPr>
          <w:p w:rsidR="00AB62FC" w:rsidRPr="00C14674" w:rsidRDefault="00AB62FC" w:rsidP="00AB62FC">
            <w:pPr>
              <w:spacing w:before="0" w:after="0"/>
              <w:jc w:val="left"/>
              <w:rPr>
                <w:sz w:val="18"/>
                <w:szCs w:val="18"/>
              </w:rPr>
            </w:pPr>
            <w:r w:rsidRPr="00C14674">
              <w:rPr>
                <w:bCs/>
                <w:i/>
                <w:sz w:val="18"/>
                <w:szCs w:val="18"/>
              </w:rPr>
              <w:t>(</w:t>
            </w:r>
            <w:r w:rsidR="00E53641">
              <w:rPr>
                <w:bCs/>
                <w:i/>
                <w:sz w:val="18"/>
                <w:szCs w:val="18"/>
              </w:rPr>
              <w:t>EUR </w:t>
            </w:r>
            <w:r w:rsidRPr="00C14674">
              <w:rPr>
                <w:bCs/>
                <w:i/>
                <w:sz w:val="18"/>
                <w:szCs w:val="18"/>
              </w:rPr>
              <w:t>in millions)</w:t>
            </w:r>
            <w:r w:rsidRPr="00C14674">
              <w:rPr>
                <w:sz w:val="18"/>
                <w:szCs w:val="18"/>
              </w:rPr>
              <w:t> </w:t>
            </w:r>
          </w:p>
        </w:tc>
        <w:tc>
          <w:tcPr>
            <w:tcW w:w="1187" w:type="pct"/>
            <w:tcMar>
              <w:top w:w="0" w:type="dxa"/>
              <w:left w:w="144" w:type="dxa"/>
              <w:bottom w:w="0" w:type="dxa"/>
              <w:right w:w="0" w:type="dxa"/>
            </w:tcMar>
          </w:tcPr>
          <w:p w:rsidR="00AB62FC" w:rsidRPr="00C14674" w:rsidRDefault="00F2529B" w:rsidP="00AB62FC">
            <w:pPr>
              <w:pBdr>
                <w:bottom w:val="single" w:sz="4" w:space="1" w:color="auto"/>
              </w:pBdr>
              <w:tabs>
                <w:tab w:val="right" w:leader="dot" w:pos="7240"/>
              </w:tabs>
              <w:ind w:left="95" w:firstLine="5"/>
              <w:jc w:val="center"/>
              <w:rPr>
                <w:b/>
                <w:sz w:val="18"/>
                <w:szCs w:val="18"/>
              </w:rPr>
            </w:pPr>
            <w:r>
              <w:rPr>
                <w:b/>
                <w:bCs/>
                <w:sz w:val="18"/>
                <w:szCs w:val="18"/>
              </w:rPr>
              <w:t>12 months</w:t>
            </w:r>
            <w:r w:rsidRPr="00C14674">
              <w:rPr>
                <w:b/>
                <w:bCs/>
                <w:sz w:val="18"/>
                <w:szCs w:val="18"/>
              </w:rPr>
              <w:t xml:space="preserve"> </w:t>
            </w:r>
            <w:r w:rsidR="00AB62FC" w:rsidRPr="00C14674">
              <w:rPr>
                <w:b/>
                <w:bCs/>
                <w:sz w:val="18"/>
                <w:szCs w:val="18"/>
              </w:rPr>
              <w:t>Ended</w:t>
            </w:r>
            <w:r w:rsidR="00AB62FC" w:rsidRPr="00C14674">
              <w:rPr>
                <w:b/>
                <w:bCs/>
                <w:sz w:val="18"/>
                <w:szCs w:val="18"/>
              </w:rPr>
              <w:br/>
              <w:t xml:space="preserve">31 March </w:t>
            </w:r>
            <w:r w:rsidR="00AB62FC" w:rsidRPr="00C14674">
              <w:rPr>
                <w:b/>
                <w:bCs/>
                <w:sz w:val="18"/>
                <w:szCs w:val="18"/>
              </w:rPr>
              <w:br/>
              <w:t>2015</w:t>
            </w:r>
          </w:p>
        </w:tc>
        <w:tc>
          <w:tcPr>
            <w:tcW w:w="999" w:type="pct"/>
            <w:tcMar>
              <w:top w:w="0" w:type="dxa"/>
              <w:left w:w="144" w:type="dxa"/>
              <w:bottom w:w="0" w:type="dxa"/>
              <w:right w:w="0" w:type="dxa"/>
            </w:tcMar>
          </w:tcPr>
          <w:p w:rsidR="00AB62FC" w:rsidRPr="00C14674" w:rsidRDefault="00AB62FC" w:rsidP="00AB62FC">
            <w:pPr>
              <w:pBdr>
                <w:bottom w:val="single" w:sz="4" w:space="1" w:color="auto"/>
              </w:pBdr>
              <w:tabs>
                <w:tab w:val="right" w:leader="dot" w:pos="7240"/>
              </w:tabs>
              <w:ind w:left="-1"/>
              <w:jc w:val="center"/>
              <w:rPr>
                <w:b/>
                <w:sz w:val="18"/>
                <w:szCs w:val="18"/>
              </w:rPr>
            </w:pPr>
            <w:r w:rsidRPr="00C14674">
              <w:rPr>
                <w:b/>
                <w:bCs/>
                <w:sz w:val="18"/>
                <w:szCs w:val="18"/>
              </w:rPr>
              <w:t>Year Ended</w:t>
            </w:r>
            <w:r w:rsidRPr="00C14674">
              <w:rPr>
                <w:b/>
                <w:bCs/>
                <w:sz w:val="18"/>
                <w:szCs w:val="18"/>
              </w:rPr>
              <w:br/>
              <w:t xml:space="preserve">31 December </w:t>
            </w:r>
            <w:r w:rsidRPr="00C14674">
              <w:rPr>
                <w:b/>
                <w:bCs/>
                <w:sz w:val="18"/>
                <w:szCs w:val="18"/>
              </w:rPr>
              <w:br/>
              <w:t>2014</w:t>
            </w:r>
          </w:p>
        </w:tc>
      </w:tr>
      <w:tr w:rsidR="00AB62FC" w:rsidRPr="00C14674" w:rsidTr="00AB62FC">
        <w:tblPrEx>
          <w:jc w:val="right"/>
        </w:tblPrEx>
        <w:trPr>
          <w:jc w:val="right"/>
        </w:trPr>
        <w:tc>
          <w:tcPr>
            <w:tcW w:w="2814" w:type="pct"/>
          </w:tcPr>
          <w:p w:rsidR="00AB62FC" w:rsidRPr="00C14674" w:rsidRDefault="00AB62FC" w:rsidP="00AB62FC">
            <w:pPr>
              <w:keepNext/>
              <w:tabs>
                <w:tab w:val="right" w:leader="dot" w:pos="5160"/>
              </w:tabs>
              <w:spacing w:before="0" w:after="0"/>
              <w:ind w:left="240" w:hanging="240"/>
              <w:rPr>
                <w:b/>
                <w:sz w:val="18"/>
                <w:szCs w:val="18"/>
              </w:rPr>
            </w:pPr>
            <w:r w:rsidRPr="00C14674">
              <w:rPr>
                <w:b/>
                <w:sz w:val="18"/>
                <w:szCs w:val="18"/>
              </w:rPr>
              <w:t xml:space="preserve">Operating result </w:t>
            </w:r>
            <w:r w:rsidRPr="00C14674">
              <w:rPr>
                <w:sz w:val="18"/>
                <w:szCs w:val="18"/>
              </w:rPr>
              <w:tab/>
            </w:r>
          </w:p>
        </w:tc>
        <w:tc>
          <w:tcPr>
            <w:tcW w:w="1187" w:type="pct"/>
            <w:noWrap/>
            <w:tcMar>
              <w:top w:w="0" w:type="dxa"/>
              <w:left w:w="144" w:type="dxa"/>
              <w:bottom w:w="0" w:type="dxa"/>
              <w:right w:w="0" w:type="dxa"/>
            </w:tcMar>
            <w:vAlign w:val="bottom"/>
          </w:tcPr>
          <w:p w:rsidR="00AB62FC" w:rsidRPr="00C14674" w:rsidRDefault="00AB62FC" w:rsidP="00AB62FC">
            <w:pPr>
              <w:spacing w:before="0" w:after="0"/>
              <w:ind w:right="140"/>
              <w:jc w:val="right"/>
              <w:rPr>
                <w:sz w:val="18"/>
                <w:szCs w:val="18"/>
              </w:rPr>
            </w:pPr>
            <w:r w:rsidRPr="00C14674">
              <w:rPr>
                <w:b/>
                <w:bCs/>
                <w:sz w:val="18"/>
                <w:szCs w:val="18"/>
              </w:rPr>
              <w:t>54.9</w:t>
            </w:r>
          </w:p>
        </w:tc>
        <w:tc>
          <w:tcPr>
            <w:tcW w:w="999" w:type="pct"/>
            <w:noWrap/>
            <w:tcMar>
              <w:top w:w="0" w:type="dxa"/>
              <w:left w:w="144" w:type="dxa"/>
              <w:bottom w:w="0" w:type="dxa"/>
              <w:right w:w="0" w:type="dxa"/>
            </w:tcMar>
            <w:vAlign w:val="bottom"/>
          </w:tcPr>
          <w:p w:rsidR="00AB62FC" w:rsidRPr="00C14674" w:rsidRDefault="00AB62FC" w:rsidP="00AB62FC">
            <w:pPr>
              <w:spacing w:before="0" w:after="0"/>
              <w:ind w:right="140"/>
              <w:jc w:val="right"/>
              <w:rPr>
                <w:sz w:val="18"/>
                <w:szCs w:val="18"/>
              </w:rPr>
            </w:pPr>
            <w:r w:rsidRPr="00C14674">
              <w:rPr>
                <w:b/>
                <w:bCs/>
                <w:sz w:val="18"/>
                <w:szCs w:val="18"/>
              </w:rPr>
              <w:t>53.3</w:t>
            </w:r>
          </w:p>
        </w:tc>
      </w:tr>
      <w:tr w:rsidR="00AB62FC" w:rsidRPr="00C14674" w:rsidTr="00AB62FC">
        <w:tblPrEx>
          <w:jc w:val="right"/>
        </w:tblPrEx>
        <w:trPr>
          <w:jc w:val="right"/>
        </w:trPr>
        <w:tc>
          <w:tcPr>
            <w:tcW w:w="2814" w:type="pct"/>
          </w:tcPr>
          <w:p w:rsidR="00AB62FC" w:rsidRPr="00C14674" w:rsidRDefault="00AB62FC" w:rsidP="00AB62FC">
            <w:pPr>
              <w:keepNext/>
              <w:tabs>
                <w:tab w:val="right" w:leader="dot" w:pos="5160"/>
              </w:tabs>
              <w:spacing w:before="0" w:after="0"/>
              <w:ind w:left="240" w:hanging="240"/>
              <w:rPr>
                <w:sz w:val="18"/>
                <w:szCs w:val="18"/>
              </w:rPr>
            </w:pPr>
            <w:r w:rsidRPr="00C14674">
              <w:rPr>
                <w:sz w:val="18"/>
                <w:szCs w:val="18"/>
              </w:rPr>
              <w:t>Depreciation and amortisation, share of profit of equity accounted investments and non-controlling interests</w:t>
            </w:r>
            <w:r w:rsidRPr="00C14674">
              <w:rPr>
                <w:sz w:val="18"/>
                <w:szCs w:val="18"/>
              </w:rPr>
              <w:tab/>
            </w:r>
          </w:p>
        </w:tc>
        <w:tc>
          <w:tcPr>
            <w:tcW w:w="1187" w:type="pct"/>
            <w:noWrap/>
            <w:tcMar>
              <w:top w:w="0" w:type="dxa"/>
              <w:left w:w="144" w:type="dxa"/>
              <w:bottom w:w="0" w:type="dxa"/>
              <w:right w:w="0" w:type="dxa"/>
            </w:tcMar>
            <w:vAlign w:val="bottom"/>
          </w:tcPr>
          <w:p w:rsidR="00AB62FC" w:rsidRPr="00C14674" w:rsidRDefault="00AB62FC" w:rsidP="00AB62FC">
            <w:pPr>
              <w:pBdr>
                <w:bottom w:val="single" w:sz="4" w:space="1" w:color="auto"/>
              </w:pBdr>
              <w:spacing w:before="0" w:after="0"/>
              <w:ind w:right="140"/>
              <w:jc w:val="right"/>
              <w:rPr>
                <w:sz w:val="18"/>
                <w:szCs w:val="18"/>
              </w:rPr>
            </w:pPr>
            <w:r w:rsidRPr="00C14674">
              <w:rPr>
                <w:sz w:val="18"/>
                <w:szCs w:val="18"/>
              </w:rPr>
              <w:t>32.3</w:t>
            </w:r>
          </w:p>
        </w:tc>
        <w:tc>
          <w:tcPr>
            <w:tcW w:w="999" w:type="pct"/>
            <w:noWrap/>
            <w:tcMar>
              <w:top w:w="0" w:type="dxa"/>
              <w:left w:w="144" w:type="dxa"/>
              <w:bottom w:w="0" w:type="dxa"/>
              <w:right w:w="0" w:type="dxa"/>
            </w:tcMar>
            <w:vAlign w:val="bottom"/>
          </w:tcPr>
          <w:p w:rsidR="00AB62FC" w:rsidRPr="00C14674" w:rsidRDefault="00AB62FC" w:rsidP="00AB62FC">
            <w:pPr>
              <w:pBdr>
                <w:bottom w:val="single" w:sz="4" w:space="1" w:color="auto"/>
              </w:pBdr>
              <w:spacing w:before="0" w:after="0"/>
              <w:ind w:right="140"/>
              <w:jc w:val="right"/>
              <w:rPr>
                <w:sz w:val="18"/>
                <w:szCs w:val="18"/>
              </w:rPr>
            </w:pPr>
            <w:r w:rsidRPr="00C14674">
              <w:rPr>
                <w:sz w:val="18"/>
                <w:szCs w:val="18"/>
              </w:rPr>
              <w:t>33.1</w:t>
            </w:r>
          </w:p>
        </w:tc>
      </w:tr>
      <w:tr w:rsidR="00AB62FC" w:rsidRPr="00C14674" w:rsidTr="00AB62FC">
        <w:tblPrEx>
          <w:jc w:val="right"/>
        </w:tblPrEx>
        <w:trPr>
          <w:jc w:val="right"/>
        </w:trPr>
        <w:tc>
          <w:tcPr>
            <w:tcW w:w="2814" w:type="pct"/>
          </w:tcPr>
          <w:p w:rsidR="00AB62FC" w:rsidRPr="00C14674" w:rsidRDefault="00AB62FC" w:rsidP="00AB62FC">
            <w:pPr>
              <w:keepNext/>
              <w:tabs>
                <w:tab w:val="right" w:leader="dot" w:pos="5160"/>
              </w:tabs>
              <w:spacing w:before="0" w:after="0"/>
              <w:ind w:left="240" w:hanging="240"/>
              <w:rPr>
                <w:b/>
                <w:sz w:val="18"/>
                <w:szCs w:val="18"/>
              </w:rPr>
            </w:pPr>
            <w:r w:rsidRPr="00C14674">
              <w:rPr>
                <w:b/>
                <w:sz w:val="18"/>
                <w:szCs w:val="18"/>
              </w:rPr>
              <w:t>EBITDA</w:t>
            </w:r>
            <w:r w:rsidRPr="00C14674">
              <w:rPr>
                <w:sz w:val="18"/>
                <w:szCs w:val="18"/>
              </w:rPr>
              <w:tab/>
            </w:r>
          </w:p>
        </w:tc>
        <w:tc>
          <w:tcPr>
            <w:tcW w:w="1187" w:type="pct"/>
            <w:noWrap/>
            <w:tcMar>
              <w:top w:w="0" w:type="dxa"/>
              <w:left w:w="144" w:type="dxa"/>
              <w:bottom w:w="0" w:type="dxa"/>
              <w:right w:w="0" w:type="dxa"/>
            </w:tcMar>
            <w:vAlign w:val="bottom"/>
          </w:tcPr>
          <w:p w:rsidR="00AB62FC" w:rsidRPr="00C14674" w:rsidRDefault="00AB62FC" w:rsidP="00AB62FC">
            <w:pPr>
              <w:spacing w:before="0" w:after="0"/>
              <w:ind w:right="140"/>
              <w:jc w:val="right"/>
              <w:rPr>
                <w:sz w:val="18"/>
                <w:szCs w:val="18"/>
              </w:rPr>
            </w:pPr>
            <w:r w:rsidRPr="00C14674">
              <w:rPr>
                <w:b/>
                <w:bCs/>
                <w:sz w:val="18"/>
                <w:szCs w:val="18"/>
              </w:rPr>
              <w:t>87.2</w:t>
            </w:r>
          </w:p>
        </w:tc>
        <w:tc>
          <w:tcPr>
            <w:tcW w:w="999" w:type="pct"/>
            <w:noWrap/>
            <w:tcMar>
              <w:top w:w="0" w:type="dxa"/>
              <w:left w:w="144" w:type="dxa"/>
              <w:bottom w:w="0" w:type="dxa"/>
              <w:right w:w="0" w:type="dxa"/>
            </w:tcMar>
            <w:vAlign w:val="bottom"/>
          </w:tcPr>
          <w:p w:rsidR="00AB62FC" w:rsidRPr="00C14674" w:rsidRDefault="00AB62FC" w:rsidP="00AB62FC">
            <w:pPr>
              <w:spacing w:before="0" w:after="0"/>
              <w:ind w:right="140"/>
              <w:jc w:val="right"/>
              <w:rPr>
                <w:sz w:val="18"/>
                <w:szCs w:val="18"/>
              </w:rPr>
            </w:pPr>
            <w:r w:rsidRPr="00C14674">
              <w:rPr>
                <w:b/>
                <w:bCs/>
                <w:sz w:val="18"/>
                <w:szCs w:val="18"/>
              </w:rPr>
              <w:t>86.4</w:t>
            </w:r>
          </w:p>
        </w:tc>
      </w:tr>
      <w:tr w:rsidR="00AB62FC" w:rsidRPr="00C14674" w:rsidTr="00AB62FC">
        <w:tblPrEx>
          <w:jc w:val="right"/>
        </w:tblPrEx>
        <w:trPr>
          <w:jc w:val="right"/>
        </w:trPr>
        <w:tc>
          <w:tcPr>
            <w:tcW w:w="2814" w:type="pct"/>
          </w:tcPr>
          <w:p w:rsidR="00AB62FC" w:rsidRPr="00C14674" w:rsidRDefault="00AB62FC" w:rsidP="00AB62FC">
            <w:pPr>
              <w:keepNext/>
              <w:tabs>
                <w:tab w:val="right" w:leader="dot" w:pos="5160"/>
              </w:tabs>
              <w:spacing w:before="0" w:after="0"/>
              <w:ind w:left="240" w:hanging="240"/>
              <w:rPr>
                <w:sz w:val="18"/>
                <w:szCs w:val="18"/>
              </w:rPr>
            </w:pPr>
            <w:r w:rsidRPr="00C14674">
              <w:rPr>
                <w:sz w:val="18"/>
                <w:szCs w:val="18"/>
              </w:rPr>
              <w:t>EBITDA from discontinued operations</w:t>
            </w:r>
            <w:r w:rsidRPr="00C14674">
              <w:rPr>
                <w:sz w:val="18"/>
                <w:szCs w:val="18"/>
              </w:rPr>
              <w:tab/>
            </w:r>
          </w:p>
        </w:tc>
        <w:tc>
          <w:tcPr>
            <w:tcW w:w="1187" w:type="pct"/>
            <w:noWrap/>
            <w:tcMar>
              <w:top w:w="0" w:type="dxa"/>
              <w:left w:w="144" w:type="dxa"/>
              <w:bottom w:w="0" w:type="dxa"/>
              <w:right w:w="0" w:type="dxa"/>
            </w:tcMar>
            <w:vAlign w:val="bottom"/>
          </w:tcPr>
          <w:p w:rsidR="00AB62FC" w:rsidRPr="00C14674" w:rsidRDefault="00AB62FC" w:rsidP="00AB62FC">
            <w:pPr>
              <w:spacing w:before="0" w:after="0"/>
              <w:ind w:right="140"/>
              <w:jc w:val="right"/>
              <w:rPr>
                <w:sz w:val="18"/>
                <w:szCs w:val="18"/>
              </w:rPr>
            </w:pPr>
            <w:r w:rsidRPr="00C14674">
              <w:rPr>
                <w:sz w:val="18"/>
                <w:szCs w:val="18"/>
              </w:rPr>
              <w:t>2.7</w:t>
            </w:r>
          </w:p>
        </w:tc>
        <w:tc>
          <w:tcPr>
            <w:tcW w:w="999" w:type="pct"/>
            <w:noWrap/>
            <w:tcMar>
              <w:top w:w="0" w:type="dxa"/>
              <w:left w:w="144" w:type="dxa"/>
              <w:bottom w:w="0" w:type="dxa"/>
              <w:right w:w="0" w:type="dxa"/>
            </w:tcMar>
            <w:vAlign w:val="bottom"/>
          </w:tcPr>
          <w:p w:rsidR="00AB62FC" w:rsidRPr="00C14674" w:rsidRDefault="00AB62FC" w:rsidP="00AB62FC">
            <w:pPr>
              <w:spacing w:before="0" w:after="0"/>
              <w:ind w:right="140"/>
              <w:jc w:val="right"/>
              <w:rPr>
                <w:sz w:val="18"/>
                <w:szCs w:val="18"/>
              </w:rPr>
            </w:pPr>
            <w:r w:rsidRPr="00C14674">
              <w:rPr>
                <w:sz w:val="18"/>
                <w:szCs w:val="18"/>
              </w:rPr>
              <w:t>6.0</w:t>
            </w:r>
          </w:p>
        </w:tc>
      </w:tr>
      <w:tr w:rsidR="00AB62FC" w:rsidRPr="00C14674" w:rsidTr="00AB62FC">
        <w:tblPrEx>
          <w:jc w:val="right"/>
        </w:tblPrEx>
        <w:trPr>
          <w:jc w:val="right"/>
        </w:trPr>
        <w:tc>
          <w:tcPr>
            <w:tcW w:w="2814" w:type="pct"/>
          </w:tcPr>
          <w:p w:rsidR="00AB62FC" w:rsidRPr="00C14674" w:rsidRDefault="00AB62FC" w:rsidP="00AB62FC">
            <w:pPr>
              <w:keepNext/>
              <w:tabs>
                <w:tab w:val="right" w:leader="dot" w:pos="5160"/>
              </w:tabs>
              <w:spacing w:before="0" w:after="0"/>
              <w:ind w:left="240" w:hanging="240"/>
              <w:rPr>
                <w:sz w:val="18"/>
                <w:szCs w:val="18"/>
              </w:rPr>
            </w:pPr>
            <w:r w:rsidRPr="00C14674">
              <w:rPr>
                <w:sz w:val="18"/>
                <w:szCs w:val="18"/>
              </w:rPr>
              <w:t>Add-back non-recurring items</w:t>
            </w:r>
            <w:r w:rsidRPr="00C14674">
              <w:rPr>
                <w:sz w:val="18"/>
                <w:szCs w:val="18"/>
              </w:rPr>
              <w:tab/>
            </w:r>
          </w:p>
        </w:tc>
        <w:tc>
          <w:tcPr>
            <w:tcW w:w="1187" w:type="pct"/>
            <w:tcMar>
              <w:top w:w="0" w:type="dxa"/>
              <w:left w:w="144" w:type="dxa"/>
              <w:bottom w:w="0" w:type="dxa"/>
              <w:right w:w="0" w:type="dxa"/>
            </w:tcMar>
            <w:vAlign w:val="bottom"/>
          </w:tcPr>
          <w:p w:rsidR="00AB62FC" w:rsidRPr="00C14674" w:rsidRDefault="00AB62FC" w:rsidP="00AB62FC">
            <w:pPr>
              <w:pBdr>
                <w:bottom w:val="single" w:sz="4" w:space="1" w:color="auto"/>
              </w:pBdr>
              <w:spacing w:before="0" w:after="0"/>
              <w:ind w:right="140"/>
              <w:jc w:val="right"/>
              <w:rPr>
                <w:sz w:val="18"/>
                <w:szCs w:val="18"/>
              </w:rPr>
            </w:pPr>
            <w:r w:rsidRPr="00C14674">
              <w:rPr>
                <w:sz w:val="18"/>
                <w:szCs w:val="18"/>
              </w:rPr>
              <w:t>(13.0)</w:t>
            </w:r>
          </w:p>
        </w:tc>
        <w:tc>
          <w:tcPr>
            <w:tcW w:w="999" w:type="pct"/>
            <w:tcMar>
              <w:top w:w="0" w:type="dxa"/>
              <w:left w:w="144" w:type="dxa"/>
              <w:bottom w:w="0" w:type="dxa"/>
              <w:right w:w="0" w:type="dxa"/>
            </w:tcMar>
            <w:vAlign w:val="bottom"/>
          </w:tcPr>
          <w:p w:rsidR="00AB62FC" w:rsidRPr="00C14674" w:rsidRDefault="00AB62FC" w:rsidP="00AB62FC">
            <w:pPr>
              <w:pBdr>
                <w:bottom w:val="single" w:sz="4" w:space="1" w:color="auto"/>
              </w:pBdr>
              <w:spacing w:before="0" w:after="0"/>
              <w:ind w:right="140"/>
              <w:jc w:val="right"/>
              <w:rPr>
                <w:sz w:val="18"/>
                <w:szCs w:val="18"/>
              </w:rPr>
            </w:pPr>
            <w:r w:rsidRPr="00C14674">
              <w:rPr>
                <w:sz w:val="18"/>
                <w:szCs w:val="18"/>
              </w:rPr>
              <w:t>(15.0)</w:t>
            </w:r>
          </w:p>
        </w:tc>
      </w:tr>
      <w:tr w:rsidR="00AB62FC" w:rsidRPr="00C14674" w:rsidTr="00AB62FC">
        <w:tblPrEx>
          <w:jc w:val="right"/>
        </w:tblPrEx>
        <w:trPr>
          <w:jc w:val="right"/>
        </w:trPr>
        <w:tc>
          <w:tcPr>
            <w:tcW w:w="2814" w:type="pct"/>
          </w:tcPr>
          <w:p w:rsidR="00AB62FC" w:rsidRPr="00C14674" w:rsidRDefault="00AB62FC" w:rsidP="00AB62FC">
            <w:pPr>
              <w:keepNext/>
              <w:tabs>
                <w:tab w:val="right" w:leader="dot" w:pos="5160"/>
              </w:tabs>
              <w:spacing w:before="0" w:after="0"/>
              <w:ind w:left="240" w:hanging="240"/>
              <w:rPr>
                <w:b/>
                <w:sz w:val="18"/>
                <w:szCs w:val="18"/>
              </w:rPr>
            </w:pPr>
            <w:r w:rsidRPr="00C14674">
              <w:rPr>
                <w:b/>
                <w:sz w:val="18"/>
                <w:szCs w:val="18"/>
              </w:rPr>
              <w:t>REBITDA</w:t>
            </w:r>
            <w:r w:rsidRPr="00C14674">
              <w:rPr>
                <w:sz w:val="18"/>
                <w:szCs w:val="18"/>
              </w:rPr>
              <w:tab/>
            </w:r>
          </w:p>
        </w:tc>
        <w:tc>
          <w:tcPr>
            <w:tcW w:w="1187" w:type="pct"/>
            <w:noWrap/>
            <w:tcMar>
              <w:top w:w="0" w:type="dxa"/>
              <w:left w:w="144" w:type="dxa"/>
              <w:bottom w:w="0" w:type="dxa"/>
              <w:right w:w="0" w:type="dxa"/>
            </w:tcMar>
            <w:vAlign w:val="bottom"/>
          </w:tcPr>
          <w:p w:rsidR="00AB62FC" w:rsidRPr="00C14674" w:rsidRDefault="00AB62FC" w:rsidP="00AB62FC">
            <w:pPr>
              <w:pBdr>
                <w:bottom w:val="double" w:sz="4" w:space="1" w:color="auto"/>
              </w:pBdr>
              <w:spacing w:before="0" w:after="0"/>
              <w:ind w:right="140"/>
              <w:jc w:val="right"/>
              <w:rPr>
                <w:sz w:val="18"/>
                <w:szCs w:val="18"/>
              </w:rPr>
            </w:pPr>
            <w:r w:rsidRPr="00C14674">
              <w:rPr>
                <w:b/>
                <w:bCs/>
                <w:sz w:val="18"/>
                <w:szCs w:val="18"/>
              </w:rPr>
              <w:t>76.9</w:t>
            </w:r>
          </w:p>
        </w:tc>
        <w:tc>
          <w:tcPr>
            <w:tcW w:w="999" w:type="pct"/>
            <w:noWrap/>
            <w:tcMar>
              <w:top w:w="0" w:type="dxa"/>
              <w:left w:w="144" w:type="dxa"/>
              <w:bottom w:w="0" w:type="dxa"/>
              <w:right w:w="0" w:type="dxa"/>
            </w:tcMar>
            <w:vAlign w:val="bottom"/>
          </w:tcPr>
          <w:p w:rsidR="00AB62FC" w:rsidRPr="00C14674" w:rsidRDefault="00AB62FC" w:rsidP="00AB62FC">
            <w:pPr>
              <w:pBdr>
                <w:bottom w:val="double" w:sz="4" w:space="1" w:color="auto"/>
              </w:pBdr>
              <w:spacing w:before="0" w:after="0"/>
              <w:ind w:right="140"/>
              <w:jc w:val="right"/>
              <w:rPr>
                <w:sz w:val="18"/>
                <w:szCs w:val="18"/>
              </w:rPr>
            </w:pPr>
            <w:r w:rsidRPr="00C14674">
              <w:rPr>
                <w:b/>
                <w:bCs/>
                <w:sz w:val="18"/>
                <w:szCs w:val="18"/>
              </w:rPr>
              <w:t>77.4</w:t>
            </w:r>
          </w:p>
        </w:tc>
      </w:tr>
      <w:tr w:rsidR="00AB62FC" w:rsidRPr="00C14674" w:rsidTr="00AB62FC">
        <w:tblPrEx>
          <w:jc w:val="right"/>
        </w:tblPrEx>
        <w:trPr>
          <w:jc w:val="right"/>
        </w:trPr>
        <w:tc>
          <w:tcPr>
            <w:tcW w:w="2814" w:type="pct"/>
          </w:tcPr>
          <w:p w:rsidR="00AB62FC" w:rsidRPr="00C14674" w:rsidRDefault="00AB62FC" w:rsidP="00AB62FC">
            <w:pPr>
              <w:keepNext/>
              <w:tabs>
                <w:tab w:val="right" w:leader="dot" w:pos="5160"/>
              </w:tabs>
              <w:spacing w:before="0" w:after="0"/>
              <w:ind w:left="240" w:hanging="240"/>
              <w:rPr>
                <w:b/>
                <w:sz w:val="18"/>
                <w:szCs w:val="18"/>
              </w:rPr>
            </w:pPr>
          </w:p>
        </w:tc>
        <w:tc>
          <w:tcPr>
            <w:tcW w:w="1187" w:type="pct"/>
            <w:noWrap/>
            <w:tcMar>
              <w:top w:w="0" w:type="dxa"/>
              <w:left w:w="144" w:type="dxa"/>
              <w:bottom w:w="0" w:type="dxa"/>
              <w:right w:w="0" w:type="dxa"/>
            </w:tcMar>
            <w:vAlign w:val="bottom"/>
          </w:tcPr>
          <w:p w:rsidR="00AB62FC" w:rsidRPr="00C14674" w:rsidRDefault="00AB62FC" w:rsidP="00AB62FC">
            <w:pPr>
              <w:spacing w:before="0" w:after="0"/>
              <w:ind w:right="140"/>
              <w:jc w:val="right"/>
              <w:rPr>
                <w:b/>
                <w:bCs/>
                <w:sz w:val="18"/>
                <w:szCs w:val="18"/>
              </w:rPr>
            </w:pPr>
          </w:p>
        </w:tc>
        <w:tc>
          <w:tcPr>
            <w:tcW w:w="999" w:type="pct"/>
            <w:noWrap/>
            <w:tcMar>
              <w:top w:w="0" w:type="dxa"/>
              <w:left w:w="144" w:type="dxa"/>
              <w:bottom w:w="0" w:type="dxa"/>
              <w:right w:w="0" w:type="dxa"/>
            </w:tcMar>
            <w:vAlign w:val="bottom"/>
          </w:tcPr>
          <w:p w:rsidR="00AB62FC" w:rsidRPr="00C14674" w:rsidRDefault="00AB62FC" w:rsidP="00AB62FC">
            <w:pPr>
              <w:spacing w:before="0" w:after="0"/>
              <w:ind w:right="140"/>
              <w:jc w:val="right"/>
              <w:rPr>
                <w:b/>
                <w:bCs/>
                <w:sz w:val="18"/>
                <w:szCs w:val="18"/>
              </w:rPr>
            </w:pPr>
          </w:p>
        </w:tc>
      </w:tr>
    </w:tbl>
    <w:p w:rsidR="00AB62FC" w:rsidRPr="00C14674" w:rsidRDefault="00AB62FC" w:rsidP="00AB62FC">
      <w:pPr>
        <w:rPr>
          <w:bCs/>
          <w:szCs w:val="20"/>
        </w:rPr>
      </w:pPr>
      <w:r w:rsidRPr="00C14674">
        <w:rPr>
          <w:bCs/>
          <w:szCs w:val="20"/>
        </w:rPr>
        <w:t xml:space="preserve">REBITDA over </w:t>
      </w:r>
      <w:r w:rsidR="00C8137D" w:rsidRPr="00C14674">
        <w:rPr>
          <w:bCs/>
          <w:szCs w:val="20"/>
        </w:rPr>
        <w:t xml:space="preserve">the </w:t>
      </w:r>
      <w:r w:rsidR="00F2529B">
        <w:rPr>
          <w:bCs/>
          <w:szCs w:val="20"/>
        </w:rPr>
        <w:t>12 months</w:t>
      </w:r>
      <w:r w:rsidR="00F2529B" w:rsidRPr="00C14674">
        <w:rPr>
          <w:bCs/>
          <w:szCs w:val="20"/>
        </w:rPr>
        <w:t xml:space="preserve"> </w:t>
      </w:r>
      <w:r w:rsidR="00C8137D" w:rsidRPr="00C14674">
        <w:rPr>
          <w:bCs/>
          <w:szCs w:val="20"/>
        </w:rPr>
        <w:t>ended</w:t>
      </w:r>
      <w:r w:rsidRPr="00C14674">
        <w:rPr>
          <w:bCs/>
          <w:szCs w:val="20"/>
        </w:rPr>
        <w:t xml:space="preserve"> 31 March 2015 remains stable. The positive impact of higher revenues in the Fruit &amp; Vegetables segment, particularly in the Dutch service operations, is partly offset by (i) some opposing product mix changes in the United Kingdom respectively France and (iii) aggressive retail pricing in Spain. In addition, REBITDA of the Flower &amp; Plants segment is unfavourably affected by lower margins partly due to Dutch tulip price commtiments. </w:t>
      </w:r>
    </w:p>
    <w:p w:rsidR="00AB62FC" w:rsidRPr="00C14674" w:rsidRDefault="00AB62FC" w:rsidP="00AB62FC">
      <w:pPr>
        <w:rPr>
          <w:b/>
        </w:rPr>
      </w:pPr>
      <w:r w:rsidRPr="00C14674">
        <w:rPr>
          <w:b/>
        </w:rPr>
        <w:t>Balance sheet</w:t>
      </w:r>
    </w:p>
    <w:tbl>
      <w:tblPr>
        <w:tblW w:w="5000" w:type="pct"/>
        <w:jc w:val="center"/>
        <w:tblCellMar>
          <w:left w:w="0" w:type="dxa"/>
          <w:right w:w="0" w:type="dxa"/>
        </w:tblCellMar>
        <w:tblLook w:val="0000" w:firstRow="0" w:lastRow="0" w:firstColumn="0" w:lastColumn="0" w:noHBand="0" w:noVBand="0"/>
      </w:tblPr>
      <w:tblGrid>
        <w:gridCol w:w="6101"/>
        <w:gridCol w:w="542"/>
        <w:gridCol w:w="1024"/>
        <w:gridCol w:w="60"/>
        <w:gridCol w:w="1210"/>
        <w:gridCol w:w="92"/>
      </w:tblGrid>
      <w:tr w:rsidR="00AB62FC" w:rsidRPr="00C14674" w:rsidTr="00AB62FC">
        <w:trPr>
          <w:gridAfter w:val="1"/>
          <w:wAfter w:w="51" w:type="pct"/>
          <w:trHeight w:val="70"/>
          <w:tblHeader/>
          <w:jc w:val="center"/>
        </w:trPr>
        <w:tc>
          <w:tcPr>
            <w:tcW w:w="3379" w:type="pct"/>
            <w:vMerge w:val="restart"/>
            <w:vAlign w:val="center"/>
          </w:tcPr>
          <w:p w:rsidR="00AB62FC" w:rsidRPr="00C14674" w:rsidRDefault="00AB62FC" w:rsidP="00AB62FC">
            <w:pPr>
              <w:spacing w:before="0" w:after="0"/>
              <w:jc w:val="left"/>
              <w:rPr>
                <w:sz w:val="18"/>
                <w:szCs w:val="18"/>
              </w:rPr>
            </w:pPr>
            <w:r w:rsidRPr="00C14674">
              <w:rPr>
                <w:bCs/>
                <w:i/>
                <w:sz w:val="18"/>
                <w:szCs w:val="18"/>
              </w:rPr>
              <w:lastRenderedPageBreak/>
              <w:t>(</w:t>
            </w:r>
            <w:r w:rsidR="00E53641">
              <w:rPr>
                <w:bCs/>
                <w:i/>
                <w:sz w:val="18"/>
                <w:szCs w:val="18"/>
              </w:rPr>
              <w:t>EUR </w:t>
            </w:r>
            <w:r w:rsidRPr="00C14674">
              <w:rPr>
                <w:bCs/>
                <w:i/>
                <w:sz w:val="18"/>
                <w:szCs w:val="18"/>
              </w:rPr>
              <w:t>in millions)</w:t>
            </w:r>
            <w:r w:rsidRPr="00C14674">
              <w:rPr>
                <w:sz w:val="18"/>
                <w:szCs w:val="18"/>
              </w:rPr>
              <w:t> </w:t>
            </w:r>
          </w:p>
        </w:tc>
        <w:tc>
          <w:tcPr>
            <w:tcW w:w="900" w:type="pct"/>
            <w:gridSpan w:val="3"/>
            <w:tcMar>
              <w:top w:w="0" w:type="dxa"/>
              <w:left w:w="144" w:type="dxa"/>
              <w:bottom w:w="0" w:type="dxa"/>
              <w:right w:w="0" w:type="dxa"/>
            </w:tcMar>
          </w:tcPr>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 xml:space="preserve">31 March </w:t>
            </w:r>
            <w:r w:rsidRPr="00C14674">
              <w:rPr>
                <w:b/>
                <w:bCs/>
                <w:sz w:val="18"/>
                <w:szCs w:val="18"/>
              </w:rPr>
              <w:br/>
              <w:t>2015</w:t>
            </w:r>
          </w:p>
          <w:p w:rsidR="00AB62FC" w:rsidRPr="00C14674" w:rsidRDefault="00AB62FC" w:rsidP="00AB62FC">
            <w:pPr>
              <w:pStyle w:val="rrdsinglerule4"/>
              <w:pBdr>
                <w:top w:val="none" w:sz="0" w:space="0" w:color="auto"/>
                <w:bottom w:val="single" w:sz="4" w:space="1" w:color="auto"/>
              </w:pBdr>
              <w:spacing w:before="0" w:after="0"/>
              <w:rPr>
                <w:b/>
                <w:bCs/>
                <w:sz w:val="18"/>
                <w:szCs w:val="18"/>
                <w:lang w:val="en-GB"/>
              </w:rPr>
            </w:pPr>
          </w:p>
        </w:tc>
        <w:tc>
          <w:tcPr>
            <w:tcW w:w="670" w:type="pct"/>
            <w:tcMar>
              <w:top w:w="0" w:type="dxa"/>
              <w:left w:w="144" w:type="dxa"/>
              <w:bottom w:w="0" w:type="dxa"/>
              <w:right w:w="0" w:type="dxa"/>
            </w:tcMar>
          </w:tcPr>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 xml:space="preserve">31 December </w:t>
            </w:r>
            <w:r w:rsidRPr="00C14674">
              <w:rPr>
                <w:b/>
                <w:bCs/>
                <w:sz w:val="18"/>
                <w:szCs w:val="18"/>
              </w:rPr>
              <w:br/>
              <w:t>2014</w:t>
            </w:r>
          </w:p>
          <w:p w:rsidR="00AB62FC" w:rsidRPr="00C14674" w:rsidRDefault="00AB62FC" w:rsidP="00AB62FC">
            <w:pPr>
              <w:pStyle w:val="rrdsinglerule4"/>
              <w:pBdr>
                <w:top w:val="none" w:sz="0" w:space="0" w:color="auto"/>
                <w:bottom w:val="single" w:sz="4" w:space="1" w:color="auto"/>
              </w:pBdr>
              <w:spacing w:before="0" w:after="0"/>
              <w:rPr>
                <w:b/>
                <w:bCs/>
                <w:sz w:val="18"/>
                <w:szCs w:val="18"/>
                <w:lang w:val="en-GB"/>
              </w:rPr>
            </w:pPr>
          </w:p>
        </w:tc>
      </w:tr>
      <w:tr w:rsidR="00AB62FC" w:rsidRPr="00C14674" w:rsidTr="00AB62FC">
        <w:trPr>
          <w:gridAfter w:val="1"/>
          <w:wAfter w:w="51" w:type="pct"/>
          <w:trHeight w:val="45"/>
          <w:tblHeader/>
          <w:jc w:val="center"/>
        </w:trPr>
        <w:tc>
          <w:tcPr>
            <w:tcW w:w="3379" w:type="pct"/>
            <w:vMerge/>
            <w:tcMar>
              <w:top w:w="0" w:type="dxa"/>
              <w:left w:w="144" w:type="dxa"/>
              <w:bottom w:w="0" w:type="dxa"/>
              <w:right w:w="0" w:type="dxa"/>
            </w:tcMar>
            <w:vAlign w:val="bottom"/>
          </w:tcPr>
          <w:p w:rsidR="00AB62FC" w:rsidRPr="00C14674" w:rsidRDefault="00AB62FC" w:rsidP="00AB62FC">
            <w:pPr>
              <w:pStyle w:val="la24"/>
              <w:keepNext/>
              <w:spacing w:before="0" w:after="0"/>
              <w:rPr>
                <w:noProof w:val="0"/>
                <w:sz w:val="18"/>
                <w:szCs w:val="18"/>
                <w:lang w:val="en-GB"/>
              </w:rPr>
            </w:pPr>
          </w:p>
        </w:tc>
        <w:tc>
          <w:tcPr>
            <w:tcW w:w="1570" w:type="pct"/>
            <w:gridSpan w:val="4"/>
            <w:vMerge w:val="restart"/>
            <w:tcMar>
              <w:top w:w="0" w:type="dxa"/>
              <w:left w:w="144" w:type="dxa"/>
              <w:bottom w:w="0" w:type="dxa"/>
              <w:right w:w="0" w:type="dxa"/>
            </w:tcMar>
            <w:vAlign w:val="bottom"/>
          </w:tcPr>
          <w:p w:rsidR="00AB62FC" w:rsidRPr="00C14674" w:rsidRDefault="00AB62FC" w:rsidP="00AB62FC">
            <w:pPr>
              <w:spacing w:before="0" w:after="0"/>
              <w:jc w:val="right"/>
              <w:rPr>
                <w:b/>
                <w:bCs/>
                <w:sz w:val="18"/>
                <w:szCs w:val="18"/>
              </w:rPr>
            </w:pPr>
          </w:p>
        </w:tc>
      </w:tr>
      <w:tr w:rsidR="00AB62FC" w:rsidRPr="00C14674" w:rsidTr="00AB62FC">
        <w:trPr>
          <w:gridAfter w:val="1"/>
          <w:wAfter w:w="51" w:type="pct"/>
          <w:tblHeader/>
          <w:jc w:val="center"/>
        </w:trPr>
        <w:tc>
          <w:tcPr>
            <w:tcW w:w="3379" w:type="pct"/>
            <w:tcMar>
              <w:top w:w="0" w:type="dxa"/>
              <w:left w:w="144" w:type="dxa"/>
              <w:bottom w:w="0" w:type="dxa"/>
              <w:right w:w="0" w:type="dxa"/>
            </w:tcMar>
            <w:vAlign w:val="bottom"/>
          </w:tcPr>
          <w:p w:rsidR="00AB62FC" w:rsidRPr="00C14674" w:rsidRDefault="00AB62FC" w:rsidP="00AB62FC">
            <w:pPr>
              <w:pStyle w:val="la24"/>
              <w:keepNext/>
              <w:spacing w:before="0" w:after="0"/>
              <w:rPr>
                <w:noProof w:val="0"/>
                <w:sz w:val="18"/>
                <w:szCs w:val="18"/>
                <w:lang w:val="en-GB"/>
              </w:rPr>
            </w:pPr>
            <w:r w:rsidRPr="00C14674">
              <w:rPr>
                <w:noProof w:val="0"/>
                <w:sz w:val="18"/>
                <w:szCs w:val="18"/>
                <w:lang w:val="en-GB"/>
              </w:rPr>
              <w:t> </w:t>
            </w:r>
          </w:p>
        </w:tc>
        <w:tc>
          <w:tcPr>
            <w:tcW w:w="1570" w:type="pct"/>
            <w:gridSpan w:val="4"/>
            <w:vMerge/>
            <w:vAlign w:val="center"/>
          </w:tcPr>
          <w:p w:rsidR="00AB62FC" w:rsidRPr="00C14674" w:rsidRDefault="00AB62FC" w:rsidP="00AB62FC">
            <w:pPr>
              <w:spacing w:before="0" w:after="0"/>
              <w:jc w:val="right"/>
              <w:rPr>
                <w:b/>
                <w:bCs/>
                <w:sz w:val="18"/>
                <w:szCs w:val="18"/>
              </w:rPr>
            </w:pPr>
          </w:p>
        </w:tc>
      </w:tr>
      <w:tr w:rsidR="00AB62FC" w:rsidRPr="00C14674" w:rsidTr="00AB62FC">
        <w:trPr>
          <w:gridAfter w:val="1"/>
          <w:wAfter w:w="51" w:type="pct"/>
          <w:jc w:val="center"/>
        </w:trPr>
        <w:tc>
          <w:tcPr>
            <w:tcW w:w="3379" w:type="pct"/>
          </w:tcPr>
          <w:p w:rsidR="00AB62FC" w:rsidRPr="00C14674" w:rsidRDefault="00AB62FC" w:rsidP="00AB62FC">
            <w:pPr>
              <w:pStyle w:val="NormalWeb"/>
              <w:keepNext/>
              <w:spacing w:before="0" w:after="0"/>
              <w:ind w:left="240" w:hanging="240"/>
              <w:rPr>
                <w:b/>
                <w:bCs/>
                <w:sz w:val="18"/>
                <w:szCs w:val="18"/>
              </w:rPr>
            </w:pPr>
            <w:r w:rsidRPr="00C14674">
              <w:rPr>
                <w:b/>
                <w:bCs/>
                <w:sz w:val="18"/>
                <w:szCs w:val="18"/>
              </w:rPr>
              <w:t>Selected Balance Sheet Data (as of end of period)</w:t>
            </w:r>
          </w:p>
        </w:tc>
        <w:tc>
          <w:tcPr>
            <w:tcW w:w="900" w:type="pct"/>
            <w:gridSpan w:val="3"/>
            <w:tcMar>
              <w:top w:w="0" w:type="dxa"/>
              <w:left w:w="144" w:type="dxa"/>
              <w:bottom w:w="0" w:type="dxa"/>
              <w:right w:w="0" w:type="dxa"/>
            </w:tcMar>
            <w:vAlign w:val="bottom"/>
          </w:tcPr>
          <w:p w:rsidR="00AB62FC" w:rsidRPr="00C14674" w:rsidRDefault="00AB62FC" w:rsidP="00AB62FC">
            <w:pPr>
              <w:spacing w:before="0" w:after="0"/>
              <w:jc w:val="right"/>
              <w:rPr>
                <w:b/>
                <w:bCs/>
                <w:sz w:val="18"/>
                <w:szCs w:val="18"/>
              </w:rPr>
            </w:pPr>
          </w:p>
        </w:tc>
        <w:tc>
          <w:tcPr>
            <w:tcW w:w="670" w:type="pct"/>
            <w:tcMar>
              <w:top w:w="0" w:type="dxa"/>
              <w:left w:w="144" w:type="dxa"/>
              <w:bottom w:w="0" w:type="dxa"/>
              <w:right w:w="0" w:type="dxa"/>
            </w:tcMar>
            <w:vAlign w:val="bottom"/>
          </w:tcPr>
          <w:p w:rsidR="00AB62FC" w:rsidRPr="00C14674" w:rsidRDefault="00AB62FC" w:rsidP="00AB62FC">
            <w:pPr>
              <w:spacing w:before="0" w:after="0"/>
              <w:jc w:val="right"/>
              <w:rPr>
                <w:b/>
                <w:bCs/>
                <w:sz w:val="18"/>
                <w:szCs w:val="18"/>
              </w:rPr>
            </w:pPr>
          </w:p>
        </w:tc>
      </w:tr>
      <w:tr w:rsidR="00AB62FC" w:rsidRPr="00C14674" w:rsidTr="00AB62FC">
        <w:trPr>
          <w:jc w:val="center"/>
        </w:trPr>
        <w:tc>
          <w:tcPr>
            <w:tcW w:w="3679" w:type="pct"/>
            <w:gridSpan w:val="2"/>
          </w:tcPr>
          <w:p w:rsidR="00AB62FC" w:rsidRPr="00C14674" w:rsidRDefault="00AB62FC" w:rsidP="00AB62FC">
            <w:pPr>
              <w:pStyle w:val="NormalWeb"/>
              <w:keepNext/>
              <w:tabs>
                <w:tab w:val="right" w:leader="dot" w:pos="6521"/>
              </w:tabs>
              <w:spacing w:before="0" w:after="0"/>
              <w:ind w:left="240" w:right="-13" w:hanging="240"/>
              <w:rPr>
                <w:sz w:val="18"/>
                <w:szCs w:val="18"/>
              </w:rPr>
            </w:pPr>
            <w:r w:rsidRPr="00C14674">
              <w:rPr>
                <w:sz w:val="18"/>
                <w:szCs w:val="18"/>
              </w:rPr>
              <w:t>Cash and cash equivalents</w:t>
            </w:r>
            <w:r w:rsidRPr="00C14674">
              <w:rPr>
                <w:sz w:val="18"/>
                <w:szCs w:val="18"/>
              </w:rPr>
              <w:tab/>
            </w:r>
          </w:p>
        </w:tc>
        <w:tc>
          <w:tcPr>
            <w:tcW w:w="567" w:type="pct"/>
            <w:tcMar>
              <w:top w:w="0" w:type="dxa"/>
              <w:left w:w="144" w:type="dxa"/>
              <w:bottom w:w="0" w:type="dxa"/>
              <w:right w:w="0" w:type="dxa"/>
            </w:tcMar>
            <w:vAlign w:val="bottom"/>
          </w:tcPr>
          <w:p w:rsidR="00AB62FC" w:rsidRPr="00C14674" w:rsidRDefault="00AB62FC" w:rsidP="00AB62FC">
            <w:pPr>
              <w:spacing w:before="0" w:after="0"/>
              <w:jc w:val="right"/>
              <w:rPr>
                <w:bCs/>
                <w:sz w:val="18"/>
                <w:szCs w:val="18"/>
              </w:rPr>
            </w:pPr>
            <w:r w:rsidRPr="00C14674">
              <w:rPr>
                <w:bCs/>
                <w:sz w:val="18"/>
                <w:szCs w:val="18"/>
              </w:rPr>
              <w:t>119.3</w:t>
            </w:r>
          </w:p>
        </w:tc>
        <w:tc>
          <w:tcPr>
            <w:tcW w:w="754" w:type="pct"/>
            <w:gridSpan w:val="3"/>
            <w:noWrap/>
            <w:tcMar>
              <w:top w:w="0" w:type="dxa"/>
              <w:left w:w="144" w:type="dxa"/>
              <w:bottom w:w="0" w:type="dxa"/>
              <w:right w:w="0" w:type="dxa"/>
            </w:tcMar>
            <w:vAlign w:val="bottom"/>
          </w:tcPr>
          <w:p w:rsidR="00AB62FC" w:rsidRPr="00C14674" w:rsidRDefault="00AB62FC" w:rsidP="00AB62FC">
            <w:pPr>
              <w:spacing w:before="0" w:after="0"/>
              <w:jc w:val="right"/>
              <w:rPr>
                <w:bCs/>
                <w:sz w:val="18"/>
                <w:szCs w:val="18"/>
              </w:rPr>
            </w:pPr>
            <w:r w:rsidRPr="00C14674">
              <w:rPr>
                <w:bCs/>
                <w:sz w:val="18"/>
                <w:szCs w:val="18"/>
              </w:rPr>
              <w:t>117.9</w:t>
            </w:r>
          </w:p>
        </w:tc>
      </w:tr>
      <w:tr w:rsidR="00AB62FC" w:rsidRPr="00C14674" w:rsidTr="00AB62FC">
        <w:trPr>
          <w:jc w:val="center"/>
        </w:trPr>
        <w:tc>
          <w:tcPr>
            <w:tcW w:w="3679" w:type="pct"/>
            <w:gridSpan w:val="2"/>
          </w:tcPr>
          <w:p w:rsidR="00AB62FC" w:rsidRPr="00C14674" w:rsidRDefault="00AB62FC" w:rsidP="00AB62FC">
            <w:pPr>
              <w:pStyle w:val="NormalWeb"/>
              <w:tabs>
                <w:tab w:val="right" w:leader="dot" w:pos="6521"/>
              </w:tabs>
              <w:spacing w:before="0" w:after="0"/>
              <w:ind w:left="240" w:right="-13" w:hanging="240"/>
              <w:rPr>
                <w:sz w:val="18"/>
                <w:szCs w:val="18"/>
              </w:rPr>
            </w:pPr>
            <w:r w:rsidRPr="00C14674">
              <w:rPr>
                <w:sz w:val="18"/>
                <w:szCs w:val="18"/>
              </w:rPr>
              <w:t>Total current assets</w:t>
            </w:r>
            <w:r w:rsidRPr="00C14674">
              <w:rPr>
                <w:sz w:val="18"/>
                <w:szCs w:val="18"/>
              </w:rPr>
              <w:tab/>
            </w:r>
          </w:p>
        </w:tc>
        <w:tc>
          <w:tcPr>
            <w:tcW w:w="567" w:type="pct"/>
            <w:noWrap/>
            <w:tcMar>
              <w:top w:w="0" w:type="dxa"/>
              <w:left w:w="144" w:type="dxa"/>
              <w:bottom w:w="0" w:type="dxa"/>
              <w:right w:w="0" w:type="dxa"/>
            </w:tcMar>
            <w:vAlign w:val="bottom"/>
          </w:tcPr>
          <w:p w:rsidR="00AB62FC" w:rsidRPr="00C14674" w:rsidRDefault="00AB62FC" w:rsidP="00AB62FC">
            <w:pPr>
              <w:spacing w:before="0" w:after="0"/>
              <w:jc w:val="right"/>
              <w:rPr>
                <w:bCs/>
                <w:sz w:val="18"/>
                <w:szCs w:val="18"/>
              </w:rPr>
            </w:pPr>
            <w:r w:rsidRPr="00C14674">
              <w:rPr>
                <w:bCs/>
                <w:sz w:val="18"/>
                <w:szCs w:val="18"/>
              </w:rPr>
              <w:t>422.1</w:t>
            </w:r>
          </w:p>
        </w:tc>
        <w:tc>
          <w:tcPr>
            <w:tcW w:w="754" w:type="pct"/>
            <w:gridSpan w:val="3"/>
            <w:noWrap/>
            <w:tcMar>
              <w:top w:w="0" w:type="dxa"/>
              <w:left w:w="144" w:type="dxa"/>
              <w:bottom w:w="0" w:type="dxa"/>
              <w:right w:w="0" w:type="dxa"/>
            </w:tcMar>
            <w:vAlign w:val="bottom"/>
          </w:tcPr>
          <w:p w:rsidR="00AB62FC" w:rsidRPr="00C14674" w:rsidRDefault="00AB62FC" w:rsidP="00AB62FC">
            <w:pPr>
              <w:spacing w:before="0" w:after="0"/>
              <w:jc w:val="right"/>
              <w:rPr>
                <w:bCs/>
                <w:sz w:val="18"/>
                <w:szCs w:val="18"/>
              </w:rPr>
            </w:pPr>
            <w:r w:rsidRPr="00C14674">
              <w:rPr>
                <w:bCs/>
                <w:sz w:val="18"/>
                <w:szCs w:val="18"/>
              </w:rPr>
              <w:t>427.7</w:t>
            </w:r>
          </w:p>
        </w:tc>
      </w:tr>
      <w:tr w:rsidR="00AB62FC" w:rsidRPr="00C14674" w:rsidTr="00AB62FC">
        <w:trPr>
          <w:jc w:val="center"/>
        </w:trPr>
        <w:tc>
          <w:tcPr>
            <w:tcW w:w="3679" w:type="pct"/>
            <w:gridSpan w:val="2"/>
          </w:tcPr>
          <w:p w:rsidR="00AB62FC" w:rsidRPr="00C14674" w:rsidRDefault="00AB62FC" w:rsidP="00AB62FC">
            <w:pPr>
              <w:pStyle w:val="NormalWeb"/>
              <w:keepNext/>
              <w:tabs>
                <w:tab w:val="right" w:leader="dot" w:pos="6521"/>
              </w:tabs>
              <w:spacing w:before="0" w:after="0"/>
              <w:ind w:left="240" w:right="-13" w:hanging="240"/>
              <w:rPr>
                <w:sz w:val="18"/>
                <w:szCs w:val="18"/>
              </w:rPr>
            </w:pPr>
            <w:r w:rsidRPr="00C14674">
              <w:rPr>
                <w:sz w:val="18"/>
                <w:szCs w:val="18"/>
              </w:rPr>
              <w:t>Total assets</w:t>
            </w:r>
            <w:r w:rsidRPr="00C14674">
              <w:rPr>
                <w:sz w:val="18"/>
                <w:szCs w:val="18"/>
              </w:rPr>
              <w:tab/>
            </w:r>
          </w:p>
        </w:tc>
        <w:tc>
          <w:tcPr>
            <w:tcW w:w="567" w:type="pct"/>
            <w:noWrap/>
            <w:tcMar>
              <w:top w:w="0" w:type="dxa"/>
              <w:left w:w="144" w:type="dxa"/>
              <w:bottom w:w="0" w:type="dxa"/>
              <w:right w:w="0" w:type="dxa"/>
            </w:tcMar>
            <w:vAlign w:val="bottom"/>
          </w:tcPr>
          <w:p w:rsidR="00AB62FC" w:rsidRPr="00C14674" w:rsidRDefault="00AB62FC" w:rsidP="00AB62FC">
            <w:pPr>
              <w:spacing w:before="0" w:after="0"/>
              <w:jc w:val="right"/>
              <w:rPr>
                <w:bCs/>
                <w:sz w:val="18"/>
                <w:szCs w:val="18"/>
              </w:rPr>
            </w:pPr>
            <w:r w:rsidRPr="00C14674">
              <w:rPr>
                <w:bCs/>
                <w:sz w:val="18"/>
                <w:szCs w:val="18"/>
              </w:rPr>
              <w:t>955.0</w:t>
            </w:r>
          </w:p>
        </w:tc>
        <w:tc>
          <w:tcPr>
            <w:tcW w:w="754" w:type="pct"/>
            <w:gridSpan w:val="3"/>
            <w:noWrap/>
            <w:tcMar>
              <w:top w:w="0" w:type="dxa"/>
              <w:left w:w="144" w:type="dxa"/>
              <w:bottom w:w="0" w:type="dxa"/>
              <w:right w:w="0" w:type="dxa"/>
            </w:tcMar>
            <w:vAlign w:val="bottom"/>
          </w:tcPr>
          <w:p w:rsidR="00AB62FC" w:rsidRPr="00C14674" w:rsidRDefault="00AB62FC" w:rsidP="00AB62FC">
            <w:pPr>
              <w:spacing w:before="0" w:after="0"/>
              <w:jc w:val="right"/>
              <w:rPr>
                <w:bCs/>
                <w:sz w:val="18"/>
                <w:szCs w:val="18"/>
              </w:rPr>
            </w:pPr>
            <w:r w:rsidRPr="00C14674">
              <w:rPr>
                <w:bCs/>
                <w:sz w:val="18"/>
                <w:szCs w:val="18"/>
              </w:rPr>
              <w:t>963.1</w:t>
            </w:r>
          </w:p>
        </w:tc>
      </w:tr>
      <w:tr w:rsidR="00AB62FC" w:rsidRPr="00C14674" w:rsidTr="00AB62FC">
        <w:trPr>
          <w:jc w:val="center"/>
        </w:trPr>
        <w:tc>
          <w:tcPr>
            <w:tcW w:w="3679" w:type="pct"/>
            <w:gridSpan w:val="2"/>
          </w:tcPr>
          <w:p w:rsidR="00AB62FC" w:rsidRPr="00C14674" w:rsidRDefault="00AB62FC" w:rsidP="00AB62FC">
            <w:pPr>
              <w:pStyle w:val="NormalWeb"/>
              <w:keepNext/>
              <w:tabs>
                <w:tab w:val="right" w:leader="dot" w:pos="6521"/>
              </w:tabs>
              <w:spacing w:before="0" w:after="0"/>
              <w:ind w:left="240" w:right="-13" w:hanging="240"/>
              <w:rPr>
                <w:sz w:val="18"/>
                <w:szCs w:val="18"/>
              </w:rPr>
            </w:pPr>
            <w:r w:rsidRPr="00C14674">
              <w:rPr>
                <w:sz w:val="18"/>
                <w:szCs w:val="18"/>
              </w:rPr>
              <w:t>Total equity</w:t>
            </w:r>
            <w:r w:rsidRPr="00C14674">
              <w:rPr>
                <w:sz w:val="18"/>
                <w:szCs w:val="18"/>
              </w:rPr>
              <w:tab/>
            </w:r>
          </w:p>
        </w:tc>
        <w:tc>
          <w:tcPr>
            <w:tcW w:w="567" w:type="pct"/>
            <w:noWrap/>
            <w:tcMar>
              <w:top w:w="0" w:type="dxa"/>
              <w:left w:w="144" w:type="dxa"/>
              <w:bottom w:w="0" w:type="dxa"/>
              <w:right w:w="0" w:type="dxa"/>
            </w:tcMar>
            <w:vAlign w:val="bottom"/>
          </w:tcPr>
          <w:p w:rsidR="00AB62FC" w:rsidRPr="00C14674" w:rsidRDefault="00AB62FC" w:rsidP="00AB62FC">
            <w:pPr>
              <w:spacing w:before="0" w:after="0"/>
              <w:jc w:val="right"/>
              <w:rPr>
                <w:bCs/>
                <w:sz w:val="18"/>
                <w:szCs w:val="18"/>
              </w:rPr>
            </w:pPr>
            <w:r w:rsidRPr="00C14674">
              <w:rPr>
                <w:bCs/>
                <w:sz w:val="18"/>
                <w:szCs w:val="18"/>
              </w:rPr>
              <w:t>42.9</w:t>
            </w:r>
          </w:p>
        </w:tc>
        <w:tc>
          <w:tcPr>
            <w:tcW w:w="754" w:type="pct"/>
            <w:gridSpan w:val="3"/>
            <w:noWrap/>
            <w:tcMar>
              <w:top w:w="0" w:type="dxa"/>
              <w:left w:w="144" w:type="dxa"/>
              <w:bottom w:w="0" w:type="dxa"/>
              <w:right w:w="0" w:type="dxa"/>
            </w:tcMar>
            <w:vAlign w:val="bottom"/>
          </w:tcPr>
          <w:p w:rsidR="00AB62FC" w:rsidRPr="00C14674" w:rsidRDefault="00AB62FC" w:rsidP="00AB62FC">
            <w:pPr>
              <w:spacing w:before="0" w:after="0"/>
              <w:jc w:val="right"/>
              <w:rPr>
                <w:bCs/>
                <w:sz w:val="18"/>
                <w:szCs w:val="18"/>
              </w:rPr>
            </w:pPr>
            <w:r w:rsidRPr="00C14674">
              <w:rPr>
                <w:bCs/>
                <w:sz w:val="18"/>
                <w:szCs w:val="18"/>
              </w:rPr>
              <w:t>46.8</w:t>
            </w:r>
          </w:p>
        </w:tc>
      </w:tr>
      <w:tr w:rsidR="00AB62FC" w:rsidRPr="00C14674" w:rsidTr="00AB62FC">
        <w:trPr>
          <w:jc w:val="center"/>
        </w:trPr>
        <w:tc>
          <w:tcPr>
            <w:tcW w:w="3679" w:type="pct"/>
            <w:gridSpan w:val="2"/>
          </w:tcPr>
          <w:p w:rsidR="00AB62FC" w:rsidRPr="00C14674" w:rsidRDefault="00AB62FC" w:rsidP="00AB62FC">
            <w:pPr>
              <w:pStyle w:val="NormalWeb"/>
              <w:keepNext/>
              <w:tabs>
                <w:tab w:val="right" w:leader="dot" w:pos="6521"/>
              </w:tabs>
              <w:spacing w:before="0" w:after="0"/>
              <w:ind w:left="240" w:right="-13" w:hanging="240"/>
              <w:rPr>
                <w:sz w:val="18"/>
                <w:szCs w:val="18"/>
              </w:rPr>
            </w:pPr>
            <w:r w:rsidRPr="00C14674">
              <w:rPr>
                <w:sz w:val="18"/>
                <w:szCs w:val="18"/>
              </w:rPr>
              <w:t>Total current liabilities</w:t>
            </w:r>
            <w:r w:rsidRPr="00C14674">
              <w:rPr>
                <w:sz w:val="18"/>
                <w:szCs w:val="18"/>
              </w:rPr>
              <w:tab/>
            </w:r>
          </w:p>
        </w:tc>
        <w:tc>
          <w:tcPr>
            <w:tcW w:w="567" w:type="pct"/>
            <w:noWrap/>
            <w:tcMar>
              <w:top w:w="0" w:type="dxa"/>
              <w:left w:w="144" w:type="dxa"/>
              <w:bottom w:w="0" w:type="dxa"/>
              <w:right w:w="0" w:type="dxa"/>
            </w:tcMar>
            <w:vAlign w:val="bottom"/>
          </w:tcPr>
          <w:p w:rsidR="00AB62FC" w:rsidRPr="00C14674" w:rsidRDefault="00AB62FC" w:rsidP="00AB62FC">
            <w:pPr>
              <w:spacing w:before="0" w:after="0"/>
              <w:jc w:val="right"/>
              <w:rPr>
                <w:bCs/>
                <w:sz w:val="18"/>
                <w:szCs w:val="18"/>
              </w:rPr>
            </w:pPr>
            <w:r w:rsidRPr="00C14674">
              <w:rPr>
                <w:bCs/>
                <w:sz w:val="18"/>
                <w:szCs w:val="18"/>
              </w:rPr>
              <w:t>576.3</w:t>
            </w:r>
          </w:p>
        </w:tc>
        <w:tc>
          <w:tcPr>
            <w:tcW w:w="754" w:type="pct"/>
            <w:gridSpan w:val="3"/>
            <w:noWrap/>
            <w:tcMar>
              <w:top w:w="0" w:type="dxa"/>
              <w:left w:w="144" w:type="dxa"/>
              <w:bottom w:w="0" w:type="dxa"/>
              <w:right w:w="0" w:type="dxa"/>
            </w:tcMar>
            <w:vAlign w:val="bottom"/>
          </w:tcPr>
          <w:p w:rsidR="00AB62FC" w:rsidRPr="00C14674" w:rsidRDefault="00AB62FC" w:rsidP="00AB62FC">
            <w:pPr>
              <w:spacing w:before="0" w:after="0"/>
              <w:jc w:val="right"/>
              <w:rPr>
                <w:bCs/>
                <w:sz w:val="18"/>
                <w:szCs w:val="18"/>
              </w:rPr>
            </w:pPr>
            <w:r w:rsidRPr="00C14674">
              <w:rPr>
                <w:bCs/>
                <w:sz w:val="18"/>
                <w:szCs w:val="18"/>
              </w:rPr>
              <w:t>581.6</w:t>
            </w:r>
          </w:p>
        </w:tc>
      </w:tr>
      <w:tr w:rsidR="00AB62FC" w:rsidRPr="00C14674" w:rsidTr="00AB62FC">
        <w:trPr>
          <w:jc w:val="center"/>
        </w:trPr>
        <w:tc>
          <w:tcPr>
            <w:tcW w:w="3679" w:type="pct"/>
            <w:gridSpan w:val="2"/>
          </w:tcPr>
          <w:p w:rsidR="00AB62FC" w:rsidRPr="00C14674" w:rsidRDefault="00AB62FC" w:rsidP="00AB62FC">
            <w:pPr>
              <w:pStyle w:val="NormalWeb"/>
              <w:tabs>
                <w:tab w:val="right" w:leader="dot" w:pos="6521"/>
              </w:tabs>
              <w:spacing w:before="0" w:after="0"/>
              <w:ind w:left="240" w:right="-13" w:hanging="240"/>
              <w:rPr>
                <w:sz w:val="18"/>
                <w:szCs w:val="18"/>
              </w:rPr>
            </w:pPr>
            <w:r w:rsidRPr="00C14674">
              <w:rPr>
                <w:sz w:val="18"/>
                <w:szCs w:val="18"/>
              </w:rPr>
              <w:t>Total equity and liabilities</w:t>
            </w:r>
            <w:r w:rsidRPr="00C14674">
              <w:rPr>
                <w:sz w:val="18"/>
                <w:szCs w:val="18"/>
              </w:rPr>
              <w:tab/>
            </w:r>
          </w:p>
        </w:tc>
        <w:tc>
          <w:tcPr>
            <w:tcW w:w="567" w:type="pct"/>
            <w:noWrap/>
            <w:tcMar>
              <w:top w:w="0" w:type="dxa"/>
              <w:left w:w="144" w:type="dxa"/>
              <w:bottom w:w="0" w:type="dxa"/>
              <w:right w:w="0" w:type="dxa"/>
            </w:tcMar>
            <w:vAlign w:val="bottom"/>
          </w:tcPr>
          <w:p w:rsidR="00AB62FC" w:rsidRPr="00C14674" w:rsidRDefault="00AB62FC" w:rsidP="00AB62FC">
            <w:pPr>
              <w:spacing w:before="0" w:after="0"/>
              <w:jc w:val="right"/>
              <w:rPr>
                <w:bCs/>
                <w:sz w:val="18"/>
                <w:szCs w:val="18"/>
              </w:rPr>
            </w:pPr>
            <w:r w:rsidRPr="00C14674">
              <w:rPr>
                <w:bCs/>
                <w:sz w:val="18"/>
                <w:szCs w:val="18"/>
              </w:rPr>
              <w:t>955.0</w:t>
            </w:r>
          </w:p>
        </w:tc>
        <w:tc>
          <w:tcPr>
            <w:tcW w:w="754" w:type="pct"/>
            <w:gridSpan w:val="3"/>
            <w:noWrap/>
            <w:tcMar>
              <w:top w:w="0" w:type="dxa"/>
              <w:left w:w="144" w:type="dxa"/>
              <w:bottom w:w="0" w:type="dxa"/>
              <w:right w:w="0" w:type="dxa"/>
            </w:tcMar>
            <w:vAlign w:val="bottom"/>
          </w:tcPr>
          <w:p w:rsidR="00AB62FC" w:rsidRPr="00C14674" w:rsidRDefault="00AB62FC" w:rsidP="00AB62FC">
            <w:pPr>
              <w:spacing w:before="0" w:after="0"/>
              <w:jc w:val="right"/>
              <w:rPr>
                <w:bCs/>
                <w:sz w:val="18"/>
                <w:szCs w:val="18"/>
              </w:rPr>
            </w:pPr>
            <w:r w:rsidRPr="00C14674">
              <w:rPr>
                <w:bCs/>
                <w:sz w:val="18"/>
                <w:szCs w:val="18"/>
              </w:rPr>
              <w:t>963.1</w:t>
            </w:r>
          </w:p>
        </w:tc>
      </w:tr>
    </w:tbl>
    <w:p w:rsidR="00AB62FC" w:rsidRPr="00C14674" w:rsidRDefault="00243514" w:rsidP="00AB62FC">
      <w:pPr>
        <w:tabs>
          <w:tab w:val="left" w:pos="1916"/>
        </w:tabs>
        <w:rPr>
          <w:b/>
        </w:rPr>
      </w:pPr>
      <w:r w:rsidRPr="00C14674">
        <w:rPr>
          <w:b/>
        </w:rPr>
        <w:t>Working c</w:t>
      </w:r>
      <w:r w:rsidR="00AB62FC" w:rsidRPr="00C14674">
        <w:rPr>
          <w:b/>
        </w:rPr>
        <w:t>apital</w:t>
      </w:r>
      <w:r w:rsidR="00AB62FC" w:rsidRPr="00C14674">
        <w:rPr>
          <w:b/>
        </w:rPr>
        <w:tab/>
      </w:r>
    </w:p>
    <w:tbl>
      <w:tblPr>
        <w:tblpPr w:leftFromText="141" w:rightFromText="141" w:vertAnchor="text" w:tblpXSpec="center" w:tblpY="1"/>
        <w:tblOverlap w:val="never"/>
        <w:tblW w:w="5102" w:type="pct"/>
        <w:tblCellMar>
          <w:left w:w="0" w:type="dxa"/>
          <w:right w:w="0" w:type="dxa"/>
        </w:tblCellMar>
        <w:tblLook w:val="0000" w:firstRow="0" w:lastRow="0" w:firstColumn="0" w:lastColumn="0" w:noHBand="0" w:noVBand="0"/>
      </w:tblPr>
      <w:tblGrid>
        <w:gridCol w:w="217"/>
        <w:gridCol w:w="6355"/>
        <w:gridCol w:w="1208"/>
        <w:gridCol w:w="1433"/>
      </w:tblGrid>
      <w:tr w:rsidR="00AB62FC" w:rsidRPr="00C14674" w:rsidTr="00AB62FC">
        <w:tc>
          <w:tcPr>
            <w:tcW w:w="3566" w:type="pct"/>
            <w:gridSpan w:val="2"/>
            <w:vAlign w:val="center"/>
          </w:tcPr>
          <w:p w:rsidR="00AB62FC" w:rsidRPr="00C14674" w:rsidRDefault="00AB62FC" w:rsidP="00AB62FC">
            <w:pPr>
              <w:keepNext/>
              <w:tabs>
                <w:tab w:val="right" w:leader="dot" w:pos="7240"/>
              </w:tabs>
              <w:spacing w:before="0" w:after="0"/>
              <w:ind w:right="141"/>
              <w:jc w:val="left"/>
              <w:rPr>
                <w:sz w:val="18"/>
                <w:szCs w:val="18"/>
              </w:rPr>
            </w:pPr>
            <w:r w:rsidRPr="00C14674">
              <w:rPr>
                <w:bCs/>
                <w:i/>
                <w:sz w:val="18"/>
                <w:szCs w:val="18"/>
              </w:rPr>
              <w:t>(</w:t>
            </w:r>
            <w:r w:rsidR="00E53641">
              <w:rPr>
                <w:bCs/>
                <w:i/>
                <w:sz w:val="18"/>
                <w:szCs w:val="18"/>
              </w:rPr>
              <w:t>EUR </w:t>
            </w:r>
            <w:r w:rsidRPr="00C14674">
              <w:rPr>
                <w:bCs/>
                <w:i/>
                <w:sz w:val="18"/>
                <w:szCs w:val="18"/>
              </w:rPr>
              <w:t>in millions)</w:t>
            </w:r>
          </w:p>
        </w:tc>
        <w:tc>
          <w:tcPr>
            <w:tcW w:w="656" w:type="pct"/>
            <w:noWrap/>
            <w:tcMar>
              <w:top w:w="0" w:type="dxa"/>
              <w:left w:w="144" w:type="dxa"/>
              <w:bottom w:w="0" w:type="dxa"/>
              <w:right w:w="0" w:type="dxa"/>
            </w:tcMar>
            <w:vAlign w:val="bottom"/>
          </w:tcPr>
          <w:p w:rsidR="00AB62FC" w:rsidRPr="00C14674" w:rsidRDefault="00AB62FC" w:rsidP="00AB62FC">
            <w:pPr>
              <w:pBdr>
                <w:bottom w:val="single" w:sz="4" w:space="1" w:color="auto"/>
              </w:pBdr>
              <w:spacing w:before="0" w:after="0"/>
              <w:jc w:val="center"/>
              <w:rPr>
                <w:b/>
                <w:sz w:val="18"/>
                <w:szCs w:val="18"/>
              </w:rPr>
            </w:pPr>
            <w:r w:rsidRPr="00C14674">
              <w:rPr>
                <w:b/>
                <w:bCs/>
                <w:sz w:val="18"/>
                <w:szCs w:val="18"/>
              </w:rPr>
              <w:t xml:space="preserve">31 March </w:t>
            </w:r>
            <w:r w:rsidRPr="00C14674">
              <w:rPr>
                <w:b/>
                <w:bCs/>
                <w:sz w:val="18"/>
                <w:szCs w:val="18"/>
              </w:rPr>
              <w:br/>
              <w:t>2015</w:t>
            </w:r>
          </w:p>
        </w:tc>
        <w:tc>
          <w:tcPr>
            <w:tcW w:w="778" w:type="pct"/>
            <w:noWrap/>
            <w:tcMar>
              <w:top w:w="0" w:type="dxa"/>
              <w:left w:w="144" w:type="dxa"/>
              <w:bottom w:w="0" w:type="dxa"/>
              <w:right w:w="0" w:type="dxa"/>
            </w:tcMar>
            <w:vAlign w:val="bottom"/>
          </w:tcPr>
          <w:p w:rsidR="00AB62FC" w:rsidRPr="00C14674" w:rsidRDefault="00AB62FC" w:rsidP="00AB62FC">
            <w:pPr>
              <w:pBdr>
                <w:bottom w:val="single" w:sz="4" w:space="1" w:color="auto"/>
              </w:pBdr>
              <w:tabs>
                <w:tab w:val="right" w:leader="dot" w:pos="7240"/>
              </w:tabs>
              <w:spacing w:before="0" w:after="0"/>
              <w:ind w:left="116" w:hanging="17"/>
              <w:jc w:val="center"/>
              <w:rPr>
                <w:b/>
                <w:sz w:val="18"/>
                <w:szCs w:val="18"/>
              </w:rPr>
            </w:pPr>
            <w:r w:rsidRPr="00C14674">
              <w:rPr>
                <w:b/>
                <w:bCs/>
                <w:sz w:val="18"/>
                <w:szCs w:val="18"/>
              </w:rPr>
              <w:t xml:space="preserve">31 December </w:t>
            </w:r>
            <w:r w:rsidRPr="00C14674">
              <w:rPr>
                <w:b/>
                <w:bCs/>
                <w:sz w:val="18"/>
                <w:szCs w:val="18"/>
              </w:rPr>
              <w:br/>
              <w:t>2014</w:t>
            </w:r>
          </w:p>
        </w:tc>
      </w:tr>
      <w:tr w:rsidR="00AB62FC" w:rsidRPr="00C14674" w:rsidTr="00AB62FC">
        <w:tc>
          <w:tcPr>
            <w:tcW w:w="3566" w:type="pct"/>
            <w:gridSpan w:val="2"/>
            <w:vAlign w:val="bottom"/>
          </w:tcPr>
          <w:p w:rsidR="00AB62FC" w:rsidRPr="00C14674" w:rsidRDefault="00AB62FC" w:rsidP="00AB62FC">
            <w:pPr>
              <w:keepNext/>
              <w:tabs>
                <w:tab w:val="right" w:leader="dot" w:pos="7240"/>
              </w:tabs>
              <w:spacing w:before="0" w:after="0"/>
              <w:ind w:right="141"/>
              <w:rPr>
                <w:sz w:val="18"/>
                <w:szCs w:val="18"/>
              </w:rPr>
            </w:pPr>
            <w:r w:rsidRPr="00C14674">
              <w:rPr>
                <w:sz w:val="18"/>
                <w:szCs w:val="18"/>
              </w:rPr>
              <w:t>Inventories</w:t>
            </w:r>
            <w:r w:rsidRPr="00C14674">
              <w:rPr>
                <w:sz w:val="18"/>
                <w:szCs w:val="18"/>
              </w:rPr>
              <w:tab/>
            </w:r>
          </w:p>
        </w:tc>
        <w:tc>
          <w:tcPr>
            <w:tcW w:w="656" w:type="pct"/>
            <w:noWrap/>
            <w:tcMar>
              <w:top w:w="0" w:type="dxa"/>
              <w:left w:w="144" w:type="dxa"/>
              <w:bottom w:w="0" w:type="dxa"/>
              <w:right w:w="0" w:type="dxa"/>
            </w:tcMar>
            <w:vAlign w:val="bottom"/>
          </w:tcPr>
          <w:p w:rsidR="00AB62FC" w:rsidRPr="00C14674" w:rsidRDefault="00AB62FC" w:rsidP="00AB62FC">
            <w:pPr>
              <w:spacing w:before="0" w:after="0"/>
              <w:ind w:right="140"/>
              <w:jc w:val="right"/>
              <w:rPr>
                <w:sz w:val="18"/>
                <w:szCs w:val="18"/>
              </w:rPr>
            </w:pPr>
            <w:r w:rsidRPr="00C14674">
              <w:rPr>
                <w:sz w:val="18"/>
                <w:szCs w:val="18"/>
              </w:rPr>
              <w:t>53.6</w:t>
            </w:r>
          </w:p>
        </w:tc>
        <w:tc>
          <w:tcPr>
            <w:tcW w:w="778" w:type="pct"/>
            <w:noWrap/>
            <w:tcMar>
              <w:top w:w="0" w:type="dxa"/>
              <w:left w:w="144" w:type="dxa"/>
              <w:bottom w:w="0" w:type="dxa"/>
              <w:right w:w="0" w:type="dxa"/>
            </w:tcMar>
            <w:vAlign w:val="bottom"/>
          </w:tcPr>
          <w:p w:rsidR="00AB62FC" w:rsidRPr="00C14674" w:rsidRDefault="00AB62FC" w:rsidP="00AB62FC">
            <w:pPr>
              <w:spacing w:before="0" w:after="0"/>
              <w:ind w:right="140"/>
              <w:jc w:val="right"/>
              <w:rPr>
                <w:sz w:val="18"/>
                <w:szCs w:val="18"/>
              </w:rPr>
            </w:pPr>
            <w:r w:rsidRPr="00C14674">
              <w:rPr>
                <w:sz w:val="18"/>
                <w:szCs w:val="18"/>
              </w:rPr>
              <w:t>43.4</w:t>
            </w:r>
          </w:p>
        </w:tc>
      </w:tr>
      <w:tr w:rsidR="00AB62FC" w:rsidRPr="00C14674" w:rsidTr="00AB62FC">
        <w:tc>
          <w:tcPr>
            <w:tcW w:w="3566" w:type="pct"/>
            <w:gridSpan w:val="2"/>
            <w:vAlign w:val="bottom"/>
          </w:tcPr>
          <w:p w:rsidR="00AB62FC" w:rsidRPr="00C14674" w:rsidRDefault="00AB62FC" w:rsidP="00AB62FC">
            <w:pPr>
              <w:keepNext/>
              <w:tabs>
                <w:tab w:val="right" w:leader="dot" w:pos="7240"/>
              </w:tabs>
              <w:spacing w:before="0" w:after="0"/>
              <w:ind w:right="141"/>
              <w:rPr>
                <w:sz w:val="18"/>
                <w:szCs w:val="18"/>
              </w:rPr>
            </w:pPr>
            <w:r w:rsidRPr="00C14674">
              <w:rPr>
                <w:sz w:val="18"/>
                <w:szCs w:val="18"/>
              </w:rPr>
              <w:t>Trade receivables</w:t>
            </w:r>
            <w:r w:rsidRPr="00C14674">
              <w:rPr>
                <w:sz w:val="18"/>
                <w:szCs w:val="18"/>
              </w:rPr>
              <w:tab/>
            </w:r>
          </w:p>
        </w:tc>
        <w:tc>
          <w:tcPr>
            <w:tcW w:w="656" w:type="pct"/>
            <w:noWrap/>
            <w:tcMar>
              <w:top w:w="0" w:type="dxa"/>
              <w:left w:w="144" w:type="dxa"/>
              <w:bottom w:w="0" w:type="dxa"/>
              <w:right w:w="0" w:type="dxa"/>
            </w:tcMar>
            <w:vAlign w:val="bottom"/>
          </w:tcPr>
          <w:p w:rsidR="00AB62FC" w:rsidRPr="00C14674" w:rsidRDefault="00AB62FC" w:rsidP="00AB62FC">
            <w:pPr>
              <w:spacing w:before="0" w:after="0"/>
              <w:ind w:right="140"/>
              <w:jc w:val="right"/>
              <w:rPr>
                <w:sz w:val="18"/>
                <w:szCs w:val="18"/>
              </w:rPr>
            </w:pPr>
            <w:r w:rsidRPr="00C14674">
              <w:rPr>
                <w:sz w:val="18"/>
                <w:szCs w:val="18"/>
              </w:rPr>
              <w:t>157.9</w:t>
            </w:r>
          </w:p>
        </w:tc>
        <w:tc>
          <w:tcPr>
            <w:tcW w:w="778" w:type="pct"/>
            <w:noWrap/>
            <w:tcMar>
              <w:top w:w="0" w:type="dxa"/>
              <w:left w:w="144" w:type="dxa"/>
              <w:bottom w:w="0" w:type="dxa"/>
              <w:right w:w="0" w:type="dxa"/>
            </w:tcMar>
            <w:vAlign w:val="bottom"/>
          </w:tcPr>
          <w:p w:rsidR="00AB62FC" w:rsidRPr="00C14674" w:rsidRDefault="00AB62FC" w:rsidP="00AB62FC">
            <w:pPr>
              <w:spacing w:before="0" w:after="0"/>
              <w:ind w:right="140"/>
              <w:jc w:val="right"/>
              <w:rPr>
                <w:sz w:val="18"/>
                <w:szCs w:val="18"/>
              </w:rPr>
            </w:pPr>
            <w:r w:rsidRPr="00C14674">
              <w:rPr>
                <w:sz w:val="18"/>
                <w:szCs w:val="18"/>
              </w:rPr>
              <w:t>176.6</w:t>
            </w:r>
          </w:p>
        </w:tc>
      </w:tr>
      <w:tr w:rsidR="00AB62FC" w:rsidRPr="00C14674" w:rsidTr="00AB62FC">
        <w:tc>
          <w:tcPr>
            <w:tcW w:w="3566" w:type="pct"/>
            <w:gridSpan w:val="2"/>
            <w:vAlign w:val="bottom"/>
          </w:tcPr>
          <w:p w:rsidR="00AB62FC" w:rsidRPr="00C14674" w:rsidRDefault="00AB62FC" w:rsidP="00AB62FC">
            <w:pPr>
              <w:tabs>
                <w:tab w:val="right" w:leader="dot" w:pos="7240"/>
              </w:tabs>
              <w:spacing w:before="0" w:after="0"/>
              <w:ind w:right="141"/>
              <w:rPr>
                <w:sz w:val="18"/>
                <w:szCs w:val="18"/>
              </w:rPr>
            </w:pPr>
            <w:r w:rsidRPr="00C14674">
              <w:rPr>
                <w:sz w:val="18"/>
                <w:szCs w:val="18"/>
              </w:rPr>
              <w:t>Trade payables, including advances and prepayments to suppliers</w:t>
            </w:r>
            <w:r w:rsidRPr="00C14674">
              <w:rPr>
                <w:sz w:val="18"/>
                <w:szCs w:val="18"/>
              </w:rPr>
              <w:tab/>
            </w:r>
          </w:p>
        </w:tc>
        <w:tc>
          <w:tcPr>
            <w:tcW w:w="656" w:type="pct"/>
            <w:noWrap/>
            <w:tcMar>
              <w:top w:w="0" w:type="dxa"/>
              <w:left w:w="144" w:type="dxa"/>
              <w:bottom w:w="0" w:type="dxa"/>
              <w:right w:w="0" w:type="dxa"/>
            </w:tcMar>
            <w:vAlign w:val="bottom"/>
          </w:tcPr>
          <w:p w:rsidR="00AB62FC" w:rsidRPr="00C14674" w:rsidRDefault="00AB62FC" w:rsidP="00AB62FC">
            <w:pPr>
              <w:spacing w:before="0" w:after="0"/>
              <w:ind w:right="140"/>
              <w:jc w:val="right"/>
              <w:rPr>
                <w:sz w:val="18"/>
                <w:szCs w:val="18"/>
              </w:rPr>
            </w:pPr>
            <w:r w:rsidRPr="00C14674">
              <w:rPr>
                <w:sz w:val="18"/>
                <w:szCs w:val="18"/>
              </w:rPr>
              <w:t>(460.4)</w:t>
            </w:r>
          </w:p>
        </w:tc>
        <w:tc>
          <w:tcPr>
            <w:tcW w:w="778" w:type="pct"/>
            <w:noWrap/>
            <w:tcMar>
              <w:top w:w="0" w:type="dxa"/>
              <w:left w:w="144" w:type="dxa"/>
              <w:bottom w:w="0" w:type="dxa"/>
              <w:right w:w="0" w:type="dxa"/>
            </w:tcMar>
            <w:vAlign w:val="bottom"/>
          </w:tcPr>
          <w:p w:rsidR="00AB62FC" w:rsidRPr="00C14674" w:rsidRDefault="00AB62FC" w:rsidP="00AB62FC">
            <w:pPr>
              <w:spacing w:before="0" w:after="0"/>
              <w:ind w:right="140"/>
              <w:jc w:val="right"/>
              <w:rPr>
                <w:sz w:val="18"/>
                <w:szCs w:val="18"/>
              </w:rPr>
            </w:pPr>
            <w:r w:rsidRPr="00C14674">
              <w:rPr>
                <w:sz w:val="18"/>
                <w:szCs w:val="18"/>
              </w:rPr>
              <w:t>(404.1)</w:t>
            </w:r>
          </w:p>
        </w:tc>
      </w:tr>
      <w:tr w:rsidR="00AB62FC" w:rsidRPr="00C14674" w:rsidTr="00AB62FC">
        <w:tc>
          <w:tcPr>
            <w:tcW w:w="3566" w:type="pct"/>
            <w:gridSpan w:val="2"/>
            <w:vAlign w:val="bottom"/>
          </w:tcPr>
          <w:p w:rsidR="00AB62FC" w:rsidRPr="00C14674" w:rsidRDefault="00AB62FC" w:rsidP="00AB62FC">
            <w:pPr>
              <w:tabs>
                <w:tab w:val="right" w:leader="dot" w:pos="7240"/>
              </w:tabs>
              <w:spacing w:before="0" w:after="0"/>
              <w:ind w:right="141"/>
              <w:rPr>
                <w:sz w:val="18"/>
                <w:szCs w:val="18"/>
              </w:rPr>
            </w:pPr>
            <w:r w:rsidRPr="00C14674">
              <w:rPr>
                <w:sz w:val="18"/>
                <w:szCs w:val="18"/>
              </w:rPr>
              <w:t xml:space="preserve">Other short term receivables, trade related prepayments, social and other payables </w:t>
            </w:r>
            <w:r w:rsidRPr="00C14674">
              <w:rPr>
                <w:sz w:val="18"/>
                <w:szCs w:val="18"/>
              </w:rPr>
              <w:tab/>
            </w:r>
          </w:p>
        </w:tc>
        <w:tc>
          <w:tcPr>
            <w:tcW w:w="656" w:type="pct"/>
            <w:noWrap/>
            <w:tcMar>
              <w:top w:w="0" w:type="dxa"/>
              <w:left w:w="144" w:type="dxa"/>
              <w:bottom w:w="0" w:type="dxa"/>
              <w:right w:w="0" w:type="dxa"/>
            </w:tcMar>
            <w:vAlign w:val="bottom"/>
          </w:tcPr>
          <w:p w:rsidR="00AB62FC" w:rsidRPr="00C14674" w:rsidRDefault="00AB62FC" w:rsidP="00AB62FC">
            <w:pPr>
              <w:spacing w:before="0" w:after="0"/>
              <w:ind w:right="140"/>
              <w:jc w:val="right"/>
              <w:rPr>
                <w:sz w:val="18"/>
                <w:szCs w:val="18"/>
              </w:rPr>
            </w:pPr>
            <w:r w:rsidRPr="00C14674">
              <w:rPr>
                <w:sz w:val="18"/>
                <w:szCs w:val="18"/>
              </w:rPr>
              <w:t>(12,9)</w:t>
            </w:r>
          </w:p>
        </w:tc>
        <w:tc>
          <w:tcPr>
            <w:tcW w:w="778" w:type="pct"/>
            <w:noWrap/>
            <w:tcMar>
              <w:top w:w="0" w:type="dxa"/>
              <w:left w:w="144" w:type="dxa"/>
              <w:bottom w:w="0" w:type="dxa"/>
              <w:right w:w="0" w:type="dxa"/>
            </w:tcMar>
            <w:vAlign w:val="bottom"/>
          </w:tcPr>
          <w:p w:rsidR="00AB62FC" w:rsidRPr="00C14674" w:rsidRDefault="00AB62FC" w:rsidP="00AB62FC">
            <w:pPr>
              <w:spacing w:before="0" w:after="0"/>
              <w:ind w:right="140"/>
              <w:jc w:val="right"/>
              <w:rPr>
                <w:sz w:val="18"/>
                <w:szCs w:val="18"/>
              </w:rPr>
            </w:pPr>
            <w:r w:rsidRPr="00C14674">
              <w:rPr>
                <w:sz w:val="18"/>
                <w:szCs w:val="18"/>
              </w:rPr>
              <w:t>(38,8)</w:t>
            </w:r>
          </w:p>
        </w:tc>
      </w:tr>
      <w:tr w:rsidR="00AB62FC" w:rsidRPr="00C14674" w:rsidTr="00AB62FC">
        <w:tc>
          <w:tcPr>
            <w:tcW w:w="3566" w:type="pct"/>
            <w:gridSpan w:val="2"/>
            <w:tcMar>
              <w:top w:w="0" w:type="dxa"/>
              <w:left w:w="144" w:type="dxa"/>
              <w:bottom w:w="0" w:type="dxa"/>
              <w:right w:w="0" w:type="dxa"/>
            </w:tcMar>
            <w:vAlign w:val="bottom"/>
          </w:tcPr>
          <w:p w:rsidR="00AB62FC" w:rsidRPr="00C14674" w:rsidRDefault="00AB62FC" w:rsidP="00AB62FC">
            <w:pPr>
              <w:tabs>
                <w:tab w:val="right" w:pos="620"/>
                <w:tab w:val="decimal" w:pos="660"/>
              </w:tabs>
              <w:spacing w:before="0" w:after="0"/>
              <w:ind w:right="141"/>
              <w:jc w:val="right"/>
              <w:rPr>
                <w:sz w:val="18"/>
                <w:szCs w:val="18"/>
              </w:rPr>
            </w:pPr>
            <w:r w:rsidRPr="00C14674">
              <w:rPr>
                <w:sz w:val="18"/>
                <w:szCs w:val="18"/>
              </w:rPr>
              <w:t> </w:t>
            </w:r>
          </w:p>
        </w:tc>
        <w:tc>
          <w:tcPr>
            <w:tcW w:w="656" w:type="pct"/>
            <w:tcMar>
              <w:top w:w="0" w:type="dxa"/>
              <w:left w:w="144" w:type="dxa"/>
              <w:bottom w:w="0" w:type="dxa"/>
              <w:right w:w="0" w:type="dxa"/>
            </w:tcMar>
            <w:vAlign w:val="bottom"/>
          </w:tcPr>
          <w:p w:rsidR="00AB62FC" w:rsidRPr="00C14674" w:rsidRDefault="00AB62FC" w:rsidP="00AB62FC">
            <w:pPr>
              <w:pBdr>
                <w:top w:val="single" w:sz="8" w:space="1" w:color="auto"/>
              </w:pBdr>
              <w:tabs>
                <w:tab w:val="right" w:pos="720"/>
                <w:tab w:val="decimal" w:pos="760"/>
              </w:tabs>
              <w:spacing w:before="0" w:after="0"/>
              <w:jc w:val="right"/>
              <w:rPr>
                <w:sz w:val="18"/>
                <w:szCs w:val="18"/>
              </w:rPr>
            </w:pPr>
            <w:r w:rsidRPr="00C14674">
              <w:rPr>
                <w:sz w:val="18"/>
                <w:szCs w:val="18"/>
              </w:rPr>
              <w:t> </w:t>
            </w:r>
          </w:p>
        </w:tc>
        <w:tc>
          <w:tcPr>
            <w:tcW w:w="778" w:type="pct"/>
            <w:tcMar>
              <w:top w:w="0" w:type="dxa"/>
              <w:left w:w="144" w:type="dxa"/>
              <w:bottom w:w="0" w:type="dxa"/>
              <w:right w:w="0" w:type="dxa"/>
            </w:tcMar>
            <w:vAlign w:val="bottom"/>
          </w:tcPr>
          <w:p w:rsidR="00AB62FC" w:rsidRPr="00C14674" w:rsidRDefault="00AB62FC" w:rsidP="00AB62FC">
            <w:pPr>
              <w:pBdr>
                <w:top w:val="single" w:sz="8" w:space="1" w:color="auto"/>
              </w:pBdr>
              <w:tabs>
                <w:tab w:val="right" w:pos="720"/>
                <w:tab w:val="decimal" w:pos="760"/>
              </w:tabs>
              <w:spacing w:before="0" w:after="0"/>
              <w:jc w:val="right"/>
              <w:rPr>
                <w:sz w:val="18"/>
                <w:szCs w:val="18"/>
              </w:rPr>
            </w:pPr>
            <w:r w:rsidRPr="00C14674">
              <w:rPr>
                <w:sz w:val="18"/>
                <w:szCs w:val="18"/>
              </w:rPr>
              <w:t> </w:t>
            </w:r>
          </w:p>
        </w:tc>
      </w:tr>
      <w:tr w:rsidR="00AB62FC" w:rsidRPr="00C14674" w:rsidTr="00AB62FC">
        <w:tc>
          <w:tcPr>
            <w:tcW w:w="3566" w:type="pct"/>
            <w:gridSpan w:val="2"/>
            <w:vAlign w:val="bottom"/>
          </w:tcPr>
          <w:p w:rsidR="00AB62FC" w:rsidRPr="00C14674" w:rsidRDefault="00AB62FC" w:rsidP="00AB62FC">
            <w:pPr>
              <w:tabs>
                <w:tab w:val="right" w:leader="dot" w:pos="7240"/>
              </w:tabs>
              <w:spacing w:before="0" w:after="0"/>
              <w:ind w:right="141"/>
              <w:rPr>
                <w:sz w:val="18"/>
                <w:szCs w:val="18"/>
              </w:rPr>
            </w:pPr>
            <w:r w:rsidRPr="00C14674">
              <w:rPr>
                <w:b/>
                <w:bCs/>
                <w:sz w:val="18"/>
                <w:szCs w:val="18"/>
              </w:rPr>
              <w:t>Trade working capital</w:t>
            </w:r>
            <w:r w:rsidRPr="00C14674">
              <w:rPr>
                <w:bCs/>
                <w:sz w:val="18"/>
                <w:szCs w:val="18"/>
              </w:rPr>
              <w:tab/>
            </w:r>
          </w:p>
        </w:tc>
        <w:tc>
          <w:tcPr>
            <w:tcW w:w="656" w:type="pct"/>
            <w:noWrap/>
            <w:tcMar>
              <w:top w:w="0" w:type="dxa"/>
              <w:left w:w="144" w:type="dxa"/>
              <w:bottom w:w="0" w:type="dxa"/>
              <w:right w:w="0" w:type="dxa"/>
            </w:tcMar>
            <w:vAlign w:val="bottom"/>
          </w:tcPr>
          <w:p w:rsidR="00AB62FC" w:rsidRPr="00C14674" w:rsidRDefault="00AB62FC" w:rsidP="00AB62FC">
            <w:pPr>
              <w:spacing w:before="0" w:after="0"/>
              <w:ind w:right="140"/>
              <w:jc w:val="right"/>
              <w:rPr>
                <w:b/>
                <w:sz w:val="18"/>
                <w:szCs w:val="18"/>
              </w:rPr>
            </w:pPr>
            <w:r w:rsidRPr="00C14674">
              <w:rPr>
                <w:b/>
                <w:sz w:val="18"/>
                <w:szCs w:val="18"/>
              </w:rPr>
              <w:t>(261.7)</w:t>
            </w:r>
          </w:p>
        </w:tc>
        <w:tc>
          <w:tcPr>
            <w:tcW w:w="778" w:type="pct"/>
            <w:noWrap/>
            <w:tcMar>
              <w:top w:w="0" w:type="dxa"/>
              <w:left w:w="144" w:type="dxa"/>
              <w:bottom w:w="0" w:type="dxa"/>
              <w:right w:w="0" w:type="dxa"/>
            </w:tcMar>
            <w:vAlign w:val="bottom"/>
          </w:tcPr>
          <w:p w:rsidR="00AB62FC" w:rsidRPr="00C14674" w:rsidRDefault="00AB62FC" w:rsidP="00AB62FC">
            <w:pPr>
              <w:spacing w:before="0" w:after="0"/>
              <w:ind w:right="140"/>
              <w:jc w:val="right"/>
              <w:rPr>
                <w:b/>
                <w:sz w:val="18"/>
                <w:szCs w:val="18"/>
              </w:rPr>
            </w:pPr>
            <w:r w:rsidRPr="00C14674">
              <w:rPr>
                <w:b/>
                <w:sz w:val="18"/>
                <w:szCs w:val="18"/>
              </w:rPr>
              <w:t>(222.9)</w:t>
            </w:r>
          </w:p>
        </w:tc>
      </w:tr>
      <w:tr w:rsidR="00AB62FC" w:rsidRPr="00C14674" w:rsidTr="00AB62FC">
        <w:trPr>
          <w:gridBefore w:val="1"/>
          <w:wBefore w:w="118" w:type="pct"/>
        </w:trPr>
        <w:tc>
          <w:tcPr>
            <w:tcW w:w="3448" w:type="pct"/>
            <w:tcMar>
              <w:top w:w="0" w:type="dxa"/>
              <w:left w:w="144" w:type="dxa"/>
              <w:bottom w:w="0" w:type="dxa"/>
              <w:right w:w="0" w:type="dxa"/>
            </w:tcMar>
            <w:vAlign w:val="bottom"/>
          </w:tcPr>
          <w:p w:rsidR="00AB62FC" w:rsidRPr="00C14674" w:rsidRDefault="00AB62FC" w:rsidP="00AB62FC">
            <w:pPr>
              <w:tabs>
                <w:tab w:val="right" w:pos="620"/>
                <w:tab w:val="decimal" w:pos="660"/>
              </w:tabs>
              <w:spacing w:before="0" w:after="0"/>
              <w:ind w:left="140"/>
              <w:jc w:val="right"/>
              <w:rPr>
                <w:sz w:val="18"/>
                <w:szCs w:val="18"/>
              </w:rPr>
            </w:pPr>
            <w:r w:rsidRPr="00C14674">
              <w:rPr>
                <w:sz w:val="18"/>
                <w:szCs w:val="18"/>
              </w:rPr>
              <w:t> </w:t>
            </w:r>
          </w:p>
        </w:tc>
        <w:tc>
          <w:tcPr>
            <w:tcW w:w="656" w:type="pct"/>
            <w:tcMar>
              <w:top w:w="0" w:type="dxa"/>
              <w:left w:w="144" w:type="dxa"/>
              <w:bottom w:w="0" w:type="dxa"/>
              <w:right w:w="0" w:type="dxa"/>
            </w:tcMar>
            <w:vAlign w:val="bottom"/>
          </w:tcPr>
          <w:p w:rsidR="00AB62FC" w:rsidRPr="00C14674" w:rsidRDefault="00AB62FC" w:rsidP="00AB62FC">
            <w:pPr>
              <w:pBdr>
                <w:top w:val="double" w:sz="6" w:space="1" w:color="auto"/>
              </w:pBdr>
              <w:tabs>
                <w:tab w:val="right" w:pos="620"/>
                <w:tab w:val="decimal" w:pos="660"/>
              </w:tabs>
              <w:spacing w:before="0" w:after="0"/>
              <w:jc w:val="right"/>
              <w:rPr>
                <w:sz w:val="18"/>
                <w:szCs w:val="18"/>
              </w:rPr>
            </w:pPr>
            <w:r w:rsidRPr="00C14674">
              <w:rPr>
                <w:sz w:val="18"/>
                <w:szCs w:val="18"/>
              </w:rPr>
              <w:t> </w:t>
            </w:r>
          </w:p>
        </w:tc>
        <w:tc>
          <w:tcPr>
            <w:tcW w:w="778" w:type="pct"/>
            <w:tcMar>
              <w:top w:w="0" w:type="dxa"/>
              <w:left w:w="144" w:type="dxa"/>
              <w:bottom w:w="0" w:type="dxa"/>
              <w:right w:w="0" w:type="dxa"/>
            </w:tcMar>
            <w:vAlign w:val="bottom"/>
          </w:tcPr>
          <w:p w:rsidR="00AB62FC" w:rsidRPr="00C14674" w:rsidRDefault="00AB62FC" w:rsidP="00AB62FC">
            <w:pPr>
              <w:pBdr>
                <w:top w:val="double" w:sz="6" w:space="1" w:color="auto"/>
              </w:pBdr>
              <w:tabs>
                <w:tab w:val="right" w:pos="620"/>
                <w:tab w:val="decimal" w:pos="660"/>
              </w:tabs>
              <w:spacing w:before="0" w:after="0"/>
              <w:jc w:val="right"/>
              <w:rPr>
                <w:sz w:val="18"/>
                <w:szCs w:val="18"/>
              </w:rPr>
            </w:pPr>
            <w:r w:rsidRPr="00C14674">
              <w:rPr>
                <w:sz w:val="18"/>
                <w:szCs w:val="18"/>
              </w:rPr>
              <w:t> </w:t>
            </w:r>
          </w:p>
        </w:tc>
      </w:tr>
    </w:tbl>
    <w:p w:rsidR="00AB62FC" w:rsidRPr="00C14674" w:rsidRDefault="00AB62FC" w:rsidP="00AB62FC">
      <w:pPr>
        <w:rPr>
          <w:bCs/>
          <w:szCs w:val="20"/>
        </w:rPr>
      </w:pPr>
      <w:r w:rsidRPr="00C14674">
        <w:rPr>
          <w:bCs/>
          <w:szCs w:val="20"/>
        </w:rPr>
        <w:t>Reported trade working capital of the Univeg Group is char</w:t>
      </w:r>
      <w:r w:rsidR="00F2529B">
        <w:rPr>
          <w:bCs/>
          <w:szCs w:val="20"/>
        </w:rPr>
        <w:t>a</w:t>
      </w:r>
      <w:r w:rsidRPr="00C14674">
        <w:rPr>
          <w:bCs/>
          <w:szCs w:val="20"/>
        </w:rPr>
        <w:t xml:space="preserve">cterised by seasonality. The third and fourth quarters of the year typically have, in the aggregate, lower sales than the first half of the financial year, with a less homogenous sales pattern than in the first six months, with sales spiking in the summer months (especially in case of favourable weather) and in the month of December (which is historically the strongest month for the Univeg Group’s performance, due to the holiday season) and slowing down especially in October and November. </w:t>
      </w:r>
    </w:p>
    <w:p w:rsidR="00AB62FC" w:rsidRPr="00C14674" w:rsidRDefault="00AB62FC" w:rsidP="00AB62FC">
      <w:pPr>
        <w:rPr>
          <w:bCs/>
          <w:szCs w:val="20"/>
        </w:rPr>
      </w:pPr>
      <w:r w:rsidRPr="00C14674">
        <w:rPr>
          <w:bCs/>
          <w:szCs w:val="20"/>
        </w:rPr>
        <w:t xml:space="preserve">The decrease of trade receivables as at 31 March 2015 is mainly driven by the additional factoring capacity under the new factoring program, partly offset by seasonality and the impact of the start-up operation in the </w:t>
      </w:r>
      <w:smartTag w:uri="urn:schemas-microsoft-com:office:smarttags" w:element="place">
        <w:smartTag w:uri="urn:schemas-microsoft-com:office:smarttags" w:element="PlaceName">
          <w:r w:rsidRPr="00C14674">
            <w:rPr>
              <w:bCs/>
              <w:szCs w:val="20"/>
            </w:rPr>
            <w:t>Czech</w:t>
          </w:r>
        </w:smartTag>
        <w:r w:rsidRPr="00C14674">
          <w:rPr>
            <w:bCs/>
            <w:szCs w:val="20"/>
          </w:rPr>
          <w:t xml:space="preserve"> </w:t>
        </w:r>
        <w:smartTag w:uri="urn:schemas-microsoft-com:office:smarttags" w:element="PlaceType">
          <w:r w:rsidRPr="00C14674">
            <w:rPr>
              <w:bCs/>
              <w:szCs w:val="20"/>
            </w:rPr>
            <w:t>Republic</w:t>
          </w:r>
        </w:smartTag>
      </w:smartTag>
      <w:r w:rsidRPr="00C14674">
        <w:rPr>
          <w:bCs/>
          <w:szCs w:val="20"/>
        </w:rPr>
        <w:t>. The increase of trade payables and inventories primarily result from</w:t>
      </w:r>
      <w:r w:rsidR="00C14169">
        <w:rPr>
          <w:bCs/>
          <w:szCs w:val="20"/>
        </w:rPr>
        <w:t xml:space="preserve">  </w:t>
      </w:r>
      <w:r w:rsidRPr="00C14674">
        <w:rPr>
          <w:bCs/>
          <w:szCs w:val="20"/>
        </w:rPr>
        <w:t>seasonality and working capital initiatives.</w:t>
      </w:r>
    </w:p>
    <w:p w:rsidR="00AB62FC" w:rsidRPr="00304A20" w:rsidRDefault="00AB62FC" w:rsidP="00304A20">
      <w:pPr>
        <w:autoSpaceDE w:val="0"/>
        <w:autoSpaceDN w:val="0"/>
        <w:adjustRightInd w:val="0"/>
        <w:rPr>
          <w:b/>
          <w:color w:val="000000"/>
          <w:szCs w:val="20"/>
        </w:rPr>
      </w:pPr>
      <w:r w:rsidRPr="00304A20">
        <w:rPr>
          <w:b/>
          <w:color w:val="000000"/>
          <w:szCs w:val="20"/>
        </w:rPr>
        <w:t>Cash flow</w:t>
      </w:r>
    </w:p>
    <w:tbl>
      <w:tblPr>
        <w:tblW w:w="5000" w:type="pct"/>
        <w:tblLook w:val="0000" w:firstRow="0" w:lastRow="0" w:firstColumn="0" w:lastColumn="0" w:noHBand="0" w:noVBand="0"/>
      </w:tblPr>
      <w:tblGrid>
        <w:gridCol w:w="5225"/>
        <w:gridCol w:w="2404"/>
        <w:gridCol w:w="1616"/>
      </w:tblGrid>
      <w:tr w:rsidR="00AB62FC" w:rsidRPr="00C14674" w:rsidTr="00AB62FC">
        <w:tc>
          <w:tcPr>
            <w:tcW w:w="2826" w:type="pct"/>
            <w:vAlign w:val="center"/>
          </w:tcPr>
          <w:p w:rsidR="00AB62FC" w:rsidRPr="00C14674" w:rsidRDefault="00AB62FC" w:rsidP="00AB62FC">
            <w:pPr>
              <w:keepNext/>
              <w:spacing w:before="0" w:after="0"/>
              <w:ind w:left="240" w:hanging="240"/>
              <w:jc w:val="left"/>
              <w:rPr>
                <w:bCs/>
                <w:i/>
                <w:sz w:val="18"/>
                <w:szCs w:val="18"/>
              </w:rPr>
            </w:pPr>
            <w:r w:rsidRPr="00C14674">
              <w:rPr>
                <w:bCs/>
                <w:i/>
                <w:sz w:val="18"/>
                <w:szCs w:val="18"/>
              </w:rPr>
              <w:t xml:space="preserve"> (</w:t>
            </w:r>
            <w:r w:rsidR="00E53641">
              <w:rPr>
                <w:bCs/>
                <w:i/>
                <w:sz w:val="18"/>
                <w:szCs w:val="18"/>
              </w:rPr>
              <w:t>EUR </w:t>
            </w:r>
            <w:r w:rsidRPr="00C14674">
              <w:rPr>
                <w:bCs/>
                <w:i/>
                <w:sz w:val="18"/>
                <w:szCs w:val="18"/>
              </w:rPr>
              <w:t>in millions)</w:t>
            </w:r>
          </w:p>
        </w:tc>
        <w:tc>
          <w:tcPr>
            <w:tcW w:w="1300" w:type="pct"/>
            <w:vAlign w:val="bottom"/>
          </w:tcPr>
          <w:p w:rsidR="00AB62FC" w:rsidRPr="00C14674" w:rsidRDefault="00F2529B" w:rsidP="00AB62FC">
            <w:pPr>
              <w:pBdr>
                <w:bottom w:val="single" w:sz="4" w:space="1" w:color="auto"/>
              </w:pBdr>
              <w:spacing w:before="0" w:after="0"/>
              <w:jc w:val="center"/>
              <w:rPr>
                <w:b/>
                <w:sz w:val="18"/>
                <w:szCs w:val="18"/>
              </w:rPr>
            </w:pPr>
            <w:r>
              <w:rPr>
                <w:b/>
                <w:bCs/>
                <w:sz w:val="18"/>
                <w:szCs w:val="18"/>
              </w:rPr>
              <w:t>12 months</w:t>
            </w:r>
            <w:r w:rsidRPr="00C14674">
              <w:rPr>
                <w:b/>
                <w:bCs/>
                <w:sz w:val="18"/>
                <w:szCs w:val="18"/>
              </w:rPr>
              <w:t xml:space="preserve"> </w:t>
            </w:r>
            <w:r w:rsidR="00AB62FC" w:rsidRPr="00C14674">
              <w:rPr>
                <w:b/>
                <w:bCs/>
                <w:sz w:val="18"/>
                <w:szCs w:val="18"/>
              </w:rPr>
              <w:t xml:space="preserve">ended </w:t>
            </w:r>
            <w:r w:rsidR="00AB62FC" w:rsidRPr="00C14674">
              <w:rPr>
                <w:b/>
                <w:bCs/>
                <w:sz w:val="18"/>
                <w:szCs w:val="18"/>
              </w:rPr>
              <w:br/>
              <w:t xml:space="preserve">31 March </w:t>
            </w:r>
            <w:r w:rsidR="00AB62FC" w:rsidRPr="00C14674">
              <w:rPr>
                <w:b/>
                <w:bCs/>
                <w:sz w:val="18"/>
                <w:szCs w:val="18"/>
              </w:rPr>
              <w:br/>
            </w:r>
            <w:r w:rsidR="00AB62FC" w:rsidRPr="00C14674">
              <w:rPr>
                <w:b/>
                <w:sz w:val="18"/>
                <w:szCs w:val="18"/>
              </w:rPr>
              <w:t>2015</w:t>
            </w:r>
          </w:p>
        </w:tc>
        <w:tc>
          <w:tcPr>
            <w:tcW w:w="874" w:type="pct"/>
            <w:vAlign w:val="bottom"/>
          </w:tcPr>
          <w:p w:rsidR="00AB62FC" w:rsidRPr="00C14674" w:rsidRDefault="00AB62FC" w:rsidP="00AB62FC">
            <w:pPr>
              <w:pBdr>
                <w:bottom w:val="single" w:sz="4" w:space="1" w:color="auto"/>
              </w:pBdr>
              <w:spacing w:before="0" w:after="0"/>
              <w:jc w:val="center"/>
              <w:rPr>
                <w:b/>
                <w:sz w:val="18"/>
                <w:szCs w:val="18"/>
              </w:rPr>
            </w:pPr>
            <w:r w:rsidRPr="00C14674">
              <w:rPr>
                <w:b/>
                <w:bCs/>
                <w:sz w:val="18"/>
                <w:szCs w:val="18"/>
              </w:rPr>
              <w:t xml:space="preserve">Year ended </w:t>
            </w:r>
            <w:r w:rsidRPr="00C14674">
              <w:rPr>
                <w:b/>
                <w:bCs/>
                <w:sz w:val="18"/>
                <w:szCs w:val="18"/>
              </w:rPr>
              <w:br/>
              <w:t xml:space="preserve">31 December </w:t>
            </w:r>
            <w:r w:rsidRPr="00C14674">
              <w:rPr>
                <w:b/>
                <w:bCs/>
                <w:sz w:val="18"/>
                <w:szCs w:val="18"/>
              </w:rPr>
              <w:br/>
            </w:r>
            <w:r w:rsidRPr="00C14674">
              <w:rPr>
                <w:b/>
                <w:sz w:val="18"/>
                <w:szCs w:val="18"/>
              </w:rPr>
              <w:t>2014</w:t>
            </w:r>
          </w:p>
        </w:tc>
      </w:tr>
      <w:tr w:rsidR="00AB62FC" w:rsidRPr="00C14674" w:rsidTr="00AB62FC">
        <w:tc>
          <w:tcPr>
            <w:tcW w:w="2826" w:type="pct"/>
          </w:tcPr>
          <w:p w:rsidR="00AB62FC" w:rsidRPr="00C14674" w:rsidRDefault="00AB62FC" w:rsidP="00AB62FC">
            <w:pPr>
              <w:spacing w:before="0" w:after="0"/>
              <w:rPr>
                <w:sz w:val="18"/>
                <w:szCs w:val="18"/>
              </w:rPr>
            </w:pPr>
            <w:r w:rsidRPr="00C14674">
              <w:rPr>
                <w:b/>
                <w:bCs/>
                <w:sz w:val="18"/>
                <w:szCs w:val="18"/>
              </w:rPr>
              <w:t>Statement of Cash Flow Data</w:t>
            </w:r>
          </w:p>
        </w:tc>
        <w:tc>
          <w:tcPr>
            <w:tcW w:w="1300" w:type="pct"/>
          </w:tcPr>
          <w:p w:rsidR="00AB62FC" w:rsidRPr="00C14674" w:rsidRDefault="00AB62FC" w:rsidP="00AB62FC">
            <w:pPr>
              <w:tabs>
                <w:tab w:val="right" w:pos="620"/>
                <w:tab w:val="decimal" w:pos="660"/>
              </w:tabs>
              <w:spacing w:before="0" w:after="0"/>
              <w:jc w:val="right"/>
              <w:rPr>
                <w:sz w:val="18"/>
                <w:szCs w:val="18"/>
              </w:rPr>
            </w:pPr>
            <w:r w:rsidRPr="00C14674">
              <w:rPr>
                <w:sz w:val="18"/>
                <w:szCs w:val="18"/>
              </w:rPr>
              <w:t> </w:t>
            </w:r>
          </w:p>
        </w:tc>
        <w:tc>
          <w:tcPr>
            <w:tcW w:w="874" w:type="pct"/>
          </w:tcPr>
          <w:p w:rsidR="00AB62FC" w:rsidRPr="00C14674" w:rsidRDefault="00AB62FC" w:rsidP="00AB62FC">
            <w:pPr>
              <w:tabs>
                <w:tab w:val="right" w:pos="620"/>
                <w:tab w:val="decimal" w:pos="660"/>
              </w:tabs>
              <w:spacing w:before="0" w:after="0"/>
              <w:jc w:val="right"/>
              <w:rPr>
                <w:sz w:val="18"/>
                <w:szCs w:val="18"/>
              </w:rPr>
            </w:pPr>
            <w:r w:rsidRPr="00C14674">
              <w:rPr>
                <w:sz w:val="18"/>
                <w:szCs w:val="18"/>
              </w:rPr>
              <w:t> </w:t>
            </w:r>
          </w:p>
        </w:tc>
      </w:tr>
      <w:tr w:rsidR="00AB62FC" w:rsidRPr="00C14674" w:rsidTr="00AB62FC">
        <w:tc>
          <w:tcPr>
            <w:tcW w:w="2826" w:type="pct"/>
          </w:tcPr>
          <w:p w:rsidR="00AB62FC" w:rsidRPr="00C14674" w:rsidRDefault="00AB62FC" w:rsidP="00AB62FC">
            <w:pPr>
              <w:keepNext/>
              <w:tabs>
                <w:tab w:val="right" w:leader="dot" w:pos="5160"/>
              </w:tabs>
              <w:spacing w:before="0" w:after="0"/>
              <w:ind w:left="240" w:hanging="240"/>
              <w:rPr>
                <w:sz w:val="18"/>
                <w:szCs w:val="18"/>
              </w:rPr>
            </w:pPr>
            <w:r w:rsidRPr="00C14674">
              <w:rPr>
                <w:sz w:val="18"/>
                <w:szCs w:val="18"/>
              </w:rPr>
              <w:t>Cash flow from operating activities</w:t>
            </w:r>
            <w:r w:rsidRPr="00C14674">
              <w:rPr>
                <w:sz w:val="18"/>
                <w:szCs w:val="18"/>
              </w:rPr>
              <w:tab/>
            </w:r>
          </w:p>
        </w:tc>
        <w:tc>
          <w:tcPr>
            <w:tcW w:w="1300" w:type="pct"/>
            <w:noWrap/>
          </w:tcPr>
          <w:p w:rsidR="00AB62FC" w:rsidRPr="00C14674" w:rsidRDefault="00AB62FC" w:rsidP="00AB62FC">
            <w:pPr>
              <w:spacing w:before="0" w:after="0"/>
              <w:jc w:val="right"/>
              <w:rPr>
                <w:sz w:val="18"/>
                <w:szCs w:val="18"/>
              </w:rPr>
            </w:pPr>
            <w:r w:rsidRPr="00C14674">
              <w:rPr>
                <w:sz w:val="18"/>
                <w:szCs w:val="18"/>
              </w:rPr>
              <w:t>84.5</w:t>
            </w:r>
          </w:p>
        </w:tc>
        <w:tc>
          <w:tcPr>
            <w:tcW w:w="874" w:type="pct"/>
            <w:noWrap/>
          </w:tcPr>
          <w:p w:rsidR="00AB62FC" w:rsidRPr="00C14674" w:rsidRDefault="00AB62FC" w:rsidP="00AB62FC">
            <w:pPr>
              <w:spacing w:before="0" w:after="0"/>
              <w:jc w:val="right"/>
              <w:rPr>
                <w:sz w:val="18"/>
                <w:szCs w:val="18"/>
              </w:rPr>
            </w:pPr>
            <w:r w:rsidRPr="00C14674">
              <w:rPr>
                <w:sz w:val="18"/>
                <w:szCs w:val="18"/>
              </w:rPr>
              <w:t>49.3</w:t>
            </w:r>
          </w:p>
        </w:tc>
      </w:tr>
      <w:tr w:rsidR="00AB62FC" w:rsidRPr="00C14674" w:rsidTr="00AB62FC">
        <w:tc>
          <w:tcPr>
            <w:tcW w:w="2826" w:type="pct"/>
          </w:tcPr>
          <w:p w:rsidR="00AB62FC" w:rsidRPr="00C14674" w:rsidRDefault="00AB62FC" w:rsidP="00AB62FC">
            <w:pPr>
              <w:keepNext/>
              <w:tabs>
                <w:tab w:val="right" w:leader="dot" w:pos="5160"/>
              </w:tabs>
              <w:spacing w:before="0" w:after="0"/>
              <w:ind w:left="240" w:hanging="240"/>
              <w:rPr>
                <w:sz w:val="18"/>
                <w:szCs w:val="18"/>
              </w:rPr>
            </w:pPr>
            <w:r w:rsidRPr="00C14674">
              <w:rPr>
                <w:sz w:val="18"/>
                <w:szCs w:val="18"/>
              </w:rPr>
              <w:t>Cash flow from investing activities</w:t>
            </w:r>
            <w:r w:rsidRPr="00C14674">
              <w:rPr>
                <w:sz w:val="18"/>
                <w:szCs w:val="18"/>
              </w:rPr>
              <w:tab/>
            </w:r>
          </w:p>
        </w:tc>
        <w:tc>
          <w:tcPr>
            <w:tcW w:w="1300" w:type="pct"/>
            <w:noWrap/>
          </w:tcPr>
          <w:p w:rsidR="00AB62FC" w:rsidRPr="00C14674" w:rsidRDefault="00AB62FC" w:rsidP="00AB62FC">
            <w:pPr>
              <w:spacing w:before="0" w:after="0"/>
              <w:jc w:val="right"/>
              <w:rPr>
                <w:sz w:val="18"/>
                <w:szCs w:val="18"/>
              </w:rPr>
            </w:pPr>
            <w:r w:rsidRPr="00C14674">
              <w:rPr>
                <w:sz w:val="18"/>
                <w:szCs w:val="18"/>
              </w:rPr>
              <w:t>39.8</w:t>
            </w:r>
          </w:p>
        </w:tc>
        <w:tc>
          <w:tcPr>
            <w:tcW w:w="874" w:type="pct"/>
            <w:noWrap/>
          </w:tcPr>
          <w:p w:rsidR="00AB62FC" w:rsidRPr="00C14674" w:rsidRDefault="00AB62FC" w:rsidP="00AB62FC">
            <w:pPr>
              <w:spacing w:before="0" w:after="0"/>
              <w:jc w:val="right"/>
              <w:rPr>
                <w:sz w:val="18"/>
                <w:szCs w:val="18"/>
              </w:rPr>
            </w:pPr>
            <w:r w:rsidRPr="00C14674">
              <w:rPr>
                <w:sz w:val="18"/>
                <w:szCs w:val="18"/>
              </w:rPr>
              <w:t>23.3</w:t>
            </w:r>
          </w:p>
        </w:tc>
      </w:tr>
      <w:tr w:rsidR="00AB62FC" w:rsidRPr="00C14674" w:rsidTr="00AB62FC">
        <w:tc>
          <w:tcPr>
            <w:tcW w:w="2826" w:type="pct"/>
          </w:tcPr>
          <w:p w:rsidR="00AB62FC" w:rsidRPr="00C14674" w:rsidRDefault="00AB62FC" w:rsidP="00AB62FC">
            <w:pPr>
              <w:keepNext/>
              <w:tabs>
                <w:tab w:val="right" w:leader="dot" w:pos="5160"/>
              </w:tabs>
              <w:spacing w:before="0" w:after="0"/>
              <w:ind w:left="240" w:hanging="240"/>
              <w:rPr>
                <w:sz w:val="18"/>
                <w:szCs w:val="18"/>
              </w:rPr>
            </w:pPr>
            <w:r w:rsidRPr="00C14674">
              <w:rPr>
                <w:sz w:val="18"/>
                <w:szCs w:val="18"/>
              </w:rPr>
              <w:t>Cash flow from financing activities</w:t>
            </w:r>
            <w:r w:rsidRPr="00C14674">
              <w:rPr>
                <w:sz w:val="18"/>
                <w:szCs w:val="18"/>
              </w:rPr>
              <w:tab/>
            </w:r>
          </w:p>
        </w:tc>
        <w:tc>
          <w:tcPr>
            <w:tcW w:w="1300" w:type="pct"/>
            <w:noWrap/>
          </w:tcPr>
          <w:p w:rsidR="00AB62FC" w:rsidRPr="00C14674" w:rsidRDefault="00AB62FC" w:rsidP="00AB62FC">
            <w:pPr>
              <w:tabs>
                <w:tab w:val="right" w:pos="720"/>
                <w:tab w:val="decimal" w:pos="760"/>
              </w:tabs>
              <w:spacing w:before="0" w:after="0"/>
              <w:jc w:val="right"/>
              <w:rPr>
                <w:sz w:val="18"/>
                <w:szCs w:val="18"/>
              </w:rPr>
            </w:pPr>
            <w:r w:rsidRPr="00C14674">
              <w:rPr>
                <w:sz w:val="18"/>
                <w:szCs w:val="18"/>
              </w:rPr>
              <w:t>(108.6)</w:t>
            </w:r>
          </w:p>
        </w:tc>
        <w:tc>
          <w:tcPr>
            <w:tcW w:w="874" w:type="pct"/>
            <w:noWrap/>
          </w:tcPr>
          <w:p w:rsidR="00AB62FC" w:rsidRPr="00C14674" w:rsidRDefault="00AB62FC" w:rsidP="00AB62FC">
            <w:pPr>
              <w:tabs>
                <w:tab w:val="right" w:pos="720"/>
                <w:tab w:val="decimal" w:pos="760"/>
              </w:tabs>
              <w:spacing w:before="0" w:after="0"/>
              <w:jc w:val="right"/>
              <w:rPr>
                <w:sz w:val="18"/>
                <w:szCs w:val="18"/>
              </w:rPr>
            </w:pPr>
            <w:r w:rsidRPr="00C14674">
              <w:rPr>
                <w:sz w:val="18"/>
                <w:szCs w:val="18"/>
              </w:rPr>
              <w:t>(34.0)</w:t>
            </w:r>
          </w:p>
        </w:tc>
      </w:tr>
      <w:tr w:rsidR="00AB62FC" w:rsidRPr="00C14674" w:rsidTr="00AB62FC">
        <w:tc>
          <w:tcPr>
            <w:tcW w:w="2826" w:type="pct"/>
          </w:tcPr>
          <w:p w:rsidR="00AB62FC" w:rsidRPr="00C14674" w:rsidRDefault="00AB62FC" w:rsidP="00AB62FC">
            <w:pPr>
              <w:keepNext/>
              <w:tabs>
                <w:tab w:val="right" w:leader="dot" w:pos="5160"/>
              </w:tabs>
              <w:spacing w:before="0" w:after="0"/>
              <w:ind w:left="240" w:hanging="240"/>
              <w:rPr>
                <w:sz w:val="18"/>
                <w:szCs w:val="18"/>
              </w:rPr>
            </w:pPr>
          </w:p>
        </w:tc>
        <w:tc>
          <w:tcPr>
            <w:tcW w:w="1300" w:type="pct"/>
            <w:noWrap/>
          </w:tcPr>
          <w:p w:rsidR="00AB62FC" w:rsidRPr="00C14674" w:rsidRDefault="00AB62FC" w:rsidP="00AB62FC">
            <w:pPr>
              <w:spacing w:before="0" w:after="0"/>
              <w:jc w:val="right"/>
              <w:rPr>
                <w:sz w:val="18"/>
                <w:szCs w:val="18"/>
              </w:rPr>
            </w:pPr>
          </w:p>
        </w:tc>
        <w:tc>
          <w:tcPr>
            <w:tcW w:w="874" w:type="pct"/>
            <w:noWrap/>
          </w:tcPr>
          <w:p w:rsidR="00AB62FC" w:rsidRPr="00C14674" w:rsidRDefault="00AB62FC" w:rsidP="00AB62FC">
            <w:pPr>
              <w:tabs>
                <w:tab w:val="right" w:pos="720"/>
                <w:tab w:val="decimal" w:pos="760"/>
              </w:tabs>
              <w:spacing w:before="0" w:after="0"/>
              <w:jc w:val="right"/>
              <w:rPr>
                <w:sz w:val="18"/>
                <w:szCs w:val="18"/>
              </w:rPr>
            </w:pPr>
          </w:p>
        </w:tc>
      </w:tr>
    </w:tbl>
    <w:p w:rsidR="00AB62FC" w:rsidRPr="00C14674" w:rsidRDefault="00AB62FC" w:rsidP="00AB62FC">
      <w:pPr>
        <w:rPr>
          <w:bCs/>
          <w:szCs w:val="20"/>
        </w:rPr>
      </w:pPr>
      <w:r w:rsidRPr="00C14674">
        <w:rPr>
          <w:bCs/>
          <w:szCs w:val="20"/>
        </w:rPr>
        <w:t xml:space="preserve">The additional factoring capacity created by the new factoring program positively affected the cash flow from operating activities and enabled the Univeg Group not to draw on the Revolving Credit Facility. </w:t>
      </w:r>
    </w:p>
    <w:p w:rsidR="00AB62FC" w:rsidRPr="00C14674" w:rsidRDefault="00AB62FC" w:rsidP="00AB62FC">
      <w:pPr>
        <w:rPr>
          <w:bCs/>
          <w:szCs w:val="20"/>
        </w:rPr>
      </w:pPr>
      <w:r w:rsidRPr="00C14674">
        <w:rPr>
          <w:bCs/>
          <w:szCs w:val="20"/>
        </w:rPr>
        <w:t xml:space="preserve">The increase of cash flow from investing activities is predominantly driven by a deferred payment received in the first quarter of 2015 related to the </w:t>
      </w:r>
      <w:r w:rsidR="0083762C">
        <w:rPr>
          <w:bCs/>
          <w:szCs w:val="20"/>
        </w:rPr>
        <w:t xml:space="preserve">divestment of </w:t>
      </w:r>
      <w:r w:rsidR="0083762C" w:rsidRPr="0083762C">
        <w:rPr>
          <w:bCs/>
          <w:szCs w:val="20"/>
        </w:rPr>
        <w:t>The Fruit Farm Group</w:t>
      </w:r>
      <w:r w:rsidRPr="00C14674">
        <w:rPr>
          <w:bCs/>
          <w:szCs w:val="20"/>
        </w:rPr>
        <w:t xml:space="preserve"> and the cash used for the acquisition of FAI in the first quarter of 2014.</w:t>
      </w:r>
    </w:p>
    <w:p w:rsidR="00AB62FC" w:rsidRPr="00C14674" w:rsidRDefault="00AB62FC" w:rsidP="00AB62FC">
      <w:pPr>
        <w:rPr>
          <w:bCs/>
          <w:szCs w:val="20"/>
        </w:rPr>
      </w:pPr>
      <w:r w:rsidRPr="00C14674">
        <w:rPr>
          <w:bCs/>
          <w:szCs w:val="20"/>
        </w:rPr>
        <w:t xml:space="preserve">In respect of the cash flow from financing activities, cash was used for repayment of the Revolving Credit Facility and other loans in the first quarter of 2015. </w:t>
      </w:r>
    </w:p>
    <w:p w:rsidR="00AB62FC" w:rsidRPr="00C14674" w:rsidRDefault="00AB62FC" w:rsidP="00353B80">
      <w:pPr>
        <w:autoSpaceDE w:val="0"/>
        <w:autoSpaceDN w:val="0"/>
        <w:adjustRightInd w:val="0"/>
        <w:rPr>
          <w:b/>
          <w:smallCaps/>
        </w:rPr>
      </w:pPr>
      <w:r w:rsidRPr="00C14674">
        <w:rPr>
          <w:b/>
          <w:color w:val="000000"/>
          <w:szCs w:val="20"/>
        </w:rPr>
        <w:t>Indebtedness</w:t>
      </w:r>
    </w:p>
    <w:tbl>
      <w:tblPr>
        <w:tblW w:w="5000" w:type="pct"/>
        <w:tblLook w:val="04A0" w:firstRow="1" w:lastRow="0" w:firstColumn="1" w:lastColumn="0" w:noHBand="0" w:noVBand="1"/>
      </w:tblPr>
      <w:tblGrid>
        <w:gridCol w:w="7692"/>
        <w:gridCol w:w="1553"/>
      </w:tblGrid>
      <w:tr w:rsidR="00AB62FC" w:rsidRPr="00C14674" w:rsidTr="00AB62FC">
        <w:tc>
          <w:tcPr>
            <w:tcW w:w="4160" w:type="pct"/>
            <w:shd w:val="clear" w:color="auto" w:fill="auto"/>
            <w:vAlign w:val="center"/>
          </w:tcPr>
          <w:p w:rsidR="00AB62FC" w:rsidRPr="00C14674" w:rsidRDefault="00AB62FC" w:rsidP="00AB62FC">
            <w:pPr>
              <w:spacing w:before="0" w:after="0"/>
              <w:jc w:val="left"/>
              <w:rPr>
                <w:bCs/>
                <w:i/>
                <w:sz w:val="18"/>
                <w:szCs w:val="18"/>
              </w:rPr>
            </w:pPr>
            <w:r w:rsidRPr="00C14674">
              <w:rPr>
                <w:bCs/>
                <w:i/>
                <w:sz w:val="18"/>
                <w:szCs w:val="18"/>
              </w:rPr>
              <w:t>(</w:t>
            </w:r>
            <w:r w:rsidR="00E53641">
              <w:rPr>
                <w:bCs/>
                <w:i/>
                <w:sz w:val="18"/>
                <w:szCs w:val="18"/>
              </w:rPr>
              <w:t>EUR </w:t>
            </w:r>
            <w:r w:rsidRPr="00C14674">
              <w:rPr>
                <w:bCs/>
                <w:i/>
                <w:sz w:val="18"/>
                <w:szCs w:val="18"/>
              </w:rPr>
              <w:t>in millions)</w:t>
            </w:r>
          </w:p>
        </w:tc>
        <w:tc>
          <w:tcPr>
            <w:tcW w:w="840" w:type="pct"/>
            <w:shd w:val="clear" w:color="auto" w:fill="auto"/>
            <w:vAlign w:val="bottom"/>
          </w:tcPr>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31 March</w:t>
            </w:r>
          </w:p>
          <w:p w:rsidR="00AB62FC" w:rsidRPr="00C14674" w:rsidRDefault="00AB62FC" w:rsidP="00AB62FC">
            <w:pPr>
              <w:pBdr>
                <w:bottom w:val="single" w:sz="4" w:space="1" w:color="auto"/>
              </w:pBdr>
              <w:spacing w:before="0" w:after="0"/>
              <w:jc w:val="center"/>
              <w:rPr>
                <w:b/>
                <w:bCs/>
                <w:sz w:val="18"/>
                <w:szCs w:val="18"/>
              </w:rPr>
            </w:pPr>
            <w:r w:rsidRPr="00C14674">
              <w:rPr>
                <w:b/>
                <w:bCs/>
                <w:sz w:val="18"/>
                <w:szCs w:val="18"/>
              </w:rPr>
              <w:t>2015</w:t>
            </w:r>
          </w:p>
        </w:tc>
      </w:tr>
      <w:tr w:rsidR="00AB62FC" w:rsidRPr="00C14674" w:rsidTr="00AB62FC">
        <w:tc>
          <w:tcPr>
            <w:tcW w:w="4160" w:type="pct"/>
            <w:shd w:val="clear" w:color="auto" w:fill="auto"/>
          </w:tcPr>
          <w:p w:rsidR="00AB62FC" w:rsidRPr="00C14674" w:rsidRDefault="00AB62FC" w:rsidP="00AB62FC">
            <w:pPr>
              <w:tabs>
                <w:tab w:val="right" w:leader="dot" w:pos="6912"/>
              </w:tabs>
              <w:spacing w:before="0" w:after="0"/>
              <w:rPr>
                <w:b/>
                <w:sz w:val="18"/>
                <w:szCs w:val="18"/>
              </w:rPr>
            </w:pPr>
            <w:r w:rsidRPr="00C14674">
              <w:rPr>
                <w:b/>
                <w:bCs/>
                <w:sz w:val="18"/>
                <w:szCs w:val="18"/>
              </w:rPr>
              <w:t>Cash and cash equivalents</w:t>
            </w:r>
            <w:r w:rsidRPr="00C14674">
              <w:rPr>
                <w:bCs/>
                <w:sz w:val="18"/>
                <w:szCs w:val="18"/>
              </w:rPr>
              <w:tab/>
            </w:r>
          </w:p>
        </w:tc>
        <w:tc>
          <w:tcPr>
            <w:tcW w:w="840" w:type="pct"/>
            <w:shd w:val="clear" w:color="auto" w:fill="auto"/>
          </w:tcPr>
          <w:p w:rsidR="00AB62FC" w:rsidRPr="00C14674" w:rsidRDefault="00AB62FC" w:rsidP="00AB62FC">
            <w:pPr>
              <w:spacing w:before="0" w:after="0"/>
              <w:ind w:left="360" w:firstLine="360"/>
              <w:jc w:val="right"/>
              <w:rPr>
                <w:sz w:val="18"/>
                <w:szCs w:val="18"/>
              </w:rPr>
            </w:pPr>
            <w:r w:rsidRPr="00C14674">
              <w:rPr>
                <w:sz w:val="18"/>
                <w:szCs w:val="18"/>
              </w:rPr>
              <w:t>(119.3)</w:t>
            </w:r>
          </w:p>
        </w:tc>
      </w:tr>
      <w:tr w:rsidR="00AB62FC" w:rsidRPr="00C14674" w:rsidTr="00AB62FC">
        <w:tc>
          <w:tcPr>
            <w:tcW w:w="4160" w:type="pct"/>
            <w:shd w:val="clear" w:color="auto" w:fill="auto"/>
          </w:tcPr>
          <w:p w:rsidR="00AB62FC" w:rsidRPr="00C14674" w:rsidRDefault="00AB62FC" w:rsidP="00AB62FC">
            <w:pPr>
              <w:tabs>
                <w:tab w:val="right" w:leader="dot" w:pos="6912"/>
              </w:tabs>
              <w:spacing w:before="0" w:after="0"/>
              <w:ind w:left="360" w:firstLine="360"/>
              <w:rPr>
                <w:b/>
                <w:sz w:val="18"/>
                <w:szCs w:val="18"/>
              </w:rPr>
            </w:pPr>
            <w:r w:rsidRPr="00C14674">
              <w:rPr>
                <w:b/>
                <w:sz w:val="18"/>
                <w:szCs w:val="18"/>
              </w:rPr>
              <w:t>Indebtedness</w:t>
            </w:r>
          </w:p>
        </w:tc>
        <w:tc>
          <w:tcPr>
            <w:tcW w:w="840" w:type="pct"/>
            <w:shd w:val="clear" w:color="auto" w:fill="auto"/>
          </w:tcPr>
          <w:p w:rsidR="00AB62FC" w:rsidRPr="00C14674" w:rsidRDefault="00AB62FC" w:rsidP="00AB62FC">
            <w:pPr>
              <w:spacing w:before="0" w:after="0"/>
              <w:jc w:val="right"/>
              <w:rPr>
                <w:sz w:val="18"/>
                <w:szCs w:val="18"/>
              </w:rPr>
            </w:pPr>
          </w:p>
        </w:tc>
      </w:tr>
      <w:tr w:rsidR="00AB62FC" w:rsidRPr="00C14674" w:rsidTr="00AB62FC">
        <w:tc>
          <w:tcPr>
            <w:tcW w:w="4160" w:type="pct"/>
            <w:shd w:val="clear" w:color="auto" w:fill="auto"/>
          </w:tcPr>
          <w:p w:rsidR="00AB62FC" w:rsidRPr="00C14674" w:rsidRDefault="00AB62FC" w:rsidP="00AB62FC">
            <w:pPr>
              <w:tabs>
                <w:tab w:val="right" w:leader="dot" w:pos="6912"/>
              </w:tabs>
              <w:spacing w:before="0" w:after="0"/>
              <w:ind w:left="360" w:firstLine="360"/>
              <w:rPr>
                <w:bCs/>
                <w:sz w:val="18"/>
                <w:szCs w:val="18"/>
              </w:rPr>
            </w:pPr>
            <w:r w:rsidRPr="00C14674">
              <w:rPr>
                <w:sz w:val="18"/>
                <w:szCs w:val="18"/>
              </w:rPr>
              <w:t>Notes</w:t>
            </w:r>
            <w:r w:rsidRPr="00C14674">
              <w:rPr>
                <w:sz w:val="18"/>
                <w:szCs w:val="18"/>
              </w:rPr>
              <w:tab/>
            </w:r>
          </w:p>
        </w:tc>
        <w:tc>
          <w:tcPr>
            <w:tcW w:w="840" w:type="pct"/>
            <w:shd w:val="clear" w:color="auto" w:fill="auto"/>
          </w:tcPr>
          <w:p w:rsidR="00AB62FC" w:rsidRPr="00C14674" w:rsidRDefault="00AB62FC" w:rsidP="00AB62FC">
            <w:pPr>
              <w:spacing w:before="0" w:after="0"/>
              <w:ind w:left="360" w:firstLine="360"/>
              <w:jc w:val="right"/>
              <w:rPr>
                <w:sz w:val="18"/>
                <w:szCs w:val="18"/>
              </w:rPr>
            </w:pPr>
            <w:r w:rsidRPr="00C14674">
              <w:rPr>
                <w:sz w:val="18"/>
                <w:szCs w:val="18"/>
              </w:rPr>
              <w:t>283.9</w:t>
            </w:r>
          </w:p>
        </w:tc>
      </w:tr>
      <w:tr w:rsidR="00AB62FC" w:rsidRPr="00C14674" w:rsidTr="00AB62FC">
        <w:tc>
          <w:tcPr>
            <w:tcW w:w="4160" w:type="pct"/>
            <w:shd w:val="clear" w:color="auto" w:fill="auto"/>
          </w:tcPr>
          <w:p w:rsidR="00AB62FC" w:rsidRPr="00C14674" w:rsidRDefault="00AB62FC" w:rsidP="00AB62FC">
            <w:pPr>
              <w:tabs>
                <w:tab w:val="right" w:leader="dot" w:pos="6912"/>
              </w:tabs>
              <w:spacing w:before="0" w:after="0"/>
              <w:ind w:left="360" w:firstLine="360"/>
              <w:rPr>
                <w:sz w:val="18"/>
                <w:szCs w:val="18"/>
              </w:rPr>
            </w:pPr>
            <w:r w:rsidRPr="00C14674">
              <w:rPr>
                <w:sz w:val="18"/>
                <w:szCs w:val="18"/>
              </w:rPr>
              <w:t>Revolving Credit Facility</w:t>
            </w:r>
            <w:r w:rsidRPr="00C14674">
              <w:rPr>
                <w:sz w:val="18"/>
                <w:szCs w:val="18"/>
              </w:rPr>
              <w:tab/>
            </w:r>
          </w:p>
        </w:tc>
        <w:tc>
          <w:tcPr>
            <w:tcW w:w="840" w:type="pct"/>
            <w:shd w:val="clear" w:color="auto" w:fill="auto"/>
          </w:tcPr>
          <w:p w:rsidR="00AB62FC" w:rsidRPr="00C14674" w:rsidRDefault="00AB62FC" w:rsidP="00AB62FC">
            <w:pPr>
              <w:spacing w:before="0" w:after="0"/>
              <w:jc w:val="right"/>
              <w:rPr>
                <w:sz w:val="18"/>
                <w:szCs w:val="18"/>
              </w:rPr>
            </w:pPr>
            <w:r w:rsidRPr="00C14674">
              <w:rPr>
                <w:sz w:val="18"/>
                <w:szCs w:val="18"/>
              </w:rPr>
              <w:t>-</w:t>
            </w:r>
          </w:p>
        </w:tc>
      </w:tr>
      <w:tr w:rsidR="00AB62FC" w:rsidRPr="00C14674" w:rsidTr="00AB62FC">
        <w:tc>
          <w:tcPr>
            <w:tcW w:w="4160" w:type="pct"/>
            <w:shd w:val="clear" w:color="auto" w:fill="auto"/>
          </w:tcPr>
          <w:p w:rsidR="00AB62FC" w:rsidRPr="00C14674" w:rsidRDefault="00AB62FC" w:rsidP="00AB62FC">
            <w:pPr>
              <w:tabs>
                <w:tab w:val="right" w:leader="dot" w:pos="6912"/>
              </w:tabs>
              <w:spacing w:before="0" w:after="0"/>
              <w:rPr>
                <w:bCs/>
                <w:sz w:val="18"/>
                <w:szCs w:val="18"/>
              </w:rPr>
            </w:pPr>
            <w:r w:rsidRPr="00C14674">
              <w:rPr>
                <w:sz w:val="18"/>
                <w:szCs w:val="18"/>
              </w:rPr>
              <w:t>Other Loans</w:t>
            </w:r>
            <w:r w:rsidRPr="00C14674">
              <w:rPr>
                <w:sz w:val="18"/>
                <w:szCs w:val="18"/>
              </w:rPr>
              <w:tab/>
            </w:r>
          </w:p>
        </w:tc>
        <w:tc>
          <w:tcPr>
            <w:tcW w:w="840" w:type="pct"/>
            <w:shd w:val="clear" w:color="auto" w:fill="auto"/>
          </w:tcPr>
          <w:p w:rsidR="00AB62FC" w:rsidRPr="00C14674" w:rsidRDefault="00AB62FC" w:rsidP="00AB62FC">
            <w:pPr>
              <w:pBdr>
                <w:bottom w:val="single" w:sz="4" w:space="1" w:color="auto"/>
              </w:pBdr>
              <w:spacing w:before="0" w:after="0"/>
              <w:jc w:val="right"/>
              <w:rPr>
                <w:sz w:val="18"/>
                <w:szCs w:val="18"/>
              </w:rPr>
            </w:pPr>
            <w:r w:rsidRPr="00C14674">
              <w:rPr>
                <w:sz w:val="18"/>
                <w:szCs w:val="18"/>
              </w:rPr>
              <w:t>1.9</w:t>
            </w:r>
          </w:p>
        </w:tc>
      </w:tr>
      <w:tr w:rsidR="00AB62FC" w:rsidRPr="00C14674" w:rsidTr="00AB62FC">
        <w:tc>
          <w:tcPr>
            <w:tcW w:w="4160" w:type="pct"/>
            <w:shd w:val="clear" w:color="auto" w:fill="auto"/>
          </w:tcPr>
          <w:p w:rsidR="00AB62FC" w:rsidRPr="00C14674" w:rsidRDefault="00AB62FC" w:rsidP="00AB62FC">
            <w:pPr>
              <w:tabs>
                <w:tab w:val="right" w:leader="dot" w:pos="6912"/>
              </w:tabs>
              <w:spacing w:before="0" w:after="0"/>
              <w:rPr>
                <w:sz w:val="18"/>
                <w:szCs w:val="18"/>
              </w:rPr>
            </w:pPr>
            <w:r w:rsidRPr="00C14674">
              <w:rPr>
                <w:b/>
                <w:bCs/>
                <w:sz w:val="18"/>
                <w:szCs w:val="18"/>
              </w:rPr>
              <w:t>Net debt</w:t>
            </w:r>
            <w:r w:rsidRPr="00C14674">
              <w:rPr>
                <w:bCs/>
                <w:sz w:val="18"/>
                <w:szCs w:val="18"/>
              </w:rPr>
              <w:tab/>
            </w:r>
          </w:p>
        </w:tc>
        <w:tc>
          <w:tcPr>
            <w:tcW w:w="840" w:type="pct"/>
            <w:shd w:val="clear" w:color="auto" w:fill="auto"/>
          </w:tcPr>
          <w:p w:rsidR="00AB62FC" w:rsidRPr="00C14674" w:rsidRDefault="00AB62FC" w:rsidP="00AB62FC">
            <w:pPr>
              <w:pBdr>
                <w:bottom w:val="double" w:sz="4" w:space="1" w:color="auto"/>
              </w:pBdr>
              <w:spacing w:before="0" w:after="0"/>
              <w:jc w:val="right"/>
              <w:rPr>
                <w:sz w:val="18"/>
                <w:szCs w:val="18"/>
              </w:rPr>
            </w:pPr>
            <w:r w:rsidRPr="00C14674">
              <w:rPr>
                <w:b/>
                <w:sz w:val="18"/>
                <w:szCs w:val="18"/>
              </w:rPr>
              <w:t>166.5</w:t>
            </w:r>
          </w:p>
        </w:tc>
      </w:tr>
    </w:tbl>
    <w:p w:rsidR="003F0BC5" w:rsidRPr="00C14674" w:rsidRDefault="003F0BC5" w:rsidP="00353B80">
      <w:pPr>
        <w:pStyle w:val="Firm5L1"/>
        <w:keepNext/>
      </w:pPr>
      <w:bookmarkStart w:id="84" w:name="_Toc420593897"/>
      <w:r w:rsidRPr="00C14674">
        <w:lastRenderedPageBreak/>
        <w:t>Peatinvest</w:t>
      </w:r>
      <w:bookmarkEnd w:id="84"/>
    </w:p>
    <w:p w:rsidR="003F0BC5" w:rsidRPr="00C14674" w:rsidRDefault="003F0BC5" w:rsidP="00353B80">
      <w:pPr>
        <w:pStyle w:val="Firm5L2"/>
        <w:keepNext/>
      </w:pPr>
      <w:bookmarkStart w:id="85" w:name="_Toc420593898"/>
      <w:r w:rsidRPr="00C14674">
        <w:t>Overview</w:t>
      </w:r>
      <w:bookmarkEnd w:id="85"/>
    </w:p>
    <w:p w:rsidR="003F0BC5" w:rsidRPr="00C14674" w:rsidRDefault="003F0BC5" w:rsidP="00353B80">
      <w:pPr>
        <w:pStyle w:val="Firm5L3"/>
        <w:keepNext/>
      </w:pPr>
      <w:r w:rsidRPr="00C14674">
        <w:t>Geographical presence and production sites</w:t>
      </w:r>
    </w:p>
    <w:p w:rsidR="003F0BC5" w:rsidRPr="00C14674" w:rsidRDefault="003F0BC5" w:rsidP="003F0BC5">
      <w:pPr>
        <w:autoSpaceDE w:val="0"/>
        <w:autoSpaceDN w:val="0"/>
        <w:adjustRightInd w:val="0"/>
        <w:rPr>
          <w:color w:val="000000"/>
          <w:szCs w:val="20"/>
        </w:rPr>
      </w:pPr>
      <w:r w:rsidRPr="00C14674">
        <w:rPr>
          <w:color w:val="000000"/>
          <w:szCs w:val="20"/>
        </w:rPr>
        <w:t xml:space="preserve">Peatinvest is a holding company, which, directly and indirectly, owns and controls the Peatinvest Group. Peatinvest has eight subsidiaries in four different countries (together, the Peatinvest Group). Peatinvest’s Belgian subsidiaries are </w:t>
      </w:r>
      <w:smartTag w:uri="urn:schemas-microsoft-com:office:smarttags" w:element="place">
        <w:smartTag w:uri="urn:schemas-microsoft-com:office:smarttags" w:element="City">
          <w:r w:rsidRPr="00C14674">
            <w:rPr>
              <w:color w:val="000000"/>
              <w:szCs w:val="20"/>
            </w:rPr>
            <w:t>Peltracom</w:t>
          </w:r>
        </w:smartTag>
        <w:r w:rsidRPr="00C14674">
          <w:rPr>
            <w:color w:val="000000"/>
            <w:szCs w:val="20"/>
          </w:rPr>
          <w:t xml:space="preserve"> </w:t>
        </w:r>
        <w:smartTag w:uri="urn:schemas-microsoft-com:office:smarttags" w:element="State">
          <w:r w:rsidRPr="00C14674">
            <w:rPr>
              <w:color w:val="000000"/>
              <w:szCs w:val="20"/>
            </w:rPr>
            <w:t>NV</w:t>
          </w:r>
        </w:smartTag>
      </w:smartTag>
      <w:r w:rsidRPr="00C14674">
        <w:rPr>
          <w:color w:val="000000"/>
          <w:szCs w:val="20"/>
        </w:rPr>
        <w:t xml:space="preserve">, Agrofino Transport BVBA and Norland SA, the French subsidiaries are Humuland SAS and Peltracom France SAS, the Latvian subsidiaries are Misas Kudra AS and Enavas SIA and the Polish subsidiary is Hollas Spółka z ograniczoną odpowiedzialnością. All these subsidiaries are fully owned (directly or indirectly) by Peatinvest, except for Misas </w:t>
      </w:r>
      <w:smartTag w:uri="urn:schemas-microsoft-com:office:smarttags" w:element="place">
        <w:smartTag w:uri="urn:schemas-microsoft-com:office:smarttags" w:element="City">
          <w:r w:rsidRPr="00C14674">
            <w:rPr>
              <w:color w:val="000000"/>
              <w:szCs w:val="20"/>
            </w:rPr>
            <w:t>Kudra</w:t>
          </w:r>
        </w:smartTag>
        <w:r w:rsidRPr="00C14674">
          <w:rPr>
            <w:color w:val="000000"/>
            <w:szCs w:val="20"/>
          </w:rPr>
          <w:t xml:space="preserve"> </w:t>
        </w:r>
        <w:smartTag w:uri="urn:schemas-microsoft-com:office:smarttags" w:element="State">
          <w:r w:rsidRPr="00C14674">
            <w:rPr>
              <w:color w:val="000000"/>
              <w:szCs w:val="20"/>
            </w:rPr>
            <w:t>AS</w:t>
          </w:r>
        </w:smartTag>
      </w:smartTag>
      <w:r w:rsidRPr="00C14674">
        <w:rPr>
          <w:color w:val="000000"/>
          <w:szCs w:val="20"/>
        </w:rPr>
        <w:t xml:space="preserve"> which is held by Peatinvest at 99.26% with the remainder being held by private individuals.</w:t>
      </w:r>
    </w:p>
    <w:p w:rsidR="003F0BC5" w:rsidRPr="00C14674" w:rsidRDefault="003F0BC5" w:rsidP="003F0BC5">
      <w:pPr>
        <w:autoSpaceDE w:val="0"/>
        <w:autoSpaceDN w:val="0"/>
        <w:adjustRightInd w:val="0"/>
        <w:rPr>
          <w:color w:val="000000"/>
          <w:szCs w:val="20"/>
        </w:rPr>
      </w:pPr>
      <w:r w:rsidRPr="00C14674">
        <w:rPr>
          <w:color w:val="000000"/>
          <w:szCs w:val="20"/>
        </w:rPr>
        <w:t>The Peatinvest Group has been involved as a leading company in the horticultural sector for more than 30 years. The Peatinvest Group has nine sites in four countries (</w:t>
      </w:r>
      <w:smartTag w:uri="urn:schemas-microsoft-com:office:smarttags" w:element="country-region">
        <w:r w:rsidRPr="00C14674">
          <w:rPr>
            <w:color w:val="000000"/>
            <w:szCs w:val="20"/>
          </w:rPr>
          <w:t>Belgium</w:t>
        </w:r>
      </w:smartTag>
      <w:r w:rsidRPr="00C14674">
        <w:rPr>
          <w:color w:val="000000"/>
          <w:szCs w:val="20"/>
        </w:rPr>
        <w:t xml:space="preserve"> (2), </w:t>
      </w:r>
      <w:smartTag w:uri="urn:schemas-microsoft-com:office:smarttags" w:element="country-region">
        <w:r w:rsidRPr="00C14674">
          <w:rPr>
            <w:color w:val="000000"/>
            <w:szCs w:val="20"/>
          </w:rPr>
          <w:t>France</w:t>
        </w:r>
      </w:smartTag>
      <w:r w:rsidRPr="00C14674">
        <w:rPr>
          <w:color w:val="000000"/>
          <w:szCs w:val="20"/>
        </w:rPr>
        <w:t xml:space="preserve"> (2), </w:t>
      </w:r>
      <w:smartTag w:uri="urn:schemas-microsoft-com:office:smarttags" w:element="country-region">
        <w:r w:rsidRPr="00C14674">
          <w:rPr>
            <w:color w:val="000000"/>
            <w:szCs w:val="20"/>
          </w:rPr>
          <w:t>Latvia</w:t>
        </w:r>
      </w:smartTag>
      <w:r w:rsidRPr="00C14674">
        <w:rPr>
          <w:color w:val="000000"/>
          <w:szCs w:val="20"/>
        </w:rPr>
        <w:t xml:space="preserve"> (1) and </w:t>
      </w:r>
      <w:smartTag w:uri="urn:schemas-microsoft-com:office:smarttags" w:element="country-region">
        <w:smartTag w:uri="urn:schemas-microsoft-com:office:smarttags" w:element="place">
          <w:r w:rsidRPr="00C14674">
            <w:rPr>
              <w:color w:val="000000"/>
              <w:szCs w:val="20"/>
            </w:rPr>
            <w:t>Poland</w:t>
          </w:r>
        </w:smartTag>
      </w:smartTag>
      <w:r w:rsidRPr="00C14674">
        <w:rPr>
          <w:color w:val="000000"/>
          <w:szCs w:val="20"/>
        </w:rPr>
        <w:t xml:space="preserve"> (4)) and around 330 employees in these jurisdictions. It owns, through its Latvian and Polish subsidiaries</w:t>
      </w:r>
      <w:r w:rsidR="00F2529B">
        <w:rPr>
          <w:color w:val="000000"/>
          <w:szCs w:val="20"/>
        </w:rPr>
        <w:t>,</w:t>
      </w:r>
      <w:r w:rsidRPr="00C14674">
        <w:rPr>
          <w:color w:val="000000"/>
          <w:szCs w:val="20"/>
        </w:rPr>
        <w:t xml:space="preserve"> the licences to operate 1,454 ha of peat fields in </w:t>
      </w:r>
      <w:smartTag w:uri="urn:schemas-microsoft-com:office:smarttags" w:element="country-region">
        <w:r w:rsidRPr="00C14674">
          <w:rPr>
            <w:color w:val="000000"/>
            <w:szCs w:val="20"/>
          </w:rPr>
          <w:t>Latvia</w:t>
        </w:r>
      </w:smartTag>
      <w:r w:rsidRPr="00C14674">
        <w:rPr>
          <w:color w:val="000000"/>
          <w:szCs w:val="20"/>
        </w:rPr>
        <w:t xml:space="preserve"> and </w:t>
      </w:r>
      <w:smartTag w:uri="urn:schemas-microsoft-com:office:smarttags" w:element="country-region">
        <w:smartTag w:uri="urn:schemas-microsoft-com:office:smarttags" w:element="place">
          <w:r w:rsidRPr="00C14674">
            <w:rPr>
              <w:color w:val="000000"/>
              <w:szCs w:val="20"/>
            </w:rPr>
            <w:t>Poland</w:t>
          </w:r>
        </w:smartTag>
      </w:smartTag>
      <w:r w:rsidRPr="00C14674">
        <w:rPr>
          <w:color w:val="000000"/>
          <w:szCs w:val="20"/>
        </w:rPr>
        <w:t xml:space="preserve"> to guarantee the continuous supply of raw materials.</w:t>
      </w:r>
    </w:p>
    <w:p w:rsidR="003F0BC5" w:rsidRPr="00C14674" w:rsidRDefault="003F0BC5" w:rsidP="003F0BC5">
      <w:pPr>
        <w:autoSpaceDE w:val="0"/>
        <w:autoSpaceDN w:val="0"/>
        <w:adjustRightInd w:val="0"/>
        <w:rPr>
          <w:color w:val="000000"/>
          <w:szCs w:val="20"/>
        </w:rPr>
      </w:pPr>
      <w:r w:rsidRPr="00C14674">
        <w:rPr>
          <w:color w:val="000000"/>
          <w:szCs w:val="20"/>
        </w:rPr>
        <w:t>It has an annual production of around 1,500,000 m³ and supplies growers throughout the world with a wide range of substrates for gardening and growing crops (fruit, vegetables and plants) and ornamental plants. The Peatinvest Group’s products are marketed, in addition to under private label brands, under the Peltracom and Aura brand for the professional market and under the Agrofino brand for the hobby market. In addition, the Peatinvest Group produces peat, bark and soil improvers. The Peatinvest Group supplements its key products with related products such as various mulching products (several organic mulching products such as decorative bark, wood chips coconut shells), and decorative gardening products (pozzolan, slate stone, expanded clay aggregate). In order to optimise the value chain and logistics of its key activities Peatinvest also sells annex products such as wood pellets and charcoal.</w:t>
      </w:r>
      <w:r w:rsidR="00F13D58" w:rsidRPr="00C14674">
        <w:rPr>
          <w:color w:val="000000"/>
          <w:szCs w:val="20"/>
        </w:rPr>
        <w:t xml:space="preserve"> </w:t>
      </w:r>
      <w:r w:rsidRPr="00C14674">
        <w:rPr>
          <w:color w:val="000000"/>
          <w:szCs w:val="20"/>
        </w:rPr>
        <w:t>The Peatinvest Group is geared at the high quality segment of the market.</w:t>
      </w:r>
    </w:p>
    <w:p w:rsidR="003F0BC5" w:rsidRPr="00C14674" w:rsidRDefault="003F0BC5" w:rsidP="00353B80">
      <w:pPr>
        <w:pStyle w:val="Firm5L3"/>
        <w:keepNext/>
      </w:pPr>
      <w:r w:rsidRPr="00C14674">
        <w:t>Sales</w:t>
      </w:r>
    </w:p>
    <w:p w:rsidR="003F0BC5" w:rsidRPr="00C14674" w:rsidRDefault="003F0BC5" w:rsidP="003F0BC5">
      <w:pPr>
        <w:autoSpaceDE w:val="0"/>
        <w:autoSpaceDN w:val="0"/>
        <w:adjustRightInd w:val="0"/>
        <w:rPr>
          <w:color w:val="000000"/>
          <w:szCs w:val="20"/>
        </w:rPr>
      </w:pPr>
      <w:r w:rsidRPr="00C14674">
        <w:rPr>
          <w:color w:val="000000"/>
          <w:szCs w:val="20"/>
        </w:rPr>
        <w:t xml:space="preserve">In the </w:t>
      </w:r>
      <w:r w:rsidR="00EA66F3" w:rsidRPr="00C14674">
        <w:rPr>
          <w:color w:val="000000"/>
          <w:szCs w:val="20"/>
        </w:rPr>
        <w:t xml:space="preserve">financial year ended </w:t>
      </w:r>
      <w:r w:rsidRPr="00C14674">
        <w:rPr>
          <w:color w:val="000000"/>
          <w:szCs w:val="20"/>
        </w:rPr>
        <w:t xml:space="preserve">on 30 September 2014, the Peatinvest Group’s total revenues from sales amounted to </w:t>
      </w:r>
      <w:r w:rsidR="00E53641">
        <w:rPr>
          <w:color w:val="000000"/>
          <w:szCs w:val="20"/>
        </w:rPr>
        <w:t>EUR </w:t>
      </w:r>
      <w:r w:rsidRPr="00C14674">
        <w:rPr>
          <w:color w:val="000000"/>
          <w:szCs w:val="20"/>
        </w:rPr>
        <w:t xml:space="preserve">65,230,000, compared to </w:t>
      </w:r>
      <w:r w:rsidR="00E53641">
        <w:rPr>
          <w:color w:val="000000"/>
          <w:szCs w:val="20"/>
        </w:rPr>
        <w:t>EUR </w:t>
      </w:r>
      <w:r w:rsidRPr="00C14674">
        <w:rPr>
          <w:color w:val="000000"/>
          <w:szCs w:val="20"/>
        </w:rPr>
        <w:t>61,670,000 in the preceding year.</w:t>
      </w:r>
    </w:p>
    <w:p w:rsidR="003F0BC5" w:rsidRPr="00C14674" w:rsidRDefault="003F0BC5" w:rsidP="003F0BC5">
      <w:pPr>
        <w:autoSpaceDE w:val="0"/>
        <w:autoSpaceDN w:val="0"/>
        <w:adjustRightInd w:val="0"/>
        <w:rPr>
          <w:color w:val="000000"/>
          <w:szCs w:val="20"/>
        </w:rPr>
      </w:pPr>
      <w:r w:rsidRPr="00C14674">
        <w:rPr>
          <w:color w:val="000000"/>
          <w:szCs w:val="20"/>
        </w:rPr>
        <w:t>The Peatinvest Group’s customers are, on the one hand, gardening centres and other retailers (which, in turn, sell to non-professional users) and, on the other hand, professional users. In each case, the sales of the Peatinvest Group are largely in its home markets (</w:t>
      </w:r>
      <w:smartTag w:uri="urn:schemas-microsoft-com:office:smarttags" w:element="City">
        <w:r w:rsidRPr="00C14674">
          <w:rPr>
            <w:color w:val="000000"/>
            <w:szCs w:val="20"/>
          </w:rPr>
          <w:t>Benelux</w:t>
        </w:r>
      </w:smartTag>
      <w:r w:rsidRPr="00C14674">
        <w:rPr>
          <w:color w:val="000000"/>
          <w:szCs w:val="20"/>
        </w:rPr>
        <w:t xml:space="preserve">, </w:t>
      </w:r>
      <w:smartTag w:uri="urn:schemas-microsoft-com:office:smarttags" w:element="country-region">
        <w:r w:rsidRPr="00C14674">
          <w:rPr>
            <w:color w:val="000000"/>
            <w:szCs w:val="20"/>
          </w:rPr>
          <w:t>France</w:t>
        </w:r>
      </w:smartTag>
      <w:r w:rsidRPr="00C14674">
        <w:rPr>
          <w:color w:val="000000"/>
          <w:szCs w:val="20"/>
        </w:rPr>
        <w:t xml:space="preserve"> and </w:t>
      </w:r>
      <w:smartTag w:uri="urn:schemas-microsoft-com:office:smarttags" w:element="place">
        <w:smartTag w:uri="urn:schemas-microsoft-com:office:smarttags" w:element="country-region">
          <w:r w:rsidRPr="00C14674">
            <w:rPr>
              <w:color w:val="000000"/>
              <w:szCs w:val="20"/>
            </w:rPr>
            <w:t>Poland</w:t>
          </w:r>
        </w:smartTag>
      </w:smartTag>
      <w:r w:rsidRPr="00C14674">
        <w:rPr>
          <w:color w:val="000000"/>
          <w:szCs w:val="20"/>
        </w:rPr>
        <w:t>), all while sales to professional users are growing in export markets.</w:t>
      </w:r>
    </w:p>
    <w:p w:rsidR="003F0BC5" w:rsidRPr="00C14674" w:rsidRDefault="003F0BC5" w:rsidP="00353B80">
      <w:pPr>
        <w:pStyle w:val="Firm5L4"/>
        <w:keepNext/>
      </w:pPr>
      <w:r w:rsidRPr="00C14674">
        <w:t>B2C: gardening and retail centres (non-professional end-users)</w:t>
      </w:r>
    </w:p>
    <w:p w:rsidR="003F0BC5" w:rsidRPr="00C14674" w:rsidRDefault="003F0BC5" w:rsidP="003F0BC5">
      <w:pPr>
        <w:autoSpaceDE w:val="0"/>
        <w:autoSpaceDN w:val="0"/>
        <w:adjustRightInd w:val="0"/>
        <w:rPr>
          <w:color w:val="000000"/>
          <w:szCs w:val="20"/>
        </w:rPr>
      </w:pPr>
      <w:r w:rsidRPr="00C14674">
        <w:rPr>
          <w:color w:val="000000"/>
          <w:szCs w:val="20"/>
        </w:rPr>
        <w:t xml:space="preserve">Gardening and retail centres (selling in turn to non-professional end-users (such as hobbyists)) are expected to continue to be one of the prime businesses of the Peatinvest Group because of the continuing trend of gardening and home grown fruit and vegetables. In the </w:t>
      </w:r>
      <w:r w:rsidR="00EA66F3" w:rsidRPr="00C14674">
        <w:rPr>
          <w:color w:val="000000"/>
          <w:szCs w:val="20"/>
        </w:rPr>
        <w:t xml:space="preserve">financial year ended </w:t>
      </w:r>
      <w:r w:rsidRPr="00C14674">
        <w:rPr>
          <w:color w:val="000000"/>
          <w:szCs w:val="20"/>
        </w:rPr>
        <w:t>on 30 September 2014, they represented 64% of sales and 58% of volumes. The Peatinvest Group does not sell to non-professional users directly, but distributes its products through specialised garden and hobby centres and more generalist retailers (DIY and Food). Distribution takes place on a sales basis (generally not on a consignment basis) with distributors forecasting their requirements on the basis of last year’s and rolling demand.</w:t>
      </w:r>
      <w:r w:rsidR="00F13D58" w:rsidRPr="00C14674">
        <w:rPr>
          <w:color w:val="000000"/>
          <w:szCs w:val="20"/>
        </w:rPr>
        <w:t xml:space="preserve"> </w:t>
      </w:r>
      <w:r w:rsidRPr="00C14674">
        <w:rPr>
          <w:color w:val="000000"/>
          <w:szCs w:val="20"/>
        </w:rPr>
        <w:t>Products in this segment are tailor made to the requirements of the retail centres, and are pre</w:t>
      </w:r>
      <w:r w:rsidR="00A07615" w:rsidRPr="00C14674">
        <w:rPr>
          <w:color w:val="000000"/>
          <w:szCs w:val="20"/>
        </w:rPr>
        <w:t>-</w:t>
      </w:r>
      <w:r w:rsidRPr="00C14674">
        <w:rPr>
          <w:color w:val="000000"/>
          <w:szCs w:val="20"/>
        </w:rPr>
        <w:t xml:space="preserve">packed in volumes ranging from five </w:t>
      </w:r>
      <w:r w:rsidR="00A07615" w:rsidRPr="00C14674">
        <w:rPr>
          <w:color w:val="000000"/>
          <w:szCs w:val="20"/>
        </w:rPr>
        <w:t>litres</w:t>
      </w:r>
      <w:r w:rsidRPr="00C14674">
        <w:rPr>
          <w:color w:val="000000"/>
          <w:szCs w:val="20"/>
        </w:rPr>
        <w:t xml:space="preserve"> to 80 </w:t>
      </w:r>
      <w:r w:rsidR="00A07615" w:rsidRPr="00C14674">
        <w:rPr>
          <w:color w:val="000000"/>
          <w:szCs w:val="20"/>
        </w:rPr>
        <w:t>litres</w:t>
      </w:r>
      <w:r w:rsidRPr="00C14674">
        <w:rPr>
          <w:color w:val="000000"/>
          <w:szCs w:val="20"/>
        </w:rPr>
        <w:t xml:space="preserve">. The main focus of the Peatinvest Group is to provide retailers with private label products. This offering is complemented with products that are branded with the own retail brands ‘Agrofino’ and ‘Agrofino Professional’ in Benelux and </w:t>
      </w:r>
      <w:smartTag w:uri="urn:schemas-microsoft-com:office:smarttags" w:element="country-region">
        <w:r w:rsidRPr="00C14674">
          <w:rPr>
            <w:color w:val="000000"/>
            <w:szCs w:val="20"/>
          </w:rPr>
          <w:t>France</w:t>
        </w:r>
      </w:smartTag>
      <w:r w:rsidRPr="00C14674">
        <w:rPr>
          <w:color w:val="000000"/>
          <w:szCs w:val="20"/>
        </w:rPr>
        <w:t xml:space="preserve">, and ‘Sterlux’ and ‘Aura’ in </w:t>
      </w:r>
      <w:smartTag w:uri="urn:schemas-microsoft-com:office:smarttags" w:element="country-region">
        <w:smartTag w:uri="urn:schemas-microsoft-com:office:smarttags" w:element="place">
          <w:r w:rsidRPr="00C14674">
            <w:rPr>
              <w:color w:val="000000"/>
              <w:szCs w:val="20"/>
            </w:rPr>
            <w:t>Poland</w:t>
          </w:r>
        </w:smartTag>
      </w:smartTag>
      <w:r w:rsidRPr="00C14674">
        <w:rPr>
          <w:color w:val="000000"/>
          <w:szCs w:val="20"/>
        </w:rPr>
        <w:t>.</w:t>
      </w:r>
    </w:p>
    <w:p w:rsidR="003F0BC5" w:rsidRPr="00C14674" w:rsidRDefault="003F0BC5" w:rsidP="003F0BC5">
      <w:pPr>
        <w:autoSpaceDE w:val="0"/>
        <w:autoSpaceDN w:val="0"/>
        <w:adjustRightInd w:val="0"/>
        <w:rPr>
          <w:color w:val="000000"/>
          <w:szCs w:val="20"/>
        </w:rPr>
      </w:pPr>
      <w:r w:rsidRPr="00C14674">
        <w:rPr>
          <w:color w:val="000000"/>
          <w:szCs w:val="20"/>
        </w:rPr>
        <w:t>The non-professional end-user market is supplied through subcontracted transport between the production plants (or any of the logistical platforms of the Peatinvest Group) and the distribution platform of the retailer or directly from the Peatinvest Group’s site to the garden centre or shop.</w:t>
      </w:r>
    </w:p>
    <w:p w:rsidR="003F0BC5" w:rsidRPr="00C14674" w:rsidRDefault="003F0BC5" w:rsidP="00353B80">
      <w:pPr>
        <w:pStyle w:val="Firm5L4"/>
        <w:keepNext/>
      </w:pPr>
      <w:r w:rsidRPr="00C14674">
        <w:t>B2B: professional end-users</w:t>
      </w:r>
    </w:p>
    <w:p w:rsidR="003F0BC5" w:rsidRPr="00C14674" w:rsidRDefault="003F0BC5" w:rsidP="003F0BC5">
      <w:pPr>
        <w:autoSpaceDE w:val="0"/>
        <w:autoSpaceDN w:val="0"/>
        <w:adjustRightInd w:val="0"/>
        <w:rPr>
          <w:color w:val="000000"/>
          <w:szCs w:val="20"/>
        </w:rPr>
      </w:pPr>
      <w:r w:rsidRPr="00C14674">
        <w:rPr>
          <w:color w:val="000000"/>
          <w:szCs w:val="20"/>
        </w:rPr>
        <w:t xml:space="preserve">Professional end-users have in the </w:t>
      </w:r>
      <w:r w:rsidR="00EA66F3" w:rsidRPr="00C14674">
        <w:rPr>
          <w:color w:val="000000"/>
          <w:szCs w:val="20"/>
        </w:rPr>
        <w:t xml:space="preserve">financial year ended </w:t>
      </w:r>
      <w:r w:rsidRPr="00C14674">
        <w:rPr>
          <w:color w:val="000000"/>
          <w:szCs w:val="20"/>
        </w:rPr>
        <w:t xml:space="preserve">on 30 September 2014 represented 36% of sales, and 42% of volumes. The sales towards professional end-users has been growing thanks to increased sales in export (which is mainly targeted at professional users). Professional users are categorised as (a) growers of ornamental plants and trees; (b) growers of fruity vegetables (tomatoes, cucumber, peppers and egg plants) and red fruit (strawberry, blueberries, etc.); (c) municipalities (urban green and urban flowering, green roofs and green walls, </w:t>
      </w:r>
      <w:r w:rsidRPr="00C14674">
        <w:rPr>
          <w:color w:val="000000"/>
          <w:szCs w:val="20"/>
        </w:rPr>
        <w:lastRenderedPageBreak/>
        <w:t>golf courses and greenscaping); and (d) companies active in production and multiplication of young plants (seeding, cutting, etc.), with each such categories representing different characteristics.</w:t>
      </w:r>
    </w:p>
    <w:p w:rsidR="003F0BC5" w:rsidRPr="00C14674" w:rsidRDefault="003F0BC5" w:rsidP="003F0BC5">
      <w:pPr>
        <w:autoSpaceDE w:val="0"/>
        <w:autoSpaceDN w:val="0"/>
        <w:adjustRightInd w:val="0"/>
        <w:rPr>
          <w:szCs w:val="20"/>
        </w:rPr>
      </w:pPr>
      <w:r w:rsidRPr="00C14674">
        <w:rPr>
          <w:color w:val="000000"/>
          <w:szCs w:val="20"/>
        </w:rPr>
        <w:t xml:space="preserve">In this segment, the Peatinvest Group focuses on high-value technical products, producing custom made solutions for the grower, which generally generate higher margins. </w:t>
      </w:r>
      <w:r w:rsidRPr="00C14674">
        <w:rPr>
          <w:szCs w:val="20"/>
        </w:rPr>
        <w:t xml:space="preserve">Professional products are branded under the names ‘Peltracom’ and ‘Aura’. Delivery is performed either directly (ex-works or direct shipping) or indirectly through local distributors and wholesalers on a sales-basis (not consignment). Packing is either vrac, big bales, big bags, ballots or packed bags. </w:t>
      </w:r>
      <w:r w:rsidRPr="00C14674">
        <w:rPr>
          <w:color w:val="000000"/>
          <w:szCs w:val="20"/>
        </w:rPr>
        <w:t xml:space="preserve">The Peatinvest Group manages the distribution of its growing media in bulk to the professional end-user market in its home markets by </w:t>
      </w:r>
      <w:r w:rsidRPr="00C14674">
        <w:rPr>
          <w:szCs w:val="20"/>
        </w:rPr>
        <w:t>using</w:t>
      </w:r>
      <w:r w:rsidRPr="00C14674">
        <w:rPr>
          <w:color w:val="000000"/>
          <w:szCs w:val="20"/>
        </w:rPr>
        <w:t xml:space="preserve"> its own fleet of walking floor truck.</w:t>
      </w:r>
    </w:p>
    <w:p w:rsidR="003F0BC5" w:rsidRPr="00C14674" w:rsidRDefault="003F0BC5" w:rsidP="003F0BC5">
      <w:pPr>
        <w:autoSpaceDE w:val="0"/>
        <w:autoSpaceDN w:val="0"/>
        <w:adjustRightInd w:val="0"/>
        <w:rPr>
          <w:color w:val="000000"/>
          <w:szCs w:val="20"/>
        </w:rPr>
      </w:pPr>
      <w:r w:rsidRPr="00C14674">
        <w:rPr>
          <w:szCs w:val="20"/>
        </w:rPr>
        <w:t>In addition to the Peatinvest Group’s home markets (Benelux, France and Poland), t</w:t>
      </w:r>
      <w:r w:rsidRPr="00C14674">
        <w:rPr>
          <w:color w:val="000000"/>
          <w:szCs w:val="20"/>
        </w:rPr>
        <w:t>he Peatinvest Group exports increasingly to professional users on export markets in more than 52 countries (area of the Mediterranean basin, Middle East, Far East, Africa, Southern America). Export clients are serviced on an ex works basis and mainly via container shipping.</w:t>
      </w:r>
    </w:p>
    <w:p w:rsidR="003F0BC5" w:rsidRPr="00992199" w:rsidRDefault="003F0BC5" w:rsidP="003F0BC5">
      <w:pPr>
        <w:autoSpaceDE w:val="0"/>
        <w:autoSpaceDN w:val="0"/>
        <w:adjustRightInd w:val="0"/>
        <w:rPr>
          <w:color w:val="000000"/>
          <w:szCs w:val="20"/>
        </w:rPr>
      </w:pPr>
      <w:r w:rsidRPr="00C14674">
        <w:rPr>
          <w:color w:val="000000"/>
          <w:szCs w:val="20"/>
        </w:rPr>
        <w:t>The Peatinvest Group realises cost efficiencies in packing growing media in 6 m³ packages in order to optimise the loading of containers or long distance shipping</w:t>
      </w:r>
      <w:r w:rsidRPr="00992199">
        <w:rPr>
          <w:color w:val="000000"/>
          <w:szCs w:val="20"/>
        </w:rPr>
        <w:t xml:space="preserve"> to the entire world.</w:t>
      </w:r>
    </w:p>
    <w:p w:rsidR="003F0BC5" w:rsidRPr="00992199" w:rsidRDefault="003F0BC5" w:rsidP="00353B80">
      <w:pPr>
        <w:pStyle w:val="Firm5L3"/>
        <w:keepNext/>
      </w:pPr>
      <w:r w:rsidRPr="00992199">
        <w:t>Sourcing and supply</w:t>
      </w:r>
    </w:p>
    <w:p w:rsidR="003F0BC5" w:rsidRPr="00992199" w:rsidRDefault="003F0BC5" w:rsidP="003F0BC5">
      <w:pPr>
        <w:autoSpaceDE w:val="0"/>
        <w:autoSpaceDN w:val="0"/>
        <w:adjustRightInd w:val="0"/>
        <w:rPr>
          <w:szCs w:val="20"/>
        </w:rPr>
      </w:pPr>
      <w:r w:rsidRPr="00992199">
        <w:rPr>
          <w:szCs w:val="20"/>
        </w:rPr>
        <w:t>The main raw material used for the production of growing media, both for professional and for non-professional users, is peat (amounting up to 70% of the total raw material cost).</w:t>
      </w:r>
      <w:r w:rsidR="00F13D58">
        <w:rPr>
          <w:szCs w:val="20"/>
        </w:rPr>
        <w:t xml:space="preserve"> </w:t>
      </w:r>
      <w:r w:rsidRPr="00992199">
        <w:rPr>
          <w:szCs w:val="20"/>
        </w:rPr>
        <w:t xml:space="preserve">The Peatinvest Group harvests peat from peat bogs that it licenses under a long-term license in </w:t>
      </w:r>
      <w:smartTag w:uri="urn:schemas-microsoft-com:office:smarttags" w:element="country-region">
        <w:r w:rsidRPr="00992199">
          <w:rPr>
            <w:szCs w:val="20"/>
          </w:rPr>
          <w:t>Poland</w:t>
        </w:r>
      </w:smartTag>
      <w:r w:rsidRPr="00992199">
        <w:rPr>
          <w:szCs w:val="20"/>
        </w:rPr>
        <w:t xml:space="preserve"> and </w:t>
      </w:r>
      <w:smartTag w:uri="urn:schemas-microsoft-com:office:smarttags" w:element="country-region">
        <w:smartTag w:uri="urn:schemas-microsoft-com:office:smarttags" w:element="place">
          <w:r w:rsidRPr="00992199">
            <w:rPr>
              <w:szCs w:val="20"/>
            </w:rPr>
            <w:t>Latvia</w:t>
          </w:r>
        </w:smartTag>
      </w:smartTag>
      <w:r w:rsidRPr="00992199">
        <w:rPr>
          <w:szCs w:val="20"/>
        </w:rPr>
        <w:t xml:space="preserve"> (1,454 ha of peat fields). License prices have been fixed per annum at the outset of the license agreement, and are not expected to increase for the remaining durations of the licenses.</w:t>
      </w:r>
    </w:p>
    <w:p w:rsidR="003F0BC5" w:rsidRPr="00992199" w:rsidRDefault="003F0BC5" w:rsidP="003F0BC5">
      <w:pPr>
        <w:autoSpaceDE w:val="0"/>
        <w:autoSpaceDN w:val="0"/>
        <w:adjustRightInd w:val="0"/>
        <w:rPr>
          <w:szCs w:val="20"/>
        </w:rPr>
      </w:pPr>
      <w:r w:rsidRPr="00992199">
        <w:rPr>
          <w:szCs w:val="20"/>
        </w:rPr>
        <w:t>In addition, the Peatinvest Group purchases specialty raw materials (such as Irish or German peat, cocos, compost, wood fiber, etc.) as well as additives and fertilisers from long-lasting supply partners working closely with the Peatinvest Group.</w:t>
      </w:r>
      <w:r w:rsidR="00F13D58">
        <w:rPr>
          <w:szCs w:val="20"/>
        </w:rPr>
        <w:t xml:space="preserve"> </w:t>
      </w:r>
      <w:r w:rsidRPr="00992199">
        <w:rPr>
          <w:szCs w:val="20"/>
        </w:rPr>
        <w:t>Charcoal, wood pellets and other non-core products are also purchased from third parties on the spot market. The number of suppliers for such products is limited which may impact pricing at certain times.</w:t>
      </w:r>
    </w:p>
    <w:p w:rsidR="00112706" w:rsidRPr="00992199" w:rsidRDefault="00112706" w:rsidP="00353B80">
      <w:pPr>
        <w:pStyle w:val="Firm5L2"/>
        <w:keepNext/>
      </w:pPr>
      <w:bookmarkStart w:id="86" w:name="_Toc420593899"/>
      <w:r>
        <w:t>Key</w:t>
      </w:r>
      <w:r w:rsidRPr="00992199">
        <w:t xml:space="preserve"> factors affecting results of operations</w:t>
      </w:r>
      <w:bookmarkEnd w:id="86"/>
    </w:p>
    <w:p w:rsidR="003F0BC5" w:rsidRPr="00992199" w:rsidRDefault="00112706" w:rsidP="00112706">
      <w:pPr>
        <w:autoSpaceDE w:val="0"/>
        <w:autoSpaceDN w:val="0"/>
        <w:adjustRightInd w:val="0"/>
        <w:rPr>
          <w:color w:val="000000"/>
          <w:szCs w:val="20"/>
        </w:rPr>
      </w:pPr>
      <w:r w:rsidRPr="00B517BB">
        <w:t xml:space="preserve">The performance and results of operations have been and will continue to be affected by a number of factors, including external factors. Certain of </w:t>
      </w:r>
      <w:r w:rsidRPr="00112706">
        <w:rPr>
          <w:color w:val="000000"/>
          <w:szCs w:val="20"/>
        </w:rPr>
        <w:t>these</w:t>
      </w:r>
      <w:r w:rsidRPr="00B517BB">
        <w:t xml:space="preserve"> key factors that have had, or may have, an effect on its results are set forth below. For further discussion of the factors affecting its results of operations, see Part II (</w:t>
      </w:r>
      <w:r w:rsidRPr="00704FD7">
        <w:rPr>
          <w:i/>
        </w:rPr>
        <w:t>Risk Factors</w:t>
      </w:r>
      <w:r w:rsidRPr="00B517BB">
        <w:t>).</w:t>
      </w:r>
    </w:p>
    <w:p w:rsidR="003F0BC5" w:rsidRPr="00992199" w:rsidRDefault="003F0BC5" w:rsidP="00353B80">
      <w:pPr>
        <w:pStyle w:val="Firm5L3"/>
        <w:keepNext/>
      </w:pPr>
      <w:r w:rsidRPr="00992199">
        <w:t>Weather and seasonality</w:t>
      </w:r>
    </w:p>
    <w:p w:rsidR="003F0BC5" w:rsidRPr="00992199" w:rsidRDefault="003F0BC5" w:rsidP="00353B80">
      <w:pPr>
        <w:pStyle w:val="Firm5L4"/>
        <w:keepNext/>
      </w:pPr>
      <w:r w:rsidRPr="00992199">
        <w:t>Sourcing and supply</w:t>
      </w:r>
    </w:p>
    <w:p w:rsidR="003F0BC5" w:rsidRPr="00992199" w:rsidRDefault="003F0BC5" w:rsidP="003F0BC5">
      <w:pPr>
        <w:autoSpaceDE w:val="0"/>
        <w:autoSpaceDN w:val="0"/>
        <w:adjustRightInd w:val="0"/>
        <w:rPr>
          <w:color w:val="000000"/>
          <w:szCs w:val="20"/>
        </w:rPr>
      </w:pPr>
      <w:r w:rsidRPr="00992199">
        <w:rPr>
          <w:color w:val="000000"/>
          <w:szCs w:val="20"/>
        </w:rPr>
        <w:t xml:space="preserve">Harvesting peat is only possible after a natural drying cycle the quantity and quality of which is impacted by weather and more specifically precipitation, which, in turn, may impact margin, cost of transport and sales. The Peatinvest Group has its peat bogs geographically spread over </w:t>
      </w:r>
      <w:smartTag w:uri="urn:schemas-microsoft-com:office:smarttags" w:element="country-region">
        <w:r w:rsidRPr="00992199">
          <w:rPr>
            <w:color w:val="000000"/>
            <w:szCs w:val="20"/>
          </w:rPr>
          <w:t>Latvia</w:t>
        </w:r>
      </w:smartTag>
      <w:r w:rsidRPr="00992199">
        <w:rPr>
          <w:color w:val="000000"/>
          <w:szCs w:val="20"/>
        </w:rPr>
        <w:t xml:space="preserve"> and </w:t>
      </w:r>
      <w:smartTag w:uri="urn:schemas-microsoft-com:office:smarttags" w:element="country-region">
        <w:smartTag w:uri="urn:schemas-microsoft-com:office:smarttags" w:element="place">
          <w:r w:rsidRPr="00992199">
            <w:rPr>
              <w:color w:val="000000"/>
              <w:szCs w:val="20"/>
            </w:rPr>
            <w:t>Poland</w:t>
          </w:r>
        </w:smartTag>
      </w:smartTag>
      <w:r w:rsidRPr="00992199">
        <w:rPr>
          <w:color w:val="000000"/>
          <w:szCs w:val="20"/>
        </w:rPr>
        <w:t xml:space="preserve"> to reduce this impact. In addition, Peatinvest has invested the latest years in state-of-the-art material in order to be less dependent on weather conditions.</w:t>
      </w:r>
    </w:p>
    <w:p w:rsidR="003F0BC5" w:rsidRPr="00992199" w:rsidRDefault="003F0BC5" w:rsidP="00353B80">
      <w:pPr>
        <w:pStyle w:val="Firm5L4"/>
        <w:keepNext/>
      </w:pPr>
      <w:r w:rsidRPr="00992199">
        <w:t>Sales</w:t>
      </w:r>
    </w:p>
    <w:p w:rsidR="003F0BC5" w:rsidRPr="00992199" w:rsidRDefault="003F0BC5" w:rsidP="003F0BC5">
      <w:pPr>
        <w:autoSpaceDE w:val="0"/>
        <w:autoSpaceDN w:val="0"/>
        <w:adjustRightInd w:val="0"/>
        <w:rPr>
          <w:color w:val="000000"/>
          <w:szCs w:val="20"/>
        </w:rPr>
      </w:pPr>
      <w:r w:rsidRPr="00992199">
        <w:rPr>
          <w:color w:val="000000"/>
          <w:szCs w:val="20"/>
        </w:rPr>
        <w:t>Sales to both professional and non-professional end-users are subject to significant seasonality.</w:t>
      </w:r>
    </w:p>
    <w:p w:rsidR="003F0BC5" w:rsidRPr="00992199" w:rsidRDefault="003F0BC5" w:rsidP="003F0BC5">
      <w:pPr>
        <w:autoSpaceDE w:val="0"/>
        <w:autoSpaceDN w:val="0"/>
        <w:adjustRightInd w:val="0"/>
        <w:rPr>
          <w:color w:val="000000"/>
          <w:szCs w:val="20"/>
        </w:rPr>
      </w:pPr>
      <w:r w:rsidRPr="00992199">
        <w:rPr>
          <w:color w:val="000000"/>
          <w:szCs w:val="20"/>
        </w:rPr>
        <w:t>Sales to non-professional end-users, through garden and other retail centres, are seasonal and mainly concentrated between mid-January and mid-May.</w:t>
      </w:r>
      <w:r w:rsidR="00F13D58">
        <w:rPr>
          <w:color w:val="000000"/>
          <w:szCs w:val="20"/>
        </w:rPr>
        <w:t xml:space="preserve"> </w:t>
      </w:r>
      <w:r w:rsidRPr="00992199">
        <w:rPr>
          <w:color w:val="000000"/>
          <w:szCs w:val="20"/>
        </w:rPr>
        <w:t>After the end of the season, new contracts (including prices) for the coming season are negotiated.</w:t>
      </w:r>
      <w:r w:rsidR="00F13D58">
        <w:rPr>
          <w:color w:val="000000"/>
          <w:szCs w:val="20"/>
        </w:rPr>
        <w:t xml:space="preserve"> </w:t>
      </w:r>
      <w:r w:rsidRPr="00992199">
        <w:rPr>
          <w:color w:val="000000"/>
          <w:szCs w:val="20"/>
        </w:rPr>
        <w:t>Sales to non-professional end-users can also vary one year to the other because of weather conditions: weather can have an impact on gardening activities of non-professional users and the sales of its products. Since the Peatinvest Group, however, spreads its sales geographically over relative important area’s, the impact of local meteorological conditions is often mitigated.</w:t>
      </w:r>
    </w:p>
    <w:p w:rsidR="003F0BC5" w:rsidRPr="00992199" w:rsidRDefault="003F0BC5" w:rsidP="003F0BC5">
      <w:pPr>
        <w:autoSpaceDE w:val="0"/>
        <w:autoSpaceDN w:val="0"/>
        <w:adjustRightInd w:val="0"/>
        <w:rPr>
          <w:color w:val="000000"/>
          <w:szCs w:val="20"/>
        </w:rPr>
      </w:pPr>
      <w:r w:rsidRPr="00992199">
        <w:rPr>
          <w:color w:val="000000"/>
          <w:szCs w:val="20"/>
        </w:rPr>
        <w:t>Sales to professional end-users are less subject to this seasonality since different crops are planted at different times of the year, and some professional markets generate year-round sales (urban green such as green roofs, mulching, etc</w:t>
      </w:r>
      <w:r w:rsidRPr="00992199">
        <w:rPr>
          <w:i/>
          <w:color w:val="000000"/>
          <w:szCs w:val="20"/>
        </w:rPr>
        <w:t>.</w:t>
      </w:r>
      <w:r w:rsidRPr="00992199">
        <w:rPr>
          <w:color w:val="000000"/>
          <w:szCs w:val="20"/>
        </w:rPr>
        <w:t>)</w:t>
      </w:r>
    </w:p>
    <w:p w:rsidR="003F0BC5" w:rsidRPr="00992199" w:rsidRDefault="003F0BC5" w:rsidP="00353B80">
      <w:pPr>
        <w:pStyle w:val="Firm5L3"/>
        <w:keepNext/>
      </w:pPr>
      <w:r w:rsidRPr="00992199">
        <w:t>Cost of diesel</w:t>
      </w:r>
    </w:p>
    <w:p w:rsidR="003F0BC5" w:rsidRPr="00992199" w:rsidRDefault="003F0BC5" w:rsidP="00353B80">
      <w:pPr>
        <w:pStyle w:val="Firm5L4"/>
        <w:keepNext/>
      </w:pPr>
      <w:r w:rsidRPr="00992199">
        <w:t>Cost of diesel in transport</w:t>
      </w:r>
    </w:p>
    <w:p w:rsidR="003F0BC5" w:rsidRPr="00992199" w:rsidRDefault="003F0BC5" w:rsidP="003F0BC5">
      <w:pPr>
        <w:autoSpaceDE w:val="0"/>
        <w:autoSpaceDN w:val="0"/>
        <w:adjustRightInd w:val="0"/>
        <w:rPr>
          <w:color w:val="000000"/>
          <w:szCs w:val="20"/>
        </w:rPr>
      </w:pPr>
      <w:r w:rsidRPr="00992199">
        <w:rPr>
          <w:color w:val="000000"/>
          <w:szCs w:val="20"/>
        </w:rPr>
        <w:t>Transportation cost and logistics represent a significant cost to the operations. Transport costs are relative stable between 17-18% of turnover.</w:t>
      </w:r>
    </w:p>
    <w:p w:rsidR="003F0BC5" w:rsidRPr="00992199" w:rsidRDefault="003F0BC5" w:rsidP="003F0BC5">
      <w:pPr>
        <w:autoSpaceDE w:val="0"/>
        <w:autoSpaceDN w:val="0"/>
        <w:adjustRightInd w:val="0"/>
        <w:rPr>
          <w:color w:val="000000"/>
          <w:szCs w:val="20"/>
        </w:rPr>
      </w:pPr>
      <w:r w:rsidRPr="00992199">
        <w:rPr>
          <w:color w:val="000000"/>
          <w:szCs w:val="20"/>
        </w:rPr>
        <w:lastRenderedPageBreak/>
        <w:t>Changes in diesel prices may therefore change (upwards and downwards) the cost of production and transportation of the Peatinvest Group.</w:t>
      </w:r>
    </w:p>
    <w:p w:rsidR="003F0BC5" w:rsidRPr="00992199" w:rsidRDefault="003F0BC5" w:rsidP="003F0BC5">
      <w:pPr>
        <w:autoSpaceDE w:val="0"/>
        <w:autoSpaceDN w:val="0"/>
        <w:adjustRightInd w:val="0"/>
        <w:rPr>
          <w:color w:val="000000"/>
          <w:szCs w:val="20"/>
        </w:rPr>
      </w:pPr>
      <w:r w:rsidRPr="00992199">
        <w:rPr>
          <w:color w:val="000000"/>
          <w:szCs w:val="20"/>
        </w:rPr>
        <w:t>The Peatinvest Group generally seeks to lower transportation costs (and hence its exposure to the cost of diesel), including by continuously increasing the percentage of local raw materials in the total supply and by organising production close to the retailers that distribute its non-professional end-use products so as to reduce the transport distances.</w:t>
      </w:r>
    </w:p>
    <w:p w:rsidR="003F0BC5" w:rsidRPr="00992199" w:rsidRDefault="003F0BC5" w:rsidP="003F0BC5">
      <w:pPr>
        <w:autoSpaceDE w:val="0"/>
        <w:autoSpaceDN w:val="0"/>
        <w:adjustRightInd w:val="0"/>
        <w:rPr>
          <w:color w:val="000000"/>
          <w:szCs w:val="20"/>
        </w:rPr>
      </w:pPr>
      <w:r w:rsidRPr="00992199">
        <w:rPr>
          <w:color w:val="000000"/>
          <w:szCs w:val="20"/>
        </w:rPr>
        <w:t>The Peatinvest Group has further reduced the impact of changes of fuel on its results by introducing variable pricing (function on the official diesel prices) towards its professional customers (in its home markets as well as on export, see above). The Peatinvest Group has not generally been able to introduce increased or variable pricing towards the retail and garden centres distributing its non-professional use products, because of the annual contract pricing applied by such customers.</w:t>
      </w:r>
    </w:p>
    <w:p w:rsidR="003F0BC5" w:rsidRPr="00992199" w:rsidRDefault="003F0BC5" w:rsidP="00353B80">
      <w:pPr>
        <w:pStyle w:val="Firm5L4"/>
        <w:keepNext/>
      </w:pPr>
      <w:r w:rsidRPr="00992199">
        <w:t>Cost of Diesel in Production</w:t>
      </w:r>
    </w:p>
    <w:p w:rsidR="003F0BC5" w:rsidRPr="00992199" w:rsidRDefault="003F0BC5" w:rsidP="003F0BC5">
      <w:pPr>
        <w:autoSpaceDE w:val="0"/>
        <w:autoSpaceDN w:val="0"/>
        <w:adjustRightInd w:val="0"/>
        <w:rPr>
          <w:color w:val="000000"/>
          <w:szCs w:val="20"/>
        </w:rPr>
      </w:pPr>
      <w:r w:rsidRPr="00992199">
        <w:rPr>
          <w:color w:val="000000"/>
          <w:szCs w:val="20"/>
        </w:rPr>
        <w:t>Pricing of oil products have an indirect impact on packaging cost via the pricing of the PE (polyethylene), which cannot always be mitigated by inventory planning. Diesel also has an impact on the exploitation costs of the machinery used in the harvesting of peat. Having invested in state-of-the art material the Peatinvest Group has reduced the impact of diesel pricing on its harvesting activities.</w:t>
      </w:r>
    </w:p>
    <w:p w:rsidR="003F0BC5" w:rsidRPr="00992199" w:rsidRDefault="003F0BC5" w:rsidP="00353B80">
      <w:pPr>
        <w:pStyle w:val="Firm5L3"/>
        <w:keepNext/>
      </w:pPr>
      <w:r w:rsidRPr="00992199">
        <w:t>Currency</w:t>
      </w:r>
    </w:p>
    <w:p w:rsidR="003F0BC5" w:rsidRPr="00992199" w:rsidRDefault="003F0BC5" w:rsidP="003F0BC5">
      <w:pPr>
        <w:autoSpaceDE w:val="0"/>
        <w:autoSpaceDN w:val="0"/>
        <w:adjustRightInd w:val="0"/>
        <w:rPr>
          <w:color w:val="000000"/>
          <w:szCs w:val="20"/>
        </w:rPr>
      </w:pPr>
      <w:r w:rsidRPr="00992199">
        <w:rPr>
          <w:color w:val="000000"/>
          <w:szCs w:val="20"/>
        </w:rPr>
        <w:t xml:space="preserve">The Peatinvest Group generally operates in </w:t>
      </w:r>
      <w:r w:rsidRPr="00992199">
        <w:rPr>
          <w:szCs w:val="20"/>
        </w:rPr>
        <w:t>euro</w:t>
      </w:r>
      <w:r w:rsidRPr="00992199">
        <w:rPr>
          <w:color w:val="000000"/>
          <w:szCs w:val="20"/>
        </w:rPr>
        <w:t xml:space="preserve">, both on sales and cost side, with limited currency risk. The Peatinvest Group expects this currency risk to slightly increase in the coming years as its Polish operations increasingly import in </w:t>
      </w:r>
      <w:r w:rsidRPr="00992199">
        <w:rPr>
          <w:szCs w:val="20"/>
        </w:rPr>
        <w:t>euro</w:t>
      </w:r>
      <w:r w:rsidRPr="00992199">
        <w:rPr>
          <w:color w:val="000000"/>
          <w:szCs w:val="20"/>
        </w:rPr>
        <w:t xml:space="preserve">, with sales on the local market, in Zloty. In addition, in case of dividend distributions from the Polish operations, there may be some currency loss at conversion of Zloty into </w:t>
      </w:r>
      <w:r w:rsidRPr="00992199">
        <w:rPr>
          <w:szCs w:val="20"/>
        </w:rPr>
        <w:t>euro</w:t>
      </w:r>
      <w:r w:rsidRPr="00992199">
        <w:rPr>
          <w:color w:val="000000"/>
          <w:szCs w:val="20"/>
        </w:rPr>
        <w:t>. Finally, as the Peatinvest Group is increasingly focusing on the export market outside of its home markets, it may suffer increased US Dollar-euro risk as its revenues are in euro but its container shipping cost is in US Dollar.</w:t>
      </w:r>
    </w:p>
    <w:p w:rsidR="003F0BC5" w:rsidRPr="00992199" w:rsidRDefault="003F0BC5" w:rsidP="00353B80">
      <w:pPr>
        <w:pStyle w:val="Firm5L3"/>
        <w:keepNext/>
        <w:keepLines/>
      </w:pPr>
      <w:r w:rsidRPr="00992199">
        <w:t>Raw material prices</w:t>
      </w:r>
    </w:p>
    <w:p w:rsidR="003F0BC5" w:rsidRPr="00992199" w:rsidRDefault="003F0BC5" w:rsidP="004066A7">
      <w:pPr>
        <w:keepNext/>
        <w:keepLines/>
        <w:autoSpaceDE w:val="0"/>
        <w:autoSpaceDN w:val="0"/>
        <w:adjustRightInd w:val="0"/>
        <w:rPr>
          <w:color w:val="000000"/>
          <w:szCs w:val="20"/>
        </w:rPr>
      </w:pPr>
      <w:r w:rsidRPr="00992199">
        <w:rPr>
          <w:color w:val="000000"/>
          <w:szCs w:val="20"/>
        </w:rPr>
        <w:t>The Peatinvest Group vertically integrates about 80% of its raw material production, and it is its strategy to continue to do so. The balance of raw materials are sourced on the market, of which the large part on the spot market, although it is the Peatinvest Group’s strategy to seek to expand its long-term sourcing. The Peatinvest Group’s peat needs are largely in-sourced, but, with regards to externally sourced raw materials, the Peatinvest Group’s results may be impacted by variations in wood and fertiliser market prices:</w:t>
      </w:r>
    </w:p>
    <w:p w:rsidR="003F0BC5" w:rsidRPr="00992199" w:rsidRDefault="003F0BC5" w:rsidP="004066A7">
      <w:pPr>
        <w:pStyle w:val="BulletsL1"/>
      </w:pPr>
      <w:r w:rsidRPr="00992199">
        <w:t xml:space="preserve">Market prices of wood have an impact on prices of wood chips (used for decorative mulching). On the other hand, increased wood prices will generally increase cutting of trees, which will in turn generate an increased availability of bark and a decrease of market pricing of bark products (also </w:t>
      </w:r>
      <w:r w:rsidRPr="00992199">
        <w:rPr>
          <w:bCs/>
        </w:rPr>
        <w:t>used</w:t>
      </w:r>
      <w:r w:rsidRPr="00992199">
        <w:t xml:space="preserve"> as mulching products and as constituent of growing media), which then mitigates the increase in wood chip pricing. Wood prices will also have a direct impact on pricing of wooden pallets (packaging), charcoal and pellets.</w:t>
      </w:r>
    </w:p>
    <w:p w:rsidR="003F0BC5" w:rsidRPr="00992199" w:rsidRDefault="003F0BC5" w:rsidP="004066A7">
      <w:pPr>
        <w:pStyle w:val="BulletsL1"/>
      </w:pPr>
      <w:r w:rsidRPr="00992199">
        <w:t xml:space="preserve">Although relatively stable over the last years, the market prices of fertilisers (nitrogen, phosphor, </w:t>
      </w:r>
      <w:r w:rsidRPr="00992199">
        <w:rPr>
          <w:bCs/>
        </w:rPr>
        <w:t>potassium</w:t>
      </w:r>
      <w:r w:rsidRPr="00992199">
        <w:t>) may have a financial impact on the cost of goods of Peatinvest, such as in 2008 when speculation drove prices to increase several times during the year. By diversifying the fertilisers to more and more organic fertilisers Peatinvest has reduced such potential impact.</w:t>
      </w:r>
    </w:p>
    <w:p w:rsidR="003F0BC5" w:rsidRPr="00992199" w:rsidRDefault="003F0BC5" w:rsidP="00353B80">
      <w:pPr>
        <w:pStyle w:val="Firm5L3"/>
        <w:keepNext/>
      </w:pPr>
      <w:r w:rsidRPr="00992199">
        <w:t>Legislation and general market tendencies</w:t>
      </w:r>
    </w:p>
    <w:p w:rsidR="003F0BC5" w:rsidRPr="00992199" w:rsidRDefault="003F0BC5" w:rsidP="00353B80">
      <w:pPr>
        <w:pStyle w:val="Firm5L4"/>
        <w:keepNext/>
      </w:pPr>
      <w:r w:rsidRPr="00992199">
        <w:t>Legislation</w:t>
      </w:r>
    </w:p>
    <w:p w:rsidR="003F0BC5" w:rsidRPr="00992199" w:rsidRDefault="003F0BC5" w:rsidP="003F0BC5">
      <w:pPr>
        <w:autoSpaceDE w:val="0"/>
        <w:autoSpaceDN w:val="0"/>
        <w:adjustRightInd w:val="0"/>
        <w:rPr>
          <w:color w:val="000000"/>
          <w:szCs w:val="20"/>
        </w:rPr>
      </w:pPr>
      <w:r w:rsidRPr="00992199">
        <w:rPr>
          <w:color w:val="000000"/>
          <w:szCs w:val="20"/>
        </w:rPr>
        <w:t>Each EU jurisdiction has its own legislation in terms of ingredients, packaging and labelling with which the products of the Peatinvest Group have to comply. Currently, this increases costs. The EU is working on a harmonisation of the legislation for fertiliser and growing media with the aim to reduce such costs. This is expected for 2017-2020 and may, depending on the level of measures enacted, positively impact costs.</w:t>
      </w:r>
    </w:p>
    <w:p w:rsidR="003F0BC5" w:rsidRPr="00992199" w:rsidRDefault="003F0BC5" w:rsidP="003F0BC5">
      <w:pPr>
        <w:autoSpaceDE w:val="0"/>
        <w:autoSpaceDN w:val="0"/>
        <w:adjustRightInd w:val="0"/>
        <w:rPr>
          <w:color w:val="000000"/>
          <w:szCs w:val="20"/>
        </w:rPr>
      </w:pPr>
      <w:r w:rsidRPr="00992199">
        <w:rPr>
          <w:color w:val="000000"/>
          <w:szCs w:val="20"/>
        </w:rPr>
        <w:t xml:space="preserve">In addition, in certain jurisdictions of the European Union, such as </w:t>
      </w:r>
      <w:smartTag w:uri="urn:schemas-microsoft-com:office:smarttags" w:element="country-region">
        <w:r w:rsidRPr="00992199">
          <w:rPr>
            <w:color w:val="000000"/>
            <w:szCs w:val="20"/>
          </w:rPr>
          <w:t>France</w:t>
        </w:r>
      </w:smartTag>
      <w:r w:rsidRPr="00992199">
        <w:rPr>
          <w:color w:val="000000"/>
          <w:szCs w:val="20"/>
        </w:rPr>
        <w:t xml:space="preserve"> and </w:t>
      </w:r>
      <w:smartTag w:uri="urn:schemas-microsoft-com:office:smarttags" w:element="country-region">
        <w:smartTag w:uri="urn:schemas-microsoft-com:office:smarttags" w:element="place">
          <w:r w:rsidRPr="00992199">
            <w:rPr>
              <w:color w:val="000000"/>
              <w:szCs w:val="20"/>
            </w:rPr>
            <w:t>Belgium</w:t>
          </w:r>
        </w:smartTag>
      </w:smartTag>
      <w:r w:rsidRPr="00992199">
        <w:rPr>
          <w:color w:val="000000"/>
          <w:szCs w:val="20"/>
        </w:rPr>
        <w:t>, the home markets of the Peatinvest Group, new legislation is implementing or planning the implementation of the reduction and/or the prohibition of the use of herbicides. This is expected to stimulate the sales of mulching products such as bark and wood chips sold by the Peatinvest Group in those jurisdictions.</w:t>
      </w:r>
    </w:p>
    <w:p w:rsidR="003F0BC5" w:rsidRPr="00992199" w:rsidRDefault="003F0BC5" w:rsidP="003F0BC5">
      <w:pPr>
        <w:autoSpaceDE w:val="0"/>
        <w:autoSpaceDN w:val="0"/>
        <w:adjustRightInd w:val="0"/>
        <w:rPr>
          <w:color w:val="000000"/>
          <w:szCs w:val="20"/>
        </w:rPr>
      </w:pPr>
      <w:r w:rsidRPr="00992199">
        <w:rPr>
          <w:color w:val="000000"/>
          <w:szCs w:val="20"/>
        </w:rPr>
        <w:t xml:space="preserve">Also, EU organic farming rules allows the use of peat and other natural products such as compost and organic fertilisers to be used in organic farming. This has resulted in an increased demand which is stimulating sales of </w:t>
      </w:r>
      <w:r w:rsidRPr="00992199">
        <w:rPr>
          <w:color w:val="000000"/>
          <w:szCs w:val="20"/>
        </w:rPr>
        <w:lastRenderedPageBreak/>
        <w:t>the Peatinvest Group’s products that can be used in organic farming.</w:t>
      </w:r>
      <w:r w:rsidR="00F13D58">
        <w:rPr>
          <w:color w:val="000000"/>
          <w:szCs w:val="20"/>
        </w:rPr>
        <w:t xml:space="preserve"> </w:t>
      </w:r>
      <w:r w:rsidRPr="00992199">
        <w:rPr>
          <w:color w:val="000000"/>
          <w:szCs w:val="20"/>
        </w:rPr>
        <w:t xml:space="preserve">Sales for such products was </w:t>
      </w:r>
      <w:r w:rsidR="00E53641">
        <w:rPr>
          <w:color w:val="000000"/>
          <w:szCs w:val="20"/>
        </w:rPr>
        <w:t>EUR </w:t>
      </w:r>
      <w:r w:rsidRPr="00992199">
        <w:rPr>
          <w:color w:val="000000"/>
          <w:szCs w:val="20"/>
        </w:rPr>
        <w:t xml:space="preserve">1,990,000 in the </w:t>
      </w:r>
      <w:r w:rsidR="00EA66F3">
        <w:rPr>
          <w:color w:val="000000"/>
          <w:szCs w:val="20"/>
        </w:rPr>
        <w:t xml:space="preserve">financial year ended </w:t>
      </w:r>
      <w:r w:rsidRPr="00992199">
        <w:rPr>
          <w:color w:val="000000"/>
          <w:szCs w:val="20"/>
        </w:rPr>
        <w:t xml:space="preserve">on September 2013 and </w:t>
      </w:r>
      <w:r w:rsidR="00E53641">
        <w:rPr>
          <w:color w:val="000000"/>
          <w:szCs w:val="20"/>
        </w:rPr>
        <w:t>EUR </w:t>
      </w:r>
      <w:r w:rsidRPr="00992199">
        <w:rPr>
          <w:color w:val="000000"/>
          <w:szCs w:val="20"/>
        </w:rPr>
        <w:t xml:space="preserve">3,190,000 in the </w:t>
      </w:r>
      <w:r w:rsidR="00EA66F3">
        <w:rPr>
          <w:color w:val="000000"/>
          <w:szCs w:val="20"/>
        </w:rPr>
        <w:t xml:space="preserve">financial year ended </w:t>
      </w:r>
      <w:r w:rsidRPr="00992199">
        <w:rPr>
          <w:color w:val="000000"/>
          <w:szCs w:val="20"/>
        </w:rPr>
        <w:t>30 September 2014.</w:t>
      </w:r>
    </w:p>
    <w:p w:rsidR="003F0BC5" w:rsidRPr="00992199" w:rsidRDefault="003F0BC5" w:rsidP="00353B80">
      <w:pPr>
        <w:pStyle w:val="Firm5L4"/>
        <w:keepNext/>
      </w:pPr>
      <w:r w:rsidRPr="00992199">
        <w:t>General market trends</w:t>
      </w:r>
    </w:p>
    <w:p w:rsidR="003F0BC5" w:rsidRPr="00992199" w:rsidRDefault="003F0BC5" w:rsidP="003F0BC5">
      <w:pPr>
        <w:autoSpaceDE w:val="0"/>
        <w:autoSpaceDN w:val="0"/>
        <w:adjustRightInd w:val="0"/>
        <w:rPr>
          <w:color w:val="000000"/>
          <w:szCs w:val="20"/>
        </w:rPr>
      </w:pPr>
      <w:r w:rsidRPr="00992199">
        <w:rPr>
          <w:color w:val="000000"/>
          <w:szCs w:val="20"/>
        </w:rPr>
        <w:t>Not only legislation, but general environmental and societal awareness is leading to industrial growers, authorities and hobby gardeners to reduce chemicals, which is a trend that may positively impact sales of the Peatinvest Group. In addition, there is an increased awareness and attention to home-growing of herbs and vegetables, which, in turn, may increase demand to growing media for these purposes.</w:t>
      </w:r>
    </w:p>
    <w:p w:rsidR="003F0BC5" w:rsidRPr="00992199" w:rsidRDefault="003F0BC5" w:rsidP="003F0BC5">
      <w:pPr>
        <w:autoSpaceDE w:val="0"/>
        <w:autoSpaceDN w:val="0"/>
        <w:adjustRightInd w:val="0"/>
        <w:rPr>
          <w:color w:val="000000"/>
          <w:szCs w:val="20"/>
        </w:rPr>
      </w:pPr>
      <w:r w:rsidRPr="00992199">
        <w:rPr>
          <w:color w:val="000000"/>
          <w:szCs w:val="20"/>
        </w:rPr>
        <w:t xml:space="preserve">Certain markets have reached a stage of saturation in certain geographical regions, such as the market for products serving to grow balcony products and geranium in </w:t>
      </w:r>
      <w:smartTag w:uri="urn:schemas-microsoft-com:office:smarttags" w:element="place">
        <w:r w:rsidRPr="00992199">
          <w:rPr>
            <w:color w:val="000000"/>
            <w:szCs w:val="20"/>
          </w:rPr>
          <w:t>Western Europe</w:t>
        </w:r>
      </w:smartTag>
      <w:r w:rsidRPr="00992199">
        <w:rPr>
          <w:color w:val="000000"/>
          <w:szCs w:val="20"/>
        </w:rPr>
        <w:t xml:space="preserve">. For such locally saturated markets, the Peatinvest Group plans to expand sales into Eastern Europe and </w:t>
      </w:r>
      <w:smartTag w:uri="urn:schemas-microsoft-com:office:smarttags" w:element="place">
        <w:r w:rsidRPr="00992199">
          <w:rPr>
            <w:color w:val="000000"/>
            <w:szCs w:val="20"/>
          </w:rPr>
          <w:t>Asia</w:t>
        </w:r>
      </w:smartTag>
      <w:r w:rsidRPr="00992199">
        <w:rPr>
          <w:color w:val="000000"/>
          <w:szCs w:val="20"/>
        </w:rPr>
        <w:t xml:space="preserve"> in the future.</w:t>
      </w:r>
    </w:p>
    <w:p w:rsidR="003F0BC5" w:rsidRPr="00992199" w:rsidRDefault="003F0BC5" w:rsidP="00353B80">
      <w:pPr>
        <w:pStyle w:val="Firm5L2"/>
        <w:keepNext/>
      </w:pPr>
      <w:bookmarkStart w:id="87" w:name="_Toc420593900"/>
      <w:r w:rsidRPr="00992199">
        <w:t>Result of operations</w:t>
      </w:r>
      <w:bookmarkEnd w:id="87"/>
    </w:p>
    <w:p w:rsidR="003F0BC5" w:rsidRPr="00992199" w:rsidRDefault="003F0BC5" w:rsidP="003F0BC5">
      <w:pPr>
        <w:rPr>
          <w:color w:val="000000"/>
          <w:szCs w:val="20"/>
        </w:rPr>
      </w:pPr>
      <w:r w:rsidRPr="00992199">
        <w:rPr>
          <w:color w:val="000000"/>
          <w:szCs w:val="20"/>
        </w:rPr>
        <w:t>The numbers presented under this Section are extracted from Peatinvest’s audited consolidated financial statements prepared in accordance with Belgian GAAP for the financial years ended 30 September 2013 and 2014.</w:t>
      </w:r>
    </w:p>
    <w:tbl>
      <w:tblPr>
        <w:tblW w:w="5000" w:type="pct"/>
        <w:tblLook w:val="0000" w:firstRow="0" w:lastRow="0" w:firstColumn="0" w:lastColumn="0" w:noHBand="0" w:noVBand="0"/>
      </w:tblPr>
      <w:tblGrid>
        <w:gridCol w:w="5385"/>
        <w:gridCol w:w="2028"/>
        <w:gridCol w:w="1832"/>
      </w:tblGrid>
      <w:tr w:rsidR="0034670F" w:rsidRPr="00E53641" w:rsidTr="00136CB7">
        <w:tc>
          <w:tcPr>
            <w:tcW w:w="2912" w:type="pct"/>
            <w:vAlign w:val="center"/>
          </w:tcPr>
          <w:p w:rsidR="0034670F" w:rsidRPr="00E53641" w:rsidRDefault="0034670F" w:rsidP="00136CB7">
            <w:pPr>
              <w:pStyle w:val="NormalWeb"/>
              <w:keepNext/>
              <w:spacing w:before="0" w:after="0"/>
              <w:ind w:left="240" w:hanging="240"/>
              <w:jc w:val="left"/>
              <w:rPr>
                <w:bCs/>
                <w:i/>
                <w:sz w:val="18"/>
                <w:szCs w:val="18"/>
              </w:rPr>
            </w:pPr>
            <w:r w:rsidRPr="00E53641">
              <w:rPr>
                <w:bCs/>
                <w:i/>
                <w:sz w:val="18"/>
                <w:szCs w:val="18"/>
              </w:rPr>
              <w:t>(</w:t>
            </w:r>
            <w:r w:rsidR="00E53641" w:rsidRPr="00E53641">
              <w:rPr>
                <w:bCs/>
                <w:i/>
                <w:sz w:val="18"/>
                <w:szCs w:val="18"/>
              </w:rPr>
              <w:t>EUR </w:t>
            </w:r>
            <w:r w:rsidRPr="00E53641">
              <w:rPr>
                <w:bCs/>
                <w:i/>
                <w:sz w:val="18"/>
                <w:szCs w:val="18"/>
              </w:rPr>
              <w:t>in millions)</w:t>
            </w:r>
          </w:p>
        </w:tc>
        <w:tc>
          <w:tcPr>
            <w:tcW w:w="1097" w:type="pct"/>
            <w:vAlign w:val="bottom"/>
          </w:tcPr>
          <w:p w:rsidR="0034670F" w:rsidRPr="00E53641" w:rsidRDefault="0034670F" w:rsidP="00136CB7">
            <w:pPr>
              <w:pBdr>
                <w:bottom w:val="single" w:sz="4" w:space="1" w:color="auto"/>
              </w:pBdr>
              <w:spacing w:before="0" w:after="0"/>
              <w:ind w:left="368" w:hanging="227"/>
              <w:jc w:val="right"/>
              <w:rPr>
                <w:sz w:val="18"/>
                <w:szCs w:val="18"/>
              </w:rPr>
            </w:pPr>
            <w:r w:rsidRPr="00E53641">
              <w:rPr>
                <w:b/>
                <w:bCs/>
                <w:sz w:val="18"/>
                <w:szCs w:val="18"/>
              </w:rPr>
              <w:t xml:space="preserve">Year ended </w:t>
            </w:r>
            <w:r w:rsidRPr="00E53641">
              <w:rPr>
                <w:b/>
                <w:bCs/>
                <w:sz w:val="18"/>
                <w:szCs w:val="18"/>
              </w:rPr>
              <w:br/>
              <w:t>30 September 2014</w:t>
            </w:r>
            <w:r w:rsidR="00C14169">
              <w:rPr>
                <w:sz w:val="18"/>
                <w:szCs w:val="18"/>
              </w:rPr>
              <w:t xml:space="preserve"> </w:t>
            </w:r>
          </w:p>
        </w:tc>
        <w:tc>
          <w:tcPr>
            <w:tcW w:w="991" w:type="pct"/>
            <w:vAlign w:val="bottom"/>
          </w:tcPr>
          <w:p w:rsidR="0034670F" w:rsidRPr="00E53641" w:rsidRDefault="0034670F" w:rsidP="00136CB7">
            <w:pPr>
              <w:pBdr>
                <w:bottom w:val="single" w:sz="4" w:space="1" w:color="auto"/>
              </w:pBdr>
              <w:spacing w:before="0" w:after="0"/>
              <w:jc w:val="right"/>
              <w:rPr>
                <w:sz w:val="18"/>
                <w:szCs w:val="18"/>
              </w:rPr>
            </w:pPr>
            <w:r w:rsidRPr="00E53641">
              <w:rPr>
                <w:b/>
                <w:bCs/>
                <w:sz w:val="18"/>
                <w:szCs w:val="18"/>
              </w:rPr>
              <w:t xml:space="preserve">Year ended 30 September </w:t>
            </w:r>
            <w:r w:rsidRPr="00E53641">
              <w:rPr>
                <w:b/>
                <w:bCs/>
                <w:sz w:val="18"/>
                <w:szCs w:val="18"/>
              </w:rPr>
              <w:br/>
              <w:t>2013</w:t>
            </w:r>
            <w:r w:rsidRPr="00E53641">
              <w:rPr>
                <w:sz w:val="18"/>
                <w:szCs w:val="18"/>
              </w:rPr>
              <w:t> </w:t>
            </w:r>
          </w:p>
        </w:tc>
      </w:tr>
      <w:tr w:rsidR="0034670F" w:rsidRPr="00E53641" w:rsidTr="00136CB7">
        <w:tc>
          <w:tcPr>
            <w:tcW w:w="2912" w:type="pct"/>
          </w:tcPr>
          <w:p w:rsidR="0034670F" w:rsidRPr="00E53641" w:rsidRDefault="0034670F" w:rsidP="00136CB7">
            <w:pPr>
              <w:pStyle w:val="NormalWeb"/>
              <w:keepNext/>
              <w:tabs>
                <w:tab w:val="right" w:leader="dot" w:pos="5160"/>
              </w:tabs>
              <w:spacing w:before="0" w:after="0"/>
              <w:ind w:left="240" w:hanging="240"/>
              <w:rPr>
                <w:sz w:val="18"/>
                <w:szCs w:val="18"/>
              </w:rPr>
            </w:pPr>
            <w:r w:rsidRPr="00E53641">
              <w:rPr>
                <w:sz w:val="18"/>
                <w:szCs w:val="18"/>
              </w:rPr>
              <w:t>Sales</w:t>
            </w:r>
            <w:r w:rsidRPr="00E53641">
              <w:rPr>
                <w:sz w:val="18"/>
                <w:szCs w:val="18"/>
              </w:rPr>
              <w:tab/>
            </w:r>
          </w:p>
        </w:tc>
        <w:tc>
          <w:tcPr>
            <w:tcW w:w="1097" w:type="pct"/>
            <w:noWrap/>
          </w:tcPr>
          <w:p w:rsidR="0034670F" w:rsidRPr="00E53641" w:rsidRDefault="0034670F" w:rsidP="00136CB7">
            <w:pPr>
              <w:pStyle w:val="NormalWeb"/>
              <w:tabs>
                <w:tab w:val="right" w:pos="720"/>
                <w:tab w:val="decimal" w:pos="760"/>
              </w:tabs>
              <w:spacing w:before="0" w:after="0"/>
              <w:jc w:val="right"/>
              <w:rPr>
                <w:bCs/>
                <w:sz w:val="18"/>
                <w:szCs w:val="18"/>
              </w:rPr>
            </w:pPr>
            <w:r w:rsidRPr="00E53641">
              <w:rPr>
                <w:bCs/>
                <w:sz w:val="18"/>
                <w:szCs w:val="18"/>
              </w:rPr>
              <w:t>65.2</w:t>
            </w:r>
          </w:p>
        </w:tc>
        <w:tc>
          <w:tcPr>
            <w:tcW w:w="991"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bCs/>
                <w:sz w:val="18"/>
                <w:szCs w:val="18"/>
              </w:rPr>
              <w:t>61.7</w:t>
            </w:r>
          </w:p>
        </w:tc>
      </w:tr>
      <w:tr w:rsidR="0034670F" w:rsidRPr="00E53641" w:rsidTr="00136CB7">
        <w:tc>
          <w:tcPr>
            <w:tcW w:w="2912" w:type="pct"/>
          </w:tcPr>
          <w:p w:rsidR="0034670F" w:rsidRPr="00E53641" w:rsidRDefault="0034670F" w:rsidP="00136CB7">
            <w:pPr>
              <w:pStyle w:val="NormalWeb"/>
              <w:keepNext/>
              <w:tabs>
                <w:tab w:val="right" w:leader="dot" w:pos="5160"/>
              </w:tabs>
              <w:spacing w:before="0" w:after="0"/>
              <w:ind w:left="240" w:hanging="240"/>
              <w:rPr>
                <w:sz w:val="18"/>
                <w:szCs w:val="18"/>
              </w:rPr>
            </w:pPr>
            <w:r w:rsidRPr="00E53641">
              <w:rPr>
                <w:sz w:val="18"/>
                <w:szCs w:val="18"/>
              </w:rPr>
              <w:t>Changes in inventories</w:t>
            </w:r>
            <w:r w:rsidRPr="00E53641">
              <w:rPr>
                <w:sz w:val="18"/>
                <w:szCs w:val="18"/>
              </w:rPr>
              <w:tab/>
            </w:r>
          </w:p>
        </w:tc>
        <w:tc>
          <w:tcPr>
            <w:tcW w:w="1097"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sz w:val="18"/>
                <w:szCs w:val="18"/>
              </w:rPr>
              <w:t>(0.2)</w:t>
            </w:r>
          </w:p>
        </w:tc>
        <w:tc>
          <w:tcPr>
            <w:tcW w:w="991"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sz w:val="18"/>
                <w:szCs w:val="18"/>
              </w:rPr>
              <w:t>1.1</w:t>
            </w:r>
          </w:p>
        </w:tc>
      </w:tr>
      <w:tr w:rsidR="0034670F" w:rsidRPr="00E53641" w:rsidTr="00136CB7">
        <w:tc>
          <w:tcPr>
            <w:tcW w:w="2912" w:type="pct"/>
          </w:tcPr>
          <w:p w:rsidR="0034670F" w:rsidRPr="00E53641" w:rsidRDefault="0034670F" w:rsidP="00136CB7">
            <w:pPr>
              <w:pStyle w:val="NormalWeb"/>
              <w:keepNext/>
              <w:tabs>
                <w:tab w:val="right" w:leader="dot" w:pos="5160"/>
              </w:tabs>
              <w:spacing w:before="0" w:after="0"/>
              <w:ind w:left="240" w:hanging="240"/>
              <w:rPr>
                <w:sz w:val="18"/>
                <w:szCs w:val="18"/>
              </w:rPr>
            </w:pPr>
            <w:r w:rsidRPr="00E53641">
              <w:rPr>
                <w:color w:val="000000"/>
                <w:sz w:val="18"/>
                <w:szCs w:val="18"/>
                <w:lang w:eastAsia="nl-BE"/>
              </w:rPr>
              <w:t>Other operating revenues</w:t>
            </w:r>
            <w:r w:rsidRPr="00E53641">
              <w:rPr>
                <w:sz w:val="18"/>
                <w:szCs w:val="18"/>
              </w:rPr>
              <w:tab/>
            </w:r>
          </w:p>
        </w:tc>
        <w:tc>
          <w:tcPr>
            <w:tcW w:w="1097" w:type="pct"/>
            <w:noWrap/>
          </w:tcPr>
          <w:p w:rsidR="0034670F" w:rsidRPr="00E53641" w:rsidRDefault="0034670F" w:rsidP="00136CB7">
            <w:pPr>
              <w:pStyle w:val="NormalWeb"/>
              <w:pBdr>
                <w:bottom w:val="single" w:sz="4" w:space="1" w:color="auto"/>
              </w:pBdr>
              <w:tabs>
                <w:tab w:val="right" w:pos="720"/>
                <w:tab w:val="decimal" w:pos="760"/>
              </w:tabs>
              <w:spacing w:before="0" w:after="0"/>
              <w:jc w:val="right"/>
              <w:rPr>
                <w:sz w:val="18"/>
                <w:szCs w:val="18"/>
              </w:rPr>
            </w:pPr>
            <w:r w:rsidRPr="00E53641">
              <w:rPr>
                <w:sz w:val="18"/>
                <w:szCs w:val="18"/>
              </w:rPr>
              <w:t>1.0</w:t>
            </w:r>
          </w:p>
        </w:tc>
        <w:tc>
          <w:tcPr>
            <w:tcW w:w="991" w:type="pct"/>
            <w:noWrap/>
          </w:tcPr>
          <w:p w:rsidR="0034670F" w:rsidRPr="00E53641" w:rsidRDefault="0034670F" w:rsidP="00136CB7">
            <w:pPr>
              <w:pStyle w:val="NormalWeb"/>
              <w:pBdr>
                <w:bottom w:val="single" w:sz="4" w:space="1" w:color="auto"/>
              </w:pBdr>
              <w:tabs>
                <w:tab w:val="right" w:pos="720"/>
                <w:tab w:val="decimal" w:pos="760"/>
              </w:tabs>
              <w:spacing w:before="0" w:after="0"/>
              <w:jc w:val="right"/>
              <w:rPr>
                <w:sz w:val="18"/>
                <w:szCs w:val="18"/>
              </w:rPr>
            </w:pPr>
            <w:r w:rsidRPr="00E53641">
              <w:rPr>
                <w:sz w:val="18"/>
                <w:szCs w:val="18"/>
              </w:rPr>
              <w:t>2.6</w:t>
            </w:r>
          </w:p>
        </w:tc>
      </w:tr>
      <w:tr w:rsidR="0034670F" w:rsidRPr="00E53641" w:rsidTr="00136CB7">
        <w:tc>
          <w:tcPr>
            <w:tcW w:w="2912" w:type="pct"/>
          </w:tcPr>
          <w:p w:rsidR="0034670F" w:rsidRPr="00E53641" w:rsidRDefault="0034670F" w:rsidP="00136CB7">
            <w:pPr>
              <w:pStyle w:val="NormalWeb"/>
              <w:keepNext/>
              <w:tabs>
                <w:tab w:val="right" w:leader="dot" w:pos="5160"/>
              </w:tabs>
              <w:spacing w:before="0" w:after="0"/>
              <w:ind w:left="240" w:hanging="240"/>
              <w:rPr>
                <w:b/>
                <w:sz w:val="18"/>
                <w:szCs w:val="18"/>
              </w:rPr>
            </w:pPr>
            <w:r w:rsidRPr="00E53641">
              <w:rPr>
                <w:b/>
                <w:bCs/>
                <w:color w:val="000000"/>
                <w:sz w:val="18"/>
                <w:szCs w:val="18"/>
                <w:lang w:eastAsia="nl-BE"/>
              </w:rPr>
              <w:t>Total revenues</w:t>
            </w:r>
            <w:r w:rsidRPr="00E53641">
              <w:rPr>
                <w:sz w:val="18"/>
                <w:szCs w:val="18"/>
              </w:rPr>
              <w:tab/>
            </w:r>
          </w:p>
        </w:tc>
        <w:tc>
          <w:tcPr>
            <w:tcW w:w="1097"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b/>
                <w:bCs/>
                <w:sz w:val="18"/>
                <w:szCs w:val="18"/>
              </w:rPr>
              <w:t>66.1</w:t>
            </w:r>
          </w:p>
        </w:tc>
        <w:tc>
          <w:tcPr>
            <w:tcW w:w="991"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b/>
                <w:bCs/>
                <w:sz w:val="18"/>
                <w:szCs w:val="18"/>
              </w:rPr>
              <w:t>65.3</w:t>
            </w:r>
          </w:p>
        </w:tc>
      </w:tr>
      <w:tr w:rsidR="0034670F" w:rsidRPr="00E53641" w:rsidTr="00136CB7">
        <w:tc>
          <w:tcPr>
            <w:tcW w:w="2912" w:type="pct"/>
          </w:tcPr>
          <w:p w:rsidR="0034670F" w:rsidRPr="00E53641" w:rsidRDefault="0034670F" w:rsidP="00136CB7">
            <w:pPr>
              <w:pStyle w:val="NormalWeb"/>
              <w:keepNext/>
              <w:tabs>
                <w:tab w:val="right" w:leader="dot" w:pos="5160"/>
              </w:tabs>
              <w:spacing w:before="0" w:after="0"/>
              <w:ind w:left="240" w:hanging="240"/>
              <w:rPr>
                <w:sz w:val="18"/>
                <w:szCs w:val="18"/>
              </w:rPr>
            </w:pPr>
            <w:r w:rsidRPr="00E53641">
              <w:rPr>
                <w:color w:val="000000"/>
                <w:sz w:val="18"/>
                <w:szCs w:val="18"/>
                <w:lang w:eastAsia="nl-BE"/>
              </w:rPr>
              <w:t>Raw materials, consumables</w:t>
            </w:r>
            <w:r w:rsidRPr="00E53641">
              <w:rPr>
                <w:sz w:val="18"/>
                <w:szCs w:val="18"/>
              </w:rPr>
              <w:tab/>
            </w:r>
          </w:p>
        </w:tc>
        <w:tc>
          <w:tcPr>
            <w:tcW w:w="1097"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sz w:val="18"/>
                <w:szCs w:val="18"/>
              </w:rPr>
              <w:t>(27.5)</w:t>
            </w:r>
          </w:p>
        </w:tc>
        <w:tc>
          <w:tcPr>
            <w:tcW w:w="991"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sz w:val="18"/>
                <w:szCs w:val="18"/>
              </w:rPr>
              <w:t>(28.5)</w:t>
            </w:r>
          </w:p>
        </w:tc>
      </w:tr>
      <w:tr w:rsidR="0034670F" w:rsidRPr="00E53641" w:rsidTr="00136CB7">
        <w:tc>
          <w:tcPr>
            <w:tcW w:w="2912" w:type="pct"/>
          </w:tcPr>
          <w:p w:rsidR="0034670F" w:rsidRPr="00E53641" w:rsidRDefault="0034670F" w:rsidP="00136CB7">
            <w:pPr>
              <w:pStyle w:val="NormalWeb"/>
              <w:keepNext/>
              <w:tabs>
                <w:tab w:val="right" w:leader="dot" w:pos="5160"/>
              </w:tabs>
              <w:spacing w:before="0" w:after="0"/>
              <w:ind w:left="240" w:hanging="240"/>
              <w:rPr>
                <w:sz w:val="18"/>
                <w:szCs w:val="18"/>
              </w:rPr>
            </w:pPr>
            <w:r w:rsidRPr="00E53641">
              <w:rPr>
                <w:color w:val="000000"/>
                <w:sz w:val="18"/>
                <w:szCs w:val="18"/>
                <w:lang w:eastAsia="nl-BE"/>
              </w:rPr>
              <w:t>Services and other goods</w:t>
            </w:r>
            <w:r w:rsidRPr="00E53641">
              <w:rPr>
                <w:sz w:val="18"/>
                <w:szCs w:val="18"/>
              </w:rPr>
              <w:tab/>
            </w:r>
          </w:p>
        </w:tc>
        <w:tc>
          <w:tcPr>
            <w:tcW w:w="1097"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sz w:val="18"/>
                <w:szCs w:val="18"/>
              </w:rPr>
              <w:t>(20.8)</w:t>
            </w:r>
          </w:p>
        </w:tc>
        <w:tc>
          <w:tcPr>
            <w:tcW w:w="991"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sz w:val="18"/>
                <w:szCs w:val="18"/>
              </w:rPr>
              <w:t>(20.1)</w:t>
            </w:r>
          </w:p>
        </w:tc>
      </w:tr>
      <w:tr w:rsidR="0034670F" w:rsidRPr="00E53641" w:rsidTr="00136CB7">
        <w:tc>
          <w:tcPr>
            <w:tcW w:w="2912" w:type="pct"/>
          </w:tcPr>
          <w:p w:rsidR="0034670F" w:rsidRPr="00E53641" w:rsidRDefault="0034670F" w:rsidP="00136CB7">
            <w:pPr>
              <w:pStyle w:val="NormalWeb"/>
              <w:keepNext/>
              <w:tabs>
                <w:tab w:val="right" w:leader="dot" w:pos="5160"/>
              </w:tabs>
              <w:spacing w:before="0" w:after="0"/>
              <w:ind w:left="240" w:hanging="240"/>
              <w:rPr>
                <w:sz w:val="18"/>
                <w:szCs w:val="18"/>
              </w:rPr>
            </w:pPr>
            <w:r w:rsidRPr="00E53641">
              <w:rPr>
                <w:color w:val="000000"/>
                <w:sz w:val="18"/>
                <w:szCs w:val="18"/>
                <w:lang w:eastAsia="nl-BE"/>
              </w:rPr>
              <w:t>Personnel expenses</w:t>
            </w:r>
            <w:r w:rsidRPr="00E53641">
              <w:rPr>
                <w:sz w:val="18"/>
                <w:szCs w:val="18"/>
              </w:rPr>
              <w:tab/>
            </w:r>
          </w:p>
        </w:tc>
        <w:tc>
          <w:tcPr>
            <w:tcW w:w="1097"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sz w:val="18"/>
                <w:szCs w:val="18"/>
              </w:rPr>
              <w:t>(9.0)</w:t>
            </w:r>
          </w:p>
        </w:tc>
        <w:tc>
          <w:tcPr>
            <w:tcW w:w="991"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sz w:val="18"/>
                <w:szCs w:val="18"/>
              </w:rPr>
              <w:t>(9.2)</w:t>
            </w:r>
          </w:p>
        </w:tc>
      </w:tr>
      <w:tr w:rsidR="0034670F" w:rsidRPr="00E53641" w:rsidTr="00136CB7">
        <w:tc>
          <w:tcPr>
            <w:tcW w:w="2912" w:type="pct"/>
          </w:tcPr>
          <w:p w:rsidR="0034670F" w:rsidRPr="00E53641" w:rsidRDefault="0034670F" w:rsidP="00136CB7">
            <w:pPr>
              <w:pStyle w:val="NormalWeb"/>
              <w:keepNext/>
              <w:tabs>
                <w:tab w:val="right" w:leader="dot" w:pos="5160"/>
              </w:tabs>
              <w:spacing w:before="0" w:after="0"/>
              <w:ind w:left="240" w:hanging="240"/>
              <w:rPr>
                <w:sz w:val="18"/>
                <w:szCs w:val="18"/>
              </w:rPr>
            </w:pPr>
            <w:r w:rsidRPr="00E53641">
              <w:rPr>
                <w:color w:val="000000"/>
                <w:sz w:val="18"/>
                <w:szCs w:val="18"/>
                <w:lang w:eastAsia="nl-BE"/>
              </w:rPr>
              <w:t>Depreciation</w:t>
            </w:r>
            <w:r w:rsidRPr="00E53641">
              <w:rPr>
                <w:sz w:val="18"/>
                <w:szCs w:val="18"/>
              </w:rPr>
              <w:tab/>
            </w:r>
          </w:p>
        </w:tc>
        <w:tc>
          <w:tcPr>
            <w:tcW w:w="1097"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sz w:val="18"/>
                <w:szCs w:val="18"/>
              </w:rPr>
              <w:t>(3.1)</w:t>
            </w:r>
          </w:p>
        </w:tc>
        <w:tc>
          <w:tcPr>
            <w:tcW w:w="991"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sz w:val="18"/>
                <w:szCs w:val="18"/>
              </w:rPr>
              <w:t>(3.3)</w:t>
            </w:r>
          </w:p>
        </w:tc>
      </w:tr>
      <w:tr w:rsidR="0034670F" w:rsidRPr="00E53641" w:rsidTr="00136CB7">
        <w:tc>
          <w:tcPr>
            <w:tcW w:w="2912" w:type="pct"/>
          </w:tcPr>
          <w:p w:rsidR="0034670F" w:rsidRPr="00E53641" w:rsidRDefault="0034670F" w:rsidP="00136CB7">
            <w:pPr>
              <w:pStyle w:val="NormalWeb"/>
              <w:keepNext/>
              <w:tabs>
                <w:tab w:val="right" w:leader="dot" w:pos="5160"/>
              </w:tabs>
              <w:spacing w:before="0" w:after="0"/>
              <w:ind w:left="240" w:hanging="240"/>
              <w:rPr>
                <w:sz w:val="18"/>
                <w:szCs w:val="18"/>
              </w:rPr>
            </w:pPr>
            <w:r w:rsidRPr="00E53641">
              <w:rPr>
                <w:color w:val="000000"/>
                <w:sz w:val="18"/>
                <w:szCs w:val="18"/>
                <w:lang w:eastAsia="nl-BE"/>
              </w:rPr>
              <w:t>Allowance for doubtful accounts</w:t>
            </w:r>
            <w:r w:rsidRPr="00E53641">
              <w:rPr>
                <w:sz w:val="18"/>
                <w:szCs w:val="18"/>
              </w:rPr>
              <w:tab/>
            </w:r>
          </w:p>
        </w:tc>
        <w:tc>
          <w:tcPr>
            <w:tcW w:w="1097"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sz w:val="18"/>
                <w:szCs w:val="18"/>
              </w:rPr>
              <w:softHyphen/>
              <w:t>-</w:t>
            </w:r>
          </w:p>
        </w:tc>
        <w:tc>
          <w:tcPr>
            <w:tcW w:w="991"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sz w:val="18"/>
                <w:szCs w:val="18"/>
              </w:rPr>
              <w:t>(0.2)</w:t>
            </w:r>
          </w:p>
        </w:tc>
      </w:tr>
      <w:tr w:rsidR="0034670F" w:rsidRPr="00E53641" w:rsidTr="00136CB7">
        <w:tc>
          <w:tcPr>
            <w:tcW w:w="2912" w:type="pct"/>
          </w:tcPr>
          <w:p w:rsidR="0034670F" w:rsidRPr="00E53641" w:rsidRDefault="0034670F" w:rsidP="00136CB7">
            <w:pPr>
              <w:pStyle w:val="NormalWeb"/>
              <w:keepNext/>
              <w:tabs>
                <w:tab w:val="right" w:leader="dot" w:pos="5160"/>
              </w:tabs>
              <w:spacing w:before="0" w:after="0"/>
              <w:ind w:left="240" w:hanging="240"/>
              <w:rPr>
                <w:sz w:val="18"/>
                <w:szCs w:val="18"/>
              </w:rPr>
            </w:pPr>
            <w:r w:rsidRPr="00E53641">
              <w:rPr>
                <w:color w:val="000000"/>
                <w:sz w:val="18"/>
                <w:szCs w:val="18"/>
                <w:lang w:eastAsia="nl-BE"/>
              </w:rPr>
              <w:t>Provision for contingencies</w:t>
            </w:r>
            <w:r w:rsidRPr="00E53641">
              <w:rPr>
                <w:sz w:val="18"/>
                <w:szCs w:val="18"/>
              </w:rPr>
              <w:tab/>
            </w:r>
          </w:p>
        </w:tc>
        <w:tc>
          <w:tcPr>
            <w:tcW w:w="1097"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sz w:val="18"/>
                <w:szCs w:val="18"/>
              </w:rPr>
              <w:t>(0.1)</w:t>
            </w:r>
          </w:p>
        </w:tc>
        <w:tc>
          <w:tcPr>
            <w:tcW w:w="991"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sz w:val="18"/>
                <w:szCs w:val="18"/>
              </w:rPr>
              <w:t>-</w:t>
            </w:r>
          </w:p>
        </w:tc>
      </w:tr>
      <w:tr w:rsidR="0034670F" w:rsidRPr="00E53641" w:rsidTr="00136CB7">
        <w:tc>
          <w:tcPr>
            <w:tcW w:w="2912" w:type="pct"/>
          </w:tcPr>
          <w:p w:rsidR="0034670F" w:rsidRPr="00E53641" w:rsidRDefault="0034670F" w:rsidP="00136CB7">
            <w:pPr>
              <w:pStyle w:val="NormalWeb"/>
              <w:keepNext/>
              <w:tabs>
                <w:tab w:val="right" w:leader="dot" w:pos="5160"/>
              </w:tabs>
              <w:spacing w:before="0" w:after="0"/>
              <w:ind w:left="240" w:hanging="240"/>
              <w:rPr>
                <w:sz w:val="18"/>
                <w:szCs w:val="18"/>
              </w:rPr>
            </w:pPr>
            <w:r w:rsidRPr="00E53641">
              <w:rPr>
                <w:color w:val="000000"/>
                <w:sz w:val="18"/>
                <w:szCs w:val="18"/>
                <w:lang w:eastAsia="nl-BE"/>
              </w:rPr>
              <w:t>Other operating expenses</w:t>
            </w:r>
            <w:r w:rsidRPr="00E53641">
              <w:rPr>
                <w:sz w:val="18"/>
                <w:szCs w:val="18"/>
              </w:rPr>
              <w:tab/>
            </w:r>
          </w:p>
        </w:tc>
        <w:tc>
          <w:tcPr>
            <w:tcW w:w="1097"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sz w:val="18"/>
                <w:szCs w:val="18"/>
              </w:rPr>
              <w:t>(1.2)</w:t>
            </w:r>
          </w:p>
        </w:tc>
        <w:tc>
          <w:tcPr>
            <w:tcW w:w="991"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sz w:val="18"/>
                <w:szCs w:val="18"/>
              </w:rPr>
              <w:t>(1.2)</w:t>
            </w:r>
          </w:p>
        </w:tc>
      </w:tr>
      <w:tr w:rsidR="0034670F" w:rsidRPr="00E53641" w:rsidTr="00136CB7">
        <w:trPr>
          <w:trHeight w:val="267"/>
        </w:trPr>
        <w:tc>
          <w:tcPr>
            <w:tcW w:w="2912" w:type="pct"/>
          </w:tcPr>
          <w:p w:rsidR="0034670F" w:rsidRPr="00E53641" w:rsidRDefault="0034670F" w:rsidP="00136CB7">
            <w:pPr>
              <w:pStyle w:val="NormalWeb"/>
              <w:keepNext/>
              <w:tabs>
                <w:tab w:val="right" w:leader="dot" w:pos="5160"/>
              </w:tabs>
              <w:spacing w:before="0" w:after="0"/>
              <w:ind w:left="240" w:hanging="240"/>
              <w:rPr>
                <w:sz w:val="18"/>
                <w:szCs w:val="18"/>
              </w:rPr>
            </w:pPr>
            <w:r w:rsidRPr="00E53641">
              <w:rPr>
                <w:color w:val="000000"/>
                <w:sz w:val="18"/>
                <w:szCs w:val="18"/>
                <w:lang w:eastAsia="nl-BE"/>
              </w:rPr>
              <w:t>Restructuring costs capitalised</w:t>
            </w:r>
            <w:r w:rsidRPr="00E53641">
              <w:rPr>
                <w:sz w:val="18"/>
                <w:szCs w:val="18"/>
              </w:rPr>
              <w:tab/>
            </w:r>
          </w:p>
        </w:tc>
        <w:tc>
          <w:tcPr>
            <w:tcW w:w="1097" w:type="pct"/>
            <w:noWrap/>
          </w:tcPr>
          <w:p w:rsidR="0034670F" w:rsidRPr="00E53641" w:rsidRDefault="0034670F" w:rsidP="00136CB7">
            <w:pPr>
              <w:pStyle w:val="NormalWeb"/>
              <w:pBdr>
                <w:bottom w:val="single" w:sz="4" w:space="1" w:color="auto"/>
              </w:pBdr>
              <w:tabs>
                <w:tab w:val="right" w:pos="720"/>
                <w:tab w:val="decimal" w:pos="760"/>
              </w:tabs>
              <w:spacing w:before="0" w:after="0"/>
              <w:jc w:val="right"/>
              <w:rPr>
                <w:sz w:val="18"/>
                <w:szCs w:val="18"/>
              </w:rPr>
            </w:pPr>
            <w:r w:rsidRPr="00E53641">
              <w:rPr>
                <w:sz w:val="18"/>
                <w:szCs w:val="18"/>
              </w:rPr>
              <w:t>-</w:t>
            </w:r>
          </w:p>
        </w:tc>
        <w:tc>
          <w:tcPr>
            <w:tcW w:w="991" w:type="pct"/>
            <w:noWrap/>
          </w:tcPr>
          <w:p w:rsidR="0034670F" w:rsidRPr="00E53641" w:rsidRDefault="0034670F" w:rsidP="00136CB7">
            <w:pPr>
              <w:pStyle w:val="NormalWeb"/>
              <w:pBdr>
                <w:bottom w:val="single" w:sz="4" w:space="1" w:color="auto"/>
              </w:pBdr>
              <w:tabs>
                <w:tab w:val="right" w:pos="720"/>
                <w:tab w:val="decimal" w:pos="760"/>
              </w:tabs>
              <w:spacing w:before="0" w:after="0"/>
              <w:jc w:val="right"/>
              <w:rPr>
                <w:sz w:val="18"/>
                <w:szCs w:val="18"/>
              </w:rPr>
            </w:pPr>
            <w:r w:rsidRPr="00E53641">
              <w:rPr>
                <w:sz w:val="18"/>
                <w:szCs w:val="18"/>
              </w:rPr>
              <w:t>0.2</w:t>
            </w:r>
          </w:p>
        </w:tc>
      </w:tr>
      <w:tr w:rsidR="0034670F" w:rsidRPr="00E53641" w:rsidTr="00136CB7">
        <w:tc>
          <w:tcPr>
            <w:tcW w:w="2912" w:type="pct"/>
          </w:tcPr>
          <w:p w:rsidR="0034670F" w:rsidRPr="00E53641" w:rsidRDefault="0034670F" w:rsidP="00136CB7">
            <w:pPr>
              <w:pStyle w:val="NormalWeb"/>
              <w:keepNext/>
              <w:tabs>
                <w:tab w:val="right" w:leader="dot" w:pos="5160"/>
              </w:tabs>
              <w:spacing w:before="0" w:after="0"/>
              <w:ind w:left="240" w:hanging="240"/>
              <w:rPr>
                <w:b/>
                <w:sz w:val="18"/>
                <w:szCs w:val="18"/>
              </w:rPr>
            </w:pPr>
            <w:r w:rsidRPr="00E53641">
              <w:rPr>
                <w:b/>
                <w:bCs/>
                <w:color w:val="000000"/>
                <w:sz w:val="18"/>
                <w:szCs w:val="18"/>
                <w:lang w:eastAsia="nl-BE"/>
              </w:rPr>
              <w:t>Total operating expenses</w:t>
            </w:r>
            <w:r w:rsidRPr="00E53641">
              <w:rPr>
                <w:sz w:val="18"/>
                <w:szCs w:val="18"/>
              </w:rPr>
              <w:tab/>
            </w:r>
          </w:p>
        </w:tc>
        <w:tc>
          <w:tcPr>
            <w:tcW w:w="1097"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b/>
                <w:bCs/>
                <w:sz w:val="18"/>
                <w:szCs w:val="18"/>
              </w:rPr>
              <w:t>(61.7)</w:t>
            </w:r>
          </w:p>
        </w:tc>
        <w:tc>
          <w:tcPr>
            <w:tcW w:w="991"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b/>
                <w:bCs/>
                <w:sz w:val="18"/>
                <w:szCs w:val="18"/>
              </w:rPr>
              <w:t>(62.2)</w:t>
            </w:r>
          </w:p>
        </w:tc>
      </w:tr>
      <w:tr w:rsidR="0034670F" w:rsidRPr="00E53641" w:rsidTr="00136CB7">
        <w:trPr>
          <w:trHeight w:val="267"/>
        </w:trPr>
        <w:tc>
          <w:tcPr>
            <w:tcW w:w="2912" w:type="pct"/>
          </w:tcPr>
          <w:p w:rsidR="0034670F" w:rsidRPr="00E53641" w:rsidRDefault="0034670F" w:rsidP="00136CB7">
            <w:pPr>
              <w:pStyle w:val="NormalWeb"/>
              <w:keepNext/>
              <w:tabs>
                <w:tab w:val="right" w:leader="dot" w:pos="5160"/>
              </w:tabs>
              <w:spacing w:before="0" w:after="0"/>
              <w:ind w:left="240" w:hanging="240"/>
              <w:rPr>
                <w:b/>
                <w:sz w:val="18"/>
                <w:szCs w:val="18"/>
              </w:rPr>
            </w:pPr>
            <w:r w:rsidRPr="00E53641">
              <w:rPr>
                <w:b/>
                <w:bCs/>
                <w:color w:val="000000"/>
                <w:sz w:val="18"/>
                <w:szCs w:val="18"/>
                <w:lang w:eastAsia="nl-BE"/>
              </w:rPr>
              <w:t>Operating profit/(loss) for the period</w:t>
            </w:r>
            <w:r w:rsidRPr="00E53641">
              <w:rPr>
                <w:b/>
                <w:sz w:val="18"/>
                <w:szCs w:val="18"/>
              </w:rPr>
              <w:tab/>
            </w:r>
          </w:p>
          <w:p w:rsidR="0034670F" w:rsidRPr="00E53641" w:rsidRDefault="0034670F" w:rsidP="00136CB7">
            <w:pPr>
              <w:pStyle w:val="la24"/>
              <w:spacing w:before="0" w:after="0"/>
              <w:rPr>
                <w:b/>
                <w:sz w:val="18"/>
                <w:szCs w:val="18"/>
              </w:rPr>
            </w:pPr>
            <w:r w:rsidRPr="00E53641">
              <w:rPr>
                <w:b/>
                <w:noProof w:val="0"/>
                <w:sz w:val="18"/>
                <w:szCs w:val="18"/>
                <w:lang w:val="en-GB"/>
              </w:rPr>
              <w:t> </w:t>
            </w:r>
          </w:p>
        </w:tc>
        <w:tc>
          <w:tcPr>
            <w:tcW w:w="1097" w:type="pct"/>
            <w:noWrap/>
          </w:tcPr>
          <w:p w:rsidR="0034670F" w:rsidRPr="00E53641" w:rsidRDefault="0034670F" w:rsidP="00136CB7">
            <w:pPr>
              <w:pStyle w:val="NormalWeb"/>
              <w:pBdr>
                <w:bottom w:val="single" w:sz="4" w:space="1" w:color="auto"/>
              </w:pBdr>
              <w:tabs>
                <w:tab w:val="right" w:pos="720"/>
                <w:tab w:val="decimal" w:pos="760"/>
              </w:tabs>
              <w:spacing w:before="0" w:after="0"/>
              <w:jc w:val="right"/>
              <w:rPr>
                <w:b/>
                <w:sz w:val="18"/>
                <w:szCs w:val="18"/>
              </w:rPr>
            </w:pPr>
            <w:r w:rsidRPr="00E53641">
              <w:rPr>
                <w:b/>
                <w:sz w:val="18"/>
                <w:szCs w:val="18"/>
              </w:rPr>
              <w:t>4.3</w:t>
            </w:r>
          </w:p>
        </w:tc>
        <w:tc>
          <w:tcPr>
            <w:tcW w:w="991" w:type="pct"/>
            <w:noWrap/>
          </w:tcPr>
          <w:p w:rsidR="0034670F" w:rsidRPr="00E53641" w:rsidRDefault="0034670F" w:rsidP="00136CB7">
            <w:pPr>
              <w:pStyle w:val="NormalWeb"/>
              <w:pBdr>
                <w:bottom w:val="single" w:sz="4" w:space="1" w:color="auto"/>
              </w:pBdr>
              <w:tabs>
                <w:tab w:val="right" w:pos="720"/>
                <w:tab w:val="decimal" w:pos="760"/>
              </w:tabs>
              <w:spacing w:before="0" w:after="0"/>
              <w:jc w:val="right"/>
              <w:rPr>
                <w:b/>
                <w:sz w:val="18"/>
                <w:szCs w:val="18"/>
              </w:rPr>
            </w:pPr>
            <w:r w:rsidRPr="00E53641">
              <w:rPr>
                <w:b/>
                <w:sz w:val="18"/>
                <w:szCs w:val="18"/>
              </w:rPr>
              <w:t>3.1</w:t>
            </w:r>
          </w:p>
        </w:tc>
      </w:tr>
      <w:tr w:rsidR="0034670F" w:rsidRPr="00E53641" w:rsidTr="00136CB7">
        <w:tc>
          <w:tcPr>
            <w:tcW w:w="2912" w:type="pct"/>
          </w:tcPr>
          <w:p w:rsidR="0034670F" w:rsidRPr="00E53641" w:rsidRDefault="0034670F" w:rsidP="00136CB7">
            <w:pPr>
              <w:pStyle w:val="NormalWeb"/>
              <w:keepNext/>
              <w:tabs>
                <w:tab w:val="right" w:leader="dot" w:pos="5160"/>
              </w:tabs>
              <w:spacing w:before="0" w:after="0"/>
              <w:ind w:left="240" w:hanging="240"/>
              <w:rPr>
                <w:sz w:val="18"/>
                <w:szCs w:val="18"/>
              </w:rPr>
            </w:pPr>
            <w:r w:rsidRPr="00E53641">
              <w:rPr>
                <w:color w:val="000000"/>
                <w:sz w:val="18"/>
                <w:szCs w:val="18"/>
                <w:lang w:eastAsia="nl-BE"/>
              </w:rPr>
              <w:t>Financial result</w:t>
            </w:r>
            <w:r w:rsidRPr="00E53641">
              <w:rPr>
                <w:sz w:val="18"/>
                <w:szCs w:val="18"/>
              </w:rPr>
              <w:tab/>
            </w:r>
          </w:p>
        </w:tc>
        <w:tc>
          <w:tcPr>
            <w:tcW w:w="1097"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sz w:val="18"/>
                <w:szCs w:val="18"/>
              </w:rPr>
              <w:t>(0.9)</w:t>
            </w:r>
          </w:p>
        </w:tc>
        <w:tc>
          <w:tcPr>
            <w:tcW w:w="991"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sz w:val="18"/>
                <w:szCs w:val="18"/>
              </w:rPr>
              <w:t>(1.1)</w:t>
            </w:r>
          </w:p>
        </w:tc>
      </w:tr>
      <w:tr w:rsidR="0034670F" w:rsidRPr="00E53641" w:rsidTr="00136CB7">
        <w:tc>
          <w:tcPr>
            <w:tcW w:w="2912" w:type="pct"/>
          </w:tcPr>
          <w:p w:rsidR="0034670F" w:rsidRPr="00E53641" w:rsidRDefault="0034670F" w:rsidP="00136CB7">
            <w:pPr>
              <w:pStyle w:val="NormalWeb"/>
              <w:keepNext/>
              <w:tabs>
                <w:tab w:val="right" w:leader="dot" w:pos="5160"/>
              </w:tabs>
              <w:spacing w:before="0" w:after="0"/>
              <w:ind w:left="240" w:hanging="240"/>
              <w:rPr>
                <w:sz w:val="18"/>
                <w:szCs w:val="18"/>
              </w:rPr>
            </w:pPr>
            <w:r w:rsidRPr="00E53641">
              <w:rPr>
                <w:color w:val="000000"/>
                <w:sz w:val="18"/>
                <w:szCs w:val="18"/>
                <w:lang w:eastAsia="nl-BE"/>
              </w:rPr>
              <w:t>Extraordinary result</w:t>
            </w:r>
            <w:r w:rsidRPr="00E53641">
              <w:rPr>
                <w:sz w:val="18"/>
                <w:szCs w:val="18"/>
              </w:rPr>
              <w:tab/>
            </w:r>
          </w:p>
        </w:tc>
        <w:tc>
          <w:tcPr>
            <w:tcW w:w="1097"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sz w:val="18"/>
                <w:szCs w:val="18"/>
              </w:rPr>
              <w:t>(0.4)</w:t>
            </w:r>
          </w:p>
        </w:tc>
        <w:tc>
          <w:tcPr>
            <w:tcW w:w="991" w:type="pct"/>
            <w:noWrap/>
          </w:tcPr>
          <w:p w:rsidR="0034670F" w:rsidRPr="00E53641" w:rsidRDefault="0034670F" w:rsidP="00136CB7">
            <w:pPr>
              <w:pStyle w:val="NormalWeb"/>
              <w:tabs>
                <w:tab w:val="right" w:pos="720"/>
                <w:tab w:val="decimal" w:pos="760"/>
              </w:tabs>
              <w:spacing w:before="0" w:after="0"/>
              <w:jc w:val="right"/>
              <w:rPr>
                <w:sz w:val="18"/>
                <w:szCs w:val="18"/>
              </w:rPr>
            </w:pPr>
            <w:r w:rsidRPr="00E53641">
              <w:rPr>
                <w:sz w:val="18"/>
                <w:szCs w:val="18"/>
              </w:rPr>
              <w:t>(0.1)</w:t>
            </w:r>
          </w:p>
        </w:tc>
      </w:tr>
      <w:tr w:rsidR="0034670F" w:rsidRPr="00E53641" w:rsidTr="00136CB7">
        <w:tc>
          <w:tcPr>
            <w:tcW w:w="2912" w:type="pct"/>
            <w:vMerge w:val="restart"/>
          </w:tcPr>
          <w:p w:rsidR="0034670F" w:rsidRPr="00E53641" w:rsidRDefault="0034670F" w:rsidP="00136CB7">
            <w:pPr>
              <w:pStyle w:val="NormalWeb"/>
              <w:keepNext/>
              <w:tabs>
                <w:tab w:val="right" w:leader="dot" w:pos="5160"/>
              </w:tabs>
              <w:spacing w:before="0" w:after="0"/>
              <w:ind w:left="240" w:hanging="240"/>
              <w:rPr>
                <w:sz w:val="18"/>
                <w:szCs w:val="18"/>
              </w:rPr>
            </w:pPr>
            <w:r w:rsidRPr="00E53641">
              <w:rPr>
                <w:color w:val="000000"/>
                <w:sz w:val="18"/>
                <w:szCs w:val="18"/>
                <w:lang w:eastAsia="nl-BE"/>
              </w:rPr>
              <w:t>Taxes</w:t>
            </w:r>
            <w:r w:rsidRPr="00E53641">
              <w:rPr>
                <w:sz w:val="18"/>
                <w:szCs w:val="18"/>
              </w:rPr>
              <w:tab/>
            </w:r>
          </w:p>
          <w:p w:rsidR="0034670F" w:rsidRPr="00E53641" w:rsidRDefault="0034670F" w:rsidP="00136CB7">
            <w:pPr>
              <w:pStyle w:val="la24"/>
              <w:spacing w:before="0" w:after="0"/>
              <w:rPr>
                <w:sz w:val="18"/>
                <w:szCs w:val="18"/>
              </w:rPr>
            </w:pPr>
            <w:r w:rsidRPr="00E53641">
              <w:rPr>
                <w:noProof w:val="0"/>
                <w:sz w:val="18"/>
                <w:szCs w:val="18"/>
                <w:lang w:val="en-GB"/>
              </w:rPr>
              <w:t> </w:t>
            </w:r>
          </w:p>
        </w:tc>
        <w:tc>
          <w:tcPr>
            <w:tcW w:w="1097" w:type="pct"/>
            <w:noWrap/>
          </w:tcPr>
          <w:p w:rsidR="0034670F" w:rsidRPr="00E53641" w:rsidRDefault="0034670F" w:rsidP="00136CB7">
            <w:pPr>
              <w:pStyle w:val="NormalWeb"/>
              <w:pBdr>
                <w:bottom w:val="single" w:sz="4" w:space="1" w:color="auto"/>
              </w:pBdr>
              <w:tabs>
                <w:tab w:val="right" w:pos="720"/>
                <w:tab w:val="decimal" w:pos="760"/>
              </w:tabs>
              <w:spacing w:before="0" w:after="0"/>
              <w:jc w:val="right"/>
              <w:rPr>
                <w:sz w:val="18"/>
                <w:szCs w:val="18"/>
              </w:rPr>
            </w:pPr>
            <w:r w:rsidRPr="00E53641">
              <w:rPr>
                <w:sz w:val="18"/>
                <w:szCs w:val="18"/>
              </w:rPr>
              <w:t>(0.6)</w:t>
            </w:r>
          </w:p>
        </w:tc>
        <w:tc>
          <w:tcPr>
            <w:tcW w:w="991" w:type="pct"/>
            <w:noWrap/>
          </w:tcPr>
          <w:p w:rsidR="0034670F" w:rsidRPr="00E53641" w:rsidRDefault="0034670F" w:rsidP="00136CB7">
            <w:pPr>
              <w:pStyle w:val="NormalWeb"/>
              <w:pBdr>
                <w:bottom w:val="single" w:sz="4" w:space="1" w:color="auto"/>
              </w:pBdr>
              <w:tabs>
                <w:tab w:val="right" w:pos="720"/>
                <w:tab w:val="decimal" w:pos="760"/>
              </w:tabs>
              <w:spacing w:before="0" w:after="0"/>
              <w:jc w:val="right"/>
              <w:rPr>
                <w:sz w:val="18"/>
                <w:szCs w:val="18"/>
              </w:rPr>
            </w:pPr>
            <w:r w:rsidRPr="00E53641">
              <w:rPr>
                <w:sz w:val="18"/>
                <w:szCs w:val="18"/>
              </w:rPr>
              <w:t>(0.4)</w:t>
            </w:r>
          </w:p>
        </w:tc>
      </w:tr>
      <w:tr w:rsidR="0034670F" w:rsidRPr="00E53641" w:rsidTr="00136CB7">
        <w:tc>
          <w:tcPr>
            <w:tcW w:w="2912" w:type="pct"/>
            <w:vMerge/>
          </w:tcPr>
          <w:p w:rsidR="0034670F" w:rsidRPr="00E53641" w:rsidRDefault="0034670F" w:rsidP="00136CB7">
            <w:pPr>
              <w:pStyle w:val="la24"/>
              <w:spacing w:before="0" w:after="0"/>
              <w:rPr>
                <w:noProof w:val="0"/>
                <w:sz w:val="18"/>
                <w:szCs w:val="18"/>
                <w:lang w:val="en-GB"/>
              </w:rPr>
            </w:pPr>
          </w:p>
        </w:tc>
        <w:tc>
          <w:tcPr>
            <w:tcW w:w="1097" w:type="pct"/>
          </w:tcPr>
          <w:p w:rsidR="0034670F" w:rsidRPr="00E53641" w:rsidRDefault="0034670F" w:rsidP="00136CB7">
            <w:pPr>
              <w:pStyle w:val="rrdsinglerule4"/>
              <w:spacing w:before="0" w:after="0"/>
              <w:jc w:val="right"/>
              <w:rPr>
                <w:sz w:val="18"/>
                <w:szCs w:val="18"/>
                <w:lang w:val="en-GB"/>
              </w:rPr>
            </w:pPr>
          </w:p>
        </w:tc>
        <w:tc>
          <w:tcPr>
            <w:tcW w:w="991" w:type="pct"/>
          </w:tcPr>
          <w:p w:rsidR="0034670F" w:rsidRPr="00E53641" w:rsidRDefault="0034670F" w:rsidP="00136CB7">
            <w:pPr>
              <w:pStyle w:val="rrdsinglerule4"/>
              <w:spacing w:before="0" w:after="0"/>
              <w:jc w:val="right"/>
              <w:rPr>
                <w:sz w:val="18"/>
                <w:szCs w:val="18"/>
                <w:lang w:val="en-GB"/>
              </w:rPr>
            </w:pPr>
          </w:p>
        </w:tc>
      </w:tr>
      <w:tr w:rsidR="0034670F" w:rsidRPr="00E53641" w:rsidTr="00136CB7">
        <w:trPr>
          <w:trHeight w:val="292"/>
        </w:trPr>
        <w:tc>
          <w:tcPr>
            <w:tcW w:w="2912" w:type="pct"/>
          </w:tcPr>
          <w:p w:rsidR="0034670F" w:rsidRPr="00E53641" w:rsidRDefault="0034670F" w:rsidP="00750A88">
            <w:pPr>
              <w:pStyle w:val="NormalWeb"/>
              <w:keepNext/>
              <w:tabs>
                <w:tab w:val="right" w:leader="dot" w:pos="5160"/>
              </w:tabs>
              <w:spacing w:before="0" w:after="0"/>
              <w:ind w:left="240" w:hanging="240"/>
              <w:rPr>
                <w:b/>
                <w:sz w:val="18"/>
                <w:szCs w:val="18"/>
              </w:rPr>
            </w:pPr>
            <w:r w:rsidRPr="00E53641">
              <w:rPr>
                <w:b/>
                <w:bCs/>
                <w:color w:val="000000"/>
                <w:sz w:val="18"/>
                <w:szCs w:val="18"/>
                <w:lang w:eastAsia="nl-BE"/>
              </w:rPr>
              <w:t>Net profit/(loss) for the period</w:t>
            </w:r>
            <w:r w:rsidRPr="00E53641">
              <w:rPr>
                <w:sz w:val="18"/>
                <w:szCs w:val="18"/>
              </w:rPr>
              <w:tab/>
              <w:t> </w:t>
            </w:r>
          </w:p>
        </w:tc>
        <w:tc>
          <w:tcPr>
            <w:tcW w:w="1097" w:type="pct"/>
            <w:noWrap/>
          </w:tcPr>
          <w:p w:rsidR="0034670F" w:rsidRPr="00E53641" w:rsidRDefault="0034670F" w:rsidP="00136CB7">
            <w:pPr>
              <w:pStyle w:val="NormalWeb"/>
              <w:pBdr>
                <w:bottom w:val="single" w:sz="4" w:space="1" w:color="auto"/>
              </w:pBdr>
              <w:tabs>
                <w:tab w:val="right" w:pos="720"/>
                <w:tab w:val="decimal" w:pos="760"/>
              </w:tabs>
              <w:spacing w:before="0" w:after="0"/>
              <w:jc w:val="right"/>
              <w:rPr>
                <w:sz w:val="18"/>
                <w:szCs w:val="18"/>
              </w:rPr>
            </w:pPr>
            <w:r w:rsidRPr="00E53641">
              <w:rPr>
                <w:b/>
                <w:bCs/>
                <w:sz w:val="18"/>
                <w:szCs w:val="18"/>
              </w:rPr>
              <w:t>2.4</w:t>
            </w:r>
          </w:p>
        </w:tc>
        <w:tc>
          <w:tcPr>
            <w:tcW w:w="991" w:type="pct"/>
            <w:noWrap/>
          </w:tcPr>
          <w:p w:rsidR="0034670F" w:rsidRPr="00E53641" w:rsidRDefault="0034670F" w:rsidP="00136CB7">
            <w:pPr>
              <w:pStyle w:val="NormalWeb"/>
              <w:pBdr>
                <w:bottom w:val="single" w:sz="4" w:space="1" w:color="auto"/>
              </w:pBdr>
              <w:tabs>
                <w:tab w:val="right" w:pos="720"/>
                <w:tab w:val="decimal" w:pos="760"/>
              </w:tabs>
              <w:spacing w:before="0" w:after="0"/>
              <w:jc w:val="right"/>
              <w:rPr>
                <w:sz w:val="18"/>
                <w:szCs w:val="18"/>
              </w:rPr>
            </w:pPr>
            <w:r w:rsidRPr="00E53641">
              <w:rPr>
                <w:b/>
                <w:bCs/>
                <w:sz w:val="18"/>
                <w:szCs w:val="18"/>
              </w:rPr>
              <w:t>1.6</w:t>
            </w:r>
          </w:p>
        </w:tc>
      </w:tr>
      <w:tr w:rsidR="0034670F" w:rsidRPr="00E53641" w:rsidTr="00136CB7">
        <w:trPr>
          <w:trHeight w:val="353"/>
        </w:trPr>
        <w:tc>
          <w:tcPr>
            <w:tcW w:w="2912" w:type="pct"/>
          </w:tcPr>
          <w:p w:rsidR="0034670F" w:rsidRPr="00E53641" w:rsidRDefault="0034670F" w:rsidP="00136CB7">
            <w:pPr>
              <w:pStyle w:val="NormalWeb"/>
              <w:keepNext/>
              <w:tabs>
                <w:tab w:val="right" w:leader="dot" w:pos="5160"/>
              </w:tabs>
              <w:spacing w:before="0" w:after="0"/>
              <w:ind w:left="240" w:hanging="240"/>
              <w:rPr>
                <w:b/>
                <w:bCs/>
                <w:color w:val="000000"/>
                <w:sz w:val="18"/>
                <w:szCs w:val="18"/>
                <w:lang w:eastAsia="nl-BE"/>
              </w:rPr>
            </w:pPr>
            <w:r w:rsidRPr="00E53641">
              <w:rPr>
                <w:b/>
                <w:bCs/>
                <w:color w:val="000000"/>
                <w:sz w:val="18"/>
                <w:szCs w:val="18"/>
                <w:lang w:eastAsia="nl-BE"/>
              </w:rPr>
              <w:t>EBITDA</w:t>
            </w:r>
            <w:r w:rsidRPr="00E53641">
              <w:rPr>
                <w:bCs/>
                <w:color w:val="000000"/>
                <w:sz w:val="18"/>
                <w:szCs w:val="18"/>
                <w:lang w:eastAsia="nl-BE"/>
              </w:rPr>
              <w:tab/>
            </w:r>
          </w:p>
        </w:tc>
        <w:tc>
          <w:tcPr>
            <w:tcW w:w="1097" w:type="pct"/>
            <w:noWrap/>
          </w:tcPr>
          <w:p w:rsidR="0034670F" w:rsidRPr="00E53641" w:rsidRDefault="0034670F" w:rsidP="00750A88">
            <w:pPr>
              <w:pStyle w:val="NormalWeb"/>
              <w:keepNext/>
              <w:tabs>
                <w:tab w:val="right" w:leader="dot" w:pos="5160"/>
              </w:tabs>
              <w:spacing w:before="0" w:after="0"/>
              <w:ind w:left="240" w:hanging="240"/>
              <w:rPr>
                <w:b/>
                <w:bCs/>
                <w:color w:val="000000"/>
                <w:sz w:val="18"/>
                <w:szCs w:val="18"/>
                <w:lang w:eastAsia="nl-BE"/>
              </w:rPr>
            </w:pPr>
            <w:r w:rsidRPr="00E53641">
              <w:rPr>
                <w:b/>
                <w:bCs/>
                <w:color w:val="000000"/>
                <w:sz w:val="18"/>
                <w:szCs w:val="18"/>
                <w:lang w:eastAsia="nl-BE"/>
              </w:rPr>
              <w:t>7.6</w:t>
            </w:r>
          </w:p>
        </w:tc>
        <w:tc>
          <w:tcPr>
            <w:tcW w:w="991" w:type="pct"/>
            <w:noWrap/>
          </w:tcPr>
          <w:p w:rsidR="0034670F" w:rsidRPr="00E53641" w:rsidRDefault="0034670F" w:rsidP="00750A88">
            <w:pPr>
              <w:pStyle w:val="NormalWeb"/>
              <w:keepNext/>
              <w:tabs>
                <w:tab w:val="right" w:leader="dot" w:pos="5160"/>
              </w:tabs>
              <w:spacing w:before="0" w:after="0"/>
              <w:ind w:left="240" w:hanging="240"/>
              <w:rPr>
                <w:b/>
                <w:bCs/>
                <w:color w:val="000000"/>
                <w:sz w:val="18"/>
                <w:szCs w:val="18"/>
                <w:lang w:eastAsia="nl-BE"/>
              </w:rPr>
            </w:pPr>
            <w:r w:rsidRPr="00E53641">
              <w:rPr>
                <w:b/>
                <w:bCs/>
                <w:color w:val="000000"/>
                <w:sz w:val="18"/>
                <w:szCs w:val="18"/>
                <w:lang w:eastAsia="nl-BE"/>
              </w:rPr>
              <w:t>6.6</w:t>
            </w:r>
          </w:p>
        </w:tc>
      </w:tr>
      <w:tr w:rsidR="00750A88" w:rsidRPr="00504618" w:rsidTr="00136CB7">
        <w:trPr>
          <w:trHeight w:val="353"/>
        </w:trPr>
        <w:tc>
          <w:tcPr>
            <w:tcW w:w="2912" w:type="pct"/>
          </w:tcPr>
          <w:p w:rsidR="00750A88" w:rsidRPr="00E53641" w:rsidRDefault="00750A88" w:rsidP="00750A88">
            <w:r w:rsidRPr="00E53641">
              <w:t>REBITDA</w:t>
            </w:r>
            <w:r w:rsidRPr="00E53641">
              <w:rPr>
                <w:sz w:val="18"/>
                <w:szCs w:val="18"/>
              </w:rPr>
              <w:tab/>
            </w:r>
          </w:p>
        </w:tc>
        <w:tc>
          <w:tcPr>
            <w:tcW w:w="1097" w:type="pct"/>
            <w:noWrap/>
          </w:tcPr>
          <w:p w:rsidR="00750A88" w:rsidRPr="00E53641" w:rsidRDefault="00750A88" w:rsidP="00C14674">
            <w:r w:rsidRPr="00E53641">
              <w:t>7.6</w:t>
            </w:r>
          </w:p>
        </w:tc>
        <w:tc>
          <w:tcPr>
            <w:tcW w:w="991" w:type="pct"/>
            <w:noWrap/>
          </w:tcPr>
          <w:p w:rsidR="00750A88" w:rsidRDefault="00750A88" w:rsidP="00C14674">
            <w:r w:rsidRPr="00E53641">
              <w:t>6.6</w:t>
            </w:r>
          </w:p>
        </w:tc>
      </w:tr>
    </w:tbl>
    <w:p w:rsidR="003F0BC5" w:rsidRPr="00992199" w:rsidRDefault="003F0BC5" w:rsidP="003F0BC5">
      <w:pPr>
        <w:autoSpaceDE w:val="0"/>
        <w:autoSpaceDN w:val="0"/>
        <w:adjustRightInd w:val="0"/>
        <w:rPr>
          <w:color w:val="000000"/>
          <w:szCs w:val="20"/>
        </w:rPr>
      </w:pPr>
      <w:r w:rsidRPr="00992199">
        <w:rPr>
          <w:color w:val="000000"/>
          <w:szCs w:val="20"/>
        </w:rPr>
        <w:t>The Peatinvest Group’s financial year terminates on 30 September.</w:t>
      </w:r>
      <w:r w:rsidR="00F13D58">
        <w:rPr>
          <w:color w:val="000000"/>
          <w:szCs w:val="20"/>
        </w:rPr>
        <w:t xml:space="preserve"> </w:t>
      </w:r>
      <w:r w:rsidRPr="00992199">
        <w:rPr>
          <w:color w:val="000000"/>
          <w:szCs w:val="20"/>
        </w:rPr>
        <w:t xml:space="preserve">The review below compares the results for the </w:t>
      </w:r>
      <w:r w:rsidR="00470C99">
        <w:rPr>
          <w:color w:val="000000"/>
          <w:szCs w:val="20"/>
        </w:rPr>
        <w:t xml:space="preserve">financial year ended </w:t>
      </w:r>
      <w:r w:rsidRPr="00992199">
        <w:rPr>
          <w:color w:val="000000"/>
          <w:szCs w:val="20"/>
        </w:rPr>
        <w:t xml:space="preserve">30 September 2014 with the results for the </w:t>
      </w:r>
      <w:r w:rsidR="00470C99" w:rsidRPr="00470C99">
        <w:rPr>
          <w:color w:val="000000"/>
          <w:szCs w:val="20"/>
        </w:rPr>
        <w:t xml:space="preserve">financial year ended </w:t>
      </w:r>
      <w:r w:rsidRPr="00992199">
        <w:rPr>
          <w:color w:val="000000"/>
          <w:szCs w:val="20"/>
        </w:rPr>
        <w:t xml:space="preserve">30 September 2013. </w:t>
      </w:r>
      <w:r w:rsidR="00345414" w:rsidRPr="00345414">
        <w:rPr>
          <w:color w:val="000000"/>
          <w:szCs w:val="20"/>
        </w:rPr>
        <w:t xml:space="preserve">This financial information described below is based primarily on the audited consolidated financial statements of the </w:t>
      </w:r>
      <w:r w:rsidR="00345414">
        <w:rPr>
          <w:color w:val="000000"/>
          <w:szCs w:val="20"/>
        </w:rPr>
        <w:t>Peatinvest</w:t>
      </w:r>
      <w:r w:rsidR="00345414" w:rsidRPr="00345414">
        <w:rPr>
          <w:color w:val="000000"/>
          <w:szCs w:val="20"/>
        </w:rPr>
        <w:t xml:space="preserve"> Group as of and for the financial years ended </w:t>
      </w:r>
      <w:r w:rsidR="00345414">
        <w:rPr>
          <w:color w:val="000000"/>
          <w:szCs w:val="20"/>
        </w:rPr>
        <w:t>30 September</w:t>
      </w:r>
      <w:r w:rsidR="00345414" w:rsidRPr="00345414">
        <w:rPr>
          <w:color w:val="000000"/>
          <w:szCs w:val="20"/>
        </w:rPr>
        <w:t xml:space="preserve"> 2014 and 2013, prepared in accordance with the </w:t>
      </w:r>
      <w:r w:rsidR="00345414">
        <w:rPr>
          <w:color w:val="000000"/>
          <w:szCs w:val="20"/>
        </w:rPr>
        <w:t>Belgian GAAP</w:t>
      </w:r>
      <w:r w:rsidR="00345414" w:rsidRPr="00345414">
        <w:rPr>
          <w:color w:val="000000"/>
          <w:szCs w:val="20"/>
        </w:rPr>
        <w:t>.</w:t>
      </w:r>
    </w:p>
    <w:p w:rsidR="003F0BC5" w:rsidRPr="00992199" w:rsidRDefault="00345414" w:rsidP="00353B80">
      <w:pPr>
        <w:pStyle w:val="Firm5L3"/>
        <w:keepNext/>
      </w:pPr>
      <w:r>
        <w:t>R</w:t>
      </w:r>
      <w:r w:rsidR="008E5C3F">
        <w:t>evenues</w:t>
      </w:r>
    </w:p>
    <w:p w:rsidR="003F0BC5" w:rsidRPr="00992199" w:rsidRDefault="003F0BC5" w:rsidP="003F0BC5">
      <w:pPr>
        <w:autoSpaceDE w:val="0"/>
        <w:autoSpaceDN w:val="0"/>
        <w:adjustRightInd w:val="0"/>
        <w:rPr>
          <w:color w:val="000000"/>
          <w:szCs w:val="20"/>
        </w:rPr>
      </w:pPr>
      <w:r w:rsidRPr="00992199">
        <w:rPr>
          <w:color w:val="000000"/>
          <w:szCs w:val="20"/>
        </w:rPr>
        <w:t xml:space="preserve">In its latest full financial year, for </w:t>
      </w:r>
      <w:r w:rsidR="00470C99" w:rsidRPr="00992199">
        <w:rPr>
          <w:color w:val="000000"/>
          <w:szCs w:val="20"/>
        </w:rPr>
        <w:t xml:space="preserve">the </w:t>
      </w:r>
      <w:r w:rsidR="00470C99" w:rsidRPr="00470C99">
        <w:rPr>
          <w:color w:val="000000"/>
          <w:szCs w:val="20"/>
        </w:rPr>
        <w:t xml:space="preserve">financial year ended </w:t>
      </w:r>
      <w:r w:rsidRPr="00992199">
        <w:rPr>
          <w:color w:val="000000"/>
          <w:szCs w:val="20"/>
        </w:rPr>
        <w:t>30 September 2014, sales</w:t>
      </w:r>
      <w:r w:rsidRPr="00992199">
        <w:rPr>
          <w:b/>
          <w:i/>
          <w:color w:val="000000"/>
          <w:szCs w:val="20"/>
        </w:rPr>
        <w:t xml:space="preserve"> </w:t>
      </w:r>
      <w:r w:rsidRPr="00992199">
        <w:rPr>
          <w:color w:val="000000"/>
          <w:szCs w:val="20"/>
        </w:rPr>
        <w:t xml:space="preserve">increased with </w:t>
      </w:r>
      <w:r w:rsidR="00E53641">
        <w:rPr>
          <w:color w:val="000000"/>
          <w:szCs w:val="20"/>
        </w:rPr>
        <w:t>EUR </w:t>
      </w:r>
      <w:r w:rsidRPr="00992199">
        <w:rPr>
          <w:color w:val="000000"/>
          <w:szCs w:val="20"/>
        </w:rPr>
        <w:t xml:space="preserve">3,600,000 or 5.8% compared to </w:t>
      </w:r>
      <w:r w:rsidR="00470C99" w:rsidRPr="00992199">
        <w:rPr>
          <w:color w:val="000000"/>
          <w:szCs w:val="20"/>
        </w:rPr>
        <w:t xml:space="preserve">the </w:t>
      </w:r>
      <w:r w:rsidR="00470C99" w:rsidRPr="00470C99">
        <w:rPr>
          <w:color w:val="000000"/>
          <w:szCs w:val="20"/>
        </w:rPr>
        <w:t xml:space="preserve">financial year ended </w:t>
      </w:r>
      <w:r w:rsidRPr="00992199">
        <w:rPr>
          <w:color w:val="000000"/>
          <w:szCs w:val="20"/>
        </w:rPr>
        <w:t xml:space="preserve">30 September 2013. The </w:t>
      </w:r>
      <w:r w:rsidR="00E53641">
        <w:rPr>
          <w:color w:val="000000"/>
          <w:szCs w:val="20"/>
        </w:rPr>
        <w:t>EUR </w:t>
      </w:r>
      <w:r w:rsidRPr="00992199">
        <w:rPr>
          <w:color w:val="000000"/>
          <w:szCs w:val="20"/>
        </w:rPr>
        <w:t xml:space="preserve">3,6000,000 increase results from (i) an increase in sales on the Polish market of </w:t>
      </w:r>
      <w:r w:rsidR="00E53641">
        <w:rPr>
          <w:color w:val="000000"/>
          <w:szCs w:val="20"/>
        </w:rPr>
        <w:t>EUR </w:t>
      </w:r>
      <w:r w:rsidRPr="00992199">
        <w:rPr>
          <w:color w:val="000000"/>
          <w:szCs w:val="20"/>
        </w:rPr>
        <w:t xml:space="preserve">2,000,000 or 20%, (ii) an increase in sales in Belgium and France in the amount of </w:t>
      </w:r>
      <w:r w:rsidR="00E53641">
        <w:rPr>
          <w:color w:val="000000"/>
          <w:szCs w:val="20"/>
        </w:rPr>
        <w:t>EUR </w:t>
      </w:r>
      <w:r w:rsidRPr="00992199">
        <w:rPr>
          <w:color w:val="000000"/>
          <w:szCs w:val="20"/>
        </w:rPr>
        <w:t xml:space="preserve">1,000,000 or 2% (disregarding the impact of the Peatinvest Group ceasing to invoice Auchan for other suppliers of Auchan and paying such suppliers, increase of sales in Belgium and France amounted to </w:t>
      </w:r>
      <w:r w:rsidR="00E53641">
        <w:rPr>
          <w:color w:val="000000"/>
          <w:szCs w:val="20"/>
        </w:rPr>
        <w:t>EUR </w:t>
      </w:r>
      <w:r w:rsidR="00502FCF">
        <w:rPr>
          <w:color w:val="000000"/>
          <w:szCs w:val="20"/>
        </w:rPr>
        <w:t>2</w:t>
      </w:r>
      <w:r w:rsidRPr="00992199">
        <w:rPr>
          <w:color w:val="000000"/>
          <w:szCs w:val="20"/>
        </w:rPr>
        <w:t>,</w:t>
      </w:r>
      <w:r w:rsidR="00502FCF">
        <w:rPr>
          <w:color w:val="000000"/>
          <w:szCs w:val="20"/>
        </w:rPr>
        <w:t>5</w:t>
      </w:r>
      <w:r w:rsidRPr="00992199">
        <w:rPr>
          <w:color w:val="000000"/>
          <w:szCs w:val="20"/>
        </w:rPr>
        <w:t xml:space="preserve">00,000), and (iii) an increase in exports in more than 52 countries (outside of the Benelux, France, Latvia and Poland) in the amount of </w:t>
      </w:r>
      <w:r w:rsidR="00E53641">
        <w:rPr>
          <w:color w:val="000000"/>
          <w:szCs w:val="20"/>
        </w:rPr>
        <w:t>EUR </w:t>
      </w:r>
      <w:r w:rsidRPr="00992199">
        <w:rPr>
          <w:color w:val="000000"/>
          <w:szCs w:val="20"/>
        </w:rPr>
        <w:t>600,000 or 17%.</w:t>
      </w:r>
    </w:p>
    <w:tbl>
      <w:tblPr>
        <w:tblW w:w="5000" w:type="pct"/>
        <w:tblLook w:val="04A0" w:firstRow="1" w:lastRow="0" w:firstColumn="1" w:lastColumn="0" w:noHBand="0" w:noVBand="1"/>
      </w:tblPr>
      <w:tblGrid>
        <w:gridCol w:w="3264"/>
        <w:gridCol w:w="1241"/>
        <w:gridCol w:w="1241"/>
        <w:gridCol w:w="1145"/>
        <w:gridCol w:w="1145"/>
        <w:gridCol w:w="1209"/>
      </w:tblGrid>
      <w:tr w:rsidR="0034670F" w:rsidRPr="00E53641" w:rsidTr="00136CB7">
        <w:tc>
          <w:tcPr>
            <w:tcW w:w="1766" w:type="pct"/>
            <w:shd w:val="clear" w:color="auto" w:fill="auto"/>
            <w:vAlign w:val="bottom"/>
          </w:tcPr>
          <w:p w:rsidR="0034670F" w:rsidRPr="00E53641" w:rsidRDefault="0034670F" w:rsidP="00136CB7">
            <w:pPr>
              <w:autoSpaceDE w:val="0"/>
              <w:autoSpaceDN w:val="0"/>
              <w:adjustRightInd w:val="0"/>
              <w:spacing w:before="0" w:after="0"/>
              <w:rPr>
                <w:rFonts w:eastAsia="Calibri"/>
                <w:color w:val="000000"/>
                <w:sz w:val="18"/>
                <w:szCs w:val="18"/>
              </w:rPr>
            </w:pPr>
            <w:r w:rsidRPr="00E53641">
              <w:rPr>
                <w:bCs/>
                <w:i/>
                <w:sz w:val="18"/>
                <w:szCs w:val="18"/>
              </w:rPr>
              <w:t>(</w:t>
            </w:r>
            <w:r w:rsidR="00E53641" w:rsidRPr="00E53641">
              <w:rPr>
                <w:bCs/>
                <w:i/>
                <w:sz w:val="18"/>
                <w:szCs w:val="18"/>
              </w:rPr>
              <w:t>EUR </w:t>
            </w:r>
            <w:r w:rsidRPr="00E53641">
              <w:rPr>
                <w:bCs/>
                <w:i/>
                <w:sz w:val="18"/>
                <w:szCs w:val="18"/>
              </w:rPr>
              <w:t>in millions)</w:t>
            </w:r>
          </w:p>
        </w:tc>
        <w:tc>
          <w:tcPr>
            <w:tcW w:w="1342" w:type="pct"/>
            <w:gridSpan w:val="2"/>
            <w:shd w:val="clear" w:color="auto" w:fill="auto"/>
            <w:vAlign w:val="bottom"/>
          </w:tcPr>
          <w:p w:rsidR="0034670F" w:rsidRPr="00E53641" w:rsidRDefault="0034670F" w:rsidP="00136CB7">
            <w:pPr>
              <w:pBdr>
                <w:bottom w:val="single" w:sz="4" w:space="1" w:color="auto"/>
              </w:pBdr>
              <w:autoSpaceDE w:val="0"/>
              <w:autoSpaceDN w:val="0"/>
              <w:adjustRightInd w:val="0"/>
              <w:spacing w:before="0" w:after="0"/>
              <w:jc w:val="center"/>
              <w:rPr>
                <w:rFonts w:eastAsia="Calibri"/>
                <w:b/>
                <w:color w:val="000000"/>
                <w:sz w:val="18"/>
                <w:szCs w:val="18"/>
              </w:rPr>
            </w:pPr>
            <w:r w:rsidRPr="00E53641">
              <w:rPr>
                <w:rFonts w:eastAsia="Calibri"/>
                <w:b/>
                <w:color w:val="000000"/>
                <w:sz w:val="18"/>
                <w:szCs w:val="18"/>
              </w:rPr>
              <w:t>Year Ended 30 September</w:t>
            </w:r>
          </w:p>
        </w:tc>
        <w:tc>
          <w:tcPr>
            <w:tcW w:w="619" w:type="pct"/>
            <w:shd w:val="clear" w:color="auto" w:fill="auto"/>
            <w:vAlign w:val="bottom"/>
          </w:tcPr>
          <w:p w:rsidR="0034670F" w:rsidRPr="00E53641" w:rsidRDefault="0034670F" w:rsidP="00136CB7">
            <w:pPr>
              <w:pBdr>
                <w:bottom w:val="single" w:sz="4" w:space="1" w:color="auto"/>
              </w:pBdr>
              <w:autoSpaceDE w:val="0"/>
              <w:autoSpaceDN w:val="0"/>
              <w:adjustRightInd w:val="0"/>
              <w:spacing w:before="0" w:after="0"/>
              <w:jc w:val="center"/>
              <w:rPr>
                <w:rFonts w:eastAsia="Calibri"/>
                <w:b/>
                <w:color w:val="000000"/>
                <w:sz w:val="18"/>
                <w:szCs w:val="18"/>
              </w:rPr>
            </w:pPr>
            <w:r w:rsidRPr="00E53641">
              <w:rPr>
                <w:rFonts w:eastAsia="Calibri"/>
                <w:b/>
                <w:color w:val="000000"/>
                <w:sz w:val="18"/>
                <w:szCs w:val="18"/>
              </w:rPr>
              <w:t>%</w:t>
            </w:r>
          </w:p>
        </w:tc>
        <w:tc>
          <w:tcPr>
            <w:tcW w:w="1273" w:type="pct"/>
            <w:gridSpan w:val="2"/>
            <w:shd w:val="clear" w:color="auto" w:fill="auto"/>
            <w:vAlign w:val="bottom"/>
          </w:tcPr>
          <w:p w:rsidR="0034670F" w:rsidRPr="00E53641" w:rsidRDefault="0034670F" w:rsidP="00AF12F4">
            <w:pPr>
              <w:pBdr>
                <w:bottom w:val="single" w:sz="4" w:space="1" w:color="auto"/>
              </w:pBdr>
              <w:autoSpaceDE w:val="0"/>
              <w:autoSpaceDN w:val="0"/>
              <w:adjustRightInd w:val="0"/>
              <w:spacing w:before="0" w:after="0"/>
              <w:jc w:val="center"/>
              <w:rPr>
                <w:rFonts w:eastAsia="Calibri"/>
                <w:b/>
                <w:color w:val="000000"/>
                <w:sz w:val="18"/>
                <w:szCs w:val="18"/>
              </w:rPr>
            </w:pPr>
            <w:r w:rsidRPr="00E53641">
              <w:rPr>
                <w:rFonts w:eastAsia="Calibri"/>
                <w:b/>
                <w:color w:val="000000"/>
                <w:sz w:val="18"/>
                <w:szCs w:val="18"/>
              </w:rPr>
              <w:t xml:space="preserve">% of Total Sales Year Ended 30 </w:t>
            </w:r>
            <w:r w:rsidR="00AF12F4" w:rsidRPr="00E53641">
              <w:rPr>
                <w:rFonts w:eastAsia="Calibri"/>
                <w:b/>
                <w:color w:val="000000"/>
                <w:sz w:val="18"/>
                <w:szCs w:val="18"/>
              </w:rPr>
              <w:t>September</w:t>
            </w:r>
          </w:p>
        </w:tc>
      </w:tr>
      <w:tr w:rsidR="0034670F" w:rsidRPr="00E53641" w:rsidTr="00136CB7">
        <w:tc>
          <w:tcPr>
            <w:tcW w:w="1766" w:type="pct"/>
            <w:shd w:val="clear" w:color="auto" w:fill="auto"/>
          </w:tcPr>
          <w:p w:rsidR="0034670F" w:rsidRPr="00E53641" w:rsidRDefault="0034670F" w:rsidP="00136CB7">
            <w:pPr>
              <w:autoSpaceDE w:val="0"/>
              <w:autoSpaceDN w:val="0"/>
              <w:adjustRightInd w:val="0"/>
              <w:spacing w:before="0" w:after="0"/>
              <w:rPr>
                <w:rFonts w:eastAsia="Calibri"/>
                <w:color w:val="000000"/>
                <w:sz w:val="18"/>
                <w:szCs w:val="18"/>
              </w:rPr>
            </w:pPr>
          </w:p>
        </w:tc>
        <w:tc>
          <w:tcPr>
            <w:tcW w:w="671" w:type="pct"/>
            <w:tcBorders>
              <w:bottom w:val="single" w:sz="4" w:space="0" w:color="auto"/>
            </w:tcBorders>
            <w:shd w:val="clear" w:color="auto" w:fill="auto"/>
          </w:tcPr>
          <w:p w:rsidR="0034670F" w:rsidRPr="00E53641" w:rsidRDefault="0034670F" w:rsidP="00136CB7">
            <w:pPr>
              <w:autoSpaceDE w:val="0"/>
              <w:autoSpaceDN w:val="0"/>
              <w:adjustRightInd w:val="0"/>
              <w:spacing w:before="0" w:after="0"/>
              <w:jc w:val="center"/>
              <w:rPr>
                <w:rFonts w:eastAsia="Calibri"/>
                <w:color w:val="000000"/>
                <w:sz w:val="18"/>
                <w:szCs w:val="18"/>
              </w:rPr>
            </w:pPr>
            <w:r w:rsidRPr="00E53641">
              <w:rPr>
                <w:rFonts w:eastAsia="Calibri"/>
                <w:b/>
                <w:bCs/>
                <w:sz w:val="18"/>
                <w:szCs w:val="18"/>
              </w:rPr>
              <w:t>2014</w:t>
            </w:r>
          </w:p>
        </w:tc>
        <w:tc>
          <w:tcPr>
            <w:tcW w:w="671" w:type="pct"/>
            <w:tcBorders>
              <w:bottom w:val="single" w:sz="4" w:space="0" w:color="auto"/>
            </w:tcBorders>
            <w:shd w:val="clear" w:color="auto" w:fill="auto"/>
          </w:tcPr>
          <w:p w:rsidR="0034670F" w:rsidRPr="00E53641" w:rsidRDefault="0034670F" w:rsidP="00136CB7">
            <w:pPr>
              <w:autoSpaceDE w:val="0"/>
              <w:autoSpaceDN w:val="0"/>
              <w:adjustRightInd w:val="0"/>
              <w:spacing w:before="0" w:after="0"/>
              <w:jc w:val="center"/>
              <w:rPr>
                <w:rFonts w:eastAsia="Calibri"/>
                <w:color w:val="000000"/>
                <w:sz w:val="18"/>
                <w:szCs w:val="18"/>
              </w:rPr>
            </w:pPr>
            <w:r w:rsidRPr="00E53641">
              <w:rPr>
                <w:rFonts w:eastAsia="Calibri"/>
                <w:b/>
                <w:bCs/>
                <w:sz w:val="18"/>
                <w:szCs w:val="18"/>
              </w:rPr>
              <w:t>2013</w:t>
            </w:r>
          </w:p>
        </w:tc>
        <w:tc>
          <w:tcPr>
            <w:tcW w:w="619" w:type="pct"/>
            <w:tcBorders>
              <w:bottom w:val="single" w:sz="4" w:space="0" w:color="auto"/>
            </w:tcBorders>
            <w:shd w:val="clear" w:color="auto" w:fill="auto"/>
          </w:tcPr>
          <w:p w:rsidR="0034670F" w:rsidRPr="00E53641" w:rsidRDefault="0034670F" w:rsidP="00136CB7">
            <w:pPr>
              <w:autoSpaceDE w:val="0"/>
              <w:autoSpaceDN w:val="0"/>
              <w:adjustRightInd w:val="0"/>
              <w:spacing w:before="0" w:after="0"/>
              <w:jc w:val="center"/>
              <w:rPr>
                <w:rFonts w:eastAsia="Calibri"/>
                <w:color w:val="000000"/>
                <w:sz w:val="18"/>
                <w:szCs w:val="18"/>
              </w:rPr>
            </w:pPr>
            <w:r w:rsidRPr="00E53641">
              <w:rPr>
                <w:rFonts w:eastAsia="Calibri"/>
                <w:b/>
                <w:bCs/>
                <w:sz w:val="18"/>
                <w:szCs w:val="18"/>
              </w:rPr>
              <w:t>Change</w:t>
            </w:r>
          </w:p>
        </w:tc>
        <w:tc>
          <w:tcPr>
            <w:tcW w:w="619" w:type="pct"/>
            <w:tcBorders>
              <w:bottom w:val="single" w:sz="4" w:space="0" w:color="auto"/>
            </w:tcBorders>
            <w:shd w:val="clear" w:color="auto" w:fill="auto"/>
          </w:tcPr>
          <w:p w:rsidR="0034670F" w:rsidRPr="00E53641" w:rsidRDefault="0034670F" w:rsidP="00136CB7">
            <w:pPr>
              <w:autoSpaceDE w:val="0"/>
              <w:autoSpaceDN w:val="0"/>
              <w:adjustRightInd w:val="0"/>
              <w:spacing w:before="0" w:after="0"/>
              <w:jc w:val="center"/>
              <w:rPr>
                <w:rFonts w:eastAsia="Calibri"/>
                <w:color w:val="000000"/>
                <w:sz w:val="18"/>
                <w:szCs w:val="18"/>
              </w:rPr>
            </w:pPr>
            <w:r w:rsidRPr="00E53641">
              <w:rPr>
                <w:rFonts w:eastAsia="Calibri"/>
                <w:b/>
                <w:bCs/>
                <w:sz w:val="18"/>
                <w:szCs w:val="18"/>
              </w:rPr>
              <w:t>2013</w:t>
            </w:r>
          </w:p>
        </w:tc>
        <w:tc>
          <w:tcPr>
            <w:tcW w:w="654" w:type="pct"/>
            <w:tcBorders>
              <w:bottom w:val="single" w:sz="4" w:space="0" w:color="auto"/>
            </w:tcBorders>
            <w:shd w:val="clear" w:color="auto" w:fill="auto"/>
          </w:tcPr>
          <w:p w:rsidR="0034670F" w:rsidRPr="00E53641" w:rsidRDefault="0034670F" w:rsidP="00136CB7">
            <w:pPr>
              <w:autoSpaceDE w:val="0"/>
              <w:autoSpaceDN w:val="0"/>
              <w:adjustRightInd w:val="0"/>
              <w:spacing w:before="0" w:after="0"/>
              <w:jc w:val="center"/>
              <w:rPr>
                <w:rFonts w:eastAsia="Calibri"/>
                <w:color w:val="000000"/>
                <w:sz w:val="18"/>
                <w:szCs w:val="18"/>
              </w:rPr>
            </w:pPr>
            <w:r w:rsidRPr="00E53641">
              <w:rPr>
                <w:rFonts w:eastAsia="Calibri"/>
                <w:b/>
                <w:bCs/>
                <w:sz w:val="18"/>
                <w:szCs w:val="18"/>
              </w:rPr>
              <w:t>2014</w:t>
            </w:r>
          </w:p>
        </w:tc>
      </w:tr>
      <w:tr w:rsidR="0034670F" w:rsidRPr="00E53641" w:rsidTr="00136CB7">
        <w:tc>
          <w:tcPr>
            <w:tcW w:w="1766" w:type="pct"/>
            <w:shd w:val="clear" w:color="auto" w:fill="auto"/>
          </w:tcPr>
          <w:p w:rsidR="0034670F" w:rsidRPr="00E53641" w:rsidRDefault="0034670F" w:rsidP="00136CB7">
            <w:pPr>
              <w:tabs>
                <w:tab w:val="right" w:leader="dot" w:pos="2862"/>
              </w:tabs>
              <w:autoSpaceDE w:val="0"/>
              <w:autoSpaceDN w:val="0"/>
              <w:adjustRightInd w:val="0"/>
              <w:spacing w:before="0" w:after="0"/>
              <w:rPr>
                <w:rFonts w:eastAsia="Calibri"/>
                <w:color w:val="000000"/>
                <w:sz w:val="18"/>
                <w:szCs w:val="18"/>
              </w:rPr>
            </w:pPr>
            <w:smartTag w:uri="urn:schemas-microsoft-com:office:smarttags" w:element="country-region">
              <w:smartTag w:uri="urn:schemas-microsoft-com:office:smarttags" w:element="place">
                <w:r w:rsidRPr="00E53641">
                  <w:rPr>
                    <w:sz w:val="18"/>
                    <w:szCs w:val="18"/>
                  </w:rPr>
                  <w:lastRenderedPageBreak/>
                  <w:t>France</w:t>
                </w:r>
              </w:smartTag>
            </w:smartTag>
            <w:r w:rsidRPr="00E53641">
              <w:rPr>
                <w:sz w:val="18"/>
                <w:szCs w:val="18"/>
              </w:rPr>
              <w:tab/>
            </w:r>
          </w:p>
        </w:tc>
        <w:tc>
          <w:tcPr>
            <w:tcW w:w="671" w:type="pct"/>
            <w:tcBorders>
              <w:top w:val="single" w:sz="4" w:space="0" w:color="auto"/>
            </w:tcBorders>
            <w:shd w:val="clear" w:color="auto" w:fill="auto"/>
            <w:vAlign w:val="bottom"/>
          </w:tcPr>
          <w:p w:rsidR="0034670F" w:rsidRPr="00E53641" w:rsidRDefault="0034670F" w:rsidP="00136CB7">
            <w:pPr>
              <w:spacing w:before="0" w:after="0"/>
              <w:jc w:val="right"/>
              <w:rPr>
                <w:sz w:val="18"/>
                <w:szCs w:val="18"/>
              </w:rPr>
            </w:pPr>
            <w:r w:rsidRPr="00E53641">
              <w:rPr>
                <w:sz w:val="18"/>
                <w:szCs w:val="18"/>
              </w:rPr>
              <w:t>33.8</w:t>
            </w:r>
          </w:p>
        </w:tc>
        <w:tc>
          <w:tcPr>
            <w:tcW w:w="671" w:type="pct"/>
            <w:tcBorders>
              <w:top w:val="single" w:sz="4" w:space="0" w:color="auto"/>
            </w:tcBorders>
            <w:shd w:val="clear" w:color="auto" w:fill="auto"/>
            <w:vAlign w:val="bottom"/>
          </w:tcPr>
          <w:p w:rsidR="0034670F" w:rsidRPr="00E53641" w:rsidRDefault="0034670F" w:rsidP="00136CB7">
            <w:pPr>
              <w:spacing w:before="0" w:after="0"/>
              <w:jc w:val="right"/>
              <w:rPr>
                <w:sz w:val="18"/>
                <w:szCs w:val="18"/>
              </w:rPr>
            </w:pPr>
            <w:r w:rsidRPr="00E53641">
              <w:rPr>
                <w:sz w:val="18"/>
                <w:szCs w:val="18"/>
              </w:rPr>
              <w:t>33.6</w:t>
            </w:r>
          </w:p>
        </w:tc>
        <w:tc>
          <w:tcPr>
            <w:tcW w:w="619" w:type="pct"/>
            <w:tcBorders>
              <w:top w:val="single" w:sz="4" w:space="0" w:color="auto"/>
            </w:tcBorders>
            <w:shd w:val="clear" w:color="auto" w:fill="auto"/>
            <w:vAlign w:val="bottom"/>
          </w:tcPr>
          <w:p w:rsidR="0034670F" w:rsidRPr="00E53641" w:rsidRDefault="0034670F" w:rsidP="00136CB7">
            <w:pPr>
              <w:spacing w:before="0" w:after="0"/>
              <w:jc w:val="right"/>
              <w:rPr>
                <w:sz w:val="18"/>
                <w:szCs w:val="18"/>
              </w:rPr>
            </w:pPr>
            <w:r w:rsidRPr="00E53641">
              <w:rPr>
                <w:sz w:val="18"/>
                <w:szCs w:val="18"/>
              </w:rPr>
              <w:t>0,4%</w:t>
            </w:r>
          </w:p>
        </w:tc>
        <w:tc>
          <w:tcPr>
            <w:tcW w:w="619" w:type="pct"/>
            <w:tcBorders>
              <w:top w:val="single" w:sz="4" w:space="0" w:color="auto"/>
            </w:tcBorders>
            <w:shd w:val="clear" w:color="auto" w:fill="auto"/>
            <w:vAlign w:val="bottom"/>
          </w:tcPr>
          <w:p w:rsidR="0034670F" w:rsidRPr="00E53641" w:rsidRDefault="0034670F" w:rsidP="00136CB7">
            <w:pPr>
              <w:spacing w:before="0" w:after="0"/>
              <w:jc w:val="right"/>
              <w:rPr>
                <w:sz w:val="18"/>
                <w:szCs w:val="18"/>
              </w:rPr>
            </w:pPr>
            <w:r w:rsidRPr="00E53641">
              <w:rPr>
                <w:sz w:val="18"/>
                <w:szCs w:val="18"/>
              </w:rPr>
              <w:t>54,5%</w:t>
            </w:r>
          </w:p>
        </w:tc>
        <w:tc>
          <w:tcPr>
            <w:tcW w:w="654" w:type="pct"/>
            <w:tcBorders>
              <w:top w:val="single" w:sz="4" w:space="0" w:color="auto"/>
            </w:tcBorders>
            <w:shd w:val="clear" w:color="auto" w:fill="auto"/>
            <w:vAlign w:val="bottom"/>
          </w:tcPr>
          <w:p w:rsidR="0034670F" w:rsidRPr="00E53641" w:rsidRDefault="0034670F" w:rsidP="00136CB7">
            <w:pPr>
              <w:spacing w:before="0" w:after="0"/>
              <w:jc w:val="right"/>
              <w:rPr>
                <w:sz w:val="18"/>
                <w:szCs w:val="18"/>
              </w:rPr>
            </w:pPr>
            <w:r w:rsidRPr="00E53641">
              <w:rPr>
                <w:sz w:val="18"/>
                <w:szCs w:val="18"/>
              </w:rPr>
              <w:t>51,7%</w:t>
            </w:r>
          </w:p>
        </w:tc>
      </w:tr>
      <w:tr w:rsidR="0034670F" w:rsidRPr="00E53641" w:rsidTr="00136CB7">
        <w:tc>
          <w:tcPr>
            <w:tcW w:w="1766" w:type="pct"/>
            <w:shd w:val="clear" w:color="auto" w:fill="auto"/>
          </w:tcPr>
          <w:p w:rsidR="0034670F" w:rsidRPr="00E53641" w:rsidRDefault="0034670F" w:rsidP="00136CB7">
            <w:pPr>
              <w:tabs>
                <w:tab w:val="right" w:leader="dot" w:pos="2862"/>
              </w:tabs>
              <w:autoSpaceDE w:val="0"/>
              <w:autoSpaceDN w:val="0"/>
              <w:adjustRightInd w:val="0"/>
              <w:spacing w:before="0" w:after="0"/>
              <w:rPr>
                <w:rFonts w:eastAsia="Calibri"/>
                <w:color w:val="000000"/>
                <w:sz w:val="18"/>
                <w:szCs w:val="18"/>
              </w:rPr>
            </w:pPr>
            <w:smartTag w:uri="urn:schemas-microsoft-com:office:smarttags" w:element="place">
              <w:r w:rsidRPr="00E53641">
                <w:rPr>
                  <w:sz w:val="18"/>
                  <w:szCs w:val="18"/>
                </w:rPr>
                <w:t>Benelux</w:t>
              </w:r>
            </w:smartTag>
            <w:r w:rsidRPr="00E53641">
              <w:rPr>
                <w:sz w:val="18"/>
                <w:szCs w:val="18"/>
              </w:rPr>
              <w:tab/>
            </w:r>
          </w:p>
        </w:tc>
        <w:tc>
          <w:tcPr>
            <w:tcW w:w="671" w:type="pct"/>
            <w:shd w:val="clear" w:color="auto" w:fill="auto"/>
            <w:vAlign w:val="bottom"/>
          </w:tcPr>
          <w:p w:rsidR="0034670F" w:rsidRPr="00E53641" w:rsidRDefault="0034670F" w:rsidP="00136CB7">
            <w:pPr>
              <w:spacing w:before="0" w:after="0"/>
              <w:jc w:val="right"/>
              <w:rPr>
                <w:sz w:val="18"/>
                <w:szCs w:val="18"/>
              </w:rPr>
            </w:pPr>
            <w:r w:rsidRPr="00E53641">
              <w:rPr>
                <w:sz w:val="18"/>
                <w:szCs w:val="18"/>
              </w:rPr>
              <w:t>15.3</w:t>
            </w:r>
          </w:p>
        </w:tc>
        <w:tc>
          <w:tcPr>
            <w:tcW w:w="671" w:type="pct"/>
            <w:shd w:val="clear" w:color="auto" w:fill="auto"/>
            <w:vAlign w:val="bottom"/>
          </w:tcPr>
          <w:p w:rsidR="0034670F" w:rsidRPr="00E53641" w:rsidRDefault="0034670F" w:rsidP="00136CB7">
            <w:pPr>
              <w:spacing w:before="0" w:after="0"/>
              <w:jc w:val="right"/>
              <w:rPr>
                <w:sz w:val="18"/>
                <w:szCs w:val="18"/>
              </w:rPr>
            </w:pPr>
            <w:r w:rsidRPr="00E53641">
              <w:rPr>
                <w:sz w:val="18"/>
                <w:szCs w:val="18"/>
              </w:rPr>
              <w:t>14.3</w:t>
            </w:r>
          </w:p>
        </w:tc>
        <w:tc>
          <w:tcPr>
            <w:tcW w:w="619" w:type="pct"/>
            <w:shd w:val="clear" w:color="auto" w:fill="auto"/>
            <w:vAlign w:val="bottom"/>
          </w:tcPr>
          <w:p w:rsidR="0034670F" w:rsidRPr="00E53641" w:rsidRDefault="0034670F" w:rsidP="00136CB7">
            <w:pPr>
              <w:tabs>
                <w:tab w:val="right" w:pos="800"/>
                <w:tab w:val="decimal" w:pos="840"/>
              </w:tabs>
              <w:spacing w:before="0" w:after="0"/>
              <w:jc w:val="right"/>
              <w:rPr>
                <w:sz w:val="18"/>
                <w:szCs w:val="18"/>
              </w:rPr>
            </w:pPr>
            <w:r w:rsidRPr="00E53641">
              <w:rPr>
                <w:sz w:val="18"/>
                <w:szCs w:val="18"/>
              </w:rPr>
              <w:t>7,1%</w:t>
            </w:r>
          </w:p>
        </w:tc>
        <w:tc>
          <w:tcPr>
            <w:tcW w:w="619" w:type="pct"/>
            <w:shd w:val="clear" w:color="auto" w:fill="auto"/>
            <w:vAlign w:val="bottom"/>
          </w:tcPr>
          <w:p w:rsidR="0034670F" w:rsidRPr="00E53641" w:rsidRDefault="0034670F" w:rsidP="00136CB7">
            <w:pPr>
              <w:tabs>
                <w:tab w:val="right" w:pos="740"/>
                <w:tab w:val="decimal" w:pos="780"/>
              </w:tabs>
              <w:spacing w:before="0" w:after="0"/>
              <w:jc w:val="right"/>
              <w:rPr>
                <w:sz w:val="18"/>
                <w:szCs w:val="18"/>
              </w:rPr>
            </w:pPr>
            <w:r w:rsidRPr="00E53641">
              <w:rPr>
                <w:sz w:val="18"/>
                <w:szCs w:val="18"/>
              </w:rPr>
              <w:t>23,2%</w:t>
            </w:r>
          </w:p>
        </w:tc>
        <w:tc>
          <w:tcPr>
            <w:tcW w:w="654" w:type="pct"/>
            <w:shd w:val="clear" w:color="auto" w:fill="auto"/>
            <w:vAlign w:val="bottom"/>
          </w:tcPr>
          <w:p w:rsidR="0034670F" w:rsidRPr="00E53641" w:rsidRDefault="0034670F" w:rsidP="00136CB7">
            <w:pPr>
              <w:spacing w:before="0" w:after="0"/>
              <w:jc w:val="right"/>
              <w:rPr>
                <w:sz w:val="18"/>
                <w:szCs w:val="18"/>
              </w:rPr>
            </w:pPr>
            <w:r w:rsidRPr="00E53641">
              <w:rPr>
                <w:sz w:val="18"/>
                <w:szCs w:val="18"/>
              </w:rPr>
              <w:t>23,5%</w:t>
            </w:r>
          </w:p>
        </w:tc>
      </w:tr>
      <w:tr w:rsidR="0034670F" w:rsidRPr="00E53641" w:rsidTr="00136CB7">
        <w:tc>
          <w:tcPr>
            <w:tcW w:w="1766" w:type="pct"/>
            <w:shd w:val="clear" w:color="auto" w:fill="auto"/>
          </w:tcPr>
          <w:p w:rsidR="0034670F" w:rsidRPr="00E53641" w:rsidRDefault="0034670F" w:rsidP="00136CB7">
            <w:pPr>
              <w:tabs>
                <w:tab w:val="right" w:leader="dot" w:pos="2862"/>
              </w:tabs>
              <w:autoSpaceDE w:val="0"/>
              <w:autoSpaceDN w:val="0"/>
              <w:adjustRightInd w:val="0"/>
              <w:spacing w:before="0" w:after="0"/>
              <w:rPr>
                <w:rFonts w:eastAsia="Calibri"/>
                <w:color w:val="000000"/>
                <w:sz w:val="18"/>
                <w:szCs w:val="18"/>
              </w:rPr>
            </w:pPr>
            <w:smartTag w:uri="urn:schemas-microsoft-com:office:smarttags" w:element="country-region">
              <w:smartTag w:uri="urn:schemas-microsoft-com:office:smarttags" w:element="place">
                <w:r w:rsidRPr="00E53641">
                  <w:rPr>
                    <w:sz w:val="18"/>
                    <w:szCs w:val="18"/>
                  </w:rPr>
                  <w:t>Poland</w:t>
                </w:r>
              </w:smartTag>
            </w:smartTag>
            <w:r w:rsidRPr="00E53641">
              <w:rPr>
                <w:sz w:val="18"/>
                <w:szCs w:val="18"/>
              </w:rPr>
              <w:tab/>
            </w:r>
          </w:p>
        </w:tc>
        <w:tc>
          <w:tcPr>
            <w:tcW w:w="671" w:type="pct"/>
            <w:shd w:val="clear" w:color="auto" w:fill="auto"/>
            <w:vAlign w:val="bottom"/>
          </w:tcPr>
          <w:p w:rsidR="0034670F" w:rsidRPr="00E53641" w:rsidRDefault="0034670F" w:rsidP="00136CB7">
            <w:pPr>
              <w:spacing w:before="0" w:after="0"/>
              <w:jc w:val="right"/>
              <w:rPr>
                <w:sz w:val="18"/>
                <w:szCs w:val="18"/>
              </w:rPr>
            </w:pPr>
            <w:r w:rsidRPr="00E53641">
              <w:rPr>
                <w:sz w:val="18"/>
                <w:szCs w:val="18"/>
              </w:rPr>
              <w:t>12.2</w:t>
            </w:r>
          </w:p>
        </w:tc>
        <w:tc>
          <w:tcPr>
            <w:tcW w:w="671" w:type="pct"/>
            <w:shd w:val="clear" w:color="auto" w:fill="auto"/>
            <w:vAlign w:val="bottom"/>
          </w:tcPr>
          <w:p w:rsidR="0034670F" w:rsidRPr="00E53641" w:rsidRDefault="0034670F" w:rsidP="00136CB7">
            <w:pPr>
              <w:spacing w:before="0" w:after="0"/>
              <w:jc w:val="right"/>
              <w:rPr>
                <w:sz w:val="18"/>
                <w:szCs w:val="18"/>
              </w:rPr>
            </w:pPr>
            <w:r w:rsidRPr="00E53641">
              <w:rPr>
                <w:sz w:val="18"/>
                <w:szCs w:val="18"/>
              </w:rPr>
              <w:t>10.1</w:t>
            </w:r>
          </w:p>
        </w:tc>
        <w:tc>
          <w:tcPr>
            <w:tcW w:w="619" w:type="pct"/>
            <w:shd w:val="clear" w:color="auto" w:fill="auto"/>
            <w:vAlign w:val="bottom"/>
          </w:tcPr>
          <w:p w:rsidR="0034670F" w:rsidRPr="00E53641" w:rsidRDefault="0034670F" w:rsidP="00136CB7">
            <w:pPr>
              <w:tabs>
                <w:tab w:val="right" w:pos="800"/>
                <w:tab w:val="decimal" w:pos="840"/>
              </w:tabs>
              <w:spacing w:before="0" w:after="0"/>
              <w:jc w:val="right"/>
              <w:rPr>
                <w:sz w:val="18"/>
                <w:szCs w:val="18"/>
              </w:rPr>
            </w:pPr>
            <w:r w:rsidRPr="00E53641">
              <w:rPr>
                <w:sz w:val="18"/>
                <w:szCs w:val="18"/>
              </w:rPr>
              <w:t>20,1%</w:t>
            </w:r>
          </w:p>
        </w:tc>
        <w:tc>
          <w:tcPr>
            <w:tcW w:w="619" w:type="pct"/>
            <w:shd w:val="clear" w:color="auto" w:fill="auto"/>
            <w:vAlign w:val="bottom"/>
          </w:tcPr>
          <w:p w:rsidR="0034670F" w:rsidRPr="00E53641" w:rsidRDefault="0034670F" w:rsidP="00136CB7">
            <w:pPr>
              <w:spacing w:before="0" w:after="0"/>
              <w:jc w:val="right"/>
              <w:rPr>
                <w:sz w:val="18"/>
                <w:szCs w:val="18"/>
              </w:rPr>
            </w:pPr>
            <w:r w:rsidRPr="00E53641">
              <w:rPr>
                <w:sz w:val="18"/>
                <w:szCs w:val="18"/>
              </w:rPr>
              <w:t>16,4%</w:t>
            </w:r>
          </w:p>
        </w:tc>
        <w:tc>
          <w:tcPr>
            <w:tcW w:w="654" w:type="pct"/>
            <w:shd w:val="clear" w:color="auto" w:fill="auto"/>
            <w:vAlign w:val="bottom"/>
          </w:tcPr>
          <w:p w:rsidR="0034670F" w:rsidRPr="00E53641" w:rsidRDefault="0034670F" w:rsidP="00136CB7">
            <w:pPr>
              <w:spacing w:before="0" w:after="0"/>
              <w:jc w:val="right"/>
              <w:rPr>
                <w:sz w:val="18"/>
                <w:szCs w:val="18"/>
              </w:rPr>
            </w:pPr>
            <w:r w:rsidRPr="00E53641">
              <w:rPr>
                <w:sz w:val="18"/>
                <w:szCs w:val="18"/>
              </w:rPr>
              <w:t>18,7%</w:t>
            </w:r>
          </w:p>
        </w:tc>
      </w:tr>
      <w:tr w:rsidR="0034670F" w:rsidRPr="00E53641" w:rsidTr="00136CB7">
        <w:tc>
          <w:tcPr>
            <w:tcW w:w="1766" w:type="pct"/>
            <w:shd w:val="clear" w:color="auto" w:fill="auto"/>
          </w:tcPr>
          <w:p w:rsidR="0034670F" w:rsidRPr="00E53641" w:rsidRDefault="0034670F" w:rsidP="00136CB7">
            <w:pPr>
              <w:tabs>
                <w:tab w:val="right" w:leader="dot" w:pos="2862"/>
              </w:tabs>
              <w:autoSpaceDE w:val="0"/>
              <w:autoSpaceDN w:val="0"/>
              <w:adjustRightInd w:val="0"/>
              <w:spacing w:before="0" w:after="0"/>
              <w:rPr>
                <w:rFonts w:eastAsia="Calibri"/>
                <w:color w:val="000000"/>
                <w:sz w:val="18"/>
                <w:szCs w:val="18"/>
              </w:rPr>
            </w:pPr>
            <w:r w:rsidRPr="00E53641">
              <w:rPr>
                <w:sz w:val="18"/>
                <w:szCs w:val="18"/>
              </w:rPr>
              <w:t>Other</w:t>
            </w:r>
            <w:r w:rsidRPr="00E53641">
              <w:rPr>
                <w:sz w:val="18"/>
                <w:szCs w:val="18"/>
              </w:rPr>
              <w:tab/>
            </w:r>
          </w:p>
        </w:tc>
        <w:tc>
          <w:tcPr>
            <w:tcW w:w="671" w:type="pct"/>
            <w:shd w:val="clear" w:color="auto" w:fill="auto"/>
            <w:vAlign w:val="bottom"/>
          </w:tcPr>
          <w:p w:rsidR="0034670F" w:rsidRPr="00E53641" w:rsidRDefault="0034670F" w:rsidP="00136CB7">
            <w:pPr>
              <w:pBdr>
                <w:bottom w:val="single" w:sz="4" w:space="1" w:color="auto"/>
              </w:pBdr>
              <w:spacing w:before="0" w:after="0"/>
              <w:jc w:val="right"/>
              <w:rPr>
                <w:sz w:val="18"/>
                <w:szCs w:val="18"/>
              </w:rPr>
            </w:pPr>
            <w:r w:rsidRPr="00E53641">
              <w:rPr>
                <w:sz w:val="18"/>
                <w:szCs w:val="18"/>
              </w:rPr>
              <w:t>4.0</w:t>
            </w:r>
          </w:p>
        </w:tc>
        <w:tc>
          <w:tcPr>
            <w:tcW w:w="671" w:type="pct"/>
            <w:shd w:val="clear" w:color="auto" w:fill="auto"/>
            <w:vAlign w:val="bottom"/>
          </w:tcPr>
          <w:p w:rsidR="0034670F" w:rsidRPr="00E53641" w:rsidRDefault="0034670F" w:rsidP="00136CB7">
            <w:pPr>
              <w:pBdr>
                <w:bottom w:val="single" w:sz="4" w:space="1" w:color="auto"/>
              </w:pBdr>
              <w:spacing w:before="0" w:after="0"/>
              <w:jc w:val="right"/>
              <w:rPr>
                <w:sz w:val="18"/>
                <w:szCs w:val="18"/>
              </w:rPr>
            </w:pPr>
            <w:r w:rsidRPr="00E53641">
              <w:rPr>
                <w:sz w:val="18"/>
                <w:szCs w:val="18"/>
              </w:rPr>
              <w:t>3.6</w:t>
            </w:r>
          </w:p>
        </w:tc>
        <w:tc>
          <w:tcPr>
            <w:tcW w:w="619" w:type="pct"/>
            <w:shd w:val="clear" w:color="auto" w:fill="auto"/>
            <w:vAlign w:val="bottom"/>
          </w:tcPr>
          <w:p w:rsidR="0034670F" w:rsidRPr="00E53641" w:rsidRDefault="0034670F" w:rsidP="00136CB7">
            <w:pPr>
              <w:pBdr>
                <w:bottom w:val="single" w:sz="4" w:space="1" w:color="auto"/>
              </w:pBdr>
              <w:tabs>
                <w:tab w:val="right" w:pos="800"/>
                <w:tab w:val="decimal" w:pos="840"/>
              </w:tabs>
              <w:spacing w:before="0" w:after="0"/>
              <w:jc w:val="right"/>
              <w:rPr>
                <w:sz w:val="18"/>
                <w:szCs w:val="18"/>
              </w:rPr>
            </w:pPr>
            <w:r w:rsidRPr="00E53641">
              <w:rPr>
                <w:sz w:val="18"/>
                <w:szCs w:val="18"/>
              </w:rPr>
              <w:t>10,0%</w:t>
            </w:r>
          </w:p>
        </w:tc>
        <w:tc>
          <w:tcPr>
            <w:tcW w:w="619" w:type="pct"/>
            <w:shd w:val="clear" w:color="auto" w:fill="auto"/>
            <w:vAlign w:val="bottom"/>
          </w:tcPr>
          <w:p w:rsidR="0034670F" w:rsidRPr="00E53641" w:rsidRDefault="0034670F" w:rsidP="00136CB7">
            <w:pPr>
              <w:pBdr>
                <w:bottom w:val="single" w:sz="4" w:space="1" w:color="auto"/>
              </w:pBdr>
              <w:tabs>
                <w:tab w:val="right" w:pos="740"/>
                <w:tab w:val="decimal" w:pos="780"/>
              </w:tabs>
              <w:spacing w:before="0" w:after="0"/>
              <w:jc w:val="right"/>
              <w:rPr>
                <w:sz w:val="18"/>
                <w:szCs w:val="18"/>
              </w:rPr>
            </w:pPr>
            <w:r w:rsidRPr="00E53641">
              <w:rPr>
                <w:sz w:val="18"/>
                <w:szCs w:val="18"/>
              </w:rPr>
              <w:t>5,9%</w:t>
            </w:r>
          </w:p>
        </w:tc>
        <w:tc>
          <w:tcPr>
            <w:tcW w:w="654" w:type="pct"/>
            <w:shd w:val="clear" w:color="auto" w:fill="auto"/>
            <w:vAlign w:val="bottom"/>
          </w:tcPr>
          <w:p w:rsidR="0034670F" w:rsidRPr="00E53641" w:rsidRDefault="0034670F" w:rsidP="00136CB7">
            <w:pPr>
              <w:pBdr>
                <w:bottom w:val="single" w:sz="4" w:space="1" w:color="auto"/>
              </w:pBdr>
              <w:spacing w:before="0" w:after="0"/>
              <w:jc w:val="right"/>
              <w:rPr>
                <w:sz w:val="18"/>
                <w:szCs w:val="18"/>
              </w:rPr>
            </w:pPr>
            <w:r w:rsidRPr="00E53641">
              <w:rPr>
                <w:sz w:val="18"/>
                <w:szCs w:val="18"/>
              </w:rPr>
              <w:t>6,1%</w:t>
            </w:r>
          </w:p>
        </w:tc>
      </w:tr>
      <w:tr w:rsidR="0034670F" w:rsidRPr="000D3D24" w:rsidTr="00136CB7">
        <w:tc>
          <w:tcPr>
            <w:tcW w:w="1766" w:type="pct"/>
            <w:shd w:val="clear" w:color="auto" w:fill="auto"/>
          </w:tcPr>
          <w:p w:rsidR="0034670F" w:rsidRPr="00E53641" w:rsidRDefault="0034670F" w:rsidP="00136CB7">
            <w:pPr>
              <w:tabs>
                <w:tab w:val="right" w:leader="dot" w:pos="2862"/>
              </w:tabs>
              <w:autoSpaceDE w:val="0"/>
              <w:autoSpaceDN w:val="0"/>
              <w:adjustRightInd w:val="0"/>
              <w:spacing w:before="0" w:after="40"/>
              <w:rPr>
                <w:rFonts w:eastAsia="Calibri"/>
                <w:color w:val="000000"/>
                <w:sz w:val="18"/>
                <w:szCs w:val="18"/>
              </w:rPr>
            </w:pPr>
            <w:r w:rsidRPr="00E53641">
              <w:rPr>
                <w:b/>
                <w:bCs/>
                <w:sz w:val="18"/>
                <w:szCs w:val="18"/>
              </w:rPr>
              <w:t>Sales</w:t>
            </w:r>
            <w:r w:rsidRPr="00E53641">
              <w:rPr>
                <w:bCs/>
                <w:sz w:val="18"/>
                <w:szCs w:val="18"/>
              </w:rPr>
              <w:tab/>
            </w:r>
          </w:p>
        </w:tc>
        <w:tc>
          <w:tcPr>
            <w:tcW w:w="671" w:type="pct"/>
            <w:shd w:val="clear" w:color="auto" w:fill="auto"/>
            <w:vAlign w:val="bottom"/>
          </w:tcPr>
          <w:p w:rsidR="0034670F" w:rsidRPr="00E53641" w:rsidRDefault="0034670F" w:rsidP="00136CB7">
            <w:pPr>
              <w:pBdr>
                <w:bottom w:val="double" w:sz="4" w:space="1" w:color="auto"/>
              </w:pBdr>
              <w:spacing w:before="0" w:after="40"/>
              <w:jc w:val="right"/>
              <w:rPr>
                <w:sz w:val="18"/>
                <w:szCs w:val="18"/>
              </w:rPr>
            </w:pPr>
            <w:r w:rsidRPr="00E53641">
              <w:rPr>
                <w:b/>
                <w:bCs/>
                <w:sz w:val="18"/>
                <w:szCs w:val="18"/>
              </w:rPr>
              <w:t>65.2</w:t>
            </w:r>
          </w:p>
        </w:tc>
        <w:tc>
          <w:tcPr>
            <w:tcW w:w="671" w:type="pct"/>
            <w:shd w:val="clear" w:color="auto" w:fill="auto"/>
            <w:vAlign w:val="bottom"/>
          </w:tcPr>
          <w:p w:rsidR="0034670F" w:rsidRPr="00E53641" w:rsidRDefault="0034670F" w:rsidP="00136CB7">
            <w:pPr>
              <w:pBdr>
                <w:bottom w:val="double" w:sz="4" w:space="1" w:color="auto"/>
              </w:pBdr>
              <w:spacing w:before="0" w:after="40"/>
              <w:jc w:val="right"/>
              <w:rPr>
                <w:sz w:val="18"/>
                <w:szCs w:val="18"/>
              </w:rPr>
            </w:pPr>
            <w:r w:rsidRPr="00E53641">
              <w:rPr>
                <w:b/>
                <w:bCs/>
                <w:sz w:val="18"/>
                <w:szCs w:val="18"/>
              </w:rPr>
              <w:t>61.7</w:t>
            </w:r>
          </w:p>
        </w:tc>
        <w:tc>
          <w:tcPr>
            <w:tcW w:w="619" w:type="pct"/>
            <w:shd w:val="clear" w:color="auto" w:fill="auto"/>
            <w:vAlign w:val="bottom"/>
          </w:tcPr>
          <w:p w:rsidR="0034670F" w:rsidRPr="00E53641" w:rsidRDefault="0034670F" w:rsidP="00136CB7">
            <w:pPr>
              <w:pBdr>
                <w:bottom w:val="double" w:sz="4" w:space="1" w:color="auto"/>
              </w:pBdr>
              <w:tabs>
                <w:tab w:val="right" w:pos="800"/>
                <w:tab w:val="decimal" w:pos="840"/>
              </w:tabs>
              <w:spacing w:before="0" w:after="40"/>
              <w:jc w:val="right"/>
              <w:rPr>
                <w:sz w:val="18"/>
                <w:szCs w:val="18"/>
              </w:rPr>
            </w:pPr>
            <w:r w:rsidRPr="00E53641">
              <w:rPr>
                <w:b/>
                <w:bCs/>
                <w:sz w:val="18"/>
                <w:szCs w:val="18"/>
              </w:rPr>
              <w:t>5,8%</w:t>
            </w:r>
          </w:p>
        </w:tc>
        <w:tc>
          <w:tcPr>
            <w:tcW w:w="619" w:type="pct"/>
            <w:shd w:val="clear" w:color="auto" w:fill="auto"/>
            <w:vAlign w:val="bottom"/>
          </w:tcPr>
          <w:p w:rsidR="0034670F" w:rsidRPr="00E53641" w:rsidRDefault="0034670F" w:rsidP="00136CB7">
            <w:pPr>
              <w:pBdr>
                <w:bottom w:val="double" w:sz="4" w:space="1" w:color="auto"/>
              </w:pBdr>
              <w:tabs>
                <w:tab w:val="right" w:pos="740"/>
                <w:tab w:val="decimal" w:pos="780"/>
              </w:tabs>
              <w:spacing w:before="0" w:after="40"/>
              <w:jc w:val="right"/>
              <w:rPr>
                <w:sz w:val="18"/>
                <w:szCs w:val="18"/>
              </w:rPr>
            </w:pPr>
            <w:r w:rsidRPr="00E53641">
              <w:rPr>
                <w:b/>
                <w:bCs/>
                <w:sz w:val="18"/>
                <w:szCs w:val="18"/>
              </w:rPr>
              <w:t>100%</w:t>
            </w:r>
          </w:p>
        </w:tc>
        <w:tc>
          <w:tcPr>
            <w:tcW w:w="654" w:type="pct"/>
            <w:shd w:val="clear" w:color="auto" w:fill="auto"/>
            <w:vAlign w:val="bottom"/>
          </w:tcPr>
          <w:p w:rsidR="0034670F" w:rsidRPr="000D3D24" w:rsidRDefault="0034670F" w:rsidP="00136CB7">
            <w:pPr>
              <w:pBdr>
                <w:bottom w:val="double" w:sz="4" w:space="1" w:color="auto"/>
              </w:pBdr>
              <w:spacing w:before="0" w:after="40"/>
              <w:jc w:val="right"/>
              <w:rPr>
                <w:sz w:val="18"/>
                <w:szCs w:val="18"/>
              </w:rPr>
            </w:pPr>
            <w:r w:rsidRPr="00E53641">
              <w:rPr>
                <w:b/>
                <w:bCs/>
                <w:sz w:val="18"/>
                <w:szCs w:val="18"/>
              </w:rPr>
              <w:t>100%</w:t>
            </w:r>
          </w:p>
        </w:tc>
      </w:tr>
    </w:tbl>
    <w:p w:rsidR="003F0BC5" w:rsidRPr="00992199" w:rsidRDefault="003F0BC5" w:rsidP="003F0BC5">
      <w:pPr>
        <w:autoSpaceDE w:val="0"/>
        <w:autoSpaceDN w:val="0"/>
        <w:adjustRightInd w:val="0"/>
        <w:rPr>
          <w:color w:val="000000"/>
          <w:szCs w:val="20"/>
        </w:rPr>
      </w:pPr>
      <w:r w:rsidRPr="00992199">
        <w:rPr>
          <w:color w:val="000000"/>
          <w:szCs w:val="20"/>
        </w:rPr>
        <w:t>Sales in all European and export markets were further stimulated by beneficial weather conditions in early spring 2014 compared to the previous year. Weather had an adverse impact on sales, however, in the subsequent period April 2014 to August 2014 compared to the previous year.</w:t>
      </w:r>
    </w:p>
    <w:p w:rsidR="003F0BC5" w:rsidRPr="00992199" w:rsidRDefault="003F0BC5" w:rsidP="003F0BC5">
      <w:pPr>
        <w:autoSpaceDE w:val="0"/>
        <w:autoSpaceDN w:val="0"/>
        <w:adjustRightInd w:val="0"/>
        <w:rPr>
          <w:color w:val="000000"/>
          <w:szCs w:val="20"/>
        </w:rPr>
      </w:pPr>
      <w:r w:rsidRPr="00992199">
        <w:rPr>
          <w:color w:val="000000"/>
          <w:szCs w:val="20"/>
        </w:rPr>
        <w:t xml:space="preserve">An important increase in the sales of mulches was observed in all home markets, such as an increase of 21% in </w:t>
      </w:r>
      <w:smartTag w:uri="urn:schemas-microsoft-com:office:smarttags" w:element="country-region">
        <w:r w:rsidRPr="00992199">
          <w:rPr>
            <w:color w:val="000000"/>
            <w:szCs w:val="20"/>
          </w:rPr>
          <w:t>Belgium</w:t>
        </w:r>
      </w:smartTag>
      <w:r w:rsidRPr="00992199">
        <w:rPr>
          <w:color w:val="000000"/>
          <w:szCs w:val="20"/>
        </w:rPr>
        <w:t xml:space="preserve"> and 28% in </w:t>
      </w:r>
      <w:smartTag w:uri="urn:schemas-microsoft-com:office:smarttags" w:element="country-region">
        <w:smartTag w:uri="urn:schemas-microsoft-com:office:smarttags" w:element="place">
          <w:r w:rsidRPr="00992199">
            <w:rPr>
              <w:color w:val="000000"/>
              <w:szCs w:val="20"/>
            </w:rPr>
            <w:t>France</w:t>
          </w:r>
        </w:smartTag>
      </w:smartTag>
      <w:r w:rsidRPr="00992199">
        <w:rPr>
          <w:color w:val="000000"/>
          <w:szCs w:val="20"/>
        </w:rPr>
        <w:t>.</w:t>
      </w:r>
      <w:r w:rsidRPr="00992199">
        <w:rPr>
          <w:b/>
          <w:i/>
          <w:color w:val="000000"/>
          <w:szCs w:val="20"/>
        </w:rPr>
        <w:t xml:space="preserve"> </w:t>
      </w:r>
      <w:r w:rsidRPr="00992199">
        <w:rPr>
          <w:color w:val="000000"/>
          <w:szCs w:val="20"/>
        </w:rPr>
        <w:t>This is due to a further increased offer and broadened product range after the integration of Norland in the Peatinvest group (acquisition closed in December 2012) and a general tendency towards replacement of the use of herbicides by the use of mulches (see Section 3.2</w:t>
      </w:r>
      <w:r w:rsidR="00DC6C49">
        <w:rPr>
          <w:color w:val="000000"/>
          <w:szCs w:val="20"/>
        </w:rPr>
        <w:t>.5.2</w:t>
      </w:r>
      <w:r w:rsidRPr="00992199">
        <w:rPr>
          <w:color w:val="000000"/>
          <w:szCs w:val="20"/>
        </w:rPr>
        <w:t xml:space="preserve"> above).</w:t>
      </w:r>
    </w:p>
    <w:p w:rsidR="0039015B" w:rsidRDefault="0039015B" w:rsidP="00353B80">
      <w:pPr>
        <w:pStyle w:val="Firm5L3"/>
        <w:keepNext/>
      </w:pPr>
      <w:r>
        <w:t>Costs</w:t>
      </w:r>
    </w:p>
    <w:p w:rsidR="003F0BC5" w:rsidRPr="00992199" w:rsidRDefault="003F0BC5" w:rsidP="00353B80">
      <w:pPr>
        <w:pStyle w:val="Firm5L4"/>
        <w:keepNext/>
      </w:pPr>
      <w:r w:rsidRPr="00992199">
        <w:t xml:space="preserve">Costs of </w:t>
      </w:r>
      <w:r w:rsidR="0039015B">
        <w:t>sales</w:t>
      </w:r>
    </w:p>
    <w:p w:rsidR="003F0BC5" w:rsidRPr="00992199" w:rsidRDefault="003F0BC5" w:rsidP="003F0BC5">
      <w:pPr>
        <w:autoSpaceDE w:val="0"/>
        <w:autoSpaceDN w:val="0"/>
        <w:adjustRightInd w:val="0"/>
        <w:rPr>
          <w:color w:val="000000"/>
          <w:szCs w:val="20"/>
        </w:rPr>
      </w:pPr>
      <w:r w:rsidRPr="00992199">
        <w:rPr>
          <w:color w:val="000000"/>
          <w:szCs w:val="20"/>
        </w:rPr>
        <w:t>The financial year under review saw a decrease of costs of goods sold from 44.5% to 42.5% of sales on a consolidated basis.</w:t>
      </w:r>
    </w:p>
    <w:p w:rsidR="003F0BC5" w:rsidRPr="00992199" w:rsidRDefault="003F0BC5" w:rsidP="003F0BC5">
      <w:pPr>
        <w:autoSpaceDE w:val="0"/>
        <w:autoSpaceDN w:val="0"/>
        <w:adjustRightInd w:val="0"/>
        <w:rPr>
          <w:color w:val="000000"/>
          <w:szCs w:val="20"/>
        </w:rPr>
      </w:pPr>
      <w:r w:rsidRPr="00992199">
        <w:rPr>
          <w:color w:val="000000"/>
          <w:szCs w:val="20"/>
        </w:rPr>
        <w:t>Generally, good harvest conditions in the summer of 2013 lowered the production cost of the Peatinvest Group’s own peat and at the same time affected positively the market price of peat (lower market prices of raw material) (see Section 3.2 above). In addition, the Peatinvest Group pursued a number of other cost-reducing measures:</w:t>
      </w:r>
    </w:p>
    <w:p w:rsidR="003F0BC5" w:rsidRPr="0039015B" w:rsidRDefault="003F0BC5" w:rsidP="00353B80">
      <w:pPr>
        <w:pStyle w:val="Firm5L4"/>
        <w:keepNext/>
        <w:keepLines/>
        <w:numPr>
          <w:ilvl w:val="0"/>
          <w:numId w:val="0"/>
        </w:numPr>
        <w:ind w:left="720" w:hanging="720"/>
        <w:rPr>
          <w:i/>
        </w:rPr>
      </w:pPr>
      <w:r w:rsidRPr="0039015B">
        <w:rPr>
          <w:i/>
        </w:rPr>
        <w:t>Operational efficiencies</w:t>
      </w:r>
    </w:p>
    <w:p w:rsidR="003F0BC5" w:rsidRPr="00992199" w:rsidRDefault="003F0BC5" w:rsidP="00C040D5">
      <w:pPr>
        <w:keepNext/>
        <w:keepLines/>
        <w:autoSpaceDE w:val="0"/>
        <w:autoSpaceDN w:val="0"/>
        <w:adjustRightInd w:val="0"/>
        <w:rPr>
          <w:color w:val="000000"/>
          <w:szCs w:val="20"/>
        </w:rPr>
      </w:pPr>
      <w:r w:rsidRPr="00992199">
        <w:rPr>
          <w:color w:val="000000"/>
          <w:szCs w:val="20"/>
        </w:rPr>
        <w:t xml:space="preserve">From an operational viewpoint, the Peatinvest Group has, in the last financial year, taken a number of measures which have impacted its cost of goods sold for </w:t>
      </w:r>
      <w:r w:rsidR="00470C99" w:rsidRPr="00470C99">
        <w:rPr>
          <w:color w:val="000000"/>
          <w:szCs w:val="20"/>
        </w:rPr>
        <w:t xml:space="preserve">the financial year ended </w:t>
      </w:r>
      <w:r w:rsidRPr="00992199">
        <w:rPr>
          <w:color w:val="000000"/>
          <w:szCs w:val="20"/>
        </w:rPr>
        <w:t>30 September 2014, and expected to have a recurring cost reduction impact going forward. These measures consisted in (i) investments realised is the latest years to develop peatbogs to increase harvesting capacity (and decrease external purchases) and improve quality of harvested peat (see Section 3.2 above), and (ii) a further automation of production flow.</w:t>
      </w:r>
    </w:p>
    <w:p w:rsidR="003F0BC5" w:rsidRPr="00992199" w:rsidRDefault="003F0BC5" w:rsidP="003F0BC5">
      <w:pPr>
        <w:autoSpaceDE w:val="0"/>
        <w:autoSpaceDN w:val="0"/>
        <w:adjustRightInd w:val="0"/>
        <w:rPr>
          <w:color w:val="000000"/>
          <w:szCs w:val="20"/>
        </w:rPr>
      </w:pPr>
      <w:r w:rsidRPr="00992199">
        <w:rPr>
          <w:color w:val="000000"/>
          <w:szCs w:val="20"/>
        </w:rPr>
        <w:t>Other measures have led to a better usage of existing production capacity:</w:t>
      </w:r>
    </w:p>
    <w:p w:rsidR="003F0BC5" w:rsidRPr="00992199" w:rsidRDefault="003F0BC5" w:rsidP="00C040D5">
      <w:pPr>
        <w:pStyle w:val="BulletsL1"/>
      </w:pPr>
      <w:r w:rsidRPr="00992199">
        <w:t xml:space="preserve">closing the production of </w:t>
      </w:r>
      <w:smartTag w:uri="urn:schemas-microsoft-com:office:smarttags" w:element="country-region">
        <w:r w:rsidRPr="00992199">
          <w:t>Arles</w:t>
        </w:r>
      </w:smartTag>
      <w:r w:rsidRPr="00992199">
        <w:t xml:space="preserve"> and concentrating the production of the volumes over the factories in </w:t>
      </w:r>
      <w:smartTag w:uri="urn:schemas-microsoft-com:office:smarttags" w:element="City">
        <w:r w:rsidRPr="00992199">
          <w:t>Ghent</w:t>
        </w:r>
      </w:smartTag>
      <w:r w:rsidRPr="00992199">
        <w:t xml:space="preserve"> and </w:t>
      </w:r>
      <w:smartTag w:uri="urn:schemas-microsoft-com:office:smarttags" w:element="place">
        <w:smartTag w:uri="urn:schemas-microsoft-com:office:smarttags" w:element="City">
          <w:r w:rsidRPr="00992199">
            <w:t>Bordeaux</w:t>
          </w:r>
        </w:smartTag>
      </w:smartTag>
      <w:r w:rsidRPr="00992199">
        <w:t xml:space="preserve"> leading to higher economies of scale.</w:t>
      </w:r>
    </w:p>
    <w:p w:rsidR="003F0BC5" w:rsidRPr="00992199" w:rsidRDefault="003F0BC5" w:rsidP="00C040D5">
      <w:pPr>
        <w:pStyle w:val="BulletsL1"/>
      </w:pPr>
      <w:r w:rsidRPr="00992199">
        <w:t xml:space="preserve">new integration of packaging of wood pellets and packing of mulch products in the Ghent plant, leading </w:t>
      </w:r>
      <w:r w:rsidRPr="00992199">
        <w:rPr>
          <w:bCs/>
        </w:rPr>
        <w:t>to</w:t>
      </w:r>
      <w:r w:rsidRPr="00992199">
        <w:t xml:space="preserve"> a better coverage of fixed costs with new anticyclical activities</w:t>
      </w:r>
    </w:p>
    <w:p w:rsidR="003F0BC5" w:rsidRPr="00992199" w:rsidRDefault="003F0BC5" w:rsidP="003F0BC5">
      <w:pPr>
        <w:autoSpaceDE w:val="0"/>
        <w:autoSpaceDN w:val="0"/>
        <w:adjustRightInd w:val="0"/>
        <w:rPr>
          <w:color w:val="000000"/>
          <w:szCs w:val="20"/>
        </w:rPr>
      </w:pPr>
      <w:r w:rsidRPr="00992199">
        <w:rPr>
          <w:color w:val="000000"/>
          <w:szCs w:val="20"/>
        </w:rPr>
        <w:t xml:space="preserve">The last financial year was also characterised by one exceptional operational event, being the temporary closure of the production plant in </w:t>
      </w:r>
      <w:smartTag w:uri="urn:schemas-microsoft-com:office:smarttags" w:element="country-region">
        <w:r w:rsidRPr="00992199">
          <w:rPr>
            <w:color w:val="000000"/>
            <w:szCs w:val="20"/>
          </w:rPr>
          <w:t>Arles</w:t>
        </w:r>
      </w:smartTag>
      <w:r w:rsidRPr="00992199">
        <w:rPr>
          <w:color w:val="000000"/>
          <w:szCs w:val="20"/>
        </w:rPr>
        <w:t xml:space="preserve"> caused by a fire, and the subsequent decision of the Peatinvest Group to transform the </w:t>
      </w:r>
      <w:smartTag w:uri="urn:schemas-microsoft-com:office:smarttags" w:element="country-region">
        <w:smartTag w:uri="urn:schemas-microsoft-com:office:smarttags" w:element="place">
          <w:r w:rsidRPr="00992199">
            <w:rPr>
              <w:color w:val="000000"/>
              <w:szCs w:val="20"/>
            </w:rPr>
            <w:t>Arles</w:t>
          </w:r>
        </w:smartTag>
      </w:smartTag>
      <w:r w:rsidRPr="00992199">
        <w:rPr>
          <w:color w:val="000000"/>
          <w:szCs w:val="20"/>
        </w:rPr>
        <w:t xml:space="preserve"> site in a logistical platform only. The production closure has implied a transfer of production to the plants of </w:t>
      </w:r>
      <w:smartTag w:uri="urn:schemas-microsoft-com:office:smarttags" w:element="City">
        <w:r w:rsidRPr="00992199">
          <w:rPr>
            <w:color w:val="000000"/>
            <w:szCs w:val="20"/>
          </w:rPr>
          <w:t>Bordeaux</w:t>
        </w:r>
      </w:smartTag>
      <w:r w:rsidRPr="00992199">
        <w:rPr>
          <w:color w:val="000000"/>
          <w:szCs w:val="20"/>
        </w:rPr>
        <w:t xml:space="preserve"> (</w:t>
      </w:r>
      <w:smartTag w:uri="urn:schemas-microsoft-com:office:smarttags" w:element="country-region">
        <w:r w:rsidRPr="00992199">
          <w:rPr>
            <w:color w:val="000000"/>
            <w:szCs w:val="20"/>
          </w:rPr>
          <w:t>France</w:t>
        </w:r>
      </w:smartTag>
      <w:r w:rsidRPr="00992199">
        <w:rPr>
          <w:color w:val="000000"/>
          <w:szCs w:val="20"/>
        </w:rPr>
        <w:t xml:space="preserve">) and </w:t>
      </w:r>
      <w:smartTag w:uri="urn:schemas-microsoft-com:office:smarttags" w:element="City">
        <w:r w:rsidRPr="00992199">
          <w:rPr>
            <w:color w:val="000000"/>
            <w:szCs w:val="20"/>
          </w:rPr>
          <w:t>Ghent</w:t>
        </w:r>
      </w:smartTag>
      <w:r w:rsidRPr="00992199">
        <w:rPr>
          <w:color w:val="000000"/>
          <w:szCs w:val="20"/>
        </w:rPr>
        <w:t xml:space="preserve"> (</w:t>
      </w:r>
      <w:smartTag w:uri="urn:schemas-microsoft-com:office:smarttags" w:element="country-region">
        <w:smartTag w:uri="urn:schemas-microsoft-com:office:smarttags" w:element="place">
          <w:r w:rsidRPr="00992199">
            <w:rPr>
              <w:color w:val="000000"/>
              <w:szCs w:val="20"/>
            </w:rPr>
            <w:t>Belgium</w:t>
          </w:r>
        </w:smartTag>
      </w:smartTag>
      <w:r w:rsidRPr="00992199">
        <w:rPr>
          <w:color w:val="000000"/>
          <w:szCs w:val="20"/>
        </w:rPr>
        <w:t>). Since Arles had little access to local raw materials and shipping logistics of peat was quite expensive, the closing of the production has a positive impact on cost of goods sold (</w:t>
      </w:r>
      <w:r w:rsidRPr="00992199">
        <w:rPr>
          <w:i/>
          <w:color w:val="000000"/>
          <w:szCs w:val="20"/>
        </w:rPr>
        <w:t>i.e</w:t>
      </w:r>
      <w:r w:rsidRPr="00992199">
        <w:rPr>
          <w:color w:val="000000"/>
          <w:szCs w:val="20"/>
        </w:rPr>
        <w:t xml:space="preserve">., the cost of raw material and transport of raw material), and has led to a reduction of production cost (factory cost and personnel) and lower overall salary costs (due to the concentration of production in existing factories, better economies of scale and reduction of staff in Arles). Such lower costs were partially offset by the higher transport costs due to longer distance from </w:t>
      </w:r>
      <w:smartTag w:uri="urn:schemas-microsoft-com:office:smarttags" w:element="City">
        <w:r w:rsidRPr="00992199">
          <w:rPr>
            <w:color w:val="000000"/>
            <w:szCs w:val="20"/>
          </w:rPr>
          <w:t>Ghent</w:t>
        </w:r>
      </w:smartTag>
      <w:r w:rsidRPr="00992199">
        <w:rPr>
          <w:color w:val="000000"/>
          <w:szCs w:val="20"/>
        </w:rPr>
        <w:t xml:space="preserve"> and </w:t>
      </w:r>
      <w:smartTag w:uri="urn:schemas-microsoft-com:office:smarttags" w:element="City">
        <w:smartTag w:uri="urn:schemas-microsoft-com:office:smarttags" w:element="place">
          <w:r w:rsidRPr="00992199">
            <w:rPr>
              <w:color w:val="000000"/>
              <w:szCs w:val="20"/>
            </w:rPr>
            <w:t>Bordeaux</w:t>
          </w:r>
        </w:smartTag>
      </w:smartTag>
      <w:r w:rsidRPr="00992199">
        <w:rPr>
          <w:color w:val="000000"/>
          <w:szCs w:val="20"/>
        </w:rPr>
        <w:t xml:space="preserve"> to the customer. The impact of this transformation amounted to [•] and this effect is expected to continue in the actual financial year.</w:t>
      </w:r>
    </w:p>
    <w:p w:rsidR="003F0BC5" w:rsidRPr="0039015B" w:rsidRDefault="003F0BC5" w:rsidP="00353B80">
      <w:pPr>
        <w:pStyle w:val="Firm5L4"/>
        <w:keepNext/>
        <w:numPr>
          <w:ilvl w:val="0"/>
          <w:numId w:val="0"/>
        </w:numPr>
        <w:ind w:left="720" w:hanging="720"/>
        <w:rPr>
          <w:i/>
        </w:rPr>
      </w:pPr>
      <w:r w:rsidRPr="0039015B">
        <w:rPr>
          <w:i/>
        </w:rPr>
        <w:t>Purchasing</w:t>
      </w:r>
    </w:p>
    <w:p w:rsidR="003F0BC5" w:rsidRPr="00992199" w:rsidRDefault="003F0BC5" w:rsidP="003F0BC5">
      <w:pPr>
        <w:autoSpaceDE w:val="0"/>
        <w:autoSpaceDN w:val="0"/>
        <w:adjustRightInd w:val="0"/>
        <w:rPr>
          <w:color w:val="000000"/>
          <w:szCs w:val="20"/>
        </w:rPr>
      </w:pPr>
      <w:r w:rsidRPr="00992199">
        <w:rPr>
          <w:color w:val="000000"/>
          <w:szCs w:val="20"/>
        </w:rPr>
        <w:t>The Peatinvest Group has reorganised its purchasing of bark in 2014, thereby structurally increasing direct access to sources reducing cost and increasing quality. In addition, the Peatinvest Group has reduced subcontracting (mulches and bark) by third parties and integrated the production of mulches and bark in its own factories, which has had a positive impact on percentage of the costs of goods sold compared to the previous year and is expected to have a structurally positive impact.</w:t>
      </w:r>
    </w:p>
    <w:p w:rsidR="003F0BC5" w:rsidRPr="0039015B" w:rsidRDefault="003F0BC5" w:rsidP="00353B80">
      <w:pPr>
        <w:pStyle w:val="Firm5L4"/>
        <w:keepNext/>
        <w:numPr>
          <w:ilvl w:val="0"/>
          <w:numId w:val="0"/>
        </w:numPr>
        <w:ind w:left="720" w:hanging="720"/>
        <w:rPr>
          <w:i/>
        </w:rPr>
      </w:pPr>
      <w:r w:rsidRPr="0039015B">
        <w:rPr>
          <w:i/>
        </w:rPr>
        <w:t>Accounting and cash management measures</w:t>
      </w:r>
    </w:p>
    <w:p w:rsidR="003F0BC5" w:rsidRPr="00992199" w:rsidRDefault="003F0BC5" w:rsidP="003F0BC5">
      <w:pPr>
        <w:autoSpaceDE w:val="0"/>
        <w:autoSpaceDN w:val="0"/>
        <w:adjustRightInd w:val="0"/>
        <w:rPr>
          <w:color w:val="000000"/>
          <w:szCs w:val="20"/>
        </w:rPr>
      </w:pPr>
      <w:r w:rsidRPr="00992199">
        <w:rPr>
          <w:color w:val="000000"/>
          <w:szCs w:val="20"/>
        </w:rPr>
        <w:t>Peatinvest is implementing a fully integrated ERP system in all its subsidiaries to increase its capacity to monitor intake of products delivered by suppliers both on quality and on volume. This is leading to a stricter control on invoices received for goods delivered by suppliers, and an increased respect of specifications on delivered goods by suppliers.</w:t>
      </w:r>
    </w:p>
    <w:p w:rsidR="003F0BC5" w:rsidRPr="00992199" w:rsidRDefault="003F0BC5" w:rsidP="003F0BC5">
      <w:pPr>
        <w:autoSpaceDE w:val="0"/>
        <w:autoSpaceDN w:val="0"/>
        <w:adjustRightInd w:val="0"/>
        <w:rPr>
          <w:color w:val="000000"/>
          <w:szCs w:val="20"/>
        </w:rPr>
      </w:pPr>
      <w:r w:rsidRPr="00992199">
        <w:rPr>
          <w:color w:val="000000"/>
          <w:szCs w:val="20"/>
        </w:rPr>
        <w:lastRenderedPageBreak/>
        <w:t>The ERP system, paired with an uptraining of employees, has allowed faster invoicing of customers, which, in turn, enabled a faster cash-in of receivables and a reduction of inventory.</w:t>
      </w:r>
    </w:p>
    <w:p w:rsidR="003F0BC5" w:rsidRPr="00992199" w:rsidRDefault="003F0BC5" w:rsidP="00353B80">
      <w:pPr>
        <w:pStyle w:val="Firm5L4"/>
        <w:keepNext/>
      </w:pPr>
      <w:r w:rsidRPr="00992199">
        <w:t>Costs of services and other goods</w:t>
      </w:r>
    </w:p>
    <w:p w:rsidR="003F0BC5" w:rsidRPr="00992199" w:rsidRDefault="003F0BC5" w:rsidP="003F0BC5">
      <w:pPr>
        <w:autoSpaceDE w:val="0"/>
        <w:autoSpaceDN w:val="0"/>
        <w:adjustRightInd w:val="0"/>
        <w:rPr>
          <w:color w:val="000000"/>
          <w:szCs w:val="20"/>
        </w:rPr>
      </w:pPr>
      <w:r w:rsidRPr="00992199">
        <w:rPr>
          <w:color w:val="000000"/>
          <w:szCs w:val="20"/>
        </w:rPr>
        <w:t xml:space="preserve">Costs of services and other goods increased by </w:t>
      </w:r>
      <w:r w:rsidR="00E53641">
        <w:rPr>
          <w:color w:val="000000"/>
          <w:szCs w:val="20"/>
        </w:rPr>
        <w:t>EUR </w:t>
      </w:r>
      <w:r w:rsidRPr="00992199">
        <w:rPr>
          <w:color w:val="000000"/>
          <w:szCs w:val="20"/>
        </w:rPr>
        <w:t xml:space="preserve">686,000, or 3,4%, to </w:t>
      </w:r>
      <w:r w:rsidR="00E53641">
        <w:rPr>
          <w:color w:val="000000"/>
          <w:szCs w:val="20"/>
        </w:rPr>
        <w:t>EUR </w:t>
      </w:r>
      <w:r w:rsidRPr="00992199">
        <w:rPr>
          <w:color w:val="000000"/>
          <w:szCs w:val="20"/>
        </w:rPr>
        <w:t xml:space="preserve">20,793,000 </w:t>
      </w:r>
      <w:r w:rsidR="005971A0">
        <w:rPr>
          <w:color w:val="000000"/>
          <w:szCs w:val="20"/>
        </w:rPr>
        <w:t>for the financial year ended 30 September</w:t>
      </w:r>
      <w:r w:rsidRPr="00992199">
        <w:rPr>
          <w:color w:val="000000"/>
          <w:szCs w:val="20"/>
        </w:rPr>
        <w:t xml:space="preserve"> 2014 compared to </w:t>
      </w:r>
      <w:r w:rsidR="00E53641">
        <w:rPr>
          <w:color w:val="000000"/>
          <w:szCs w:val="20"/>
        </w:rPr>
        <w:t>EUR </w:t>
      </w:r>
      <w:r w:rsidRPr="00992199">
        <w:rPr>
          <w:color w:val="000000"/>
          <w:szCs w:val="20"/>
        </w:rPr>
        <w:t xml:space="preserve">20,107,000 </w:t>
      </w:r>
      <w:r w:rsidR="005971A0">
        <w:rPr>
          <w:color w:val="000000"/>
          <w:szCs w:val="20"/>
        </w:rPr>
        <w:t>for the financial year ended 30 September</w:t>
      </w:r>
      <w:r w:rsidRPr="00992199">
        <w:rPr>
          <w:color w:val="000000"/>
          <w:szCs w:val="20"/>
        </w:rPr>
        <w:t xml:space="preserve"> 2013.</w:t>
      </w:r>
    </w:p>
    <w:p w:rsidR="003F0BC5" w:rsidRPr="00992199" w:rsidRDefault="003F0BC5" w:rsidP="003F0BC5">
      <w:pPr>
        <w:autoSpaceDE w:val="0"/>
        <w:autoSpaceDN w:val="0"/>
        <w:adjustRightInd w:val="0"/>
        <w:rPr>
          <w:color w:val="000000"/>
          <w:szCs w:val="20"/>
        </w:rPr>
      </w:pPr>
      <w:r w:rsidRPr="00992199">
        <w:rPr>
          <w:color w:val="000000"/>
          <w:szCs w:val="20"/>
        </w:rPr>
        <w:t xml:space="preserve">As the growth of sales was fuelled by increased sales volume, additional transport increased from </w:t>
      </w:r>
      <w:r w:rsidR="00E53641">
        <w:rPr>
          <w:color w:val="000000"/>
          <w:szCs w:val="20"/>
        </w:rPr>
        <w:t>EUR </w:t>
      </w:r>
      <w:r w:rsidRPr="00992199">
        <w:rPr>
          <w:color w:val="000000"/>
          <w:szCs w:val="20"/>
        </w:rPr>
        <w:t xml:space="preserve">10,245,000 to </w:t>
      </w:r>
      <w:r w:rsidR="00E53641">
        <w:rPr>
          <w:color w:val="000000"/>
          <w:szCs w:val="20"/>
        </w:rPr>
        <w:t>EUR </w:t>
      </w:r>
      <w:r w:rsidRPr="00992199">
        <w:rPr>
          <w:color w:val="000000"/>
          <w:szCs w:val="20"/>
        </w:rPr>
        <w:t xml:space="preserve">11,231,000, or 9.6%, </w:t>
      </w:r>
      <w:r w:rsidR="005971A0">
        <w:rPr>
          <w:color w:val="000000"/>
          <w:szCs w:val="20"/>
        </w:rPr>
        <w:t>for the financial year ended 30 September</w:t>
      </w:r>
      <w:r w:rsidRPr="00992199">
        <w:rPr>
          <w:color w:val="000000"/>
          <w:szCs w:val="20"/>
        </w:rPr>
        <w:t xml:space="preserve"> 2014. Transport as a percentage of sales increased from 16.6% on 30 September 2013 to 17.2% on 30 September 2014. All other services and other goods decreased compared to last year.</w:t>
      </w:r>
    </w:p>
    <w:p w:rsidR="003F0BC5" w:rsidRPr="00992199" w:rsidRDefault="003F0BC5" w:rsidP="00353B80">
      <w:pPr>
        <w:pStyle w:val="Firm5L4"/>
        <w:keepNext/>
      </w:pPr>
      <w:r w:rsidRPr="00992199">
        <w:t>Personnel costs</w:t>
      </w:r>
    </w:p>
    <w:p w:rsidR="003F0BC5" w:rsidRPr="00992199" w:rsidRDefault="003F0BC5" w:rsidP="003F0BC5">
      <w:pPr>
        <w:autoSpaceDE w:val="0"/>
        <w:autoSpaceDN w:val="0"/>
        <w:adjustRightInd w:val="0"/>
        <w:rPr>
          <w:color w:val="000000"/>
          <w:szCs w:val="20"/>
        </w:rPr>
      </w:pPr>
      <w:r w:rsidRPr="00992199">
        <w:rPr>
          <w:color w:val="000000"/>
          <w:szCs w:val="20"/>
        </w:rPr>
        <w:t xml:space="preserve">Personnel costs decreased with </w:t>
      </w:r>
      <w:r w:rsidR="00E53641">
        <w:rPr>
          <w:color w:val="000000"/>
          <w:szCs w:val="20"/>
        </w:rPr>
        <w:t>EUR </w:t>
      </w:r>
      <w:r w:rsidRPr="00992199">
        <w:rPr>
          <w:color w:val="000000"/>
          <w:szCs w:val="20"/>
        </w:rPr>
        <w:t>129,000 overall in the financial year under review.</w:t>
      </w:r>
    </w:p>
    <w:p w:rsidR="003F0BC5" w:rsidRPr="00992199" w:rsidRDefault="003F0BC5" w:rsidP="003F0BC5">
      <w:pPr>
        <w:autoSpaceDE w:val="0"/>
        <w:autoSpaceDN w:val="0"/>
        <w:adjustRightInd w:val="0"/>
        <w:rPr>
          <w:color w:val="000000"/>
          <w:szCs w:val="20"/>
        </w:rPr>
      </w:pPr>
      <w:r w:rsidRPr="00992199">
        <w:rPr>
          <w:color w:val="000000"/>
          <w:szCs w:val="20"/>
        </w:rPr>
        <w:t xml:space="preserve">A decrease of personnel costs resulted from, on the one hand, an automation of processes resulting from the introduction of the ERP system and, on the other hand, the transformation of the site of Arles from production site to logistical platform and the reduction of staff linked with this transformation. This decrease is partially offset by an investment in the further strengthening of the management and R&amp;D team in </w:t>
      </w:r>
      <w:smartTag w:uri="urn:schemas-microsoft-com:office:smarttags" w:element="country-region">
        <w:r w:rsidRPr="00992199">
          <w:rPr>
            <w:color w:val="000000"/>
            <w:szCs w:val="20"/>
          </w:rPr>
          <w:t>Latvia</w:t>
        </w:r>
      </w:smartTag>
      <w:r w:rsidRPr="00992199">
        <w:rPr>
          <w:color w:val="000000"/>
          <w:szCs w:val="20"/>
        </w:rPr>
        <w:t xml:space="preserve"> and </w:t>
      </w:r>
      <w:smartTag w:uri="urn:schemas-microsoft-com:office:smarttags" w:element="country-region">
        <w:smartTag w:uri="urn:schemas-microsoft-com:office:smarttags" w:element="place">
          <w:r w:rsidRPr="00992199">
            <w:rPr>
              <w:color w:val="000000"/>
              <w:szCs w:val="20"/>
            </w:rPr>
            <w:t>Poland</w:t>
          </w:r>
        </w:smartTag>
      </w:smartTag>
      <w:r w:rsidRPr="00992199">
        <w:rPr>
          <w:color w:val="000000"/>
          <w:szCs w:val="20"/>
        </w:rPr>
        <w:t>.</w:t>
      </w:r>
    </w:p>
    <w:p w:rsidR="003F0BC5" w:rsidRPr="00992199" w:rsidRDefault="0039015B" w:rsidP="00353B80">
      <w:pPr>
        <w:pStyle w:val="Firm5L3"/>
        <w:keepNext/>
      </w:pPr>
      <w:r>
        <w:t>Non-recurring items</w:t>
      </w:r>
    </w:p>
    <w:p w:rsidR="003F0BC5" w:rsidRPr="00992199" w:rsidRDefault="003F0BC5" w:rsidP="003F0BC5">
      <w:pPr>
        <w:autoSpaceDE w:val="0"/>
        <w:autoSpaceDN w:val="0"/>
        <w:adjustRightInd w:val="0"/>
        <w:rPr>
          <w:color w:val="000000"/>
          <w:szCs w:val="20"/>
        </w:rPr>
      </w:pPr>
      <w:r w:rsidRPr="00992199">
        <w:rPr>
          <w:color w:val="000000"/>
          <w:szCs w:val="20"/>
        </w:rPr>
        <w:t xml:space="preserve">Due to fire at the site of Peltracom </w:t>
      </w:r>
      <w:smartTag w:uri="urn:schemas-microsoft-com:office:smarttags" w:element="country-region">
        <w:r w:rsidRPr="00992199">
          <w:rPr>
            <w:color w:val="000000"/>
            <w:szCs w:val="20"/>
          </w:rPr>
          <w:t>France</w:t>
        </w:r>
      </w:smartTag>
      <w:r w:rsidRPr="00992199">
        <w:rPr>
          <w:color w:val="000000"/>
          <w:szCs w:val="20"/>
        </w:rPr>
        <w:t xml:space="preserve"> in </w:t>
      </w:r>
      <w:smartTag w:uri="urn:schemas-microsoft-com:office:smarttags" w:element="country-region">
        <w:smartTag w:uri="urn:schemas-microsoft-com:office:smarttags" w:element="place">
          <w:r w:rsidRPr="00992199">
            <w:rPr>
              <w:color w:val="000000"/>
              <w:szCs w:val="20"/>
            </w:rPr>
            <w:t>Arles</w:t>
          </w:r>
        </w:smartTag>
      </w:smartTag>
      <w:r w:rsidRPr="00992199">
        <w:rPr>
          <w:color w:val="000000"/>
          <w:szCs w:val="20"/>
        </w:rPr>
        <w:t xml:space="preserve"> in December 2012, an insurance compensation was received and accounted for as revenue in the amount of </w:t>
      </w:r>
      <w:r w:rsidR="00E53641">
        <w:rPr>
          <w:color w:val="000000"/>
          <w:szCs w:val="20"/>
        </w:rPr>
        <w:t>EUR </w:t>
      </w:r>
      <w:r w:rsidRPr="00992199">
        <w:rPr>
          <w:color w:val="000000"/>
          <w:szCs w:val="20"/>
        </w:rPr>
        <w:t xml:space="preserve">2,114,000, of which </w:t>
      </w:r>
      <w:r w:rsidR="00E53641">
        <w:rPr>
          <w:color w:val="000000"/>
          <w:szCs w:val="20"/>
        </w:rPr>
        <w:t>EUR </w:t>
      </w:r>
      <w:r w:rsidRPr="00992199">
        <w:rPr>
          <w:color w:val="000000"/>
          <w:szCs w:val="20"/>
        </w:rPr>
        <w:t xml:space="preserve">1,690,000 under operating income </w:t>
      </w:r>
      <w:r w:rsidR="005971A0">
        <w:rPr>
          <w:color w:val="000000"/>
          <w:szCs w:val="20"/>
        </w:rPr>
        <w:t>for the financial year ended 30 September</w:t>
      </w:r>
      <w:r w:rsidRPr="00992199">
        <w:rPr>
          <w:color w:val="000000"/>
          <w:szCs w:val="20"/>
        </w:rPr>
        <w:t xml:space="preserve"> 2013. The decrease of </w:t>
      </w:r>
      <w:r w:rsidR="00E53641">
        <w:rPr>
          <w:color w:val="000000"/>
          <w:szCs w:val="20"/>
        </w:rPr>
        <w:t>EUR </w:t>
      </w:r>
      <w:r w:rsidRPr="00992199">
        <w:rPr>
          <w:color w:val="000000"/>
          <w:szCs w:val="20"/>
        </w:rPr>
        <w:t xml:space="preserve">1,558,000 for </w:t>
      </w:r>
      <w:r w:rsidR="00470C99" w:rsidRPr="00992199">
        <w:rPr>
          <w:color w:val="000000"/>
          <w:szCs w:val="20"/>
        </w:rPr>
        <w:t xml:space="preserve">the </w:t>
      </w:r>
      <w:r w:rsidR="00470C99" w:rsidRPr="00470C99">
        <w:rPr>
          <w:color w:val="000000"/>
          <w:szCs w:val="20"/>
        </w:rPr>
        <w:t xml:space="preserve">financial year ended </w:t>
      </w:r>
      <w:r w:rsidRPr="00992199">
        <w:rPr>
          <w:color w:val="000000"/>
          <w:szCs w:val="20"/>
        </w:rPr>
        <w:t xml:space="preserve">30 September 2014 is mainly due to the insurance compensation received in </w:t>
      </w:r>
      <w:r w:rsidR="00470C99" w:rsidRPr="00470C99">
        <w:rPr>
          <w:color w:val="000000"/>
          <w:szCs w:val="20"/>
        </w:rPr>
        <w:t xml:space="preserve">the financial year ended </w:t>
      </w:r>
      <w:r w:rsidRPr="00992199">
        <w:rPr>
          <w:color w:val="000000"/>
          <w:szCs w:val="20"/>
        </w:rPr>
        <w:t>30 September 2013.</w:t>
      </w:r>
    </w:p>
    <w:p w:rsidR="003F0BC5" w:rsidRPr="00992199" w:rsidRDefault="003F0BC5" w:rsidP="00353B80">
      <w:pPr>
        <w:pStyle w:val="Firm5L3"/>
        <w:keepNext/>
      </w:pPr>
      <w:r w:rsidRPr="00992199">
        <w:t xml:space="preserve">Financial </w:t>
      </w:r>
      <w:r w:rsidR="0039015B">
        <w:t>income / expense</w:t>
      </w:r>
    </w:p>
    <w:p w:rsidR="003F0BC5" w:rsidRPr="00992199" w:rsidRDefault="003F0BC5" w:rsidP="003F0BC5">
      <w:pPr>
        <w:autoSpaceDE w:val="0"/>
        <w:autoSpaceDN w:val="0"/>
        <w:adjustRightInd w:val="0"/>
        <w:rPr>
          <w:color w:val="000000"/>
          <w:szCs w:val="20"/>
        </w:rPr>
      </w:pPr>
      <w:r w:rsidRPr="00992199">
        <w:rPr>
          <w:color w:val="000000"/>
          <w:szCs w:val="20"/>
        </w:rPr>
        <w:t xml:space="preserve">The financial result increased by </w:t>
      </w:r>
      <w:r w:rsidR="00E53641">
        <w:rPr>
          <w:color w:val="000000"/>
          <w:szCs w:val="20"/>
        </w:rPr>
        <w:t>EUR </w:t>
      </w:r>
      <w:r w:rsidRPr="00992199">
        <w:rPr>
          <w:color w:val="000000"/>
          <w:szCs w:val="20"/>
        </w:rPr>
        <w:t xml:space="preserve">153,000 or 14% to </w:t>
      </w:r>
      <w:r w:rsidR="00E53641">
        <w:rPr>
          <w:color w:val="000000"/>
          <w:szCs w:val="20"/>
        </w:rPr>
        <w:t>EUR </w:t>
      </w:r>
      <w:r w:rsidRPr="00992199">
        <w:rPr>
          <w:color w:val="000000"/>
          <w:szCs w:val="20"/>
        </w:rPr>
        <w:t xml:space="preserve">905,000 for </w:t>
      </w:r>
      <w:r w:rsidR="00470C99" w:rsidRPr="00992199">
        <w:rPr>
          <w:color w:val="000000"/>
          <w:szCs w:val="20"/>
        </w:rPr>
        <w:t xml:space="preserve">the </w:t>
      </w:r>
      <w:r w:rsidR="00470C99" w:rsidRPr="00470C99">
        <w:rPr>
          <w:color w:val="000000"/>
          <w:szCs w:val="20"/>
        </w:rPr>
        <w:t xml:space="preserve">financial year ended </w:t>
      </w:r>
      <w:r w:rsidRPr="00992199">
        <w:rPr>
          <w:color w:val="000000"/>
          <w:szCs w:val="20"/>
        </w:rPr>
        <w:t xml:space="preserve">30 September 2014, compared to </w:t>
      </w:r>
      <w:r w:rsidR="00E53641">
        <w:rPr>
          <w:color w:val="000000"/>
          <w:szCs w:val="20"/>
        </w:rPr>
        <w:t>EUR </w:t>
      </w:r>
      <w:r w:rsidRPr="00992199">
        <w:rPr>
          <w:color w:val="000000"/>
          <w:szCs w:val="20"/>
        </w:rPr>
        <w:t xml:space="preserve">1,058,000 for </w:t>
      </w:r>
      <w:r w:rsidR="00470C99" w:rsidRPr="00992199">
        <w:rPr>
          <w:color w:val="000000"/>
          <w:szCs w:val="20"/>
        </w:rPr>
        <w:t xml:space="preserve">the </w:t>
      </w:r>
      <w:r w:rsidR="00470C99" w:rsidRPr="00470C99">
        <w:rPr>
          <w:color w:val="000000"/>
          <w:szCs w:val="20"/>
        </w:rPr>
        <w:t xml:space="preserve">financial year ended </w:t>
      </w:r>
      <w:r w:rsidRPr="00992199">
        <w:rPr>
          <w:color w:val="000000"/>
          <w:szCs w:val="20"/>
        </w:rPr>
        <w:t xml:space="preserve">30 September 2013. This variance is on the one hand due to lower interest rates on EURIBOR level and on the other hand due to the lower margins on the bank loans which the Peatinvest Group renegotiated in the last financial year. (The lower margins were, in turn, offset by a break fee in the amount of </w:t>
      </w:r>
      <w:r w:rsidR="00E53641">
        <w:rPr>
          <w:color w:val="000000"/>
          <w:szCs w:val="20"/>
        </w:rPr>
        <w:t>EUR </w:t>
      </w:r>
      <w:r w:rsidRPr="00992199">
        <w:rPr>
          <w:color w:val="000000"/>
          <w:szCs w:val="20"/>
        </w:rPr>
        <w:t xml:space="preserve">162,000 that has been paid due to the renegotiating of the bank loans in </w:t>
      </w:r>
      <w:r w:rsidR="00470C99" w:rsidRPr="00992199">
        <w:rPr>
          <w:color w:val="000000"/>
          <w:szCs w:val="20"/>
        </w:rPr>
        <w:t xml:space="preserve">the </w:t>
      </w:r>
      <w:r w:rsidR="00470C99" w:rsidRPr="00470C99">
        <w:rPr>
          <w:color w:val="000000"/>
          <w:szCs w:val="20"/>
        </w:rPr>
        <w:t xml:space="preserve">financial year ended </w:t>
      </w:r>
      <w:r w:rsidRPr="00992199">
        <w:rPr>
          <w:color w:val="000000"/>
          <w:szCs w:val="20"/>
        </w:rPr>
        <w:t>30 September 2014).</w:t>
      </w:r>
    </w:p>
    <w:p w:rsidR="003F0BC5" w:rsidRPr="00992199" w:rsidRDefault="003F0BC5" w:rsidP="00353B80">
      <w:pPr>
        <w:pStyle w:val="Firm5L3"/>
        <w:keepNext/>
      </w:pPr>
      <w:r w:rsidRPr="00992199">
        <w:t>Income tax</w:t>
      </w:r>
      <w:r w:rsidR="0039015B">
        <w:t xml:space="preserve"> income / expense</w:t>
      </w:r>
    </w:p>
    <w:p w:rsidR="003F0BC5" w:rsidRPr="00992199" w:rsidRDefault="003F0BC5" w:rsidP="003F0BC5">
      <w:pPr>
        <w:autoSpaceDE w:val="0"/>
        <w:autoSpaceDN w:val="0"/>
        <w:adjustRightInd w:val="0"/>
        <w:rPr>
          <w:color w:val="000000"/>
          <w:szCs w:val="20"/>
        </w:rPr>
      </w:pPr>
      <w:r w:rsidRPr="00992199">
        <w:rPr>
          <w:color w:val="000000"/>
          <w:szCs w:val="20"/>
        </w:rPr>
        <w:t xml:space="preserve">Net income tax expense </w:t>
      </w:r>
      <w:r w:rsidR="005971A0">
        <w:rPr>
          <w:color w:val="000000"/>
          <w:szCs w:val="20"/>
        </w:rPr>
        <w:t>for the financial year ended 30 September</w:t>
      </w:r>
      <w:r w:rsidRPr="00992199">
        <w:rPr>
          <w:color w:val="000000"/>
          <w:szCs w:val="20"/>
        </w:rPr>
        <w:t xml:space="preserve"> 2013 amounted to a net expense of </w:t>
      </w:r>
      <w:r w:rsidR="00E53641">
        <w:rPr>
          <w:color w:val="000000"/>
          <w:szCs w:val="20"/>
        </w:rPr>
        <w:t>EUR </w:t>
      </w:r>
      <w:r w:rsidRPr="00992199">
        <w:rPr>
          <w:color w:val="000000"/>
          <w:szCs w:val="20"/>
        </w:rPr>
        <w:t xml:space="preserve">359,000 and increased to </w:t>
      </w:r>
      <w:r w:rsidR="00E53641">
        <w:rPr>
          <w:color w:val="000000"/>
          <w:szCs w:val="20"/>
        </w:rPr>
        <w:t>EUR </w:t>
      </w:r>
      <w:r w:rsidRPr="00992199">
        <w:rPr>
          <w:color w:val="000000"/>
          <w:szCs w:val="20"/>
        </w:rPr>
        <w:t xml:space="preserve">630,000 </w:t>
      </w:r>
      <w:r w:rsidR="005971A0">
        <w:rPr>
          <w:color w:val="000000"/>
          <w:szCs w:val="20"/>
        </w:rPr>
        <w:t>for the financial year ended 30 September</w:t>
      </w:r>
      <w:r w:rsidRPr="00992199">
        <w:rPr>
          <w:color w:val="000000"/>
          <w:szCs w:val="20"/>
        </w:rPr>
        <w:t xml:space="preserve"> 2014.</w:t>
      </w:r>
    </w:p>
    <w:p w:rsidR="003F0BC5" w:rsidRPr="00992199" w:rsidRDefault="003F0BC5" w:rsidP="00353B80">
      <w:pPr>
        <w:pStyle w:val="Firm5L3"/>
        <w:keepNext/>
      </w:pPr>
      <w:r w:rsidRPr="00992199">
        <w:t xml:space="preserve">Net </w:t>
      </w:r>
      <w:r w:rsidR="0039015B">
        <w:t>profit</w:t>
      </w:r>
      <w:r w:rsidRPr="00992199">
        <w:t xml:space="preserve"> for the period</w:t>
      </w:r>
    </w:p>
    <w:p w:rsidR="003F0BC5" w:rsidRPr="00992199" w:rsidRDefault="003F0BC5" w:rsidP="003F0BC5">
      <w:pPr>
        <w:autoSpaceDE w:val="0"/>
        <w:autoSpaceDN w:val="0"/>
        <w:adjustRightInd w:val="0"/>
        <w:rPr>
          <w:color w:val="000000"/>
          <w:szCs w:val="20"/>
        </w:rPr>
      </w:pPr>
      <w:r w:rsidRPr="00992199">
        <w:rPr>
          <w:color w:val="000000"/>
          <w:szCs w:val="20"/>
        </w:rPr>
        <w:t xml:space="preserve">The profit for the period </w:t>
      </w:r>
      <w:r w:rsidR="005971A0">
        <w:rPr>
          <w:color w:val="000000"/>
          <w:szCs w:val="20"/>
        </w:rPr>
        <w:t>for the financial year ended 30 September</w:t>
      </w:r>
      <w:r w:rsidRPr="00992199">
        <w:rPr>
          <w:color w:val="000000"/>
          <w:szCs w:val="20"/>
        </w:rPr>
        <w:t xml:space="preserve"> 2014 amounts to </w:t>
      </w:r>
      <w:r w:rsidR="00E53641">
        <w:rPr>
          <w:color w:val="000000"/>
          <w:szCs w:val="20"/>
        </w:rPr>
        <w:t>EUR </w:t>
      </w:r>
      <w:r w:rsidRPr="00992199">
        <w:rPr>
          <w:color w:val="000000"/>
          <w:szCs w:val="20"/>
        </w:rPr>
        <w:t xml:space="preserve">2,433,000 showing an increase of </w:t>
      </w:r>
      <w:r w:rsidR="00E53641">
        <w:rPr>
          <w:color w:val="000000"/>
          <w:szCs w:val="20"/>
        </w:rPr>
        <w:t>EUR </w:t>
      </w:r>
      <w:r w:rsidRPr="00992199">
        <w:rPr>
          <w:color w:val="000000"/>
          <w:szCs w:val="20"/>
        </w:rPr>
        <w:t>815,000 or 50%. This is the result of the elements as explained above.</w:t>
      </w:r>
    </w:p>
    <w:p w:rsidR="003F0BC5" w:rsidRPr="00992199" w:rsidRDefault="003F0BC5" w:rsidP="00353B80">
      <w:pPr>
        <w:pStyle w:val="Firm5L2"/>
        <w:keepNext/>
      </w:pPr>
      <w:bookmarkStart w:id="88" w:name="_Toc420593901"/>
      <w:r w:rsidRPr="00992199">
        <w:t>Liquidity and capital resources</w:t>
      </w:r>
      <w:bookmarkEnd w:id="88"/>
    </w:p>
    <w:p w:rsidR="003F0BC5" w:rsidRPr="00992199" w:rsidRDefault="003F0BC5" w:rsidP="00353B80">
      <w:pPr>
        <w:pStyle w:val="Firm5L3"/>
        <w:keepNext/>
      </w:pPr>
      <w:r w:rsidRPr="00992199">
        <w:t>Liquidity</w:t>
      </w:r>
    </w:p>
    <w:p w:rsidR="003F0BC5" w:rsidRPr="00992199" w:rsidRDefault="003F0BC5" w:rsidP="0034670F">
      <w:pPr>
        <w:rPr>
          <w:b/>
          <w:szCs w:val="20"/>
        </w:rPr>
      </w:pPr>
      <w:r w:rsidRPr="00992199">
        <w:rPr>
          <w:b/>
          <w:szCs w:val="20"/>
        </w:rPr>
        <w:t>Cash flow</w:t>
      </w:r>
    </w:p>
    <w:tbl>
      <w:tblPr>
        <w:tblW w:w="5263" w:type="pct"/>
        <w:tblLook w:val="04A0" w:firstRow="1" w:lastRow="0" w:firstColumn="1" w:lastColumn="0" w:noHBand="0" w:noVBand="1"/>
      </w:tblPr>
      <w:tblGrid>
        <w:gridCol w:w="5779"/>
        <w:gridCol w:w="1843"/>
        <w:gridCol w:w="1870"/>
        <w:gridCol w:w="239"/>
      </w:tblGrid>
      <w:tr w:rsidR="0034670F" w:rsidRPr="00E53641" w:rsidTr="0034670F">
        <w:trPr>
          <w:trHeight w:val="255"/>
        </w:trPr>
        <w:tc>
          <w:tcPr>
            <w:tcW w:w="2969" w:type="pct"/>
            <w:tcBorders>
              <w:top w:val="nil"/>
              <w:left w:val="nil"/>
              <w:bottom w:val="nil"/>
              <w:right w:val="nil"/>
            </w:tcBorders>
            <w:shd w:val="clear" w:color="auto" w:fill="auto"/>
            <w:noWrap/>
            <w:vAlign w:val="center"/>
          </w:tcPr>
          <w:p w:rsidR="0034670F" w:rsidRPr="00E53641" w:rsidRDefault="0034670F" w:rsidP="0034670F">
            <w:pPr>
              <w:pStyle w:val="NormalWeb"/>
              <w:keepNext/>
              <w:spacing w:before="0" w:after="0"/>
              <w:ind w:left="240" w:hanging="240"/>
              <w:jc w:val="left"/>
              <w:rPr>
                <w:bCs/>
                <w:i/>
                <w:sz w:val="18"/>
                <w:szCs w:val="18"/>
              </w:rPr>
            </w:pPr>
            <w:r w:rsidRPr="00E53641">
              <w:rPr>
                <w:bCs/>
                <w:i/>
                <w:sz w:val="18"/>
                <w:szCs w:val="18"/>
              </w:rPr>
              <w:lastRenderedPageBreak/>
              <w:t>(</w:t>
            </w:r>
            <w:r w:rsidR="00E53641" w:rsidRPr="00E53641">
              <w:rPr>
                <w:bCs/>
                <w:i/>
                <w:sz w:val="18"/>
                <w:szCs w:val="18"/>
              </w:rPr>
              <w:t>EUR </w:t>
            </w:r>
            <w:r w:rsidRPr="00E53641">
              <w:rPr>
                <w:bCs/>
                <w:i/>
                <w:sz w:val="18"/>
                <w:szCs w:val="18"/>
              </w:rPr>
              <w:t>in millions)</w:t>
            </w:r>
          </w:p>
        </w:tc>
        <w:tc>
          <w:tcPr>
            <w:tcW w:w="947" w:type="pct"/>
            <w:tcBorders>
              <w:top w:val="nil"/>
              <w:left w:val="nil"/>
              <w:bottom w:val="nil"/>
              <w:right w:val="nil"/>
            </w:tcBorders>
            <w:shd w:val="clear" w:color="auto" w:fill="auto"/>
            <w:noWrap/>
            <w:vAlign w:val="bottom"/>
          </w:tcPr>
          <w:p w:rsidR="0034670F" w:rsidRPr="00E53641" w:rsidRDefault="0034670F" w:rsidP="0034670F">
            <w:pPr>
              <w:pBdr>
                <w:bottom w:val="single" w:sz="4" w:space="1" w:color="auto"/>
              </w:pBdr>
              <w:spacing w:before="0" w:after="0"/>
              <w:ind w:left="368" w:hanging="227"/>
              <w:jc w:val="center"/>
              <w:rPr>
                <w:sz w:val="18"/>
                <w:szCs w:val="18"/>
              </w:rPr>
            </w:pPr>
            <w:r w:rsidRPr="00E53641">
              <w:rPr>
                <w:b/>
                <w:bCs/>
                <w:sz w:val="18"/>
                <w:szCs w:val="18"/>
              </w:rPr>
              <w:t xml:space="preserve">Year ended </w:t>
            </w:r>
            <w:r w:rsidRPr="00E53641">
              <w:rPr>
                <w:b/>
                <w:bCs/>
                <w:sz w:val="18"/>
                <w:szCs w:val="18"/>
              </w:rPr>
              <w:br/>
              <w:t>30 September 2014</w:t>
            </w:r>
          </w:p>
        </w:tc>
        <w:tc>
          <w:tcPr>
            <w:tcW w:w="961" w:type="pct"/>
            <w:tcBorders>
              <w:top w:val="nil"/>
              <w:left w:val="nil"/>
              <w:bottom w:val="nil"/>
              <w:right w:val="nil"/>
            </w:tcBorders>
            <w:shd w:val="clear" w:color="auto" w:fill="auto"/>
            <w:noWrap/>
          </w:tcPr>
          <w:p w:rsidR="0034670F" w:rsidRPr="00E53641" w:rsidRDefault="0034670F" w:rsidP="0034670F">
            <w:pPr>
              <w:pBdr>
                <w:bottom w:val="single" w:sz="4" w:space="1" w:color="auto"/>
              </w:pBdr>
              <w:spacing w:before="0" w:after="0"/>
              <w:ind w:left="160"/>
              <w:jc w:val="center"/>
              <w:rPr>
                <w:b/>
                <w:bCs/>
                <w:sz w:val="18"/>
                <w:szCs w:val="18"/>
              </w:rPr>
            </w:pPr>
            <w:r w:rsidRPr="00E53641">
              <w:rPr>
                <w:b/>
                <w:bCs/>
                <w:sz w:val="18"/>
                <w:szCs w:val="18"/>
              </w:rPr>
              <w:t xml:space="preserve">Year ended </w:t>
            </w:r>
            <w:r w:rsidRPr="00E53641">
              <w:rPr>
                <w:b/>
                <w:bCs/>
                <w:sz w:val="18"/>
                <w:szCs w:val="18"/>
              </w:rPr>
              <w:br/>
              <w:t>30 September 2013</w:t>
            </w:r>
          </w:p>
        </w:tc>
        <w:tc>
          <w:tcPr>
            <w:tcW w:w="123" w:type="pct"/>
            <w:tcBorders>
              <w:top w:val="nil"/>
              <w:left w:val="nil"/>
              <w:bottom w:val="nil"/>
              <w:right w:val="nil"/>
            </w:tcBorders>
            <w:shd w:val="clear" w:color="auto" w:fill="auto"/>
            <w:noWrap/>
            <w:vAlign w:val="bottom"/>
          </w:tcPr>
          <w:p w:rsidR="0034670F" w:rsidRPr="00E53641" w:rsidRDefault="0034670F" w:rsidP="0034670F">
            <w:pPr>
              <w:jc w:val="center"/>
              <w:rPr>
                <w:b/>
                <w:bCs/>
              </w:rPr>
            </w:pPr>
          </w:p>
        </w:tc>
      </w:tr>
      <w:tr w:rsidR="0034670F" w:rsidRPr="00E53641" w:rsidTr="0034670F">
        <w:trPr>
          <w:trHeight w:val="255"/>
        </w:trPr>
        <w:tc>
          <w:tcPr>
            <w:tcW w:w="2969" w:type="pct"/>
            <w:tcBorders>
              <w:top w:val="nil"/>
              <w:left w:val="nil"/>
              <w:bottom w:val="nil"/>
              <w:right w:val="nil"/>
            </w:tcBorders>
            <w:shd w:val="clear" w:color="auto" w:fill="auto"/>
            <w:noWrap/>
          </w:tcPr>
          <w:p w:rsidR="0034670F" w:rsidRPr="00E53641" w:rsidRDefault="0034670F" w:rsidP="0034670F">
            <w:pPr>
              <w:pStyle w:val="NormalWeb"/>
              <w:keepNext/>
              <w:spacing w:before="0" w:after="0"/>
              <w:rPr>
                <w:b/>
                <w:bCs/>
                <w:sz w:val="18"/>
                <w:szCs w:val="18"/>
              </w:rPr>
            </w:pPr>
            <w:r w:rsidRPr="00E53641">
              <w:rPr>
                <w:b/>
                <w:bCs/>
                <w:sz w:val="18"/>
                <w:szCs w:val="18"/>
              </w:rPr>
              <w:t>Summary Consolidated Statement of Cashflow</w:t>
            </w:r>
          </w:p>
        </w:tc>
        <w:tc>
          <w:tcPr>
            <w:tcW w:w="947" w:type="pct"/>
            <w:tcBorders>
              <w:top w:val="nil"/>
              <w:left w:val="nil"/>
              <w:bottom w:val="nil"/>
              <w:right w:val="nil"/>
            </w:tcBorders>
            <w:shd w:val="clear" w:color="auto" w:fill="auto"/>
            <w:noWrap/>
          </w:tcPr>
          <w:p w:rsidR="0034670F" w:rsidRPr="00E53641" w:rsidRDefault="0034670F" w:rsidP="0034670F">
            <w:pPr>
              <w:pStyle w:val="la24"/>
              <w:spacing w:before="0" w:after="0"/>
              <w:jc w:val="right"/>
              <w:rPr>
                <w:noProof w:val="0"/>
                <w:sz w:val="18"/>
                <w:szCs w:val="18"/>
                <w:lang w:val="en-GB"/>
              </w:rPr>
            </w:pPr>
            <w:r w:rsidRPr="00E53641">
              <w:rPr>
                <w:noProof w:val="0"/>
                <w:sz w:val="18"/>
                <w:szCs w:val="18"/>
                <w:lang w:val="en-GB"/>
              </w:rPr>
              <w:t> </w:t>
            </w:r>
          </w:p>
        </w:tc>
        <w:tc>
          <w:tcPr>
            <w:tcW w:w="961" w:type="pct"/>
            <w:tcBorders>
              <w:top w:val="nil"/>
              <w:left w:val="nil"/>
              <w:bottom w:val="nil"/>
              <w:right w:val="nil"/>
            </w:tcBorders>
            <w:shd w:val="clear" w:color="auto" w:fill="auto"/>
            <w:noWrap/>
          </w:tcPr>
          <w:p w:rsidR="0034670F" w:rsidRPr="00E53641" w:rsidRDefault="0034670F" w:rsidP="0034670F">
            <w:pPr>
              <w:pStyle w:val="la24"/>
              <w:spacing w:before="0" w:after="0"/>
              <w:jc w:val="right"/>
              <w:rPr>
                <w:noProof w:val="0"/>
                <w:sz w:val="18"/>
                <w:szCs w:val="18"/>
                <w:lang w:val="en-GB"/>
              </w:rPr>
            </w:pPr>
          </w:p>
        </w:tc>
        <w:tc>
          <w:tcPr>
            <w:tcW w:w="123" w:type="pct"/>
            <w:tcBorders>
              <w:top w:val="nil"/>
              <w:left w:val="nil"/>
              <w:bottom w:val="nil"/>
              <w:right w:val="nil"/>
            </w:tcBorders>
            <w:shd w:val="clear" w:color="auto" w:fill="auto"/>
            <w:noWrap/>
            <w:vAlign w:val="bottom"/>
          </w:tcPr>
          <w:p w:rsidR="0034670F" w:rsidRPr="00E53641" w:rsidRDefault="0034670F" w:rsidP="0034670F">
            <w:pPr>
              <w:spacing w:before="0" w:after="0"/>
              <w:jc w:val="left"/>
              <w:rPr>
                <w:sz w:val="18"/>
                <w:szCs w:val="18"/>
                <w:lang w:eastAsia="en-GB"/>
              </w:rPr>
            </w:pPr>
          </w:p>
        </w:tc>
      </w:tr>
      <w:tr w:rsidR="0034670F" w:rsidRPr="00E53641" w:rsidTr="0034670F">
        <w:trPr>
          <w:trHeight w:val="255"/>
        </w:trPr>
        <w:tc>
          <w:tcPr>
            <w:tcW w:w="2969" w:type="pct"/>
            <w:tcBorders>
              <w:top w:val="nil"/>
              <w:left w:val="nil"/>
              <w:bottom w:val="nil"/>
              <w:right w:val="nil"/>
            </w:tcBorders>
            <w:shd w:val="clear" w:color="auto" w:fill="auto"/>
          </w:tcPr>
          <w:p w:rsidR="0034670F" w:rsidRPr="00E53641" w:rsidRDefault="0034670F" w:rsidP="0034670F">
            <w:pPr>
              <w:pStyle w:val="NormalWeb"/>
              <w:keepNext/>
              <w:tabs>
                <w:tab w:val="right" w:leader="dot" w:pos="5670"/>
              </w:tabs>
              <w:spacing w:before="0" w:after="0"/>
              <w:ind w:left="240" w:hanging="240"/>
              <w:rPr>
                <w:sz w:val="18"/>
                <w:szCs w:val="18"/>
              </w:rPr>
            </w:pPr>
            <w:r w:rsidRPr="00E53641">
              <w:rPr>
                <w:sz w:val="18"/>
                <w:szCs w:val="18"/>
              </w:rPr>
              <w:t>Cash flow from operating activities</w:t>
            </w:r>
            <w:r w:rsidRPr="00E53641">
              <w:rPr>
                <w:sz w:val="18"/>
                <w:szCs w:val="18"/>
              </w:rPr>
              <w:tab/>
            </w:r>
          </w:p>
        </w:tc>
        <w:tc>
          <w:tcPr>
            <w:tcW w:w="947" w:type="pct"/>
            <w:tcBorders>
              <w:top w:val="nil"/>
              <w:left w:val="nil"/>
              <w:bottom w:val="nil"/>
              <w:right w:val="nil"/>
            </w:tcBorders>
            <w:shd w:val="clear" w:color="auto" w:fill="auto"/>
            <w:noWrap/>
          </w:tcPr>
          <w:p w:rsidR="0034670F" w:rsidRPr="00E53641" w:rsidRDefault="0034670F" w:rsidP="0034670F">
            <w:pPr>
              <w:pStyle w:val="NormalWeb"/>
              <w:tabs>
                <w:tab w:val="right" w:pos="720"/>
                <w:tab w:val="decimal" w:pos="760"/>
              </w:tabs>
              <w:spacing w:before="0" w:after="0"/>
              <w:jc w:val="right"/>
              <w:rPr>
                <w:bCs/>
                <w:sz w:val="18"/>
                <w:szCs w:val="18"/>
              </w:rPr>
            </w:pPr>
            <w:r w:rsidRPr="00E53641">
              <w:rPr>
                <w:bCs/>
                <w:sz w:val="18"/>
                <w:szCs w:val="18"/>
              </w:rPr>
              <w:t>6.6</w:t>
            </w:r>
          </w:p>
        </w:tc>
        <w:tc>
          <w:tcPr>
            <w:tcW w:w="961" w:type="pct"/>
            <w:tcBorders>
              <w:top w:val="nil"/>
              <w:left w:val="nil"/>
              <w:bottom w:val="nil"/>
              <w:right w:val="nil"/>
            </w:tcBorders>
            <w:shd w:val="clear" w:color="auto" w:fill="auto"/>
            <w:noWrap/>
          </w:tcPr>
          <w:p w:rsidR="0034670F" w:rsidRPr="00E53641" w:rsidRDefault="0034670F" w:rsidP="0034670F">
            <w:pPr>
              <w:pStyle w:val="NormalWeb"/>
              <w:tabs>
                <w:tab w:val="right" w:pos="720"/>
                <w:tab w:val="decimal" w:pos="760"/>
              </w:tabs>
              <w:spacing w:before="0" w:after="0"/>
              <w:jc w:val="right"/>
              <w:rPr>
                <w:bCs/>
                <w:sz w:val="18"/>
                <w:szCs w:val="18"/>
              </w:rPr>
            </w:pPr>
            <w:r w:rsidRPr="00E53641">
              <w:rPr>
                <w:bCs/>
                <w:sz w:val="18"/>
                <w:szCs w:val="18"/>
              </w:rPr>
              <w:t>5.5</w:t>
            </w:r>
          </w:p>
        </w:tc>
        <w:tc>
          <w:tcPr>
            <w:tcW w:w="123" w:type="pct"/>
            <w:tcBorders>
              <w:top w:val="nil"/>
              <w:left w:val="nil"/>
              <w:bottom w:val="nil"/>
              <w:right w:val="nil"/>
            </w:tcBorders>
            <w:shd w:val="clear" w:color="auto" w:fill="auto"/>
            <w:noWrap/>
            <w:vAlign w:val="bottom"/>
          </w:tcPr>
          <w:p w:rsidR="0034670F" w:rsidRPr="00E53641" w:rsidRDefault="0034670F" w:rsidP="0034670F">
            <w:pPr>
              <w:spacing w:before="0" w:after="0"/>
              <w:jc w:val="right"/>
              <w:rPr>
                <w:sz w:val="18"/>
                <w:szCs w:val="18"/>
                <w:lang w:eastAsia="en-GB"/>
              </w:rPr>
            </w:pPr>
          </w:p>
        </w:tc>
      </w:tr>
      <w:tr w:rsidR="0034670F" w:rsidRPr="00E53641" w:rsidTr="0034670F">
        <w:trPr>
          <w:trHeight w:val="510"/>
        </w:trPr>
        <w:tc>
          <w:tcPr>
            <w:tcW w:w="2969" w:type="pct"/>
            <w:tcBorders>
              <w:top w:val="nil"/>
              <w:left w:val="nil"/>
              <w:bottom w:val="nil"/>
              <w:right w:val="nil"/>
            </w:tcBorders>
            <w:shd w:val="clear" w:color="auto" w:fill="auto"/>
          </w:tcPr>
          <w:p w:rsidR="0034670F" w:rsidRPr="00E53641" w:rsidRDefault="0034670F" w:rsidP="0034670F">
            <w:pPr>
              <w:pStyle w:val="NormalWeb"/>
              <w:keepNext/>
              <w:tabs>
                <w:tab w:val="right" w:leader="dot" w:pos="5670"/>
              </w:tabs>
              <w:spacing w:before="0" w:after="0"/>
              <w:ind w:left="240" w:hanging="240"/>
              <w:rPr>
                <w:sz w:val="18"/>
                <w:szCs w:val="18"/>
              </w:rPr>
            </w:pPr>
            <w:r w:rsidRPr="00E53641">
              <w:rPr>
                <w:sz w:val="18"/>
                <w:szCs w:val="18"/>
              </w:rPr>
              <w:t>Increase in working capital (-)/ decrease in working capital (+)</w:t>
            </w:r>
            <w:r w:rsidRPr="00E53641">
              <w:rPr>
                <w:sz w:val="18"/>
                <w:szCs w:val="18"/>
              </w:rPr>
              <w:tab/>
            </w:r>
          </w:p>
          <w:p w:rsidR="0034670F" w:rsidRPr="00E53641" w:rsidRDefault="0034670F" w:rsidP="0034670F">
            <w:pPr>
              <w:pStyle w:val="la24"/>
              <w:tabs>
                <w:tab w:val="right" w:leader="dot" w:pos="5670"/>
              </w:tabs>
              <w:spacing w:before="0" w:after="0"/>
              <w:rPr>
                <w:sz w:val="18"/>
                <w:szCs w:val="18"/>
              </w:rPr>
            </w:pPr>
            <w:r w:rsidRPr="00E53641">
              <w:rPr>
                <w:noProof w:val="0"/>
                <w:sz w:val="18"/>
                <w:szCs w:val="18"/>
                <w:lang w:val="en-GB"/>
              </w:rPr>
              <w:t> </w:t>
            </w:r>
          </w:p>
        </w:tc>
        <w:tc>
          <w:tcPr>
            <w:tcW w:w="947" w:type="pct"/>
            <w:tcBorders>
              <w:top w:val="nil"/>
              <w:left w:val="nil"/>
              <w:bottom w:val="nil"/>
              <w:right w:val="nil"/>
            </w:tcBorders>
            <w:shd w:val="clear" w:color="auto" w:fill="auto"/>
            <w:noWrap/>
          </w:tcPr>
          <w:p w:rsidR="0034670F" w:rsidRPr="00E53641" w:rsidRDefault="0034670F" w:rsidP="0034670F">
            <w:pPr>
              <w:pStyle w:val="NormalWeb"/>
              <w:pBdr>
                <w:bottom w:val="single" w:sz="4" w:space="1" w:color="auto"/>
              </w:pBdr>
              <w:tabs>
                <w:tab w:val="right" w:pos="720"/>
                <w:tab w:val="decimal" w:pos="760"/>
              </w:tabs>
              <w:spacing w:before="0" w:after="0"/>
              <w:jc w:val="right"/>
              <w:rPr>
                <w:sz w:val="18"/>
                <w:szCs w:val="18"/>
              </w:rPr>
            </w:pPr>
            <w:r w:rsidRPr="00E53641">
              <w:rPr>
                <w:sz w:val="18"/>
                <w:szCs w:val="18"/>
              </w:rPr>
              <w:t>0.9</w:t>
            </w:r>
          </w:p>
        </w:tc>
        <w:tc>
          <w:tcPr>
            <w:tcW w:w="961" w:type="pct"/>
            <w:tcBorders>
              <w:top w:val="nil"/>
              <w:left w:val="nil"/>
              <w:bottom w:val="nil"/>
              <w:right w:val="nil"/>
            </w:tcBorders>
            <w:shd w:val="clear" w:color="auto" w:fill="auto"/>
            <w:noWrap/>
          </w:tcPr>
          <w:p w:rsidR="0034670F" w:rsidRPr="00E53641" w:rsidRDefault="0034670F" w:rsidP="0034670F">
            <w:pPr>
              <w:pStyle w:val="NormalWeb"/>
              <w:pBdr>
                <w:bottom w:val="single" w:sz="4" w:space="1" w:color="auto"/>
              </w:pBdr>
              <w:tabs>
                <w:tab w:val="right" w:pos="720"/>
                <w:tab w:val="decimal" w:pos="760"/>
              </w:tabs>
              <w:spacing w:before="0" w:after="0"/>
              <w:jc w:val="right"/>
              <w:rPr>
                <w:sz w:val="18"/>
                <w:szCs w:val="18"/>
              </w:rPr>
            </w:pPr>
            <w:r w:rsidRPr="00E53641">
              <w:rPr>
                <w:sz w:val="18"/>
                <w:szCs w:val="18"/>
              </w:rPr>
              <w:t>0.4</w:t>
            </w:r>
          </w:p>
        </w:tc>
        <w:tc>
          <w:tcPr>
            <w:tcW w:w="123" w:type="pct"/>
            <w:tcBorders>
              <w:top w:val="nil"/>
              <w:left w:val="nil"/>
              <w:bottom w:val="nil"/>
              <w:right w:val="nil"/>
            </w:tcBorders>
            <w:shd w:val="clear" w:color="auto" w:fill="auto"/>
            <w:noWrap/>
            <w:vAlign w:val="bottom"/>
          </w:tcPr>
          <w:p w:rsidR="0034670F" w:rsidRPr="00E53641" w:rsidRDefault="0034670F" w:rsidP="0034670F">
            <w:pPr>
              <w:spacing w:before="0" w:after="0"/>
              <w:jc w:val="right"/>
              <w:rPr>
                <w:sz w:val="18"/>
                <w:szCs w:val="18"/>
                <w:lang w:eastAsia="en-GB"/>
              </w:rPr>
            </w:pPr>
          </w:p>
        </w:tc>
      </w:tr>
      <w:tr w:rsidR="0034670F" w:rsidRPr="00E53641" w:rsidTr="0034670F">
        <w:trPr>
          <w:trHeight w:val="255"/>
        </w:trPr>
        <w:tc>
          <w:tcPr>
            <w:tcW w:w="2969" w:type="pct"/>
            <w:tcBorders>
              <w:top w:val="nil"/>
              <w:left w:val="nil"/>
              <w:bottom w:val="nil"/>
              <w:right w:val="nil"/>
            </w:tcBorders>
            <w:shd w:val="clear" w:color="auto" w:fill="auto"/>
          </w:tcPr>
          <w:p w:rsidR="0034670F" w:rsidRPr="00E53641" w:rsidRDefault="0034670F" w:rsidP="0034670F">
            <w:pPr>
              <w:pStyle w:val="NormalWeb"/>
              <w:keepNext/>
              <w:tabs>
                <w:tab w:val="right" w:leader="dot" w:pos="5670"/>
              </w:tabs>
              <w:spacing w:before="0" w:after="0"/>
              <w:ind w:left="240" w:hanging="240"/>
              <w:rPr>
                <w:b/>
                <w:sz w:val="18"/>
                <w:szCs w:val="18"/>
              </w:rPr>
            </w:pPr>
            <w:r w:rsidRPr="00E53641">
              <w:rPr>
                <w:b/>
                <w:sz w:val="18"/>
                <w:szCs w:val="18"/>
              </w:rPr>
              <w:t>= Net cash flow from operating activities</w:t>
            </w:r>
            <w:r w:rsidRPr="00E53641">
              <w:rPr>
                <w:bCs/>
                <w:sz w:val="18"/>
                <w:szCs w:val="18"/>
              </w:rPr>
              <w:tab/>
            </w:r>
          </w:p>
        </w:tc>
        <w:tc>
          <w:tcPr>
            <w:tcW w:w="947" w:type="pct"/>
            <w:tcBorders>
              <w:top w:val="nil"/>
              <w:left w:val="nil"/>
              <w:bottom w:val="nil"/>
              <w:right w:val="nil"/>
            </w:tcBorders>
            <w:shd w:val="clear" w:color="auto" w:fill="auto"/>
            <w:noWrap/>
          </w:tcPr>
          <w:p w:rsidR="0034670F" w:rsidRPr="00E53641" w:rsidRDefault="0034670F" w:rsidP="0034670F">
            <w:pPr>
              <w:pStyle w:val="NormalWeb"/>
              <w:tabs>
                <w:tab w:val="right" w:pos="720"/>
                <w:tab w:val="decimal" w:pos="760"/>
              </w:tabs>
              <w:spacing w:before="0" w:after="0"/>
              <w:jc w:val="right"/>
              <w:rPr>
                <w:b/>
                <w:sz w:val="18"/>
                <w:szCs w:val="18"/>
              </w:rPr>
            </w:pPr>
            <w:r w:rsidRPr="00E53641">
              <w:rPr>
                <w:b/>
                <w:sz w:val="18"/>
                <w:szCs w:val="18"/>
              </w:rPr>
              <w:t>7.5</w:t>
            </w:r>
          </w:p>
        </w:tc>
        <w:tc>
          <w:tcPr>
            <w:tcW w:w="961" w:type="pct"/>
            <w:tcBorders>
              <w:top w:val="nil"/>
              <w:left w:val="nil"/>
              <w:bottom w:val="nil"/>
              <w:right w:val="nil"/>
            </w:tcBorders>
            <w:shd w:val="clear" w:color="auto" w:fill="auto"/>
            <w:noWrap/>
          </w:tcPr>
          <w:p w:rsidR="0034670F" w:rsidRPr="00E53641" w:rsidRDefault="0034670F" w:rsidP="0034670F">
            <w:pPr>
              <w:pStyle w:val="NormalWeb"/>
              <w:tabs>
                <w:tab w:val="right" w:pos="720"/>
                <w:tab w:val="decimal" w:pos="760"/>
              </w:tabs>
              <w:spacing w:before="0" w:after="0"/>
              <w:jc w:val="right"/>
              <w:rPr>
                <w:b/>
                <w:bCs/>
                <w:sz w:val="18"/>
                <w:szCs w:val="18"/>
              </w:rPr>
            </w:pPr>
            <w:r w:rsidRPr="00E53641">
              <w:rPr>
                <w:b/>
                <w:bCs/>
                <w:sz w:val="18"/>
                <w:szCs w:val="18"/>
              </w:rPr>
              <w:t>5.9</w:t>
            </w:r>
          </w:p>
        </w:tc>
        <w:tc>
          <w:tcPr>
            <w:tcW w:w="123" w:type="pct"/>
            <w:tcBorders>
              <w:top w:val="nil"/>
              <w:left w:val="nil"/>
              <w:bottom w:val="nil"/>
              <w:right w:val="nil"/>
            </w:tcBorders>
            <w:shd w:val="clear" w:color="auto" w:fill="auto"/>
            <w:noWrap/>
            <w:vAlign w:val="bottom"/>
          </w:tcPr>
          <w:p w:rsidR="0034670F" w:rsidRPr="00E53641" w:rsidRDefault="0034670F" w:rsidP="0034670F">
            <w:pPr>
              <w:spacing w:before="0" w:after="0"/>
              <w:jc w:val="left"/>
              <w:rPr>
                <w:sz w:val="18"/>
                <w:szCs w:val="18"/>
                <w:lang w:eastAsia="en-GB"/>
              </w:rPr>
            </w:pPr>
          </w:p>
        </w:tc>
      </w:tr>
      <w:tr w:rsidR="0034670F" w:rsidRPr="00E53641" w:rsidTr="0034670F">
        <w:trPr>
          <w:trHeight w:val="255"/>
        </w:trPr>
        <w:tc>
          <w:tcPr>
            <w:tcW w:w="2969" w:type="pct"/>
            <w:tcBorders>
              <w:top w:val="nil"/>
              <w:left w:val="nil"/>
              <w:bottom w:val="nil"/>
              <w:right w:val="nil"/>
            </w:tcBorders>
            <w:shd w:val="clear" w:color="auto" w:fill="auto"/>
          </w:tcPr>
          <w:p w:rsidR="0034670F" w:rsidRPr="00E53641" w:rsidRDefault="0034670F" w:rsidP="0034670F">
            <w:pPr>
              <w:pStyle w:val="NormalWeb"/>
              <w:keepNext/>
              <w:tabs>
                <w:tab w:val="right" w:leader="dot" w:pos="5670"/>
              </w:tabs>
              <w:spacing w:before="0" w:after="0"/>
              <w:ind w:left="240" w:hanging="240"/>
              <w:rPr>
                <w:sz w:val="18"/>
                <w:szCs w:val="18"/>
              </w:rPr>
            </w:pPr>
            <w:r w:rsidRPr="00E53641">
              <w:rPr>
                <w:sz w:val="18"/>
                <w:szCs w:val="18"/>
              </w:rPr>
              <w:t>Cash flow from investing activities</w:t>
            </w:r>
            <w:r w:rsidRPr="00E53641">
              <w:rPr>
                <w:sz w:val="18"/>
                <w:szCs w:val="18"/>
              </w:rPr>
              <w:tab/>
            </w:r>
          </w:p>
        </w:tc>
        <w:tc>
          <w:tcPr>
            <w:tcW w:w="947" w:type="pct"/>
            <w:tcBorders>
              <w:top w:val="nil"/>
              <w:left w:val="nil"/>
              <w:bottom w:val="nil"/>
              <w:right w:val="nil"/>
            </w:tcBorders>
            <w:shd w:val="clear" w:color="auto" w:fill="auto"/>
            <w:noWrap/>
          </w:tcPr>
          <w:p w:rsidR="0034670F" w:rsidRPr="00E53641" w:rsidRDefault="0034670F" w:rsidP="0034670F">
            <w:pPr>
              <w:pStyle w:val="NormalWeb"/>
              <w:tabs>
                <w:tab w:val="right" w:pos="720"/>
                <w:tab w:val="decimal" w:pos="760"/>
              </w:tabs>
              <w:spacing w:before="0" w:after="0"/>
              <w:jc w:val="right"/>
              <w:rPr>
                <w:sz w:val="18"/>
                <w:szCs w:val="18"/>
              </w:rPr>
            </w:pPr>
            <w:r w:rsidRPr="00E53641">
              <w:rPr>
                <w:sz w:val="18"/>
                <w:szCs w:val="18"/>
              </w:rPr>
              <w:t>(2.5)</w:t>
            </w:r>
          </w:p>
        </w:tc>
        <w:tc>
          <w:tcPr>
            <w:tcW w:w="961" w:type="pct"/>
            <w:tcBorders>
              <w:top w:val="nil"/>
              <w:left w:val="nil"/>
              <w:bottom w:val="nil"/>
              <w:right w:val="nil"/>
            </w:tcBorders>
            <w:shd w:val="clear" w:color="auto" w:fill="auto"/>
            <w:noWrap/>
          </w:tcPr>
          <w:p w:rsidR="0034670F" w:rsidRPr="00E53641" w:rsidRDefault="0034670F" w:rsidP="0034670F">
            <w:pPr>
              <w:pStyle w:val="NormalWeb"/>
              <w:tabs>
                <w:tab w:val="right" w:pos="720"/>
                <w:tab w:val="decimal" w:pos="760"/>
              </w:tabs>
              <w:spacing w:before="0" w:after="0"/>
              <w:jc w:val="right"/>
              <w:rPr>
                <w:sz w:val="18"/>
                <w:szCs w:val="18"/>
              </w:rPr>
            </w:pPr>
            <w:r w:rsidRPr="00E53641">
              <w:rPr>
                <w:sz w:val="18"/>
                <w:szCs w:val="18"/>
              </w:rPr>
              <w:t>(3.6)</w:t>
            </w:r>
          </w:p>
        </w:tc>
        <w:tc>
          <w:tcPr>
            <w:tcW w:w="123" w:type="pct"/>
            <w:tcBorders>
              <w:top w:val="nil"/>
              <w:left w:val="nil"/>
              <w:bottom w:val="nil"/>
              <w:right w:val="nil"/>
            </w:tcBorders>
            <w:shd w:val="clear" w:color="auto" w:fill="auto"/>
            <w:noWrap/>
            <w:vAlign w:val="bottom"/>
          </w:tcPr>
          <w:p w:rsidR="0034670F" w:rsidRPr="00E53641" w:rsidRDefault="0034670F" w:rsidP="0034670F">
            <w:pPr>
              <w:spacing w:before="0" w:after="0"/>
              <w:jc w:val="right"/>
              <w:rPr>
                <w:b/>
                <w:bCs/>
                <w:sz w:val="18"/>
                <w:szCs w:val="18"/>
                <w:lang w:eastAsia="en-GB"/>
              </w:rPr>
            </w:pPr>
          </w:p>
        </w:tc>
      </w:tr>
      <w:tr w:rsidR="0034670F" w:rsidRPr="00E53641" w:rsidTr="0034670F">
        <w:trPr>
          <w:trHeight w:val="255"/>
        </w:trPr>
        <w:tc>
          <w:tcPr>
            <w:tcW w:w="2969" w:type="pct"/>
            <w:tcBorders>
              <w:top w:val="nil"/>
              <w:left w:val="nil"/>
              <w:bottom w:val="nil"/>
              <w:right w:val="nil"/>
            </w:tcBorders>
            <w:shd w:val="clear" w:color="auto" w:fill="auto"/>
          </w:tcPr>
          <w:p w:rsidR="0034670F" w:rsidRPr="00E53641" w:rsidRDefault="0034670F" w:rsidP="0034670F">
            <w:pPr>
              <w:pStyle w:val="NormalWeb"/>
              <w:keepNext/>
              <w:tabs>
                <w:tab w:val="right" w:leader="dot" w:pos="5670"/>
              </w:tabs>
              <w:spacing w:before="0" w:after="0"/>
              <w:ind w:left="240" w:hanging="240"/>
              <w:rPr>
                <w:sz w:val="18"/>
                <w:szCs w:val="18"/>
              </w:rPr>
            </w:pPr>
            <w:r w:rsidRPr="00E53641">
              <w:rPr>
                <w:sz w:val="18"/>
                <w:szCs w:val="18"/>
              </w:rPr>
              <w:t>Cash flow from financing activities</w:t>
            </w:r>
            <w:r w:rsidRPr="00E53641">
              <w:rPr>
                <w:sz w:val="18"/>
                <w:szCs w:val="18"/>
              </w:rPr>
              <w:tab/>
            </w:r>
          </w:p>
        </w:tc>
        <w:tc>
          <w:tcPr>
            <w:tcW w:w="947" w:type="pct"/>
            <w:tcBorders>
              <w:top w:val="nil"/>
              <w:left w:val="nil"/>
              <w:bottom w:val="nil"/>
              <w:right w:val="nil"/>
            </w:tcBorders>
            <w:shd w:val="clear" w:color="auto" w:fill="auto"/>
            <w:noWrap/>
          </w:tcPr>
          <w:p w:rsidR="0034670F" w:rsidRPr="00E53641" w:rsidRDefault="0034670F" w:rsidP="0034670F">
            <w:pPr>
              <w:pStyle w:val="NormalWeb"/>
              <w:tabs>
                <w:tab w:val="right" w:pos="720"/>
                <w:tab w:val="decimal" w:pos="760"/>
              </w:tabs>
              <w:spacing w:before="0" w:after="0"/>
              <w:jc w:val="right"/>
              <w:rPr>
                <w:sz w:val="18"/>
                <w:szCs w:val="18"/>
              </w:rPr>
            </w:pPr>
            <w:r w:rsidRPr="00E53641">
              <w:rPr>
                <w:sz w:val="18"/>
                <w:szCs w:val="18"/>
              </w:rPr>
              <w:t>(4.2)</w:t>
            </w:r>
          </w:p>
        </w:tc>
        <w:tc>
          <w:tcPr>
            <w:tcW w:w="961" w:type="pct"/>
            <w:tcBorders>
              <w:top w:val="nil"/>
              <w:left w:val="nil"/>
              <w:bottom w:val="nil"/>
              <w:right w:val="nil"/>
            </w:tcBorders>
            <w:shd w:val="clear" w:color="auto" w:fill="auto"/>
            <w:noWrap/>
          </w:tcPr>
          <w:p w:rsidR="0034670F" w:rsidRPr="00E53641" w:rsidRDefault="0034670F" w:rsidP="0034670F">
            <w:pPr>
              <w:pStyle w:val="NormalWeb"/>
              <w:tabs>
                <w:tab w:val="right" w:pos="720"/>
                <w:tab w:val="decimal" w:pos="760"/>
              </w:tabs>
              <w:spacing w:before="0" w:after="0"/>
              <w:jc w:val="right"/>
              <w:rPr>
                <w:sz w:val="18"/>
                <w:szCs w:val="18"/>
              </w:rPr>
            </w:pPr>
            <w:r w:rsidRPr="00E53641">
              <w:rPr>
                <w:sz w:val="18"/>
                <w:szCs w:val="18"/>
              </w:rPr>
              <w:t>(2.3)</w:t>
            </w:r>
          </w:p>
        </w:tc>
        <w:tc>
          <w:tcPr>
            <w:tcW w:w="123" w:type="pct"/>
            <w:tcBorders>
              <w:top w:val="nil"/>
              <w:left w:val="nil"/>
              <w:bottom w:val="nil"/>
              <w:right w:val="nil"/>
            </w:tcBorders>
            <w:shd w:val="clear" w:color="auto" w:fill="auto"/>
            <w:noWrap/>
            <w:vAlign w:val="bottom"/>
          </w:tcPr>
          <w:p w:rsidR="0034670F" w:rsidRPr="00E53641" w:rsidRDefault="0034670F" w:rsidP="0034670F">
            <w:pPr>
              <w:spacing w:before="0" w:after="0"/>
              <w:jc w:val="left"/>
              <w:rPr>
                <w:sz w:val="18"/>
                <w:szCs w:val="18"/>
                <w:lang w:eastAsia="en-GB"/>
              </w:rPr>
            </w:pPr>
          </w:p>
        </w:tc>
      </w:tr>
      <w:tr w:rsidR="0034670F" w:rsidRPr="00E53641" w:rsidTr="0034670F">
        <w:trPr>
          <w:trHeight w:val="255"/>
        </w:trPr>
        <w:tc>
          <w:tcPr>
            <w:tcW w:w="2969" w:type="pct"/>
            <w:tcBorders>
              <w:top w:val="nil"/>
              <w:left w:val="nil"/>
              <w:bottom w:val="nil"/>
              <w:right w:val="nil"/>
            </w:tcBorders>
            <w:shd w:val="clear" w:color="auto" w:fill="auto"/>
          </w:tcPr>
          <w:p w:rsidR="0034670F" w:rsidRPr="00E53641" w:rsidRDefault="0034670F" w:rsidP="0034670F">
            <w:pPr>
              <w:pStyle w:val="NormalWeb"/>
              <w:keepNext/>
              <w:tabs>
                <w:tab w:val="right" w:leader="dot" w:pos="5670"/>
              </w:tabs>
              <w:spacing w:before="0" w:after="0"/>
              <w:ind w:left="240" w:hanging="240"/>
              <w:rPr>
                <w:sz w:val="18"/>
                <w:szCs w:val="18"/>
              </w:rPr>
            </w:pPr>
            <w:r w:rsidRPr="00E53641">
              <w:rPr>
                <w:sz w:val="18"/>
                <w:szCs w:val="18"/>
              </w:rPr>
              <w:t>Effect of exchange rate fluctuation</w:t>
            </w:r>
            <w:r w:rsidRPr="00E53641">
              <w:rPr>
                <w:sz w:val="18"/>
                <w:szCs w:val="18"/>
              </w:rPr>
              <w:tab/>
            </w:r>
          </w:p>
        </w:tc>
        <w:tc>
          <w:tcPr>
            <w:tcW w:w="947" w:type="pct"/>
            <w:tcBorders>
              <w:top w:val="nil"/>
              <w:left w:val="nil"/>
              <w:bottom w:val="nil"/>
              <w:right w:val="nil"/>
            </w:tcBorders>
            <w:shd w:val="clear" w:color="auto" w:fill="auto"/>
            <w:noWrap/>
          </w:tcPr>
          <w:p w:rsidR="0034670F" w:rsidRPr="00E53641" w:rsidRDefault="0034670F" w:rsidP="0034670F">
            <w:pPr>
              <w:pStyle w:val="NormalWeb"/>
              <w:pBdr>
                <w:bottom w:val="single" w:sz="4" w:space="1" w:color="auto"/>
              </w:pBdr>
              <w:tabs>
                <w:tab w:val="right" w:pos="720"/>
                <w:tab w:val="decimal" w:pos="760"/>
              </w:tabs>
              <w:spacing w:before="0" w:after="0"/>
              <w:jc w:val="right"/>
              <w:rPr>
                <w:sz w:val="18"/>
                <w:szCs w:val="18"/>
              </w:rPr>
            </w:pPr>
            <w:r w:rsidRPr="00E53641">
              <w:rPr>
                <w:sz w:val="18"/>
                <w:szCs w:val="18"/>
              </w:rPr>
              <w:t>-</w:t>
            </w:r>
          </w:p>
        </w:tc>
        <w:tc>
          <w:tcPr>
            <w:tcW w:w="961" w:type="pct"/>
            <w:tcBorders>
              <w:top w:val="nil"/>
              <w:left w:val="nil"/>
              <w:bottom w:val="nil"/>
              <w:right w:val="nil"/>
            </w:tcBorders>
            <w:shd w:val="clear" w:color="auto" w:fill="auto"/>
            <w:noWrap/>
          </w:tcPr>
          <w:p w:rsidR="0034670F" w:rsidRPr="00E53641" w:rsidRDefault="0034670F" w:rsidP="0034670F">
            <w:pPr>
              <w:pStyle w:val="NormalWeb"/>
              <w:pBdr>
                <w:bottom w:val="single" w:sz="4" w:space="1" w:color="auto"/>
              </w:pBdr>
              <w:tabs>
                <w:tab w:val="right" w:pos="720"/>
                <w:tab w:val="decimal" w:pos="760"/>
              </w:tabs>
              <w:spacing w:before="0" w:after="0"/>
              <w:jc w:val="right"/>
              <w:rPr>
                <w:sz w:val="18"/>
                <w:szCs w:val="18"/>
              </w:rPr>
            </w:pPr>
            <w:r w:rsidRPr="00E53641">
              <w:rPr>
                <w:sz w:val="18"/>
                <w:szCs w:val="18"/>
              </w:rPr>
              <w:t>-</w:t>
            </w:r>
          </w:p>
        </w:tc>
        <w:tc>
          <w:tcPr>
            <w:tcW w:w="123" w:type="pct"/>
            <w:tcBorders>
              <w:top w:val="nil"/>
              <w:left w:val="nil"/>
              <w:bottom w:val="nil"/>
              <w:right w:val="nil"/>
            </w:tcBorders>
            <w:shd w:val="clear" w:color="auto" w:fill="auto"/>
            <w:noWrap/>
            <w:vAlign w:val="bottom"/>
          </w:tcPr>
          <w:p w:rsidR="0034670F" w:rsidRPr="00E53641" w:rsidRDefault="0034670F" w:rsidP="0034670F">
            <w:pPr>
              <w:spacing w:before="0" w:after="0"/>
              <w:jc w:val="right"/>
              <w:rPr>
                <w:sz w:val="18"/>
                <w:szCs w:val="18"/>
                <w:lang w:eastAsia="en-GB"/>
              </w:rPr>
            </w:pPr>
          </w:p>
        </w:tc>
      </w:tr>
      <w:tr w:rsidR="0034670F" w:rsidRPr="00E53641" w:rsidTr="0034670F">
        <w:trPr>
          <w:trHeight w:val="255"/>
        </w:trPr>
        <w:tc>
          <w:tcPr>
            <w:tcW w:w="2969" w:type="pct"/>
            <w:tcBorders>
              <w:top w:val="nil"/>
              <w:left w:val="nil"/>
              <w:bottom w:val="nil"/>
              <w:right w:val="nil"/>
            </w:tcBorders>
            <w:shd w:val="clear" w:color="auto" w:fill="auto"/>
          </w:tcPr>
          <w:p w:rsidR="0034670F" w:rsidRPr="00E53641" w:rsidRDefault="0034670F" w:rsidP="0034670F">
            <w:pPr>
              <w:pStyle w:val="NormalWeb"/>
              <w:keepNext/>
              <w:tabs>
                <w:tab w:val="right" w:leader="dot" w:pos="5670"/>
              </w:tabs>
              <w:spacing w:before="0" w:after="0"/>
              <w:ind w:left="240" w:hanging="240"/>
              <w:rPr>
                <w:b/>
                <w:sz w:val="18"/>
                <w:szCs w:val="18"/>
              </w:rPr>
            </w:pPr>
            <w:r w:rsidRPr="00E53641">
              <w:rPr>
                <w:b/>
                <w:sz w:val="18"/>
                <w:szCs w:val="18"/>
              </w:rPr>
              <w:t>= Free cash flow</w:t>
            </w:r>
            <w:r w:rsidRPr="00E53641">
              <w:rPr>
                <w:sz w:val="18"/>
                <w:szCs w:val="18"/>
              </w:rPr>
              <w:tab/>
            </w:r>
          </w:p>
        </w:tc>
        <w:tc>
          <w:tcPr>
            <w:tcW w:w="947" w:type="pct"/>
            <w:tcBorders>
              <w:top w:val="nil"/>
              <w:left w:val="nil"/>
              <w:bottom w:val="nil"/>
              <w:right w:val="nil"/>
            </w:tcBorders>
            <w:shd w:val="clear" w:color="auto" w:fill="auto"/>
            <w:noWrap/>
          </w:tcPr>
          <w:p w:rsidR="0034670F" w:rsidRPr="00E53641" w:rsidRDefault="0034670F" w:rsidP="0034670F">
            <w:pPr>
              <w:pStyle w:val="NormalWeb"/>
              <w:pBdr>
                <w:bottom w:val="single" w:sz="4" w:space="1" w:color="auto"/>
              </w:pBdr>
              <w:tabs>
                <w:tab w:val="right" w:pos="720"/>
                <w:tab w:val="decimal" w:pos="760"/>
              </w:tabs>
              <w:spacing w:before="0" w:after="0"/>
              <w:jc w:val="right"/>
              <w:rPr>
                <w:b/>
                <w:sz w:val="18"/>
                <w:szCs w:val="18"/>
              </w:rPr>
            </w:pPr>
            <w:r w:rsidRPr="00E53641">
              <w:rPr>
                <w:b/>
                <w:sz w:val="18"/>
                <w:szCs w:val="18"/>
              </w:rPr>
              <w:t>0.8</w:t>
            </w:r>
          </w:p>
        </w:tc>
        <w:tc>
          <w:tcPr>
            <w:tcW w:w="961" w:type="pct"/>
            <w:tcBorders>
              <w:top w:val="nil"/>
              <w:left w:val="nil"/>
              <w:bottom w:val="nil"/>
              <w:right w:val="nil"/>
            </w:tcBorders>
            <w:shd w:val="clear" w:color="auto" w:fill="auto"/>
            <w:noWrap/>
          </w:tcPr>
          <w:p w:rsidR="0034670F" w:rsidRPr="00E53641" w:rsidRDefault="0034670F" w:rsidP="0034670F">
            <w:pPr>
              <w:pStyle w:val="NormalWeb"/>
              <w:pBdr>
                <w:bottom w:val="single" w:sz="4" w:space="1" w:color="auto"/>
              </w:pBdr>
              <w:tabs>
                <w:tab w:val="right" w:pos="720"/>
                <w:tab w:val="decimal" w:pos="760"/>
              </w:tabs>
              <w:spacing w:before="0" w:after="0"/>
              <w:jc w:val="right"/>
              <w:rPr>
                <w:b/>
                <w:sz w:val="18"/>
                <w:szCs w:val="18"/>
              </w:rPr>
            </w:pPr>
            <w:r w:rsidRPr="00E53641">
              <w:rPr>
                <w:b/>
                <w:sz w:val="18"/>
                <w:szCs w:val="18"/>
              </w:rPr>
              <w:t>-</w:t>
            </w:r>
          </w:p>
        </w:tc>
        <w:tc>
          <w:tcPr>
            <w:tcW w:w="123" w:type="pct"/>
            <w:tcBorders>
              <w:top w:val="nil"/>
              <w:left w:val="nil"/>
              <w:bottom w:val="nil"/>
              <w:right w:val="nil"/>
            </w:tcBorders>
            <w:shd w:val="clear" w:color="auto" w:fill="auto"/>
            <w:noWrap/>
            <w:vAlign w:val="bottom"/>
          </w:tcPr>
          <w:p w:rsidR="0034670F" w:rsidRPr="00E53641" w:rsidRDefault="0034670F" w:rsidP="0034670F">
            <w:pPr>
              <w:spacing w:before="0" w:after="0"/>
              <w:jc w:val="right"/>
              <w:rPr>
                <w:sz w:val="18"/>
                <w:szCs w:val="18"/>
                <w:lang w:eastAsia="en-GB"/>
              </w:rPr>
            </w:pPr>
          </w:p>
        </w:tc>
      </w:tr>
      <w:tr w:rsidR="0034670F" w:rsidRPr="00E53641" w:rsidTr="0034670F">
        <w:trPr>
          <w:trHeight w:val="255"/>
        </w:trPr>
        <w:tc>
          <w:tcPr>
            <w:tcW w:w="2969" w:type="pct"/>
            <w:tcBorders>
              <w:top w:val="nil"/>
              <w:left w:val="nil"/>
              <w:bottom w:val="nil"/>
              <w:right w:val="nil"/>
            </w:tcBorders>
            <w:shd w:val="clear" w:color="auto" w:fill="auto"/>
          </w:tcPr>
          <w:p w:rsidR="0034670F" w:rsidRPr="00E53641" w:rsidRDefault="0034670F" w:rsidP="0034670F">
            <w:pPr>
              <w:pStyle w:val="NormalWeb"/>
              <w:keepNext/>
              <w:tabs>
                <w:tab w:val="right" w:leader="dot" w:pos="5670"/>
              </w:tabs>
              <w:spacing w:before="0" w:after="0"/>
              <w:ind w:left="240" w:hanging="240"/>
              <w:rPr>
                <w:b/>
                <w:sz w:val="18"/>
                <w:szCs w:val="18"/>
              </w:rPr>
            </w:pPr>
            <w:r w:rsidRPr="00E53641">
              <w:rPr>
                <w:b/>
                <w:sz w:val="18"/>
                <w:szCs w:val="18"/>
              </w:rPr>
              <w:t>Cash and cash equivalents, opening balance</w:t>
            </w:r>
            <w:r w:rsidRPr="00E53641">
              <w:rPr>
                <w:sz w:val="18"/>
                <w:szCs w:val="18"/>
              </w:rPr>
              <w:tab/>
            </w:r>
          </w:p>
        </w:tc>
        <w:tc>
          <w:tcPr>
            <w:tcW w:w="947" w:type="pct"/>
            <w:tcBorders>
              <w:top w:val="nil"/>
              <w:left w:val="nil"/>
              <w:bottom w:val="nil"/>
              <w:right w:val="nil"/>
            </w:tcBorders>
            <w:shd w:val="clear" w:color="auto" w:fill="auto"/>
            <w:noWrap/>
          </w:tcPr>
          <w:p w:rsidR="0034670F" w:rsidRPr="00E53641" w:rsidRDefault="0034670F" w:rsidP="0034670F">
            <w:pPr>
              <w:pStyle w:val="NormalWeb"/>
              <w:pBdr>
                <w:bottom w:val="single" w:sz="4" w:space="1" w:color="auto"/>
              </w:pBdr>
              <w:tabs>
                <w:tab w:val="right" w:pos="720"/>
                <w:tab w:val="decimal" w:pos="760"/>
              </w:tabs>
              <w:spacing w:before="0" w:after="0"/>
              <w:jc w:val="right"/>
              <w:rPr>
                <w:b/>
                <w:sz w:val="18"/>
                <w:szCs w:val="18"/>
              </w:rPr>
            </w:pPr>
            <w:r w:rsidRPr="00E53641">
              <w:rPr>
                <w:b/>
                <w:sz w:val="18"/>
                <w:szCs w:val="18"/>
              </w:rPr>
              <w:t>2.4</w:t>
            </w:r>
          </w:p>
        </w:tc>
        <w:tc>
          <w:tcPr>
            <w:tcW w:w="961" w:type="pct"/>
            <w:tcBorders>
              <w:top w:val="nil"/>
              <w:left w:val="nil"/>
              <w:bottom w:val="nil"/>
              <w:right w:val="nil"/>
            </w:tcBorders>
            <w:shd w:val="clear" w:color="auto" w:fill="auto"/>
            <w:noWrap/>
          </w:tcPr>
          <w:p w:rsidR="0034670F" w:rsidRPr="00E53641" w:rsidRDefault="0034670F" w:rsidP="0034670F">
            <w:pPr>
              <w:pStyle w:val="NormalWeb"/>
              <w:pBdr>
                <w:bottom w:val="single" w:sz="4" w:space="1" w:color="auto"/>
              </w:pBdr>
              <w:tabs>
                <w:tab w:val="right" w:pos="720"/>
                <w:tab w:val="decimal" w:pos="760"/>
              </w:tabs>
              <w:spacing w:before="0" w:after="0"/>
              <w:jc w:val="right"/>
              <w:rPr>
                <w:b/>
                <w:sz w:val="18"/>
                <w:szCs w:val="18"/>
              </w:rPr>
            </w:pPr>
            <w:r w:rsidRPr="00E53641">
              <w:rPr>
                <w:b/>
                <w:sz w:val="18"/>
                <w:szCs w:val="18"/>
              </w:rPr>
              <w:t>2.4</w:t>
            </w:r>
          </w:p>
        </w:tc>
        <w:tc>
          <w:tcPr>
            <w:tcW w:w="123" w:type="pct"/>
            <w:tcBorders>
              <w:top w:val="nil"/>
              <w:left w:val="nil"/>
              <w:bottom w:val="nil"/>
              <w:right w:val="nil"/>
            </w:tcBorders>
            <w:shd w:val="clear" w:color="auto" w:fill="auto"/>
            <w:noWrap/>
            <w:vAlign w:val="bottom"/>
          </w:tcPr>
          <w:p w:rsidR="0034670F" w:rsidRPr="00E53641" w:rsidRDefault="0034670F" w:rsidP="0034670F">
            <w:pPr>
              <w:spacing w:before="0" w:after="0"/>
              <w:jc w:val="right"/>
              <w:rPr>
                <w:sz w:val="18"/>
                <w:szCs w:val="18"/>
                <w:lang w:eastAsia="en-GB"/>
              </w:rPr>
            </w:pPr>
          </w:p>
        </w:tc>
      </w:tr>
      <w:tr w:rsidR="0034670F" w:rsidRPr="004A56AF" w:rsidTr="0034670F">
        <w:trPr>
          <w:trHeight w:val="255"/>
        </w:trPr>
        <w:tc>
          <w:tcPr>
            <w:tcW w:w="2969" w:type="pct"/>
            <w:tcBorders>
              <w:top w:val="nil"/>
              <w:left w:val="nil"/>
              <w:bottom w:val="nil"/>
              <w:right w:val="nil"/>
            </w:tcBorders>
            <w:shd w:val="clear" w:color="auto" w:fill="auto"/>
          </w:tcPr>
          <w:p w:rsidR="0034670F" w:rsidRPr="00E53641" w:rsidRDefault="0034670F" w:rsidP="0034670F">
            <w:pPr>
              <w:pStyle w:val="NormalWeb"/>
              <w:keepNext/>
              <w:tabs>
                <w:tab w:val="right" w:leader="dot" w:pos="5670"/>
              </w:tabs>
              <w:spacing w:before="0" w:after="0"/>
              <w:ind w:left="240" w:hanging="240"/>
              <w:rPr>
                <w:b/>
                <w:sz w:val="18"/>
                <w:szCs w:val="18"/>
              </w:rPr>
            </w:pPr>
            <w:r w:rsidRPr="00E53641">
              <w:rPr>
                <w:b/>
                <w:sz w:val="18"/>
                <w:szCs w:val="18"/>
              </w:rPr>
              <w:t xml:space="preserve">Cash and cash equivalents, closing balance </w:t>
            </w:r>
            <w:r w:rsidRPr="00E53641">
              <w:rPr>
                <w:sz w:val="18"/>
                <w:szCs w:val="18"/>
              </w:rPr>
              <w:tab/>
            </w:r>
          </w:p>
        </w:tc>
        <w:tc>
          <w:tcPr>
            <w:tcW w:w="947" w:type="pct"/>
            <w:tcBorders>
              <w:top w:val="nil"/>
              <w:left w:val="nil"/>
              <w:bottom w:val="nil"/>
              <w:right w:val="nil"/>
            </w:tcBorders>
            <w:shd w:val="clear" w:color="auto" w:fill="auto"/>
            <w:noWrap/>
          </w:tcPr>
          <w:p w:rsidR="0034670F" w:rsidRPr="00E53641" w:rsidRDefault="0034670F" w:rsidP="0034670F">
            <w:pPr>
              <w:pStyle w:val="NormalWeb"/>
              <w:pBdr>
                <w:bottom w:val="single" w:sz="4" w:space="1" w:color="auto"/>
              </w:pBdr>
              <w:tabs>
                <w:tab w:val="right" w:pos="720"/>
                <w:tab w:val="decimal" w:pos="760"/>
              </w:tabs>
              <w:spacing w:before="0" w:after="0"/>
              <w:jc w:val="right"/>
              <w:rPr>
                <w:b/>
                <w:sz w:val="18"/>
                <w:szCs w:val="18"/>
              </w:rPr>
            </w:pPr>
            <w:r w:rsidRPr="00E53641">
              <w:rPr>
                <w:b/>
                <w:sz w:val="18"/>
                <w:szCs w:val="18"/>
              </w:rPr>
              <w:t>3.2</w:t>
            </w:r>
          </w:p>
        </w:tc>
        <w:tc>
          <w:tcPr>
            <w:tcW w:w="961" w:type="pct"/>
            <w:tcBorders>
              <w:top w:val="nil"/>
              <w:left w:val="nil"/>
              <w:bottom w:val="nil"/>
              <w:right w:val="nil"/>
            </w:tcBorders>
            <w:shd w:val="clear" w:color="auto" w:fill="auto"/>
            <w:noWrap/>
          </w:tcPr>
          <w:p w:rsidR="0034670F" w:rsidRPr="00E53641" w:rsidRDefault="0034670F" w:rsidP="0034670F">
            <w:pPr>
              <w:pStyle w:val="NormalWeb"/>
              <w:pBdr>
                <w:bottom w:val="single" w:sz="4" w:space="1" w:color="auto"/>
              </w:pBdr>
              <w:tabs>
                <w:tab w:val="right" w:pos="720"/>
                <w:tab w:val="decimal" w:pos="760"/>
              </w:tabs>
              <w:spacing w:before="0" w:after="0"/>
              <w:jc w:val="right"/>
              <w:rPr>
                <w:b/>
                <w:sz w:val="18"/>
                <w:szCs w:val="18"/>
              </w:rPr>
            </w:pPr>
            <w:r w:rsidRPr="00E53641">
              <w:rPr>
                <w:b/>
                <w:sz w:val="18"/>
                <w:szCs w:val="18"/>
              </w:rPr>
              <w:t>2.4</w:t>
            </w:r>
          </w:p>
        </w:tc>
        <w:tc>
          <w:tcPr>
            <w:tcW w:w="123" w:type="pct"/>
            <w:tcBorders>
              <w:top w:val="nil"/>
              <w:left w:val="nil"/>
              <w:bottom w:val="nil"/>
              <w:right w:val="nil"/>
            </w:tcBorders>
            <w:shd w:val="clear" w:color="auto" w:fill="auto"/>
            <w:noWrap/>
            <w:vAlign w:val="bottom"/>
          </w:tcPr>
          <w:p w:rsidR="0034670F" w:rsidRPr="004A56AF" w:rsidRDefault="0034670F" w:rsidP="0034670F">
            <w:pPr>
              <w:spacing w:before="0" w:after="0"/>
              <w:jc w:val="right"/>
              <w:rPr>
                <w:sz w:val="18"/>
                <w:szCs w:val="18"/>
                <w:lang w:eastAsia="en-GB"/>
              </w:rPr>
            </w:pPr>
          </w:p>
        </w:tc>
      </w:tr>
    </w:tbl>
    <w:p w:rsidR="003F0BC5" w:rsidRPr="00992199" w:rsidRDefault="003F0BC5" w:rsidP="00854602">
      <w:pPr>
        <w:rPr>
          <w:lang w:val="en-US"/>
        </w:rPr>
      </w:pPr>
      <w:r w:rsidRPr="00992199">
        <w:rPr>
          <w:lang w:val="en-US"/>
        </w:rPr>
        <w:t xml:space="preserve">Total cash flow generated </w:t>
      </w:r>
      <w:r w:rsidR="005971A0">
        <w:rPr>
          <w:lang w:val="en-US"/>
        </w:rPr>
        <w:t>for the financial year ended 30 September</w:t>
      </w:r>
      <w:r w:rsidRPr="00992199">
        <w:rPr>
          <w:lang w:val="en-US"/>
        </w:rPr>
        <w:t xml:space="preserve"> 2014 amounts to </w:t>
      </w:r>
      <w:r w:rsidR="00E53641">
        <w:rPr>
          <w:lang w:val="en-US"/>
        </w:rPr>
        <w:t>EUR </w:t>
      </w:r>
      <w:r w:rsidRPr="00992199">
        <w:rPr>
          <w:lang w:val="en-US"/>
        </w:rPr>
        <w:t xml:space="preserve">841,000 (compared to </w:t>
      </w:r>
      <w:r w:rsidR="00E53641">
        <w:rPr>
          <w:lang w:val="en-US"/>
        </w:rPr>
        <w:t>EUR </w:t>
      </w:r>
      <w:r w:rsidRPr="00992199">
        <w:rPr>
          <w:lang w:val="en-US"/>
        </w:rPr>
        <w:t>50,000 on last year).</w:t>
      </w:r>
    </w:p>
    <w:p w:rsidR="003F0BC5" w:rsidRPr="00992199" w:rsidRDefault="003F0BC5" w:rsidP="00854602">
      <w:pPr>
        <w:rPr>
          <w:lang w:val="en-US"/>
        </w:rPr>
      </w:pPr>
      <w:r w:rsidRPr="00992199">
        <w:rPr>
          <w:lang w:val="en-US"/>
        </w:rPr>
        <w:t xml:space="preserve">Cash flow from operating activities increased with </w:t>
      </w:r>
      <w:r w:rsidR="00E53641">
        <w:rPr>
          <w:lang w:val="en-US"/>
        </w:rPr>
        <w:t>EUR </w:t>
      </w:r>
      <w:r w:rsidRPr="00992199">
        <w:rPr>
          <w:lang w:val="en-US"/>
        </w:rPr>
        <w:t>1,623,000 compared to last year due to higher operational result and lower working capital need.</w:t>
      </w:r>
    </w:p>
    <w:p w:rsidR="003F0BC5" w:rsidRPr="00992199" w:rsidRDefault="003F0BC5" w:rsidP="00854602">
      <w:r w:rsidRPr="00992199">
        <w:rPr>
          <w:lang w:val="en-US"/>
        </w:rPr>
        <w:t xml:space="preserve">Capital expenditure decreased with </w:t>
      </w:r>
      <w:r w:rsidR="00E53641">
        <w:rPr>
          <w:lang w:val="en-US"/>
        </w:rPr>
        <w:t>EUR </w:t>
      </w:r>
      <w:r w:rsidRPr="00992199">
        <w:rPr>
          <w:lang w:val="en-US"/>
        </w:rPr>
        <w:t xml:space="preserve">1,090,000 compared to last year. </w:t>
      </w:r>
      <w:r w:rsidRPr="00992199">
        <w:t xml:space="preserve">Previous years Peatinvest’s capital expenditures were higher due to investments in harvesting equipment and its new manufacturing site in </w:t>
      </w:r>
      <w:smartTag w:uri="urn:schemas-microsoft-com:office:smarttags" w:element="country-region">
        <w:smartTag w:uri="urn:schemas-microsoft-com:office:smarttags" w:element="place">
          <w:r w:rsidRPr="00992199">
            <w:t>Latvia</w:t>
          </w:r>
        </w:smartTag>
      </w:smartTag>
      <w:r w:rsidRPr="00992199">
        <w:t>. Peatinvest expects that in the coming years, its capital expenditures will return to the level of 30 September 2014.</w:t>
      </w:r>
    </w:p>
    <w:p w:rsidR="003F0BC5" w:rsidRPr="00992199" w:rsidRDefault="003F0BC5" w:rsidP="00854602">
      <w:pPr>
        <w:rPr>
          <w:lang w:val="en-US"/>
        </w:rPr>
      </w:pPr>
      <w:r w:rsidRPr="00992199">
        <w:rPr>
          <w:lang w:val="en-US"/>
        </w:rPr>
        <w:t xml:space="preserve">Cash flow from financial activities increased with </w:t>
      </w:r>
      <w:r w:rsidR="00E53641">
        <w:rPr>
          <w:lang w:val="en-US"/>
        </w:rPr>
        <w:t>EUR </w:t>
      </w:r>
      <w:r w:rsidRPr="00992199">
        <w:rPr>
          <w:lang w:val="en-US"/>
        </w:rPr>
        <w:t xml:space="preserve">1,922,000 as a result of the distribution of a dividend of </w:t>
      </w:r>
      <w:r w:rsidR="00E53641">
        <w:rPr>
          <w:lang w:val="en-US"/>
        </w:rPr>
        <w:t>EUR </w:t>
      </w:r>
      <w:r w:rsidRPr="00992199">
        <w:rPr>
          <w:lang w:val="en-US"/>
        </w:rPr>
        <w:t xml:space="preserve">1,500,000 in </w:t>
      </w:r>
      <w:r w:rsidR="00C8137D">
        <w:rPr>
          <w:lang w:val="en-US"/>
        </w:rPr>
        <w:t>the financial year ended</w:t>
      </w:r>
      <w:r w:rsidRPr="00992199">
        <w:rPr>
          <w:lang w:val="en-US"/>
        </w:rPr>
        <w:t xml:space="preserve"> 30 September 2014.</w:t>
      </w:r>
    </w:p>
    <w:p w:rsidR="003F0BC5" w:rsidRPr="00992199" w:rsidRDefault="003F0BC5" w:rsidP="00045AB1">
      <w:pPr>
        <w:pStyle w:val="Firm5L3"/>
        <w:keepNext/>
        <w:rPr>
          <w:b w:val="0"/>
        </w:rPr>
      </w:pPr>
      <w:r w:rsidRPr="00045AB1">
        <w:t>Working</w:t>
      </w:r>
      <w:r w:rsidRPr="00992199">
        <w:rPr>
          <w:b w:val="0"/>
        </w:rPr>
        <w:t xml:space="preserve"> </w:t>
      </w:r>
      <w:r w:rsidRPr="00045AB1">
        <w:t>capital</w:t>
      </w:r>
    </w:p>
    <w:tbl>
      <w:tblPr>
        <w:tblpPr w:leftFromText="141" w:rightFromText="141" w:vertAnchor="text" w:tblpXSpec="center" w:tblpY="1"/>
        <w:tblOverlap w:val="never"/>
        <w:tblW w:w="5000" w:type="pct"/>
        <w:tblLayout w:type="fixed"/>
        <w:tblCellMar>
          <w:left w:w="0" w:type="dxa"/>
          <w:right w:w="0" w:type="dxa"/>
        </w:tblCellMar>
        <w:tblLook w:val="0000" w:firstRow="0" w:lastRow="0" w:firstColumn="0" w:lastColumn="0" w:noHBand="0" w:noVBand="0"/>
      </w:tblPr>
      <w:tblGrid>
        <w:gridCol w:w="5614"/>
        <w:gridCol w:w="1783"/>
        <w:gridCol w:w="1632"/>
      </w:tblGrid>
      <w:tr w:rsidR="0034670F" w:rsidRPr="00E53641" w:rsidTr="00136CB7">
        <w:tc>
          <w:tcPr>
            <w:tcW w:w="5614" w:type="dxa"/>
            <w:vAlign w:val="center"/>
          </w:tcPr>
          <w:p w:rsidR="0034670F" w:rsidRPr="00E53641" w:rsidRDefault="0034670F" w:rsidP="00136CB7">
            <w:pPr>
              <w:keepNext/>
              <w:tabs>
                <w:tab w:val="right" w:leader="dot" w:pos="7240"/>
              </w:tabs>
              <w:spacing w:before="0" w:after="0"/>
              <w:jc w:val="left"/>
              <w:rPr>
                <w:i/>
                <w:sz w:val="18"/>
                <w:szCs w:val="18"/>
              </w:rPr>
            </w:pPr>
            <w:r w:rsidRPr="00E53641">
              <w:rPr>
                <w:i/>
                <w:sz w:val="18"/>
                <w:szCs w:val="18"/>
              </w:rPr>
              <w:t>(</w:t>
            </w:r>
            <w:r w:rsidR="00E53641" w:rsidRPr="00E53641">
              <w:rPr>
                <w:i/>
                <w:sz w:val="18"/>
                <w:szCs w:val="18"/>
              </w:rPr>
              <w:t>EUR </w:t>
            </w:r>
            <w:r w:rsidRPr="00E53641">
              <w:rPr>
                <w:i/>
                <w:sz w:val="18"/>
                <w:szCs w:val="18"/>
              </w:rPr>
              <w:t>in millions)</w:t>
            </w:r>
          </w:p>
        </w:tc>
        <w:tc>
          <w:tcPr>
            <w:tcW w:w="1783" w:type="dxa"/>
            <w:noWrap/>
            <w:tcMar>
              <w:top w:w="0" w:type="dxa"/>
              <w:left w:w="144" w:type="dxa"/>
              <w:bottom w:w="0" w:type="dxa"/>
              <w:right w:w="0" w:type="dxa"/>
            </w:tcMar>
            <w:vAlign w:val="bottom"/>
          </w:tcPr>
          <w:p w:rsidR="0034670F" w:rsidRPr="00E53641" w:rsidRDefault="0034670F" w:rsidP="00136CB7">
            <w:pPr>
              <w:pBdr>
                <w:bottom w:val="single" w:sz="4" w:space="1" w:color="auto"/>
              </w:pBdr>
              <w:spacing w:before="0" w:after="200"/>
              <w:jc w:val="center"/>
              <w:rPr>
                <w:b/>
                <w:sz w:val="18"/>
                <w:szCs w:val="18"/>
              </w:rPr>
            </w:pPr>
            <w:r w:rsidRPr="00E53641">
              <w:rPr>
                <w:rFonts w:eastAsia="Calibri"/>
                <w:b/>
                <w:bCs/>
                <w:sz w:val="18"/>
                <w:szCs w:val="18"/>
                <w:lang w:val="nl-BE"/>
              </w:rPr>
              <w:t>Year ended 30 September 2014</w:t>
            </w:r>
          </w:p>
        </w:tc>
        <w:tc>
          <w:tcPr>
            <w:tcW w:w="1632" w:type="dxa"/>
            <w:noWrap/>
            <w:tcMar>
              <w:top w:w="0" w:type="dxa"/>
              <w:left w:w="144" w:type="dxa"/>
              <w:bottom w:w="0" w:type="dxa"/>
              <w:right w:w="0" w:type="dxa"/>
            </w:tcMar>
            <w:vAlign w:val="bottom"/>
          </w:tcPr>
          <w:p w:rsidR="0034670F" w:rsidRPr="00E53641" w:rsidRDefault="0034670F" w:rsidP="00136CB7">
            <w:pPr>
              <w:pBdr>
                <w:bottom w:val="single" w:sz="4" w:space="1" w:color="auto"/>
              </w:pBdr>
              <w:spacing w:before="0" w:after="200"/>
              <w:jc w:val="center"/>
              <w:rPr>
                <w:b/>
                <w:sz w:val="18"/>
                <w:szCs w:val="18"/>
              </w:rPr>
            </w:pPr>
            <w:r w:rsidRPr="00E53641">
              <w:rPr>
                <w:rFonts w:eastAsia="Calibri"/>
                <w:b/>
                <w:bCs/>
                <w:sz w:val="18"/>
                <w:szCs w:val="18"/>
                <w:lang w:val="nl-BE"/>
              </w:rPr>
              <w:t>Year</w:t>
            </w:r>
            <w:r w:rsidRPr="00E53641">
              <w:rPr>
                <w:b/>
                <w:sz w:val="18"/>
                <w:szCs w:val="18"/>
              </w:rPr>
              <w:t xml:space="preserve"> ended 30 September 2013</w:t>
            </w:r>
          </w:p>
        </w:tc>
      </w:tr>
      <w:tr w:rsidR="0034670F" w:rsidRPr="00E53641" w:rsidTr="00136CB7">
        <w:tc>
          <w:tcPr>
            <w:tcW w:w="5614" w:type="dxa"/>
          </w:tcPr>
          <w:p w:rsidR="0034670F" w:rsidRPr="00E53641" w:rsidRDefault="0034670F" w:rsidP="00136CB7">
            <w:pPr>
              <w:keepNext/>
              <w:tabs>
                <w:tab w:val="right" w:leader="dot" w:pos="7240"/>
              </w:tabs>
              <w:spacing w:before="0" w:after="0"/>
              <w:rPr>
                <w:sz w:val="18"/>
                <w:szCs w:val="18"/>
              </w:rPr>
            </w:pPr>
            <w:r w:rsidRPr="00E53641">
              <w:rPr>
                <w:sz w:val="18"/>
                <w:szCs w:val="18"/>
              </w:rPr>
              <w:t>Inventories</w:t>
            </w:r>
            <w:r w:rsidRPr="00E53641">
              <w:rPr>
                <w:sz w:val="18"/>
                <w:szCs w:val="18"/>
              </w:rPr>
              <w:tab/>
            </w:r>
          </w:p>
        </w:tc>
        <w:tc>
          <w:tcPr>
            <w:tcW w:w="1783" w:type="dxa"/>
            <w:noWrap/>
            <w:tcMar>
              <w:top w:w="0" w:type="dxa"/>
              <w:left w:w="144" w:type="dxa"/>
              <w:bottom w:w="0" w:type="dxa"/>
              <w:right w:w="0" w:type="dxa"/>
            </w:tcMar>
            <w:vAlign w:val="bottom"/>
          </w:tcPr>
          <w:p w:rsidR="0034670F" w:rsidRPr="00E53641" w:rsidRDefault="0034670F" w:rsidP="00136CB7">
            <w:pPr>
              <w:tabs>
                <w:tab w:val="right" w:pos="920"/>
                <w:tab w:val="decimal" w:pos="960"/>
              </w:tabs>
              <w:spacing w:before="0" w:after="20"/>
              <w:jc w:val="right"/>
              <w:rPr>
                <w:sz w:val="18"/>
                <w:szCs w:val="18"/>
              </w:rPr>
            </w:pPr>
            <w:r w:rsidRPr="00E53641">
              <w:rPr>
                <w:sz w:val="18"/>
                <w:szCs w:val="18"/>
              </w:rPr>
              <w:tab/>
              <w:t>9.7</w:t>
            </w:r>
            <w:r w:rsidRPr="00E53641">
              <w:rPr>
                <w:sz w:val="18"/>
                <w:szCs w:val="18"/>
              </w:rPr>
              <w:tab/>
            </w:r>
          </w:p>
        </w:tc>
        <w:tc>
          <w:tcPr>
            <w:tcW w:w="1632" w:type="dxa"/>
            <w:noWrap/>
            <w:tcMar>
              <w:top w:w="0" w:type="dxa"/>
              <w:left w:w="144" w:type="dxa"/>
              <w:bottom w:w="0" w:type="dxa"/>
              <w:right w:w="0" w:type="dxa"/>
            </w:tcMar>
            <w:vAlign w:val="bottom"/>
          </w:tcPr>
          <w:p w:rsidR="0034670F" w:rsidRPr="00E53641" w:rsidRDefault="0034670F" w:rsidP="00136CB7">
            <w:pPr>
              <w:tabs>
                <w:tab w:val="decimal" w:pos="960"/>
                <w:tab w:val="right" w:pos="1414"/>
              </w:tabs>
              <w:spacing w:before="0" w:after="20"/>
              <w:jc w:val="right"/>
              <w:rPr>
                <w:sz w:val="18"/>
                <w:szCs w:val="18"/>
              </w:rPr>
            </w:pPr>
            <w:r w:rsidRPr="00E53641">
              <w:rPr>
                <w:sz w:val="18"/>
                <w:szCs w:val="18"/>
              </w:rPr>
              <w:t>10.5</w:t>
            </w:r>
          </w:p>
        </w:tc>
      </w:tr>
      <w:tr w:rsidR="0034670F" w:rsidRPr="00E53641" w:rsidTr="00136CB7">
        <w:tc>
          <w:tcPr>
            <w:tcW w:w="5614" w:type="dxa"/>
          </w:tcPr>
          <w:p w:rsidR="0034670F" w:rsidRPr="00E53641" w:rsidRDefault="0034670F" w:rsidP="00136CB7">
            <w:pPr>
              <w:keepNext/>
              <w:tabs>
                <w:tab w:val="right" w:leader="dot" w:pos="7240"/>
              </w:tabs>
              <w:spacing w:before="0" w:after="0"/>
              <w:rPr>
                <w:sz w:val="18"/>
                <w:szCs w:val="18"/>
              </w:rPr>
            </w:pPr>
            <w:r w:rsidRPr="00E53641">
              <w:rPr>
                <w:sz w:val="18"/>
                <w:szCs w:val="18"/>
              </w:rPr>
              <w:t>Trade receivables</w:t>
            </w:r>
            <w:r w:rsidRPr="00E53641">
              <w:rPr>
                <w:sz w:val="18"/>
                <w:szCs w:val="18"/>
              </w:rPr>
              <w:tab/>
            </w:r>
          </w:p>
        </w:tc>
        <w:tc>
          <w:tcPr>
            <w:tcW w:w="1783" w:type="dxa"/>
            <w:noWrap/>
            <w:tcMar>
              <w:top w:w="0" w:type="dxa"/>
              <w:left w:w="144" w:type="dxa"/>
              <w:bottom w:w="0" w:type="dxa"/>
              <w:right w:w="0" w:type="dxa"/>
            </w:tcMar>
            <w:vAlign w:val="bottom"/>
          </w:tcPr>
          <w:p w:rsidR="0034670F" w:rsidRPr="00E53641" w:rsidRDefault="0034670F" w:rsidP="00136CB7">
            <w:pPr>
              <w:tabs>
                <w:tab w:val="right" w:pos="920"/>
                <w:tab w:val="decimal" w:pos="960"/>
              </w:tabs>
              <w:spacing w:before="0" w:after="20"/>
              <w:jc w:val="right"/>
              <w:rPr>
                <w:sz w:val="18"/>
                <w:szCs w:val="18"/>
              </w:rPr>
            </w:pPr>
            <w:r w:rsidRPr="00E53641">
              <w:rPr>
                <w:sz w:val="18"/>
                <w:szCs w:val="18"/>
              </w:rPr>
              <w:t>7.3</w:t>
            </w:r>
          </w:p>
        </w:tc>
        <w:tc>
          <w:tcPr>
            <w:tcW w:w="1632" w:type="dxa"/>
            <w:noWrap/>
            <w:tcMar>
              <w:top w:w="0" w:type="dxa"/>
              <w:left w:w="144" w:type="dxa"/>
              <w:bottom w:w="0" w:type="dxa"/>
              <w:right w:w="0" w:type="dxa"/>
            </w:tcMar>
            <w:vAlign w:val="bottom"/>
          </w:tcPr>
          <w:p w:rsidR="0034670F" w:rsidRPr="00E53641" w:rsidRDefault="0034670F" w:rsidP="00136CB7">
            <w:pPr>
              <w:tabs>
                <w:tab w:val="decimal" w:pos="960"/>
                <w:tab w:val="right" w:pos="1414"/>
              </w:tabs>
              <w:spacing w:before="0" w:after="20"/>
              <w:jc w:val="right"/>
              <w:rPr>
                <w:sz w:val="18"/>
                <w:szCs w:val="18"/>
              </w:rPr>
            </w:pPr>
            <w:r w:rsidRPr="00E53641">
              <w:rPr>
                <w:sz w:val="18"/>
                <w:szCs w:val="18"/>
              </w:rPr>
              <w:t>7.6</w:t>
            </w:r>
          </w:p>
        </w:tc>
      </w:tr>
      <w:tr w:rsidR="0034670F" w:rsidRPr="00E53641" w:rsidTr="00136CB7">
        <w:tc>
          <w:tcPr>
            <w:tcW w:w="5614" w:type="dxa"/>
          </w:tcPr>
          <w:p w:rsidR="0034670F" w:rsidRPr="00E53641" w:rsidRDefault="0034670F" w:rsidP="00136CB7">
            <w:pPr>
              <w:tabs>
                <w:tab w:val="right" w:leader="dot" w:pos="7240"/>
              </w:tabs>
              <w:spacing w:before="0" w:after="0"/>
              <w:rPr>
                <w:sz w:val="18"/>
                <w:szCs w:val="18"/>
              </w:rPr>
            </w:pPr>
            <w:r w:rsidRPr="00E53641">
              <w:rPr>
                <w:sz w:val="18"/>
                <w:szCs w:val="18"/>
              </w:rPr>
              <w:t>Trade payables, including advances and prepayments to suppliers</w:t>
            </w:r>
            <w:r w:rsidRPr="00E53641">
              <w:rPr>
                <w:sz w:val="18"/>
                <w:szCs w:val="18"/>
              </w:rPr>
              <w:tab/>
            </w:r>
          </w:p>
        </w:tc>
        <w:tc>
          <w:tcPr>
            <w:tcW w:w="1783" w:type="dxa"/>
            <w:noWrap/>
            <w:tcMar>
              <w:top w:w="0" w:type="dxa"/>
              <w:left w:w="144" w:type="dxa"/>
              <w:bottom w:w="0" w:type="dxa"/>
              <w:right w:w="0" w:type="dxa"/>
            </w:tcMar>
          </w:tcPr>
          <w:p w:rsidR="0034670F" w:rsidRPr="00E53641" w:rsidRDefault="0034670F" w:rsidP="00136CB7">
            <w:pPr>
              <w:tabs>
                <w:tab w:val="right" w:pos="920"/>
                <w:tab w:val="decimal" w:pos="960"/>
              </w:tabs>
              <w:spacing w:before="0" w:after="20"/>
              <w:jc w:val="right"/>
              <w:rPr>
                <w:sz w:val="18"/>
                <w:szCs w:val="18"/>
              </w:rPr>
            </w:pPr>
            <w:r w:rsidRPr="00E53641">
              <w:rPr>
                <w:sz w:val="18"/>
                <w:szCs w:val="18"/>
              </w:rPr>
              <w:t>(8.3)</w:t>
            </w:r>
          </w:p>
        </w:tc>
        <w:tc>
          <w:tcPr>
            <w:tcW w:w="1632" w:type="dxa"/>
            <w:noWrap/>
            <w:tcMar>
              <w:top w:w="0" w:type="dxa"/>
              <w:left w:w="144" w:type="dxa"/>
              <w:bottom w:w="0" w:type="dxa"/>
              <w:right w:w="0" w:type="dxa"/>
            </w:tcMar>
          </w:tcPr>
          <w:p w:rsidR="0034670F" w:rsidRPr="00E53641" w:rsidRDefault="0034670F" w:rsidP="00136CB7">
            <w:pPr>
              <w:tabs>
                <w:tab w:val="decimal" w:pos="960"/>
                <w:tab w:val="right" w:pos="1414"/>
              </w:tabs>
              <w:spacing w:before="0" w:after="20"/>
              <w:jc w:val="right"/>
              <w:rPr>
                <w:sz w:val="18"/>
                <w:szCs w:val="18"/>
              </w:rPr>
            </w:pPr>
            <w:r w:rsidRPr="00E53641">
              <w:rPr>
                <w:sz w:val="18"/>
                <w:szCs w:val="18"/>
              </w:rPr>
              <w:t>(8.2)</w:t>
            </w:r>
          </w:p>
        </w:tc>
      </w:tr>
      <w:tr w:rsidR="0034670F" w:rsidRPr="00E53641" w:rsidTr="00136CB7">
        <w:tc>
          <w:tcPr>
            <w:tcW w:w="5614" w:type="dxa"/>
          </w:tcPr>
          <w:p w:rsidR="0034670F" w:rsidRPr="00E53641" w:rsidRDefault="0034670F" w:rsidP="00136CB7">
            <w:pPr>
              <w:tabs>
                <w:tab w:val="right" w:leader="dot" w:pos="7240"/>
              </w:tabs>
              <w:spacing w:before="0" w:after="0"/>
              <w:rPr>
                <w:sz w:val="18"/>
                <w:szCs w:val="18"/>
              </w:rPr>
            </w:pPr>
            <w:r w:rsidRPr="00E53641">
              <w:rPr>
                <w:sz w:val="18"/>
                <w:szCs w:val="18"/>
              </w:rPr>
              <w:t xml:space="preserve">Other short term receivables, trade related prepayments, social and other payables </w:t>
            </w:r>
            <w:r w:rsidRPr="00E53641">
              <w:rPr>
                <w:sz w:val="18"/>
                <w:szCs w:val="18"/>
              </w:rPr>
              <w:tab/>
            </w:r>
          </w:p>
        </w:tc>
        <w:tc>
          <w:tcPr>
            <w:tcW w:w="1783" w:type="dxa"/>
            <w:tcBorders>
              <w:bottom w:val="single" w:sz="4" w:space="0" w:color="auto"/>
            </w:tcBorders>
            <w:noWrap/>
            <w:tcMar>
              <w:top w:w="0" w:type="dxa"/>
              <w:left w:w="144" w:type="dxa"/>
              <w:bottom w:w="0" w:type="dxa"/>
              <w:right w:w="0" w:type="dxa"/>
            </w:tcMar>
          </w:tcPr>
          <w:p w:rsidR="0034670F" w:rsidRPr="00E53641" w:rsidRDefault="0034670F" w:rsidP="00136CB7">
            <w:pPr>
              <w:pStyle w:val="NormalWeb"/>
              <w:tabs>
                <w:tab w:val="right" w:pos="720"/>
                <w:tab w:val="decimal" w:pos="760"/>
              </w:tabs>
              <w:spacing w:before="0" w:after="0"/>
              <w:jc w:val="right"/>
              <w:rPr>
                <w:sz w:val="18"/>
                <w:szCs w:val="18"/>
              </w:rPr>
            </w:pPr>
            <w:r w:rsidRPr="00E53641">
              <w:rPr>
                <w:sz w:val="18"/>
                <w:szCs w:val="18"/>
              </w:rPr>
              <w:t>0.1</w:t>
            </w:r>
          </w:p>
        </w:tc>
        <w:tc>
          <w:tcPr>
            <w:tcW w:w="1632" w:type="dxa"/>
            <w:tcBorders>
              <w:bottom w:val="single" w:sz="4" w:space="0" w:color="auto"/>
            </w:tcBorders>
            <w:noWrap/>
            <w:tcMar>
              <w:top w:w="0" w:type="dxa"/>
              <w:left w:w="144" w:type="dxa"/>
              <w:bottom w:w="0" w:type="dxa"/>
              <w:right w:w="0" w:type="dxa"/>
            </w:tcMar>
          </w:tcPr>
          <w:p w:rsidR="0034670F" w:rsidRPr="00E53641" w:rsidRDefault="0034670F" w:rsidP="00136CB7">
            <w:pPr>
              <w:pStyle w:val="NormalWeb"/>
              <w:tabs>
                <w:tab w:val="right" w:pos="720"/>
                <w:tab w:val="decimal" w:pos="760"/>
              </w:tabs>
              <w:spacing w:before="0" w:after="0"/>
              <w:jc w:val="right"/>
              <w:rPr>
                <w:sz w:val="18"/>
                <w:szCs w:val="18"/>
              </w:rPr>
            </w:pPr>
            <w:r w:rsidRPr="00E53641">
              <w:rPr>
                <w:sz w:val="18"/>
                <w:szCs w:val="18"/>
              </w:rPr>
              <w:t>0.3</w:t>
            </w:r>
          </w:p>
        </w:tc>
      </w:tr>
      <w:tr w:rsidR="0034670F" w:rsidRPr="004A56AF" w:rsidTr="00136CB7">
        <w:tc>
          <w:tcPr>
            <w:tcW w:w="5614" w:type="dxa"/>
          </w:tcPr>
          <w:p w:rsidR="0034670F" w:rsidRPr="00E53641" w:rsidRDefault="0034670F" w:rsidP="00136CB7">
            <w:pPr>
              <w:tabs>
                <w:tab w:val="right" w:leader="dot" w:pos="7240"/>
              </w:tabs>
              <w:spacing w:before="0" w:after="0"/>
              <w:rPr>
                <w:sz w:val="18"/>
                <w:szCs w:val="18"/>
              </w:rPr>
            </w:pPr>
            <w:r w:rsidRPr="00E53641">
              <w:rPr>
                <w:b/>
                <w:bCs/>
                <w:sz w:val="18"/>
                <w:szCs w:val="18"/>
              </w:rPr>
              <w:t>Working capital</w:t>
            </w:r>
            <w:r w:rsidRPr="00E53641">
              <w:rPr>
                <w:bCs/>
                <w:sz w:val="18"/>
                <w:szCs w:val="18"/>
              </w:rPr>
              <w:tab/>
            </w:r>
          </w:p>
        </w:tc>
        <w:tc>
          <w:tcPr>
            <w:tcW w:w="1783" w:type="dxa"/>
            <w:tcBorders>
              <w:top w:val="single" w:sz="4" w:space="0" w:color="auto"/>
            </w:tcBorders>
            <w:noWrap/>
            <w:tcMar>
              <w:top w:w="0" w:type="dxa"/>
              <w:left w:w="144" w:type="dxa"/>
              <w:bottom w:w="0" w:type="dxa"/>
              <w:right w:w="0" w:type="dxa"/>
            </w:tcMar>
            <w:vAlign w:val="bottom"/>
          </w:tcPr>
          <w:p w:rsidR="0034670F" w:rsidRPr="00E53641" w:rsidRDefault="0034670F" w:rsidP="00136CB7">
            <w:pPr>
              <w:tabs>
                <w:tab w:val="right" w:pos="920"/>
                <w:tab w:val="decimal" w:pos="960"/>
              </w:tabs>
              <w:spacing w:before="0" w:after="20"/>
              <w:jc w:val="right"/>
              <w:rPr>
                <w:sz w:val="18"/>
                <w:szCs w:val="18"/>
              </w:rPr>
            </w:pPr>
            <w:r w:rsidRPr="00E53641">
              <w:rPr>
                <w:b/>
                <w:bCs/>
                <w:sz w:val="18"/>
                <w:szCs w:val="18"/>
              </w:rPr>
              <w:tab/>
              <w:t>8.8</w:t>
            </w:r>
            <w:r w:rsidRPr="00E53641">
              <w:rPr>
                <w:b/>
                <w:bCs/>
                <w:sz w:val="18"/>
                <w:szCs w:val="18"/>
              </w:rPr>
              <w:tab/>
            </w:r>
          </w:p>
        </w:tc>
        <w:tc>
          <w:tcPr>
            <w:tcW w:w="1632" w:type="dxa"/>
            <w:tcBorders>
              <w:top w:val="single" w:sz="4" w:space="0" w:color="auto"/>
            </w:tcBorders>
            <w:noWrap/>
            <w:tcMar>
              <w:top w:w="0" w:type="dxa"/>
              <w:left w:w="144" w:type="dxa"/>
              <w:bottom w:w="0" w:type="dxa"/>
              <w:right w:w="0" w:type="dxa"/>
            </w:tcMar>
            <w:vAlign w:val="bottom"/>
          </w:tcPr>
          <w:p w:rsidR="0034670F" w:rsidRPr="004A56AF" w:rsidRDefault="0034670F" w:rsidP="00136CB7">
            <w:pPr>
              <w:tabs>
                <w:tab w:val="right" w:pos="920"/>
                <w:tab w:val="decimal" w:pos="960"/>
              </w:tabs>
              <w:spacing w:before="0" w:after="20"/>
              <w:jc w:val="right"/>
              <w:rPr>
                <w:sz w:val="18"/>
                <w:szCs w:val="18"/>
              </w:rPr>
            </w:pPr>
            <w:r w:rsidRPr="00E53641">
              <w:rPr>
                <w:b/>
                <w:bCs/>
                <w:sz w:val="18"/>
                <w:szCs w:val="18"/>
              </w:rPr>
              <w:t>10.2</w:t>
            </w:r>
          </w:p>
        </w:tc>
      </w:tr>
      <w:tr w:rsidR="0034670F" w:rsidRPr="004A56AF" w:rsidTr="00136CB7">
        <w:tc>
          <w:tcPr>
            <w:tcW w:w="5614" w:type="dxa"/>
            <w:tcMar>
              <w:top w:w="0" w:type="dxa"/>
              <w:left w:w="144" w:type="dxa"/>
              <w:bottom w:w="0" w:type="dxa"/>
              <w:right w:w="0" w:type="dxa"/>
            </w:tcMar>
            <w:vAlign w:val="bottom"/>
          </w:tcPr>
          <w:p w:rsidR="0034670F" w:rsidRPr="004A56AF" w:rsidRDefault="0034670F" w:rsidP="00136CB7">
            <w:pPr>
              <w:spacing w:before="0" w:after="0"/>
              <w:rPr>
                <w:noProof/>
                <w:sz w:val="18"/>
                <w:szCs w:val="18"/>
                <w:lang w:val="en-US"/>
              </w:rPr>
            </w:pPr>
            <w:r w:rsidRPr="004A56AF">
              <w:rPr>
                <w:noProof/>
                <w:sz w:val="18"/>
                <w:szCs w:val="18"/>
                <w:lang w:val="en-US"/>
              </w:rPr>
              <w:t> </w:t>
            </w:r>
          </w:p>
        </w:tc>
        <w:tc>
          <w:tcPr>
            <w:tcW w:w="1783" w:type="dxa"/>
            <w:tcMar>
              <w:top w:w="0" w:type="dxa"/>
              <w:left w:w="144" w:type="dxa"/>
              <w:bottom w:w="0" w:type="dxa"/>
              <w:right w:w="0" w:type="dxa"/>
            </w:tcMar>
            <w:vAlign w:val="bottom"/>
          </w:tcPr>
          <w:p w:rsidR="0034670F" w:rsidRPr="004A56AF" w:rsidRDefault="0034670F" w:rsidP="00136CB7">
            <w:pPr>
              <w:pBdr>
                <w:top w:val="double" w:sz="6" w:space="1" w:color="auto"/>
              </w:pBdr>
              <w:spacing w:before="20" w:after="0"/>
              <w:rPr>
                <w:sz w:val="18"/>
                <w:szCs w:val="18"/>
                <w:lang w:val="en-US"/>
              </w:rPr>
            </w:pPr>
            <w:r w:rsidRPr="004A56AF">
              <w:rPr>
                <w:sz w:val="18"/>
                <w:szCs w:val="18"/>
                <w:lang w:val="en-US"/>
              </w:rPr>
              <w:t> </w:t>
            </w:r>
          </w:p>
        </w:tc>
        <w:tc>
          <w:tcPr>
            <w:tcW w:w="1632" w:type="dxa"/>
            <w:tcMar>
              <w:top w:w="0" w:type="dxa"/>
              <w:left w:w="144" w:type="dxa"/>
              <w:bottom w:w="0" w:type="dxa"/>
              <w:right w:w="0" w:type="dxa"/>
            </w:tcMar>
            <w:vAlign w:val="bottom"/>
          </w:tcPr>
          <w:p w:rsidR="0034670F" w:rsidRPr="004A56AF" w:rsidRDefault="0034670F" w:rsidP="00136CB7">
            <w:pPr>
              <w:pBdr>
                <w:top w:val="double" w:sz="6" w:space="1" w:color="auto"/>
              </w:pBdr>
              <w:spacing w:before="20" w:after="0"/>
              <w:rPr>
                <w:sz w:val="18"/>
                <w:szCs w:val="18"/>
                <w:lang w:val="en-US"/>
              </w:rPr>
            </w:pPr>
            <w:r w:rsidRPr="004A56AF">
              <w:rPr>
                <w:sz w:val="18"/>
                <w:szCs w:val="18"/>
                <w:lang w:val="en-US"/>
              </w:rPr>
              <w:t> </w:t>
            </w:r>
          </w:p>
        </w:tc>
      </w:tr>
    </w:tbl>
    <w:p w:rsidR="003F0BC5" w:rsidRPr="00992199" w:rsidRDefault="003F0BC5" w:rsidP="003F0BC5">
      <w:pPr>
        <w:autoSpaceDE w:val="0"/>
        <w:autoSpaceDN w:val="0"/>
        <w:adjustRightInd w:val="0"/>
        <w:spacing w:after="200"/>
        <w:rPr>
          <w:bCs/>
          <w:color w:val="000000"/>
          <w:szCs w:val="20"/>
          <w:lang w:val="en-US"/>
        </w:rPr>
      </w:pPr>
      <w:r w:rsidRPr="00992199">
        <w:rPr>
          <w:bCs/>
          <w:color w:val="000000"/>
          <w:szCs w:val="20"/>
          <w:lang w:val="en-US"/>
        </w:rPr>
        <w:t xml:space="preserve">Total inventories amount to </w:t>
      </w:r>
      <w:r w:rsidR="00E53641">
        <w:rPr>
          <w:bCs/>
          <w:color w:val="000000"/>
          <w:szCs w:val="20"/>
          <w:lang w:val="en-US"/>
        </w:rPr>
        <w:t>EUR </w:t>
      </w:r>
      <w:r w:rsidRPr="00992199">
        <w:rPr>
          <w:bCs/>
          <w:color w:val="000000"/>
          <w:szCs w:val="20"/>
          <w:lang w:val="en-US"/>
        </w:rPr>
        <w:t xml:space="preserve">9,719,000 as per 30 September 2014 and decreased with </w:t>
      </w:r>
      <w:r w:rsidR="00E53641">
        <w:rPr>
          <w:bCs/>
          <w:color w:val="000000"/>
          <w:szCs w:val="20"/>
          <w:lang w:val="en-US"/>
        </w:rPr>
        <w:t>EUR </w:t>
      </w:r>
      <w:r w:rsidRPr="00992199">
        <w:rPr>
          <w:bCs/>
          <w:color w:val="000000"/>
          <w:szCs w:val="20"/>
          <w:lang w:val="en-US"/>
        </w:rPr>
        <w:t xml:space="preserve">827,000 due to the closure of the production plant of </w:t>
      </w:r>
      <w:smartTag w:uri="urn:schemas-microsoft-com:office:smarttags" w:element="country-region">
        <w:smartTag w:uri="urn:schemas-microsoft-com:office:smarttags" w:element="place">
          <w:r w:rsidRPr="00992199">
            <w:rPr>
              <w:bCs/>
              <w:color w:val="000000"/>
              <w:szCs w:val="20"/>
              <w:lang w:val="en-US"/>
            </w:rPr>
            <w:t>Arles</w:t>
          </w:r>
        </w:smartTag>
      </w:smartTag>
      <w:r w:rsidRPr="00992199">
        <w:rPr>
          <w:bCs/>
          <w:color w:val="000000"/>
          <w:szCs w:val="20"/>
          <w:lang w:val="en-US"/>
        </w:rPr>
        <w:t xml:space="preserve"> and stock control.</w:t>
      </w:r>
    </w:p>
    <w:p w:rsidR="003F0BC5" w:rsidRPr="00992199" w:rsidRDefault="003F0BC5" w:rsidP="003F0BC5">
      <w:pPr>
        <w:autoSpaceDE w:val="0"/>
        <w:autoSpaceDN w:val="0"/>
        <w:adjustRightInd w:val="0"/>
        <w:spacing w:after="200"/>
        <w:rPr>
          <w:bCs/>
          <w:color w:val="000000"/>
          <w:szCs w:val="20"/>
          <w:lang w:val="en-US"/>
        </w:rPr>
      </w:pPr>
      <w:r w:rsidRPr="00992199">
        <w:rPr>
          <w:bCs/>
          <w:color w:val="000000"/>
          <w:szCs w:val="20"/>
          <w:lang w:val="en-US"/>
        </w:rPr>
        <w:t>Trade receivables, payables and other short term debts/receivables are in line with the previous year.</w:t>
      </w:r>
    </w:p>
    <w:p w:rsidR="003F0BC5" w:rsidRPr="00992199" w:rsidRDefault="003F0BC5" w:rsidP="003F0BC5">
      <w:pPr>
        <w:autoSpaceDE w:val="0"/>
        <w:autoSpaceDN w:val="0"/>
        <w:adjustRightInd w:val="0"/>
        <w:spacing w:after="200"/>
        <w:rPr>
          <w:bCs/>
          <w:color w:val="000000"/>
          <w:szCs w:val="20"/>
          <w:lang w:val="en-US"/>
        </w:rPr>
      </w:pPr>
      <w:r w:rsidRPr="00992199">
        <w:rPr>
          <w:bCs/>
          <w:color w:val="000000"/>
          <w:szCs w:val="20"/>
          <w:lang w:val="en-US"/>
        </w:rPr>
        <w:t>As at 30 September 2014 working capital, expressed as percentage of full year revenues from operations, amounts to 13.6%, compared to 16.6%% as at year-end 2013.</w:t>
      </w:r>
    </w:p>
    <w:p w:rsidR="003F0BC5" w:rsidRPr="00992199" w:rsidRDefault="003F0BC5" w:rsidP="00353B80">
      <w:pPr>
        <w:pStyle w:val="Firm5L2"/>
        <w:keepNext/>
      </w:pPr>
      <w:bookmarkStart w:id="89" w:name="_Toc420593902"/>
      <w:r w:rsidRPr="00992199">
        <w:t>Contractual obligations and other commitments</w:t>
      </w:r>
      <w:bookmarkEnd w:id="89"/>
    </w:p>
    <w:p w:rsidR="003F0BC5" w:rsidRPr="00992199" w:rsidRDefault="003F0BC5" w:rsidP="003F0BC5">
      <w:pPr>
        <w:autoSpaceDE w:val="0"/>
        <w:autoSpaceDN w:val="0"/>
        <w:adjustRightInd w:val="0"/>
        <w:spacing w:after="200"/>
        <w:rPr>
          <w:bCs/>
          <w:color w:val="000000"/>
          <w:szCs w:val="20"/>
          <w:lang w:val="en-US"/>
        </w:rPr>
      </w:pPr>
      <w:r w:rsidRPr="00992199">
        <w:rPr>
          <w:bCs/>
          <w:color w:val="000000"/>
          <w:szCs w:val="20"/>
          <w:lang w:val="en-US"/>
        </w:rPr>
        <w:t>The following table sets forth the aggregate maturities of Peatinvest’s financial debt and other contractual obligations as of 30 September 2014:</w:t>
      </w:r>
    </w:p>
    <w:tbl>
      <w:tblPr>
        <w:tblW w:w="9604" w:type="dxa"/>
        <w:tblLook w:val="04A0" w:firstRow="1" w:lastRow="0" w:firstColumn="1" w:lastColumn="0" w:noHBand="0" w:noVBand="1"/>
      </w:tblPr>
      <w:tblGrid>
        <w:gridCol w:w="3568"/>
        <w:gridCol w:w="1584"/>
        <w:gridCol w:w="1444"/>
        <w:gridCol w:w="1484"/>
        <w:gridCol w:w="1524"/>
      </w:tblGrid>
      <w:tr w:rsidR="0034670F" w:rsidRPr="00E53641" w:rsidTr="00136CB7">
        <w:tc>
          <w:tcPr>
            <w:tcW w:w="3568" w:type="dxa"/>
            <w:shd w:val="clear" w:color="auto" w:fill="auto"/>
            <w:vAlign w:val="bottom"/>
          </w:tcPr>
          <w:p w:rsidR="0034670F" w:rsidRPr="000D3D24" w:rsidRDefault="0034670F" w:rsidP="00136CB7">
            <w:pPr>
              <w:spacing w:before="0" w:after="0"/>
              <w:rPr>
                <w:bCs/>
                <w:i/>
                <w:sz w:val="18"/>
                <w:szCs w:val="18"/>
              </w:rPr>
            </w:pPr>
          </w:p>
        </w:tc>
        <w:tc>
          <w:tcPr>
            <w:tcW w:w="6036" w:type="dxa"/>
            <w:gridSpan w:val="4"/>
            <w:shd w:val="clear" w:color="auto" w:fill="auto"/>
            <w:vAlign w:val="bottom"/>
          </w:tcPr>
          <w:p w:rsidR="0034670F" w:rsidRPr="00E53641" w:rsidRDefault="0034670F" w:rsidP="00136CB7">
            <w:pPr>
              <w:pBdr>
                <w:bottom w:val="single" w:sz="4" w:space="1" w:color="auto"/>
              </w:pBdr>
              <w:spacing w:before="0" w:after="0"/>
              <w:jc w:val="center"/>
              <w:rPr>
                <w:b/>
                <w:bCs/>
                <w:sz w:val="18"/>
                <w:szCs w:val="18"/>
              </w:rPr>
            </w:pPr>
            <w:r w:rsidRPr="00E53641">
              <w:rPr>
                <w:b/>
                <w:bCs/>
                <w:sz w:val="18"/>
                <w:szCs w:val="18"/>
              </w:rPr>
              <w:t>Payment due by period</w:t>
            </w:r>
            <w:r w:rsidRPr="00E53641">
              <w:rPr>
                <w:b/>
                <w:bCs/>
                <w:sz w:val="18"/>
                <w:szCs w:val="18"/>
              </w:rPr>
              <w:br/>
            </w:r>
          </w:p>
        </w:tc>
      </w:tr>
      <w:tr w:rsidR="0034670F" w:rsidRPr="00E53641" w:rsidTr="00136CB7">
        <w:tc>
          <w:tcPr>
            <w:tcW w:w="3568" w:type="dxa"/>
            <w:shd w:val="clear" w:color="auto" w:fill="auto"/>
            <w:vAlign w:val="center"/>
          </w:tcPr>
          <w:p w:rsidR="0034670F" w:rsidRPr="00E53641" w:rsidRDefault="0034670F" w:rsidP="00136CB7">
            <w:pPr>
              <w:spacing w:before="0" w:after="0"/>
              <w:rPr>
                <w:bCs/>
                <w:i/>
                <w:sz w:val="18"/>
                <w:szCs w:val="18"/>
              </w:rPr>
            </w:pPr>
            <w:r w:rsidRPr="00E53641">
              <w:rPr>
                <w:bCs/>
                <w:i/>
                <w:sz w:val="18"/>
                <w:szCs w:val="18"/>
              </w:rPr>
              <w:t>(</w:t>
            </w:r>
            <w:r w:rsidR="00E53641" w:rsidRPr="00E53641">
              <w:rPr>
                <w:bCs/>
                <w:i/>
                <w:sz w:val="18"/>
                <w:szCs w:val="18"/>
              </w:rPr>
              <w:t>EUR </w:t>
            </w:r>
            <w:r w:rsidRPr="00E53641">
              <w:rPr>
                <w:bCs/>
                <w:i/>
                <w:sz w:val="18"/>
                <w:szCs w:val="18"/>
              </w:rPr>
              <w:t>in millions)</w:t>
            </w:r>
          </w:p>
        </w:tc>
        <w:tc>
          <w:tcPr>
            <w:tcW w:w="1584" w:type="dxa"/>
            <w:shd w:val="clear" w:color="auto" w:fill="auto"/>
            <w:vAlign w:val="bottom"/>
          </w:tcPr>
          <w:p w:rsidR="0034670F" w:rsidRPr="00E53641" w:rsidRDefault="0034670F" w:rsidP="00136CB7">
            <w:pPr>
              <w:pBdr>
                <w:bottom w:val="single" w:sz="4" w:space="1" w:color="auto"/>
              </w:pBdr>
              <w:spacing w:before="0" w:after="0"/>
              <w:jc w:val="center"/>
              <w:rPr>
                <w:b/>
                <w:bCs/>
                <w:sz w:val="18"/>
                <w:szCs w:val="18"/>
              </w:rPr>
            </w:pPr>
            <w:r w:rsidRPr="00E53641">
              <w:rPr>
                <w:b/>
                <w:bCs/>
                <w:sz w:val="18"/>
                <w:szCs w:val="18"/>
              </w:rPr>
              <w:t>Year Ended 30 September 2014</w:t>
            </w:r>
          </w:p>
        </w:tc>
        <w:tc>
          <w:tcPr>
            <w:tcW w:w="1444" w:type="dxa"/>
            <w:shd w:val="clear" w:color="auto" w:fill="auto"/>
            <w:vAlign w:val="bottom"/>
          </w:tcPr>
          <w:p w:rsidR="0034670F" w:rsidRPr="00E53641" w:rsidRDefault="0034670F" w:rsidP="00136CB7">
            <w:pPr>
              <w:pBdr>
                <w:bottom w:val="single" w:sz="4" w:space="1" w:color="auto"/>
              </w:pBdr>
              <w:spacing w:before="0" w:after="0"/>
              <w:jc w:val="center"/>
              <w:rPr>
                <w:b/>
                <w:bCs/>
                <w:sz w:val="18"/>
                <w:szCs w:val="18"/>
              </w:rPr>
            </w:pPr>
            <w:r w:rsidRPr="00E53641">
              <w:rPr>
                <w:b/>
                <w:bCs/>
                <w:sz w:val="18"/>
                <w:szCs w:val="18"/>
              </w:rPr>
              <w:t>Due within 1 year</w:t>
            </w:r>
          </w:p>
        </w:tc>
        <w:tc>
          <w:tcPr>
            <w:tcW w:w="1484" w:type="dxa"/>
            <w:shd w:val="clear" w:color="auto" w:fill="auto"/>
            <w:vAlign w:val="bottom"/>
          </w:tcPr>
          <w:p w:rsidR="0034670F" w:rsidRPr="00E53641" w:rsidRDefault="0034670F" w:rsidP="00136CB7">
            <w:pPr>
              <w:pBdr>
                <w:bottom w:val="single" w:sz="4" w:space="1" w:color="auto"/>
              </w:pBdr>
              <w:spacing w:before="0" w:after="0"/>
              <w:jc w:val="center"/>
              <w:rPr>
                <w:b/>
                <w:bCs/>
                <w:sz w:val="18"/>
                <w:szCs w:val="18"/>
              </w:rPr>
            </w:pPr>
            <w:r w:rsidRPr="00E53641">
              <w:rPr>
                <w:b/>
                <w:bCs/>
                <w:sz w:val="18"/>
                <w:szCs w:val="18"/>
              </w:rPr>
              <w:t>Due in 1 to 5 years</w:t>
            </w:r>
          </w:p>
        </w:tc>
        <w:tc>
          <w:tcPr>
            <w:tcW w:w="1524" w:type="dxa"/>
            <w:shd w:val="clear" w:color="auto" w:fill="auto"/>
            <w:vAlign w:val="bottom"/>
          </w:tcPr>
          <w:p w:rsidR="0034670F" w:rsidRPr="00E53641" w:rsidRDefault="0034670F" w:rsidP="00136CB7">
            <w:pPr>
              <w:pBdr>
                <w:bottom w:val="single" w:sz="4" w:space="1" w:color="auto"/>
              </w:pBdr>
              <w:spacing w:before="0" w:after="0"/>
              <w:jc w:val="center"/>
              <w:rPr>
                <w:b/>
                <w:bCs/>
                <w:sz w:val="18"/>
                <w:szCs w:val="18"/>
              </w:rPr>
            </w:pPr>
            <w:r w:rsidRPr="00E53641">
              <w:rPr>
                <w:b/>
                <w:bCs/>
                <w:sz w:val="18"/>
                <w:szCs w:val="18"/>
              </w:rPr>
              <w:t>Due beyond 5 years</w:t>
            </w:r>
          </w:p>
        </w:tc>
      </w:tr>
      <w:tr w:rsidR="0034670F" w:rsidRPr="00E53641" w:rsidTr="00136CB7">
        <w:tc>
          <w:tcPr>
            <w:tcW w:w="3568" w:type="dxa"/>
            <w:shd w:val="clear" w:color="auto" w:fill="auto"/>
          </w:tcPr>
          <w:p w:rsidR="0034670F" w:rsidRPr="00E53641" w:rsidRDefault="0034670F" w:rsidP="00136CB7">
            <w:pPr>
              <w:tabs>
                <w:tab w:val="right" w:leader="dot" w:pos="3762"/>
              </w:tabs>
              <w:spacing w:before="0" w:after="0"/>
              <w:rPr>
                <w:bCs/>
                <w:sz w:val="18"/>
                <w:szCs w:val="18"/>
              </w:rPr>
            </w:pPr>
            <w:r w:rsidRPr="00E53641">
              <w:rPr>
                <w:bCs/>
                <w:sz w:val="18"/>
                <w:szCs w:val="18"/>
              </w:rPr>
              <w:t>Long-term debt</w:t>
            </w:r>
            <w:r w:rsidRPr="00E53641">
              <w:rPr>
                <w:bCs/>
                <w:sz w:val="18"/>
                <w:szCs w:val="18"/>
              </w:rPr>
              <w:tab/>
            </w:r>
          </w:p>
        </w:tc>
        <w:tc>
          <w:tcPr>
            <w:tcW w:w="1584" w:type="dxa"/>
            <w:shd w:val="clear" w:color="auto" w:fill="auto"/>
          </w:tcPr>
          <w:p w:rsidR="0034670F" w:rsidRPr="00E53641" w:rsidRDefault="0034670F" w:rsidP="00136CB7">
            <w:pPr>
              <w:spacing w:before="0" w:after="0"/>
              <w:jc w:val="right"/>
              <w:rPr>
                <w:sz w:val="18"/>
                <w:szCs w:val="18"/>
              </w:rPr>
            </w:pPr>
            <w:r w:rsidRPr="00E53641">
              <w:rPr>
                <w:sz w:val="18"/>
                <w:szCs w:val="18"/>
              </w:rPr>
              <w:t>12.3</w:t>
            </w:r>
          </w:p>
        </w:tc>
        <w:tc>
          <w:tcPr>
            <w:tcW w:w="1444" w:type="dxa"/>
            <w:shd w:val="clear" w:color="auto" w:fill="auto"/>
          </w:tcPr>
          <w:p w:rsidR="0034670F" w:rsidRPr="00E53641" w:rsidRDefault="0034670F" w:rsidP="00136CB7">
            <w:pPr>
              <w:spacing w:before="0" w:after="0"/>
              <w:jc w:val="right"/>
              <w:rPr>
                <w:sz w:val="18"/>
                <w:szCs w:val="18"/>
              </w:rPr>
            </w:pPr>
            <w:r w:rsidRPr="00E53641">
              <w:rPr>
                <w:sz w:val="18"/>
                <w:szCs w:val="18"/>
              </w:rPr>
              <w:t>2.5</w:t>
            </w:r>
          </w:p>
        </w:tc>
        <w:tc>
          <w:tcPr>
            <w:tcW w:w="1484" w:type="dxa"/>
            <w:shd w:val="clear" w:color="auto" w:fill="auto"/>
          </w:tcPr>
          <w:p w:rsidR="0034670F" w:rsidRPr="00E53641" w:rsidRDefault="0034670F" w:rsidP="00136CB7">
            <w:pPr>
              <w:spacing w:before="0" w:after="0"/>
              <w:jc w:val="right"/>
              <w:rPr>
                <w:sz w:val="18"/>
                <w:szCs w:val="18"/>
              </w:rPr>
            </w:pPr>
            <w:r w:rsidRPr="00E53641">
              <w:rPr>
                <w:sz w:val="18"/>
                <w:szCs w:val="18"/>
              </w:rPr>
              <w:t>8.4</w:t>
            </w:r>
          </w:p>
        </w:tc>
        <w:tc>
          <w:tcPr>
            <w:tcW w:w="1524" w:type="dxa"/>
            <w:shd w:val="clear" w:color="auto" w:fill="auto"/>
          </w:tcPr>
          <w:p w:rsidR="0034670F" w:rsidRPr="00E53641" w:rsidRDefault="0034670F" w:rsidP="00136CB7">
            <w:pPr>
              <w:spacing w:before="0" w:after="0"/>
              <w:jc w:val="right"/>
              <w:rPr>
                <w:sz w:val="18"/>
                <w:szCs w:val="18"/>
              </w:rPr>
            </w:pPr>
            <w:r w:rsidRPr="00E53641">
              <w:rPr>
                <w:sz w:val="18"/>
                <w:szCs w:val="18"/>
              </w:rPr>
              <w:t>1.4</w:t>
            </w:r>
          </w:p>
        </w:tc>
      </w:tr>
      <w:tr w:rsidR="0034670F" w:rsidRPr="00E53641" w:rsidTr="00136CB7">
        <w:tc>
          <w:tcPr>
            <w:tcW w:w="3568" w:type="dxa"/>
            <w:shd w:val="clear" w:color="auto" w:fill="auto"/>
          </w:tcPr>
          <w:p w:rsidR="0034670F" w:rsidRPr="00E53641" w:rsidRDefault="0034670F" w:rsidP="00136CB7">
            <w:pPr>
              <w:tabs>
                <w:tab w:val="right" w:leader="dot" w:pos="3762"/>
              </w:tabs>
              <w:spacing w:before="0" w:after="0"/>
              <w:rPr>
                <w:bCs/>
                <w:sz w:val="18"/>
                <w:szCs w:val="18"/>
              </w:rPr>
            </w:pPr>
            <w:r w:rsidRPr="00E53641">
              <w:rPr>
                <w:bCs/>
                <w:sz w:val="18"/>
                <w:szCs w:val="18"/>
              </w:rPr>
              <w:t>Short-term debt</w:t>
            </w:r>
            <w:r w:rsidRPr="00E53641">
              <w:rPr>
                <w:bCs/>
                <w:sz w:val="18"/>
                <w:szCs w:val="18"/>
              </w:rPr>
              <w:tab/>
            </w:r>
          </w:p>
        </w:tc>
        <w:tc>
          <w:tcPr>
            <w:tcW w:w="1584" w:type="dxa"/>
            <w:shd w:val="clear" w:color="auto" w:fill="auto"/>
          </w:tcPr>
          <w:p w:rsidR="0034670F" w:rsidRPr="00E53641" w:rsidRDefault="0034670F" w:rsidP="00136CB7">
            <w:pPr>
              <w:pBdr>
                <w:bottom w:val="single" w:sz="4" w:space="1" w:color="auto"/>
              </w:pBdr>
              <w:spacing w:before="0" w:after="0"/>
              <w:jc w:val="right"/>
              <w:rPr>
                <w:sz w:val="18"/>
                <w:szCs w:val="18"/>
              </w:rPr>
            </w:pPr>
            <w:r w:rsidRPr="00E53641">
              <w:rPr>
                <w:sz w:val="18"/>
                <w:szCs w:val="18"/>
              </w:rPr>
              <w:t>0</w:t>
            </w:r>
          </w:p>
        </w:tc>
        <w:tc>
          <w:tcPr>
            <w:tcW w:w="1444" w:type="dxa"/>
            <w:shd w:val="clear" w:color="auto" w:fill="auto"/>
          </w:tcPr>
          <w:p w:rsidR="0034670F" w:rsidRPr="00E53641" w:rsidRDefault="0034670F" w:rsidP="00136CB7">
            <w:pPr>
              <w:pBdr>
                <w:bottom w:val="single" w:sz="4" w:space="1" w:color="auto"/>
              </w:pBdr>
              <w:spacing w:before="0" w:after="0"/>
              <w:jc w:val="right"/>
              <w:rPr>
                <w:sz w:val="18"/>
                <w:szCs w:val="18"/>
              </w:rPr>
            </w:pPr>
            <w:r w:rsidRPr="00E53641">
              <w:rPr>
                <w:sz w:val="18"/>
                <w:szCs w:val="18"/>
              </w:rPr>
              <w:t>0</w:t>
            </w:r>
          </w:p>
        </w:tc>
        <w:tc>
          <w:tcPr>
            <w:tcW w:w="1484" w:type="dxa"/>
            <w:shd w:val="clear" w:color="auto" w:fill="auto"/>
          </w:tcPr>
          <w:p w:rsidR="0034670F" w:rsidRPr="00E53641" w:rsidRDefault="0034670F" w:rsidP="00136CB7">
            <w:pPr>
              <w:pBdr>
                <w:bottom w:val="single" w:sz="4" w:space="1" w:color="auto"/>
              </w:pBdr>
              <w:spacing w:before="0" w:after="0"/>
              <w:jc w:val="right"/>
              <w:rPr>
                <w:sz w:val="18"/>
                <w:szCs w:val="18"/>
              </w:rPr>
            </w:pPr>
            <w:r w:rsidRPr="00E53641">
              <w:rPr>
                <w:sz w:val="18"/>
                <w:szCs w:val="18"/>
              </w:rPr>
              <w:t>0</w:t>
            </w:r>
          </w:p>
        </w:tc>
        <w:tc>
          <w:tcPr>
            <w:tcW w:w="1524" w:type="dxa"/>
            <w:shd w:val="clear" w:color="auto" w:fill="auto"/>
          </w:tcPr>
          <w:p w:rsidR="0034670F" w:rsidRPr="00E53641" w:rsidRDefault="0034670F" w:rsidP="00136CB7">
            <w:pPr>
              <w:pBdr>
                <w:bottom w:val="single" w:sz="4" w:space="1" w:color="auto"/>
              </w:pBdr>
              <w:spacing w:before="0" w:after="0"/>
              <w:jc w:val="right"/>
              <w:rPr>
                <w:sz w:val="18"/>
                <w:szCs w:val="18"/>
              </w:rPr>
            </w:pPr>
            <w:r w:rsidRPr="00E53641">
              <w:rPr>
                <w:sz w:val="18"/>
                <w:szCs w:val="18"/>
              </w:rPr>
              <w:t>0</w:t>
            </w:r>
          </w:p>
        </w:tc>
      </w:tr>
      <w:tr w:rsidR="0034670F" w:rsidRPr="000D3D24" w:rsidTr="00136CB7">
        <w:tc>
          <w:tcPr>
            <w:tcW w:w="3568" w:type="dxa"/>
            <w:shd w:val="clear" w:color="auto" w:fill="auto"/>
          </w:tcPr>
          <w:p w:rsidR="0034670F" w:rsidRPr="00E53641" w:rsidRDefault="0034670F" w:rsidP="00136CB7">
            <w:pPr>
              <w:tabs>
                <w:tab w:val="right" w:leader="dot" w:pos="3762"/>
              </w:tabs>
              <w:spacing w:before="0" w:after="40"/>
              <w:rPr>
                <w:b/>
                <w:bCs/>
                <w:sz w:val="18"/>
                <w:szCs w:val="18"/>
              </w:rPr>
            </w:pPr>
            <w:r w:rsidRPr="00E53641">
              <w:rPr>
                <w:b/>
                <w:bCs/>
                <w:sz w:val="18"/>
                <w:szCs w:val="18"/>
              </w:rPr>
              <w:t>Total</w:t>
            </w:r>
            <w:r w:rsidRPr="00E53641">
              <w:rPr>
                <w:bCs/>
                <w:sz w:val="18"/>
                <w:szCs w:val="18"/>
              </w:rPr>
              <w:tab/>
            </w:r>
          </w:p>
        </w:tc>
        <w:tc>
          <w:tcPr>
            <w:tcW w:w="1584" w:type="dxa"/>
            <w:shd w:val="clear" w:color="auto" w:fill="auto"/>
          </w:tcPr>
          <w:p w:rsidR="0034670F" w:rsidRPr="00E53641" w:rsidRDefault="0034670F" w:rsidP="00136CB7">
            <w:pPr>
              <w:pBdr>
                <w:bottom w:val="double" w:sz="4" w:space="1" w:color="auto"/>
              </w:pBdr>
              <w:spacing w:before="0" w:after="40"/>
              <w:jc w:val="right"/>
              <w:rPr>
                <w:b/>
                <w:sz w:val="18"/>
                <w:szCs w:val="18"/>
              </w:rPr>
            </w:pPr>
            <w:r w:rsidRPr="00E53641">
              <w:rPr>
                <w:b/>
                <w:sz w:val="18"/>
                <w:szCs w:val="18"/>
              </w:rPr>
              <w:t>12.3</w:t>
            </w:r>
          </w:p>
        </w:tc>
        <w:tc>
          <w:tcPr>
            <w:tcW w:w="1444" w:type="dxa"/>
            <w:shd w:val="clear" w:color="auto" w:fill="auto"/>
          </w:tcPr>
          <w:p w:rsidR="0034670F" w:rsidRPr="00E53641" w:rsidRDefault="0034670F" w:rsidP="00136CB7">
            <w:pPr>
              <w:pBdr>
                <w:bottom w:val="double" w:sz="4" w:space="1" w:color="auto"/>
              </w:pBdr>
              <w:spacing w:before="0" w:after="40"/>
              <w:jc w:val="right"/>
              <w:rPr>
                <w:b/>
                <w:sz w:val="18"/>
                <w:szCs w:val="18"/>
              </w:rPr>
            </w:pPr>
            <w:r w:rsidRPr="00E53641">
              <w:rPr>
                <w:b/>
                <w:sz w:val="18"/>
                <w:szCs w:val="18"/>
              </w:rPr>
              <w:t>2.5</w:t>
            </w:r>
          </w:p>
        </w:tc>
        <w:tc>
          <w:tcPr>
            <w:tcW w:w="1484" w:type="dxa"/>
            <w:shd w:val="clear" w:color="auto" w:fill="auto"/>
          </w:tcPr>
          <w:p w:rsidR="0034670F" w:rsidRPr="00E53641" w:rsidRDefault="0034670F" w:rsidP="00136CB7">
            <w:pPr>
              <w:pBdr>
                <w:bottom w:val="double" w:sz="4" w:space="1" w:color="auto"/>
              </w:pBdr>
              <w:spacing w:before="0" w:after="40"/>
              <w:jc w:val="right"/>
              <w:rPr>
                <w:b/>
                <w:sz w:val="18"/>
                <w:szCs w:val="18"/>
              </w:rPr>
            </w:pPr>
            <w:r w:rsidRPr="00E53641">
              <w:rPr>
                <w:b/>
                <w:sz w:val="18"/>
                <w:szCs w:val="18"/>
              </w:rPr>
              <w:t>8.4</w:t>
            </w:r>
          </w:p>
        </w:tc>
        <w:tc>
          <w:tcPr>
            <w:tcW w:w="1524" w:type="dxa"/>
            <w:shd w:val="clear" w:color="auto" w:fill="auto"/>
          </w:tcPr>
          <w:p w:rsidR="0034670F" w:rsidRPr="000D3D24" w:rsidRDefault="0034670F" w:rsidP="00136CB7">
            <w:pPr>
              <w:pBdr>
                <w:bottom w:val="double" w:sz="4" w:space="1" w:color="auto"/>
              </w:pBdr>
              <w:spacing w:before="0" w:after="40"/>
              <w:jc w:val="right"/>
              <w:rPr>
                <w:b/>
                <w:sz w:val="18"/>
                <w:szCs w:val="18"/>
              </w:rPr>
            </w:pPr>
            <w:r w:rsidRPr="00E53641">
              <w:rPr>
                <w:b/>
                <w:sz w:val="18"/>
                <w:szCs w:val="18"/>
              </w:rPr>
              <w:t>1.4</w:t>
            </w:r>
          </w:p>
        </w:tc>
      </w:tr>
    </w:tbl>
    <w:p w:rsidR="003F0BC5" w:rsidRDefault="003F0BC5" w:rsidP="003F0BC5">
      <w:pPr>
        <w:autoSpaceDE w:val="0"/>
        <w:autoSpaceDN w:val="0"/>
        <w:adjustRightInd w:val="0"/>
        <w:spacing w:after="200"/>
        <w:rPr>
          <w:bCs/>
          <w:color w:val="000000"/>
          <w:szCs w:val="20"/>
          <w:lang w:val="en-US"/>
        </w:rPr>
      </w:pPr>
      <w:r w:rsidRPr="00992199">
        <w:rPr>
          <w:bCs/>
          <w:color w:val="000000"/>
          <w:szCs w:val="20"/>
          <w:lang w:val="en-US"/>
        </w:rPr>
        <w:t xml:space="preserve">Peatinvest is committed to certain covenants </w:t>
      </w:r>
      <w:r w:rsidR="000F47CD">
        <w:rPr>
          <w:bCs/>
          <w:color w:val="000000"/>
          <w:szCs w:val="20"/>
          <w:lang w:val="en-US"/>
        </w:rPr>
        <w:t>at</w:t>
      </w:r>
      <w:r w:rsidRPr="00992199">
        <w:rPr>
          <w:bCs/>
          <w:color w:val="000000"/>
          <w:szCs w:val="20"/>
          <w:lang w:val="en-US"/>
        </w:rPr>
        <w:t xml:space="preserve"> year end 30 September 2015.</w:t>
      </w:r>
    </w:p>
    <w:p w:rsidR="00C8137D" w:rsidRPr="00AB62FC" w:rsidRDefault="00C8137D" w:rsidP="00C8137D">
      <w:pPr>
        <w:pStyle w:val="Firm5L2"/>
        <w:keepNext/>
      </w:pPr>
      <w:bookmarkStart w:id="90" w:name="_Toc420593903"/>
      <w:r>
        <w:lastRenderedPageBreak/>
        <w:t>Current trading as of and for the period ended 31 March 2015</w:t>
      </w:r>
      <w:bookmarkEnd w:id="90"/>
    </w:p>
    <w:p w:rsidR="00BC52E0" w:rsidRPr="00BC52E0" w:rsidRDefault="00BC52E0" w:rsidP="00BC52E0">
      <w:pPr>
        <w:autoSpaceDE w:val="0"/>
        <w:autoSpaceDN w:val="0"/>
        <w:adjustRightInd w:val="0"/>
        <w:spacing w:after="200"/>
        <w:rPr>
          <w:bCs/>
          <w:szCs w:val="20"/>
          <w:lang w:val="en-US"/>
        </w:rPr>
      </w:pPr>
      <w:r w:rsidRPr="00BC52E0">
        <w:rPr>
          <w:bCs/>
          <w:szCs w:val="20"/>
        </w:rPr>
        <w:t xml:space="preserve">This financial information described below is based primarily on (i) the audited consolidated financial statements of the Peatinvest Group as of and for the </w:t>
      </w:r>
      <w:r>
        <w:rPr>
          <w:bCs/>
          <w:szCs w:val="20"/>
        </w:rPr>
        <w:t xml:space="preserve">financial </w:t>
      </w:r>
      <w:r w:rsidR="00243514">
        <w:rPr>
          <w:bCs/>
          <w:szCs w:val="20"/>
        </w:rPr>
        <w:t>year</w:t>
      </w:r>
      <w:r w:rsidRPr="00BC52E0">
        <w:rPr>
          <w:bCs/>
          <w:szCs w:val="20"/>
        </w:rPr>
        <w:t xml:space="preserve"> ended 30 September 2014, prepared in accordance with </w:t>
      </w:r>
      <w:r>
        <w:rPr>
          <w:bCs/>
          <w:szCs w:val="20"/>
        </w:rPr>
        <w:t>Belgian GAAP</w:t>
      </w:r>
      <w:r w:rsidRPr="00BC52E0">
        <w:rPr>
          <w:bCs/>
          <w:szCs w:val="20"/>
        </w:rPr>
        <w:t xml:space="preserve"> and (ii) the unaudited consolidated balance sheet and profit and loss statement of the Peatinvest Group </w:t>
      </w:r>
      <w:r w:rsidR="00243514" w:rsidRPr="00243514">
        <w:rPr>
          <w:bCs/>
          <w:szCs w:val="20"/>
        </w:rPr>
        <w:t>as of and for the three months periods ended 31 March 2014 and 2015</w:t>
      </w:r>
      <w:r w:rsidRPr="00BC52E0">
        <w:rPr>
          <w:bCs/>
          <w:szCs w:val="20"/>
        </w:rPr>
        <w:t xml:space="preserve">, prepared in accordance with the recognition and measurement principles of </w:t>
      </w:r>
      <w:r w:rsidR="00C8137D">
        <w:rPr>
          <w:bCs/>
          <w:szCs w:val="20"/>
        </w:rPr>
        <w:t>Belgian GAAP</w:t>
      </w:r>
      <w:r w:rsidRPr="00BC52E0">
        <w:rPr>
          <w:bCs/>
          <w:szCs w:val="20"/>
        </w:rPr>
        <w:t>.</w:t>
      </w:r>
      <w:r w:rsidRPr="00BC52E0">
        <w:rPr>
          <w:bCs/>
          <w:szCs w:val="20"/>
          <w:lang w:val="en-US"/>
        </w:rPr>
        <w:t xml:space="preserve"> </w:t>
      </w:r>
    </w:p>
    <w:p w:rsidR="00BC52E0" w:rsidRPr="00BC52E0" w:rsidRDefault="00BC52E0" w:rsidP="00BC52E0">
      <w:r w:rsidRPr="00BC52E0">
        <w:rPr>
          <w:b/>
        </w:rPr>
        <w:t>Revenues</w:t>
      </w:r>
    </w:p>
    <w:tbl>
      <w:tblPr>
        <w:tblW w:w="4870" w:type="pct"/>
        <w:jc w:val="center"/>
        <w:tblCellMar>
          <w:left w:w="0" w:type="dxa"/>
          <w:right w:w="0" w:type="dxa"/>
        </w:tblCellMar>
        <w:tblLook w:val="04A0" w:firstRow="1" w:lastRow="0" w:firstColumn="1" w:lastColumn="0" w:noHBand="0" w:noVBand="1"/>
      </w:tblPr>
      <w:tblGrid>
        <w:gridCol w:w="6062"/>
        <w:gridCol w:w="1655"/>
        <w:gridCol w:w="1218"/>
      </w:tblGrid>
      <w:tr w:rsidR="00BC52E0" w:rsidRPr="00BC52E0" w:rsidTr="00BC52E0">
        <w:trPr>
          <w:tblHeader/>
          <w:jc w:val="center"/>
        </w:trPr>
        <w:tc>
          <w:tcPr>
            <w:tcW w:w="6078" w:type="dxa"/>
            <w:tcMar>
              <w:top w:w="0" w:type="dxa"/>
              <w:left w:w="144" w:type="dxa"/>
              <w:bottom w:w="0" w:type="dxa"/>
              <w:right w:w="0" w:type="dxa"/>
            </w:tcMar>
            <w:vAlign w:val="center"/>
          </w:tcPr>
          <w:p w:rsidR="00BC52E0" w:rsidRPr="00BC52E0" w:rsidRDefault="00BC52E0" w:rsidP="00BC52E0">
            <w:pPr>
              <w:keepNext/>
              <w:spacing w:before="0" w:after="0" w:line="276" w:lineRule="auto"/>
              <w:ind w:hanging="153"/>
              <w:rPr>
                <w:bCs/>
                <w:i/>
                <w:sz w:val="18"/>
                <w:szCs w:val="18"/>
                <w:lang w:val="nl-BE"/>
              </w:rPr>
            </w:pPr>
            <w:r w:rsidRPr="00BC52E0">
              <w:rPr>
                <w:bCs/>
                <w:i/>
                <w:sz w:val="18"/>
                <w:szCs w:val="18"/>
                <w:lang w:val="nl-BE"/>
              </w:rPr>
              <w:t>(</w:t>
            </w:r>
            <w:r w:rsidR="00E53641">
              <w:rPr>
                <w:bCs/>
                <w:i/>
                <w:sz w:val="18"/>
                <w:szCs w:val="18"/>
                <w:lang w:val="nl-BE"/>
              </w:rPr>
              <w:t>EUR </w:t>
            </w:r>
            <w:r w:rsidRPr="00BC52E0">
              <w:rPr>
                <w:bCs/>
                <w:i/>
                <w:sz w:val="18"/>
                <w:szCs w:val="18"/>
                <w:lang w:val="nl-BE"/>
              </w:rPr>
              <w:t>in millions)</w:t>
            </w:r>
          </w:p>
        </w:tc>
        <w:tc>
          <w:tcPr>
            <w:tcW w:w="1647" w:type="dxa"/>
            <w:tcBorders>
              <w:top w:val="nil"/>
              <w:left w:val="nil"/>
              <w:bottom w:val="single" w:sz="4" w:space="0" w:color="auto"/>
              <w:right w:val="nil"/>
            </w:tcBorders>
            <w:tcMar>
              <w:top w:w="0" w:type="dxa"/>
              <w:left w:w="144" w:type="dxa"/>
              <w:bottom w:w="0" w:type="dxa"/>
              <w:right w:w="0" w:type="dxa"/>
            </w:tcMar>
            <w:vAlign w:val="bottom"/>
          </w:tcPr>
          <w:p w:rsidR="00BC52E0" w:rsidRPr="00BC52E0" w:rsidRDefault="00F2529B" w:rsidP="00BC52E0">
            <w:pPr>
              <w:spacing w:before="0" w:after="0" w:line="276" w:lineRule="auto"/>
              <w:jc w:val="center"/>
              <w:rPr>
                <w:b/>
                <w:sz w:val="18"/>
                <w:szCs w:val="18"/>
                <w:lang w:val="nl-BE"/>
              </w:rPr>
            </w:pPr>
            <w:r>
              <w:rPr>
                <w:b/>
                <w:bCs/>
                <w:sz w:val="18"/>
                <w:szCs w:val="18"/>
                <w:lang w:val="nl-BE"/>
              </w:rPr>
              <w:t xml:space="preserve">12 months </w:t>
            </w:r>
            <w:r w:rsidR="00C8137D">
              <w:rPr>
                <w:b/>
                <w:bCs/>
                <w:sz w:val="18"/>
                <w:szCs w:val="18"/>
                <w:lang w:val="nl-BE"/>
              </w:rPr>
              <w:t>Ended</w:t>
            </w:r>
            <w:r w:rsidR="00BC52E0" w:rsidRPr="00BC52E0">
              <w:rPr>
                <w:b/>
                <w:bCs/>
                <w:sz w:val="18"/>
                <w:szCs w:val="18"/>
                <w:lang w:val="nl-BE"/>
              </w:rPr>
              <w:br/>
              <w:t xml:space="preserve">31 March </w:t>
            </w:r>
            <w:r w:rsidR="00BC52E0" w:rsidRPr="00BC52E0">
              <w:rPr>
                <w:b/>
                <w:bCs/>
                <w:sz w:val="18"/>
                <w:szCs w:val="18"/>
                <w:lang w:val="nl-BE"/>
              </w:rPr>
              <w:br/>
              <w:t>2015</w:t>
            </w:r>
          </w:p>
        </w:tc>
        <w:tc>
          <w:tcPr>
            <w:tcW w:w="1210" w:type="dxa"/>
            <w:tcBorders>
              <w:top w:val="nil"/>
              <w:left w:val="nil"/>
              <w:bottom w:val="single" w:sz="4" w:space="0" w:color="auto"/>
              <w:right w:val="nil"/>
            </w:tcBorders>
            <w:tcMar>
              <w:top w:w="0" w:type="dxa"/>
              <w:left w:w="144" w:type="dxa"/>
              <w:bottom w:w="0" w:type="dxa"/>
              <w:right w:w="0" w:type="dxa"/>
            </w:tcMar>
            <w:vAlign w:val="bottom"/>
          </w:tcPr>
          <w:p w:rsidR="00BC52E0" w:rsidRPr="00BC52E0" w:rsidRDefault="00BC52E0" w:rsidP="00BC52E0">
            <w:pPr>
              <w:spacing w:before="0" w:after="0" w:line="276" w:lineRule="auto"/>
              <w:jc w:val="center"/>
              <w:rPr>
                <w:b/>
                <w:sz w:val="18"/>
                <w:szCs w:val="18"/>
                <w:lang w:val="nl-BE"/>
              </w:rPr>
            </w:pPr>
            <w:r w:rsidRPr="00BC52E0">
              <w:rPr>
                <w:b/>
                <w:bCs/>
                <w:sz w:val="18"/>
                <w:szCs w:val="18"/>
                <w:lang w:val="nl-BE"/>
              </w:rPr>
              <w:t>Year Ended</w:t>
            </w:r>
            <w:r w:rsidRPr="00BC52E0">
              <w:rPr>
                <w:b/>
                <w:bCs/>
                <w:sz w:val="18"/>
                <w:szCs w:val="18"/>
                <w:lang w:val="nl-BE"/>
              </w:rPr>
              <w:br/>
              <w:t xml:space="preserve">30 September </w:t>
            </w:r>
            <w:r w:rsidRPr="00BC52E0">
              <w:rPr>
                <w:b/>
                <w:bCs/>
                <w:sz w:val="18"/>
                <w:szCs w:val="18"/>
                <w:lang w:val="nl-BE"/>
              </w:rPr>
              <w:br/>
              <w:t>2014</w:t>
            </w:r>
          </w:p>
        </w:tc>
      </w:tr>
      <w:tr w:rsidR="00BC52E0" w:rsidRPr="00BC52E0" w:rsidTr="00BC52E0">
        <w:trPr>
          <w:jc w:val="center"/>
        </w:trPr>
        <w:tc>
          <w:tcPr>
            <w:tcW w:w="6078" w:type="dxa"/>
            <w:vAlign w:val="bottom"/>
          </w:tcPr>
          <w:p w:rsidR="00BC52E0" w:rsidRPr="00BC52E0" w:rsidRDefault="00BC52E0" w:rsidP="00BC52E0">
            <w:pPr>
              <w:keepNext/>
              <w:tabs>
                <w:tab w:val="right" w:leader="dot" w:pos="6340"/>
              </w:tabs>
              <w:spacing w:before="0" w:after="0" w:line="276" w:lineRule="auto"/>
              <w:ind w:left="102"/>
              <w:rPr>
                <w:sz w:val="18"/>
                <w:szCs w:val="18"/>
              </w:rPr>
            </w:pPr>
            <w:r w:rsidRPr="00BC52E0">
              <w:rPr>
                <w:sz w:val="18"/>
                <w:szCs w:val="18"/>
              </w:rPr>
              <w:t>Revenue from sales of the continuing operations</w:t>
            </w:r>
            <w:r w:rsidRPr="00BC52E0">
              <w:rPr>
                <w:sz w:val="18"/>
                <w:szCs w:val="18"/>
              </w:rPr>
              <w:tab/>
            </w:r>
          </w:p>
        </w:tc>
        <w:tc>
          <w:tcPr>
            <w:tcW w:w="1647" w:type="dxa"/>
            <w:tcBorders>
              <w:top w:val="single" w:sz="4" w:space="0" w:color="auto"/>
              <w:left w:val="nil"/>
              <w:bottom w:val="nil"/>
              <w:right w:val="nil"/>
            </w:tcBorders>
            <w:noWrap/>
            <w:tcMar>
              <w:top w:w="0" w:type="dxa"/>
              <w:left w:w="144" w:type="dxa"/>
              <w:bottom w:w="0" w:type="dxa"/>
              <w:right w:w="0" w:type="dxa"/>
            </w:tcMar>
            <w:vAlign w:val="bottom"/>
          </w:tcPr>
          <w:p w:rsidR="00BC52E0" w:rsidRPr="00BC52E0" w:rsidRDefault="00BC52E0" w:rsidP="00BC52E0">
            <w:pPr>
              <w:tabs>
                <w:tab w:val="right" w:pos="1380"/>
                <w:tab w:val="decimal" w:pos="1420"/>
              </w:tabs>
              <w:spacing w:before="0" w:after="0" w:line="276" w:lineRule="auto"/>
              <w:jc w:val="right"/>
              <w:rPr>
                <w:sz w:val="18"/>
                <w:szCs w:val="18"/>
                <w:lang w:val="nl-BE"/>
              </w:rPr>
            </w:pPr>
            <w:r w:rsidRPr="00BC52E0">
              <w:rPr>
                <w:sz w:val="18"/>
                <w:szCs w:val="18"/>
                <w:lang w:val="nl-BE"/>
              </w:rPr>
              <w:t>66.3</w:t>
            </w:r>
          </w:p>
        </w:tc>
        <w:tc>
          <w:tcPr>
            <w:tcW w:w="1210" w:type="dxa"/>
            <w:tcBorders>
              <w:top w:val="single" w:sz="4" w:space="0" w:color="auto"/>
              <w:left w:val="nil"/>
              <w:bottom w:val="nil"/>
              <w:right w:val="nil"/>
            </w:tcBorders>
            <w:noWrap/>
            <w:tcMar>
              <w:top w:w="0" w:type="dxa"/>
              <w:left w:w="144" w:type="dxa"/>
              <w:bottom w:w="0" w:type="dxa"/>
              <w:right w:w="0" w:type="dxa"/>
            </w:tcMar>
            <w:vAlign w:val="bottom"/>
          </w:tcPr>
          <w:p w:rsidR="00BC52E0" w:rsidRPr="00BC52E0" w:rsidRDefault="00BC52E0" w:rsidP="00BC52E0">
            <w:pPr>
              <w:tabs>
                <w:tab w:val="right" w:pos="1380"/>
                <w:tab w:val="decimal" w:pos="1420"/>
              </w:tabs>
              <w:spacing w:before="0" w:after="0" w:line="276" w:lineRule="auto"/>
              <w:jc w:val="right"/>
              <w:rPr>
                <w:sz w:val="18"/>
                <w:szCs w:val="18"/>
                <w:lang w:val="nl-BE"/>
              </w:rPr>
            </w:pPr>
            <w:r w:rsidRPr="00BC52E0">
              <w:rPr>
                <w:sz w:val="18"/>
                <w:szCs w:val="18"/>
                <w:lang w:val="nl-BE"/>
              </w:rPr>
              <w:t>65.2</w:t>
            </w:r>
          </w:p>
        </w:tc>
      </w:tr>
      <w:tr w:rsidR="00BC52E0" w:rsidRPr="00BC52E0" w:rsidTr="00BC52E0">
        <w:trPr>
          <w:jc w:val="center"/>
        </w:trPr>
        <w:tc>
          <w:tcPr>
            <w:tcW w:w="6078" w:type="dxa"/>
            <w:vAlign w:val="bottom"/>
          </w:tcPr>
          <w:p w:rsidR="00BC52E0" w:rsidRPr="00BC52E0" w:rsidRDefault="00BC52E0" w:rsidP="00BC52E0">
            <w:pPr>
              <w:keepNext/>
              <w:tabs>
                <w:tab w:val="right" w:leader="dot" w:pos="6340"/>
              </w:tabs>
              <w:spacing w:before="0" w:after="0" w:line="276" w:lineRule="auto"/>
              <w:ind w:left="244" w:hanging="142"/>
              <w:rPr>
                <w:sz w:val="18"/>
                <w:szCs w:val="18"/>
              </w:rPr>
            </w:pPr>
            <w:r w:rsidRPr="00BC52E0">
              <w:rPr>
                <w:sz w:val="18"/>
                <w:szCs w:val="18"/>
              </w:rPr>
              <w:t>Revenue from sales of discontinued operations</w:t>
            </w:r>
            <w:r w:rsidRPr="00BC52E0">
              <w:rPr>
                <w:sz w:val="18"/>
                <w:szCs w:val="18"/>
              </w:rPr>
              <w:tab/>
            </w:r>
          </w:p>
        </w:tc>
        <w:tc>
          <w:tcPr>
            <w:tcW w:w="1647" w:type="dxa"/>
            <w:noWrap/>
            <w:tcMar>
              <w:top w:w="0" w:type="dxa"/>
              <w:left w:w="144" w:type="dxa"/>
              <w:bottom w:w="0" w:type="dxa"/>
              <w:right w:w="0" w:type="dxa"/>
            </w:tcMar>
            <w:vAlign w:val="bottom"/>
          </w:tcPr>
          <w:p w:rsidR="00BC52E0" w:rsidRPr="00BC52E0" w:rsidRDefault="00BC52E0" w:rsidP="00BC52E0">
            <w:pPr>
              <w:tabs>
                <w:tab w:val="right" w:pos="1380"/>
                <w:tab w:val="decimal" w:pos="1420"/>
              </w:tabs>
              <w:spacing w:before="0" w:after="0" w:line="276" w:lineRule="auto"/>
              <w:jc w:val="right"/>
              <w:rPr>
                <w:sz w:val="18"/>
                <w:szCs w:val="18"/>
                <w:lang w:val="nl-BE"/>
              </w:rPr>
            </w:pPr>
            <w:r w:rsidRPr="00BC52E0">
              <w:rPr>
                <w:sz w:val="18"/>
                <w:szCs w:val="18"/>
                <w:lang w:val="nl-BE"/>
              </w:rPr>
              <w:t>0.0</w:t>
            </w:r>
          </w:p>
        </w:tc>
        <w:tc>
          <w:tcPr>
            <w:tcW w:w="1210" w:type="dxa"/>
            <w:noWrap/>
            <w:tcMar>
              <w:top w:w="0" w:type="dxa"/>
              <w:left w:w="144" w:type="dxa"/>
              <w:bottom w:w="0" w:type="dxa"/>
              <w:right w:w="0" w:type="dxa"/>
            </w:tcMar>
            <w:vAlign w:val="bottom"/>
          </w:tcPr>
          <w:p w:rsidR="00BC52E0" w:rsidRPr="00BC52E0" w:rsidRDefault="00BC52E0" w:rsidP="00BC52E0">
            <w:pPr>
              <w:tabs>
                <w:tab w:val="right" w:pos="1380"/>
                <w:tab w:val="decimal" w:pos="1420"/>
              </w:tabs>
              <w:spacing w:before="0" w:after="0" w:line="276" w:lineRule="auto"/>
              <w:jc w:val="right"/>
              <w:rPr>
                <w:sz w:val="18"/>
                <w:szCs w:val="18"/>
                <w:lang w:val="nl-BE"/>
              </w:rPr>
            </w:pPr>
            <w:r w:rsidRPr="00BC52E0">
              <w:rPr>
                <w:sz w:val="18"/>
                <w:szCs w:val="18"/>
                <w:lang w:val="nl-BE"/>
              </w:rPr>
              <w:t>0.0</w:t>
            </w:r>
          </w:p>
        </w:tc>
      </w:tr>
      <w:tr w:rsidR="00BC52E0" w:rsidRPr="00BC52E0" w:rsidTr="00BC52E0">
        <w:trPr>
          <w:jc w:val="center"/>
        </w:trPr>
        <w:tc>
          <w:tcPr>
            <w:tcW w:w="6078" w:type="dxa"/>
            <w:tcMar>
              <w:top w:w="0" w:type="dxa"/>
              <w:left w:w="144" w:type="dxa"/>
              <w:bottom w:w="0" w:type="dxa"/>
              <w:right w:w="0" w:type="dxa"/>
            </w:tcMar>
            <w:vAlign w:val="bottom"/>
          </w:tcPr>
          <w:p w:rsidR="00BC52E0" w:rsidRPr="00BC52E0" w:rsidRDefault="00BC52E0" w:rsidP="00BC52E0">
            <w:pPr>
              <w:tabs>
                <w:tab w:val="right" w:pos="1380"/>
                <w:tab w:val="decimal" w:pos="1420"/>
              </w:tabs>
              <w:spacing w:before="0" w:after="0" w:line="276" w:lineRule="auto"/>
              <w:rPr>
                <w:sz w:val="18"/>
                <w:szCs w:val="18"/>
                <w:lang w:val="nl-BE"/>
              </w:rPr>
            </w:pPr>
            <w:r w:rsidRPr="00BC52E0">
              <w:rPr>
                <w:sz w:val="18"/>
                <w:szCs w:val="18"/>
                <w:lang w:val="nl-BE"/>
              </w:rPr>
              <w:t> </w:t>
            </w:r>
          </w:p>
        </w:tc>
        <w:tc>
          <w:tcPr>
            <w:tcW w:w="1647" w:type="dxa"/>
            <w:tcMar>
              <w:top w:w="0" w:type="dxa"/>
              <w:left w:w="144" w:type="dxa"/>
              <w:bottom w:w="0" w:type="dxa"/>
              <w:right w:w="0" w:type="dxa"/>
            </w:tcMar>
            <w:vAlign w:val="bottom"/>
          </w:tcPr>
          <w:p w:rsidR="00BC52E0" w:rsidRPr="00BC52E0" w:rsidRDefault="00BC52E0" w:rsidP="00BC52E0">
            <w:pPr>
              <w:pBdr>
                <w:top w:val="single" w:sz="8" w:space="1" w:color="auto"/>
              </w:pBdr>
              <w:tabs>
                <w:tab w:val="right" w:pos="1380"/>
                <w:tab w:val="decimal" w:pos="1420"/>
              </w:tabs>
              <w:spacing w:before="0" w:after="0" w:line="276" w:lineRule="auto"/>
              <w:jc w:val="right"/>
              <w:rPr>
                <w:sz w:val="18"/>
                <w:szCs w:val="18"/>
                <w:lang w:val="nl-BE"/>
              </w:rPr>
            </w:pPr>
            <w:r w:rsidRPr="00BC52E0">
              <w:rPr>
                <w:sz w:val="18"/>
                <w:szCs w:val="18"/>
                <w:lang w:val="nl-BE"/>
              </w:rPr>
              <w:t> </w:t>
            </w:r>
          </w:p>
        </w:tc>
        <w:tc>
          <w:tcPr>
            <w:tcW w:w="1210" w:type="dxa"/>
            <w:tcMar>
              <w:top w:w="0" w:type="dxa"/>
              <w:left w:w="144" w:type="dxa"/>
              <w:bottom w:w="0" w:type="dxa"/>
              <w:right w:w="0" w:type="dxa"/>
            </w:tcMar>
            <w:vAlign w:val="bottom"/>
          </w:tcPr>
          <w:p w:rsidR="00BC52E0" w:rsidRPr="00BC52E0" w:rsidRDefault="00BC52E0" w:rsidP="00BC52E0">
            <w:pPr>
              <w:pBdr>
                <w:top w:val="single" w:sz="8" w:space="1" w:color="auto"/>
              </w:pBdr>
              <w:tabs>
                <w:tab w:val="right" w:pos="1380"/>
                <w:tab w:val="decimal" w:pos="1420"/>
              </w:tabs>
              <w:spacing w:before="0" w:after="0" w:line="276" w:lineRule="auto"/>
              <w:jc w:val="right"/>
              <w:rPr>
                <w:sz w:val="18"/>
                <w:szCs w:val="18"/>
                <w:lang w:val="nl-BE"/>
              </w:rPr>
            </w:pPr>
            <w:r w:rsidRPr="00BC52E0">
              <w:rPr>
                <w:sz w:val="18"/>
                <w:szCs w:val="18"/>
                <w:lang w:val="nl-BE"/>
              </w:rPr>
              <w:t> </w:t>
            </w:r>
          </w:p>
        </w:tc>
      </w:tr>
      <w:tr w:rsidR="00BC52E0" w:rsidRPr="00BC52E0" w:rsidTr="00BC52E0">
        <w:trPr>
          <w:jc w:val="center"/>
        </w:trPr>
        <w:tc>
          <w:tcPr>
            <w:tcW w:w="6078" w:type="dxa"/>
            <w:vAlign w:val="bottom"/>
          </w:tcPr>
          <w:p w:rsidR="00BC52E0" w:rsidRPr="00BC52E0" w:rsidRDefault="00BC52E0" w:rsidP="00BC52E0">
            <w:pPr>
              <w:tabs>
                <w:tab w:val="right" w:leader="dot" w:pos="6340"/>
              </w:tabs>
              <w:spacing w:before="0" w:after="0" w:line="276" w:lineRule="auto"/>
              <w:ind w:left="240" w:hanging="240"/>
              <w:rPr>
                <w:sz w:val="18"/>
                <w:szCs w:val="18"/>
                <w:lang w:val="nl-BE"/>
              </w:rPr>
            </w:pPr>
            <w:r w:rsidRPr="00BC52E0">
              <w:rPr>
                <w:b/>
                <w:bCs/>
                <w:sz w:val="18"/>
                <w:szCs w:val="18"/>
                <w:lang w:val="nl-BE"/>
              </w:rPr>
              <w:t>Revenues</w:t>
            </w:r>
            <w:r w:rsidRPr="00BC52E0">
              <w:rPr>
                <w:bCs/>
                <w:sz w:val="18"/>
                <w:szCs w:val="18"/>
                <w:lang w:val="nl-BE"/>
              </w:rPr>
              <w:tab/>
            </w:r>
          </w:p>
        </w:tc>
        <w:tc>
          <w:tcPr>
            <w:tcW w:w="1647" w:type="dxa"/>
            <w:noWrap/>
            <w:tcMar>
              <w:top w:w="0" w:type="dxa"/>
              <w:left w:w="144" w:type="dxa"/>
              <w:bottom w:w="0" w:type="dxa"/>
              <w:right w:w="0" w:type="dxa"/>
            </w:tcMar>
            <w:vAlign w:val="bottom"/>
          </w:tcPr>
          <w:p w:rsidR="00BC52E0" w:rsidRPr="00BC52E0" w:rsidRDefault="00BC52E0" w:rsidP="00BC52E0">
            <w:pPr>
              <w:tabs>
                <w:tab w:val="right" w:pos="1380"/>
                <w:tab w:val="decimal" w:pos="1420"/>
              </w:tabs>
              <w:spacing w:before="0" w:after="0" w:line="276" w:lineRule="auto"/>
              <w:jc w:val="right"/>
              <w:rPr>
                <w:sz w:val="18"/>
                <w:szCs w:val="18"/>
                <w:lang w:val="nl-BE"/>
              </w:rPr>
            </w:pPr>
            <w:r w:rsidRPr="00BC52E0">
              <w:rPr>
                <w:b/>
                <w:bCs/>
                <w:sz w:val="18"/>
                <w:szCs w:val="18"/>
                <w:lang w:val="nl-BE"/>
              </w:rPr>
              <w:t>66.3</w:t>
            </w:r>
          </w:p>
        </w:tc>
        <w:tc>
          <w:tcPr>
            <w:tcW w:w="1210" w:type="dxa"/>
            <w:noWrap/>
            <w:tcMar>
              <w:top w:w="0" w:type="dxa"/>
              <w:left w:w="144" w:type="dxa"/>
              <w:bottom w:w="0" w:type="dxa"/>
              <w:right w:w="0" w:type="dxa"/>
            </w:tcMar>
            <w:vAlign w:val="bottom"/>
          </w:tcPr>
          <w:p w:rsidR="00BC52E0" w:rsidRPr="00BC52E0" w:rsidRDefault="00BC52E0" w:rsidP="00BC52E0">
            <w:pPr>
              <w:tabs>
                <w:tab w:val="right" w:pos="1380"/>
                <w:tab w:val="decimal" w:pos="1420"/>
              </w:tabs>
              <w:spacing w:before="0" w:after="0" w:line="276" w:lineRule="auto"/>
              <w:jc w:val="right"/>
              <w:rPr>
                <w:sz w:val="18"/>
                <w:szCs w:val="18"/>
                <w:lang w:val="nl-BE"/>
              </w:rPr>
            </w:pPr>
            <w:r w:rsidRPr="00BC52E0">
              <w:rPr>
                <w:b/>
                <w:bCs/>
                <w:sz w:val="18"/>
                <w:szCs w:val="18"/>
                <w:lang w:val="nl-BE"/>
              </w:rPr>
              <w:t>65.2</w:t>
            </w:r>
          </w:p>
        </w:tc>
      </w:tr>
      <w:tr w:rsidR="00BC52E0" w:rsidRPr="00BC52E0" w:rsidTr="00BC52E0">
        <w:trPr>
          <w:jc w:val="center"/>
        </w:trPr>
        <w:tc>
          <w:tcPr>
            <w:tcW w:w="6078" w:type="dxa"/>
            <w:tcMar>
              <w:top w:w="0" w:type="dxa"/>
              <w:left w:w="144" w:type="dxa"/>
              <w:bottom w:w="0" w:type="dxa"/>
              <w:right w:w="0" w:type="dxa"/>
            </w:tcMar>
            <w:vAlign w:val="bottom"/>
          </w:tcPr>
          <w:p w:rsidR="00BC52E0" w:rsidRPr="00BC52E0" w:rsidRDefault="00BC52E0" w:rsidP="00BC52E0">
            <w:pPr>
              <w:tabs>
                <w:tab w:val="right" w:pos="1380"/>
                <w:tab w:val="decimal" w:pos="1420"/>
              </w:tabs>
              <w:spacing w:before="0" w:after="0" w:line="276" w:lineRule="auto"/>
              <w:rPr>
                <w:sz w:val="18"/>
                <w:szCs w:val="18"/>
                <w:lang w:val="nl-BE"/>
              </w:rPr>
            </w:pPr>
          </w:p>
        </w:tc>
        <w:tc>
          <w:tcPr>
            <w:tcW w:w="1647" w:type="dxa"/>
            <w:tcMar>
              <w:top w:w="0" w:type="dxa"/>
              <w:left w:w="144" w:type="dxa"/>
              <w:bottom w:w="0" w:type="dxa"/>
              <w:right w:w="0" w:type="dxa"/>
            </w:tcMar>
            <w:vAlign w:val="bottom"/>
          </w:tcPr>
          <w:p w:rsidR="00BC52E0" w:rsidRPr="00BC52E0" w:rsidRDefault="00BC52E0" w:rsidP="00BC52E0">
            <w:pPr>
              <w:pBdr>
                <w:top w:val="double" w:sz="6" w:space="1" w:color="auto"/>
              </w:pBdr>
              <w:tabs>
                <w:tab w:val="right" w:pos="1380"/>
                <w:tab w:val="decimal" w:pos="1420"/>
              </w:tabs>
              <w:spacing w:before="0" w:after="0" w:line="276" w:lineRule="auto"/>
              <w:rPr>
                <w:sz w:val="18"/>
                <w:szCs w:val="18"/>
                <w:lang w:val="nl-BE"/>
              </w:rPr>
            </w:pPr>
          </w:p>
        </w:tc>
        <w:tc>
          <w:tcPr>
            <w:tcW w:w="1210" w:type="dxa"/>
            <w:tcMar>
              <w:top w:w="0" w:type="dxa"/>
              <w:left w:w="144" w:type="dxa"/>
              <w:bottom w:w="0" w:type="dxa"/>
              <w:right w:w="0" w:type="dxa"/>
            </w:tcMar>
            <w:vAlign w:val="bottom"/>
          </w:tcPr>
          <w:p w:rsidR="00BC52E0" w:rsidRPr="00BC52E0" w:rsidRDefault="00BC52E0" w:rsidP="00BC52E0">
            <w:pPr>
              <w:pBdr>
                <w:top w:val="double" w:sz="6" w:space="1" w:color="auto"/>
              </w:pBdr>
              <w:tabs>
                <w:tab w:val="right" w:pos="1380"/>
                <w:tab w:val="decimal" w:pos="1420"/>
              </w:tabs>
              <w:spacing w:before="0" w:after="0" w:line="276" w:lineRule="auto"/>
              <w:rPr>
                <w:sz w:val="18"/>
                <w:szCs w:val="18"/>
                <w:lang w:val="nl-BE"/>
              </w:rPr>
            </w:pPr>
          </w:p>
        </w:tc>
      </w:tr>
    </w:tbl>
    <w:p w:rsidR="00BC52E0" w:rsidRPr="00BC52E0" w:rsidRDefault="00BC52E0" w:rsidP="00BC52E0">
      <w:pPr>
        <w:rPr>
          <w:bCs/>
          <w:szCs w:val="20"/>
        </w:rPr>
      </w:pPr>
      <w:r w:rsidRPr="00BC52E0">
        <w:rPr>
          <w:bCs/>
          <w:szCs w:val="20"/>
        </w:rPr>
        <w:t>The revenues increased with 1</w:t>
      </w:r>
      <w:r w:rsidR="00C8137D">
        <w:rPr>
          <w:bCs/>
          <w:szCs w:val="20"/>
        </w:rPr>
        <w:t>.</w:t>
      </w:r>
      <w:r w:rsidRPr="00BC52E0">
        <w:rPr>
          <w:bCs/>
          <w:szCs w:val="20"/>
        </w:rPr>
        <w:t>7% compared to the</w:t>
      </w:r>
      <w:r w:rsidR="00C8137D">
        <w:rPr>
          <w:bCs/>
          <w:szCs w:val="20"/>
        </w:rPr>
        <w:t xml:space="preserve"> financial</w:t>
      </w:r>
      <w:r w:rsidRPr="00BC52E0">
        <w:rPr>
          <w:bCs/>
          <w:szCs w:val="20"/>
        </w:rPr>
        <w:t xml:space="preserve"> year ended 30 September 2014.</w:t>
      </w:r>
    </w:p>
    <w:p w:rsidR="00BC52E0" w:rsidRPr="00BC52E0" w:rsidRDefault="00BC52E0" w:rsidP="00BC52E0">
      <w:pPr>
        <w:rPr>
          <w:b/>
          <w:bCs/>
          <w:szCs w:val="20"/>
        </w:rPr>
      </w:pPr>
      <w:r w:rsidRPr="00BC52E0">
        <w:rPr>
          <w:b/>
        </w:rPr>
        <w:t>REBITDA</w:t>
      </w:r>
    </w:p>
    <w:tbl>
      <w:tblPr>
        <w:tblW w:w="5001" w:type="pct"/>
        <w:jc w:val="center"/>
        <w:tblCellMar>
          <w:left w:w="0" w:type="dxa"/>
          <w:right w:w="0" w:type="dxa"/>
        </w:tblCellMar>
        <w:tblLook w:val="04A0" w:firstRow="1" w:lastRow="0" w:firstColumn="1" w:lastColumn="0" w:noHBand="0" w:noVBand="1"/>
      </w:tblPr>
      <w:tblGrid>
        <w:gridCol w:w="5083"/>
        <w:gridCol w:w="2144"/>
        <w:gridCol w:w="1804"/>
      </w:tblGrid>
      <w:tr w:rsidR="00BC52E0" w:rsidRPr="00BC52E0" w:rsidTr="00BC52E0">
        <w:trPr>
          <w:tblHeader/>
          <w:jc w:val="center"/>
        </w:trPr>
        <w:tc>
          <w:tcPr>
            <w:tcW w:w="2814" w:type="pct"/>
            <w:vAlign w:val="center"/>
          </w:tcPr>
          <w:p w:rsidR="00BC52E0" w:rsidRPr="00BC52E0" w:rsidRDefault="00BC52E0" w:rsidP="00BC52E0">
            <w:pPr>
              <w:spacing w:before="0" w:after="0" w:line="276" w:lineRule="auto"/>
              <w:jc w:val="left"/>
              <w:rPr>
                <w:sz w:val="18"/>
                <w:szCs w:val="18"/>
                <w:lang w:val="nl-BE"/>
              </w:rPr>
            </w:pPr>
            <w:r w:rsidRPr="00BC52E0">
              <w:rPr>
                <w:bCs/>
                <w:i/>
                <w:sz w:val="18"/>
                <w:szCs w:val="18"/>
                <w:lang w:val="nl-BE"/>
              </w:rPr>
              <w:t>(</w:t>
            </w:r>
            <w:r w:rsidR="00E53641">
              <w:rPr>
                <w:bCs/>
                <w:i/>
                <w:sz w:val="18"/>
                <w:szCs w:val="18"/>
                <w:lang w:val="nl-BE"/>
              </w:rPr>
              <w:t>EUR </w:t>
            </w:r>
            <w:r w:rsidRPr="00BC52E0">
              <w:rPr>
                <w:bCs/>
                <w:i/>
                <w:sz w:val="18"/>
                <w:szCs w:val="18"/>
                <w:lang w:val="nl-BE"/>
              </w:rPr>
              <w:t>in millions)</w:t>
            </w:r>
            <w:r w:rsidRPr="00BC52E0">
              <w:rPr>
                <w:sz w:val="18"/>
                <w:szCs w:val="18"/>
                <w:lang w:val="nl-BE"/>
              </w:rPr>
              <w:t> </w:t>
            </w:r>
          </w:p>
        </w:tc>
        <w:tc>
          <w:tcPr>
            <w:tcW w:w="1187" w:type="pct"/>
            <w:tcMar>
              <w:top w:w="0" w:type="dxa"/>
              <w:left w:w="144" w:type="dxa"/>
              <w:bottom w:w="0" w:type="dxa"/>
              <w:right w:w="0" w:type="dxa"/>
            </w:tcMar>
          </w:tcPr>
          <w:p w:rsidR="00BC52E0" w:rsidRPr="00BC52E0" w:rsidRDefault="00F2529B" w:rsidP="00BC52E0">
            <w:pPr>
              <w:pBdr>
                <w:bottom w:val="single" w:sz="4" w:space="1" w:color="auto"/>
              </w:pBdr>
              <w:tabs>
                <w:tab w:val="right" w:leader="dot" w:pos="7240"/>
              </w:tabs>
              <w:spacing w:line="276" w:lineRule="auto"/>
              <w:ind w:left="95" w:firstLine="5"/>
              <w:jc w:val="center"/>
              <w:rPr>
                <w:b/>
                <w:sz w:val="18"/>
                <w:szCs w:val="18"/>
                <w:lang w:val="nl-BE"/>
              </w:rPr>
            </w:pPr>
            <w:r>
              <w:rPr>
                <w:b/>
                <w:bCs/>
                <w:sz w:val="18"/>
                <w:szCs w:val="18"/>
                <w:lang w:val="nl-BE"/>
              </w:rPr>
              <w:t>12 months</w:t>
            </w:r>
            <w:r w:rsidRPr="00BC52E0">
              <w:rPr>
                <w:b/>
                <w:bCs/>
                <w:sz w:val="18"/>
                <w:szCs w:val="18"/>
                <w:lang w:val="nl-BE"/>
              </w:rPr>
              <w:t xml:space="preserve"> </w:t>
            </w:r>
            <w:r w:rsidR="00BC52E0" w:rsidRPr="00BC52E0">
              <w:rPr>
                <w:b/>
                <w:bCs/>
                <w:sz w:val="18"/>
                <w:szCs w:val="18"/>
                <w:lang w:val="nl-BE"/>
              </w:rPr>
              <w:t>Ended</w:t>
            </w:r>
            <w:r w:rsidR="00BC52E0" w:rsidRPr="00BC52E0">
              <w:rPr>
                <w:b/>
                <w:bCs/>
                <w:sz w:val="18"/>
                <w:szCs w:val="18"/>
                <w:lang w:val="nl-BE"/>
              </w:rPr>
              <w:br/>
              <w:t xml:space="preserve">31 March </w:t>
            </w:r>
            <w:r w:rsidR="00BC52E0" w:rsidRPr="00BC52E0">
              <w:rPr>
                <w:b/>
                <w:bCs/>
                <w:sz w:val="18"/>
                <w:szCs w:val="18"/>
                <w:lang w:val="nl-BE"/>
              </w:rPr>
              <w:br/>
              <w:t>2015</w:t>
            </w:r>
          </w:p>
        </w:tc>
        <w:tc>
          <w:tcPr>
            <w:tcW w:w="999" w:type="pct"/>
            <w:tcMar>
              <w:top w:w="0" w:type="dxa"/>
              <w:left w:w="144" w:type="dxa"/>
              <w:bottom w:w="0" w:type="dxa"/>
              <w:right w:w="0" w:type="dxa"/>
            </w:tcMar>
          </w:tcPr>
          <w:p w:rsidR="00BC52E0" w:rsidRPr="00BC52E0" w:rsidRDefault="00BC52E0" w:rsidP="00BC52E0">
            <w:pPr>
              <w:pBdr>
                <w:bottom w:val="single" w:sz="4" w:space="1" w:color="auto"/>
              </w:pBdr>
              <w:tabs>
                <w:tab w:val="right" w:leader="dot" w:pos="7240"/>
              </w:tabs>
              <w:spacing w:line="276" w:lineRule="auto"/>
              <w:ind w:left="-1"/>
              <w:jc w:val="center"/>
              <w:rPr>
                <w:b/>
                <w:sz w:val="18"/>
                <w:szCs w:val="18"/>
                <w:lang w:val="nl-BE"/>
              </w:rPr>
            </w:pPr>
            <w:r w:rsidRPr="00BC52E0">
              <w:rPr>
                <w:b/>
                <w:bCs/>
                <w:sz w:val="18"/>
                <w:szCs w:val="18"/>
                <w:lang w:val="nl-BE"/>
              </w:rPr>
              <w:t>Year Ended</w:t>
            </w:r>
            <w:r w:rsidRPr="00BC52E0">
              <w:rPr>
                <w:b/>
                <w:bCs/>
                <w:sz w:val="18"/>
                <w:szCs w:val="18"/>
                <w:lang w:val="nl-BE"/>
              </w:rPr>
              <w:br/>
              <w:t xml:space="preserve">30 September </w:t>
            </w:r>
            <w:r w:rsidRPr="00BC52E0">
              <w:rPr>
                <w:b/>
                <w:bCs/>
                <w:sz w:val="18"/>
                <w:szCs w:val="18"/>
                <w:lang w:val="nl-BE"/>
              </w:rPr>
              <w:br/>
              <w:t>2014</w:t>
            </w:r>
          </w:p>
        </w:tc>
      </w:tr>
      <w:tr w:rsidR="00BC52E0" w:rsidRPr="00BC52E0" w:rsidTr="00BC52E0">
        <w:trPr>
          <w:jc w:val="center"/>
        </w:trPr>
        <w:tc>
          <w:tcPr>
            <w:tcW w:w="2814" w:type="pct"/>
          </w:tcPr>
          <w:p w:rsidR="00BC52E0" w:rsidRPr="00BC52E0" w:rsidRDefault="00BC52E0" w:rsidP="00BC52E0">
            <w:pPr>
              <w:keepNext/>
              <w:tabs>
                <w:tab w:val="right" w:leader="dot" w:pos="5160"/>
              </w:tabs>
              <w:spacing w:before="0" w:after="0" w:line="276" w:lineRule="auto"/>
              <w:ind w:left="240" w:hanging="240"/>
              <w:rPr>
                <w:b/>
                <w:sz w:val="18"/>
                <w:szCs w:val="18"/>
                <w:lang w:val="nl-BE"/>
              </w:rPr>
            </w:pPr>
            <w:r w:rsidRPr="00BC52E0">
              <w:rPr>
                <w:b/>
                <w:sz w:val="18"/>
                <w:szCs w:val="18"/>
                <w:lang w:val="nl-BE"/>
              </w:rPr>
              <w:t xml:space="preserve">Operating result </w:t>
            </w:r>
            <w:r w:rsidRPr="00BC52E0">
              <w:rPr>
                <w:sz w:val="18"/>
                <w:szCs w:val="18"/>
                <w:lang w:val="nl-BE"/>
              </w:rPr>
              <w:tab/>
            </w:r>
          </w:p>
        </w:tc>
        <w:tc>
          <w:tcPr>
            <w:tcW w:w="1187" w:type="pct"/>
            <w:noWrap/>
            <w:tcMar>
              <w:top w:w="0" w:type="dxa"/>
              <w:left w:w="144" w:type="dxa"/>
              <w:bottom w:w="0" w:type="dxa"/>
              <w:right w:w="0" w:type="dxa"/>
            </w:tcMar>
            <w:vAlign w:val="bottom"/>
          </w:tcPr>
          <w:p w:rsidR="00BC52E0" w:rsidRPr="00BC52E0" w:rsidRDefault="00BC52E0" w:rsidP="00BC52E0">
            <w:pPr>
              <w:spacing w:before="0" w:after="0" w:line="276" w:lineRule="auto"/>
              <w:ind w:right="140"/>
              <w:jc w:val="right"/>
              <w:rPr>
                <w:sz w:val="18"/>
                <w:szCs w:val="18"/>
                <w:lang w:val="nl-BE"/>
              </w:rPr>
            </w:pPr>
            <w:r w:rsidRPr="00BC52E0">
              <w:rPr>
                <w:b/>
                <w:bCs/>
                <w:sz w:val="18"/>
                <w:szCs w:val="18"/>
                <w:lang w:val="nl-BE"/>
              </w:rPr>
              <w:t>4.6</w:t>
            </w:r>
          </w:p>
        </w:tc>
        <w:tc>
          <w:tcPr>
            <w:tcW w:w="999" w:type="pct"/>
            <w:noWrap/>
            <w:tcMar>
              <w:top w:w="0" w:type="dxa"/>
              <w:left w:w="144" w:type="dxa"/>
              <w:bottom w:w="0" w:type="dxa"/>
              <w:right w:w="0" w:type="dxa"/>
            </w:tcMar>
            <w:vAlign w:val="bottom"/>
          </w:tcPr>
          <w:p w:rsidR="00BC52E0" w:rsidRPr="00BC52E0" w:rsidRDefault="00BC52E0" w:rsidP="00BC52E0">
            <w:pPr>
              <w:spacing w:before="0" w:after="0" w:line="276" w:lineRule="auto"/>
              <w:ind w:right="140"/>
              <w:jc w:val="right"/>
              <w:rPr>
                <w:sz w:val="18"/>
                <w:szCs w:val="18"/>
                <w:lang w:val="nl-BE"/>
              </w:rPr>
            </w:pPr>
            <w:r w:rsidRPr="00BC52E0">
              <w:rPr>
                <w:b/>
                <w:bCs/>
                <w:sz w:val="18"/>
                <w:szCs w:val="18"/>
                <w:lang w:val="nl-BE"/>
              </w:rPr>
              <w:t>4.4</w:t>
            </w:r>
          </w:p>
        </w:tc>
      </w:tr>
      <w:tr w:rsidR="00BC52E0" w:rsidRPr="00BC52E0" w:rsidTr="00BC52E0">
        <w:trPr>
          <w:jc w:val="center"/>
        </w:trPr>
        <w:tc>
          <w:tcPr>
            <w:tcW w:w="2814" w:type="pct"/>
          </w:tcPr>
          <w:p w:rsidR="00BC52E0" w:rsidRPr="00BC52E0" w:rsidRDefault="00BC52E0" w:rsidP="00BC52E0">
            <w:pPr>
              <w:keepNext/>
              <w:tabs>
                <w:tab w:val="right" w:leader="dot" w:pos="5160"/>
              </w:tabs>
              <w:spacing w:before="0" w:after="0" w:line="276" w:lineRule="auto"/>
              <w:ind w:left="240" w:hanging="240"/>
              <w:rPr>
                <w:sz w:val="18"/>
                <w:szCs w:val="18"/>
              </w:rPr>
            </w:pPr>
            <w:r w:rsidRPr="00BC52E0">
              <w:rPr>
                <w:sz w:val="18"/>
                <w:szCs w:val="18"/>
              </w:rPr>
              <w:t>Depreciation and amortisation, share of profit of equity accounted investments and non-controlling interests</w:t>
            </w:r>
            <w:r w:rsidRPr="00BC52E0">
              <w:rPr>
                <w:sz w:val="18"/>
                <w:szCs w:val="18"/>
              </w:rPr>
              <w:tab/>
            </w:r>
          </w:p>
        </w:tc>
        <w:tc>
          <w:tcPr>
            <w:tcW w:w="1187" w:type="pct"/>
            <w:noWrap/>
            <w:tcMar>
              <w:top w:w="0" w:type="dxa"/>
              <w:left w:w="144" w:type="dxa"/>
              <w:bottom w:w="0" w:type="dxa"/>
              <w:right w:w="0" w:type="dxa"/>
            </w:tcMar>
            <w:vAlign w:val="bottom"/>
          </w:tcPr>
          <w:p w:rsidR="00BC52E0" w:rsidRPr="00BC52E0" w:rsidRDefault="00BC52E0" w:rsidP="00BC52E0">
            <w:pPr>
              <w:pBdr>
                <w:bottom w:val="single" w:sz="4" w:space="1" w:color="auto"/>
              </w:pBdr>
              <w:spacing w:before="0" w:after="0" w:line="276" w:lineRule="auto"/>
              <w:ind w:right="140"/>
              <w:jc w:val="right"/>
              <w:rPr>
                <w:sz w:val="18"/>
                <w:szCs w:val="18"/>
                <w:lang w:val="nl-BE"/>
              </w:rPr>
            </w:pPr>
            <w:r w:rsidRPr="00BC52E0">
              <w:rPr>
                <w:sz w:val="18"/>
                <w:szCs w:val="18"/>
                <w:lang w:val="nl-BE"/>
              </w:rPr>
              <w:t>3.4</w:t>
            </w:r>
          </w:p>
        </w:tc>
        <w:tc>
          <w:tcPr>
            <w:tcW w:w="999" w:type="pct"/>
            <w:noWrap/>
            <w:tcMar>
              <w:top w:w="0" w:type="dxa"/>
              <w:left w:w="144" w:type="dxa"/>
              <w:bottom w:w="0" w:type="dxa"/>
              <w:right w:w="0" w:type="dxa"/>
            </w:tcMar>
            <w:vAlign w:val="bottom"/>
          </w:tcPr>
          <w:p w:rsidR="00BC52E0" w:rsidRPr="00BC52E0" w:rsidRDefault="00BC52E0" w:rsidP="00BC52E0">
            <w:pPr>
              <w:pBdr>
                <w:bottom w:val="single" w:sz="4" w:space="1" w:color="auto"/>
              </w:pBdr>
              <w:spacing w:before="0" w:after="0" w:line="276" w:lineRule="auto"/>
              <w:ind w:right="140"/>
              <w:jc w:val="right"/>
              <w:rPr>
                <w:sz w:val="18"/>
                <w:szCs w:val="18"/>
                <w:lang w:val="nl-BE"/>
              </w:rPr>
            </w:pPr>
            <w:r w:rsidRPr="00BC52E0">
              <w:rPr>
                <w:sz w:val="18"/>
                <w:szCs w:val="18"/>
                <w:lang w:val="nl-BE"/>
              </w:rPr>
              <w:t>3.4</w:t>
            </w:r>
          </w:p>
        </w:tc>
      </w:tr>
      <w:tr w:rsidR="00BC52E0" w:rsidRPr="00BC52E0" w:rsidTr="00BC52E0">
        <w:trPr>
          <w:jc w:val="center"/>
        </w:trPr>
        <w:tc>
          <w:tcPr>
            <w:tcW w:w="2814" w:type="pct"/>
          </w:tcPr>
          <w:p w:rsidR="00BC52E0" w:rsidRPr="00BC52E0" w:rsidRDefault="00BC52E0" w:rsidP="00BC52E0">
            <w:pPr>
              <w:keepNext/>
              <w:tabs>
                <w:tab w:val="right" w:leader="dot" w:pos="5160"/>
              </w:tabs>
              <w:spacing w:before="0" w:after="0" w:line="276" w:lineRule="auto"/>
              <w:ind w:left="240" w:hanging="240"/>
              <w:rPr>
                <w:b/>
                <w:sz w:val="18"/>
                <w:szCs w:val="18"/>
                <w:lang w:val="nl-BE"/>
              </w:rPr>
            </w:pPr>
            <w:r w:rsidRPr="00BC52E0">
              <w:rPr>
                <w:b/>
                <w:sz w:val="18"/>
                <w:szCs w:val="18"/>
                <w:lang w:val="nl-BE"/>
              </w:rPr>
              <w:t>EBITDA</w:t>
            </w:r>
            <w:r w:rsidRPr="00BC52E0">
              <w:rPr>
                <w:sz w:val="18"/>
                <w:szCs w:val="18"/>
                <w:lang w:val="nl-BE"/>
              </w:rPr>
              <w:tab/>
            </w:r>
          </w:p>
        </w:tc>
        <w:tc>
          <w:tcPr>
            <w:tcW w:w="1187" w:type="pct"/>
            <w:noWrap/>
            <w:tcMar>
              <w:top w:w="0" w:type="dxa"/>
              <w:left w:w="144" w:type="dxa"/>
              <w:bottom w:w="0" w:type="dxa"/>
              <w:right w:w="0" w:type="dxa"/>
            </w:tcMar>
            <w:vAlign w:val="bottom"/>
          </w:tcPr>
          <w:p w:rsidR="00BC52E0" w:rsidRPr="00BC52E0" w:rsidRDefault="00BC52E0" w:rsidP="00BC52E0">
            <w:pPr>
              <w:spacing w:before="0" w:after="0" w:line="276" w:lineRule="auto"/>
              <w:ind w:right="140"/>
              <w:jc w:val="right"/>
              <w:rPr>
                <w:sz w:val="18"/>
                <w:szCs w:val="18"/>
                <w:lang w:val="nl-BE"/>
              </w:rPr>
            </w:pPr>
            <w:r w:rsidRPr="00BC52E0">
              <w:rPr>
                <w:b/>
                <w:bCs/>
                <w:sz w:val="18"/>
                <w:szCs w:val="18"/>
                <w:lang w:val="nl-BE"/>
              </w:rPr>
              <w:t>8.0</w:t>
            </w:r>
          </w:p>
        </w:tc>
        <w:tc>
          <w:tcPr>
            <w:tcW w:w="999" w:type="pct"/>
            <w:noWrap/>
            <w:tcMar>
              <w:top w:w="0" w:type="dxa"/>
              <w:left w:w="144" w:type="dxa"/>
              <w:bottom w:w="0" w:type="dxa"/>
              <w:right w:w="0" w:type="dxa"/>
            </w:tcMar>
            <w:vAlign w:val="bottom"/>
          </w:tcPr>
          <w:p w:rsidR="00BC52E0" w:rsidRPr="00BC52E0" w:rsidRDefault="00BC52E0" w:rsidP="00BC52E0">
            <w:pPr>
              <w:spacing w:before="0" w:after="0" w:line="276" w:lineRule="auto"/>
              <w:ind w:right="140"/>
              <w:jc w:val="right"/>
              <w:rPr>
                <w:sz w:val="18"/>
                <w:szCs w:val="18"/>
                <w:lang w:val="nl-BE"/>
              </w:rPr>
            </w:pPr>
            <w:r w:rsidRPr="00BC52E0">
              <w:rPr>
                <w:b/>
                <w:bCs/>
                <w:sz w:val="18"/>
                <w:szCs w:val="18"/>
                <w:lang w:val="nl-BE"/>
              </w:rPr>
              <w:t>7.8</w:t>
            </w:r>
          </w:p>
        </w:tc>
      </w:tr>
      <w:tr w:rsidR="00BC52E0" w:rsidRPr="00BC52E0" w:rsidTr="00BC52E0">
        <w:trPr>
          <w:jc w:val="center"/>
        </w:trPr>
        <w:tc>
          <w:tcPr>
            <w:tcW w:w="2814" w:type="pct"/>
          </w:tcPr>
          <w:p w:rsidR="00BC52E0" w:rsidRPr="00BC52E0" w:rsidRDefault="00BC52E0" w:rsidP="00BC52E0">
            <w:pPr>
              <w:keepNext/>
              <w:tabs>
                <w:tab w:val="right" w:leader="dot" w:pos="5160"/>
              </w:tabs>
              <w:spacing w:before="0" w:after="0" w:line="276" w:lineRule="auto"/>
              <w:ind w:left="240" w:hanging="240"/>
              <w:rPr>
                <w:sz w:val="18"/>
                <w:szCs w:val="18"/>
                <w:lang w:val="nl-BE"/>
              </w:rPr>
            </w:pPr>
            <w:r w:rsidRPr="00BC52E0">
              <w:rPr>
                <w:sz w:val="18"/>
                <w:szCs w:val="18"/>
                <w:lang w:val="nl-BE"/>
              </w:rPr>
              <w:t>EBITDA from discontinued operations</w:t>
            </w:r>
            <w:r w:rsidRPr="00BC52E0">
              <w:rPr>
                <w:sz w:val="18"/>
                <w:szCs w:val="18"/>
                <w:lang w:val="nl-BE"/>
              </w:rPr>
              <w:tab/>
            </w:r>
          </w:p>
        </w:tc>
        <w:tc>
          <w:tcPr>
            <w:tcW w:w="1187" w:type="pct"/>
            <w:noWrap/>
            <w:tcMar>
              <w:top w:w="0" w:type="dxa"/>
              <w:left w:w="144" w:type="dxa"/>
              <w:bottom w:w="0" w:type="dxa"/>
              <w:right w:w="0" w:type="dxa"/>
            </w:tcMar>
            <w:vAlign w:val="bottom"/>
          </w:tcPr>
          <w:p w:rsidR="00BC52E0" w:rsidRPr="00BC52E0" w:rsidRDefault="00BC52E0" w:rsidP="00BC52E0">
            <w:pPr>
              <w:spacing w:before="0" w:after="0" w:line="276" w:lineRule="auto"/>
              <w:ind w:right="140"/>
              <w:jc w:val="right"/>
              <w:rPr>
                <w:sz w:val="18"/>
                <w:szCs w:val="18"/>
                <w:lang w:val="nl-BE"/>
              </w:rPr>
            </w:pPr>
            <w:r w:rsidRPr="00BC52E0">
              <w:rPr>
                <w:sz w:val="18"/>
                <w:szCs w:val="18"/>
                <w:lang w:val="nl-BE"/>
              </w:rPr>
              <w:t>0.0</w:t>
            </w:r>
          </w:p>
        </w:tc>
        <w:tc>
          <w:tcPr>
            <w:tcW w:w="999" w:type="pct"/>
            <w:noWrap/>
            <w:tcMar>
              <w:top w:w="0" w:type="dxa"/>
              <w:left w:w="144" w:type="dxa"/>
              <w:bottom w:w="0" w:type="dxa"/>
              <w:right w:w="0" w:type="dxa"/>
            </w:tcMar>
            <w:vAlign w:val="bottom"/>
          </w:tcPr>
          <w:p w:rsidR="00BC52E0" w:rsidRPr="00BC52E0" w:rsidRDefault="00BC52E0" w:rsidP="00BC52E0">
            <w:pPr>
              <w:spacing w:before="0" w:after="0" w:line="276" w:lineRule="auto"/>
              <w:ind w:right="140"/>
              <w:jc w:val="right"/>
              <w:rPr>
                <w:sz w:val="18"/>
                <w:szCs w:val="18"/>
                <w:lang w:val="nl-BE"/>
              </w:rPr>
            </w:pPr>
            <w:r w:rsidRPr="00BC52E0">
              <w:rPr>
                <w:sz w:val="18"/>
                <w:szCs w:val="18"/>
                <w:lang w:val="nl-BE"/>
              </w:rPr>
              <w:t>0.0</w:t>
            </w:r>
          </w:p>
        </w:tc>
      </w:tr>
      <w:tr w:rsidR="00BC52E0" w:rsidRPr="00BC52E0" w:rsidTr="00BC52E0">
        <w:trPr>
          <w:jc w:val="center"/>
        </w:trPr>
        <w:tc>
          <w:tcPr>
            <w:tcW w:w="2814" w:type="pct"/>
          </w:tcPr>
          <w:p w:rsidR="00BC52E0" w:rsidRPr="00BC52E0" w:rsidRDefault="00BC52E0" w:rsidP="00BC52E0">
            <w:pPr>
              <w:keepNext/>
              <w:tabs>
                <w:tab w:val="right" w:leader="dot" w:pos="5160"/>
              </w:tabs>
              <w:spacing w:before="0" w:after="0" w:line="276" w:lineRule="auto"/>
              <w:ind w:left="240" w:hanging="240"/>
              <w:rPr>
                <w:sz w:val="18"/>
                <w:szCs w:val="18"/>
              </w:rPr>
            </w:pPr>
            <w:r w:rsidRPr="00BC52E0">
              <w:rPr>
                <w:sz w:val="18"/>
                <w:szCs w:val="18"/>
              </w:rPr>
              <w:t>Add-back non-recurring items</w:t>
            </w:r>
            <w:r w:rsidRPr="00BC52E0">
              <w:rPr>
                <w:sz w:val="18"/>
                <w:szCs w:val="18"/>
              </w:rPr>
              <w:tab/>
            </w:r>
          </w:p>
        </w:tc>
        <w:tc>
          <w:tcPr>
            <w:tcW w:w="1187" w:type="pct"/>
            <w:tcMar>
              <w:top w:w="0" w:type="dxa"/>
              <w:left w:w="144" w:type="dxa"/>
              <w:bottom w:w="0" w:type="dxa"/>
              <w:right w:w="0" w:type="dxa"/>
            </w:tcMar>
            <w:vAlign w:val="bottom"/>
          </w:tcPr>
          <w:p w:rsidR="00BC52E0" w:rsidRPr="00BC52E0" w:rsidRDefault="00BC52E0" w:rsidP="00BC52E0">
            <w:pPr>
              <w:pBdr>
                <w:bottom w:val="single" w:sz="4" w:space="1" w:color="auto"/>
              </w:pBdr>
              <w:spacing w:before="0" w:after="0" w:line="276" w:lineRule="auto"/>
              <w:ind w:right="140"/>
              <w:jc w:val="right"/>
              <w:rPr>
                <w:sz w:val="18"/>
                <w:szCs w:val="18"/>
                <w:lang w:val="nl-BE"/>
              </w:rPr>
            </w:pPr>
            <w:r w:rsidRPr="00BC52E0">
              <w:rPr>
                <w:sz w:val="18"/>
                <w:szCs w:val="18"/>
                <w:lang w:val="nl-BE"/>
              </w:rPr>
              <w:t>0.5</w:t>
            </w:r>
          </w:p>
        </w:tc>
        <w:tc>
          <w:tcPr>
            <w:tcW w:w="999" w:type="pct"/>
            <w:tcMar>
              <w:top w:w="0" w:type="dxa"/>
              <w:left w:w="144" w:type="dxa"/>
              <w:bottom w:w="0" w:type="dxa"/>
              <w:right w:w="0" w:type="dxa"/>
            </w:tcMar>
            <w:vAlign w:val="bottom"/>
          </w:tcPr>
          <w:p w:rsidR="00BC52E0" w:rsidRPr="00BC52E0" w:rsidRDefault="00BC52E0" w:rsidP="00BC52E0">
            <w:pPr>
              <w:pBdr>
                <w:bottom w:val="single" w:sz="4" w:space="1" w:color="auto"/>
              </w:pBdr>
              <w:spacing w:before="0" w:after="0" w:line="276" w:lineRule="auto"/>
              <w:ind w:right="140"/>
              <w:jc w:val="right"/>
              <w:rPr>
                <w:sz w:val="18"/>
                <w:szCs w:val="18"/>
                <w:lang w:val="nl-BE"/>
              </w:rPr>
            </w:pPr>
            <w:r w:rsidRPr="00BC52E0">
              <w:rPr>
                <w:sz w:val="18"/>
                <w:szCs w:val="18"/>
                <w:lang w:val="nl-BE"/>
              </w:rPr>
              <w:t>0</w:t>
            </w:r>
          </w:p>
        </w:tc>
      </w:tr>
      <w:tr w:rsidR="00BC52E0" w:rsidRPr="00BC52E0" w:rsidTr="00BC52E0">
        <w:trPr>
          <w:jc w:val="center"/>
        </w:trPr>
        <w:tc>
          <w:tcPr>
            <w:tcW w:w="2814" w:type="pct"/>
          </w:tcPr>
          <w:p w:rsidR="00BC52E0" w:rsidRPr="00BC52E0" w:rsidRDefault="00BC52E0" w:rsidP="00BC52E0">
            <w:pPr>
              <w:keepNext/>
              <w:tabs>
                <w:tab w:val="right" w:leader="dot" w:pos="5160"/>
              </w:tabs>
              <w:spacing w:before="0" w:after="0" w:line="276" w:lineRule="auto"/>
              <w:ind w:left="240" w:hanging="240"/>
              <w:rPr>
                <w:b/>
                <w:sz w:val="18"/>
                <w:szCs w:val="18"/>
                <w:lang w:val="nl-BE"/>
              </w:rPr>
            </w:pPr>
            <w:r w:rsidRPr="00BC52E0">
              <w:rPr>
                <w:b/>
                <w:sz w:val="18"/>
                <w:szCs w:val="18"/>
                <w:lang w:val="nl-BE"/>
              </w:rPr>
              <w:t>REBITDA</w:t>
            </w:r>
            <w:r w:rsidRPr="00BC52E0">
              <w:rPr>
                <w:sz w:val="18"/>
                <w:szCs w:val="18"/>
                <w:lang w:val="nl-BE"/>
              </w:rPr>
              <w:tab/>
            </w:r>
          </w:p>
        </w:tc>
        <w:tc>
          <w:tcPr>
            <w:tcW w:w="1187" w:type="pct"/>
            <w:noWrap/>
            <w:tcMar>
              <w:top w:w="0" w:type="dxa"/>
              <w:left w:w="144" w:type="dxa"/>
              <w:bottom w:w="0" w:type="dxa"/>
              <w:right w:w="0" w:type="dxa"/>
            </w:tcMar>
            <w:vAlign w:val="bottom"/>
          </w:tcPr>
          <w:p w:rsidR="00BC52E0" w:rsidRPr="00BC52E0" w:rsidRDefault="00BC52E0" w:rsidP="00BC52E0">
            <w:pPr>
              <w:pBdr>
                <w:bottom w:val="double" w:sz="4" w:space="1" w:color="auto"/>
              </w:pBdr>
              <w:spacing w:before="0" w:after="0" w:line="276" w:lineRule="auto"/>
              <w:ind w:right="140"/>
              <w:jc w:val="right"/>
              <w:rPr>
                <w:sz w:val="18"/>
                <w:szCs w:val="18"/>
                <w:lang w:val="nl-BE"/>
              </w:rPr>
            </w:pPr>
            <w:r w:rsidRPr="00BC52E0">
              <w:rPr>
                <w:b/>
                <w:bCs/>
                <w:sz w:val="18"/>
                <w:szCs w:val="18"/>
                <w:lang w:val="nl-BE"/>
              </w:rPr>
              <w:t>8.5</w:t>
            </w:r>
          </w:p>
        </w:tc>
        <w:tc>
          <w:tcPr>
            <w:tcW w:w="999" w:type="pct"/>
            <w:noWrap/>
            <w:tcMar>
              <w:top w:w="0" w:type="dxa"/>
              <w:left w:w="144" w:type="dxa"/>
              <w:bottom w:w="0" w:type="dxa"/>
              <w:right w:w="0" w:type="dxa"/>
            </w:tcMar>
            <w:vAlign w:val="bottom"/>
          </w:tcPr>
          <w:p w:rsidR="00BC52E0" w:rsidRPr="00BC52E0" w:rsidRDefault="00BC52E0" w:rsidP="00BC52E0">
            <w:pPr>
              <w:pBdr>
                <w:bottom w:val="double" w:sz="4" w:space="1" w:color="auto"/>
              </w:pBdr>
              <w:spacing w:before="0" w:after="0" w:line="276" w:lineRule="auto"/>
              <w:ind w:right="140"/>
              <w:jc w:val="right"/>
              <w:rPr>
                <w:sz w:val="18"/>
                <w:szCs w:val="18"/>
                <w:lang w:val="nl-BE"/>
              </w:rPr>
            </w:pPr>
            <w:r w:rsidRPr="00BC52E0">
              <w:rPr>
                <w:b/>
                <w:bCs/>
                <w:sz w:val="18"/>
                <w:szCs w:val="18"/>
                <w:lang w:val="nl-BE"/>
              </w:rPr>
              <w:t>7.8</w:t>
            </w:r>
          </w:p>
        </w:tc>
      </w:tr>
      <w:tr w:rsidR="00BC52E0" w:rsidRPr="00BC52E0" w:rsidTr="00BC52E0">
        <w:trPr>
          <w:jc w:val="center"/>
        </w:trPr>
        <w:tc>
          <w:tcPr>
            <w:tcW w:w="2814" w:type="pct"/>
          </w:tcPr>
          <w:p w:rsidR="00BC52E0" w:rsidRPr="00BC52E0" w:rsidRDefault="00BC52E0" w:rsidP="00BC52E0">
            <w:pPr>
              <w:keepNext/>
              <w:tabs>
                <w:tab w:val="right" w:leader="dot" w:pos="5160"/>
              </w:tabs>
              <w:spacing w:before="0" w:after="0" w:line="276" w:lineRule="auto"/>
              <w:ind w:left="240" w:hanging="240"/>
              <w:rPr>
                <w:b/>
                <w:sz w:val="18"/>
                <w:szCs w:val="18"/>
                <w:lang w:val="nl-BE"/>
              </w:rPr>
            </w:pPr>
          </w:p>
        </w:tc>
        <w:tc>
          <w:tcPr>
            <w:tcW w:w="1187" w:type="pct"/>
            <w:noWrap/>
            <w:tcMar>
              <w:top w:w="0" w:type="dxa"/>
              <w:left w:w="144" w:type="dxa"/>
              <w:bottom w:w="0" w:type="dxa"/>
              <w:right w:w="0" w:type="dxa"/>
            </w:tcMar>
            <w:vAlign w:val="bottom"/>
          </w:tcPr>
          <w:p w:rsidR="00BC52E0" w:rsidRPr="00BC52E0" w:rsidRDefault="00BC52E0" w:rsidP="00BC52E0">
            <w:pPr>
              <w:spacing w:before="0" w:after="0" w:line="276" w:lineRule="auto"/>
              <w:ind w:right="140"/>
              <w:jc w:val="right"/>
              <w:rPr>
                <w:b/>
                <w:bCs/>
                <w:sz w:val="18"/>
                <w:szCs w:val="18"/>
                <w:lang w:val="nl-BE"/>
              </w:rPr>
            </w:pPr>
          </w:p>
        </w:tc>
        <w:tc>
          <w:tcPr>
            <w:tcW w:w="999" w:type="pct"/>
            <w:noWrap/>
            <w:tcMar>
              <w:top w:w="0" w:type="dxa"/>
              <w:left w:w="144" w:type="dxa"/>
              <w:bottom w:w="0" w:type="dxa"/>
              <w:right w:w="0" w:type="dxa"/>
            </w:tcMar>
            <w:vAlign w:val="bottom"/>
          </w:tcPr>
          <w:p w:rsidR="00BC52E0" w:rsidRPr="00BC52E0" w:rsidRDefault="00BC52E0" w:rsidP="00BC52E0">
            <w:pPr>
              <w:spacing w:before="0" w:after="0" w:line="276" w:lineRule="auto"/>
              <w:ind w:right="140"/>
              <w:jc w:val="right"/>
              <w:rPr>
                <w:b/>
                <w:bCs/>
                <w:sz w:val="18"/>
                <w:szCs w:val="18"/>
                <w:lang w:val="nl-BE"/>
              </w:rPr>
            </w:pPr>
          </w:p>
        </w:tc>
      </w:tr>
    </w:tbl>
    <w:p w:rsidR="00BC52E0" w:rsidRPr="00BC52E0" w:rsidRDefault="00BC52E0" w:rsidP="00BC52E0">
      <w:pPr>
        <w:autoSpaceDE w:val="0"/>
        <w:autoSpaceDN w:val="0"/>
        <w:adjustRightInd w:val="0"/>
        <w:spacing w:after="200"/>
        <w:rPr>
          <w:bCs/>
          <w:szCs w:val="20"/>
        </w:rPr>
      </w:pPr>
      <w:r w:rsidRPr="00BC52E0">
        <w:rPr>
          <w:bCs/>
          <w:szCs w:val="20"/>
        </w:rPr>
        <w:t xml:space="preserve">REBITDA over </w:t>
      </w:r>
      <w:r w:rsidR="00C8137D">
        <w:rPr>
          <w:bCs/>
          <w:szCs w:val="20"/>
        </w:rPr>
        <w:t xml:space="preserve">the </w:t>
      </w:r>
      <w:r w:rsidR="00F2529B">
        <w:rPr>
          <w:bCs/>
          <w:szCs w:val="20"/>
        </w:rPr>
        <w:t xml:space="preserve">12 months </w:t>
      </w:r>
      <w:r w:rsidR="00C8137D">
        <w:rPr>
          <w:bCs/>
          <w:szCs w:val="20"/>
        </w:rPr>
        <w:t>ended</w:t>
      </w:r>
      <w:r w:rsidRPr="00BC52E0">
        <w:rPr>
          <w:bCs/>
          <w:szCs w:val="20"/>
        </w:rPr>
        <w:t xml:space="preserve"> 31 March 2015 increase</w:t>
      </w:r>
      <w:r w:rsidR="00243514">
        <w:rPr>
          <w:bCs/>
          <w:szCs w:val="20"/>
        </w:rPr>
        <w:t>d</w:t>
      </w:r>
      <w:r w:rsidRPr="00BC52E0">
        <w:rPr>
          <w:bCs/>
          <w:szCs w:val="20"/>
        </w:rPr>
        <w:t xml:space="preserve"> with </w:t>
      </w:r>
      <w:r w:rsidR="00E53641">
        <w:rPr>
          <w:bCs/>
          <w:szCs w:val="20"/>
        </w:rPr>
        <w:t>EUR </w:t>
      </w:r>
      <w:r w:rsidR="00C8137D">
        <w:rPr>
          <w:bCs/>
          <w:szCs w:val="20"/>
        </w:rPr>
        <w:t xml:space="preserve">700,000 </w:t>
      </w:r>
      <w:r w:rsidRPr="00BC52E0">
        <w:rPr>
          <w:bCs/>
          <w:szCs w:val="20"/>
        </w:rPr>
        <w:t xml:space="preserve">compared to </w:t>
      </w:r>
      <w:r w:rsidR="00C8137D">
        <w:rPr>
          <w:bCs/>
          <w:szCs w:val="20"/>
        </w:rPr>
        <w:t>the financial year ended</w:t>
      </w:r>
      <w:r w:rsidRPr="00BC52E0">
        <w:rPr>
          <w:bCs/>
          <w:szCs w:val="20"/>
        </w:rPr>
        <w:t xml:space="preserve"> 30 September 2014. Due to lower raw material prices and fuel,</w:t>
      </w:r>
      <w:r w:rsidR="00243514">
        <w:rPr>
          <w:bCs/>
          <w:szCs w:val="20"/>
        </w:rPr>
        <w:t xml:space="preserve"> gross margin increased from 57.4% to 58.</w:t>
      </w:r>
      <w:r w:rsidRPr="00BC52E0">
        <w:rPr>
          <w:bCs/>
          <w:szCs w:val="20"/>
        </w:rPr>
        <w:t>2%.</w:t>
      </w:r>
      <w:r w:rsidR="00C14169">
        <w:rPr>
          <w:bCs/>
          <w:szCs w:val="20"/>
        </w:rPr>
        <w:t xml:space="preserve"> </w:t>
      </w:r>
      <w:r w:rsidRPr="00BC52E0">
        <w:rPr>
          <w:bCs/>
          <w:szCs w:val="20"/>
        </w:rPr>
        <w:t xml:space="preserve">Higher transport costs, staff costs were set off against higher gross margin. </w:t>
      </w:r>
    </w:p>
    <w:p w:rsidR="00BC52E0" w:rsidRPr="00BC52E0" w:rsidRDefault="00BC52E0" w:rsidP="00BC52E0">
      <w:pPr>
        <w:rPr>
          <w:b/>
        </w:rPr>
      </w:pPr>
      <w:r w:rsidRPr="00BC52E0">
        <w:rPr>
          <w:b/>
        </w:rPr>
        <w:t>Balance sheet</w:t>
      </w:r>
    </w:p>
    <w:tbl>
      <w:tblPr>
        <w:tblW w:w="5000" w:type="pct"/>
        <w:jc w:val="center"/>
        <w:tblCellMar>
          <w:left w:w="0" w:type="dxa"/>
          <w:right w:w="0" w:type="dxa"/>
        </w:tblCellMar>
        <w:tblLook w:val="04A0" w:firstRow="1" w:lastRow="0" w:firstColumn="1" w:lastColumn="0" w:noHBand="0" w:noVBand="1"/>
      </w:tblPr>
      <w:tblGrid>
        <w:gridCol w:w="6101"/>
        <w:gridCol w:w="1566"/>
        <w:gridCol w:w="60"/>
        <w:gridCol w:w="1210"/>
        <w:gridCol w:w="92"/>
      </w:tblGrid>
      <w:tr w:rsidR="00BC52E0" w:rsidRPr="00BC52E0" w:rsidTr="00BC52E0">
        <w:trPr>
          <w:gridAfter w:val="1"/>
          <w:wAfter w:w="51" w:type="pct"/>
          <w:trHeight w:val="70"/>
          <w:tblHeader/>
          <w:jc w:val="center"/>
        </w:trPr>
        <w:tc>
          <w:tcPr>
            <w:tcW w:w="3379" w:type="pct"/>
            <w:vMerge w:val="restart"/>
            <w:vAlign w:val="center"/>
          </w:tcPr>
          <w:p w:rsidR="00BC52E0" w:rsidRPr="00BC52E0" w:rsidRDefault="00BC52E0" w:rsidP="00BC52E0">
            <w:pPr>
              <w:spacing w:before="0" w:after="0" w:line="276" w:lineRule="auto"/>
              <w:jc w:val="left"/>
              <w:rPr>
                <w:sz w:val="18"/>
                <w:szCs w:val="18"/>
                <w:lang w:val="nl-BE"/>
              </w:rPr>
            </w:pPr>
            <w:r w:rsidRPr="00BC52E0">
              <w:rPr>
                <w:bCs/>
                <w:i/>
                <w:sz w:val="18"/>
                <w:szCs w:val="18"/>
                <w:lang w:val="nl-BE"/>
              </w:rPr>
              <w:t>(</w:t>
            </w:r>
            <w:r w:rsidR="00E53641">
              <w:rPr>
                <w:bCs/>
                <w:i/>
                <w:sz w:val="18"/>
                <w:szCs w:val="18"/>
                <w:lang w:val="nl-BE"/>
              </w:rPr>
              <w:t>EUR </w:t>
            </w:r>
            <w:r w:rsidRPr="00BC52E0">
              <w:rPr>
                <w:bCs/>
                <w:i/>
                <w:sz w:val="18"/>
                <w:szCs w:val="18"/>
                <w:lang w:val="nl-BE"/>
              </w:rPr>
              <w:t>in millions)</w:t>
            </w:r>
            <w:r w:rsidRPr="00BC52E0">
              <w:rPr>
                <w:sz w:val="18"/>
                <w:szCs w:val="18"/>
                <w:lang w:val="nl-BE"/>
              </w:rPr>
              <w:t> </w:t>
            </w:r>
          </w:p>
        </w:tc>
        <w:tc>
          <w:tcPr>
            <w:tcW w:w="900" w:type="pct"/>
            <w:gridSpan w:val="2"/>
            <w:tcMar>
              <w:top w:w="0" w:type="dxa"/>
              <w:left w:w="144" w:type="dxa"/>
              <w:bottom w:w="0" w:type="dxa"/>
              <w:right w:w="0" w:type="dxa"/>
            </w:tcMar>
          </w:tcPr>
          <w:p w:rsidR="00BC52E0" w:rsidRPr="00BC52E0" w:rsidRDefault="00BC52E0" w:rsidP="00243514">
            <w:pPr>
              <w:pBdr>
                <w:bottom w:val="single" w:sz="4" w:space="1" w:color="auto"/>
              </w:pBdr>
              <w:spacing w:before="0" w:after="0" w:line="276" w:lineRule="auto"/>
              <w:jc w:val="center"/>
              <w:rPr>
                <w:b/>
                <w:bCs/>
                <w:sz w:val="18"/>
                <w:szCs w:val="18"/>
              </w:rPr>
            </w:pPr>
            <w:r w:rsidRPr="00BC52E0">
              <w:rPr>
                <w:b/>
                <w:bCs/>
                <w:sz w:val="18"/>
                <w:szCs w:val="18"/>
                <w:lang w:val="nl-BE"/>
              </w:rPr>
              <w:t xml:space="preserve">31 March </w:t>
            </w:r>
            <w:r w:rsidRPr="00BC52E0">
              <w:rPr>
                <w:b/>
                <w:bCs/>
                <w:sz w:val="18"/>
                <w:szCs w:val="18"/>
                <w:lang w:val="nl-BE"/>
              </w:rPr>
              <w:br/>
              <w:t>2015</w:t>
            </w:r>
          </w:p>
        </w:tc>
        <w:tc>
          <w:tcPr>
            <w:tcW w:w="670" w:type="pct"/>
            <w:tcMar>
              <w:top w:w="0" w:type="dxa"/>
              <w:left w:w="144" w:type="dxa"/>
              <w:bottom w:w="0" w:type="dxa"/>
              <w:right w:w="0" w:type="dxa"/>
            </w:tcMar>
          </w:tcPr>
          <w:p w:rsidR="00BC52E0" w:rsidRPr="00BC52E0" w:rsidRDefault="00BC52E0" w:rsidP="00243514">
            <w:pPr>
              <w:pBdr>
                <w:bottom w:val="single" w:sz="4" w:space="1" w:color="auto"/>
              </w:pBdr>
              <w:spacing w:before="0" w:after="0" w:line="276" w:lineRule="auto"/>
              <w:jc w:val="center"/>
              <w:rPr>
                <w:b/>
                <w:bCs/>
                <w:sz w:val="18"/>
                <w:szCs w:val="18"/>
              </w:rPr>
            </w:pPr>
            <w:r w:rsidRPr="00BC52E0">
              <w:rPr>
                <w:b/>
                <w:bCs/>
                <w:sz w:val="18"/>
                <w:szCs w:val="18"/>
                <w:lang w:val="nl-BE"/>
              </w:rPr>
              <w:t>30 September 2014</w:t>
            </w:r>
          </w:p>
        </w:tc>
      </w:tr>
      <w:tr w:rsidR="00BC52E0" w:rsidRPr="00BC52E0" w:rsidTr="00BC52E0">
        <w:trPr>
          <w:gridAfter w:val="1"/>
          <w:wAfter w:w="51" w:type="pct"/>
          <w:trHeight w:val="207"/>
          <w:tblHeader/>
          <w:jc w:val="center"/>
        </w:trPr>
        <w:tc>
          <w:tcPr>
            <w:tcW w:w="0" w:type="auto"/>
            <w:vMerge/>
            <w:vAlign w:val="center"/>
          </w:tcPr>
          <w:p w:rsidR="00BC52E0" w:rsidRPr="00BC52E0" w:rsidRDefault="00BC52E0" w:rsidP="00BC52E0">
            <w:pPr>
              <w:spacing w:before="0" w:after="0"/>
              <w:jc w:val="left"/>
              <w:rPr>
                <w:sz w:val="18"/>
                <w:szCs w:val="18"/>
                <w:lang w:val="nl-BE"/>
              </w:rPr>
            </w:pPr>
          </w:p>
        </w:tc>
        <w:tc>
          <w:tcPr>
            <w:tcW w:w="1570" w:type="pct"/>
            <w:gridSpan w:val="3"/>
            <w:vMerge w:val="restart"/>
            <w:tcMar>
              <w:top w:w="0" w:type="dxa"/>
              <w:left w:w="144" w:type="dxa"/>
              <w:bottom w:w="0" w:type="dxa"/>
              <w:right w:w="0" w:type="dxa"/>
            </w:tcMar>
            <w:vAlign w:val="bottom"/>
          </w:tcPr>
          <w:p w:rsidR="00BC52E0" w:rsidRPr="00BC52E0" w:rsidRDefault="00BC52E0" w:rsidP="00BC52E0">
            <w:pPr>
              <w:spacing w:before="0" w:after="0" w:line="276" w:lineRule="auto"/>
              <w:jc w:val="right"/>
              <w:rPr>
                <w:b/>
                <w:bCs/>
                <w:sz w:val="18"/>
                <w:szCs w:val="18"/>
                <w:lang w:val="nl-BE"/>
              </w:rPr>
            </w:pPr>
          </w:p>
        </w:tc>
      </w:tr>
      <w:tr w:rsidR="00BC52E0" w:rsidRPr="00BC52E0" w:rsidTr="00243514">
        <w:trPr>
          <w:gridAfter w:val="1"/>
          <w:wAfter w:w="51" w:type="pct"/>
          <w:tblHeader/>
          <w:jc w:val="center"/>
        </w:trPr>
        <w:tc>
          <w:tcPr>
            <w:tcW w:w="3379" w:type="pct"/>
            <w:tcMar>
              <w:top w:w="0" w:type="dxa"/>
              <w:left w:w="144" w:type="dxa"/>
              <w:bottom w:w="0" w:type="dxa"/>
              <w:right w:w="0" w:type="dxa"/>
            </w:tcMar>
            <w:vAlign w:val="bottom"/>
          </w:tcPr>
          <w:p w:rsidR="00BC52E0" w:rsidRPr="00BC52E0" w:rsidRDefault="00BC52E0" w:rsidP="00BC52E0">
            <w:pPr>
              <w:keepNext/>
              <w:spacing w:before="0" w:after="0" w:line="40" w:lineRule="exact"/>
              <w:rPr>
                <w:sz w:val="18"/>
                <w:szCs w:val="18"/>
              </w:rPr>
            </w:pPr>
          </w:p>
        </w:tc>
        <w:tc>
          <w:tcPr>
            <w:tcW w:w="0" w:type="auto"/>
            <w:gridSpan w:val="3"/>
            <w:vMerge/>
            <w:vAlign w:val="center"/>
          </w:tcPr>
          <w:p w:rsidR="00BC52E0" w:rsidRPr="00BC52E0" w:rsidRDefault="00BC52E0" w:rsidP="00BC52E0">
            <w:pPr>
              <w:spacing w:before="0" w:after="0"/>
              <w:jc w:val="left"/>
              <w:rPr>
                <w:b/>
                <w:bCs/>
                <w:sz w:val="18"/>
                <w:szCs w:val="18"/>
                <w:lang w:val="nl-BE"/>
              </w:rPr>
            </w:pPr>
          </w:p>
        </w:tc>
      </w:tr>
      <w:tr w:rsidR="00BC52E0" w:rsidRPr="00BC52E0" w:rsidTr="00BC52E0">
        <w:trPr>
          <w:gridAfter w:val="1"/>
          <w:wAfter w:w="51" w:type="pct"/>
          <w:jc w:val="center"/>
        </w:trPr>
        <w:tc>
          <w:tcPr>
            <w:tcW w:w="3379" w:type="pct"/>
          </w:tcPr>
          <w:p w:rsidR="00BC52E0" w:rsidRPr="00BC52E0" w:rsidRDefault="00BC52E0" w:rsidP="00BC52E0">
            <w:pPr>
              <w:keepNext/>
              <w:spacing w:before="0" w:after="0" w:line="276" w:lineRule="auto"/>
              <w:ind w:left="240" w:hanging="240"/>
              <w:rPr>
                <w:b/>
                <w:bCs/>
                <w:sz w:val="18"/>
                <w:szCs w:val="18"/>
              </w:rPr>
            </w:pPr>
            <w:r w:rsidRPr="00BC52E0">
              <w:rPr>
                <w:b/>
                <w:bCs/>
                <w:sz w:val="18"/>
                <w:szCs w:val="18"/>
              </w:rPr>
              <w:t>Selected Balance Sheet Data (as of end of period)</w:t>
            </w:r>
          </w:p>
        </w:tc>
        <w:tc>
          <w:tcPr>
            <w:tcW w:w="900" w:type="pct"/>
            <w:gridSpan w:val="2"/>
            <w:tcMar>
              <w:top w:w="0" w:type="dxa"/>
              <w:left w:w="144" w:type="dxa"/>
              <w:bottom w:w="0" w:type="dxa"/>
              <w:right w:w="0" w:type="dxa"/>
            </w:tcMar>
            <w:vAlign w:val="bottom"/>
          </w:tcPr>
          <w:p w:rsidR="00BC52E0" w:rsidRPr="00BC52E0" w:rsidRDefault="00BC52E0" w:rsidP="00BC52E0">
            <w:pPr>
              <w:spacing w:before="0" w:after="0" w:line="276" w:lineRule="auto"/>
              <w:jc w:val="right"/>
              <w:rPr>
                <w:b/>
                <w:bCs/>
                <w:sz w:val="18"/>
                <w:szCs w:val="18"/>
              </w:rPr>
            </w:pPr>
          </w:p>
        </w:tc>
        <w:tc>
          <w:tcPr>
            <w:tcW w:w="670" w:type="pct"/>
            <w:tcMar>
              <w:top w:w="0" w:type="dxa"/>
              <w:left w:w="144" w:type="dxa"/>
              <w:bottom w:w="0" w:type="dxa"/>
              <w:right w:w="0" w:type="dxa"/>
            </w:tcMar>
            <w:vAlign w:val="bottom"/>
          </w:tcPr>
          <w:p w:rsidR="00BC52E0" w:rsidRPr="00BC52E0" w:rsidRDefault="00BC52E0" w:rsidP="00BC52E0">
            <w:pPr>
              <w:spacing w:before="0" w:after="0" w:line="276" w:lineRule="auto"/>
              <w:jc w:val="right"/>
              <w:rPr>
                <w:b/>
                <w:bCs/>
                <w:sz w:val="18"/>
                <w:szCs w:val="18"/>
              </w:rPr>
            </w:pPr>
          </w:p>
        </w:tc>
      </w:tr>
      <w:tr w:rsidR="00BC52E0" w:rsidRPr="00BC52E0" w:rsidTr="00243514">
        <w:trPr>
          <w:jc w:val="center"/>
        </w:trPr>
        <w:tc>
          <w:tcPr>
            <w:tcW w:w="3379" w:type="pct"/>
          </w:tcPr>
          <w:p w:rsidR="00BC52E0" w:rsidRPr="00BC52E0" w:rsidRDefault="00BC52E0" w:rsidP="00BC52E0">
            <w:pPr>
              <w:keepNext/>
              <w:tabs>
                <w:tab w:val="right" w:leader="dot" w:pos="6521"/>
              </w:tabs>
              <w:spacing w:before="0" w:after="0" w:line="276" w:lineRule="auto"/>
              <w:ind w:left="240" w:right="-13" w:hanging="240"/>
              <w:rPr>
                <w:sz w:val="18"/>
                <w:szCs w:val="18"/>
                <w:lang w:val="nl-BE"/>
              </w:rPr>
            </w:pPr>
            <w:r w:rsidRPr="00BC52E0">
              <w:rPr>
                <w:sz w:val="18"/>
                <w:szCs w:val="18"/>
                <w:lang w:val="nl-BE"/>
              </w:rPr>
              <w:t>Cash and cash equivalents</w:t>
            </w:r>
            <w:r w:rsidRPr="00BC52E0">
              <w:rPr>
                <w:sz w:val="18"/>
                <w:szCs w:val="18"/>
                <w:lang w:val="nl-BE"/>
              </w:rPr>
              <w:tab/>
            </w:r>
          </w:p>
        </w:tc>
        <w:tc>
          <w:tcPr>
            <w:tcW w:w="867" w:type="pct"/>
            <w:tcMar>
              <w:top w:w="0" w:type="dxa"/>
              <w:left w:w="144" w:type="dxa"/>
              <w:bottom w:w="0" w:type="dxa"/>
              <w:right w:w="0" w:type="dxa"/>
            </w:tcMar>
            <w:vAlign w:val="bottom"/>
          </w:tcPr>
          <w:p w:rsidR="00BC52E0" w:rsidRPr="00BC52E0" w:rsidRDefault="00BC52E0" w:rsidP="00BC52E0">
            <w:pPr>
              <w:spacing w:before="0" w:after="0" w:line="276" w:lineRule="auto"/>
              <w:jc w:val="right"/>
              <w:rPr>
                <w:bCs/>
                <w:sz w:val="18"/>
                <w:szCs w:val="18"/>
                <w:lang w:val="nl-BE"/>
              </w:rPr>
            </w:pPr>
            <w:r w:rsidRPr="00BC52E0">
              <w:rPr>
                <w:bCs/>
                <w:sz w:val="18"/>
                <w:szCs w:val="18"/>
                <w:lang w:val="nl-BE"/>
              </w:rPr>
              <w:t>3.8</w:t>
            </w:r>
          </w:p>
        </w:tc>
        <w:tc>
          <w:tcPr>
            <w:tcW w:w="754" w:type="pct"/>
            <w:gridSpan w:val="3"/>
            <w:noWrap/>
            <w:tcMar>
              <w:top w:w="0" w:type="dxa"/>
              <w:left w:w="144" w:type="dxa"/>
              <w:bottom w:w="0" w:type="dxa"/>
              <w:right w:w="0" w:type="dxa"/>
            </w:tcMar>
            <w:vAlign w:val="bottom"/>
          </w:tcPr>
          <w:p w:rsidR="00BC52E0" w:rsidRPr="00BC52E0" w:rsidRDefault="00BC52E0" w:rsidP="00BC52E0">
            <w:pPr>
              <w:spacing w:before="0" w:after="0" w:line="276" w:lineRule="auto"/>
              <w:jc w:val="right"/>
              <w:rPr>
                <w:bCs/>
                <w:sz w:val="18"/>
                <w:szCs w:val="18"/>
                <w:lang w:val="nl-BE"/>
              </w:rPr>
            </w:pPr>
            <w:r w:rsidRPr="00BC52E0">
              <w:rPr>
                <w:bCs/>
                <w:sz w:val="18"/>
                <w:szCs w:val="18"/>
                <w:lang w:val="nl-BE"/>
              </w:rPr>
              <w:t>3.2</w:t>
            </w:r>
          </w:p>
        </w:tc>
      </w:tr>
      <w:tr w:rsidR="00BC52E0" w:rsidRPr="00BC52E0" w:rsidTr="00243514">
        <w:trPr>
          <w:jc w:val="center"/>
        </w:trPr>
        <w:tc>
          <w:tcPr>
            <w:tcW w:w="3379" w:type="pct"/>
          </w:tcPr>
          <w:p w:rsidR="00BC52E0" w:rsidRPr="00BC52E0" w:rsidRDefault="00BC52E0" w:rsidP="00BC52E0">
            <w:pPr>
              <w:tabs>
                <w:tab w:val="right" w:leader="dot" w:pos="6521"/>
              </w:tabs>
              <w:spacing w:before="0" w:after="0" w:line="276" w:lineRule="auto"/>
              <w:ind w:left="240" w:right="-13" w:hanging="240"/>
              <w:rPr>
                <w:sz w:val="18"/>
                <w:szCs w:val="18"/>
                <w:lang w:val="nl-BE"/>
              </w:rPr>
            </w:pPr>
            <w:r w:rsidRPr="00BC52E0">
              <w:rPr>
                <w:sz w:val="18"/>
                <w:szCs w:val="18"/>
                <w:lang w:val="nl-BE"/>
              </w:rPr>
              <w:t>Total current assets</w:t>
            </w:r>
            <w:r w:rsidRPr="00BC52E0">
              <w:rPr>
                <w:sz w:val="18"/>
                <w:szCs w:val="18"/>
                <w:lang w:val="nl-BE"/>
              </w:rPr>
              <w:tab/>
            </w:r>
          </w:p>
        </w:tc>
        <w:tc>
          <w:tcPr>
            <w:tcW w:w="867" w:type="pct"/>
            <w:noWrap/>
            <w:tcMar>
              <w:top w:w="0" w:type="dxa"/>
              <w:left w:w="144" w:type="dxa"/>
              <w:bottom w:w="0" w:type="dxa"/>
              <w:right w:w="0" w:type="dxa"/>
            </w:tcMar>
            <w:vAlign w:val="bottom"/>
          </w:tcPr>
          <w:p w:rsidR="00BC52E0" w:rsidRPr="00BC52E0" w:rsidRDefault="00BC52E0" w:rsidP="00BC52E0">
            <w:pPr>
              <w:spacing w:before="0" w:after="0" w:line="276" w:lineRule="auto"/>
              <w:jc w:val="right"/>
              <w:rPr>
                <w:bCs/>
                <w:sz w:val="18"/>
                <w:szCs w:val="18"/>
                <w:lang w:val="nl-BE"/>
              </w:rPr>
            </w:pPr>
            <w:r w:rsidRPr="00BC52E0">
              <w:rPr>
                <w:bCs/>
                <w:sz w:val="18"/>
                <w:szCs w:val="18"/>
                <w:lang w:val="nl-BE"/>
              </w:rPr>
              <w:t>43.6</w:t>
            </w:r>
          </w:p>
        </w:tc>
        <w:tc>
          <w:tcPr>
            <w:tcW w:w="754" w:type="pct"/>
            <w:gridSpan w:val="3"/>
            <w:noWrap/>
            <w:tcMar>
              <w:top w:w="0" w:type="dxa"/>
              <w:left w:w="144" w:type="dxa"/>
              <w:bottom w:w="0" w:type="dxa"/>
              <w:right w:w="0" w:type="dxa"/>
            </w:tcMar>
            <w:vAlign w:val="bottom"/>
          </w:tcPr>
          <w:p w:rsidR="00BC52E0" w:rsidRPr="00BC52E0" w:rsidRDefault="00BC52E0" w:rsidP="00BC52E0">
            <w:pPr>
              <w:spacing w:before="0" w:after="0" w:line="276" w:lineRule="auto"/>
              <w:jc w:val="right"/>
              <w:rPr>
                <w:bCs/>
                <w:sz w:val="18"/>
                <w:szCs w:val="18"/>
                <w:lang w:val="nl-BE"/>
              </w:rPr>
            </w:pPr>
            <w:r w:rsidRPr="00BC52E0">
              <w:rPr>
                <w:bCs/>
                <w:sz w:val="18"/>
                <w:szCs w:val="18"/>
                <w:lang w:val="nl-BE"/>
              </w:rPr>
              <w:t>23.0</w:t>
            </w:r>
          </w:p>
        </w:tc>
      </w:tr>
      <w:tr w:rsidR="00BC52E0" w:rsidRPr="00BC52E0" w:rsidTr="00243514">
        <w:trPr>
          <w:jc w:val="center"/>
        </w:trPr>
        <w:tc>
          <w:tcPr>
            <w:tcW w:w="3379" w:type="pct"/>
          </w:tcPr>
          <w:p w:rsidR="00BC52E0" w:rsidRPr="00BC52E0" w:rsidRDefault="00BC52E0" w:rsidP="00BC52E0">
            <w:pPr>
              <w:keepNext/>
              <w:tabs>
                <w:tab w:val="right" w:leader="dot" w:pos="6521"/>
              </w:tabs>
              <w:spacing w:before="0" w:after="0" w:line="276" w:lineRule="auto"/>
              <w:ind w:left="240" w:right="-13" w:hanging="240"/>
              <w:rPr>
                <w:sz w:val="18"/>
                <w:szCs w:val="18"/>
                <w:lang w:val="nl-BE"/>
              </w:rPr>
            </w:pPr>
            <w:r w:rsidRPr="00BC52E0">
              <w:rPr>
                <w:sz w:val="18"/>
                <w:szCs w:val="18"/>
                <w:lang w:val="nl-BE"/>
              </w:rPr>
              <w:t>Total assets</w:t>
            </w:r>
            <w:r w:rsidRPr="00BC52E0">
              <w:rPr>
                <w:sz w:val="18"/>
                <w:szCs w:val="18"/>
                <w:lang w:val="nl-BE"/>
              </w:rPr>
              <w:tab/>
            </w:r>
          </w:p>
        </w:tc>
        <w:tc>
          <w:tcPr>
            <w:tcW w:w="867" w:type="pct"/>
            <w:noWrap/>
            <w:tcMar>
              <w:top w:w="0" w:type="dxa"/>
              <w:left w:w="144" w:type="dxa"/>
              <w:bottom w:w="0" w:type="dxa"/>
              <w:right w:w="0" w:type="dxa"/>
            </w:tcMar>
            <w:vAlign w:val="bottom"/>
          </w:tcPr>
          <w:p w:rsidR="00BC52E0" w:rsidRPr="00BC52E0" w:rsidRDefault="00BC52E0" w:rsidP="00BC52E0">
            <w:pPr>
              <w:spacing w:before="0" w:after="0" w:line="276" w:lineRule="auto"/>
              <w:jc w:val="right"/>
              <w:rPr>
                <w:bCs/>
                <w:sz w:val="18"/>
                <w:szCs w:val="18"/>
                <w:lang w:val="nl-BE"/>
              </w:rPr>
            </w:pPr>
            <w:r w:rsidRPr="00BC52E0">
              <w:rPr>
                <w:bCs/>
                <w:sz w:val="18"/>
                <w:szCs w:val="18"/>
                <w:lang w:val="nl-BE"/>
              </w:rPr>
              <w:t>65.9</w:t>
            </w:r>
          </w:p>
        </w:tc>
        <w:tc>
          <w:tcPr>
            <w:tcW w:w="754" w:type="pct"/>
            <w:gridSpan w:val="3"/>
            <w:noWrap/>
            <w:tcMar>
              <w:top w:w="0" w:type="dxa"/>
              <w:left w:w="144" w:type="dxa"/>
              <w:bottom w:w="0" w:type="dxa"/>
              <w:right w:w="0" w:type="dxa"/>
            </w:tcMar>
            <w:vAlign w:val="bottom"/>
          </w:tcPr>
          <w:p w:rsidR="00BC52E0" w:rsidRPr="00BC52E0" w:rsidRDefault="00BC52E0" w:rsidP="00BC52E0">
            <w:pPr>
              <w:spacing w:before="0" w:after="0" w:line="276" w:lineRule="auto"/>
              <w:jc w:val="right"/>
              <w:rPr>
                <w:bCs/>
                <w:sz w:val="18"/>
                <w:szCs w:val="18"/>
                <w:lang w:val="nl-BE"/>
              </w:rPr>
            </w:pPr>
            <w:r w:rsidRPr="00BC52E0">
              <w:rPr>
                <w:bCs/>
                <w:sz w:val="18"/>
                <w:szCs w:val="18"/>
                <w:lang w:val="nl-BE"/>
              </w:rPr>
              <w:t>46.5</w:t>
            </w:r>
          </w:p>
        </w:tc>
      </w:tr>
      <w:tr w:rsidR="00BC52E0" w:rsidRPr="00BC52E0" w:rsidTr="00243514">
        <w:trPr>
          <w:jc w:val="center"/>
        </w:trPr>
        <w:tc>
          <w:tcPr>
            <w:tcW w:w="3379" w:type="pct"/>
          </w:tcPr>
          <w:p w:rsidR="00BC52E0" w:rsidRPr="00BC52E0" w:rsidRDefault="00BC52E0" w:rsidP="00BC52E0">
            <w:pPr>
              <w:keepNext/>
              <w:tabs>
                <w:tab w:val="right" w:leader="dot" w:pos="6521"/>
              </w:tabs>
              <w:spacing w:before="0" w:after="0" w:line="276" w:lineRule="auto"/>
              <w:ind w:left="240" w:right="-13" w:hanging="240"/>
              <w:rPr>
                <w:sz w:val="18"/>
                <w:szCs w:val="18"/>
                <w:lang w:val="nl-BE"/>
              </w:rPr>
            </w:pPr>
            <w:r w:rsidRPr="00BC52E0">
              <w:rPr>
                <w:sz w:val="18"/>
                <w:szCs w:val="18"/>
                <w:lang w:val="nl-BE"/>
              </w:rPr>
              <w:t>Total equity</w:t>
            </w:r>
            <w:r w:rsidRPr="00BC52E0">
              <w:rPr>
                <w:sz w:val="18"/>
                <w:szCs w:val="18"/>
                <w:lang w:val="nl-BE"/>
              </w:rPr>
              <w:tab/>
            </w:r>
          </w:p>
        </w:tc>
        <w:tc>
          <w:tcPr>
            <w:tcW w:w="867" w:type="pct"/>
            <w:noWrap/>
            <w:tcMar>
              <w:top w:w="0" w:type="dxa"/>
              <w:left w:w="144" w:type="dxa"/>
              <w:bottom w:w="0" w:type="dxa"/>
              <w:right w:w="0" w:type="dxa"/>
            </w:tcMar>
            <w:vAlign w:val="bottom"/>
          </w:tcPr>
          <w:p w:rsidR="00BC52E0" w:rsidRPr="00BC52E0" w:rsidRDefault="00BC52E0" w:rsidP="00BC52E0">
            <w:pPr>
              <w:spacing w:before="0" w:after="0" w:line="276" w:lineRule="auto"/>
              <w:jc w:val="right"/>
              <w:rPr>
                <w:bCs/>
                <w:sz w:val="18"/>
                <w:szCs w:val="18"/>
                <w:lang w:val="nl-BE"/>
              </w:rPr>
            </w:pPr>
            <w:r w:rsidRPr="00BC52E0">
              <w:rPr>
                <w:bCs/>
                <w:sz w:val="18"/>
                <w:szCs w:val="18"/>
                <w:lang w:val="nl-BE"/>
              </w:rPr>
              <w:t>23.4</w:t>
            </w:r>
          </w:p>
        </w:tc>
        <w:tc>
          <w:tcPr>
            <w:tcW w:w="754" w:type="pct"/>
            <w:gridSpan w:val="3"/>
            <w:noWrap/>
            <w:tcMar>
              <w:top w:w="0" w:type="dxa"/>
              <w:left w:w="144" w:type="dxa"/>
              <w:bottom w:w="0" w:type="dxa"/>
              <w:right w:w="0" w:type="dxa"/>
            </w:tcMar>
            <w:vAlign w:val="bottom"/>
          </w:tcPr>
          <w:p w:rsidR="00BC52E0" w:rsidRPr="00BC52E0" w:rsidRDefault="00BC52E0" w:rsidP="00BC52E0">
            <w:pPr>
              <w:spacing w:before="0" w:after="0" w:line="276" w:lineRule="auto"/>
              <w:jc w:val="right"/>
              <w:rPr>
                <w:bCs/>
                <w:sz w:val="18"/>
                <w:szCs w:val="18"/>
                <w:lang w:val="nl-BE"/>
              </w:rPr>
            </w:pPr>
            <w:r w:rsidRPr="00BC52E0">
              <w:rPr>
                <w:bCs/>
                <w:sz w:val="18"/>
                <w:szCs w:val="18"/>
                <w:lang w:val="nl-BE"/>
              </w:rPr>
              <w:t>20.5</w:t>
            </w:r>
          </w:p>
        </w:tc>
      </w:tr>
      <w:tr w:rsidR="00BC52E0" w:rsidRPr="00BC52E0" w:rsidTr="00243514">
        <w:trPr>
          <w:jc w:val="center"/>
        </w:trPr>
        <w:tc>
          <w:tcPr>
            <w:tcW w:w="3379" w:type="pct"/>
          </w:tcPr>
          <w:p w:rsidR="00BC52E0" w:rsidRPr="00BC52E0" w:rsidRDefault="00BC52E0" w:rsidP="00BC52E0">
            <w:pPr>
              <w:keepNext/>
              <w:tabs>
                <w:tab w:val="right" w:leader="dot" w:pos="6521"/>
              </w:tabs>
              <w:spacing w:before="0" w:after="0" w:line="276" w:lineRule="auto"/>
              <w:ind w:left="240" w:right="-13" w:hanging="240"/>
              <w:rPr>
                <w:sz w:val="18"/>
                <w:szCs w:val="18"/>
                <w:lang w:val="nl-BE"/>
              </w:rPr>
            </w:pPr>
            <w:r w:rsidRPr="00BC52E0">
              <w:rPr>
                <w:sz w:val="18"/>
                <w:szCs w:val="18"/>
                <w:lang w:val="nl-BE"/>
              </w:rPr>
              <w:t>Total current liabilities</w:t>
            </w:r>
            <w:r w:rsidRPr="00BC52E0">
              <w:rPr>
                <w:sz w:val="18"/>
                <w:szCs w:val="18"/>
                <w:lang w:val="nl-BE"/>
              </w:rPr>
              <w:tab/>
            </w:r>
          </w:p>
        </w:tc>
        <w:tc>
          <w:tcPr>
            <w:tcW w:w="867" w:type="pct"/>
            <w:noWrap/>
            <w:tcMar>
              <w:top w:w="0" w:type="dxa"/>
              <w:left w:w="144" w:type="dxa"/>
              <w:bottom w:w="0" w:type="dxa"/>
              <w:right w:w="0" w:type="dxa"/>
            </w:tcMar>
            <w:vAlign w:val="bottom"/>
          </w:tcPr>
          <w:p w:rsidR="00BC52E0" w:rsidRPr="00BC52E0" w:rsidRDefault="00BC52E0" w:rsidP="00BC52E0">
            <w:pPr>
              <w:spacing w:before="0" w:after="0" w:line="276" w:lineRule="auto"/>
              <w:jc w:val="right"/>
              <w:rPr>
                <w:bCs/>
                <w:sz w:val="18"/>
                <w:szCs w:val="18"/>
                <w:lang w:val="nl-BE"/>
              </w:rPr>
            </w:pPr>
            <w:r w:rsidRPr="00BC52E0">
              <w:rPr>
                <w:bCs/>
                <w:sz w:val="18"/>
                <w:szCs w:val="18"/>
                <w:lang w:val="nl-BE"/>
              </w:rPr>
              <w:t>31.4</w:t>
            </w:r>
          </w:p>
        </w:tc>
        <w:tc>
          <w:tcPr>
            <w:tcW w:w="754" w:type="pct"/>
            <w:gridSpan w:val="3"/>
            <w:noWrap/>
            <w:tcMar>
              <w:top w:w="0" w:type="dxa"/>
              <w:left w:w="144" w:type="dxa"/>
              <w:bottom w:w="0" w:type="dxa"/>
              <w:right w:w="0" w:type="dxa"/>
            </w:tcMar>
            <w:vAlign w:val="bottom"/>
          </w:tcPr>
          <w:p w:rsidR="00BC52E0" w:rsidRPr="00BC52E0" w:rsidRDefault="00BC52E0" w:rsidP="00BC52E0">
            <w:pPr>
              <w:spacing w:before="0" w:after="0" w:line="276" w:lineRule="auto"/>
              <w:jc w:val="right"/>
              <w:rPr>
                <w:bCs/>
                <w:sz w:val="18"/>
                <w:szCs w:val="18"/>
                <w:lang w:val="nl-BE"/>
              </w:rPr>
            </w:pPr>
            <w:r w:rsidRPr="00BC52E0">
              <w:rPr>
                <w:bCs/>
                <w:sz w:val="18"/>
                <w:szCs w:val="18"/>
                <w:lang w:val="nl-BE"/>
              </w:rPr>
              <w:t>13.9</w:t>
            </w:r>
          </w:p>
        </w:tc>
      </w:tr>
      <w:tr w:rsidR="00BC52E0" w:rsidRPr="00BC52E0" w:rsidTr="00243514">
        <w:trPr>
          <w:jc w:val="center"/>
        </w:trPr>
        <w:tc>
          <w:tcPr>
            <w:tcW w:w="3379" w:type="pct"/>
          </w:tcPr>
          <w:p w:rsidR="00BC52E0" w:rsidRPr="00BC52E0" w:rsidRDefault="00BC52E0" w:rsidP="00BC52E0">
            <w:pPr>
              <w:tabs>
                <w:tab w:val="right" w:leader="dot" w:pos="6521"/>
              </w:tabs>
              <w:spacing w:before="0" w:after="0" w:line="276" w:lineRule="auto"/>
              <w:ind w:left="240" w:right="-13" w:hanging="240"/>
              <w:rPr>
                <w:sz w:val="18"/>
                <w:szCs w:val="18"/>
                <w:lang w:val="nl-BE"/>
              </w:rPr>
            </w:pPr>
            <w:r w:rsidRPr="00BC52E0">
              <w:rPr>
                <w:sz w:val="18"/>
                <w:szCs w:val="18"/>
                <w:lang w:val="nl-BE"/>
              </w:rPr>
              <w:t>Total equity and liabilities</w:t>
            </w:r>
            <w:r w:rsidRPr="00BC52E0">
              <w:rPr>
                <w:sz w:val="18"/>
                <w:szCs w:val="18"/>
                <w:lang w:val="nl-BE"/>
              </w:rPr>
              <w:tab/>
            </w:r>
          </w:p>
        </w:tc>
        <w:tc>
          <w:tcPr>
            <w:tcW w:w="867" w:type="pct"/>
            <w:noWrap/>
            <w:tcMar>
              <w:top w:w="0" w:type="dxa"/>
              <w:left w:w="144" w:type="dxa"/>
              <w:bottom w:w="0" w:type="dxa"/>
              <w:right w:w="0" w:type="dxa"/>
            </w:tcMar>
            <w:vAlign w:val="bottom"/>
          </w:tcPr>
          <w:p w:rsidR="00BC52E0" w:rsidRPr="00BC52E0" w:rsidRDefault="00BC52E0" w:rsidP="00BC52E0">
            <w:pPr>
              <w:spacing w:before="0" w:after="0" w:line="276" w:lineRule="auto"/>
              <w:jc w:val="right"/>
              <w:rPr>
                <w:bCs/>
                <w:sz w:val="18"/>
                <w:szCs w:val="18"/>
                <w:lang w:val="nl-BE"/>
              </w:rPr>
            </w:pPr>
            <w:r w:rsidRPr="00BC52E0">
              <w:rPr>
                <w:bCs/>
                <w:sz w:val="18"/>
                <w:szCs w:val="18"/>
                <w:lang w:val="nl-BE"/>
              </w:rPr>
              <w:t>65.9</w:t>
            </w:r>
          </w:p>
        </w:tc>
        <w:tc>
          <w:tcPr>
            <w:tcW w:w="754" w:type="pct"/>
            <w:gridSpan w:val="3"/>
            <w:noWrap/>
            <w:tcMar>
              <w:top w:w="0" w:type="dxa"/>
              <w:left w:w="144" w:type="dxa"/>
              <w:bottom w:w="0" w:type="dxa"/>
              <w:right w:w="0" w:type="dxa"/>
            </w:tcMar>
            <w:vAlign w:val="bottom"/>
          </w:tcPr>
          <w:p w:rsidR="00BC52E0" w:rsidRPr="00BC52E0" w:rsidRDefault="00BC52E0" w:rsidP="00BC52E0">
            <w:pPr>
              <w:spacing w:before="0" w:after="0" w:line="276" w:lineRule="auto"/>
              <w:jc w:val="right"/>
              <w:rPr>
                <w:bCs/>
                <w:sz w:val="18"/>
                <w:szCs w:val="18"/>
                <w:lang w:val="nl-BE"/>
              </w:rPr>
            </w:pPr>
            <w:r w:rsidRPr="00BC52E0">
              <w:rPr>
                <w:bCs/>
                <w:sz w:val="18"/>
                <w:szCs w:val="18"/>
                <w:lang w:val="nl-BE"/>
              </w:rPr>
              <w:t>46.5</w:t>
            </w:r>
          </w:p>
        </w:tc>
      </w:tr>
    </w:tbl>
    <w:p w:rsidR="00BC52E0" w:rsidRPr="00BC52E0" w:rsidRDefault="00243514" w:rsidP="00BC52E0">
      <w:pPr>
        <w:tabs>
          <w:tab w:val="left" w:pos="1916"/>
        </w:tabs>
        <w:rPr>
          <w:b/>
        </w:rPr>
      </w:pPr>
      <w:r>
        <w:rPr>
          <w:b/>
        </w:rPr>
        <w:t>Working c</w:t>
      </w:r>
      <w:r w:rsidR="00BC52E0" w:rsidRPr="00BC52E0">
        <w:rPr>
          <w:b/>
        </w:rPr>
        <w:t>apital</w:t>
      </w:r>
      <w:r w:rsidR="00BC52E0" w:rsidRPr="00BC52E0">
        <w:rPr>
          <w:b/>
        </w:rPr>
        <w:tab/>
      </w:r>
    </w:p>
    <w:tbl>
      <w:tblPr>
        <w:tblpPr w:leftFromText="141" w:rightFromText="141" w:bottomFromText="200" w:vertAnchor="text" w:tblpXSpec="center" w:tblpY="1"/>
        <w:tblOverlap w:val="never"/>
        <w:tblW w:w="5102" w:type="pct"/>
        <w:tblCellMar>
          <w:left w:w="0" w:type="dxa"/>
          <w:right w:w="0" w:type="dxa"/>
        </w:tblCellMar>
        <w:tblLook w:val="04A0" w:firstRow="1" w:lastRow="0" w:firstColumn="1" w:lastColumn="0" w:noHBand="0" w:noVBand="1"/>
      </w:tblPr>
      <w:tblGrid>
        <w:gridCol w:w="217"/>
        <w:gridCol w:w="6355"/>
        <w:gridCol w:w="1208"/>
        <w:gridCol w:w="1433"/>
      </w:tblGrid>
      <w:tr w:rsidR="00BC52E0" w:rsidRPr="00BC52E0" w:rsidTr="00BC52E0">
        <w:tc>
          <w:tcPr>
            <w:tcW w:w="3566" w:type="pct"/>
            <w:gridSpan w:val="2"/>
            <w:vAlign w:val="center"/>
          </w:tcPr>
          <w:p w:rsidR="00BC52E0" w:rsidRPr="00BC52E0" w:rsidRDefault="00BC52E0" w:rsidP="00BC52E0">
            <w:pPr>
              <w:keepNext/>
              <w:tabs>
                <w:tab w:val="right" w:leader="dot" w:pos="7240"/>
              </w:tabs>
              <w:spacing w:before="0" w:after="0" w:line="276" w:lineRule="auto"/>
              <w:ind w:right="141"/>
              <w:jc w:val="left"/>
              <w:rPr>
                <w:sz w:val="18"/>
                <w:szCs w:val="18"/>
                <w:lang w:val="nl-BE"/>
              </w:rPr>
            </w:pPr>
            <w:r w:rsidRPr="00BC52E0">
              <w:rPr>
                <w:bCs/>
                <w:i/>
                <w:sz w:val="18"/>
                <w:szCs w:val="18"/>
                <w:lang w:val="nl-BE"/>
              </w:rPr>
              <w:t>(</w:t>
            </w:r>
            <w:r w:rsidR="00E53641">
              <w:rPr>
                <w:bCs/>
                <w:i/>
                <w:sz w:val="18"/>
                <w:szCs w:val="18"/>
                <w:lang w:val="nl-BE"/>
              </w:rPr>
              <w:t>EUR </w:t>
            </w:r>
            <w:r w:rsidRPr="00BC52E0">
              <w:rPr>
                <w:bCs/>
                <w:i/>
                <w:sz w:val="18"/>
                <w:szCs w:val="18"/>
                <w:lang w:val="nl-BE"/>
              </w:rPr>
              <w:t>in millions)</w:t>
            </w:r>
          </w:p>
        </w:tc>
        <w:tc>
          <w:tcPr>
            <w:tcW w:w="656" w:type="pct"/>
            <w:noWrap/>
            <w:tcMar>
              <w:top w:w="0" w:type="dxa"/>
              <w:left w:w="144" w:type="dxa"/>
              <w:bottom w:w="0" w:type="dxa"/>
              <w:right w:w="0" w:type="dxa"/>
            </w:tcMar>
            <w:vAlign w:val="bottom"/>
          </w:tcPr>
          <w:p w:rsidR="00BC52E0" w:rsidRPr="00BC52E0" w:rsidRDefault="00BC52E0" w:rsidP="00BC52E0">
            <w:pPr>
              <w:pBdr>
                <w:bottom w:val="single" w:sz="4" w:space="1" w:color="auto"/>
              </w:pBdr>
              <w:spacing w:before="0" w:after="0" w:line="276" w:lineRule="auto"/>
              <w:jc w:val="center"/>
              <w:rPr>
                <w:b/>
                <w:sz w:val="18"/>
                <w:szCs w:val="18"/>
                <w:lang w:val="nl-BE"/>
              </w:rPr>
            </w:pPr>
            <w:r w:rsidRPr="00BC52E0">
              <w:rPr>
                <w:b/>
                <w:bCs/>
                <w:sz w:val="18"/>
                <w:szCs w:val="18"/>
                <w:lang w:val="nl-BE"/>
              </w:rPr>
              <w:t xml:space="preserve">31 March </w:t>
            </w:r>
            <w:r w:rsidRPr="00BC52E0">
              <w:rPr>
                <w:b/>
                <w:bCs/>
                <w:sz w:val="18"/>
                <w:szCs w:val="18"/>
                <w:lang w:val="nl-BE"/>
              </w:rPr>
              <w:br/>
              <w:t>2015</w:t>
            </w:r>
          </w:p>
        </w:tc>
        <w:tc>
          <w:tcPr>
            <w:tcW w:w="778" w:type="pct"/>
            <w:noWrap/>
            <w:tcMar>
              <w:top w:w="0" w:type="dxa"/>
              <w:left w:w="144" w:type="dxa"/>
              <w:bottom w:w="0" w:type="dxa"/>
              <w:right w:w="0" w:type="dxa"/>
            </w:tcMar>
            <w:vAlign w:val="bottom"/>
          </w:tcPr>
          <w:p w:rsidR="00BC52E0" w:rsidRPr="00BC52E0" w:rsidRDefault="00BC52E0" w:rsidP="00BC52E0">
            <w:pPr>
              <w:pBdr>
                <w:bottom w:val="single" w:sz="4" w:space="1" w:color="auto"/>
              </w:pBdr>
              <w:tabs>
                <w:tab w:val="right" w:leader="dot" w:pos="7240"/>
              </w:tabs>
              <w:spacing w:before="0" w:after="0" w:line="276" w:lineRule="auto"/>
              <w:ind w:left="116" w:hanging="17"/>
              <w:jc w:val="center"/>
              <w:rPr>
                <w:b/>
                <w:sz w:val="18"/>
                <w:szCs w:val="18"/>
                <w:lang w:val="nl-BE"/>
              </w:rPr>
            </w:pPr>
            <w:r w:rsidRPr="00BC52E0">
              <w:rPr>
                <w:b/>
                <w:bCs/>
                <w:sz w:val="18"/>
                <w:szCs w:val="18"/>
                <w:lang w:val="nl-BE"/>
              </w:rPr>
              <w:t xml:space="preserve">30 September </w:t>
            </w:r>
            <w:r w:rsidRPr="00BC52E0">
              <w:rPr>
                <w:b/>
                <w:bCs/>
                <w:sz w:val="18"/>
                <w:szCs w:val="18"/>
                <w:lang w:val="nl-BE"/>
              </w:rPr>
              <w:br/>
              <w:t>2014</w:t>
            </w:r>
          </w:p>
        </w:tc>
      </w:tr>
      <w:tr w:rsidR="00BC52E0" w:rsidRPr="00BC52E0" w:rsidTr="00BC52E0">
        <w:tc>
          <w:tcPr>
            <w:tcW w:w="3566" w:type="pct"/>
            <w:gridSpan w:val="2"/>
            <w:vAlign w:val="bottom"/>
          </w:tcPr>
          <w:p w:rsidR="00BC52E0" w:rsidRPr="00BC52E0" w:rsidRDefault="00BC52E0" w:rsidP="00BC52E0">
            <w:pPr>
              <w:keepNext/>
              <w:tabs>
                <w:tab w:val="right" w:leader="dot" w:pos="7240"/>
              </w:tabs>
              <w:spacing w:before="0" w:after="0" w:line="276" w:lineRule="auto"/>
              <w:ind w:right="141"/>
              <w:rPr>
                <w:sz w:val="18"/>
                <w:szCs w:val="18"/>
                <w:lang w:val="nl-BE"/>
              </w:rPr>
            </w:pPr>
            <w:r w:rsidRPr="00BC52E0">
              <w:rPr>
                <w:sz w:val="18"/>
                <w:szCs w:val="18"/>
                <w:lang w:val="nl-BE"/>
              </w:rPr>
              <w:t>Inventories</w:t>
            </w:r>
            <w:r w:rsidRPr="00BC52E0">
              <w:rPr>
                <w:sz w:val="18"/>
                <w:szCs w:val="18"/>
                <w:lang w:val="nl-BE"/>
              </w:rPr>
              <w:tab/>
            </w:r>
          </w:p>
        </w:tc>
        <w:tc>
          <w:tcPr>
            <w:tcW w:w="656" w:type="pct"/>
            <w:noWrap/>
            <w:tcMar>
              <w:top w:w="0" w:type="dxa"/>
              <w:left w:w="144" w:type="dxa"/>
              <w:bottom w:w="0" w:type="dxa"/>
              <w:right w:w="0" w:type="dxa"/>
            </w:tcMar>
            <w:vAlign w:val="bottom"/>
          </w:tcPr>
          <w:p w:rsidR="00BC52E0" w:rsidRPr="00BC52E0" w:rsidRDefault="00BC52E0" w:rsidP="00BC52E0">
            <w:pPr>
              <w:spacing w:before="0" w:after="0" w:line="276" w:lineRule="auto"/>
              <w:ind w:right="140"/>
              <w:jc w:val="right"/>
              <w:rPr>
                <w:sz w:val="18"/>
                <w:szCs w:val="18"/>
                <w:lang w:val="nl-BE"/>
              </w:rPr>
            </w:pPr>
            <w:r w:rsidRPr="00BC52E0">
              <w:rPr>
                <w:sz w:val="18"/>
                <w:szCs w:val="18"/>
                <w:lang w:val="nl-BE"/>
              </w:rPr>
              <w:t>14.4</w:t>
            </w:r>
          </w:p>
        </w:tc>
        <w:tc>
          <w:tcPr>
            <w:tcW w:w="778" w:type="pct"/>
            <w:noWrap/>
            <w:tcMar>
              <w:top w:w="0" w:type="dxa"/>
              <w:left w:w="144" w:type="dxa"/>
              <w:bottom w:w="0" w:type="dxa"/>
              <w:right w:w="0" w:type="dxa"/>
            </w:tcMar>
            <w:vAlign w:val="bottom"/>
          </w:tcPr>
          <w:p w:rsidR="00BC52E0" w:rsidRPr="00BC52E0" w:rsidRDefault="00BC52E0" w:rsidP="00BC52E0">
            <w:pPr>
              <w:spacing w:before="0" w:after="0" w:line="276" w:lineRule="auto"/>
              <w:ind w:right="140"/>
              <w:jc w:val="right"/>
              <w:rPr>
                <w:sz w:val="18"/>
                <w:szCs w:val="18"/>
                <w:lang w:val="nl-BE"/>
              </w:rPr>
            </w:pPr>
            <w:r w:rsidRPr="00BC52E0">
              <w:rPr>
                <w:sz w:val="18"/>
                <w:szCs w:val="18"/>
                <w:lang w:val="nl-BE"/>
              </w:rPr>
              <w:t>9.9</w:t>
            </w:r>
          </w:p>
        </w:tc>
      </w:tr>
      <w:tr w:rsidR="00BC52E0" w:rsidRPr="00BC52E0" w:rsidTr="00BC52E0">
        <w:tc>
          <w:tcPr>
            <w:tcW w:w="3566" w:type="pct"/>
            <w:gridSpan w:val="2"/>
            <w:vAlign w:val="bottom"/>
          </w:tcPr>
          <w:p w:rsidR="00BC52E0" w:rsidRPr="00BC52E0" w:rsidRDefault="00BC52E0" w:rsidP="00BC52E0">
            <w:pPr>
              <w:keepNext/>
              <w:tabs>
                <w:tab w:val="right" w:leader="dot" w:pos="7240"/>
              </w:tabs>
              <w:spacing w:before="0" w:after="0" w:line="276" w:lineRule="auto"/>
              <w:ind w:right="141"/>
              <w:rPr>
                <w:sz w:val="18"/>
                <w:szCs w:val="18"/>
                <w:lang w:val="nl-BE"/>
              </w:rPr>
            </w:pPr>
            <w:r w:rsidRPr="00BC52E0">
              <w:rPr>
                <w:sz w:val="18"/>
                <w:szCs w:val="18"/>
                <w:lang w:val="nl-BE"/>
              </w:rPr>
              <w:t>Trade receivables</w:t>
            </w:r>
            <w:r w:rsidRPr="00BC52E0">
              <w:rPr>
                <w:sz w:val="18"/>
                <w:szCs w:val="18"/>
                <w:lang w:val="nl-BE"/>
              </w:rPr>
              <w:tab/>
            </w:r>
          </w:p>
        </w:tc>
        <w:tc>
          <w:tcPr>
            <w:tcW w:w="656" w:type="pct"/>
            <w:noWrap/>
            <w:tcMar>
              <w:top w:w="0" w:type="dxa"/>
              <w:left w:w="144" w:type="dxa"/>
              <w:bottom w:w="0" w:type="dxa"/>
              <w:right w:w="0" w:type="dxa"/>
            </w:tcMar>
            <w:vAlign w:val="bottom"/>
          </w:tcPr>
          <w:p w:rsidR="00BC52E0" w:rsidRPr="00BC52E0" w:rsidRDefault="00BC52E0" w:rsidP="00BC52E0">
            <w:pPr>
              <w:spacing w:before="0" w:after="0" w:line="276" w:lineRule="auto"/>
              <w:ind w:right="140"/>
              <w:jc w:val="right"/>
              <w:rPr>
                <w:sz w:val="18"/>
                <w:szCs w:val="18"/>
                <w:lang w:val="nl-BE"/>
              </w:rPr>
            </w:pPr>
            <w:r w:rsidRPr="00BC52E0">
              <w:rPr>
                <w:sz w:val="18"/>
                <w:szCs w:val="18"/>
                <w:lang w:val="nl-BE"/>
              </w:rPr>
              <w:t>20.3</w:t>
            </w:r>
          </w:p>
        </w:tc>
        <w:tc>
          <w:tcPr>
            <w:tcW w:w="778" w:type="pct"/>
            <w:noWrap/>
            <w:tcMar>
              <w:top w:w="0" w:type="dxa"/>
              <w:left w:w="144" w:type="dxa"/>
              <w:bottom w:w="0" w:type="dxa"/>
              <w:right w:w="0" w:type="dxa"/>
            </w:tcMar>
            <w:vAlign w:val="bottom"/>
          </w:tcPr>
          <w:p w:rsidR="00BC52E0" w:rsidRPr="00BC52E0" w:rsidRDefault="00BC52E0" w:rsidP="00BC52E0">
            <w:pPr>
              <w:spacing w:before="0" w:after="0" w:line="276" w:lineRule="auto"/>
              <w:ind w:right="140"/>
              <w:jc w:val="right"/>
              <w:rPr>
                <w:sz w:val="18"/>
                <w:szCs w:val="18"/>
                <w:lang w:val="nl-BE"/>
              </w:rPr>
            </w:pPr>
            <w:r w:rsidRPr="00BC52E0">
              <w:rPr>
                <w:sz w:val="18"/>
                <w:szCs w:val="18"/>
                <w:lang w:val="nl-BE"/>
              </w:rPr>
              <w:t>7.3</w:t>
            </w:r>
          </w:p>
        </w:tc>
      </w:tr>
      <w:tr w:rsidR="00BC52E0" w:rsidRPr="00BC52E0" w:rsidTr="00BC52E0">
        <w:tc>
          <w:tcPr>
            <w:tcW w:w="3566" w:type="pct"/>
            <w:gridSpan w:val="2"/>
            <w:vAlign w:val="bottom"/>
          </w:tcPr>
          <w:p w:rsidR="00BC52E0" w:rsidRPr="00BC52E0" w:rsidRDefault="00BC52E0" w:rsidP="00BC52E0">
            <w:pPr>
              <w:tabs>
                <w:tab w:val="right" w:leader="dot" w:pos="7240"/>
              </w:tabs>
              <w:spacing w:before="0" w:after="0" w:line="276" w:lineRule="auto"/>
              <w:ind w:right="141"/>
              <w:rPr>
                <w:sz w:val="18"/>
                <w:szCs w:val="18"/>
              </w:rPr>
            </w:pPr>
            <w:r w:rsidRPr="00BC52E0">
              <w:rPr>
                <w:sz w:val="18"/>
                <w:szCs w:val="18"/>
              </w:rPr>
              <w:t>Trade payables, including advances and prepayments to suppliers</w:t>
            </w:r>
            <w:r w:rsidRPr="00BC52E0">
              <w:rPr>
                <w:sz w:val="18"/>
                <w:szCs w:val="18"/>
              </w:rPr>
              <w:tab/>
            </w:r>
          </w:p>
        </w:tc>
        <w:tc>
          <w:tcPr>
            <w:tcW w:w="656" w:type="pct"/>
            <w:noWrap/>
            <w:tcMar>
              <w:top w:w="0" w:type="dxa"/>
              <w:left w:w="144" w:type="dxa"/>
              <w:bottom w:w="0" w:type="dxa"/>
              <w:right w:w="0" w:type="dxa"/>
            </w:tcMar>
            <w:vAlign w:val="bottom"/>
          </w:tcPr>
          <w:p w:rsidR="00BC52E0" w:rsidRPr="00BC52E0" w:rsidRDefault="00BC52E0" w:rsidP="00BC52E0">
            <w:pPr>
              <w:spacing w:before="0" w:after="0" w:line="276" w:lineRule="auto"/>
              <w:ind w:right="140"/>
              <w:jc w:val="right"/>
              <w:rPr>
                <w:sz w:val="18"/>
                <w:szCs w:val="18"/>
                <w:lang w:val="nl-BE"/>
              </w:rPr>
            </w:pPr>
            <w:r w:rsidRPr="00BC52E0">
              <w:rPr>
                <w:sz w:val="18"/>
                <w:szCs w:val="18"/>
                <w:lang w:val="nl-BE"/>
              </w:rPr>
              <w:t>(15.7)</w:t>
            </w:r>
          </w:p>
        </w:tc>
        <w:tc>
          <w:tcPr>
            <w:tcW w:w="778" w:type="pct"/>
            <w:noWrap/>
            <w:tcMar>
              <w:top w:w="0" w:type="dxa"/>
              <w:left w:w="144" w:type="dxa"/>
              <w:bottom w:w="0" w:type="dxa"/>
              <w:right w:w="0" w:type="dxa"/>
            </w:tcMar>
            <w:vAlign w:val="bottom"/>
          </w:tcPr>
          <w:p w:rsidR="00BC52E0" w:rsidRPr="00BC52E0" w:rsidRDefault="00BC52E0" w:rsidP="00BC52E0">
            <w:pPr>
              <w:spacing w:before="0" w:after="0" w:line="276" w:lineRule="auto"/>
              <w:ind w:right="140"/>
              <w:jc w:val="right"/>
              <w:rPr>
                <w:sz w:val="18"/>
                <w:szCs w:val="18"/>
                <w:lang w:val="nl-BE"/>
              </w:rPr>
            </w:pPr>
            <w:r w:rsidRPr="00BC52E0">
              <w:rPr>
                <w:sz w:val="18"/>
                <w:szCs w:val="18"/>
                <w:lang w:val="nl-BE"/>
              </w:rPr>
              <w:t>(8.3)</w:t>
            </w:r>
          </w:p>
        </w:tc>
      </w:tr>
      <w:tr w:rsidR="00BC52E0" w:rsidRPr="00BC52E0" w:rsidTr="00BC52E0">
        <w:tc>
          <w:tcPr>
            <w:tcW w:w="3566" w:type="pct"/>
            <w:gridSpan w:val="2"/>
            <w:vAlign w:val="bottom"/>
          </w:tcPr>
          <w:p w:rsidR="00BC52E0" w:rsidRPr="00BC52E0" w:rsidRDefault="00BC52E0" w:rsidP="00BC52E0">
            <w:pPr>
              <w:tabs>
                <w:tab w:val="right" w:leader="dot" w:pos="7240"/>
              </w:tabs>
              <w:spacing w:before="0" w:after="0" w:line="276" w:lineRule="auto"/>
              <w:ind w:right="141"/>
              <w:rPr>
                <w:sz w:val="18"/>
                <w:szCs w:val="18"/>
              </w:rPr>
            </w:pPr>
            <w:r w:rsidRPr="00BC52E0">
              <w:rPr>
                <w:sz w:val="18"/>
                <w:szCs w:val="18"/>
              </w:rPr>
              <w:t xml:space="preserve">Other short term receivables, trade related prepayments, social and other payables </w:t>
            </w:r>
            <w:r w:rsidRPr="00BC52E0">
              <w:rPr>
                <w:sz w:val="18"/>
                <w:szCs w:val="18"/>
              </w:rPr>
              <w:tab/>
            </w:r>
          </w:p>
        </w:tc>
        <w:tc>
          <w:tcPr>
            <w:tcW w:w="656" w:type="pct"/>
            <w:noWrap/>
            <w:tcMar>
              <w:top w:w="0" w:type="dxa"/>
              <w:left w:w="144" w:type="dxa"/>
              <w:bottom w:w="0" w:type="dxa"/>
              <w:right w:w="0" w:type="dxa"/>
            </w:tcMar>
            <w:vAlign w:val="bottom"/>
          </w:tcPr>
          <w:p w:rsidR="00BC52E0" w:rsidRPr="00BC52E0" w:rsidRDefault="00BC52E0" w:rsidP="00BC52E0">
            <w:pPr>
              <w:spacing w:before="0" w:after="0" w:line="276" w:lineRule="auto"/>
              <w:ind w:right="140"/>
              <w:jc w:val="right"/>
              <w:rPr>
                <w:sz w:val="18"/>
                <w:szCs w:val="18"/>
                <w:lang w:val="nl-BE"/>
              </w:rPr>
            </w:pPr>
            <w:r w:rsidRPr="00BC52E0">
              <w:rPr>
                <w:sz w:val="18"/>
                <w:szCs w:val="18"/>
                <w:lang w:val="nl-BE"/>
              </w:rPr>
              <w:t>2.0</w:t>
            </w:r>
          </w:p>
        </w:tc>
        <w:tc>
          <w:tcPr>
            <w:tcW w:w="778" w:type="pct"/>
            <w:noWrap/>
            <w:tcMar>
              <w:top w:w="0" w:type="dxa"/>
              <w:left w:w="144" w:type="dxa"/>
              <w:bottom w:w="0" w:type="dxa"/>
              <w:right w:w="0" w:type="dxa"/>
            </w:tcMar>
            <w:vAlign w:val="bottom"/>
          </w:tcPr>
          <w:p w:rsidR="00BC52E0" w:rsidRPr="00BC52E0" w:rsidRDefault="00BC52E0" w:rsidP="00BC52E0">
            <w:pPr>
              <w:spacing w:before="0" w:after="0" w:line="276" w:lineRule="auto"/>
              <w:ind w:right="140"/>
              <w:jc w:val="right"/>
              <w:rPr>
                <w:sz w:val="18"/>
                <w:szCs w:val="18"/>
                <w:lang w:val="nl-BE"/>
              </w:rPr>
            </w:pPr>
            <w:r w:rsidRPr="00BC52E0">
              <w:rPr>
                <w:sz w:val="18"/>
                <w:szCs w:val="18"/>
                <w:lang w:val="nl-BE"/>
              </w:rPr>
              <w:t>(0.5)</w:t>
            </w:r>
          </w:p>
        </w:tc>
      </w:tr>
      <w:tr w:rsidR="00BC52E0" w:rsidRPr="00BC52E0" w:rsidTr="00BC52E0">
        <w:tc>
          <w:tcPr>
            <w:tcW w:w="3566" w:type="pct"/>
            <w:gridSpan w:val="2"/>
            <w:tcMar>
              <w:top w:w="0" w:type="dxa"/>
              <w:left w:w="144" w:type="dxa"/>
              <w:bottom w:w="0" w:type="dxa"/>
              <w:right w:w="0" w:type="dxa"/>
            </w:tcMar>
            <w:vAlign w:val="bottom"/>
          </w:tcPr>
          <w:p w:rsidR="00BC52E0" w:rsidRPr="00BC52E0" w:rsidRDefault="00BC52E0" w:rsidP="00BC52E0">
            <w:pPr>
              <w:tabs>
                <w:tab w:val="right" w:pos="620"/>
                <w:tab w:val="decimal" w:pos="660"/>
              </w:tabs>
              <w:spacing w:before="0" w:after="0" w:line="276" w:lineRule="auto"/>
              <w:ind w:right="141"/>
              <w:jc w:val="right"/>
              <w:rPr>
                <w:sz w:val="18"/>
                <w:szCs w:val="18"/>
                <w:lang w:val="nl-BE"/>
              </w:rPr>
            </w:pPr>
            <w:r w:rsidRPr="00BC52E0">
              <w:rPr>
                <w:sz w:val="18"/>
                <w:szCs w:val="18"/>
                <w:lang w:val="nl-BE"/>
              </w:rPr>
              <w:t> </w:t>
            </w:r>
          </w:p>
        </w:tc>
        <w:tc>
          <w:tcPr>
            <w:tcW w:w="656" w:type="pct"/>
            <w:tcMar>
              <w:top w:w="0" w:type="dxa"/>
              <w:left w:w="144" w:type="dxa"/>
              <w:bottom w:w="0" w:type="dxa"/>
              <w:right w:w="0" w:type="dxa"/>
            </w:tcMar>
            <w:vAlign w:val="bottom"/>
          </w:tcPr>
          <w:p w:rsidR="00BC52E0" w:rsidRPr="00BC52E0" w:rsidRDefault="00BC52E0" w:rsidP="00BC52E0">
            <w:pPr>
              <w:pBdr>
                <w:top w:val="single" w:sz="8" w:space="1" w:color="auto"/>
              </w:pBdr>
              <w:tabs>
                <w:tab w:val="right" w:pos="720"/>
                <w:tab w:val="decimal" w:pos="760"/>
              </w:tabs>
              <w:spacing w:before="0" w:after="0" w:line="276" w:lineRule="auto"/>
              <w:jc w:val="right"/>
              <w:rPr>
                <w:sz w:val="18"/>
                <w:szCs w:val="18"/>
                <w:lang w:val="nl-BE"/>
              </w:rPr>
            </w:pPr>
            <w:r w:rsidRPr="00BC52E0">
              <w:rPr>
                <w:sz w:val="18"/>
                <w:szCs w:val="18"/>
                <w:lang w:val="nl-BE"/>
              </w:rPr>
              <w:t> </w:t>
            </w:r>
          </w:p>
        </w:tc>
        <w:tc>
          <w:tcPr>
            <w:tcW w:w="778" w:type="pct"/>
            <w:tcMar>
              <w:top w:w="0" w:type="dxa"/>
              <w:left w:w="144" w:type="dxa"/>
              <w:bottom w:w="0" w:type="dxa"/>
              <w:right w:w="0" w:type="dxa"/>
            </w:tcMar>
            <w:vAlign w:val="bottom"/>
          </w:tcPr>
          <w:p w:rsidR="00BC52E0" w:rsidRPr="00BC52E0" w:rsidRDefault="00BC52E0" w:rsidP="00BC52E0">
            <w:pPr>
              <w:pBdr>
                <w:top w:val="single" w:sz="8" w:space="1" w:color="auto"/>
              </w:pBdr>
              <w:tabs>
                <w:tab w:val="right" w:pos="720"/>
                <w:tab w:val="decimal" w:pos="760"/>
              </w:tabs>
              <w:spacing w:before="0" w:after="0" w:line="276" w:lineRule="auto"/>
              <w:jc w:val="right"/>
              <w:rPr>
                <w:sz w:val="18"/>
                <w:szCs w:val="18"/>
                <w:lang w:val="nl-BE"/>
              </w:rPr>
            </w:pPr>
            <w:r w:rsidRPr="00BC52E0">
              <w:rPr>
                <w:sz w:val="18"/>
                <w:szCs w:val="18"/>
                <w:lang w:val="nl-BE"/>
              </w:rPr>
              <w:t> </w:t>
            </w:r>
          </w:p>
        </w:tc>
      </w:tr>
      <w:tr w:rsidR="00BC52E0" w:rsidRPr="00BC52E0" w:rsidTr="00BC52E0">
        <w:tc>
          <w:tcPr>
            <w:tcW w:w="3566" w:type="pct"/>
            <w:gridSpan w:val="2"/>
            <w:vAlign w:val="bottom"/>
          </w:tcPr>
          <w:p w:rsidR="00BC52E0" w:rsidRPr="00BC52E0" w:rsidRDefault="00BC52E0" w:rsidP="00BC52E0">
            <w:pPr>
              <w:tabs>
                <w:tab w:val="right" w:leader="dot" w:pos="7240"/>
              </w:tabs>
              <w:spacing w:before="0" w:after="0" w:line="276" w:lineRule="auto"/>
              <w:ind w:right="141"/>
              <w:rPr>
                <w:sz w:val="18"/>
                <w:szCs w:val="18"/>
                <w:lang w:val="nl-BE"/>
              </w:rPr>
            </w:pPr>
            <w:r w:rsidRPr="00BC52E0">
              <w:rPr>
                <w:b/>
                <w:bCs/>
                <w:sz w:val="18"/>
                <w:szCs w:val="18"/>
                <w:lang w:val="nl-BE"/>
              </w:rPr>
              <w:lastRenderedPageBreak/>
              <w:t>Trade working capital</w:t>
            </w:r>
            <w:r w:rsidRPr="00BC52E0">
              <w:rPr>
                <w:bCs/>
                <w:sz w:val="18"/>
                <w:szCs w:val="18"/>
                <w:lang w:val="nl-BE"/>
              </w:rPr>
              <w:tab/>
            </w:r>
          </w:p>
        </w:tc>
        <w:tc>
          <w:tcPr>
            <w:tcW w:w="656" w:type="pct"/>
            <w:noWrap/>
            <w:tcMar>
              <w:top w:w="0" w:type="dxa"/>
              <w:left w:w="144" w:type="dxa"/>
              <w:bottom w:w="0" w:type="dxa"/>
              <w:right w:w="0" w:type="dxa"/>
            </w:tcMar>
            <w:vAlign w:val="bottom"/>
          </w:tcPr>
          <w:p w:rsidR="00BC52E0" w:rsidRPr="00BC52E0" w:rsidRDefault="00BC52E0" w:rsidP="00BC52E0">
            <w:pPr>
              <w:spacing w:before="0" w:after="0" w:line="276" w:lineRule="auto"/>
              <w:ind w:right="140"/>
              <w:jc w:val="right"/>
              <w:rPr>
                <w:b/>
                <w:sz w:val="18"/>
                <w:szCs w:val="18"/>
                <w:lang w:val="nl-BE"/>
              </w:rPr>
            </w:pPr>
            <w:r w:rsidRPr="00BC52E0">
              <w:rPr>
                <w:b/>
                <w:sz w:val="18"/>
                <w:szCs w:val="18"/>
                <w:lang w:val="nl-BE"/>
              </w:rPr>
              <w:t>21.0</w:t>
            </w:r>
          </w:p>
        </w:tc>
        <w:tc>
          <w:tcPr>
            <w:tcW w:w="778" w:type="pct"/>
            <w:noWrap/>
            <w:tcMar>
              <w:top w:w="0" w:type="dxa"/>
              <w:left w:w="144" w:type="dxa"/>
              <w:bottom w:w="0" w:type="dxa"/>
              <w:right w:w="0" w:type="dxa"/>
            </w:tcMar>
            <w:vAlign w:val="bottom"/>
          </w:tcPr>
          <w:p w:rsidR="00BC52E0" w:rsidRPr="00BC52E0" w:rsidRDefault="00BC52E0" w:rsidP="00BC52E0">
            <w:pPr>
              <w:spacing w:before="0" w:after="0" w:line="276" w:lineRule="auto"/>
              <w:ind w:right="140"/>
              <w:jc w:val="right"/>
              <w:rPr>
                <w:b/>
                <w:sz w:val="18"/>
                <w:szCs w:val="18"/>
                <w:lang w:val="nl-BE"/>
              </w:rPr>
            </w:pPr>
            <w:r w:rsidRPr="00BC52E0">
              <w:rPr>
                <w:b/>
                <w:sz w:val="18"/>
                <w:szCs w:val="18"/>
                <w:lang w:val="nl-BE"/>
              </w:rPr>
              <w:t>8.4</w:t>
            </w:r>
          </w:p>
        </w:tc>
      </w:tr>
      <w:tr w:rsidR="00BC52E0" w:rsidRPr="00BC52E0" w:rsidTr="00BC52E0">
        <w:trPr>
          <w:gridBefore w:val="1"/>
          <w:wBefore w:w="118" w:type="pct"/>
        </w:trPr>
        <w:tc>
          <w:tcPr>
            <w:tcW w:w="3448" w:type="pct"/>
            <w:tcMar>
              <w:top w:w="0" w:type="dxa"/>
              <w:left w:w="144" w:type="dxa"/>
              <w:bottom w:w="0" w:type="dxa"/>
              <w:right w:w="0" w:type="dxa"/>
            </w:tcMar>
            <w:vAlign w:val="bottom"/>
          </w:tcPr>
          <w:p w:rsidR="00BC52E0" w:rsidRPr="00BC52E0" w:rsidRDefault="00BC52E0" w:rsidP="00BC52E0">
            <w:pPr>
              <w:tabs>
                <w:tab w:val="right" w:pos="620"/>
                <w:tab w:val="decimal" w:pos="660"/>
              </w:tabs>
              <w:spacing w:before="0" w:after="0" w:line="276" w:lineRule="auto"/>
              <w:ind w:left="140"/>
              <w:jc w:val="right"/>
              <w:rPr>
                <w:sz w:val="18"/>
                <w:szCs w:val="18"/>
                <w:lang w:val="nl-BE"/>
              </w:rPr>
            </w:pPr>
            <w:r w:rsidRPr="00BC52E0">
              <w:rPr>
                <w:sz w:val="18"/>
                <w:szCs w:val="18"/>
                <w:lang w:val="nl-BE"/>
              </w:rPr>
              <w:t> </w:t>
            </w:r>
          </w:p>
        </w:tc>
        <w:tc>
          <w:tcPr>
            <w:tcW w:w="656" w:type="pct"/>
            <w:tcMar>
              <w:top w:w="0" w:type="dxa"/>
              <w:left w:w="144" w:type="dxa"/>
              <w:bottom w:w="0" w:type="dxa"/>
              <w:right w:w="0" w:type="dxa"/>
            </w:tcMar>
            <w:vAlign w:val="bottom"/>
          </w:tcPr>
          <w:p w:rsidR="00BC52E0" w:rsidRPr="00BC52E0" w:rsidRDefault="00BC52E0" w:rsidP="00BC52E0">
            <w:pPr>
              <w:pBdr>
                <w:top w:val="double" w:sz="6" w:space="1" w:color="auto"/>
              </w:pBdr>
              <w:tabs>
                <w:tab w:val="right" w:pos="620"/>
                <w:tab w:val="decimal" w:pos="660"/>
              </w:tabs>
              <w:spacing w:before="0" w:after="0" w:line="276" w:lineRule="auto"/>
              <w:jc w:val="right"/>
              <w:rPr>
                <w:sz w:val="18"/>
                <w:szCs w:val="18"/>
                <w:lang w:val="nl-BE"/>
              </w:rPr>
            </w:pPr>
            <w:r w:rsidRPr="00BC52E0">
              <w:rPr>
                <w:sz w:val="18"/>
                <w:szCs w:val="18"/>
                <w:lang w:val="nl-BE"/>
              </w:rPr>
              <w:t> </w:t>
            </w:r>
          </w:p>
        </w:tc>
        <w:tc>
          <w:tcPr>
            <w:tcW w:w="778" w:type="pct"/>
            <w:tcMar>
              <w:top w:w="0" w:type="dxa"/>
              <w:left w:w="144" w:type="dxa"/>
              <w:bottom w:w="0" w:type="dxa"/>
              <w:right w:w="0" w:type="dxa"/>
            </w:tcMar>
            <w:vAlign w:val="bottom"/>
          </w:tcPr>
          <w:p w:rsidR="00BC52E0" w:rsidRPr="00BC52E0" w:rsidRDefault="00BC52E0" w:rsidP="00BC52E0">
            <w:pPr>
              <w:pBdr>
                <w:top w:val="double" w:sz="6" w:space="1" w:color="auto"/>
              </w:pBdr>
              <w:tabs>
                <w:tab w:val="right" w:pos="620"/>
                <w:tab w:val="decimal" w:pos="660"/>
              </w:tabs>
              <w:spacing w:before="0" w:after="0" w:line="276" w:lineRule="auto"/>
              <w:jc w:val="right"/>
              <w:rPr>
                <w:sz w:val="18"/>
                <w:szCs w:val="18"/>
                <w:lang w:val="nl-BE"/>
              </w:rPr>
            </w:pPr>
            <w:r w:rsidRPr="00BC52E0">
              <w:rPr>
                <w:sz w:val="18"/>
                <w:szCs w:val="18"/>
                <w:lang w:val="nl-BE"/>
              </w:rPr>
              <w:t> </w:t>
            </w:r>
          </w:p>
        </w:tc>
      </w:tr>
    </w:tbl>
    <w:p w:rsidR="00BC52E0" w:rsidRPr="00BC52E0" w:rsidRDefault="00243514" w:rsidP="00243514">
      <w:pPr>
        <w:tabs>
          <w:tab w:val="left" w:pos="1916"/>
        </w:tabs>
        <w:rPr>
          <w:b/>
        </w:rPr>
      </w:pPr>
      <w:r w:rsidRPr="00243514">
        <w:rPr>
          <w:b/>
        </w:rPr>
        <w:t>Cash flow</w:t>
      </w:r>
    </w:p>
    <w:tbl>
      <w:tblPr>
        <w:tblW w:w="5000" w:type="pct"/>
        <w:tblLook w:val="04A0" w:firstRow="1" w:lastRow="0" w:firstColumn="1" w:lastColumn="0" w:noHBand="0" w:noVBand="1"/>
      </w:tblPr>
      <w:tblGrid>
        <w:gridCol w:w="5225"/>
        <w:gridCol w:w="2404"/>
        <w:gridCol w:w="1616"/>
      </w:tblGrid>
      <w:tr w:rsidR="00BC52E0" w:rsidRPr="00BC52E0" w:rsidTr="00BC52E0">
        <w:tc>
          <w:tcPr>
            <w:tcW w:w="2826" w:type="pct"/>
            <w:vAlign w:val="center"/>
          </w:tcPr>
          <w:p w:rsidR="00BC52E0" w:rsidRPr="00BC52E0" w:rsidRDefault="00BC52E0" w:rsidP="00BC52E0">
            <w:pPr>
              <w:keepNext/>
              <w:spacing w:before="0" w:after="0" w:line="276" w:lineRule="auto"/>
              <w:ind w:left="240" w:hanging="240"/>
              <w:jc w:val="left"/>
              <w:rPr>
                <w:bCs/>
                <w:i/>
                <w:sz w:val="18"/>
                <w:szCs w:val="18"/>
                <w:lang w:val="nl-BE"/>
              </w:rPr>
            </w:pPr>
            <w:r w:rsidRPr="00BC52E0">
              <w:rPr>
                <w:bCs/>
                <w:i/>
                <w:sz w:val="18"/>
                <w:szCs w:val="18"/>
                <w:lang w:val="nl-BE"/>
              </w:rPr>
              <w:t xml:space="preserve"> (</w:t>
            </w:r>
            <w:r w:rsidR="00E53641">
              <w:rPr>
                <w:bCs/>
                <w:i/>
                <w:sz w:val="18"/>
                <w:szCs w:val="18"/>
                <w:lang w:val="nl-BE"/>
              </w:rPr>
              <w:t>EUR </w:t>
            </w:r>
            <w:r w:rsidRPr="00BC52E0">
              <w:rPr>
                <w:bCs/>
                <w:i/>
                <w:sz w:val="18"/>
                <w:szCs w:val="18"/>
                <w:lang w:val="nl-BE"/>
              </w:rPr>
              <w:t>in millions)</w:t>
            </w:r>
          </w:p>
        </w:tc>
        <w:tc>
          <w:tcPr>
            <w:tcW w:w="1300" w:type="pct"/>
            <w:vAlign w:val="bottom"/>
          </w:tcPr>
          <w:p w:rsidR="00BC52E0" w:rsidRPr="00BC52E0" w:rsidRDefault="00BC52E0" w:rsidP="00BC52E0">
            <w:pPr>
              <w:pBdr>
                <w:bottom w:val="single" w:sz="4" w:space="1" w:color="auto"/>
              </w:pBdr>
              <w:spacing w:before="0" w:after="0" w:line="276" w:lineRule="auto"/>
              <w:jc w:val="center"/>
              <w:rPr>
                <w:b/>
                <w:sz w:val="18"/>
                <w:szCs w:val="18"/>
                <w:lang w:val="nl-BE"/>
              </w:rPr>
            </w:pPr>
            <w:r w:rsidRPr="00BC52E0">
              <w:rPr>
                <w:b/>
                <w:bCs/>
                <w:sz w:val="18"/>
                <w:szCs w:val="18"/>
                <w:lang w:val="nl-BE"/>
              </w:rPr>
              <w:t xml:space="preserve">Year ended </w:t>
            </w:r>
            <w:r w:rsidRPr="00BC52E0">
              <w:rPr>
                <w:b/>
                <w:bCs/>
                <w:sz w:val="18"/>
                <w:szCs w:val="18"/>
                <w:lang w:val="nl-BE"/>
              </w:rPr>
              <w:br/>
              <w:t xml:space="preserve">31 March </w:t>
            </w:r>
            <w:r w:rsidRPr="00BC52E0">
              <w:rPr>
                <w:b/>
                <w:bCs/>
                <w:sz w:val="18"/>
                <w:szCs w:val="18"/>
                <w:lang w:val="nl-BE"/>
              </w:rPr>
              <w:br/>
            </w:r>
            <w:r w:rsidRPr="00BC52E0">
              <w:rPr>
                <w:b/>
                <w:sz w:val="18"/>
                <w:szCs w:val="18"/>
                <w:lang w:val="nl-BE"/>
              </w:rPr>
              <w:t>2015</w:t>
            </w:r>
          </w:p>
        </w:tc>
        <w:tc>
          <w:tcPr>
            <w:tcW w:w="874" w:type="pct"/>
            <w:vAlign w:val="bottom"/>
          </w:tcPr>
          <w:p w:rsidR="00BC52E0" w:rsidRPr="00BC52E0" w:rsidRDefault="00BC52E0" w:rsidP="00BC52E0">
            <w:pPr>
              <w:pBdr>
                <w:bottom w:val="single" w:sz="4" w:space="1" w:color="auto"/>
              </w:pBdr>
              <w:spacing w:before="0" w:after="0" w:line="276" w:lineRule="auto"/>
              <w:jc w:val="center"/>
              <w:rPr>
                <w:b/>
                <w:sz w:val="18"/>
                <w:szCs w:val="18"/>
                <w:lang w:val="nl-BE"/>
              </w:rPr>
            </w:pPr>
            <w:r w:rsidRPr="00BC52E0">
              <w:rPr>
                <w:b/>
                <w:bCs/>
                <w:sz w:val="18"/>
                <w:szCs w:val="18"/>
                <w:lang w:val="nl-BE"/>
              </w:rPr>
              <w:t xml:space="preserve">Year ended </w:t>
            </w:r>
            <w:r w:rsidRPr="00BC52E0">
              <w:rPr>
                <w:b/>
                <w:bCs/>
                <w:sz w:val="18"/>
                <w:szCs w:val="18"/>
                <w:lang w:val="nl-BE"/>
              </w:rPr>
              <w:br/>
              <w:t xml:space="preserve">30 September </w:t>
            </w:r>
            <w:r w:rsidRPr="00BC52E0">
              <w:rPr>
                <w:b/>
                <w:bCs/>
                <w:sz w:val="18"/>
                <w:szCs w:val="18"/>
                <w:lang w:val="nl-BE"/>
              </w:rPr>
              <w:br/>
            </w:r>
            <w:r w:rsidRPr="00BC52E0">
              <w:rPr>
                <w:b/>
                <w:sz w:val="18"/>
                <w:szCs w:val="18"/>
                <w:lang w:val="nl-BE"/>
              </w:rPr>
              <w:t>2014</w:t>
            </w:r>
          </w:p>
        </w:tc>
      </w:tr>
      <w:tr w:rsidR="00BC52E0" w:rsidRPr="00BC52E0" w:rsidTr="00BC52E0">
        <w:tc>
          <w:tcPr>
            <w:tcW w:w="2826" w:type="pct"/>
          </w:tcPr>
          <w:p w:rsidR="00BC52E0" w:rsidRPr="00BC52E0" w:rsidRDefault="00BC52E0" w:rsidP="00BC52E0">
            <w:pPr>
              <w:spacing w:before="0" w:after="0" w:line="276" w:lineRule="auto"/>
              <w:rPr>
                <w:sz w:val="18"/>
                <w:szCs w:val="18"/>
              </w:rPr>
            </w:pPr>
            <w:r w:rsidRPr="00BC52E0">
              <w:rPr>
                <w:b/>
                <w:bCs/>
                <w:sz w:val="18"/>
                <w:szCs w:val="18"/>
              </w:rPr>
              <w:t>Statement of Cash Flow Data</w:t>
            </w:r>
          </w:p>
        </w:tc>
        <w:tc>
          <w:tcPr>
            <w:tcW w:w="1300" w:type="pct"/>
          </w:tcPr>
          <w:p w:rsidR="00BC52E0" w:rsidRPr="00BC52E0" w:rsidRDefault="00BC52E0" w:rsidP="00BC52E0">
            <w:pPr>
              <w:tabs>
                <w:tab w:val="right" w:pos="620"/>
                <w:tab w:val="decimal" w:pos="660"/>
              </w:tabs>
              <w:spacing w:before="0" w:after="0" w:line="276" w:lineRule="auto"/>
              <w:jc w:val="right"/>
              <w:rPr>
                <w:sz w:val="18"/>
                <w:szCs w:val="18"/>
              </w:rPr>
            </w:pPr>
            <w:r w:rsidRPr="00BC52E0">
              <w:rPr>
                <w:sz w:val="18"/>
                <w:szCs w:val="18"/>
              </w:rPr>
              <w:t> </w:t>
            </w:r>
          </w:p>
        </w:tc>
        <w:tc>
          <w:tcPr>
            <w:tcW w:w="874" w:type="pct"/>
          </w:tcPr>
          <w:p w:rsidR="00BC52E0" w:rsidRPr="00BC52E0" w:rsidRDefault="00BC52E0" w:rsidP="00BC52E0">
            <w:pPr>
              <w:tabs>
                <w:tab w:val="right" w:pos="620"/>
                <w:tab w:val="decimal" w:pos="660"/>
              </w:tabs>
              <w:spacing w:before="0" w:after="0" w:line="276" w:lineRule="auto"/>
              <w:jc w:val="right"/>
              <w:rPr>
                <w:sz w:val="18"/>
                <w:szCs w:val="18"/>
              </w:rPr>
            </w:pPr>
            <w:r w:rsidRPr="00BC52E0">
              <w:rPr>
                <w:sz w:val="18"/>
                <w:szCs w:val="18"/>
              </w:rPr>
              <w:t> </w:t>
            </w:r>
          </w:p>
        </w:tc>
      </w:tr>
      <w:tr w:rsidR="00BC52E0" w:rsidRPr="00BC52E0" w:rsidTr="00BC52E0">
        <w:tc>
          <w:tcPr>
            <w:tcW w:w="2826" w:type="pct"/>
          </w:tcPr>
          <w:p w:rsidR="00BC52E0" w:rsidRPr="00BC52E0" w:rsidRDefault="00BC52E0" w:rsidP="00BC52E0">
            <w:pPr>
              <w:keepNext/>
              <w:tabs>
                <w:tab w:val="right" w:leader="dot" w:pos="5160"/>
              </w:tabs>
              <w:spacing w:before="0" w:after="0" w:line="276" w:lineRule="auto"/>
              <w:ind w:left="240" w:hanging="240"/>
              <w:rPr>
                <w:sz w:val="18"/>
                <w:szCs w:val="18"/>
              </w:rPr>
            </w:pPr>
            <w:r w:rsidRPr="00BC52E0">
              <w:rPr>
                <w:sz w:val="18"/>
                <w:szCs w:val="18"/>
              </w:rPr>
              <w:t>Cash flow from operating activities</w:t>
            </w:r>
            <w:r w:rsidRPr="00BC52E0">
              <w:rPr>
                <w:sz w:val="18"/>
                <w:szCs w:val="18"/>
              </w:rPr>
              <w:tab/>
            </w:r>
          </w:p>
        </w:tc>
        <w:tc>
          <w:tcPr>
            <w:tcW w:w="1300" w:type="pct"/>
            <w:noWrap/>
          </w:tcPr>
          <w:p w:rsidR="00BC52E0" w:rsidRPr="00BC52E0" w:rsidRDefault="00BC52E0" w:rsidP="00BC52E0">
            <w:pPr>
              <w:spacing w:before="0" w:after="0" w:line="276" w:lineRule="auto"/>
              <w:jc w:val="right"/>
              <w:rPr>
                <w:sz w:val="18"/>
                <w:szCs w:val="18"/>
                <w:lang w:val="nl-BE"/>
              </w:rPr>
            </w:pPr>
            <w:r w:rsidRPr="00BC52E0">
              <w:rPr>
                <w:sz w:val="18"/>
                <w:szCs w:val="18"/>
                <w:lang w:val="nl-BE"/>
              </w:rPr>
              <w:t>3.9</w:t>
            </w:r>
          </w:p>
        </w:tc>
        <w:tc>
          <w:tcPr>
            <w:tcW w:w="874" w:type="pct"/>
            <w:noWrap/>
          </w:tcPr>
          <w:p w:rsidR="00BC52E0" w:rsidRPr="00BC52E0" w:rsidRDefault="00BC52E0" w:rsidP="00BC52E0">
            <w:pPr>
              <w:spacing w:before="0" w:after="0" w:line="276" w:lineRule="auto"/>
              <w:jc w:val="right"/>
              <w:rPr>
                <w:sz w:val="18"/>
                <w:szCs w:val="18"/>
                <w:lang w:val="nl-BE"/>
              </w:rPr>
            </w:pPr>
            <w:r w:rsidRPr="00BC52E0">
              <w:rPr>
                <w:sz w:val="18"/>
                <w:szCs w:val="18"/>
                <w:lang w:val="nl-BE"/>
              </w:rPr>
              <w:t>8.7</w:t>
            </w:r>
          </w:p>
        </w:tc>
      </w:tr>
      <w:tr w:rsidR="00BC52E0" w:rsidRPr="00BC52E0" w:rsidTr="00BC52E0">
        <w:tc>
          <w:tcPr>
            <w:tcW w:w="2826" w:type="pct"/>
          </w:tcPr>
          <w:p w:rsidR="00BC52E0" w:rsidRPr="00BC52E0" w:rsidRDefault="00BC52E0" w:rsidP="00BC52E0">
            <w:pPr>
              <w:keepNext/>
              <w:tabs>
                <w:tab w:val="right" w:leader="dot" w:pos="5160"/>
              </w:tabs>
              <w:spacing w:before="0" w:after="0" w:line="276" w:lineRule="auto"/>
              <w:ind w:left="240" w:hanging="240"/>
              <w:rPr>
                <w:sz w:val="18"/>
                <w:szCs w:val="18"/>
              </w:rPr>
            </w:pPr>
            <w:r w:rsidRPr="00BC52E0">
              <w:rPr>
                <w:sz w:val="18"/>
                <w:szCs w:val="18"/>
              </w:rPr>
              <w:t>Cash flow from investing activities</w:t>
            </w:r>
            <w:r w:rsidRPr="00BC52E0">
              <w:rPr>
                <w:sz w:val="18"/>
                <w:szCs w:val="18"/>
              </w:rPr>
              <w:tab/>
            </w:r>
          </w:p>
        </w:tc>
        <w:tc>
          <w:tcPr>
            <w:tcW w:w="1300" w:type="pct"/>
            <w:noWrap/>
          </w:tcPr>
          <w:p w:rsidR="00BC52E0" w:rsidRPr="00BC52E0" w:rsidRDefault="00BC52E0" w:rsidP="00BC52E0">
            <w:pPr>
              <w:spacing w:before="0" w:after="0" w:line="276" w:lineRule="auto"/>
              <w:jc w:val="right"/>
              <w:rPr>
                <w:sz w:val="18"/>
                <w:szCs w:val="18"/>
                <w:lang w:val="nl-BE"/>
              </w:rPr>
            </w:pPr>
            <w:r w:rsidRPr="00BC52E0">
              <w:rPr>
                <w:sz w:val="18"/>
                <w:szCs w:val="18"/>
                <w:lang w:val="nl-BE"/>
              </w:rPr>
              <w:t>(2.2)</w:t>
            </w:r>
          </w:p>
        </w:tc>
        <w:tc>
          <w:tcPr>
            <w:tcW w:w="874" w:type="pct"/>
            <w:noWrap/>
          </w:tcPr>
          <w:p w:rsidR="00BC52E0" w:rsidRPr="00BC52E0" w:rsidRDefault="00BC52E0" w:rsidP="00BC52E0">
            <w:pPr>
              <w:spacing w:before="0" w:after="0" w:line="276" w:lineRule="auto"/>
              <w:jc w:val="right"/>
              <w:rPr>
                <w:sz w:val="18"/>
                <w:szCs w:val="18"/>
                <w:lang w:val="nl-BE"/>
              </w:rPr>
            </w:pPr>
            <w:r w:rsidRPr="00BC52E0">
              <w:rPr>
                <w:sz w:val="18"/>
                <w:szCs w:val="18"/>
                <w:lang w:val="nl-BE"/>
              </w:rPr>
              <w:t>(2.7)</w:t>
            </w:r>
          </w:p>
        </w:tc>
      </w:tr>
      <w:tr w:rsidR="00BC52E0" w:rsidRPr="00BC52E0" w:rsidTr="00BC52E0">
        <w:tc>
          <w:tcPr>
            <w:tcW w:w="2826" w:type="pct"/>
          </w:tcPr>
          <w:p w:rsidR="00BC52E0" w:rsidRPr="00BC52E0" w:rsidRDefault="00BC52E0" w:rsidP="00BC52E0">
            <w:pPr>
              <w:keepNext/>
              <w:tabs>
                <w:tab w:val="right" w:leader="dot" w:pos="5160"/>
              </w:tabs>
              <w:spacing w:before="0" w:after="0" w:line="276" w:lineRule="auto"/>
              <w:ind w:left="240" w:hanging="240"/>
              <w:rPr>
                <w:sz w:val="18"/>
                <w:szCs w:val="18"/>
              </w:rPr>
            </w:pPr>
            <w:r w:rsidRPr="00BC52E0">
              <w:rPr>
                <w:sz w:val="18"/>
                <w:szCs w:val="18"/>
              </w:rPr>
              <w:t>Cash flow from financing activities</w:t>
            </w:r>
            <w:r w:rsidRPr="00BC52E0">
              <w:rPr>
                <w:sz w:val="18"/>
                <w:szCs w:val="18"/>
              </w:rPr>
              <w:tab/>
            </w:r>
          </w:p>
        </w:tc>
        <w:tc>
          <w:tcPr>
            <w:tcW w:w="1300" w:type="pct"/>
            <w:noWrap/>
          </w:tcPr>
          <w:p w:rsidR="00BC52E0" w:rsidRPr="00BC52E0" w:rsidRDefault="00BC52E0" w:rsidP="00BC52E0">
            <w:pPr>
              <w:tabs>
                <w:tab w:val="right" w:pos="720"/>
                <w:tab w:val="decimal" w:pos="760"/>
              </w:tabs>
              <w:spacing w:before="0" w:after="0" w:line="276" w:lineRule="auto"/>
              <w:jc w:val="right"/>
              <w:rPr>
                <w:sz w:val="18"/>
                <w:szCs w:val="18"/>
                <w:lang w:val="nl-BE"/>
              </w:rPr>
            </w:pPr>
            <w:r w:rsidRPr="00BC52E0">
              <w:rPr>
                <w:sz w:val="18"/>
                <w:szCs w:val="18"/>
                <w:lang w:val="nl-BE"/>
              </w:rPr>
              <w:t>0.9</w:t>
            </w:r>
          </w:p>
        </w:tc>
        <w:tc>
          <w:tcPr>
            <w:tcW w:w="874" w:type="pct"/>
            <w:noWrap/>
          </w:tcPr>
          <w:p w:rsidR="00BC52E0" w:rsidRPr="00BC52E0" w:rsidRDefault="00BC52E0" w:rsidP="00BC52E0">
            <w:pPr>
              <w:tabs>
                <w:tab w:val="right" w:pos="720"/>
                <w:tab w:val="decimal" w:pos="760"/>
              </w:tabs>
              <w:spacing w:before="0" w:after="0" w:line="276" w:lineRule="auto"/>
              <w:jc w:val="right"/>
              <w:rPr>
                <w:sz w:val="18"/>
                <w:szCs w:val="18"/>
                <w:lang w:val="nl-BE"/>
              </w:rPr>
            </w:pPr>
            <w:r w:rsidRPr="00BC52E0">
              <w:rPr>
                <w:sz w:val="18"/>
                <w:szCs w:val="18"/>
                <w:lang w:val="nl-BE"/>
              </w:rPr>
              <w:t>(5.1)</w:t>
            </w:r>
          </w:p>
        </w:tc>
      </w:tr>
      <w:tr w:rsidR="00BC52E0" w:rsidRPr="00BC52E0" w:rsidTr="00BC52E0">
        <w:tc>
          <w:tcPr>
            <w:tcW w:w="2826" w:type="pct"/>
          </w:tcPr>
          <w:p w:rsidR="00BC52E0" w:rsidRPr="00BC52E0" w:rsidRDefault="00BC52E0" w:rsidP="00BC52E0">
            <w:pPr>
              <w:keepNext/>
              <w:tabs>
                <w:tab w:val="right" w:leader="dot" w:pos="5160"/>
              </w:tabs>
              <w:spacing w:before="0" w:after="0" w:line="276" w:lineRule="auto"/>
              <w:ind w:left="240" w:hanging="240"/>
              <w:rPr>
                <w:sz w:val="18"/>
                <w:szCs w:val="18"/>
                <w:lang w:val="nl-BE"/>
              </w:rPr>
            </w:pPr>
          </w:p>
        </w:tc>
        <w:tc>
          <w:tcPr>
            <w:tcW w:w="1300" w:type="pct"/>
            <w:noWrap/>
          </w:tcPr>
          <w:p w:rsidR="00BC52E0" w:rsidRPr="00BC52E0" w:rsidRDefault="00BC52E0" w:rsidP="00BC52E0">
            <w:pPr>
              <w:spacing w:before="0" w:after="0" w:line="276" w:lineRule="auto"/>
              <w:jc w:val="right"/>
              <w:rPr>
                <w:sz w:val="18"/>
                <w:szCs w:val="18"/>
                <w:lang w:val="nl-BE"/>
              </w:rPr>
            </w:pPr>
          </w:p>
        </w:tc>
        <w:tc>
          <w:tcPr>
            <w:tcW w:w="874" w:type="pct"/>
            <w:noWrap/>
          </w:tcPr>
          <w:p w:rsidR="00BC52E0" w:rsidRPr="00BC52E0" w:rsidRDefault="00BC52E0" w:rsidP="00BC52E0">
            <w:pPr>
              <w:tabs>
                <w:tab w:val="right" w:pos="720"/>
                <w:tab w:val="decimal" w:pos="760"/>
              </w:tabs>
              <w:spacing w:before="0" w:after="0" w:line="276" w:lineRule="auto"/>
              <w:jc w:val="right"/>
              <w:rPr>
                <w:sz w:val="18"/>
                <w:szCs w:val="18"/>
                <w:lang w:val="nl-BE"/>
              </w:rPr>
            </w:pPr>
          </w:p>
        </w:tc>
      </w:tr>
    </w:tbl>
    <w:p w:rsidR="00BC52E0" w:rsidRPr="00BC52E0" w:rsidRDefault="00BC52E0" w:rsidP="00BC52E0">
      <w:pPr>
        <w:tabs>
          <w:tab w:val="left" w:pos="720"/>
        </w:tabs>
        <w:ind w:left="720" w:hanging="720"/>
        <w:outlineLvl w:val="0"/>
        <w:rPr>
          <w:b/>
        </w:rPr>
      </w:pPr>
      <w:r w:rsidRPr="00BC52E0">
        <w:rPr>
          <w:b/>
        </w:rPr>
        <w:t>Indebtedness</w:t>
      </w:r>
    </w:p>
    <w:tbl>
      <w:tblPr>
        <w:tblW w:w="5000" w:type="pct"/>
        <w:tblLook w:val="04A0" w:firstRow="1" w:lastRow="0" w:firstColumn="1" w:lastColumn="0" w:noHBand="0" w:noVBand="1"/>
      </w:tblPr>
      <w:tblGrid>
        <w:gridCol w:w="7692"/>
        <w:gridCol w:w="1553"/>
      </w:tblGrid>
      <w:tr w:rsidR="00BC52E0" w:rsidRPr="00BC52E0" w:rsidTr="00BC52E0">
        <w:tc>
          <w:tcPr>
            <w:tcW w:w="4160" w:type="pct"/>
            <w:vAlign w:val="center"/>
          </w:tcPr>
          <w:p w:rsidR="00BC52E0" w:rsidRPr="00BC52E0" w:rsidRDefault="00BC52E0" w:rsidP="00BC52E0">
            <w:pPr>
              <w:spacing w:before="0" w:after="0" w:line="276" w:lineRule="auto"/>
              <w:jc w:val="left"/>
              <w:rPr>
                <w:bCs/>
                <w:i/>
                <w:sz w:val="18"/>
                <w:szCs w:val="18"/>
                <w:lang w:val="nl-BE"/>
              </w:rPr>
            </w:pPr>
            <w:r w:rsidRPr="00BC52E0">
              <w:rPr>
                <w:bCs/>
                <w:i/>
                <w:sz w:val="18"/>
                <w:szCs w:val="18"/>
                <w:lang w:val="nl-BE"/>
              </w:rPr>
              <w:t>(</w:t>
            </w:r>
            <w:r w:rsidR="00E53641">
              <w:rPr>
                <w:bCs/>
                <w:i/>
                <w:sz w:val="18"/>
                <w:szCs w:val="18"/>
                <w:lang w:val="nl-BE"/>
              </w:rPr>
              <w:t>EUR </w:t>
            </w:r>
            <w:r w:rsidRPr="00BC52E0">
              <w:rPr>
                <w:bCs/>
                <w:i/>
                <w:sz w:val="18"/>
                <w:szCs w:val="18"/>
                <w:lang w:val="nl-BE"/>
              </w:rPr>
              <w:t>in millions)</w:t>
            </w:r>
          </w:p>
        </w:tc>
        <w:tc>
          <w:tcPr>
            <w:tcW w:w="840" w:type="pct"/>
            <w:vAlign w:val="bottom"/>
          </w:tcPr>
          <w:p w:rsidR="00BC52E0" w:rsidRPr="00BC52E0" w:rsidRDefault="00BC52E0" w:rsidP="00BC52E0">
            <w:pPr>
              <w:pBdr>
                <w:bottom w:val="single" w:sz="4" w:space="1" w:color="auto"/>
              </w:pBdr>
              <w:spacing w:before="0" w:after="0" w:line="276" w:lineRule="auto"/>
              <w:jc w:val="center"/>
              <w:rPr>
                <w:b/>
                <w:bCs/>
                <w:sz w:val="18"/>
                <w:szCs w:val="18"/>
                <w:lang w:val="nl-BE"/>
              </w:rPr>
            </w:pPr>
            <w:r w:rsidRPr="00BC52E0">
              <w:rPr>
                <w:b/>
                <w:bCs/>
                <w:sz w:val="18"/>
                <w:szCs w:val="18"/>
                <w:lang w:val="nl-BE"/>
              </w:rPr>
              <w:t>31 March</w:t>
            </w:r>
          </w:p>
          <w:p w:rsidR="00BC52E0" w:rsidRPr="00BC52E0" w:rsidRDefault="00BC52E0" w:rsidP="00BC52E0">
            <w:pPr>
              <w:pBdr>
                <w:bottom w:val="single" w:sz="4" w:space="1" w:color="auto"/>
              </w:pBdr>
              <w:spacing w:before="0" w:after="0" w:line="276" w:lineRule="auto"/>
              <w:jc w:val="center"/>
              <w:rPr>
                <w:b/>
                <w:bCs/>
                <w:sz w:val="18"/>
                <w:szCs w:val="18"/>
                <w:lang w:val="nl-BE"/>
              </w:rPr>
            </w:pPr>
            <w:r w:rsidRPr="00BC52E0">
              <w:rPr>
                <w:b/>
                <w:bCs/>
                <w:sz w:val="18"/>
                <w:szCs w:val="18"/>
                <w:lang w:val="nl-BE"/>
              </w:rPr>
              <w:t>2015</w:t>
            </w:r>
          </w:p>
        </w:tc>
      </w:tr>
      <w:tr w:rsidR="00BC52E0" w:rsidRPr="00BC52E0" w:rsidTr="00BC52E0">
        <w:tc>
          <w:tcPr>
            <w:tcW w:w="4160" w:type="pct"/>
          </w:tcPr>
          <w:p w:rsidR="00BC52E0" w:rsidRPr="00BC52E0" w:rsidRDefault="00BC52E0" w:rsidP="00BC52E0">
            <w:pPr>
              <w:tabs>
                <w:tab w:val="right" w:leader="dot" w:pos="6912"/>
              </w:tabs>
              <w:spacing w:before="0" w:after="0" w:line="276" w:lineRule="auto"/>
              <w:rPr>
                <w:b/>
                <w:sz w:val="18"/>
                <w:szCs w:val="18"/>
                <w:lang w:val="nl-BE"/>
              </w:rPr>
            </w:pPr>
            <w:r w:rsidRPr="00BC52E0">
              <w:rPr>
                <w:b/>
                <w:bCs/>
                <w:sz w:val="18"/>
                <w:szCs w:val="18"/>
                <w:lang w:val="nl-BE"/>
              </w:rPr>
              <w:t>Cash and cash equivalents</w:t>
            </w:r>
            <w:r w:rsidRPr="00BC52E0">
              <w:rPr>
                <w:bCs/>
                <w:sz w:val="18"/>
                <w:szCs w:val="18"/>
                <w:lang w:val="nl-BE"/>
              </w:rPr>
              <w:tab/>
            </w:r>
          </w:p>
        </w:tc>
        <w:tc>
          <w:tcPr>
            <w:tcW w:w="840" w:type="pct"/>
          </w:tcPr>
          <w:p w:rsidR="00BC52E0" w:rsidRPr="00BC52E0" w:rsidRDefault="00BC52E0" w:rsidP="00BC52E0">
            <w:pPr>
              <w:spacing w:before="0" w:after="0" w:line="276" w:lineRule="auto"/>
              <w:jc w:val="right"/>
              <w:rPr>
                <w:sz w:val="18"/>
                <w:szCs w:val="18"/>
                <w:lang w:val="nl-BE"/>
              </w:rPr>
            </w:pPr>
            <w:r w:rsidRPr="00BC52E0">
              <w:rPr>
                <w:sz w:val="18"/>
                <w:szCs w:val="18"/>
                <w:lang w:val="nl-BE"/>
              </w:rPr>
              <w:t>3.8</w:t>
            </w:r>
          </w:p>
        </w:tc>
      </w:tr>
      <w:tr w:rsidR="00BC52E0" w:rsidRPr="00BC52E0" w:rsidTr="00BC52E0">
        <w:tc>
          <w:tcPr>
            <w:tcW w:w="4160" w:type="pct"/>
          </w:tcPr>
          <w:p w:rsidR="00BC52E0" w:rsidRPr="00BC52E0" w:rsidRDefault="00BC52E0" w:rsidP="00BC52E0">
            <w:pPr>
              <w:tabs>
                <w:tab w:val="right" w:leader="dot" w:pos="6912"/>
              </w:tabs>
              <w:spacing w:before="0" w:after="0" w:line="276" w:lineRule="auto"/>
              <w:rPr>
                <w:b/>
                <w:sz w:val="18"/>
                <w:szCs w:val="18"/>
                <w:lang w:val="nl-BE"/>
              </w:rPr>
            </w:pPr>
            <w:r w:rsidRPr="00BC52E0">
              <w:rPr>
                <w:b/>
                <w:sz w:val="18"/>
                <w:szCs w:val="18"/>
                <w:lang w:val="nl-BE"/>
              </w:rPr>
              <w:t>Indebtedness</w:t>
            </w:r>
          </w:p>
        </w:tc>
        <w:tc>
          <w:tcPr>
            <w:tcW w:w="840" w:type="pct"/>
          </w:tcPr>
          <w:p w:rsidR="00BC52E0" w:rsidRPr="00BC52E0" w:rsidRDefault="00BC52E0" w:rsidP="00BC52E0">
            <w:pPr>
              <w:spacing w:before="0" w:after="0" w:line="276" w:lineRule="auto"/>
              <w:jc w:val="right"/>
              <w:rPr>
                <w:sz w:val="18"/>
                <w:szCs w:val="18"/>
                <w:lang w:val="nl-BE"/>
              </w:rPr>
            </w:pPr>
          </w:p>
        </w:tc>
      </w:tr>
      <w:tr w:rsidR="00BC52E0" w:rsidRPr="00BC52E0" w:rsidTr="00BC52E0">
        <w:tc>
          <w:tcPr>
            <w:tcW w:w="4160" w:type="pct"/>
          </w:tcPr>
          <w:p w:rsidR="00BC52E0" w:rsidRPr="00BC52E0" w:rsidRDefault="00BC52E0" w:rsidP="00BC52E0">
            <w:pPr>
              <w:tabs>
                <w:tab w:val="right" w:leader="dot" w:pos="6912"/>
              </w:tabs>
              <w:spacing w:before="0" w:after="0" w:line="276" w:lineRule="auto"/>
              <w:rPr>
                <w:bCs/>
                <w:sz w:val="18"/>
                <w:szCs w:val="18"/>
                <w:lang w:val="nl-BE"/>
              </w:rPr>
            </w:pPr>
            <w:r w:rsidRPr="00BC52E0">
              <w:rPr>
                <w:sz w:val="18"/>
                <w:szCs w:val="18"/>
                <w:lang w:val="nl-BE"/>
              </w:rPr>
              <w:t>Loans</w:t>
            </w:r>
            <w:r w:rsidRPr="00BC52E0">
              <w:rPr>
                <w:sz w:val="18"/>
                <w:szCs w:val="18"/>
                <w:lang w:val="nl-BE"/>
              </w:rPr>
              <w:tab/>
            </w:r>
          </w:p>
        </w:tc>
        <w:tc>
          <w:tcPr>
            <w:tcW w:w="840" w:type="pct"/>
          </w:tcPr>
          <w:p w:rsidR="00BC52E0" w:rsidRPr="00BC52E0" w:rsidRDefault="00BC52E0" w:rsidP="00BC52E0">
            <w:pPr>
              <w:pBdr>
                <w:bottom w:val="single" w:sz="4" w:space="1" w:color="auto"/>
              </w:pBdr>
              <w:spacing w:before="0" w:after="0" w:line="276" w:lineRule="auto"/>
              <w:jc w:val="right"/>
              <w:rPr>
                <w:sz w:val="18"/>
                <w:szCs w:val="18"/>
                <w:lang w:val="nl-BE"/>
              </w:rPr>
            </w:pPr>
            <w:r w:rsidRPr="00BC52E0">
              <w:rPr>
                <w:sz w:val="18"/>
                <w:szCs w:val="18"/>
                <w:lang w:val="nl-BE"/>
              </w:rPr>
              <w:t>(21.6)</w:t>
            </w:r>
          </w:p>
        </w:tc>
      </w:tr>
      <w:tr w:rsidR="00BC52E0" w:rsidRPr="00BC52E0" w:rsidTr="00BC52E0">
        <w:tc>
          <w:tcPr>
            <w:tcW w:w="4160" w:type="pct"/>
          </w:tcPr>
          <w:p w:rsidR="00BC52E0" w:rsidRPr="00BC52E0" w:rsidRDefault="00BC52E0" w:rsidP="00BC52E0">
            <w:pPr>
              <w:tabs>
                <w:tab w:val="right" w:leader="dot" w:pos="6912"/>
              </w:tabs>
              <w:spacing w:before="0" w:after="0" w:line="276" w:lineRule="auto"/>
              <w:rPr>
                <w:sz w:val="18"/>
                <w:szCs w:val="18"/>
                <w:lang w:val="nl-BE"/>
              </w:rPr>
            </w:pPr>
            <w:r w:rsidRPr="00BC52E0">
              <w:rPr>
                <w:b/>
                <w:bCs/>
                <w:sz w:val="18"/>
                <w:szCs w:val="18"/>
                <w:lang w:val="nl-BE"/>
              </w:rPr>
              <w:t>Net debt</w:t>
            </w:r>
            <w:r w:rsidRPr="00BC52E0">
              <w:rPr>
                <w:bCs/>
                <w:sz w:val="18"/>
                <w:szCs w:val="18"/>
                <w:lang w:val="nl-BE"/>
              </w:rPr>
              <w:tab/>
            </w:r>
          </w:p>
        </w:tc>
        <w:tc>
          <w:tcPr>
            <w:tcW w:w="840" w:type="pct"/>
          </w:tcPr>
          <w:p w:rsidR="00BC52E0" w:rsidRPr="00BC52E0" w:rsidRDefault="00BC52E0" w:rsidP="00BC52E0">
            <w:pPr>
              <w:pBdr>
                <w:bottom w:val="double" w:sz="4" w:space="1" w:color="auto"/>
              </w:pBdr>
              <w:spacing w:before="0" w:after="0" w:line="276" w:lineRule="auto"/>
              <w:jc w:val="right"/>
              <w:rPr>
                <w:sz w:val="18"/>
                <w:szCs w:val="18"/>
                <w:lang w:val="nl-BE"/>
              </w:rPr>
            </w:pPr>
            <w:r w:rsidRPr="00BC52E0">
              <w:rPr>
                <w:b/>
                <w:sz w:val="18"/>
                <w:szCs w:val="18"/>
                <w:lang w:val="nl-BE"/>
              </w:rPr>
              <w:t>(17.8)</w:t>
            </w:r>
          </w:p>
        </w:tc>
      </w:tr>
    </w:tbl>
    <w:p w:rsidR="00703C66" w:rsidRDefault="003F0BC5" w:rsidP="00353B80">
      <w:pPr>
        <w:pStyle w:val="Firm5L1"/>
        <w:keepNext/>
      </w:pPr>
      <w:bookmarkStart w:id="91" w:name="_Toc420593904"/>
      <w:r w:rsidRPr="00992199">
        <w:t>Working capital and Capitalisation and indebtedness</w:t>
      </w:r>
      <w:bookmarkEnd w:id="91"/>
      <w:r w:rsidRPr="00992199">
        <w:t xml:space="preserve"> </w:t>
      </w:r>
    </w:p>
    <w:p w:rsidR="0083762C" w:rsidRDefault="0083762C" w:rsidP="0083762C">
      <w:pPr>
        <w:pStyle w:val="Firm5L2"/>
        <w:keepNext/>
      </w:pPr>
      <w:bookmarkStart w:id="92" w:name="_Toc420593905"/>
      <w:r>
        <w:t>Working capital statement</w:t>
      </w:r>
      <w:bookmarkEnd w:id="92"/>
    </w:p>
    <w:p w:rsidR="0083762C" w:rsidRDefault="0083762C" w:rsidP="0083762C">
      <w:r>
        <w:t>In the Greenyard Foods Group’s opinion, its working capital is sufficient for its present requirements and for the twelve month period following the date of this Prospectus.</w:t>
      </w:r>
    </w:p>
    <w:p w:rsidR="0083762C" w:rsidRDefault="0083762C" w:rsidP="0083762C">
      <w:r w:rsidRPr="0083762C">
        <w:t xml:space="preserve">In the </w:t>
      </w:r>
      <w:r>
        <w:t>Univeg</w:t>
      </w:r>
      <w:r w:rsidRPr="0083762C">
        <w:t xml:space="preserve"> Group’s opinion, its working capital is sufficient for its present requirements and for the twelve month period following the date of this Prospectus.</w:t>
      </w:r>
    </w:p>
    <w:p w:rsidR="0083762C" w:rsidRDefault="0083762C" w:rsidP="0083762C">
      <w:r w:rsidRPr="0083762C">
        <w:t xml:space="preserve">In the </w:t>
      </w:r>
      <w:r>
        <w:t>Peatinvest</w:t>
      </w:r>
      <w:r w:rsidRPr="0083762C">
        <w:t xml:space="preserve"> Group’s opinion, its working capital is sufficient for its present requirements and for the twelve month period following the date of this Prospectus.</w:t>
      </w:r>
    </w:p>
    <w:p w:rsidR="0083762C" w:rsidRDefault="0083762C" w:rsidP="0083762C">
      <w:pPr>
        <w:pStyle w:val="Firm5L2"/>
        <w:keepNext/>
      </w:pPr>
      <w:bookmarkStart w:id="93" w:name="_Toc420593906"/>
      <w:r>
        <w:t>Capitalisation and indebtedness</w:t>
      </w:r>
      <w:bookmarkEnd w:id="93"/>
    </w:p>
    <w:p w:rsidR="00F861BE" w:rsidRPr="00F861BE" w:rsidRDefault="00F861BE" w:rsidP="00F861BE">
      <w:pPr>
        <w:keepNext/>
        <w:spacing w:before="0" w:after="0"/>
        <w:jc w:val="left"/>
      </w:pPr>
      <w:bookmarkStart w:id="94" w:name="_Toc420593907"/>
      <w:r w:rsidRPr="00F861BE">
        <w:rPr>
          <w:b/>
          <w:szCs w:val="20"/>
        </w:rPr>
        <w:t>Share capital per 31 March 2015</w:t>
      </w:r>
    </w:p>
    <w:p w:rsidR="00F861BE" w:rsidRDefault="00F861BE" w:rsidP="00F861BE">
      <w:pPr>
        <w:keepNext/>
        <w:spacing w:before="0" w:after="0"/>
        <w:jc w:val="left"/>
        <w:rPr>
          <w:szCs w:val="22"/>
          <w:lang w:val="en-US"/>
        </w:rPr>
      </w:pPr>
    </w:p>
    <w:p w:rsidR="00F861BE" w:rsidRPr="00F861BE" w:rsidRDefault="00F861BE" w:rsidP="00F861BE">
      <w:pPr>
        <w:autoSpaceDE w:val="0"/>
        <w:autoSpaceDN w:val="0"/>
        <w:adjustRightInd w:val="0"/>
        <w:spacing w:before="0" w:after="0"/>
        <w:rPr>
          <w:szCs w:val="22"/>
          <w:lang w:val="en-US"/>
        </w:rPr>
      </w:pPr>
      <w:r w:rsidRPr="00F861BE">
        <w:rPr>
          <w:szCs w:val="22"/>
          <w:lang w:val="en-US"/>
        </w:rPr>
        <w:t>The equity of the Company amounts to EUR</w:t>
      </w:r>
      <w:r>
        <w:rPr>
          <w:lang w:val="en-US"/>
        </w:rPr>
        <w:t> </w:t>
      </w:r>
      <w:r w:rsidRPr="00F861BE">
        <w:rPr>
          <w:szCs w:val="22"/>
          <w:lang w:val="en-US"/>
        </w:rPr>
        <w:t xml:space="preserve">221,829,791 as per 31 March 2015 based on the audited consolidated financial statements. </w:t>
      </w:r>
    </w:p>
    <w:p w:rsidR="00F861BE" w:rsidRPr="00F861BE" w:rsidRDefault="00F861BE" w:rsidP="00F861BE">
      <w:pPr>
        <w:spacing w:before="0" w:after="0"/>
        <w:jc w:val="left"/>
        <w:rPr>
          <w:sz w:val="22"/>
          <w:lang w:val="en-US"/>
        </w:rPr>
      </w:pPr>
    </w:p>
    <w:tbl>
      <w:tblPr>
        <w:tblW w:w="5000" w:type="pct"/>
        <w:tblLook w:val="04A0" w:firstRow="1" w:lastRow="0" w:firstColumn="1" w:lastColumn="0" w:noHBand="0" w:noVBand="1"/>
      </w:tblPr>
      <w:tblGrid>
        <w:gridCol w:w="7884"/>
        <w:gridCol w:w="1361"/>
      </w:tblGrid>
      <w:tr w:rsidR="00F861BE" w:rsidRPr="00F861BE" w:rsidTr="00F861BE">
        <w:trPr>
          <w:tblHeader/>
        </w:trPr>
        <w:tc>
          <w:tcPr>
            <w:tcW w:w="4264" w:type="pct"/>
            <w:shd w:val="clear" w:color="auto" w:fill="auto"/>
            <w:vAlign w:val="bottom"/>
          </w:tcPr>
          <w:p w:rsidR="00F861BE" w:rsidRPr="00F861BE" w:rsidRDefault="00F861BE" w:rsidP="00F861BE">
            <w:pPr>
              <w:pBdr>
                <w:bottom w:val="single" w:sz="4" w:space="1" w:color="auto"/>
              </w:pBdr>
              <w:tabs>
                <w:tab w:val="left" w:pos="5010"/>
              </w:tabs>
              <w:spacing w:before="0" w:after="0"/>
              <w:jc w:val="left"/>
              <w:rPr>
                <w:i/>
                <w:sz w:val="18"/>
                <w:szCs w:val="18"/>
              </w:rPr>
            </w:pPr>
            <w:r w:rsidRPr="00F861BE">
              <w:rPr>
                <w:i/>
                <w:sz w:val="18"/>
                <w:szCs w:val="18"/>
              </w:rPr>
              <w:t>(EUR in millions)</w:t>
            </w:r>
          </w:p>
        </w:tc>
        <w:tc>
          <w:tcPr>
            <w:tcW w:w="736" w:type="pct"/>
            <w:shd w:val="clear" w:color="auto" w:fill="auto"/>
            <w:vAlign w:val="bottom"/>
          </w:tcPr>
          <w:p w:rsidR="00F861BE" w:rsidRPr="00F861BE" w:rsidRDefault="00F861BE" w:rsidP="00F861BE">
            <w:pPr>
              <w:pBdr>
                <w:bottom w:val="single" w:sz="4" w:space="1" w:color="auto"/>
              </w:pBdr>
              <w:tabs>
                <w:tab w:val="left" w:pos="5010"/>
              </w:tabs>
              <w:spacing w:before="0" w:after="0"/>
              <w:jc w:val="right"/>
              <w:rPr>
                <w:b/>
                <w:i/>
                <w:sz w:val="18"/>
                <w:szCs w:val="18"/>
              </w:rPr>
            </w:pPr>
            <w:r w:rsidRPr="00F861BE">
              <w:rPr>
                <w:b/>
                <w:i/>
                <w:sz w:val="18"/>
                <w:szCs w:val="18"/>
              </w:rPr>
              <w:t>31 March 2015</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sz w:val="18"/>
                <w:szCs w:val="18"/>
              </w:rPr>
            </w:pPr>
            <w:r w:rsidRPr="00F861BE">
              <w:rPr>
                <w:sz w:val="18"/>
                <w:szCs w:val="18"/>
              </w:rPr>
              <w:t>Share capital *</w:t>
            </w:r>
            <w:r w:rsidRPr="00F861BE">
              <w:rPr>
                <w:sz w:val="18"/>
                <w:szCs w:val="18"/>
              </w:rPr>
              <w:tab/>
            </w:r>
          </w:p>
        </w:tc>
        <w:tc>
          <w:tcPr>
            <w:tcW w:w="736" w:type="pct"/>
            <w:vAlign w:val="bottom"/>
          </w:tcPr>
          <w:p w:rsidR="00F861BE" w:rsidRPr="00F861BE" w:rsidRDefault="00F861BE" w:rsidP="00F861BE">
            <w:pPr>
              <w:spacing w:before="0" w:after="0"/>
              <w:jc w:val="right"/>
              <w:outlineLvl w:val="0"/>
              <w:rPr>
                <w:sz w:val="18"/>
                <w:szCs w:val="18"/>
              </w:rPr>
            </w:pPr>
            <w:r w:rsidRPr="00F861BE">
              <w:rPr>
                <w:sz w:val="18"/>
                <w:szCs w:val="18"/>
              </w:rPr>
              <w:t>97.8</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sz w:val="18"/>
                <w:szCs w:val="18"/>
              </w:rPr>
            </w:pPr>
            <w:r w:rsidRPr="00F861BE">
              <w:rPr>
                <w:sz w:val="18"/>
                <w:szCs w:val="18"/>
              </w:rPr>
              <w:t>Share premium and other capital instruments</w:t>
            </w:r>
            <w:r w:rsidRPr="00F861BE">
              <w:rPr>
                <w:sz w:val="18"/>
                <w:szCs w:val="18"/>
              </w:rPr>
              <w:tab/>
            </w:r>
          </w:p>
        </w:tc>
        <w:tc>
          <w:tcPr>
            <w:tcW w:w="736" w:type="pct"/>
            <w:vAlign w:val="bottom"/>
          </w:tcPr>
          <w:p w:rsidR="00F861BE" w:rsidRPr="00F861BE" w:rsidRDefault="00F861BE" w:rsidP="00F861BE">
            <w:pPr>
              <w:spacing w:before="0" w:after="0"/>
              <w:jc w:val="right"/>
              <w:outlineLvl w:val="0"/>
              <w:rPr>
                <w:sz w:val="18"/>
                <w:szCs w:val="18"/>
              </w:rPr>
            </w:pPr>
            <w:r w:rsidRPr="00F861BE">
              <w:rPr>
                <w:sz w:val="18"/>
                <w:szCs w:val="18"/>
              </w:rPr>
              <w:t>14.3</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sz w:val="18"/>
                <w:szCs w:val="18"/>
              </w:rPr>
            </w:pPr>
            <w:r w:rsidRPr="00F861BE">
              <w:rPr>
                <w:sz w:val="18"/>
                <w:szCs w:val="18"/>
              </w:rPr>
              <w:t>Reserves.</w:t>
            </w:r>
            <w:r w:rsidRPr="00F861BE">
              <w:rPr>
                <w:sz w:val="18"/>
                <w:szCs w:val="18"/>
              </w:rPr>
              <w:tab/>
            </w:r>
          </w:p>
        </w:tc>
        <w:tc>
          <w:tcPr>
            <w:tcW w:w="736" w:type="pct"/>
            <w:vAlign w:val="bottom"/>
          </w:tcPr>
          <w:p w:rsidR="00F861BE" w:rsidRPr="00F861BE" w:rsidRDefault="00F861BE" w:rsidP="00F861BE">
            <w:pPr>
              <w:spacing w:before="0" w:after="0"/>
              <w:jc w:val="right"/>
              <w:outlineLvl w:val="0"/>
              <w:rPr>
                <w:sz w:val="18"/>
                <w:szCs w:val="18"/>
              </w:rPr>
            </w:pPr>
            <w:r w:rsidRPr="00F861BE">
              <w:rPr>
                <w:sz w:val="18"/>
                <w:szCs w:val="18"/>
              </w:rPr>
              <w:t>103.5</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sz w:val="18"/>
                <w:szCs w:val="18"/>
              </w:rPr>
            </w:pPr>
            <w:r w:rsidRPr="00F861BE">
              <w:rPr>
                <w:sz w:val="18"/>
                <w:szCs w:val="18"/>
              </w:rPr>
              <w:t>Cumulative translation differences.</w:t>
            </w:r>
            <w:r w:rsidRPr="00F861BE">
              <w:rPr>
                <w:sz w:val="18"/>
                <w:szCs w:val="18"/>
              </w:rPr>
              <w:tab/>
            </w:r>
          </w:p>
        </w:tc>
        <w:tc>
          <w:tcPr>
            <w:tcW w:w="736" w:type="pct"/>
            <w:vAlign w:val="bottom"/>
          </w:tcPr>
          <w:p w:rsidR="00F861BE" w:rsidRPr="00F861BE" w:rsidRDefault="00F861BE" w:rsidP="00F861BE">
            <w:pPr>
              <w:spacing w:before="0" w:after="0"/>
              <w:jc w:val="right"/>
              <w:outlineLvl w:val="0"/>
              <w:rPr>
                <w:sz w:val="18"/>
                <w:szCs w:val="18"/>
              </w:rPr>
            </w:pPr>
            <w:r w:rsidRPr="00F861BE">
              <w:rPr>
                <w:sz w:val="18"/>
                <w:szCs w:val="18"/>
              </w:rPr>
              <w:t>-1.9</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sz w:val="18"/>
                <w:szCs w:val="18"/>
              </w:rPr>
            </w:pPr>
            <w:r w:rsidRPr="00F861BE">
              <w:rPr>
                <w:sz w:val="18"/>
                <w:szCs w:val="18"/>
              </w:rPr>
              <w:t>Non-controlling interests</w:t>
            </w:r>
            <w:r w:rsidRPr="00F861BE">
              <w:rPr>
                <w:sz w:val="18"/>
                <w:szCs w:val="18"/>
              </w:rPr>
              <w:tab/>
            </w:r>
          </w:p>
        </w:tc>
        <w:tc>
          <w:tcPr>
            <w:tcW w:w="736" w:type="pct"/>
            <w:vAlign w:val="bottom"/>
          </w:tcPr>
          <w:p w:rsidR="00F861BE" w:rsidRPr="00F861BE" w:rsidRDefault="00F861BE" w:rsidP="00F861BE">
            <w:pPr>
              <w:spacing w:before="0" w:after="0"/>
              <w:jc w:val="right"/>
              <w:outlineLvl w:val="0"/>
              <w:rPr>
                <w:sz w:val="18"/>
                <w:szCs w:val="18"/>
              </w:rPr>
            </w:pPr>
            <w:r w:rsidRPr="00F861BE">
              <w:rPr>
                <w:sz w:val="18"/>
                <w:szCs w:val="18"/>
              </w:rPr>
              <w:t>8.1</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b/>
                <w:sz w:val="18"/>
                <w:szCs w:val="18"/>
              </w:rPr>
            </w:pPr>
            <w:r w:rsidRPr="00F861BE">
              <w:rPr>
                <w:b/>
                <w:sz w:val="18"/>
                <w:szCs w:val="18"/>
              </w:rPr>
              <w:t>Total equity</w:t>
            </w:r>
            <w:r w:rsidRPr="00F861BE">
              <w:rPr>
                <w:b/>
                <w:sz w:val="18"/>
                <w:szCs w:val="18"/>
              </w:rPr>
              <w:tab/>
            </w:r>
          </w:p>
        </w:tc>
        <w:tc>
          <w:tcPr>
            <w:tcW w:w="736" w:type="pct"/>
            <w:vAlign w:val="bottom"/>
          </w:tcPr>
          <w:p w:rsidR="00F861BE" w:rsidRPr="00F861BE" w:rsidRDefault="00F861BE" w:rsidP="00F861BE">
            <w:pPr>
              <w:spacing w:before="0" w:after="0"/>
              <w:jc w:val="right"/>
              <w:outlineLvl w:val="0"/>
              <w:rPr>
                <w:b/>
                <w:sz w:val="18"/>
                <w:szCs w:val="18"/>
              </w:rPr>
            </w:pPr>
            <w:r w:rsidRPr="00F861BE">
              <w:rPr>
                <w:b/>
                <w:sz w:val="18"/>
                <w:szCs w:val="18"/>
              </w:rPr>
              <w:t>221.8</w:t>
            </w:r>
          </w:p>
        </w:tc>
      </w:tr>
    </w:tbl>
    <w:p w:rsidR="00F861BE" w:rsidRPr="00F861BE" w:rsidRDefault="00F861BE" w:rsidP="00F861BE">
      <w:pPr>
        <w:spacing w:before="0" w:after="0"/>
        <w:jc w:val="left"/>
        <w:rPr>
          <w:sz w:val="22"/>
          <w:lang w:val="en-US"/>
        </w:rPr>
      </w:pPr>
    </w:p>
    <w:p w:rsidR="00F861BE" w:rsidRPr="00F861BE" w:rsidRDefault="00F861BE" w:rsidP="00F861BE">
      <w:pPr>
        <w:autoSpaceDE w:val="0"/>
        <w:autoSpaceDN w:val="0"/>
        <w:adjustRightInd w:val="0"/>
        <w:spacing w:before="0" w:after="0"/>
        <w:rPr>
          <w:szCs w:val="22"/>
          <w:lang w:val="en-US"/>
        </w:rPr>
      </w:pPr>
      <w:r w:rsidRPr="00F861BE">
        <w:rPr>
          <w:szCs w:val="22"/>
          <w:lang w:val="en-US"/>
        </w:rPr>
        <w:t xml:space="preserve">*This amount does not take into account the 28,053,633 newly created </w:t>
      </w:r>
      <w:r>
        <w:rPr>
          <w:szCs w:val="22"/>
          <w:lang w:val="en-US"/>
        </w:rPr>
        <w:t>S</w:t>
      </w:r>
      <w:r w:rsidRPr="00F861BE">
        <w:rPr>
          <w:szCs w:val="22"/>
          <w:lang w:val="en-US"/>
        </w:rPr>
        <w:t xml:space="preserve">hares following the planned contribution of Univeg shares (95.4%) via </w:t>
      </w:r>
      <w:r>
        <w:rPr>
          <w:szCs w:val="22"/>
          <w:lang w:val="en-US"/>
        </w:rPr>
        <w:t>the DWB Demerger</w:t>
      </w:r>
      <w:r w:rsidRPr="00F861BE">
        <w:rPr>
          <w:szCs w:val="22"/>
          <w:lang w:val="en-US"/>
        </w:rPr>
        <w:t xml:space="preserve">, the contribution of the remaining Univeg shares (4.6%) via </w:t>
      </w:r>
      <w:r>
        <w:rPr>
          <w:szCs w:val="22"/>
          <w:lang w:val="en-US"/>
        </w:rPr>
        <w:t>the Univeg Contribution</w:t>
      </w:r>
      <w:r w:rsidRPr="00F861BE">
        <w:rPr>
          <w:szCs w:val="22"/>
          <w:lang w:val="en-US"/>
        </w:rPr>
        <w:t xml:space="preserve"> and </w:t>
      </w:r>
      <w:r>
        <w:rPr>
          <w:szCs w:val="22"/>
          <w:lang w:val="en-US"/>
        </w:rPr>
        <w:t>the</w:t>
      </w:r>
      <w:r w:rsidRPr="00F861BE">
        <w:rPr>
          <w:szCs w:val="22"/>
          <w:lang w:val="en-US"/>
        </w:rPr>
        <w:t xml:space="preserve"> contribution of 100% of Peatinvest shares </w:t>
      </w:r>
      <w:r>
        <w:rPr>
          <w:szCs w:val="22"/>
          <w:lang w:val="en-US"/>
        </w:rPr>
        <w:t>via the Peatinvest Contribution</w:t>
      </w:r>
      <w:r w:rsidRPr="00F861BE">
        <w:rPr>
          <w:szCs w:val="22"/>
          <w:lang w:val="en-US"/>
        </w:rPr>
        <w:t xml:space="preserve">. These </w:t>
      </w:r>
      <w:r>
        <w:rPr>
          <w:szCs w:val="22"/>
          <w:lang w:val="en-US"/>
        </w:rPr>
        <w:t>Contributions</w:t>
      </w:r>
      <w:r w:rsidRPr="00F861BE">
        <w:rPr>
          <w:szCs w:val="22"/>
          <w:lang w:val="en-US"/>
        </w:rPr>
        <w:t xml:space="preserve"> are planned to be approved by the Extraordinary Shareho</w:t>
      </w:r>
      <w:r>
        <w:rPr>
          <w:szCs w:val="22"/>
          <w:lang w:val="en-US"/>
        </w:rPr>
        <w:t>lders meeting of 19 June 2015. Prior</w:t>
      </w:r>
      <w:r w:rsidRPr="00F861BE">
        <w:rPr>
          <w:szCs w:val="22"/>
          <w:lang w:val="en-US"/>
        </w:rPr>
        <w:t xml:space="preserve"> to </w:t>
      </w:r>
      <w:r>
        <w:rPr>
          <w:szCs w:val="22"/>
          <w:lang w:val="en-US"/>
        </w:rPr>
        <w:t>these Contributions</w:t>
      </w:r>
      <w:r w:rsidRPr="00F861BE">
        <w:rPr>
          <w:szCs w:val="22"/>
          <w:lang w:val="en-US"/>
        </w:rPr>
        <w:t>, the 2,400,000 warrants which are he</w:t>
      </w:r>
      <w:r>
        <w:rPr>
          <w:szCs w:val="22"/>
          <w:lang w:val="en-US"/>
        </w:rPr>
        <w:t>ld by Gimv-XL will be exercised via the Gimv Warrant Exercise.</w:t>
      </w:r>
      <w:r w:rsidRPr="00F861BE">
        <w:rPr>
          <w:szCs w:val="22"/>
          <w:lang w:val="en-US"/>
        </w:rPr>
        <w:t xml:space="preserve"> The equity as presented per 31 March 2015 also does</w:t>
      </w:r>
      <w:r>
        <w:rPr>
          <w:szCs w:val="22"/>
          <w:lang w:val="en-US"/>
        </w:rPr>
        <w:t xml:space="preserve"> </w:t>
      </w:r>
      <w:r w:rsidRPr="00F861BE">
        <w:rPr>
          <w:szCs w:val="22"/>
          <w:lang w:val="en-US"/>
        </w:rPr>
        <w:t>n</w:t>
      </w:r>
      <w:r>
        <w:rPr>
          <w:szCs w:val="22"/>
          <w:lang w:val="en-US"/>
        </w:rPr>
        <w:t>o</w:t>
      </w:r>
      <w:r w:rsidRPr="00F861BE">
        <w:rPr>
          <w:szCs w:val="22"/>
          <w:lang w:val="en-US"/>
        </w:rPr>
        <w:t xml:space="preserve">t take into consideration </w:t>
      </w:r>
      <w:r>
        <w:rPr>
          <w:szCs w:val="22"/>
          <w:lang w:val="en-US"/>
        </w:rPr>
        <w:t>the Gimv Warrant Exercise</w:t>
      </w:r>
      <w:r w:rsidRPr="00F861BE">
        <w:rPr>
          <w:szCs w:val="22"/>
          <w:lang w:val="en-US"/>
        </w:rPr>
        <w:t>.</w:t>
      </w:r>
    </w:p>
    <w:p w:rsidR="00F861BE" w:rsidRPr="00F861BE" w:rsidRDefault="00F861BE" w:rsidP="00F861BE">
      <w:pPr>
        <w:autoSpaceDE w:val="0"/>
        <w:autoSpaceDN w:val="0"/>
        <w:adjustRightInd w:val="0"/>
        <w:spacing w:before="0" w:after="0"/>
        <w:rPr>
          <w:noProof/>
          <w:sz w:val="22"/>
          <w:szCs w:val="22"/>
          <w:highlight w:val="yellow"/>
          <w:lang w:val="en-US"/>
        </w:rPr>
      </w:pPr>
    </w:p>
    <w:p w:rsidR="00F861BE" w:rsidRPr="00F861BE" w:rsidRDefault="00F861BE" w:rsidP="00F861BE">
      <w:pPr>
        <w:keepNext/>
        <w:spacing w:before="0" w:after="0"/>
        <w:jc w:val="left"/>
        <w:rPr>
          <w:b/>
          <w:bCs/>
          <w:spacing w:val="-3"/>
          <w:szCs w:val="22"/>
          <w:highlight w:val="yellow"/>
          <w:lang w:val="en-US"/>
        </w:rPr>
      </w:pPr>
      <w:bookmarkStart w:id="95" w:name="_Toc164747745"/>
      <w:r w:rsidRPr="00F861BE">
        <w:rPr>
          <w:b/>
          <w:bCs/>
          <w:spacing w:val="-3"/>
          <w:szCs w:val="22"/>
          <w:lang w:val="en-US"/>
        </w:rPr>
        <w:t>Net</w:t>
      </w:r>
      <w:bookmarkEnd w:id="95"/>
      <w:r w:rsidRPr="00F861BE">
        <w:rPr>
          <w:b/>
          <w:bCs/>
          <w:spacing w:val="-3"/>
          <w:szCs w:val="22"/>
          <w:lang w:val="en-US"/>
        </w:rPr>
        <w:t xml:space="preserve"> </w:t>
      </w:r>
      <w:r w:rsidRPr="00F861BE">
        <w:rPr>
          <w:b/>
          <w:szCs w:val="20"/>
        </w:rPr>
        <w:t>financial</w:t>
      </w:r>
      <w:r w:rsidRPr="00F861BE">
        <w:rPr>
          <w:b/>
          <w:bCs/>
          <w:spacing w:val="-3"/>
          <w:szCs w:val="22"/>
          <w:lang w:val="en-US"/>
        </w:rPr>
        <w:t xml:space="preserve"> debt per 31 March 2015</w:t>
      </w:r>
    </w:p>
    <w:p w:rsidR="00F861BE" w:rsidRPr="00F861BE" w:rsidRDefault="00F861BE" w:rsidP="00F861BE">
      <w:pPr>
        <w:keepNext/>
        <w:spacing w:before="0" w:after="0"/>
        <w:jc w:val="left"/>
        <w:rPr>
          <w:b/>
          <w:i/>
          <w:iCs/>
          <w:szCs w:val="20"/>
          <w:highlight w:val="yellow"/>
          <w:lang w:val="en-US"/>
        </w:rPr>
      </w:pPr>
    </w:p>
    <w:p w:rsidR="00F861BE" w:rsidRPr="00F861BE" w:rsidRDefault="00F861BE" w:rsidP="00F861BE">
      <w:pPr>
        <w:autoSpaceDE w:val="0"/>
        <w:autoSpaceDN w:val="0"/>
        <w:adjustRightInd w:val="0"/>
        <w:spacing w:before="0" w:after="0"/>
        <w:rPr>
          <w:kern w:val="32"/>
          <w:szCs w:val="22"/>
          <w:lang w:val="en-US"/>
        </w:rPr>
      </w:pPr>
      <w:r w:rsidRPr="00F861BE">
        <w:rPr>
          <w:kern w:val="32"/>
          <w:szCs w:val="22"/>
          <w:lang w:val="en-US"/>
        </w:rPr>
        <w:t>The total pro forma net financial debt of the Company amounts to EUR</w:t>
      </w:r>
      <w:r>
        <w:rPr>
          <w:kern w:val="32"/>
          <w:szCs w:val="22"/>
          <w:lang w:val="en-US"/>
        </w:rPr>
        <w:t> </w:t>
      </w:r>
      <w:r w:rsidRPr="00F861BE">
        <w:rPr>
          <w:kern w:val="32"/>
          <w:szCs w:val="22"/>
          <w:lang w:val="en-US"/>
        </w:rPr>
        <w:t xml:space="preserve">400,203,373 as per 31 March 2015. </w:t>
      </w:r>
    </w:p>
    <w:p w:rsidR="00F861BE" w:rsidRPr="00F861BE" w:rsidRDefault="00F861BE" w:rsidP="00F861BE">
      <w:pPr>
        <w:autoSpaceDE w:val="0"/>
        <w:autoSpaceDN w:val="0"/>
        <w:adjustRightInd w:val="0"/>
        <w:spacing w:before="0" w:after="0"/>
        <w:rPr>
          <w:kern w:val="32"/>
          <w:szCs w:val="22"/>
          <w:lang w:val="en-US"/>
        </w:rPr>
      </w:pPr>
      <w:r w:rsidRPr="00F861BE">
        <w:rPr>
          <w:kern w:val="32"/>
          <w:szCs w:val="22"/>
          <w:lang w:val="en-US"/>
        </w:rPr>
        <w:lastRenderedPageBreak/>
        <w:t>The pro forma net financial debt consists of the following components:</w:t>
      </w:r>
    </w:p>
    <w:p w:rsidR="00F861BE" w:rsidRPr="00F861BE" w:rsidRDefault="00F861BE" w:rsidP="00F861BE">
      <w:pPr>
        <w:numPr>
          <w:ilvl w:val="0"/>
          <w:numId w:val="24"/>
        </w:numPr>
        <w:autoSpaceDE w:val="0"/>
        <w:autoSpaceDN w:val="0"/>
        <w:adjustRightInd w:val="0"/>
        <w:spacing w:before="0" w:after="0"/>
        <w:jc w:val="left"/>
        <w:rPr>
          <w:kern w:val="32"/>
          <w:szCs w:val="22"/>
          <w:lang w:val="en-US"/>
        </w:rPr>
      </w:pPr>
      <w:r w:rsidRPr="00F861BE">
        <w:rPr>
          <w:kern w:val="32"/>
          <w:szCs w:val="22"/>
          <w:lang w:val="en-US"/>
        </w:rPr>
        <w:t>Audited net financial debt of Greenyard Foods per 31 March 2015</w:t>
      </w:r>
    </w:p>
    <w:p w:rsidR="00F861BE" w:rsidRPr="00F861BE" w:rsidRDefault="00F861BE" w:rsidP="00F861BE">
      <w:pPr>
        <w:numPr>
          <w:ilvl w:val="0"/>
          <w:numId w:val="24"/>
        </w:numPr>
        <w:autoSpaceDE w:val="0"/>
        <w:autoSpaceDN w:val="0"/>
        <w:adjustRightInd w:val="0"/>
        <w:spacing w:before="0" w:after="0"/>
        <w:jc w:val="left"/>
        <w:rPr>
          <w:kern w:val="32"/>
          <w:szCs w:val="22"/>
          <w:lang w:val="en-US"/>
        </w:rPr>
      </w:pPr>
      <w:r w:rsidRPr="00F861BE">
        <w:rPr>
          <w:kern w:val="32"/>
          <w:szCs w:val="22"/>
          <w:lang w:val="en-US"/>
        </w:rPr>
        <w:t>Unaudited net financial debt of Univeg per 31 March 2015</w:t>
      </w:r>
    </w:p>
    <w:p w:rsidR="00F861BE" w:rsidRPr="00F861BE" w:rsidRDefault="00F861BE" w:rsidP="00F861BE">
      <w:pPr>
        <w:numPr>
          <w:ilvl w:val="0"/>
          <w:numId w:val="24"/>
        </w:numPr>
        <w:autoSpaceDE w:val="0"/>
        <w:autoSpaceDN w:val="0"/>
        <w:adjustRightInd w:val="0"/>
        <w:spacing w:before="0" w:after="0"/>
        <w:jc w:val="left"/>
        <w:rPr>
          <w:kern w:val="32"/>
          <w:szCs w:val="22"/>
          <w:lang w:val="en-US"/>
        </w:rPr>
      </w:pPr>
      <w:r w:rsidRPr="00F861BE">
        <w:rPr>
          <w:kern w:val="32"/>
          <w:szCs w:val="22"/>
          <w:lang w:val="en-US"/>
        </w:rPr>
        <w:t>Unaudited net financial debt of Peatinvest per 31 March 2015</w:t>
      </w:r>
    </w:p>
    <w:p w:rsidR="00F861BE" w:rsidRPr="00F861BE" w:rsidRDefault="00F861BE" w:rsidP="00F861BE">
      <w:pPr>
        <w:numPr>
          <w:ilvl w:val="0"/>
          <w:numId w:val="24"/>
        </w:numPr>
        <w:autoSpaceDE w:val="0"/>
        <w:autoSpaceDN w:val="0"/>
        <w:adjustRightInd w:val="0"/>
        <w:spacing w:before="0" w:after="0"/>
        <w:jc w:val="left"/>
        <w:rPr>
          <w:kern w:val="32"/>
          <w:szCs w:val="22"/>
          <w:lang w:val="en-US"/>
        </w:rPr>
      </w:pPr>
      <w:r>
        <w:rPr>
          <w:kern w:val="32"/>
          <w:szCs w:val="22"/>
          <w:lang w:val="en-US"/>
        </w:rPr>
        <w:t>Prior</w:t>
      </w:r>
      <w:r w:rsidRPr="00F861BE">
        <w:rPr>
          <w:kern w:val="32"/>
          <w:szCs w:val="22"/>
          <w:lang w:val="en-US"/>
        </w:rPr>
        <w:t xml:space="preserve"> to the </w:t>
      </w:r>
      <w:r w:rsidR="00AC6ED7">
        <w:rPr>
          <w:kern w:val="32"/>
          <w:szCs w:val="22"/>
          <w:lang w:val="en-US"/>
        </w:rPr>
        <w:t>extraordinary general shareholders’</w:t>
      </w:r>
      <w:r w:rsidRPr="00F861BE">
        <w:rPr>
          <w:kern w:val="32"/>
          <w:szCs w:val="22"/>
          <w:lang w:val="en-US"/>
        </w:rPr>
        <w:t xml:space="preserve"> meeting of 19 June 2015, all the subordinated loans outstanding from Greenyard Foods towards Gimv-XL will be paid back. The impact of the repayment of the outstanding subordinated loan is included in the pro forma net financial debt per 31 March 2015.</w:t>
      </w:r>
    </w:p>
    <w:p w:rsidR="00F861BE" w:rsidRPr="00F861BE" w:rsidRDefault="00F861BE" w:rsidP="00F861BE">
      <w:pPr>
        <w:autoSpaceDE w:val="0"/>
        <w:autoSpaceDN w:val="0"/>
        <w:adjustRightInd w:val="0"/>
        <w:spacing w:before="0" w:after="0"/>
        <w:rPr>
          <w:kern w:val="32"/>
          <w:szCs w:val="20"/>
        </w:rPr>
      </w:pPr>
    </w:p>
    <w:tbl>
      <w:tblPr>
        <w:tblW w:w="5000" w:type="pct"/>
        <w:tblLook w:val="04A0" w:firstRow="1" w:lastRow="0" w:firstColumn="1" w:lastColumn="0" w:noHBand="0" w:noVBand="1"/>
      </w:tblPr>
      <w:tblGrid>
        <w:gridCol w:w="7884"/>
        <w:gridCol w:w="1361"/>
      </w:tblGrid>
      <w:tr w:rsidR="00F861BE" w:rsidRPr="00F861BE" w:rsidTr="00F861BE">
        <w:trPr>
          <w:tblHeader/>
        </w:trPr>
        <w:tc>
          <w:tcPr>
            <w:tcW w:w="4264" w:type="pct"/>
            <w:shd w:val="clear" w:color="auto" w:fill="auto"/>
            <w:vAlign w:val="bottom"/>
          </w:tcPr>
          <w:p w:rsidR="00F861BE" w:rsidRPr="00F861BE" w:rsidRDefault="00F861BE" w:rsidP="00F861BE">
            <w:pPr>
              <w:pBdr>
                <w:bottom w:val="single" w:sz="4" w:space="1" w:color="auto"/>
              </w:pBdr>
              <w:tabs>
                <w:tab w:val="left" w:pos="5010"/>
              </w:tabs>
              <w:spacing w:before="0" w:after="0"/>
              <w:jc w:val="left"/>
              <w:rPr>
                <w:b/>
                <w:i/>
                <w:sz w:val="18"/>
                <w:szCs w:val="18"/>
              </w:rPr>
            </w:pPr>
            <w:r w:rsidRPr="00F861BE">
              <w:rPr>
                <w:b/>
                <w:i/>
                <w:sz w:val="18"/>
                <w:szCs w:val="18"/>
              </w:rPr>
              <w:t>Pro forma Greenyard Foods (including Fieldlink Group &amp; Peatinvest Group)</w:t>
            </w:r>
          </w:p>
          <w:p w:rsidR="00F861BE" w:rsidRPr="00F861BE" w:rsidRDefault="00F861BE" w:rsidP="00F861BE">
            <w:pPr>
              <w:pBdr>
                <w:bottom w:val="single" w:sz="4" w:space="1" w:color="auto"/>
              </w:pBdr>
              <w:tabs>
                <w:tab w:val="left" w:pos="5010"/>
              </w:tabs>
              <w:spacing w:before="0" w:after="0"/>
              <w:jc w:val="left"/>
              <w:rPr>
                <w:i/>
                <w:sz w:val="18"/>
                <w:szCs w:val="18"/>
              </w:rPr>
            </w:pPr>
            <w:r w:rsidRPr="00F861BE">
              <w:rPr>
                <w:i/>
                <w:sz w:val="18"/>
                <w:szCs w:val="18"/>
              </w:rPr>
              <w:t>(EUR in millions)</w:t>
            </w:r>
          </w:p>
        </w:tc>
        <w:tc>
          <w:tcPr>
            <w:tcW w:w="736" w:type="pct"/>
            <w:shd w:val="clear" w:color="auto" w:fill="auto"/>
            <w:vAlign w:val="bottom"/>
          </w:tcPr>
          <w:p w:rsidR="00F861BE" w:rsidRPr="00F861BE" w:rsidRDefault="00F861BE" w:rsidP="00F861BE">
            <w:pPr>
              <w:pBdr>
                <w:bottom w:val="single" w:sz="4" w:space="1" w:color="auto"/>
              </w:pBdr>
              <w:tabs>
                <w:tab w:val="left" w:pos="5010"/>
              </w:tabs>
              <w:spacing w:before="0" w:after="0"/>
              <w:jc w:val="right"/>
              <w:rPr>
                <w:b/>
                <w:i/>
                <w:sz w:val="18"/>
                <w:szCs w:val="18"/>
              </w:rPr>
            </w:pPr>
            <w:r w:rsidRPr="00F861BE">
              <w:rPr>
                <w:b/>
                <w:i/>
                <w:sz w:val="18"/>
                <w:szCs w:val="18"/>
              </w:rPr>
              <w:t>31 March 2015</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b/>
                <w:sz w:val="18"/>
                <w:szCs w:val="18"/>
              </w:rPr>
            </w:pPr>
            <w:r w:rsidRPr="00F861BE">
              <w:rPr>
                <w:b/>
                <w:sz w:val="18"/>
                <w:szCs w:val="18"/>
              </w:rPr>
              <w:t>Total non-current debt</w:t>
            </w:r>
            <w:r w:rsidRPr="00F861BE">
              <w:rPr>
                <w:b/>
                <w:sz w:val="18"/>
                <w:szCs w:val="18"/>
              </w:rPr>
              <w:tab/>
            </w:r>
          </w:p>
        </w:tc>
        <w:tc>
          <w:tcPr>
            <w:tcW w:w="736" w:type="pct"/>
            <w:vAlign w:val="bottom"/>
          </w:tcPr>
          <w:p w:rsidR="00F861BE" w:rsidRPr="00F861BE" w:rsidRDefault="00F861BE" w:rsidP="00F861BE">
            <w:pPr>
              <w:spacing w:before="0" w:after="0"/>
              <w:jc w:val="right"/>
              <w:outlineLvl w:val="0"/>
              <w:rPr>
                <w:b/>
                <w:sz w:val="18"/>
                <w:szCs w:val="18"/>
              </w:rPr>
            </w:pPr>
            <w:r w:rsidRPr="00F861BE">
              <w:rPr>
                <w:b/>
                <w:sz w:val="18"/>
                <w:szCs w:val="18"/>
              </w:rPr>
              <w:t>-451.1</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sz w:val="18"/>
                <w:szCs w:val="18"/>
              </w:rPr>
            </w:pPr>
            <w:r w:rsidRPr="00F861BE">
              <w:rPr>
                <w:sz w:val="18"/>
                <w:szCs w:val="18"/>
              </w:rPr>
              <w:t>- Guaranteed</w:t>
            </w:r>
            <w:r w:rsidRPr="00F861BE">
              <w:rPr>
                <w:sz w:val="18"/>
                <w:szCs w:val="18"/>
              </w:rPr>
              <w:tab/>
            </w:r>
          </w:p>
        </w:tc>
        <w:tc>
          <w:tcPr>
            <w:tcW w:w="736" w:type="pct"/>
            <w:vAlign w:val="bottom"/>
          </w:tcPr>
          <w:p w:rsidR="00F861BE" w:rsidRPr="00F861BE" w:rsidRDefault="00F861BE" w:rsidP="00F861BE">
            <w:pPr>
              <w:spacing w:before="0" w:after="0"/>
              <w:jc w:val="right"/>
              <w:outlineLvl w:val="0"/>
              <w:rPr>
                <w:sz w:val="18"/>
                <w:szCs w:val="18"/>
              </w:rPr>
            </w:pPr>
            <w:r w:rsidRPr="00F861BE">
              <w:rPr>
                <w:sz w:val="18"/>
                <w:szCs w:val="18"/>
              </w:rPr>
              <w:t>0.0</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sz w:val="18"/>
                <w:szCs w:val="18"/>
              </w:rPr>
            </w:pPr>
            <w:r w:rsidRPr="00F861BE">
              <w:rPr>
                <w:sz w:val="18"/>
                <w:szCs w:val="18"/>
              </w:rPr>
              <w:t>- Secured.</w:t>
            </w:r>
            <w:r w:rsidRPr="00F861BE">
              <w:rPr>
                <w:sz w:val="18"/>
                <w:szCs w:val="18"/>
              </w:rPr>
              <w:tab/>
            </w:r>
          </w:p>
        </w:tc>
        <w:tc>
          <w:tcPr>
            <w:tcW w:w="736" w:type="pct"/>
            <w:vAlign w:val="bottom"/>
          </w:tcPr>
          <w:p w:rsidR="00F861BE" w:rsidRPr="00F861BE" w:rsidRDefault="00F861BE" w:rsidP="00F861BE">
            <w:pPr>
              <w:spacing w:before="0" w:after="0"/>
              <w:jc w:val="right"/>
              <w:outlineLvl w:val="0"/>
              <w:rPr>
                <w:sz w:val="18"/>
                <w:szCs w:val="18"/>
              </w:rPr>
            </w:pPr>
            <w:r w:rsidRPr="00F861BE">
              <w:rPr>
                <w:sz w:val="18"/>
                <w:szCs w:val="18"/>
              </w:rPr>
              <w:t>-451.1</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sz w:val="18"/>
                <w:szCs w:val="18"/>
              </w:rPr>
            </w:pPr>
            <w:r w:rsidRPr="00F861BE">
              <w:rPr>
                <w:sz w:val="18"/>
                <w:szCs w:val="18"/>
              </w:rPr>
              <w:t>- Non-secured / non-guaranteed.</w:t>
            </w:r>
            <w:r w:rsidRPr="00F861BE">
              <w:rPr>
                <w:sz w:val="18"/>
                <w:szCs w:val="18"/>
              </w:rPr>
              <w:tab/>
            </w:r>
          </w:p>
        </w:tc>
        <w:tc>
          <w:tcPr>
            <w:tcW w:w="736" w:type="pct"/>
            <w:vAlign w:val="bottom"/>
          </w:tcPr>
          <w:p w:rsidR="00F861BE" w:rsidRPr="00F861BE" w:rsidRDefault="00F861BE" w:rsidP="00F861BE">
            <w:pPr>
              <w:spacing w:before="0" w:after="0"/>
              <w:jc w:val="right"/>
              <w:outlineLvl w:val="0"/>
              <w:rPr>
                <w:sz w:val="18"/>
                <w:szCs w:val="18"/>
              </w:rPr>
            </w:pPr>
            <w:r w:rsidRPr="00F861BE">
              <w:rPr>
                <w:sz w:val="18"/>
                <w:szCs w:val="18"/>
              </w:rPr>
              <w:t>0.0</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b/>
                <w:sz w:val="18"/>
                <w:szCs w:val="18"/>
                <w:lang w:val="fr-FR"/>
              </w:rPr>
            </w:pPr>
            <w:r w:rsidRPr="00F861BE">
              <w:rPr>
                <w:b/>
                <w:sz w:val="18"/>
                <w:szCs w:val="18"/>
                <w:lang w:val="fr-FR"/>
              </w:rPr>
              <w:t>Total current portion on non-current debt</w:t>
            </w:r>
            <w:r w:rsidRPr="00F861BE">
              <w:rPr>
                <w:b/>
                <w:sz w:val="18"/>
                <w:szCs w:val="18"/>
                <w:lang w:val="fr-FR"/>
              </w:rPr>
              <w:tab/>
            </w:r>
          </w:p>
        </w:tc>
        <w:tc>
          <w:tcPr>
            <w:tcW w:w="736" w:type="pct"/>
            <w:vAlign w:val="bottom"/>
          </w:tcPr>
          <w:p w:rsidR="00F861BE" w:rsidRPr="00F861BE" w:rsidRDefault="00F861BE" w:rsidP="00F861BE">
            <w:pPr>
              <w:spacing w:before="0" w:after="0"/>
              <w:jc w:val="right"/>
              <w:outlineLvl w:val="0"/>
              <w:rPr>
                <w:b/>
                <w:sz w:val="18"/>
                <w:szCs w:val="18"/>
              </w:rPr>
            </w:pPr>
            <w:r w:rsidRPr="00F861BE">
              <w:rPr>
                <w:b/>
                <w:sz w:val="18"/>
                <w:szCs w:val="18"/>
              </w:rPr>
              <w:t>-3.5</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sz w:val="18"/>
                <w:szCs w:val="18"/>
              </w:rPr>
            </w:pPr>
            <w:r w:rsidRPr="00F861BE">
              <w:rPr>
                <w:sz w:val="18"/>
                <w:szCs w:val="18"/>
              </w:rPr>
              <w:t>- Guaranteed</w:t>
            </w:r>
            <w:r w:rsidRPr="00F861BE">
              <w:rPr>
                <w:sz w:val="18"/>
                <w:szCs w:val="18"/>
              </w:rPr>
              <w:tab/>
            </w:r>
          </w:p>
        </w:tc>
        <w:tc>
          <w:tcPr>
            <w:tcW w:w="736" w:type="pct"/>
            <w:vAlign w:val="bottom"/>
          </w:tcPr>
          <w:p w:rsidR="00F861BE" w:rsidRPr="00F861BE" w:rsidRDefault="00F861BE" w:rsidP="00F861BE">
            <w:pPr>
              <w:spacing w:before="0" w:after="0"/>
              <w:jc w:val="right"/>
              <w:outlineLvl w:val="0"/>
              <w:rPr>
                <w:sz w:val="18"/>
                <w:szCs w:val="18"/>
              </w:rPr>
            </w:pPr>
            <w:r w:rsidRPr="00F861BE">
              <w:rPr>
                <w:sz w:val="18"/>
                <w:szCs w:val="18"/>
              </w:rPr>
              <w:t>0.0</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sz w:val="18"/>
                <w:szCs w:val="18"/>
              </w:rPr>
            </w:pPr>
            <w:r w:rsidRPr="00F861BE">
              <w:rPr>
                <w:sz w:val="18"/>
                <w:szCs w:val="18"/>
              </w:rPr>
              <w:t>- Secured</w:t>
            </w:r>
            <w:r w:rsidRPr="00F861BE">
              <w:rPr>
                <w:sz w:val="18"/>
                <w:szCs w:val="18"/>
              </w:rPr>
              <w:tab/>
            </w:r>
          </w:p>
        </w:tc>
        <w:tc>
          <w:tcPr>
            <w:tcW w:w="736" w:type="pct"/>
            <w:vAlign w:val="bottom"/>
          </w:tcPr>
          <w:p w:rsidR="00F861BE" w:rsidRPr="00F861BE" w:rsidRDefault="00F861BE" w:rsidP="00F861BE">
            <w:pPr>
              <w:spacing w:before="0" w:after="0"/>
              <w:jc w:val="right"/>
              <w:outlineLvl w:val="0"/>
              <w:rPr>
                <w:sz w:val="18"/>
                <w:szCs w:val="18"/>
              </w:rPr>
            </w:pPr>
            <w:r w:rsidRPr="00F861BE">
              <w:rPr>
                <w:sz w:val="18"/>
                <w:szCs w:val="18"/>
              </w:rPr>
              <w:t>-3.5</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sz w:val="18"/>
                <w:szCs w:val="18"/>
              </w:rPr>
            </w:pPr>
            <w:r w:rsidRPr="00F861BE">
              <w:rPr>
                <w:sz w:val="18"/>
                <w:szCs w:val="18"/>
              </w:rPr>
              <w:t>- Non-secured / non-guaranteed</w:t>
            </w:r>
            <w:r w:rsidRPr="00F861BE">
              <w:rPr>
                <w:sz w:val="18"/>
                <w:szCs w:val="18"/>
              </w:rPr>
              <w:tab/>
            </w:r>
          </w:p>
        </w:tc>
        <w:tc>
          <w:tcPr>
            <w:tcW w:w="736" w:type="pct"/>
            <w:vAlign w:val="bottom"/>
          </w:tcPr>
          <w:p w:rsidR="00F861BE" w:rsidRPr="00F861BE" w:rsidRDefault="00F861BE" w:rsidP="00F861BE">
            <w:pPr>
              <w:spacing w:before="0" w:after="0"/>
              <w:jc w:val="right"/>
              <w:outlineLvl w:val="0"/>
              <w:rPr>
                <w:sz w:val="18"/>
                <w:szCs w:val="18"/>
              </w:rPr>
            </w:pPr>
            <w:r w:rsidRPr="00F861BE">
              <w:rPr>
                <w:sz w:val="18"/>
                <w:szCs w:val="18"/>
              </w:rPr>
              <w:t>0.0</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b/>
                <w:sz w:val="18"/>
                <w:szCs w:val="18"/>
                <w:lang w:val="fr-FR"/>
              </w:rPr>
            </w:pPr>
            <w:r w:rsidRPr="00F861BE">
              <w:rPr>
                <w:b/>
                <w:sz w:val="18"/>
                <w:szCs w:val="18"/>
                <w:lang w:val="fr-FR"/>
              </w:rPr>
              <w:t>Total current debt (without current portion on non-current debt)</w:t>
            </w:r>
            <w:r w:rsidRPr="00F861BE">
              <w:rPr>
                <w:b/>
                <w:sz w:val="18"/>
                <w:szCs w:val="18"/>
                <w:lang w:val="fr-FR"/>
              </w:rPr>
              <w:tab/>
            </w:r>
          </w:p>
        </w:tc>
        <w:tc>
          <w:tcPr>
            <w:tcW w:w="736" w:type="pct"/>
            <w:vAlign w:val="bottom"/>
          </w:tcPr>
          <w:p w:rsidR="00F861BE" w:rsidRPr="00F861BE" w:rsidRDefault="00F861BE" w:rsidP="00F861BE">
            <w:pPr>
              <w:spacing w:before="0" w:after="0"/>
              <w:jc w:val="right"/>
              <w:outlineLvl w:val="0"/>
              <w:rPr>
                <w:b/>
                <w:sz w:val="18"/>
                <w:szCs w:val="18"/>
              </w:rPr>
            </w:pPr>
            <w:r w:rsidRPr="00F861BE">
              <w:rPr>
                <w:b/>
                <w:sz w:val="18"/>
                <w:szCs w:val="18"/>
              </w:rPr>
              <w:t>-89.2</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sz w:val="18"/>
                <w:szCs w:val="18"/>
              </w:rPr>
            </w:pPr>
            <w:r w:rsidRPr="00F861BE">
              <w:rPr>
                <w:sz w:val="18"/>
                <w:szCs w:val="18"/>
              </w:rPr>
              <w:t>- Guaranteed</w:t>
            </w:r>
            <w:r w:rsidRPr="00F861BE">
              <w:rPr>
                <w:sz w:val="18"/>
                <w:szCs w:val="18"/>
              </w:rPr>
              <w:tab/>
            </w:r>
          </w:p>
        </w:tc>
        <w:tc>
          <w:tcPr>
            <w:tcW w:w="736" w:type="pct"/>
            <w:vAlign w:val="bottom"/>
          </w:tcPr>
          <w:p w:rsidR="00F861BE" w:rsidRPr="00F861BE" w:rsidRDefault="00F861BE" w:rsidP="00F861BE">
            <w:pPr>
              <w:spacing w:before="0" w:after="0"/>
              <w:jc w:val="right"/>
              <w:outlineLvl w:val="0"/>
              <w:rPr>
                <w:sz w:val="18"/>
                <w:szCs w:val="18"/>
              </w:rPr>
            </w:pPr>
            <w:r w:rsidRPr="00F861BE">
              <w:rPr>
                <w:sz w:val="18"/>
                <w:szCs w:val="18"/>
              </w:rPr>
              <w:t>0.0</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sz w:val="18"/>
                <w:szCs w:val="18"/>
              </w:rPr>
            </w:pPr>
            <w:r w:rsidRPr="00F861BE">
              <w:rPr>
                <w:sz w:val="18"/>
                <w:szCs w:val="18"/>
              </w:rPr>
              <w:t>- Secured</w:t>
            </w:r>
            <w:r w:rsidRPr="00F861BE">
              <w:rPr>
                <w:sz w:val="18"/>
                <w:szCs w:val="18"/>
              </w:rPr>
              <w:tab/>
            </w:r>
          </w:p>
        </w:tc>
        <w:tc>
          <w:tcPr>
            <w:tcW w:w="736" w:type="pct"/>
            <w:vAlign w:val="bottom"/>
          </w:tcPr>
          <w:p w:rsidR="00F861BE" w:rsidRPr="00F861BE" w:rsidRDefault="00F861BE" w:rsidP="00F861BE">
            <w:pPr>
              <w:spacing w:before="0" w:after="0"/>
              <w:jc w:val="right"/>
              <w:outlineLvl w:val="0"/>
              <w:rPr>
                <w:sz w:val="18"/>
                <w:szCs w:val="18"/>
              </w:rPr>
            </w:pPr>
            <w:r w:rsidRPr="00F861BE">
              <w:rPr>
                <w:sz w:val="18"/>
                <w:szCs w:val="18"/>
              </w:rPr>
              <w:t>-84.6</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sz w:val="18"/>
                <w:szCs w:val="18"/>
              </w:rPr>
            </w:pPr>
            <w:r w:rsidRPr="00F861BE">
              <w:rPr>
                <w:sz w:val="18"/>
                <w:szCs w:val="18"/>
              </w:rPr>
              <w:t>- Non-secured / guaranteed</w:t>
            </w:r>
            <w:r w:rsidRPr="00F861BE">
              <w:rPr>
                <w:sz w:val="18"/>
                <w:szCs w:val="18"/>
              </w:rPr>
              <w:tab/>
            </w:r>
          </w:p>
        </w:tc>
        <w:tc>
          <w:tcPr>
            <w:tcW w:w="736" w:type="pct"/>
            <w:vAlign w:val="bottom"/>
          </w:tcPr>
          <w:p w:rsidR="00F861BE" w:rsidRPr="00F861BE" w:rsidRDefault="00F861BE" w:rsidP="00F861BE">
            <w:pPr>
              <w:spacing w:before="0" w:after="0"/>
              <w:jc w:val="right"/>
              <w:outlineLvl w:val="0"/>
              <w:rPr>
                <w:sz w:val="18"/>
                <w:szCs w:val="18"/>
              </w:rPr>
            </w:pPr>
            <w:r w:rsidRPr="00F861BE">
              <w:rPr>
                <w:sz w:val="18"/>
                <w:szCs w:val="18"/>
              </w:rPr>
              <w:t>-4.6</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b/>
                <w:sz w:val="18"/>
                <w:szCs w:val="18"/>
                <w:lang w:val="fr-FR"/>
              </w:rPr>
            </w:pPr>
            <w:r w:rsidRPr="00F861BE">
              <w:rPr>
                <w:b/>
                <w:sz w:val="18"/>
                <w:szCs w:val="18"/>
                <w:lang w:val="fr-FR"/>
              </w:rPr>
              <w:t>Total financial debt</w:t>
            </w:r>
            <w:r w:rsidRPr="00F861BE">
              <w:rPr>
                <w:b/>
                <w:sz w:val="18"/>
                <w:szCs w:val="18"/>
                <w:lang w:val="fr-FR"/>
              </w:rPr>
              <w:tab/>
            </w:r>
          </w:p>
        </w:tc>
        <w:tc>
          <w:tcPr>
            <w:tcW w:w="736" w:type="pct"/>
            <w:vAlign w:val="bottom"/>
          </w:tcPr>
          <w:p w:rsidR="00F861BE" w:rsidRPr="00F861BE" w:rsidRDefault="00F861BE" w:rsidP="00F861BE">
            <w:pPr>
              <w:spacing w:before="0" w:after="0"/>
              <w:jc w:val="right"/>
              <w:outlineLvl w:val="0"/>
              <w:rPr>
                <w:b/>
                <w:sz w:val="18"/>
                <w:szCs w:val="18"/>
              </w:rPr>
            </w:pPr>
            <w:r w:rsidRPr="00F861BE">
              <w:rPr>
                <w:b/>
                <w:sz w:val="18"/>
                <w:szCs w:val="18"/>
              </w:rPr>
              <w:t>-543.8</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b/>
                <w:sz w:val="18"/>
                <w:szCs w:val="18"/>
                <w:lang w:val="fr-FR"/>
              </w:rPr>
            </w:pPr>
            <w:r w:rsidRPr="00F861BE">
              <w:rPr>
                <w:b/>
                <w:sz w:val="18"/>
                <w:szCs w:val="18"/>
                <w:lang w:val="fr-FR"/>
              </w:rPr>
              <w:t>Cash and cash equivalents</w:t>
            </w:r>
            <w:r w:rsidRPr="00F861BE">
              <w:rPr>
                <w:b/>
                <w:sz w:val="18"/>
                <w:szCs w:val="18"/>
                <w:lang w:val="fr-FR"/>
              </w:rPr>
              <w:tab/>
            </w:r>
          </w:p>
        </w:tc>
        <w:tc>
          <w:tcPr>
            <w:tcW w:w="736" w:type="pct"/>
          </w:tcPr>
          <w:p w:rsidR="00F861BE" w:rsidRPr="00F861BE" w:rsidRDefault="00F861BE" w:rsidP="00F861BE">
            <w:pPr>
              <w:pBdr>
                <w:bottom w:val="single" w:sz="4" w:space="1" w:color="auto"/>
              </w:pBdr>
              <w:tabs>
                <w:tab w:val="right" w:pos="720"/>
                <w:tab w:val="decimal" w:pos="760"/>
              </w:tabs>
              <w:spacing w:before="0" w:after="0"/>
              <w:jc w:val="right"/>
              <w:rPr>
                <w:b/>
                <w:sz w:val="18"/>
                <w:szCs w:val="18"/>
              </w:rPr>
            </w:pPr>
            <w:r w:rsidRPr="00F861BE">
              <w:rPr>
                <w:b/>
                <w:sz w:val="18"/>
                <w:szCs w:val="18"/>
              </w:rPr>
              <w:t>143.6</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b/>
                <w:sz w:val="18"/>
                <w:szCs w:val="18"/>
                <w:lang w:val="en-US"/>
              </w:rPr>
            </w:pPr>
            <w:r w:rsidRPr="00F861BE">
              <w:rPr>
                <w:b/>
                <w:sz w:val="18"/>
                <w:szCs w:val="18"/>
                <w:lang w:val="en-US"/>
              </w:rPr>
              <w:t>Total net financial debt Greenyard Foods</w:t>
            </w:r>
            <w:r w:rsidRPr="00F861BE">
              <w:rPr>
                <w:b/>
                <w:sz w:val="18"/>
                <w:szCs w:val="18"/>
                <w:lang w:val="en-US"/>
              </w:rPr>
              <w:tab/>
            </w:r>
          </w:p>
        </w:tc>
        <w:tc>
          <w:tcPr>
            <w:tcW w:w="736" w:type="pct"/>
            <w:vAlign w:val="bottom"/>
          </w:tcPr>
          <w:p w:rsidR="00F861BE" w:rsidRPr="00F861BE" w:rsidRDefault="00F861BE" w:rsidP="00F861BE">
            <w:pPr>
              <w:spacing w:before="0" w:after="0"/>
              <w:jc w:val="right"/>
              <w:outlineLvl w:val="0"/>
              <w:rPr>
                <w:b/>
                <w:sz w:val="18"/>
                <w:szCs w:val="18"/>
              </w:rPr>
            </w:pPr>
            <w:r w:rsidRPr="00F861BE">
              <w:rPr>
                <w:b/>
                <w:sz w:val="18"/>
                <w:szCs w:val="18"/>
              </w:rPr>
              <w:t>-400.2</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sz w:val="18"/>
                <w:szCs w:val="18"/>
              </w:rPr>
            </w:pPr>
          </w:p>
        </w:tc>
        <w:tc>
          <w:tcPr>
            <w:tcW w:w="736" w:type="pct"/>
            <w:vAlign w:val="bottom"/>
          </w:tcPr>
          <w:p w:rsidR="00F861BE" w:rsidRPr="00F861BE" w:rsidRDefault="00F861BE" w:rsidP="00F861BE">
            <w:pPr>
              <w:spacing w:before="0" w:after="0"/>
              <w:jc w:val="right"/>
              <w:outlineLvl w:val="0"/>
              <w:rPr>
                <w:sz w:val="18"/>
                <w:szCs w:val="18"/>
              </w:rPr>
            </w:pPr>
          </w:p>
        </w:tc>
      </w:tr>
    </w:tbl>
    <w:p w:rsidR="00F861BE" w:rsidRPr="00F861BE" w:rsidRDefault="00F861BE" w:rsidP="00F861BE">
      <w:pPr>
        <w:autoSpaceDE w:val="0"/>
        <w:autoSpaceDN w:val="0"/>
        <w:adjustRightInd w:val="0"/>
        <w:spacing w:before="0" w:after="0"/>
        <w:rPr>
          <w:rFonts w:ascii="MetaOT-Book" w:hAnsi="MetaOT-Book" w:cs="Arial"/>
          <w:sz w:val="18"/>
        </w:rPr>
      </w:pPr>
    </w:p>
    <w:p w:rsidR="00F861BE" w:rsidRPr="00F861BE" w:rsidRDefault="00F861BE" w:rsidP="00F861BE">
      <w:pPr>
        <w:autoSpaceDE w:val="0"/>
        <w:autoSpaceDN w:val="0"/>
        <w:adjustRightInd w:val="0"/>
        <w:spacing w:before="0" w:after="0"/>
        <w:rPr>
          <w:kern w:val="32"/>
          <w:szCs w:val="22"/>
          <w:lang w:val="en-US"/>
        </w:rPr>
      </w:pPr>
      <w:r w:rsidRPr="00F861BE">
        <w:rPr>
          <w:kern w:val="32"/>
          <w:szCs w:val="22"/>
          <w:lang w:val="en-US"/>
        </w:rPr>
        <w:t xml:space="preserve">The different components of the indebtedness of Greenyard Foods are described in Section 1.5.3. of </w:t>
      </w:r>
      <w:r w:rsidR="00AC6ED7">
        <w:rPr>
          <w:kern w:val="32"/>
          <w:szCs w:val="22"/>
          <w:lang w:val="en-US"/>
        </w:rPr>
        <w:t>Part</w:t>
      </w:r>
      <w:r w:rsidRPr="00F861BE">
        <w:rPr>
          <w:kern w:val="32"/>
          <w:szCs w:val="22"/>
          <w:lang w:val="en-US"/>
        </w:rPr>
        <w:t xml:space="preserve"> IV (</w:t>
      </w:r>
      <w:r w:rsidRPr="00F861BE">
        <w:rPr>
          <w:i/>
          <w:kern w:val="32"/>
          <w:szCs w:val="22"/>
          <w:lang w:val="en-US"/>
        </w:rPr>
        <w:t>Operating and financial review</w:t>
      </w:r>
      <w:r w:rsidRPr="00F861BE">
        <w:rPr>
          <w:kern w:val="32"/>
          <w:szCs w:val="22"/>
          <w:lang w:val="en-US"/>
        </w:rPr>
        <w:t>).</w:t>
      </w:r>
    </w:p>
    <w:p w:rsidR="00F861BE" w:rsidRPr="00F861BE" w:rsidRDefault="00F861BE" w:rsidP="00F861BE">
      <w:pPr>
        <w:autoSpaceDE w:val="0"/>
        <w:autoSpaceDN w:val="0"/>
        <w:adjustRightInd w:val="0"/>
        <w:spacing w:before="0" w:after="0"/>
        <w:rPr>
          <w:kern w:val="32"/>
          <w:szCs w:val="22"/>
          <w:lang w:val="en-US"/>
        </w:rPr>
      </w:pPr>
    </w:p>
    <w:p w:rsidR="00F861BE" w:rsidRPr="00F861BE" w:rsidRDefault="00F861BE" w:rsidP="00F861BE">
      <w:pPr>
        <w:autoSpaceDE w:val="0"/>
        <w:autoSpaceDN w:val="0"/>
        <w:adjustRightInd w:val="0"/>
        <w:spacing w:before="0" w:after="0"/>
        <w:rPr>
          <w:kern w:val="32"/>
          <w:szCs w:val="22"/>
          <w:lang w:val="en-US"/>
        </w:rPr>
      </w:pPr>
      <w:r w:rsidRPr="00F861BE">
        <w:rPr>
          <w:kern w:val="32"/>
          <w:szCs w:val="22"/>
          <w:lang w:val="en-US"/>
        </w:rPr>
        <w:t xml:space="preserve">The different components of the indebtedness of Univeg are described in Section 8.2.2, 8.2.3. and 8.2.4 of </w:t>
      </w:r>
      <w:r w:rsidR="00AC6ED7">
        <w:rPr>
          <w:kern w:val="32"/>
          <w:szCs w:val="22"/>
          <w:lang w:val="en-US"/>
        </w:rPr>
        <w:t>Part</w:t>
      </w:r>
      <w:r w:rsidRPr="00F861BE">
        <w:rPr>
          <w:kern w:val="32"/>
          <w:szCs w:val="22"/>
          <w:lang w:val="en-US"/>
        </w:rPr>
        <w:t xml:space="preserve"> V (</w:t>
      </w:r>
      <w:r w:rsidRPr="00F861BE">
        <w:rPr>
          <w:i/>
          <w:kern w:val="32"/>
          <w:szCs w:val="22"/>
          <w:lang w:val="en-US"/>
        </w:rPr>
        <w:t>Information about Greenyard Foods upon completion of the contributions</w:t>
      </w:r>
      <w:r w:rsidRPr="00F861BE">
        <w:rPr>
          <w:kern w:val="32"/>
          <w:szCs w:val="22"/>
          <w:lang w:val="en-US"/>
        </w:rPr>
        <w:t>).</w:t>
      </w:r>
    </w:p>
    <w:p w:rsidR="00F861BE" w:rsidRPr="00F861BE" w:rsidRDefault="00F861BE" w:rsidP="00F861BE">
      <w:pPr>
        <w:autoSpaceDE w:val="0"/>
        <w:autoSpaceDN w:val="0"/>
        <w:adjustRightInd w:val="0"/>
        <w:spacing w:before="0" w:after="0"/>
        <w:rPr>
          <w:kern w:val="32"/>
          <w:szCs w:val="22"/>
          <w:lang w:val="en-US"/>
        </w:rPr>
      </w:pPr>
    </w:p>
    <w:p w:rsidR="00F861BE" w:rsidRPr="00F861BE" w:rsidRDefault="00F861BE" w:rsidP="00F861BE">
      <w:pPr>
        <w:autoSpaceDE w:val="0"/>
        <w:autoSpaceDN w:val="0"/>
        <w:adjustRightInd w:val="0"/>
        <w:spacing w:before="0" w:after="0"/>
        <w:rPr>
          <w:kern w:val="32"/>
          <w:szCs w:val="22"/>
          <w:lang w:val="en-US"/>
        </w:rPr>
      </w:pPr>
      <w:r w:rsidRPr="00F861BE">
        <w:rPr>
          <w:kern w:val="32"/>
          <w:szCs w:val="22"/>
          <w:lang w:val="en-US"/>
        </w:rPr>
        <w:t>The different components of the indebtedness of Peatinvest are described in Section 8.3.1of PART V (</w:t>
      </w:r>
      <w:r w:rsidRPr="00F861BE">
        <w:rPr>
          <w:i/>
          <w:kern w:val="32"/>
          <w:szCs w:val="22"/>
          <w:lang w:val="en-US"/>
        </w:rPr>
        <w:t>Information about Greenyard Foods upon completion of the contributions</w:t>
      </w:r>
      <w:r w:rsidRPr="00F861BE">
        <w:rPr>
          <w:kern w:val="32"/>
          <w:szCs w:val="22"/>
          <w:lang w:val="en-US"/>
        </w:rPr>
        <w:t>).</w:t>
      </w:r>
    </w:p>
    <w:p w:rsidR="00F861BE" w:rsidRPr="00F861BE" w:rsidRDefault="00F861BE" w:rsidP="00F861BE">
      <w:pPr>
        <w:autoSpaceDE w:val="0"/>
        <w:autoSpaceDN w:val="0"/>
        <w:adjustRightInd w:val="0"/>
        <w:spacing w:before="0" w:after="0"/>
        <w:rPr>
          <w:rFonts w:ascii="MetaOT-Book" w:hAnsi="MetaOT-Book" w:cs="Arial"/>
          <w:sz w:val="18"/>
          <w:lang w:val="en-US"/>
        </w:rPr>
      </w:pPr>
    </w:p>
    <w:p w:rsidR="00F861BE" w:rsidRPr="00F861BE" w:rsidRDefault="00F861BE" w:rsidP="00F861BE">
      <w:pPr>
        <w:spacing w:before="0" w:after="0"/>
        <w:rPr>
          <w:kern w:val="32"/>
          <w:szCs w:val="20"/>
        </w:rPr>
      </w:pPr>
      <w:r w:rsidRPr="00F861BE">
        <w:rPr>
          <w:kern w:val="32"/>
          <w:szCs w:val="20"/>
        </w:rPr>
        <w:t xml:space="preserve">The working capital of Greenyard Foods and Univeg consist of non-recourse factoring agreements. The factoring agreements for Greenyard Foods are described in Section 1.5.3.1. of </w:t>
      </w:r>
      <w:r w:rsidR="00AC6ED7">
        <w:rPr>
          <w:kern w:val="32"/>
          <w:szCs w:val="20"/>
        </w:rPr>
        <w:t>Part</w:t>
      </w:r>
      <w:r w:rsidRPr="00F861BE">
        <w:rPr>
          <w:kern w:val="32"/>
          <w:szCs w:val="20"/>
        </w:rPr>
        <w:t xml:space="preserve"> IV (</w:t>
      </w:r>
      <w:r w:rsidRPr="00F861BE">
        <w:rPr>
          <w:i/>
          <w:kern w:val="32"/>
          <w:szCs w:val="20"/>
        </w:rPr>
        <w:t>Operating and financial review</w:t>
      </w:r>
      <w:r w:rsidRPr="00F861BE">
        <w:rPr>
          <w:kern w:val="32"/>
          <w:szCs w:val="20"/>
        </w:rPr>
        <w:t xml:space="preserve">) and for Univeg are described in Section 8.2.1. of </w:t>
      </w:r>
      <w:r w:rsidR="00AC6ED7">
        <w:rPr>
          <w:kern w:val="32"/>
          <w:szCs w:val="20"/>
        </w:rPr>
        <w:t>Part</w:t>
      </w:r>
      <w:r w:rsidRPr="00F861BE">
        <w:rPr>
          <w:kern w:val="32"/>
          <w:szCs w:val="20"/>
        </w:rPr>
        <w:t xml:space="preserve"> V (</w:t>
      </w:r>
      <w:r w:rsidRPr="00F861BE">
        <w:rPr>
          <w:i/>
          <w:kern w:val="32"/>
          <w:lang w:val="en-US"/>
        </w:rPr>
        <w:t>Information about Greenyard Foods upon completion of the contributions</w:t>
      </w:r>
      <w:r w:rsidRPr="00F861BE">
        <w:rPr>
          <w:kern w:val="32"/>
          <w:lang w:val="en-US"/>
        </w:rPr>
        <w:t>)</w:t>
      </w:r>
    </w:p>
    <w:p w:rsidR="00F861BE" w:rsidRPr="00F861BE" w:rsidRDefault="00F861BE" w:rsidP="00F861BE">
      <w:pPr>
        <w:spacing w:before="0" w:after="0"/>
        <w:jc w:val="left"/>
        <w:rPr>
          <w:kern w:val="32"/>
          <w:szCs w:val="20"/>
        </w:rPr>
      </w:pPr>
    </w:p>
    <w:tbl>
      <w:tblPr>
        <w:tblW w:w="5000" w:type="pct"/>
        <w:tblLook w:val="04A0" w:firstRow="1" w:lastRow="0" w:firstColumn="1" w:lastColumn="0" w:noHBand="0" w:noVBand="1"/>
      </w:tblPr>
      <w:tblGrid>
        <w:gridCol w:w="7884"/>
        <w:gridCol w:w="1361"/>
      </w:tblGrid>
      <w:tr w:rsidR="00F861BE" w:rsidRPr="00F861BE" w:rsidTr="00F861BE">
        <w:trPr>
          <w:tblHeader/>
        </w:trPr>
        <w:tc>
          <w:tcPr>
            <w:tcW w:w="4264" w:type="pct"/>
            <w:shd w:val="clear" w:color="auto" w:fill="auto"/>
            <w:vAlign w:val="bottom"/>
          </w:tcPr>
          <w:p w:rsidR="00F861BE" w:rsidRPr="00F861BE" w:rsidRDefault="00F861BE" w:rsidP="00F861BE">
            <w:pPr>
              <w:pBdr>
                <w:bottom w:val="single" w:sz="4" w:space="1" w:color="auto"/>
              </w:pBdr>
              <w:tabs>
                <w:tab w:val="left" w:pos="5010"/>
              </w:tabs>
              <w:spacing w:before="0" w:after="0"/>
              <w:jc w:val="left"/>
              <w:rPr>
                <w:b/>
                <w:i/>
                <w:sz w:val="18"/>
                <w:szCs w:val="18"/>
              </w:rPr>
            </w:pPr>
            <w:r w:rsidRPr="00F861BE">
              <w:rPr>
                <w:b/>
                <w:i/>
                <w:sz w:val="18"/>
                <w:szCs w:val="18"/>
              </w:rPr>
              <w:t>Pro forma Greenyard Foods (including Fieldlink Group &amp; Peatinvest Group)</w:t>
            </w:r>
          </w:p>
          <w:p w:rsidR="00F861BE" w:rsidRPr="00F861BE" w:rsidRDefault="00F861BE" w:rsidP="00F861BE">
            <w:pPr>
              <w:pBdr>
                <w:bottom w:val="single" w:sz="4" w:space="1" w:color="auto"/>
              </w:pBdr>
              <w:tabs>
                <w:tab w:val="left" w:pos="5010"/>
              </w:tabs>
              <w:spacing w:before="0" w:after="0"/>
              <w:jc w:val="left"/>
              <w:rPr>
                <w:i/>
                <w:sz w:val="18"/>
                <w:szCs w:val="18"/>
              </w:rPr>
            </w:pPr>
            <w:r w:rsidRPr="00F861BE">
              <w:rPr>
                <w:i/>
                <w:sz w:val="18"/>
                <w:szCs w:val="18"/>
              </w:rPr>
              <w:t>(EUR in millions)</w:t>
            </w:r>
          </w:p>
        </w:tc>
        <w:tc>
          <w:tcPr>
            <w:tcW w:w="736" w:type="pct"/>
            <w:shd w:val="clear" w:color="auto" w:fill="auto"/>
            <w:vAlign w:val="bottom"/>
          </w:tcPr>
          <w:p w:rsidR="00F861BE" w:rsidRPr="00F861BE" w:rsidRDefault="00F861BE" w:rsidP="00F861BE">
            <w:pPr>
              <w:pBdr>
                <w:bottom w:val="single" w:sz="4" w:space="1" w:color="auto"/>
              </w:pBdr>
              <w:tabs>
                <w:tab w:val="left" w:pos="5010"/>
              </w:tabs>
              <w:spacing w:before="0" w:after="0"/>
              <w:jc w:val="right"/>
              <w:rPr>
                <w:b/>
                <w:i/>
                <w:sz w:val="18"/>
                <w:szCs w:val="18"/>
              </w:rPr>
            </w:pPr>
            <w:r w:rsidRPr="00F861BE">
              <w:rPr>
                <w:b/>
                <w:i/>
                <w:sz w:val="18"/>
                <w:szCs w:val="18"/>
              </w:rPr>
              <w:t>31 March 2015</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sz w:val="18"/>
                <w:szCs w:val="18"/>
              </w:rPr>
            </w:pPr>
            <w:r w:rsidRPr="00F861BE">
              <w:rPr>
                <w:sz w:val="18"/>
                <w:szCs w:val="18"/>
              </w:rPr>
              <w:t>A. Cash</w:t>
            </w:r>
            <w:r w:rsidRPr="00F861BE">
              <w:rPr>
                <w:sz w:val="18"/>
                <w:szCs w:val="18"/>
              </w:rPr>
              <w:tab/>
            </w:r>
          </w:p>
        </w:tc>
        <w:tc>
          <w:tcPr>
            <w:tcW w:w="736" w:type="pct"/>
            <w:vAlign w:val="bottom"/>
          </w:tcPr>
          <w:p w:rsidR="00F861BE" w:rsidRPr="00F861BE" w:rsidRDefault="00F861BE" w:rsidP="00F861BE">
            <w:pPr>
              <w:spacing w:before="0" w:after="0"/>
              <w:jc w:val="right"/>
              <w:outlineLvl w:val="0"/>
              <w:rPr>
                <w:sz w:val="18"/>
                <w:szCs w:val="18"/>
              </w:rPr>
            </w:pPr>
            <w:r w:rsidRPr="00F861BE">
              <w:rPr>
                <w:sz w:val="18"/>
                <w:szCs w:val="18"/>
              </w:rPr>
              <w:t>143.0</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sz w:val="18"/>
                <w:szCs w:val="18"/>
              </w:rPr>
            </w:pPr>
            <w:r w:rsidRPr="00F861BE">
              <w:rPr>
                <w:sz w:val="18"/>
                <w:szCs w:val="18"/>
              </w:rPr>
              <w:t>B. Cash equivalents</w:t>
            </w:r>
            <w:r w:rsidRPr="00F861BE">
              <w:rPr>
                <w:sz w:val="18"/>
                <w:szCs w:val="18"/>
              </w:rPr>
              <w:tab/>
            </w:r>
          </w:p>
        </w:tc>
        <w:tc>
          <w:tcPr>
            <w:tcW w:w="736" w:type="pct"/>
            <w:vAlign w:val="bottom"/>
          </w:tcPr>
          <w:p w:rsidR="00F861BE" w:rsidRPr="00F861BE" w:rsidRDefault="00F861BE" w:rsidP="00F861BE">
            <w:pPr>
              <w:spacing w:before="0" w:after="0"/>
              <w:jc w:val="right"/>
              <w:outlineLvl w:val="0"/>
              <w:rPr>
                <w:sz w:val="18"/>
                <w:szCs w:val="18"/>
              </w:rPr>
            </w:pPr>
            <w:r w:rsidRPr="00F861BE">
              <w:rPr>
                <w:sz w:val="18"/>
                <w:szCs w:val="18"/>
              </w:rPr>
              <w:t>0.6</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sz w:val="18"/>
                <w:szCs w:val="18"/>
              </w:rPr>
            </w:pPr>
            <w:r w:rsidRPr="00F861BE">
              <w:rPr>
                <w:sz w:val="18"/>
                <w:szCs w:val="18"/>
              </w:rPr>
              <w:t>C. Trading securities.</w:t>
            </w:r>
            <w:r w:rsidRPr="00F861BE">
              <w:rPr>
                <w:sz w:val="18"/>
                <w:szCs w:val="18"/>
              </w:rPr>
              <w:tab/>
            </w:r>
          </w:p>
        </w:tc>
        <w:tc>
          <w:tcPr>
            <w:tcW w:w="736" w:type="pct"/>
            <w:vAlign w:val="bottom"/>
          </w:tcPr>
          <w:p w:rsidR="00F861BE" w:rsidRPr="00F861BE" w:rsidRDefault="00F861BE" w:rsidP="00F861BE">
            <w:pPr>
              <w:spacing w:before="0" w:after="0"/>
              <w:jc w:val="right"/>
              <w:outlineLvl w:val="0"/>
              <w:rPr>
                <w:sz w:val="18"/>
                <w:szCs w:val="18"/>
              </w:rPr>
            </w:pPr>
            <w:r w:rsidRPr="00F861BE">
              <w:rPr>
                <w:sz w:val="18"/>
                <w:szCs w:val="18"/>
              </w:rPr>
              <w:t>0.0</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b/>
                <w:sz w:val="18"/>
                <w:szCs w:val="18"/>
              </w:rPr>
            </w:pPr>
            <w:r w:rsidRPr="00F861BE">
              <w:rPr>
                <w:b/>
                <w:sz w:val="18"/>
                <w:szCs w:val="18"/>
              </w:rPr>
              <w:t>D. Liquidity (A) + (B) + (C).</w:t>
            </w:r>
            <w:r w:rsidRPr="00F861BE">
              <w:rPr>
                <w:b/>
                <w:sz w:val="18"/>
                <w:szCs w:val="18"/>
              </w:rPr>
              <w:tab/>
            </w:r>
          </w:p>
        </w:tc>
        <w:tc>
          <w:tcPr>
            <w:tcW w:w="736" w:type="pct"/>
            <w:vAlign w:val="bottom"/>
          </w:tcPr>
          <w:p w:rsidR="00F861BE" w:rsidRPr="00F861BE" w:rsidRDefault="00F861BE" w:rsidP="00F861BE">
            <w:pPr>
              <w:spacing w:before="0" w:after="0"/>
              <w:jc w:val="right"/>
              <w:outlineLvl w:val="0"/>
              <w:rPr>
                <w:b/>
                <w:sz w:val="18"/>
                <w:szCs w:val="18"/>
              </w:rPr>
            </w:pPr>
            <w:r w:rsidRPr="00F861BE">
              <w:rPr>
                <w:b/>
                <w:sz w:val="18"/>
                <w:szCs w:val="18"/>
              </w:rPr>
              <w:t>143.6</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b/>
                <w:sz w:val="18"/>
                <w:szCs w:val="18"/>
                <w:lang w:val="en-US"/>
              </w:rPr>
            </w:pPr>
            <w:r w:rsidRPr="00F861BE">
              <w:rPr>
                <w:b/>
                <w:sz w:val="18"/>
                <w:szCs w:val="18"/>
                <w:lang w:val="en-US"/>
              </w:rPr>
              <w:t>E. Current financial receivable</w:t>
            </w:r>
            <w:r w:rsidRPr="00F861BE">
              <w:rPr>
                <w:b/>
                <w:sz w:val="18"/>
                <w:szCs w:val="18"/>
                <w:lang w:val="en-US"/>
              </w:rPr>
              <w:tab/>
            </w:r>
          </w:p>
        </w:tc>
        <w:tc>
          <w:tcPr>
            <w:tcW w:w="736" w:type="pct"/>
            <w:vAlign w:val="bottom"/>
          </w:tcPr>
          <w:p w:rsidR="00F861BE" w:rsidRPr="00F861BE" w:rsidRDefault="00F861BE" w:rsidP="00F861BE">
            <w:pPr>
              <w:spacing w:before="0" w:after="0"/>
              <w:jc w:val="right"/>
              <w:outlineLvl w:val="0"/>
              <w:rPr>
                <w:b/>
                <w:sz w:val="18"/>
                <w:szCs w:val="18"/>
              </w:rPr>
            </w:pPr>
            <w:r w:rsidRPr="00F861BE">
              <w:rPr>
                <w:b/>
                <w:sz w:val="18"/>
                <w:szCs w:val="18"/>
              </w:rPr>
              <w:t>0.0</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sz w:val="18"/>
                <w:szCs w:val="18"/>
              </w:rPr>
            </w:pPr>
            <w:r w:rsidRPr="00F861BE">
              <w:rPr>
                <w:sz w:val="18"/>
                <w:szCs w:val="18"/>
              </w:rPr>
              <w:t>F. Current bank debt</w:t>
            </w:r>
            <w:r w:rsidRPr="00F861BE">
              <w:rPr>
                <w:sz w:val="18"/>
                <w:szCs w:val="18"/>
              </w:rPr>
              <w:tab/>
            </w:r>
          </w:p>
        </w:tc>
        <w:tc>
          <w:tcPr>
            <w:tcW w:w="736" w:type="pct"/>
            <w:vAlign w:val="bottom"/>
          </w:tcPr>
          <w:p w:rsidR="00F861BE" w:rsidRPr="00F861BE" w:rsidRDefault="00F861BE" w:rsidP="00F861BE">
            <w:pPr>
              <w:spacing w:before="0" w:after="0"/>
              <w:jc w:val="right"/>
              <w:outlineLvl w:val="0"/>
              <w:rPr>
                <w:sz w:val="18"/>
                <w:szCs w:val="18"/>
              </w:rPr>
            </w:pPr>
            <w:r w:rsidRPr="00F861BE">
              <w:rPr>
                <w:sz w:val="18"/>
                <w:szCs w:val="18"/>
              </w:rPr>
              <w:t>-89.2</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sz w:val="18"/>
                <w:szCs w:val="18"/>
              </w:rPr>
            </w:pPr>
            <w:r w:rsidRPr="00F861BE">
              <w:rPr>
                <w:sz w:val="18"/>
                <w:szCs w:val="18"/>
              </w:rPr>
              <w:t>G. Current portion of non current debt</w:t>
            </w:r>
            <w:r w:rsidRPr="00F861BE">
              <w:rPr>
                <w:sz w:val="18"/>
                <w:szCs w:val="18"/>
              </w:rPr>
              <w:tab/>
            </w:r>
          </w:p>
        </w:tc>
        <w:tc>
          <w:tcPr>
            <w:tcW w:w="736" w:type="pct"/>
            <w:vAlign w:val="bottom"/>
          </w:tcPr>
          <w:p w:rsidR="00F861BE" w:rsidRPr="00F861BE" w:rsidRDefault="00F861BE" w:rsidP="00F861BE">
            <w:pPr>
              <w:spacing w:before="0" w:after="0"/>
              <w:jc w:val="right"/>
              <w:outlineLvl w:val="0"/>
              <w:rPr>
                <w:sz w:val="18"/>
                <w:szCs w:val="18"/>
              </w:rPr>
            </w:pPr>
            <w:r w:rsidRPr="00F861BE">
              <w:rPr>
                <w:sz w:val="18"/>
                <w:szCs w:val="18"/>
              </w:rPr>
              <w:t>-3.5</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sz w:val="18"/>
                <w:szCs w:val="18"/>
              </w:rPr>
            </w:pPr>
            <w:r w:rsidRPr="00F861BE">
              <w:rPr>
                <w:sz w:val="18"/>
                <w:szCs w:val="18"/>
              </w:rPr>
              <w:t>H. Other current financial debt</w:t>
            </w:r>
            <w:r w:rsidRPr="00F861BE">
              <w:rPr>
                <w:sz w:val="18"/>
                <w:szCs w:val="18"/>
              </w:rPr>
              <w:tab/>
            </w:r>
          </w:p>
        </w:tc>
        <w:tc>
          <w:tcPr>
            <w:tcW w:w="736" w:type="pct"/>
            <w:vAlign w:val="bottom"/>
          </w:tcPr>
          <w:p w:rsidR="00F861BE" w:rsidRPr="00F861BE" w:rsidRDefault="00F861BE" w:rsidP="00F861BE">
            <w:pPr>
              <w:spacing w:before="0" w:after="0"/>
              <w:jc w:val="right"/>
              <w:outlineLvl w:val="0"/>
              <w:rPr>
                <w:sz w:val="18"/>
                <w:szCs w:val="18"/>
              </w:rPr>
            </w:pPr>
            <w:r w:rsidRPr="00F861BE">
              <w:rPr>
                <w:sz w:val="18"/>
                <w:szCs w:val="18"/>
              </w:rPr>
              <w:t>0.0</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b/>
                <w:sz w:val="18"/>
                <w:szCs w:val="18"/>
              </w:rPr>
            </w:pPr>
            <w:r w:rsidRPr="00F861BE">
              <w:rPr>
                <w:b/>
                <w:sz w:val="18"/>
                <w:szCs w:val="18"/>
              </w:rPr>
              <w:t>I. Current financial debt (F) + (G) + (H)</w:t>
            </w:r>
            <w:r w:rsidRPr="00F861BE">
              <w:rPr>
                <w:b/>
                <w:sz w:val="18"/>
                <w:szCs w:val="18"/>
              </w:rPr>
              <w:tab/>
            </w:r>
          </w:p>
        </w:tc>
        <w:tc>
          <w:tcPr>
            <w:tcW w:w="736" w:type="pct"/>
            <w:vAlign w:val="bottom"/>
          </w:tcPr>
          <w:p w:rsidR="00F861BE" w:rsidRPr="00F861BE" w:rsidRDefault="00F861BE" w:rsidP="00F861BE">
            <w:pPr>
              <w:spacing w:before="0" w:after="0"/>
              <w:jc w:val="right"/>
              <w:outlineLvl w:val="0"/>
              <w:rPr>
                <w:b/>
                <w:sz w:val="18"/>
                <w:szCs w:val="18"/>
              </w:rPr>
            </w:pPr>
            <w:r w:rsidRPr="00F861BE">
              <w:rPr>
                <w:b/>
                <w:sz w:val="18"/>
                <w:szCs w:val="18"/>
              </w:rPr>
              <w:t>-92.7</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b/>
                <w:sz w:val="18"/>
                <w:szCs w:val="18"/>
              </w:rPr>
            </w:pPr>
            <w:r w:rsidRPr="00F861BE">
              <w:rPr>
                <w:b/>
                <w:sz w:val="18"/>
                <w:szCs w:val="18"/>
              </w:rPr>
              <w:t>J. Net current financial indebtedness (I) – (E) – (D)</w:t>
            </w:r>
            <w:r w:rsidRPr="00F861BE">
              <w:rPr>
                <w:b/>
                <w:sz w:val="18"/>
                <w:szCs w:val="18"/>
              </w:rPr>
              <w:tab/>
            </w:r>
          </w:p>
        </w:tc>
        <w:tc>
          <w:tcPr>
            <w:tcW w:w="736" w:type="pct"/>
            <w:vAlign w:val="bottom"/>
          </w:tcPr>
          <w:p w:rsidR="00F861BE" w:rsidRPr="00F861BE" w:rsidRDefault="00F861BE" w:rsidP="00F861BE">
            <w:pPr>
              <w:spacing w:before="0" w:after="0"/>
              <w:jc w:val="right"/>
              <w:outlineLvl w:val="0"/>
              <w:rPr>
                <w:b/>
                <w:sz w:val="18"/>
                <w:szCs w:val="18"/>
              </w:rPr>
            </w:pPr>
            <w:r w:rsidRPr="00F861BE">
              <w:rPr>
                <w:b/>
                <w:sz w:val="18"/>
                <w:szCs w:val="18"/>
              </w:rPr>
              <w:t>50.9</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b/>
                <w:sz w:val="18"/>
                <w:szCs w:val="18"/>
              </w:rPr>
            </w:pPr>
            <w:r w:rsidRPr="00F861BE">
              <w:rPr>
                <w:sz w:val="18"/>
                <w:szCs w:val="18"/>
              </w:rPr>
              <w:t>K.</w:t>
            </w:r>
            <w:r w:rsidRPr="00F861BE">
              <w:rPr>
                <w:b/>
                <w:sz w:val="18"/>
                <w:szCs w:val="18"/>
              </w:rPr>
              <w:t xml:space="preserve"> </w:t>
            </w:r>
            <w:r w:rsidRPr="00F861BE">
              <w:rPr>
                <w:sz w:val="18"/>
                <w:szCs w:val="18"/>
              </w:rPr>
              <w:t>Non current bank loans</w:t>
            </w:r>
            <w:r w:rsidRPr="00F861BE">
              <w:rPr>
                <w:sz w:val="18"/>
                <w:szCs w:val="18"/>
              </w:rPr>
              <w:tab/>
            </w:r>
          </w:p>
        </w:tc>
        <w:tc>
          <w:tcPr>
            <w:tcW w:w="736" w:type="pct"/>
            <w:vAlign w:val="bottom"/>
          </w:tcPr>
          <w:p w:rsidR="00F861BE" w:rsidRPr="00F861BE" w:rsidRDefault="00F861BE" w:rsidP="00F861BE">
            <w:pPr>
              <w:spacing w:before="0" w:after="0"/>
              <w:jc w:val="right"/>
              <w:outlineLvl w:val="0"/>
              <w:rPr>
                <w:b/>
                <w:sz w:val="18"/>
                <w:szCs w:val="18"/>
              </w:rPr>
            </w:pPr>
            <w:r w:rsidRPr="00F861BE">
              <w:rPr>
                <w:sz w:val="18"/>
                <w:szCs w:val="18"/>
              </w:rPr>
              <w:t>-17.4</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b/>
                <w:sz w:val="18"/>
                <w:szCs w:val="18"/>
              </w:rPr>
            </w:pPr>
            <w:r w:rsidRPr="00F861BE">
              <w:rPr>
                <w:sz w:val="18"/>
                <w:szCs w:val="18"/>
              </w:rPr>
              <w:t>L.</w:t>
            </w:r>
            <w:r w:rsidRPr="00F861BE">
              <w:rPr>
                <w:b/>
                <w:sz w:val="18"/>
                <w:szCs w:val="18"/>
              </w:rPr>
              <w:t xml:space="preserve"> </w:t>
            </w:r>
            <w:r w:rsidRPr="00F861BE">
              <w:rPr>
                <w:sz w:val="18"/>
                <w:szCs w:val="18"/>
              </w:rPr>
              <w:t>Bonds issued</w:t>
            </w:r>
            <w:r w:rsidRPr="00F861BE">
              <w:rPr>
                <w:sz w:val="18"/>
                <w:szCs w:val="18"/>
              </w:rPr>
              <w:tab/>
            </w:r>
          </w:p>
        </w:tc>
        <w:tc>
          <w:tcPr>
            <w:tcW w:w="736" w:type="pct"/>
            <w:vAlign w:val="bottom"/>
          </w:tcPr>
          <w:p w:rsidR="00F861BE" w:rsidRPr="00F861BE" w:rsidRDefault="00F861BE" w:rsidP="00F861BE">
            <w:pPr>
              <w:spacing w:before="0" w:after="0"/>
              <w:jc w:val="right"/>
              <w:outlineLvl w:val="0"/>
              <w:rPr>
                <w:b/>
                <w:sz w:val="18"/>
                <w:szCs w:val="18"/>
              </w:rPr>
            </w:pPr>
            <w:r w:rsidRPr="00F861BE">
              <w:rPr>
                <w:sz w:val="18"/>
                <w:szCs w:val="18"/>
              </w:rPr>
              <w:t>-433.7</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b/>
                <w:sz w:val="18"/>
                <w:szCs w:val="18"/>
              </w:rPr>
            </w:pPr>
            <w:r w:rsidRPr="00F861BE">
              <w:rPr>
                <w:sz w:val="18"/>
                <w:szCs w:val="18"/>
              </w:rPr>
              <w:t>M.</w:t>
            </w:r>
            <w:r w:rsidRPr="00F861BE">
              <w:rPr>
                <w:b/>
                <w:sz w:val="18"/>
                <w:szCs w:val="18"/>
              </w:rPr>
              <w:t xml:space="preserve"> </w:t>
            </w:r>
            <w:r w:rsidRPr="00F861BE">
              <w:rPr>
                <w:sz w:val="18"/>
                <w:szCs w:val="18"/>
              </w:rPr>
              <w:t>Other</w:t>
            </w:r>
            <w:r w:rsidRPr="00F861BE">
              <w:rPr>
                <w:b/>
                <w:sz w:val="18"/>
                <w:szCs w:val="18"/>
              </w:rPr>
              <w:t xml:space="preserve"> </w:t>
            </w:r>
            <w:r w:rsidRPr="00F861BE">
              <w:rPr>
                <w:sz w:val="18"/>
                <w:szCs w:val="18"/>
              </w:rPr>
              <w:t>non current loans</w:t>
            </w:r>
            <w:r w:rsidRPr="00F861BE">
              <w:rPr>
                <w:sz w:val="18"/>
                <w:szCs w:val="18"/>
              </w:rPr>
              <w:tab/>
            </w:r>
          </w:p>
        </w:tc>
        <w:tc>
          <w:tcPr>
            <w:tcW w:w="736" w:type="pct"/>
            <w:vAlign w:val="bottom"/>
          </w:tcPr>
          <w:p w:rsidR="00F861BE" w:rsidRPr="00F861BE" w:rsidRDefault="00F861BE" w:rsidP="00F861BE">
            <w:pPr>
              <w:spacing w:before="0" w:after="0"/>
              <w:jc w:val="right"/>
              <w:outlineLvl w:val="0"/>
              <w:rPr>
                <w:b/>
                <w:sz w:val="18"/>
                <w:szCs w:val="18"/>
              </w:rPr>
            </w:pPr>
            <w:r w:rsidRPr="00F861BE">
              <w:rPr>
                <w:sz w:val="18"/>
                <w:szCs w:val="18"/>
              </w:rPr>
              <w:t>0.0</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b/>
                <w:sz w:val="18"/>
                <w:szCs w:val="18"/>
              </w:rPr>
            </w:pPr>
            <w:r w:rsidRPr="00F861BE">
              <w:rPr>
                <w:b/>
                <w:sz w:val="18"/>
                <w:szCs w:val="18"/>
              </w:rPr>
              <w:t>N. Non-current financial indebtedness (K)+(L)+(M)</w:t>
            </w:r>
            <w:r w:rsidRPr="00F861BE">
              <w:rPr>
                <w:b/>
                <w:sz w:val="18"/>
                <w:szCs w:val="18"/>
              </w:rPr>
              <w:tab/>
            </w:r>
          </w:p>
        </w:tc>
        <w:tc>
          <w:tcPr>
            <w:tcW w:w="736" w:type="pct"/>
            <w:vAlign w:val="bottom"/>
          </w:tcPr>
          <w:p w:rsidR="00F861BE" w:rsidRPr="00F861BE" w:rsidRDefault="00F861BE" w:rsidP="00F861BE">
            <w:pPr>
              <w:spacing w:before="0" w:after="0"/>
              <w:jc w:val="right"/>
              <w:outlineLvl w:val="0"/>
              <w:rPr>
                <w:b/>
                <w:sz w:val="18"/>
                <w:szCs w:val="18"/>
              </w:rPr>
            </w:pPr>
            <w:r w:rsidRPr="00F861BE">
              <w:rPr>
                <w:b/>
                <w:sz w:val="18"/>
                <w:szCs w:val="18"/>
              </w:rPr>
              <w:t>-451.1</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b/>
                <w:sz w:val="18"/>
                <w:szCs w:val="18"/>
              </w:rPr>
            </w:pPr>
          </w:p>
        </w:tc>
        <w:tc>
          <w:tcPr>
            <w:tcW w:w="736" w:type="pct"/>
            <w:vAlign w:val="bottom"/>
          </w:tcPr>
          <w:p w:rsidR="00F861BE" w:rsidRPr="00F861BE" w:rsidRDefault="00F861BE" w:rsidP="00F861BE">
            <w:pPr>
              <w:spacing w:before="0" w:after="0"/>
              <w:jc w:val="right"/>
              <w:outlineLvl w:val="0"/>
              <w:rPr>
                <w:b/>
                <w:sz w:val="18"/>
                <w:szCs w:val="18"/>
              </w:rPr>
            </w:pP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vAlign w:val="bottom"/>
          </w:tcPr>
          <w:p w:rsidR="00F861BE" w:rsidRPr="00F861BE" w:rsidRDefault="00F861BE" w:rsidP="00F861BE">
            <w:pPr>
              <w:tabs>
                <w:tab w:val="left" w:leader="dot" w:pos="7126"/>
              </w:tabs>
              <w:spacing w:before="0" w:after="0"/>
              <w:jc w:val="left"/>
              <w:outlineLvl w:val="0"/>
              <w:rPr>
                <w:b/>
                <w:sz w:val="18"/>
                <w:szCs w:val="18"/>
              </w:rPr>
            </w:pPr>
            <w:r w:rsidRPr="00F861BE">
              <w:rPr>
                <w:b/>
                <w:sz w:val="18"/>
                <w:szCs w:val="18"/>
              </w:rPr>
              <w:t xml:space="preserve">O. Total net financial indebtedness Greenyard Foods (N)+(J) </w:t>
            </w:r>
            <w:r w:rsidRPr="00F861BE">
              <w:rPr>
                <w:b/>
                <w:sz w:val="18"/>
                <w:szCs w:val="18"/>
              </w:rPr>
              <w:tab/>
            </w:r>
          </w:p>
        </w:tc>
        <w:tc>
          <w:tcPr>
            <w:tcW w:w="736" w:type="pct"/>
            <w:vAlign w:val="bottom"/>
          </w:tcPr>
          <w:p w:rsidR="00F861BE" w:rsidRPr="00F861BE" w:rsidRDefault="00F861BE" w:rsidP="00F861BE">
            <w:pPr>
              <w:spacing w:before="0" w:after="0"/>
              <w:jc w:val="center"/>
              <w:outlineLvl w:val="0"/>
              <w:rPr>
                <w:b/>
                <w:sz w:val="18"/>
                <w:szCs w:val="18"/>
              </w:rPr>
            </w:pPr>
            <w:r w:rsidRPr="00F861BE">
              <w:rPr>
                <w:b/>
                <w:sz w:val="18"/>
                <w:szCs w:val="18"/>
              </w:rPr>
              <w:t xml:space="preserve">              -400.2</w:t>
            </w:r>
          </w:p>
        </w:tc>
      </w:tr>
      <w:tr w:rsidR="00F861BE" w:rsidRPr="00F861BE" w:rsidTr="00F861BE">
        <w:tblPrEx>
          <w:tblCellMar>
            <w:left w:w="70" w:type="dxa"/>
            <w:right w:w="70" w:type="dxa"/>
          </w:tblCellMar>
        </w:tblPrEx>
        <w:trPr>
          <w:trHeight w:val="255"/>
        </w:trPr>
        <w:tc>
          <w:tcPr>
            <w:tcW w:w="4264" w:type="pct"/>
            <w:tcBorders>
              <w:top w:val="nil"/>
              <w:left w:val="nil"/>
              <w:bottom w:val="nil"/>
              <w:right w:val="nil"/>
            </w:tcBorders>
            <w:shd w:val="clear" w:color="auto" w:fill="auto"/>
            <w:noWrap/>
          </w:tcPr>
          <w:p w:rsidR="00F861BE" w:rsidRPr="00F861BE" w:rsidRDefault="00F861BE" w:rsidP="00F861BE">
            <w:pPr>
              <w:autoSpaceDE w:val="0"/>
              <w:autoSpaceDN w:val="0"/>
              <w:adjustRightInd w:val="0"/>
              <w:spacing w:before="0" w:after="0"/>
              <w:rPr>
                <w:szCs w:val="20"/>
              </w:rPr>
            </w:pPr>
          </w:p>
        </w:tc>
        <w:tc>
          <w:tcPr>
            <w:tcW w:w="736" w:type="pct"/>
            <w:vAlign w:val="bottom"/>
          </w:tcPr>
          <w:p w:rsidR="00F861BE" w:rsidRPr="00F861BE" w:rsidRDefault="00F861BE" w:rsidP="00F861BE">
            <w:pPr>
              <w:spacing w:before="0" w:after="0"/>
              <w:jc w:val="right"/>
              <w:outlineLvl w:val="0"/>
              <w:rPr>
                <w:b/>
                <w:sz w:val="18"/>
                <w:szCs w:val="18"/>
                <w:highlight w:val="yellow"/>
              </w:rPr>
            </w:pPr>
          </w:p>
        </w:tc>
      </w:tr>
    </w:tbl>
    <w:p w:rsidR="00F861BE" w:rsidRPr="00F861BE" w:rsidRDefault="00F861BE" w:rsidP="00F861BE">
      <w:pPr>
        <w:spacing w:before="0" w:after="0"/>
        <w:jc w:val="left"/>
        <w:rPr>
          <w:kern w:val="32"/>
          <w:szCs w:val="20"/>
        </w:rPr>
      </w:pPr>
    </w:p>
    <w:p w:rsidR="00703C66" w:rsidRDefault="003F0BC5" w:rsidP="00353B80">
      <w:pPr>
        <w:pStyle w:val="Firm5L1"/>
        <w:keepNext/>
      </w:pPr>
      <w:r w:rsidRPr="00992199">
        <w:t>Pro forma financial information</w:t>
      </w:r>
      <w:bookmarkEnd w:id="94"/>
      <w:r w:rsidRPr="00992199">
        <w:t xml:space="preserve"> </w:t>
      </w:r>
    </w:p>
    <w:p w:rsidR="003F0BC5" w:rsidRPr="00703C66" w:rsidRDefault="003F0BC5" w:rsidP="00703C66">
      <w:pPr>
        <w:autoSpaceDE w:val="0"/>
        <w:autoSpaceDN w:val="0"/>
        <w:adjustRightInd w:val="0"/>
        <w:spacing w:after="200"/>
        <w:rPr>
          <w:b/>
          <w:bCs/>
          <w:i/>
          <w:color w:val="000000"/>
          <w:szCs w:val="20"/>
          <w:lang w:val="en-US"/>
        </w:rPr>
      </w:pPr>
      <w:r w:rsidRPr="00703C66">
        <w:rPr>
          <w:b/>
          <w:bCs/>
          <w:i/>
          <w:color w:val="000000"/>
          <w:szCs w:val="20"/>
          <w:lang w:val="en-US"/>
        </w:rPr>
        <w:t>[</w:t>
      </w:r>
      <w:r w:rsidR="00E53641">
        <w:rPr>
          <w:b/>
          <w:bCs/>
          <w:i/>
          <w:color w:val="000000"/>
          <w:szCs w:val="20"/>
          <w:lang w:val="en-US"/>
        </w:rPr>
        <w:t>•</w:t>
      </w:r>
      <w:r w:rsidRPr="00703C66">
        <w:rPr>
          <w:b/>
          <w:bCs/>
          <w:i/>
          <w:color w:val="000000"/>
          <w:szCs w:val="20"/>
          <w:lang w:val="en-US"/>
        </w:rPr>
        <w:t>]</w:t>
      </w:r>
    </w:p>
    <w:p w:rsidR="003F0BC5" w:rsidRPr="00992199" w:rsidRDefault="003F0BC5" w:rsidP="00353B80">
      <w:pPr>
        <w:pStyle w:val="Heading1"/>
        <w:keepNext/>
      </w:pPr>
      <w:bookmarkStart w:id="96" w:name="_Toc420593908"/>
      <w:r w:rsidRPr="00992199">
        <w:lastRenderedPageBreak/>
        <w:t xml:space="preserve">PART VII: DESCRIPTION OF THE </w:t>
      </w:r>
      <w:r w:rsidR="00DC6C49">
        <w:t>Shares</w:t>
      </w:r>
      <w:r w:rsidRPr="00992199">
        <w:t xml:space="preserve"> </w:t>
      </w:r>
      <w:r w:rsidRPr="00992199">
        <w:br/>
        <w:t xml:space="preserve">AND ARTICLES OF ASSOCIATION of </w:t>
      </w:r>
      <w:r w:rsidR="002A1AB1">
        <w:t>Greenyard Foods</w:t>
      </w:r>
      <w:bookmarkEnd w:id="96"/>
    </w:p>
    <w:p w:rsidR="003F0BC5" w:rsidRPr="00992199" w:rsidRDefault="003F0BC5" w:rsidP="00353B80">
      <w:pPr>
        <w:pStyle w:val="Firm5L1"/>
        <w:keepNext/>
        <w:numPr>
          <w:ilvl w:val="0"/>
          <w:numId w:val="10"/>
        </w:numPr>
      </w:pPr>
      <w:bookmarkStart w:id="97" w:name="_Toc420593909"/>
      <w:r w:rsidRPr="00992199">
        <w:t>General</w:t>
      </w:r>
      <w:bookmarkEnd w:id="97"/>
    </w:p>
    <w:p w:rsidR="003F0BC5" w:rsidRPr="00992199" w:rsidRDefault="003F0BC5" w:rsidP="003F0BC5">
      <w:pPr>
        <w:rPr>
          <w:szCs w:val="20"/>
        </w:rPr>
      </w:pPr>
      <w:r w:rsidRPr="00992199">
        <w:rPr>
          <w:szCs w:val="20"/>
        </w:rPr>
        <w:t xml:space="preserve">This Part summarises the corporate purpose and the rights attached to the Shares and gives an overview of the relevant legal provisions that apply to the shareholders of the Company. It is based on the Articles of Associations of the Company as amended by its extraordinary </w:t>
      </w:r>
      <w:r w:rsidR="00AA3763">
        <w:rPr>
          <w:szCs w:val="20"/>
        </w:rPr>
        <w:t>general shareholders’ meeting</w:t>
      </w:r>
      <w:r w:rsidRPr="00992199">
        <w:rPr>
          <w:szCs w:val="20"/>
        </w:rPr>
        <w:t xml:space="preserve"> held on 19 September 2014.</w:t>
      </w:r>
      <w:r w:rsidR="00A91110">
        <w:rPr>
          <w:szCs w:val="20"/>
        </w:rPr>
        <w:t xml:space="preserve"> </w:t>
      </w:r>
      <w:r w:rsidR="00A91110" w:rsidRPr="00992199">
        <w:rPr>
          <w:szCs w:val="20"/>
        </w:rPr>
        <w:t xml:space="preserve">A number of modifications to </w:t>
      </w:r>
      <w:r w:rsidR="00A91110">
        <w:rPr>
          <w:szCs w:val="20"/>
        </w:rPr>
        <w:t>Articles of Association</w:t>
      </w:r>
      <w:r w:rsidR="00A91110" w:rsidRPr="00992199">
        <w:rPr>
          <w:szCs w:val="20"/>
        </w:rPr>
        <w:t xml:space="preserve"> of the Company will become effective upon completion of the Transactions. Where relevant, a reference has been included in this Section to the proposed modifications. Reference is made to Section 1 of Part IV (</w:t>
      </w:r>
      <w:r w:rsidR="00A91110" w:rsidRPr="00992199">
        <w:rPr>
          <w:i/>
          <w:szCs w:val="20"/>
        </w:rPr>
        <w:t>The Contributions</w:t>
      </w:r>
      <w:r w:rsidR="00A91110" w:rsidRPr="00992199">
        <w:rPr>
          <w:szCs w:val="20"/>
        </w:rPr>
        <w:t>) for a description of the Transactions, including the conditions to be satisfied with a view to completion of the Transactions.</w:t>
      </w:r>
    </w:p>
    <w:p w:rsidR="003F0BC5" w:rsidRPr="00992199" w:rsidRDefault="003F0BC5" w:rsidP="003F0BC5">
      <w:pPr>
        <w:rPr>
          <w:szCs w:val="20"/>
        </w:rPr>
      </w:pPr>
      <w:r w:rsidRPr="00992199">
        <w:rPr>
          <w:szCs w:val="20"/>
        </w:rPr>
        <w:t>The description provided below is a summary only and does not purport to provide a complete overview of the Articles of Association, nor of the relevant provisions of Belgian law and it should not be considered as legal advice regarding these matters.</w:t>
      </w:r>
    </w:p>
    <w:p w:rsidR="003F0BC5" w:rsidRPr="00992199" w:rsidRDefault="003F0BC5" w:rsidP="00353B80">
      <w:pPr>
        <w:pStyle w:val="Firm5L1"/>
        <w:keepNext/>
      </w:pPr>
      <w:bookmarkStart w:id="98" w:name="_Toc420593910"/>
      <w:r w:rsidRPr="00992199">
        <w:t>Corporate purpose</w:t>
      </w:r>
      <w:bookmarkEnd w:id="98"/>
    </w:p>
    <w:p w:rsidR="003F0BC5" w:rsidRPr="00A91110" w:rsidRDefault="001F4D51" w:rsidP="003F0BC5">
      <w:pPr>
        <w:rPr>
          <w:szCs w:val="20"/>
        </w:rPr>
      </w:pPr>
      <w:r>
        <w:rPr>
          <w:szCs w:val="20"/>
        </w:rPr>
        <w:t xml:space="preserve">See Section </w:t>
      </w:r>
      <w:r w:rsidR="00A91110">
        <w:rPr>
          <w:szCs w:val="20"/>
        </w:rPr>
        <w:t>2.1.3 of Part IV (</w:t>
      </w:r>
      <w:r w:rsidR="00A91110">
        <w:rPr>
          <w:i/>
          <w:szCs w:val="20"/>
        </w:rPr>
        <w:t>The Contributions</w:t>
      </w:r>
      <w:r w:rsidR="00A91110">
        <w:rPr>
          <w:szCs w:val="20"/>
        </w:rPr>
        <w:t>) above. The corporate purpose of the Company will not be amended upon completion of the Transactions.</w:t>
      </w:r>
    </w:p>
    <w:p w:rsidR="003F0BC5" w:rsidRPr="00992199" w:rsidRDefault="003F0BC5" w:rsidP="00353B80">
      <w:pPr>
        <w:pStyle w:val="Firm5L1"/>
        <w:keepNext/>
      </w:pPr>
      <w:bookmarkStart w:id="99" w:name="_Toc420593911"/>
      <w:r w:rsidRPr="00992199">
        <w:t>Description of the rights attached to the Shares</w:t>
      </w:r>
      <w:bookmarkEnd w:id="99"/>
    </w:p>
    <w:p w:rsidR="003F0BC5" w:rsidRPr="00992199" w:rsidRDefault="003F0BC5" w:rsidP="00353B80">
      <w:pPr>
        <w:pStyle w:val="Firm5L2"/>
        <w:keepNext/>
      </w:pPr>
      <w:bookmarkStart w:id="100" w:name="_Toc420593912"/>
      <w:r w:rsidRPr="00992199">
        <w:t>Preferential subscription rights</w:t>
      </w:r>
      <w:bookmarkEnd w:id="100"/>
    </w:p>
    <w:p w:rsidR="003F0BC5" w:rsidRPr="00992199" w:rsidRDefault="003F0BC5" w:rsidP="003F0BC5">
      <w:pPr>
        <w:rPr>
          <w:szCs w:val="20"/>
        </w:rPr>
      </w:pPr>
      <w:r w:rsidRPr="00992199">
        <w:rPr>
          <w:szCs w:val="20"/>
        </w:rPr>
        <w:t xml:space="preserve">In the event of a capital increase in cash with issue of new Shares, or in the event of an issue of convertible bonds or warrants exercisable in cash, the shareholders have a preferential right to subscribe for the new Shares, convertible bonds or warrants, pro rata to the part of the share capital represented by the Shares that they already hold. The </w:t>
      </w:r>
      <w:r w:rsidR="00AA3763">
        <w:rPr>
          <w:szCs w:val="20"/>
        </w:rPr>
        <w:t>general shareholders’ meeting</w:t>
      </w:r>
      <w:r w:rsidRPr="00992199">
        <w:rPr>
          <w:szCs w:val="20"/>
        </w:rPr>
        <w:t xml:space="preserve"> may decide to limit or cancel such preferential subscription right, subject to specific substantive and reporting requirements. Such decision must satisfy the same quorum and majority requirements as the decision to increase the Company’s share capital.</w:t>
      </w:r>
    </w:p>
    <w:p w:rsidR="003F0BC5" w:rsidRPr="00992199" w:rsidRDefault="003F0BC5" w:rsidP="003F0BC5">
      <w:pPr>
        <w:rPr>
          <w:szCs w:val="20"/>
        </w:rPr>
      </w:pPr>
      <w:r w:rsidRPr="00992199">
        <w:rPr>
          <w:szCs w:val="20"/>
        </w:rPr>
        <w:t xml:space="preserve">The shareholders can also decide to authorise the Board of Directors to limit or cancel the preferential subscription right within the framework of the authorised capital, subject to the terms and conditions set forth in the BCC. In principle, the authorisation of the Board of Directors to increase the share capital of the Company through contributions in cash with cancellation or limitation of the preferential right of the existing shareholders is suspended as of the notification to the Company by the FSMA of a public takeover bid on the Shares. The </w:t>
      </w:r>
      <w:r w:rsidR="00AA3763">
        <w:rPr>
          <w:szCs w:val="20"/>
        </w:rPr>
        <w:t>general shareholders’ meeting</w:t>
      </w:r>
      <w:r w:rsidRPr="00992199">
        <w:rPr>
          <w:szCs w:val="20"/>
        </w:rPr>
        <w:t xml:space="preserve"> can, however, authorise the Board of Directors to increase the share capital by issuing further Shares, not representing more than 10% of the Shares of the Company at the time of such a public takeover bid.</w:t>
      </w:r>
    </w:p>
    <w:p w:rsidR="003F0BC5" w:rsidRPr="00992199" w:rsidRDefault="003F0BC5" w:rsidP="00353B80">
      <w:pPr>
        <w:pStyle w:val="Firm5L2"/>
        <w:keepNext/>
      </w:pPr>
      <w:bookmarkStart w:id="101" w:name="_Toc420593913"/>
      <w:r w:rsidRPr="00992199">
        <w:t xml:space="preserve">Right to attend and vote at the Company’s </w:t>
      </w:r>
      <w:r w:rsidR="00AA3763">
        <w:t>general shareholders’ meeting</w:t>
      </w:r>
      <w:bookmarkEnd w:id="101"/>
    </w:p>
    <w:p w:rsidR="003F0BC5" w:rsidRPr="00992199" w:rsidRDefault="003F0BC5" w:rsidP="003F0BC5">
      <w:pPr>
        <w:rPr>
          <w:szCs w:val="20"/>
        </w:rPr>
      </w:pPr>
      <w:r w:rsidRPr="00992199">
        <w:rPr>
          <w:szCs w:val="20"/>
        </w:rPr>
        <w:t xml:space="preserve">The right to attend the </w:t>
      </w:r>
      <w:r w:rsidR="00AA3763">
        <w:rPr>
          <w:szCs w:val="20"/>
        </w:rPr>
        <w:t>general shareholders’ meeting</w:t>
      </w:r>
      <w:r w:rsidRPr="00992199">
        <w:rPr>
          <w:szCs w:val="20"/>
        </w:rPr>
        <w:t xml:space="preserve"> and to exercise the voting right is granted only on the basis of the accounting registration of the Shares in the name of the shareholder and the notification of the intention to participate in accordance with the provisions </w:t>
      </w:r>
      <w:r w:rsidR="0055687C">
        <w:rPr>
          <w:szCs w:val="20"/>
        </w:rPr>
        <w:t>BCC</w:t>
      </w:r>
      <w:r w:rsidRPr="00992199">
        <w:rPr>
          <w:szCs w:val="20"/>
        </w:rPr>
        <w:t xml:space="preserve">. The same formalities apply to the holders of bonds, warrants and certificates issued with collaboration of the Company, who, however, can only attend the </w:t>
      </w:r>
      <w:r w:rsidR="00AA3763">
        <w:rPr>
          <w:szCs w:val="20"/>
        </w:rPr>
        <w:t>general shareholders’ meeting</w:t>
      </w:r>
      <w:r w:rsidRPr="00992199">
        <w:rPr>
          <w:szCs w:val="20"/>
        </w:rPr>
        <w:t xml:space="preserve"> with an advisory vote.</w:t>
      </w:r>
    </w:p>
    <w:p w:rsidR="003F0BC5" w:rsidRPr="00992199" w:rsidRDefault="003F0BC5" w:rsidP="003F0BC5">
      <w:pPr>
        <w:rPr>
          <w:szCs w:val="20"/>
        </w:rPr>
      </w:pPr>
      <w:r w:rsidRPr="00992199">
        <w:rPr>
          <w:szCs w:val="20"/>
        </w:rPr>
        <w:t>Each Share entitles its holder to one vote.</w:t>
      </w:r>
    </w:p>
    <w:p w:rsidR="003F0BC5" w:rsidRPr="00992199" w:rsidRDefault="003F0BC5" w:rsidP="003F0BC5">
      <w:pPr>
        <w:rPr>
          <w:szCs w:val="20"/>
        </w:rPr>
      </w:pPr>
      <w:r w:rsidRPr="00992199">
        <w:rPr>
          <w:szCs w:val="20"/>
        </w:rPr>
        <w:t xml:space="preserve">Holders of bonds, warrants or certificates issued with collaboration of the Company may attend the </w:t>
      </w:r>
      <w:r w:rsidR="00AA3763">
        <w:rPr>
          <w:szCs w:val="20"/>
        </w:rPr>
        <w:t>general shareholders’ meeting</w:t>
      </w:r>
      <w:r w:rsidRPr="00992199">
        <w:rPr>
          <w:szCs w:val="20"/>
        </w:rPr>
        <w:t>, but only with an advisory vote.</w:t>
      </w:r>
    </w:p>
    <w:p w:rsidR="003F0BC5" w:rsidRPr="00992199" w:rsidRDefault="003F0BC5" w:rsidP="00353B80">
      <w:pPr>
        <w:pStyle w:val="Firm5L2"/>
        <w:keepNext/>
      </w:pPr>
      <w:bookmarkStart w:id="102" w:name="_Toc420593914"/>
      <w:r w:rsidRPr="00992199">
        <w:t>Dividend rights</w:t>
      </w:r>
      <w:bookmarkEnd w:id="102"/>
    </w:p>
    <w:p w:rsidR="003F0BC5" w:rsidRPr="00992199" w:rsidRDefault="003F0BC5" w:rsidP="003F0BC5">
      <w:pPr>
        <w:rPr>
          <w:szCs w:val="20"/>
        </w:rPr>
      </w:pPr>
      <w:r w:rsidRPr="00992199">
        <w:rPr>
          <w:szCs w:val="20"/>
        </w:rPr>
        <w:t>Each year, an amount of at least five percent is deducted from the net profit stated in the annual accounts to form a legal reserve. This deduction is no longer required when the reserve fund reaches one tenth of the subscribed share capital.</w:t>
      </w:r>
    </w:p>
    <w:p w:rsidR="003F0BC5" w:rsidRPr="00992199" w:rsidRDefault="003F0BC5" w:rsidP="003F0BC5">
      <w:pPr>
        <w:rPr>
          <w:szCs w:val="20"/>
        </w:rPr>
      </w:pPr>
      <w:r w:rsidRPr="00992199">
        <w:rPr>
          <w:szCs w:val="20"/>
        </w:rPr>
        <w:t xml:space="preserve">Upon the proposal of the Board of Directors, the </w:t>
      </w:r>
      <w:r w:rsidR="00AA3763">
        <w:rPr>
          <w:szCs w:val="20"/>
        </w:rPr>
        <w:t>general shareholders’ meeting</w:t>
      </w:r>
      <w:r w:rsidRPr="00992199">
        <w:rPr>
          <w:szCs w:val="20"/>
        </w:rPr>
        <w:t xml:space="preserve"> decides by a simple majority of the votes on the appropriation of the balance of the net profits, subject to compliance with article 617 </w:t>
      </w:r>
      <w:r w:rsidR="0055687C">
        <w:rPr>
          <w:szCs w:val="20"/>
        </w:rPr>
        <w:t>BCC</w:t>
      </w:r>
      <w:r w:rsidRPr="00992199">
        <w:rPr>
          <w:szCs w:val="20"/>
        </w:rPr>
        <w:t>.</w:t>
      </w:r>
    </w:p>
    <w:p w:rsidR="003F0BC5" w:rsidRPr="00992199" w:rsidRDefault="003F0BC5" w:rsidP="003F0BC5">
      <w:pPr>
        <w:rPr>
          <w:szCs w:val="20"/>
        </w:rPr>
      </w:pPr>
      <w:r w:rsidRPr="00992199">
        <w:rPr>
          <w:szCs w:val="20"/>
        </w:rPr>
        <w:t>The payment of dividends is done at a time and place determined by the Board of Directors.</w:t>
      </w:r>
    </w:p>
    <w:p w:rsidR="003F0BC5" w:rsidRPr="00992199" w:rsidRDefault="003F0BC5" w:rsidP="003F0BC5">
      <w:pPr>
        <w:rPr>
          <w:szCs w:val="20"/>
        </w:rPr>
      </w:pPr>
      <w:r w:rsidRPr="00992199">
        <w:rPr>
          <w:szCs w:val="20"/>
        </w:rPr>
        <w:t xml:space="preserve">The Board of Directors may also decide to pay an interim dividend on the result of the current financial year, subject to compliance with the provisions </w:t>
      </w:r>
      <w:r w:rsidR="0055687C">
        <w:rPr>
          <w:szCs w:val="20"/>
        </w:rPr>
        <w:t>BCC</w:t>
      </w:r>
      <w:r w:rsidRPr="00992199">
        <w:rPr>
          <w:szCs w:val="20"/>
        </w:rPr>
        <w:t>.</w:t>
      </w:r>
    </w:p>
    <w:p w:rsidR="003F0BC5" w:rsidRPr="00992199" w:rsidRDefault="003F0BC5" w:rsidP="00353B80">
      <w:pPr>
        <w:pStyle w:val="Firm5L2"/>
        <w:keepNext/>
      </w:pPr>
      <w:bookmarkStart w:id="103" w:name="_Toc420593915"/>
      <w:r w:rsidRPr="00992199">
        <w:lastRenderedPageBreak/>
        <w:t>Rights regarding liquidation</w:t>
      </w:r>
      <w:bookmarkEnd w:id="103"/>
    </w:p>
    <w:p w:rsidR="003F0BC5" w:rsidRPr="00992199" w:rsidRDefault="003F0BC5" w:rsidP="003F0BC5">
      <w:pPr>
        <w:rPr>
          <w:szCs w:val="20"/>
        </w:rPr>
      </w:pPr>
      <w:r w:rsidRPr="00992199">
        <w:rPr>
          <w:szCs w:val="20"/>
        </w:rPr>
        <w:t xml:space="preserve">In the event of dissolution of the Company, for any reason or at any time, the liquidation shall be effected by liquidators appointed by the </w:t>
      </w:r>
      <w:r w:rsidR="00AA3763">
        <w:rPr>
          <w:szCs w:val="20"/>
        </w:rPr>
        <w:t>general shareholders’ meeting</w:t>
      </w:r>
      <w:r w:rsidRPr="00992199">
        <w:rPr>
          <w:szCs w:val="20"/>
        </w:rPr>
        <w:t xml:space="preserve">, and in the absence of such appointment, the liquidation shall be effected by the Board of Directors, acting as a liquidation committee. Unless decided otherwise, the liquidators shall act jointly. To this end, the liquidators have the broadest powers under article 186 and following </w:t>
      </w:r>
      <w:r w:rsidR="0055687C">
        <w:rPr>
          <w:szCs w:val="20"/>
        </w:rPr>
        <w:t>BCC</w:t>
      </w:r>
      <w:r w:rsidRPr="00992199">
        <w:rPr>
          <w:szCs w:val="20"/>
        </w:rPr>
        <w:t xml:space="preserve">, subject to restrictions imposed by the </w:t>
      </w:r>
      <w:r w:rsidR="00AA3763">
        <w:rPr>
          <w:szCs w:val="20"/>
        </w:rPr>
        <w:t>general shareholders’ meeting</w:t>
      </w:r>
      <w:r w:rsidRPr="00992199">
        <w:rPr>
          <w:szCs w:val="20"/>
        </w:rPr>
        <w:t xml:space="preserve">. The </w:t>
      </w:r>
      <w:r w:rsidR="00AA3763">
        <w:rPr>
          <w:szCs w:val="20"/>
        </w:rPr>
        <w:t>general shareholders’ meeting</w:t>
      </w:r>
      <w:r w:rsidRPr="00992199">
        <w:rPr>
          <w:szCs w:val="20"/>
        </w:rPr>
        <w:t xml:space="preserve"> determines the remuneration of the liquidators.</w:t>
      </w:r>
    </w:p>
    <w:p w:rsidR="003F0BC5" w:rsidRPr="00992199" w:rsidRDefault="003F0BC5" w:rsidP="003F0BC5">
      <w:pPr>
        <w:rPr>
          <w:szCs w:val="20"/>
        </w:rPr>
      </w:pPr>
      <w:r w:rsidRPr="00992199">
        <w:rPr>
          <w:szCs w:val="20"/>
        </w:rPr>
        <w:t>After settlement of all debts, charges and expenses, the net assets are first used to, in cash or in kind, repay the fully paid and not yet repaid amount of the Shares. Any surplus shall be divided equally among all Shares.</w:t>
      </w:r>
    </w:p>
    <w:p w:rsidR="003F0BC5" w:rsidRPr="00992199" w:rsidRDefault="003F0BC5" w:rsidP="003F0BC5">
      <w:pPr>
        <w:rPr>
          <w:szCs w:val="20"/>
        </w:rPr>
      </w:pPr>
      <w:r w:rsidRPr="00992199">
        <w:rPr>
          <w:szCs w:val="20"/>
        </w:rPr>
        <w:t>If the net proceeds are not sufficient to repay all the Shares, the liquidators shall pay the Shares that have been paid to a greater extent until they are on a par with the Shares paid up to a lesser extent or they make an additional call for capital at the expense of the latter.</w:t>
      </w:r>
    </w:p>
    <w:p w:rsidR="003F0BC5" w:rsidRPr="00992199" w:rsidRDefault="003F0BC5" w:rsidP="00353B80">
      <w:pPr>
        <w:pStyle w:val="Firm5L1"/>
        <w:keepNext/>
      </w:pPr>
      <w:bookmarkStart w:id="104" w:name="_Toc420593916"/>
      <w:r w:rsidRPr="00992199">
        <w:t>Acquisition of own shares</w:t>
      </w:r>
      <w:bookmarkEnd w:id="104"/>
    </w:p>
    <w:p w:rsidR="003F0BC5" w:rsidRPr="00992199" w:rsidRDefault="003F0BC5" w:rsidP="003F0BC5">
      <w:pPr>
        <w:rPr>
          <w:iCs/>
          <w:szCs w:val="20"/>
        </w:rPr>
      </w:pPr>
      <w:r w:rsidRPr="00992199">
        <w:rPr>
          <w:iCs/>
          <w:szCs w:val="20"/>
        </w:rPr>
        <w:t xml:space="preserve">The </w:t>
      </w:r>
      <w:r w:rsidR="00AA3763">
        <w:rPr>
          <w:iCs/>
          <w:szCs w:val="20"/>
        </w:rPr>
        <w:t>general shareholders’ meeting</w:t>
      </w:r>
      <w:r w:rsidRPr="00992199">
        <w:rPr>
          <w:iCs/>
          <w:szCs w:val="20"/>
        </w:rPr>
        <w:t xml:space="preserve"> may decide that the Company acquires or can acquire its own Shares in accordance with article 620 </w:t>
      </w:r>
      <w:r w:rsidR="0055687C">
        <w:rPr>
          <w:iCs/>
          <w:szCs w:val="20"/>
        </w:rPr>
        <w:t>BCC</w:t>
      </w:r>
      <w:r w:rsidRPr="00992199">
        <w:rPr>
          <w:iCs/>
          <w:szCs w:val="20"/>
        </w:rPr>
        <w:t>.</w:t>
      </w:r>
    </w:p>
    <w:p w:rsidR="003F0BC5" w:rsidRPr="00992199" w:rsidRDefault="003F0BC5" w:rsidP="003F0BC5">
      <w:pPr>
        <w:rPr>
          <w:iCs/>
          <w:szCs w:val="20"/>
        </w:rPr>
      </w:pPr>
      <w:r w:rsidRPr="00992199">
        <w:rPr>
          <w:iCs/>
          <w:szCs w:val="20"/>
        </w:rPr>
        <w:t xml:space="preserve">The Board of Directors is expressly authorised to acquire, in accordance with the provisions </w:t>
      </w:r>
      <w:r w:rsidR="0055687C">
        <w:rPr>
          <w:iCs/>
          <w:szCs w:val="20"/>
        </w:rPr>
        <w:t>BCC</w:t>
      </w:r>
      <w:r w:rsidRPr="00992199">
        <w:rPr>
          <w:iCs/>
          <w:szCs w:val="20"/>
        </w:rPr>
        <w:t xml:space="preserve">, its own Shares by purchase or exchange, or to dispose of its own Shares, without the requirement of a prior resolution of the </w:t>
      </w:r>
      <w:r w:rsidR="00AA3763">
        <w:rPr>
          <w:iCs/>
          <w:szCs w:val="20"/>
        </w:rPr>
        <w:t>general shareholders’ meeting</w:t>
      </w:r>
      <w:r w:rsidRPr="00992199">
        <w:rPr>
          <w:iCs/>
          <w:szCs w:val="20"/>
        </w:rPr>
        <w:t xml:space="preserve">, directly or through a person acting in its own name but on behalf of the Company, or by a direct subsidiary in the meaning of article 627 </w:t>
      </w:r>
      <w:r w:rsidR="0055687C">
        <w:rPr>
          <w:iCs/>
          <w:szCs w:val="20"/>
        </w:rPr>
        <w:t>BCC</w:t>
      </w:r>
      <w:r w:rsidRPr="00992199">
        <w:rPr>
          <w:iCs/>
          <w:szCs w:val="20"/>
        </w:rPr>
        <w:t>, if such acquisition or disposal is necessary to prevent a serious and imminent harm to the Company.</w:t>
      </w:r>
    </w:p>
    <w:p w:rsidR="003F0BC5" w:rsidRPr="00992199" w:rsidRDefault="003F0BC5" w:rsidP="003F0BC5">
      <w:pPr>
        <w:autoSpaceDE w:val="0"/>
        <w:autoSpaceDN w:val="0"/>
        <w:adjustRightInd w:val="0"/>
        <w:rPr>
          <w:iCs/>
          <w:szCs w:val="20"/>
        </w:rPr>
      </w:pPr>
      <w:r w:rsidRPr="00992199">
        <w:rPr>
          <w:iCs/>
          <w:szCs w:val="20"/>
        </w:rPr>
        <w:t xml:space="preserve">This authorisation is valid for a period of three years from the publication of the authorising resolution of the extraordinary </w:t>
      </w:r>
      <w:r w:rsidR="00AA3763">
        <w:rPr>
          <w:iCs/>
          <w:szCs w:val="20"/>
        </w:rPr>
        <w:t>general shareholders’ meeting</w:t>
      </w:r>
      <w:r w:rsidRPr="00992199">
        <w:rPr>
          <w:iCs/>
          <w:szCs w:val="20"/>
        </w:rPr>
        <w:t xml:space="preserve"> of the Company on 19 September 2014. This authorisation may be renewed in accordance with article 620 </w:t>
      </w:r>
      <w:r w:rsidR="0055687C">
        <w:rPr>
          <w:iCs/>
          <w:szCs w:val="20"/>
        </w:rPr>
        <w:t>BCC</w:t>
      </w:r>
      <w:r w:rsidRPr="00992199">
        <w:rPr>
          <w:iCs/>
          <w:szCs w:val="20"/>
        </w:rPr>
        <w:t>.</w:t>
      </w:r>
    </w:p>
    <w:p w:rsidR="003F0BC5" w:rsidRPr="00992199" w:rsidRDefault="003F0BC5" w:rsidP="003F0BC5">
      <w:pPr>
        <w:rPr>
          <w:iCs/>
          <w:szCs w:val="20"/>
        </w:rPr>
      </w:pPr>
      <w:r w:rsidRPr="00992199">
        <w:rPr>
          <w:iCs/>
          <w:szCs w:val="20"/>
        </w:rPr>
        <w:t xml:space="preserve">The own Shares held by the Company which are listed on the regulated market of Euronext Brussels may be disposed of by the Board of Directors, without prior consent of the </w:t>
      </w:r>
      <w:r w:rsidR="00AA3763">
        <w:rPr>
          <w:iCs/>
          <w:szCs w:val="20"/>
        </w:rPr>
        <w:t>general shareholders’ meeting</w:t>
      </w:r>
      <w:r w:rsidRPr="00992199">
        <w:rPr>
          <w:iCs/>
          <w:szCs w:val="20"/>
        </w:rPr>
        <w:t xml:space="preserve">. The Board of Directors is, in accordance with article 620 </w:t>
      </w:r>
      <w:r w:rsidR="0055687C">
        <w:rPr>
          <w:iCs/>
          <w:szCs w:val="20"/>
        </w:rPr>
        <w:t>BCC</w:t>
      </w:r>
      <w:r w:rsidRPr="00992199">
        <w:rPr>
          <w:iCs/>
          <w:szCs w:val="20"/>
        </w:rPr>
        <w:t xml:space="preserve">, authorised to acquire the maximum number of Shares legally permitted by purchase or exchange in accordance with the provisions </w:t>
      </w:r>
      <w:r w:rsidR="0055687C">
        <w:rPr>
          <w:iCs/>
          <w:szCs w:val="20"/>
        </w:rPr>
        <w:t>BCC</w:t>
      </w:r>
      <w:r w:rsidRPr="00992199">
        <w:rPr>
          <w:iCs/>
          <w:szCs w:val="20"/>
        </w:rPr>
        <w:t xml:space="preserve"> at a price equal to the price at which such Shares are listed on a stock exchange in the European Union at the time of the purchase or the exchange. This authorisation is valid for a period of five years from the date of publication of the authorisation, as approved by the </w:t>
      </w:r>
      <w:r w:rsidR="00AA3763">
        <w:rPr>
          <w:iCs/>
          <w:szCs w:val="20"/>
        </w:rPr>
        <w:t>general shareholders’ meeting</w:t>
      </w:r>
      <w:r w:rsidRPr="00992199">
        <w:rPr>
          <w:iCs/>
          <w:szCs w:val="20"/>
        </w:rPr>
        <w:t xml:space="preserve"> on 19 September 2014, in the Annexes to the Belgian State Gazette </w:t>
      </w:r>
      <w:r w:rsidRPr="00992199">
        <w:rPr>
          <w:szCs w:val="20"/>
        </w:rPr>
        <w:t>(</w:t>
      </w:r>
      <w:r w:rsidRPr="00992199">
        <w:rPr>
          <w:i/>
          <w:szCs w:val="20"/>
        </w:rPr>
        <w:t>Belgisch Staatsblad / Moniteur Belge</w:t>
      </w:r>
      <w:r w:rsidRPr="00992199">
        <w:rPr>
          <w:szCs w:val="20"/>
        </w:rPr>
        <w:t>)</w:t>
      </w:r>
      <w:r w:rsidRPr="00992199">
        <w:rPr>
          <w:iCs/>
          <w:szCs w:val="20"/>
        </w:rPr>
        <w:t xml:space="preserve">. This authorisation may be renewed in accordance with article 620 </w:t>
      </w:r>
      <w:r w:rsidR="0055687C">
        <w:rPr>
          <w:iCs/>
          <w:szCs w:val="20"/>
        </w:rPr>
        <w:t>BCC</w:t>
      </w:r>
      <w:r w:rsidRPr="00992199">
        <w:rPr>
          <w:iCs/>
          <w:szCs w:val="20"/>
        </w:rPr>
        <w:t>.</w:t>
      </w:r>
    </w:p>
    <w:p w:rsidR="003F0BC5" w:rsidRPr="00992199" w:rsidRDefault="003F0BC5" w:rsidP="00353B80">
      <w:pPr>
        <w:pStyle w:val="Firm5L1"/>
        <w:keepNext/>
      </w:pPr>
      <w:bookmarkStart w:id="105" w:name="_Toc420593917"/>
      <w:r w:rsidRPr="00992199">
        <w:t>Authorised Capital</w:t>
      </w:r>
      <w:bookmarkEnd w:id="105"/>
    </w:p>
    <w:p w:rsidR="003F0BC5" w:rsidRPr="00992199" w:rsidRDefault="003F0BC5" w:rsidP="003F0BC5">
      <w:pPr>
        <w:rPr>
          <w:szCs w:val="20"/>
        </w:rPr>
      </w:pPr>
      <w:r w:rsidRPr="00992199">
        <w:rPr>
          <w:szCs w:val="20"/>
        </w:rPr>
        <w:t xml:space="preserve">The Board of Directors is authorised, for a period of five years from the date of publication of the recording of the realisation of the capital increases that were approved by extraordinary </w:t>
      </w:r>
      <w:r w:rsidR="00AA3763">
        <w:rPr>
          <w:szCs w:val="20"/>
        </w:rPr>
        <w:t>general shareholders’ meeting</w:t>
      </w:r>
      <w:r w:rsidRPr="00992199">
        <w:rPr>
          <w:szCs w:val="20"/>
        </w:rPr>
        <w:t xml:space="preserve"> of the Company on 2 December 2011, in the Annexes to the Belgian State Gazette (</w:t>
      </w:r>
      <w:r w:rsidRPr="00992199">
        <w:rPr>
          <w:i/>
          <w:szCs w:val="20"/>
        </w:rPr>
        <w:t>Belgisch Staatsblad / Moniteur Belge</w:t>
      </w:r>
      <w:r w:rsidRPr="00992199">
        <w:rPr>
          <w:szCs w:val="20"/>
        </w:rPr>
        <w:t>), to increase the share capital in one or more times by issuing a number of Shares or financial instruments giving right to a number of Shares, with the amount of the share capital outstanding, on the dates and in accordance with the terms and conditions that will be determined by the Board of Directors, it being understood that, if the Board of Directors has validly issued convertible bonds or warrants within this period, these convertible bonds or warrants give the right to subscribe to a capital increase of the Company until the end of the exercise period, regardless of whether this exercise period may or may not be within the five-year period.</w:t>
      </w:r>
    </w:p>
    <w:p w:rsidR="003F0BC5" w:rsidRPr="00992199" w:rsidRDefault="003F0BC5" w:rsidP="003F0BC5">
      <w:pPr>
        <w:rPr>
          <w:szCs w:val="20"/>
        </w:rPr>
      </w:pPr>
      <w:r w:rsidRPr="00992199">
        <w:rPr>
          <w:szCs w:val="20"/>
        </w:rPr>
        <w:t>This authorisation of the Board of Directors is renewable subject to the terms and conditions as provided by the BCC.</w:t>
      </w:r>
    </w:p>
    <w:p w:rsidR="003F0BC5" w:rsidRPr="00992199" w:rsidRDefault="003F0BC5" w:rsidP="003F0BC5">
      <w:pPr>
        <w:rPr>
          <w:szCs w:val="20"/>
        </w:rPr>
      </w:pPr>
      <w:r w:rsidRPr="00992199">
        <w:rPr>
          <w:szCs w:val="20"/>
        </w:rPr>
        <w:t xml:space="preserve">Within the above limits and without prejudice to the mandatory provisions </w:t>
      </w:r>
      <w:r w:rsidR="0055687C">
        <w:rPr>
          <w:szCs w:val="20"/>
        </w:rPr>
        <w:t>BCC</w:t>
      </w:r>
      <w:r w:rsidRPr="00992199">
        <w:rPr>
          <w:szCs w:val="20"/>
        </w:rPr>
        <w:t xml:space="preserve">, the capital increases decided upon by means of the authorised share capital, can be made: by contributions in cash and, within the legal limits and conditions, by contribution in kind, or by incorporation of available and unavailable reserves, and by incorporation of the account </w:t>
      </w:r>
      <w:r w:rsidR="00BF553B">
        <w:rPr>
          <w:szCs w:val="20"/>
        </w:rPr>
        <w:t>“</w:t>
      </w:r>
      <w:r w:rsidRPr="00992199">
        <w:rPr>
          <w:szCs w:val="20"/>
        </w:rPr>
        <w:t>share premium</w:t>
      </w:r>
      <w:r w:rsidR="00BF553B">
        <w:rPr>
          <w:szCs w:val="20"/>
        </w:rPr>
        <w:t>”</w:t>
      </w:r>
      <w:r w:rsidRPr="00992199">
        <w:rPr>
          <w:szCs w:val="20"/>
        </w:rPr>
        <w:t xml:space="preserve"> and </w:t>
      </w:r>
      <w:r w:rsidR="00BF553B">
        <w:rPr>
          <w:szCs w:val="20"/>
        </w:rPr>
        <w:t>“</w:t>
      </w:r>
      <w:r w:rsidRPr="00992199">
        <w:rPr>
          <w:szCs w:val="20"/>
        </w:rPr>
        <w:t>revaluation gains</w:t>
      </w:r>
      <w:r w:rsidR="00BF553B">
        <w:rPr>
          <w:szCs w:val="20"/>
        </w:rPr>
        <w:t>”</w:t>
      </w:r>
      <w:r w:rsidRPr="00992199">
        <w:rPr>
          <w:szCs w:val="20"/>
        </w:rPr>
        <w:t>. Increases may occur with or without issuing new Shares.</w:t>
      </w:r>
    </w:p>
    <w:p w:rsidR="003F0BC5" w:rsidRPr="00992199" w:rsidRDefault="003F0BC5" w:rsidP="003F0BC5">
      <w:pPr>
        <w:rPr>
          <w:szCs w:val="20"/>
        </w:rPr>
      </w:pPr>
      <w:r w:rsidRPr="00992199">
        <w:rPr>
          <w:szCs w:val="20"/>
        </w:rPr>
        <w:t xml:space="preserve">If the Board of Directors, as a result of its decision to increase the share capital, requests the payment of an issue premium, the Board of Directors will allocate the amount of the issue premium to a blocked reserve account called </w:t>
      </w:r>
      <w:r w:rsidR="00BF553B">
        <w:rPr>
          <w:szCs w:val="20"/>
        </w:rPr>
        <w:t>“</w:t>
      </w:r>
      <w:r w:rsidRPr="00992199">
        <w:rPr>
          <w:szCs w:val="20"/>
        </w:rPr>
        <w:t>share premium</w:t>
      </w:r>
      <w:r w:rsidR="00BF553B">
        <w:rPr>
          <w:szCs w:val="20"/>
        </w:rPr>
        <w:t>”</w:t>
      </w:r>
      <w:r w:rsidRPr="00992199">
        <w:rPr>
          <w:szCs w:val="20"/>
        </w:rPr>
        <w:t xml:space="preserve">, which will serve as a guarantee for third parties in the same manner as the share capital and which can, subject to its incorporation into the capital, only be reduced or abolished by decision of the </w:t>
      </w:r>
      <w:r w:rsidRPr="00992199">
        <w:rPr>
          <w:szCs w:val="20"/>
        </w:rPr>
        <w:lastRenderedPageBreak/>
        <w:t xml:space="preserve">extraordinary </w:t>
      </w:r>
      <w:r w:rsidR="00AA3763">
        <w:rPr>
          <w:szCs w:val="20"/>
        </w:rPr>
        <w:t>general shareholders’ meeting</w:t>
      </w:r>
      <w:r w:rsidRPr="00992199">
        <w:rPr>
          <w:szCs w:val="20"/>
        </w:rPr>
        <w:t xml:space="preserve"> of the Company, deliberating under the conditions required by article 612 </w:t>
      </w:r>
      <w:r w:rsidR="0055687C">
        <w:rPr>
          <w:szCs w:val="20"/>
        </w:rPr>
        <w:t>BCC</w:t>
      </w:r>
      <w:r w:rsidRPr="00992199">
        <w:rPr>
          <w:szCs w:val="20"/>
        </w:rPr>
        <w:t>.</w:t>
      </w:r>
    </w:p>
    <w:p w:rsidR="003F0BC5" w:rsidRPr="00992199" w:rsidRDefault="003F0BC5" w:rsidP="003F0BC5">
      <w:pPr>
        <w:rPr>
          <w:szCs w:val="20"/>
        </w:rPr>
      </w:pPr>
      <w:r w:rsidRPr="00992199">
        <w:rPr>
          <w:szCs w:val="20"/>
        </w:rPr>
        <w:t xml:space="preserve">Other than the issuance of ordinary Shares, the Board of Directors may also, in the case of a capital increase in the framework of the authorised capital, decide to issue preference Shares, non-voting Shares, Shares under a stock option plan, whether or not subordinated convertible bonds or warrants, whether or not attached to other securities, which may lead to the creation of new Shares, and this in accordance with the relevant provisions </w:t>
      </w:r>
      <w:r w:rsidR="0055687C">
        <w:rPr>
          <w:szCs w:val="20"/>
        </w:rPr>
        <w:t>BCC</w:t>
      </w:r>
      <w:r w:rsidRPr="00992199">
        <w:rPr>
          <w:szCs w:val="20"/>
        </w:rPr>
        <w:t>.</w:t>
      </w:r>
    </w:p>
    <w:p w:rsidR="003F0BC5" w:rsidRPr="00992199" w:rsidRDefault="003F0BC5" w:rsidP="003F0BC5">
      <w:pPr>
        <w:rPr>
          <w:szCs w:val="20"/>
        </w:rPr>
      </w:pPr>
      <w:r w:rsidRPr="00992199">
        <w:rPr>
          <w:szCs w:val="20"/>
        </w:rPr>
        <w:t xml:space="preserve">In case of a capital increase in the framework of the authorised capital, the Board of Directors is also authorised to cancel or limit the mandatory preferential subscription right of the existing shareholders, in the interests of the Company and in accordance with the conditions as provided in article 596 and following </w:t>
      </w:r>
      <w:r w:rsidR="0055687C">
        <w:rPr>
          <w:szCs w:val="20"/>
        </w:rPr>
        <w:t>BCC</w:t>
      </w:r>
      <w:r w:rsidRPr="00992199">
        <w:rPr>
          <w:szCs w:val="20"/>
        </w:rPr>
        <w:t>. In this context, the Board of Directors is authorised to cancel or limit the preferential subscription right for the benefit of one or more specific persons, whether or not employees of the Company o</w:t>
      </w:r>
      <w:r w:rsidR="000C6D22">
        <w:rPr>
          <w:szCs w:val="20"/>
        </w:rPr>
        <w:t>r</w:t>
      </w:r>
      <w:r w:rsidRPr="00992199">
        <w:rPr>
          <w:szCs w:val="20"/>
        </w:rPr>
        <w:t xml:space="preserve"> its subsidiaries, in accordance with article 598 </w:t>
      </w:r>
      <w:r w:rsidR="0055687C">
        <w:rPr>
          <w:szCs w:val="20"/>
        </w:rPr>
        <w:t>BCC</w:t>
      </w:r>
      <w:r w:rsidRPr="00992199">
        <w:rPr>
          <w:szCs w:val="20"/>
        </w:rPr>
        <w:t>.</w:t>
      </w:r>
    </w:p>
    <w:p w:rsidR="003F0BC5" w:rsidRPr="00992199" w:rsidRDefault="003F0BC5" w:rsidP="003F0BC5">
      <w:pPr>
        <w:rPr>
          <w:szCs w:val="20"/>
        </w:rPr>
      </w:pPr>
      <w:r w:rsidRPr="00992199">
        <w:rPr>
          <w:szCs w:val="20"/>
        </w:rPr>
        <w:t xml:space="preserve">The Board of Directors is explicitly authorised to increase the share capital in case of a takeover bid on the securities of the Company under the conditions provided for in article 607 </w:t>
      </w:r>
      <w:r w:rsidR="0055687C">
        <w:rPr>
          <w:szCs w:val="20"/>
        </w:rPr>
        <w:t>BCC</w:t>
      </w:r>
      <w:r w:rsidRPr="00992199">
        <w:rPr>
          <w:szCs w:val="20"/>
        </w:rPr>
        <w:t xml:space="preserve">, after the Company would be informed by the FSMA of a public offer on the Shares. This authorisation is given for a period of three (3) years from the date of publication of the recording of the realisation of the capital increases that were approved by extraordinary </w:t>
      </w:r>
      <w:r w:rsidR="00AA3763">
        <w:rPr>
          <w:szCs w:val="20"/>
        </w:rPr>
        <w:t>general shareholders’ meeting</w:t>
      </w:r>
      <w:r w:rsidRPr="00992199">
        <w:rPr>
          <w:szCs w:val="20"/>
        </w:rPr>
        <w:t xml:space="preserve"> of the Company on 2 December 2011, in the Annexes to the Belgian State Gazette (</w:t>
      </w:r>
      <w:r w:rsidRPr="00992199">
        <w:rPr>
          <w:i/>
          <w:szCs w:val="20"/>
        </w:rPr>
        <w:t>Belgisch Staatsblad / Moniteur Belge</w:t>
      </w:r>
      <w:r w:rsidRPr="00992199">
        <w:rPr>
          <w:szCs w:val="20"/>
        </w:rPr>
        <w:t>),. The capital increases decided upon in the framework of this authorisation shall be allocated to the remaining part of the authorised capital referred to in the first paragraph of this Section 5.</w:t>
      </w:r>
    </w:p>
    <w:p w:rsidR="003F0BC5" w:rsidRPr="00992199" w:rsidRDefault="003F0BC5" w:rsidP="003F0BC5">
      <w:pPr>
        <w:rPr>
          <w:szCs w:val="20"/>
        </w:rPr>
      </w:pPr>
      <w:r w:rsidRPr="00992199">
        <w:rPr>
          <w:szCs w:val="20"/>
        </w:rPr>
        <w:t>The Board of Directors has the authority to amend the Articles of Association in accordance with the capital increases that may have been decided upon within the framework of the authorised capital.</w:t>
      </w:r>
    </w:p>
    <w:p w:rsidR="003F0BC5" w:rsidRDefault="003F0BC5" w:rsidP="003F0BC5">
      <w:pPr>
        <w:rPr>
          <w:szCs w:val="20"/>
        </w:rPr>
      </w:pPr>
      <w:r w:rsidRPr="00992199">
        <w:rPr>
          <w:szCs w:val="20"/>
        </w:rPr>
        <w:t xml:space="preserve">The Board of Directors has proposed to the extraordinary </w:t>
      </w:r>
      <w:r w:rsidR="00AA3763">
        <w:rPr>
          <w:szCs w:val="20"/>
        </w:rPr>
        <w:t>general shareholders’ meeting</w:t>
      </w:r>
      <w:r w:rsidRPr="00992199">
        <w:rPr>
          <w:szCs w:val="20"/>
        </w:rPr>
        <w:t xml:space="preserve"> to be held on [19 June 2015] to renew the authorised capital for a new period of five (5) years from the publication of the authorisation in the Annexes to the Belgian State Gazette (</w:t>
      </w:r>
      <w:r w:rsidRPr="00992199">
        <w:rPr>
          <w:i/>
          <w:szCs w:val="20"/>
        </w:rPr>
        <w:t>Belgisch Staatsblad / Moniteur Belge</w:t>
      </w:r>
      <w:r w:rsidRPr="00992199">
        <w:rPr>
          <w:szCs w:val="20"/>
        </w:rPr>
        <w:t xml:space="preserve">) </w:t>
      </w:r>
      <w:r w:rsidR="00501F53" w:rsidRPr="00992199">
        <w:rPr>
          <w:szCs w:val="20"/>
        </w:rPr>
        <w:t>)</w:t>
      </w:r>
      <w:r w:rsidR="00501F53">
        <w:rPr>
          <w:szCs w:val="20"/>
        </w:rPr>
        <w:t xml:space="preserve"> subject to the </w:t>
      </w:r>
      <w:r w:rsidR="000C6D22">
        <w:rPr>
          <w:szCs w:val="20"/>
        </w:rPr>
        <w:t xml:space="preserve">following </w:t>
      </w:r>
      <w:r w:rsidR="00501F53">
        <w:rPr>
          <w:szCs w:val="20"/>
        </w:rPr>
        <w:t>terms and conditions .</w:t>
      </w:r>
      <w:r w:rsidR="000C6D22">
        <w:rPr>
          <w:szCs w:val="20"/>
        </w:rPr>
        <w:t>:</w:t>
      </w:r>
    </w:p>
    <w:p w:rsidR="000C6D22" w:rsidRPr="00992199" w:rsidRDefault="000C6D22" w:rsidP="000C6D22">
      <w:pPr>
        <w:rPr>
          <w:szCs w:val="20"/>
        </w:rPr>
      </w:pPr>
      <w:r>
        <w:rPr>
          <w:szCs w:val="20"/>
        </w:rPr>
        <w:t xml:space="preserve">The Board of Directors is authorised to, for a period of five years as of the date of publication </w:t>
      </w:r>
      <w:r w:rsidRPr="00992199">
        <w:rPr>
          <w:szCs w:val="20"/>
        </w:rPr>
        <w:t>in the Annexes to the Belgian State Gazette (</w:t>
      </w:r>
      <w:r w:rsidRPr="00992199">
        <w:rPr>
          <w:i/>
          <w:szCs w:val="20"/>
        </w:rPr>
        <w:t>Belgisch Staatsblad / Moniteur Belge</w:t>
      </w:r>
      <w:r w:rsidRPr="00992199">
        <w:rPr>
          <w:szCs w:val="20"/>
        </w:rPr>
        <w:t>)</w:t>
      </w:r>
      <w:r>
        <w:rPr>
          <w:szCs w:val="20"/>
        </w:rPr>
        <w:t xml:space="preserve"> of the decisions of the </w:t>
      </w:r>
      <w:r w:rsidRPr="00992199">
        <w:rPr>
          <w:szCs w:val="20"/>
        </w:rPr>
        <w:t xml:space="preserve">extraordinary </w:t>
      </w:r>
      <w:r>
        <w:rPr>
          <w:szCs w:val="20"/>
        </w:rPr>
        <w:t>general shareholders’ meeting</w:t>
      </w:r>
      <w:r w:rsidRPr="00992199">
        <w:rPr>
          <w:szCs w:val="20"/>
        </w:rPr>
        <w:t xml:space="preserve"> to be held on [19 June 2015]</w:t>
      </w:r>
      <w:r>
        <w:rPr>
          <w:szCs w:val="20"/>
        </w:rPr>
        <w:t xml:space="preserve">, increase the share capital in one or multiple times, </w:t>
      </w:r>
      <w:r w:rsidRPr="00992199">
        <w:rPr>
          <w:szCs w:val="20"/>
        </w:rPr>
        <w:t>with the amount of the share capital outstanding, on the dates and in accordance with the terms and conditions that will be determined by the Board of Directors, it being understood that, if the Board of Directors has validly issued convertible bonds or warrants within this period, these convertible bonds or warrants give the right to subscribe to a capital increase of the Company until the end of the exercise period, regardless of whether this exercise period may or may not be within the five-year period.</w:t>
      </w:r>
    </w:p>
    <w:p w:rsidR="000C6D22" w:rsidRPr="00992199" w:rsidRDefault="000C6D22" w:rsidP="000C6D22">
      <w:pPr>
        <w:rPr>
          <w:szCs w:val="20"/>
        </w:rPr>
      </w:pPr>
      <w:r w:rsidRPr="00992199">
        <w:rPr>
          <w:szCs w:val="20"/>
        </w:rPr>
        <w:t>This authorisation of the Board of Directors is renewable subject to the terms and conditions as provided by the BCC.</w:t>
      </w:r>
    </w:p>
    <w:p w:rsidR="000C6D22" w:rsidRPr="00992199" w:rsidRDefault="000C6D22" w:rsidP="000C6D22">
      <w:pPr>
        <w:rPr>
          <w:szCs w:val="20"/>
        </w:rPr>
      </w:pPr>
      <w:r w:rsidRPr="00992199">
        <w:rPr>
          <w:szCs w:val="20"/>
        </w:rPr>
        <w:t xml:space="preserve">Within the above limits and without prejudice to the mandatory provisions </w:t>
      </w:r>
      <w:r>
        <w:rPr>
          <w:szCs w:val="20"/>
        </w:rPr>
        <w:t>BCC</w:t>
      </w:r>
      <w:r w:rsidRPr="00992199">
        <w:rPr>
          <w:szCs w:val="20"/>
        </w:rPr>
        <w:t xml:space="preserve">, the capital increases decided upon by means of the authorised share capital, can be made: by contributions in cash and, within the legal limits and conditions, by contribution in kind, or by incorporation of available and unavailable reserves, and by incorporation of the account </w:t>
      </w:r>
      <w:r>
        <w:rPr>
          <w:szCs w:val="20"/>
        </w:rPr>
        <w:t>“</w:t>
      </w:r>
      <w:r w:rsidRPr="00992199">
        <w:rPr>
          <w:szCs w:val="20"/>
        </w:rPr>
        <w:t>share premium</w:t>
      </w:r>
      <w:r>
        <w:rPr>
          <w:szCs w:val="20"/>
        </w:rPr>
        <w:t>”</w:t>
      </w:r>
      <w:r w:rsidRPr="00992199">
        <w:rPr>
          <w:szCs w:val="20"/>
        </w:rPr>
        <w:t xml:space="preserve"> and </w:t>
      </w:r>
      <w:r>
        <w:rPr>
          <w:szCs w:val="20"/>
        </w:rPr>
        <w:t>“</w:t>
      </w:r>
      <w:r w:rsidRPr="00992199">
        <w:rPr>
          <w:szCs w:val="20"/>
        </w:rPr>
        <w:t>revaluation gains</w:t>
      </w:r>
      <w:r>
        <w:rPr>
          <w:szCs w:val="20"/>
        </w:rPr>
        <w:t>”</w:t>
      </w:r>
      <w:r w:rsidRPr="00992199">
        <w:rPr>
          <w:szCs w:val="20"/>
        </w:rPr>
        <w:t>. Increases may occur with or without issuing new Shares.</w:t>
      </w:r>
    </w:p>
    <w:p w:rsidR="000C6D22" w:rsidRPr="00992199" w:rsidRDefault="000C6D22" w:rsidP="000C6D22">
      <w:pPr>
        <w:rPr>
          <w:szCs w:val="20"/>
        </w:rPr>
      </w:pPr>
      <w:r>
        <w:rPr>
          <w:szCs w:val="20"/>
        </w:rPr>
        <w:t xml:space="preserve">At the occasion of the increase of the share capital within the limitations of the authorised capital, the Board of Directors has the power to request an issue premium. </w:t>
      </w:r>
      <w:r w:rsidRPr="00992199">
        <w:rPr>
          <w:szCs w:val="20"/>
        </w:rPr>
        <w:t xml:space="preserve">If the Board of Directors, as a result of its decision to increase the share capital, requests the payment of an issue premium, the Board of Directors will allocate the amount of the issue premium to a blocked reserve account called </w:t>
      </w:r>
      <w:r>
        <w:rPr>
          <w:szCs w:val="20"/>
        </w:rPr>
        <w:t>“</w:t>
      </w:r>
      <w:r w:rsidRPr="00992199">
        <w:rPr>
          <w:szCs w:val="20"/>
        </w:rPr>
        <w:t>share premium</w:t>
      </w:r>
      <w:r>
        <w:rPr>
          <w:szCs w:val="20"/>
        </w:rPr>
        <w:t>”</w:t>
      </w:r>
      <w:r w:rsidRPr="00992199">
        <w:rPr>
          <w:szCs w:val="20"/>
        </w:rPr>
        <w:t xml:space="preserve">, which will serve as a guarantee for third parties in the same manner as the share capital and which can, subject to its incorporation into the </w:t>
      </w:r>
      <w:r>
        <w:rPr>
          <w:szCs w:val="20"/>
        </w:rPr>
        <w:t xml:space="preserve">share </w:t>
      </w:r>
      <w:r w:rsidRPr="00992199">
        <w:rPr>
          <w:szCs w:val="20"/>
        </w:rPr>
        <w:t xml:space="preserve">capital, only be reduced or </w:t>
      </w:r>
      <w:r>
        <w:rPr>
          <w:szCs w:val="20"/>
        </w:rPr>
        <w:t>cancelled</w:t>
      </w:r>
      <w:r w:rsidRPr="00992199">
        <w:rPr>
          <w:szCs w:val="20"/>
        </w:rPr>
        <w:t xml:space="preserve"> by decision of the extraordinary </w:t>
      </w:r>
      <w:r>
        <w:rPr>
          <w:szCs w:val="20"/>
        </w:rPr>
        <w:t>general shareholders’ meeting</w:t>
      </w:r>
      <w:r w:rsidRPr="00992199">
        <w:rPr>
          <w:szCs w:val="20"/>
        </w:rPr>
        <w:t xml:space="preserve"> of the Company, deliberating under the conditions required by article 612 </w:t>
      </w:r>
      <w:r>
        <w:rPr>
          <w:szCs w:val="20"/>
        </w:rPr>
        <w:t>BCC</w:t>
      </w:r>
      <w:r w:rsidRPr="00992199">
        <w:rPr>
          <w:szCs w:val="20"/>
        </w:rPr>
        <w:t>.</w:t>
      </w:r>
    </w:p>
    <w:p w:rsidR="000C6D22" w:rsidRPr="00992199" w:rsidRDefault="000C6D22" w:rsidP="000C6D22">
      <w:pPr>
        <w:rPr>
          <w:szCs w:val="20"/>
        </w:rPr>
      </w:pPr>
      <w:r w:rsidRPr="00992199">
        <w:rPr>
          <w:szCs w:val="20"/>
        </w:rPr>
        <w:t>Other than the issuance of ordinary Shares, the Board of Directors may also, in the case of a capital increase in the framework of the authorised capital, decide to issue preference Shares, non-voting Shares, Shares under a stock option plan, convertible bonds</w:t>
      </w:r>
      <w:r>
        <w:rPr>
          <w:szCs w:val="20"/>
        </w:rPr>
        <w:t xml:space="preserve"> (</w:t>
      </w:r>
      <w:r w:rsidRPr="00992199">
        <w:rPr>
          <w:szCs w:val="20"/>
        </w:rPr>
        <w:t>whether or not subordinated</w:t>
      </w:r>
      <w:r>
        <w:rPr>
          <w:szCs w:val="20"/>
        </w:rPr>
        <w:t>),</w:t>
      </w:r>
      <w:r w:rsidRPr="00992199">
        <w:rPr>
          <w:szCs w:val="20"/>
        </w:rPr>
        <w:t xml:space="preserve"> warrants </w:t>
      </w:r>
      <w:r>
        <w:rPr>
          <w:szCs w:val="20"/>
        </w:rPr>
        <w:t>(</w:t>
      </w:r>
      <w:r w:rsidRPr="00992199">
        <w:rPr>
          <w:szCs w:val="20"/>
        </w:rPr>
        <w:t>whether or not attached to other securities</w:t>
      </w:r>
      <w:r>
        <w:rPr>
          <w:szCs w:val="20"/>
        </w:rPr>
        <w:t>)</w:t>
      </w:r>
      <w:r w:rsidRPr="00992199">
        <w:rPr>
          <w:szCs w:val="20"/>
        </w:rPr>
        <w:t xml:space="preserve">, which may lead to the creation of new Shares, and this in accordance with the relevant provisions </w:t>
      </w:r>
      <w:r>
        <w:rPr>
          <w:szCs w:val="20"/>
        </w:rPr>
        <w:t>BCC</w:t>
      </w:r>
      <w:r w:rsidRPr="00992199">
        <w:rPr>
          <w:szCs w:val="20"/>
        </w:rPr>
        <w:t>.</w:t>
      </w:r>
    </w:p>
    <w:p w:rsidR="000C6D22" w:rsidRPr="00992199" w:rsidRDefault="000C6D22" w:rsidP="000C6D22">
      <w:pPr>
        <w:rPr>
          <w:szCs w:val="20"/>
        </w:rPr>
      </w:pPr>
      <w:r w:rsidRPr="00992199">
        <w:rPr>
          <w:szCs w:val="20"/>
        </w:rPr>
        <w:t xml:space="preserve">In case of a capital increase in the framework of the authorised capital, the Board of Directors is also authorised to cancel or limit the mandatory preferential subscription right of the existing shareholders, in the interests of the Company and in accordance with the conditions as provided in article 596 and following </w:t>
      </w:r>
      <w:r>
        <w:rPr>
          <w:szCs w:val="20"/>
        </w:rPr>
        <w:t>BCC</w:t>
      </w:r>
      <w:r w:rsidRPr="00992199">
        <w:rPr>
          <w:szCs w:val="20"/>
        </w:rPr>
        <w:t>. In this context, the Board of Directors is authorised to cancel or limit the preferential subscription right for the benefit of one or more specific persons, whether or not employees of the Company o</w:t>
      </w:r>
      <w:r>
        <w:rPr>
          <w:szCs w:val="20"/>
        </w:rPr>
        <w:t>r</w:t>
      </w:r>
      <w:r w:rsidRPr="00992199">
        <w:rPr>
          <w:szCs w:val="20"/>
        </w:rPr>
        <w:t xml:space="preserve"> its subsidiaries, in accordance with article 598 </w:t>
      </w:r>
      <w:r>
        <w:rPr>
          <w:szCs w:val="20"/>
        </w:rPr>
        <w:t>BCC</w:t>
      </w:r>
      <w:r w:rsidRPr="00992199">
        <w:rPr>
          <w:szCs w:val="20"/>
        </w:rPr>
        <w:t>.</w:t>
      </w:r>
    </w:p>
    <w:p w:rsidR="000C6D22" w:rsidRDefault="000C6D22" w:rsidP="000C6D22">
      <w:pPr>
        <w:rPr>
          <w:szCs w:val="20"/>
        </w:rPr>
      </w:pPr>
      <w:r w:rsidRPr="00992199">
        <w:rPr>
          <w:szCs w:val="20"/>
        </w:rPr>
        <w:t>The Board of Directors is explicitly authorised to</w:t>
      </w:r>
      <w:r w:rsidR="00F2631B">
        <w:rPr>
          <w:szCs w:val="20"/>
        </w:rPr>
        <w:t>,</w:t>
      </w:r>
      <w:r w:rsidRPr="00992199">
        <w:rPr>
          <w:szCs w:val="20"/>
        </w:rPr>
        <w:t xml:space="preserve"> in case of a takeover bid on the securities of the Company</w:t>
      </w:r>
      <w:r w:rsidR="00F2631B">
        <w:rPr>
          <w:szCs w:val="20"/>
        </w:rPr>
        <w:t>,</w:t>
      </w:r>
      <w:r w:rsidR="00F2631B" w:rsidRPr="00F2631B">
        <w:rPr>
          <w:szCs w:val="20"/>
        </w:rPr>
        <w:t xml:space="preserve"> </w:t>
      </w:r>
      <w:r w:rsidR="00F2631B" w:rsidRPr="00992199">
        <w:rPr>
          <w:szCs w:val="20"/>
        </w:rPr>
        <w:t>increase the share capital</w:t>
      </w:r>
      <w:r w:rsidR="00F2631B">
        <w:rPr>
          <w:szCs w:val="20"/>
        </w:rPr>
        <w:t xml:space="preserve"> in one or multiple times,</w:t>
      </w:r>
      <w:r w:rsidRPr="00992199">
        <w:rPr>
          <w:szCs w:val="20"/>
        </w:rPr>
        <w:t xml:space="preserve"> under the conditions provided for in article 607 </w:t>
      </w:r>
      <w:r>
        <w:rPr>
          <w:szCs w:val="20"/>
        </w:rPr>
        <w:t>BCC</w:t>
      </w:r>
      <w:r w:rsidRPr="00992199">
        <w:rPr>
          <w:szCs w:val="20"/>
        </w:rPr>
        <w:t>, after the Company would be informed by the FSMA of a public offer on the Shares</w:t>
      </w:r>
      <w:r w:rsidR="00F2631B">
        <w:rPr>
          <w:szCs w:val="20"/>
        </w:rPr>
        <w:t xml:space="preserve">, through contributions in cash with cancellation or limitation of the preferential subscription right of existing shareholders or through contributions in kind, and/or through the issuance of securities entitling to voting rights, whether or not such </w:t>
      </w:r>
      <w:r w:rsidR="00C5544C">
        <w:rPr>
          <w:szCs w:val="20"/>
        </w:rPr>
        <w:t xml:space="preserve">securities </w:t>
      </w:r>
      <w:r w:rsidR="00F2631B">
        <w:rPr>
          <w:szCs w:val="20"/>
        </w:rPr>
        <w:t xml:space="preserve">represent the share capital, or </w:t>
      </w:r>
      <w:r w:rsidR="00C5544C">
        <w:rPr>
          <w:szCs w:val="20"/>
        </w:rPr>
        <w:t>securities entitling to the subscription or acquisition of such securities, even if such securities or rights are not offered by preference to the shareholders pro rata the share capital that is represented by their shares</w:t>
      </w:r>
      <w:r w:rsidRPr="00992199">
        <w:rPr>
          <w:szCs w:val="20"/>
        </w:rPr>
        <w:t xml:space="preserve">. This authorisation is given for a period of three (3) years from the date of </w:t>
      </w:r>
      <w:r w:rsidR="00C5544C">
        <w:rPr>
          <w:szCs w:val="20"/>
        </w:rPr>
        <w:t xml:space="preserve">the decision of the </w:t>
      </w:r>
      <w:r w:rsidR="00C5544C" w:rsidRPr="00992199">
        <w:rPr>
          <w:szCs w:val="20"/>
        </w:rPr>
        <w:t xml:space="preserve">extraordinary </w:t>
      </w:r>
      <w:r w:rsidR="00C5544C">
        <w:rPr>
          <w:szCs w:val="20"/>
        </w:rPr>
        <w:t>general shareholders’ meeting</w:t>
      </w:r>
      <w:r w:rsidR="00C5544C" w:rsidRPr="00992199">
        <w:rPr>
          <w:szCs w:val="20"/>
        </w:rPr>
        <w:t xml:space="preserve"> to be held on [19 June 2015]</w:t>
      </w:r>
      <w:r w:rsidR="00C5544C">
        <w:rPr>
          <w:szCs w:val="20"/>
        </w:rPr>
        <w:t>.</w:t>
      </w:r>
    </w:p>
    <w:p w:rsidR="00C5544C" w:rsidRPr="00992199" w:rsidRDefault="00C5544C" w:rsidP="00C5544C">
      <w:pPr>
        <w:rPr>
          <w:szCs w:val="20"/>
        </w:rPr>
      </w:pPr>
      <w:r w:rsidRPr="00992199">
        <w:rPr>
          <w:szCs w:val="20"/>
        </w:rPr>
        <w:t>The capital increases decided upon in the framework of this authorisation shall be allocated to the remaining part of the authorised capital referred to in the first paragraph of this Section 5.</w:t>
      </w:r>
    </w:p>
    <w:p w:rsidR="00C5544C" w:rsidRPr="00992199" w:rsidRDefault="00C5544C" w:rsidP="00C5544C">
      <w:pPr>
        <w:rPr>
          <w:szCs w:val="20"/>
        </w:rPr>
      </w:pPr>
      <w:r w:rsidRPr="00992199">
        <w:rPr>
          <w:szCs w:val="20"/>
        </w:rPr>
        <w:t>The Board of Directors has the authority to amend the Articles of Association in accordance with the capital increases that may have been decided upon within the framework of the authorised capital</w:t>
      </w:r>
      <w:r>
        <w:rPr>
          <w:szCs w:val="20"/>
        </w:rPr>
        <w:t>.</w:t>
      </w:r>
    </w:p>
    <w:p w:rsidR="003F0BC5" w:rsidRPr="00992199" w:rsidRDefault="003F0BC5" w:rsidP="00353B80">
      <w:pPr>
        <w:pStyle w:val="Firm5L1"/>
        <w:keepNext/>
      </w:pPr>
      <w:bookmarkStart w:id="106" w:name="_Toc420593918"/>
      <w:r w:rsidRPr="00992199">
        <w:t>Relevant Legislation</w:t>
      </w:r>
      <w:bookmarkEnd w:id="106"/>
    </w:p>
    <w:p w:rsidR="003F0BC5" w:rsidRPr="00992199" w:rsidRDefault="003F0BC5" w:rsidP="00353B80">
      <w:pPr>
        <w:pStyle w:val="Firm5L2"/>
        <w:keepNext/>
      </w:pPr>
      <w:bookmarkStart w:id="107" w:name="_Toc420593919"/>
      <w:r w:rsidRPr="00992199">
        <w:t>Notification of significant shareholdings</w:t>
      </w:r>
      <w:bookmarkEnd w:id="107"/>
    </w:p>
    <w:p w:rsidR="003F0BC5" w:rsidRPr="00992199" w:rsidRDefault="003F0BC5" w:rsidP="003F0BC5">
      <w:pPr>
        <w:rPr>
          <w:szCs w:val="20"/>
        </w:rPr>
      </w:pPr>
      <w:r w:rsidRPr="00992199">
        <w:rPr>
          <w:szCs w:val="20"/>
        </w:rPr>
        <w:t xml:space="preserve">Pursuant to the Belgian Law of 2 May 2007 on the disclosure of significant shareholdings in issuers whose securities are admitted to trading on a regulated market and containing various provisions (the </w:t>
      </w:r>
      <w:r w:rsidRPr="00992199">
        <w:rPr>
          <w:b/>
          <w:i/>
          <w:szCs w:val="20"/>
        </w:rPr>
        <w:t>Transparency Law</w:t>
      </w:r>
      <w:r w:rsidRPr="00992199">
        <w:rPr>
          <w:szCs w:val="20"/>
        </w:rPr>
        <w:t>), implementing in Belgian law Directive 2004/109/EC, a notification to the Company and to the FSMA is required by all natural and legal persons in the following instances:</w:t>
      </w:r>
    </w:p>
    <w:p w:rsidR="003F0BC5" w:rsidRPr="00992199" w:rsidRDefault="003F0BC5" w:rsidP="001A2A68">
      <w:pPr>
        <w:pStyle w:val="BulletsL1"/>
      </w:pPr>
      <w:r w:rsidRPr="00992199">
        <w:t>an acquisition or disposal of voting securities, voting rights or financial instruments that are treated as voting securities;</w:t>
      </w:r>
    </w:p>
    <w:p w:rsidR="003F0BC5" w:rsidRPr="00992199" w:rsidRDefault="003F0BC5" w:rsidP="001A2A68">
      <w:pPr>
        <w:pStyle w:val="BulletsL1"/>
      </w:pPr>
      <w:r w:rsidRPr="00992199">
        <w:t>the holding of voting securities upon first admission of them to trading on a regulated market;</w:t>
      </w:r>
    </w:p>
    <w:p w:rsidR="003F0BC5" w:rsidRPr="00992199" w:rsidRDefault="003F0BC5" w:rsidP="001A2A68">
      <w:pPr>
        <w:pStyle w:val="BulletsL1"/>
      </w:pPr>
      <w:r w:rsidRPr="00992199">
        <w:t>the passive reaching of a threshold;</w:t>
      </w:r>
    </w:p>
    <w:p w:rsidR="003F0BC5" w:rsidRPr="00992199" w:rsidRDefault="003F0BC5" w:rsidP="001A2A68">
      <w:pPr>
        <w:pStyle w:val="BulletsL1"/>
      </w:pPr>
      <w:r w:rsidRPr="00992199">
        <w:t>the reaching of a threshold by persons acting in concert or a change in the nature of an agreement to act in concert;</w:t>
      </w:r>
    </w:p>
    <w:p w:rsidR="003F0BC5" w:rsidRPr="00992199" w:rsidRDefault="003F0BC5" w:rsidP="001A2A68">
      <w:pPr>
        <w:pStyle w:val="BulletsL1"/>
      </w:pPr>
      <w:r w:rsidRPr="00992199">
        <w:t>where a previous notification concerning the voting securities is updated;</w:t>
      </w:r>
    </w:p>
    <w:p w:rsidR="003F0BC5" w:rsidRPr="00992199" w:rsidRDefault="003F0BC5" w:rsidP="001A2A68">
      <w:pPr>
        <w:pStyle w:val="BulletsL1"/>
      </w:pPr>
      <w:r w:rsidRPr="00992199">
        <w:t>the acquisition or disposal of the control of an entity that holds the voting securities; and</w:t>
      </w:r>
    </w:p>
    <w:p w:rsidR="003F0BC5" w:rsidRPr="00992199" w:rsidRDefault="003F0BC5" w:rsidP="001A2A68">
      <w:pPr>
        <w:pStyle w:val="BulletsL1"/>
      </w:pPr>
      <w:r w:rsidRPr="00992199">
        <w:t>where the Company introduces additional notification thresholds in its Articles of Association, in each case where the percentage of voting rights attached to the securities held by such persons reaches, exceeds or falls below the legal threshold, set at 5% of the total voting rights, and 10%, 15%, 20% and so on at intervals of 5% or, as the case may be, the additional thresholds provided in the Company’s articles of association.</w:t>
      </w:r>
    </w:p>
    <w:p w:rsidR="003F0BC5" w:rsidRPr="00992199" w:rsidRDefault="003F0BC5" w:rsidP="003F0BC5">
      <w:pPr>
        <w:rPr>
          <w:szCs w:val="20"/>
        </w:rPr>
      </w:pPr>
      <w:r w:rsidRPr="00992199">
        <w:rPr>
          <w:szCs w:val="20"/>
        </w:rPr>
        <w:t xml:space="preserve">The notification must be made as soon as possible and at the latest within four trading days following the acquisition or disposal of the voting rights triggering the reaching of the threshold. Where the Company receives a notification of information regarding the reaching of a threshold, it has to publish such information within three trading days following receipt of the notification. No shareholder may cast a greater number of votes at a </w:t>
      </w:r>
      <w:r w:rsidR="00AA3763">
        <w:rPr>
          <w:szCs w:val="20"/>
        </w:rPr>
        <w:t>general shareholders’ meeting</w:t>
      </w:r>
      <w:r w:rsidRPr="00992199">
        <w:rPr>
          <w:szCs w:val="20"/>
        </w:rPr>
        <w:t xml:space="preserve"> of the Company than those attached to the rights or securities it has notified in accordance with the Transparency Law at least 20 days before the date of the </w:t>
      </w:r>
      <w:r w:rsidR="00AA3763">
        <w:rPr>
          <w:szCs w:val="20"/>
        </w:rPr>
        <w:t>general shareholders’ meeting</w:t>
      </w:r>
      <w:r w:rsidRPr="00992199">
        <w:rPr>
          <w:szCs w:val="20"/>
        </w:rPr>
        <w:t>, subject to certain exceptions.</w:t>
      </w:r>
    </w:p>
    <w:p w:rsidR="003F0BC5" w:rsidRPr="00992199" w:rsidRDefault="003F0BC5" w:rsidP="003F0BC5">
      <w:pPr>
        <w:rPr>
          <w:szCs w:val="20"/>
        </w:rPr>
      </w:pPr>
      <w:r w:rsidRPr="00992199">
        <w:rPr>
          <w:szCs w:val="20"/>
        </w:rPr>
        <w:t>The form on which such notifications must be made, as well as further explanations, can be found on the website of the FSMA (</w:t>
      </w:r>
      <w:hyperlink r:id="rId24" w:history="1">
        <w:r w:rsidR="007F2150" w:rsidRPr="00351F80">
          <w:rPr>
            <w:rStyle w:val="Hyperlink"/>
            <w:i/>
            <w:color w:val="auto"/>
            <w:szCs w:val="20"/>
            <w:u w:val="none"/>
          </w:rPr>
          <w:t>www.fsma</w:t>
        </w:r>
      </w:hyperlink>
      <w:r w:rsidRPr="00992199">
        <w:rPr>
          <w:i/>
          <w:szCs w:val="20"/>
        </w:rPr>
        <w:t>.be</w:t>
      </w:r>
      <w:r w:rsidRPr="00992199">
        <w:rPr>
          <w:szCs w:val="20"/>
        </w:rPr>
        <w:t>).</w:t>
      </w:r>
    </w:p>
    <w:p w:rsidR="003F0BC5" w:rsidRPr="00992199" w:rsidRDefault="003F0BC5" w:rsidP="00353B80">
      <w:pPr>
        <w:pStyle w:val="Firm5L2"/>
        <w:keepNext/>
      </w:pPr>
      <w:bookmarkStart w:id="108" w:name="_Toc420593920"/>
      <w:r w:rsidRPr="00992199">
        <w:t>Public takeover bids</w:t>
      </w:r>
      <w:bookmarkEnd w:id="108"/>
    </w:p>
    <w:p w:rsidR="003F0BC5" w:rsidRPr="00992199" w:rsidRDefault="003F0BC5" w:rsidP="003F0BC5">
      <w:pPr>
        <w:rPr>
          <w:szCs w:val="20"/>
        </w:rPr>
      </w:pPr>
      <w:r w:rsidRPr="00992199">
        <w:rPr>
          <w:szCs w:val="20"/>
        </w:rPr>
        <w:t>Public takeover bids on the Shares and other securities giving access to voting rights (such as subscription rights or convertible bonds, if any) are subject to supervision by the FSMA. Any public takeover bids must be extended to all of the Company’s voting securities, as well as all other securities giving access to voting rights. Prior to making a bid, a bidder must publish a prospectus which has been approved by the FSMA prior to publication.</w:t>
      </w:r>
    </w:p>
    <w:p w:rsidR="003F0BC5" w:rsidRPr="00992199" w:rsidRDefault="003F0BC5" w:rsidP="003F0BC5">
      <w:pPr>
        <w:rPr>
          <w:szCs w:val="20"/>
        </w:rPr>
      </w:pPr>
      <w:r w:rsidRPr="00992199">
        <w:rPr>
          <w:szCs w:val="20"/>
        </w:rPr>
        <w:t>Belgium has implemented the Thirteenth Company Law Directive (European Directive 2004/25/EC of 21 April 2004) in the Takeover Law and the Belgian Royal Decree of 27 April 2007 on public takeover bids (</w:t>
      </w:r>
      <w:r w:rsidRPr="00992199">
        <w:rPr>
          <w:i/>
          <w:szCs w:val="20"/>
        </w:rPr>
        <w:t>Koninklijk besluit op de openbare overnamebiedingen / Arrêté royal sur les offres publiques d’acquisition</w:t>
      </w:r>
      <w:r w:rsidRPr="00992199">
        <w:rPr>
          <w:szCs w:val="20"/>
        </w:rPr>
        <w:t xml:space="preserve">) (the </w:t>
      </w:r>
      <w:r w:rsidRPr="00992199">
        <w:rPr>
          <w:b/>
          <w:i/>
          <w:szCs w:val="20"/>
        </w:rPr>
        <w:t>Takeover Royal Decree</w:t>
      </w:r>
      <w:r w:rsidRPr="00992199">
        <w:rPr>
          <w:szCs w:val="20"/>
        </w:rPr>
        <w:t>). The Takeover Law provides that a mandatory bid must be launched if a person, as a result of its own acquisition or the acquisition by persons acting in concert with it or by persons acting for its account, directly or indirectly holds more than 30% of the voting securities in a company having its registered office in Belgium and of which at least part of the voting securities are traded on a regulated market or on a multilateral trading facility designated by the Takeover Royal Decree.</w:t>
      </w:r>
    </w:p>
    <w:p w:rsidR="003F0BC5" w:rsidRPr="00992199" w:rsidRDefault="003F0BC5" w:rsidP="003F0BC5">
      <w:pPr>
        <w:rPr>
          <w:szCs w:val="20"/>
        </w:rPr>
      </w:pPr>
      <w:r w:rsidRPr="00992199">
        <w:rPr>
          <w:szCs w:val="20"/>
        </w:rPr>
        <w:t>The mere fact of exceeding the relevant threshold through the acquisition of Shares will give rise to a mandatory bid, irrespective of whether the price paid in the relevant transaction exceeds the current market price. The duty to launch a mandatory bid does not apply in case of an acquisition if it can be shown that a third party exercises control over the Company or that such party holds a larger stake than the person holding 30% of the voting securities.</w:t>
      </w:r>
    </w:p>
    <w:p w:rsidR="003F0BC5" w:rsidRPr="00992199" w:rsidRDefault="003F0BC5" w:rsidP="003F0BC5">
      <w:pPr>
        <w:rPr>
          <w:szCs w:val="20"/>
        </w:rPr>
      </w:pPr>
      <w:r w:rsidRPr="00992199">
        <w:rPr>
          <w:szCs w:val="20"/>
        </w:rPr>
        <w:t>There are several provisions of Belgian company law and certain other provisions of Belgian law, such as the obligations to disclose significant shareholdings and merger control, that may apply to the Company and which may make an unsolicited tender offer, merger, change in management or other change in control, more difficult. These provisions could discourage potential takeover attempts that other shareholders may consider to be in their best interest and could adversely affect the market price of the Shares. These provisions may also have the effect of depriving the shareholders of the opportunity to sell their Shares at a premium.</w:t>
      </w:r>
    </w:p>
    <w:p w:rsidR="003F0BC5" w:rsidRPr="00992199" w:rsidRDefault="003F0BC5" w:rsidP="003F0BC5">
      <w:pPr>
        <w:rPr>
          <w:szCs w:val="20"/>
        </w:rPr>
      </w:pPr>
      <w:r w:rsidRPr="00992199">
        <w:rPr>
          <w:szCs w:val="20"/>
        </w:rPr>
        <w:t>In addition, the board of directors of Belgian companies may in certain instances, and subject to prior authorisation by the shareholders, deter or frustrate public takeover bids through dilutive issuances of equity securities (pursuant to the authorised capital) or through share buy-backs (</w:t>
      </w:r>
      <w:r w:rsidRPr="00992199">
        <w:rPr>
          <w:i/>
          <w:szCs w:val="20"/>
        </w:rPr>
        <w:t>i.e.</w:t>
      </w:r>
      <w:r w:rsidRPr="00992199">
        <w:rPr>
          <w:szCs w:val="20"/>
        </w:rPr>
        <w:t>, purchase of own shares).</w:t>
      </w:r>
    </w:p>
    <w:p w:rsidR="003F0BC5" w:rsidRPr="00992199" w:rsidRDefault="003F0BC5" w:rsidP="00353B80">
      <w:pPr>
        <w:pStyle w:val="Firm5L2"/>
        <w:keepNext/>
      </w:pPr>
      <w:bookmarkStart w:id="109" w:name="_Toc420593921"/>
      <w:r w:rsidRPr="00992199">
        <w:t>Squeeze-outs</w:t>
      </w:r>
      <w:bookmarkEnd w:id="109"/>
    </w:p>
    <w:p w:rsidR="003F0BC5" w:rsidRPr="00992199" w:rsidRDefault="003F0BC5" w:rsidP="003F0BC5">
      <w:pPr>
        <w:rPr>
          <w:szCs w:val="20"/>
        </w:rPr>
      </w:pPr>
      <w:r w:rsidRPr="00992199">
        <w:rPr>
          <w:szCs w:val="20"/>
        </w:rPr>
        <w:t xml:space="preserve">Pursuant to article 513 </w:t>
      </w:r>
      <w:r w:rsidR="0055687C">
        <w:rPr>
          <w:szCs w:val="20"/>
        </w:rPr>
        <w:t>BCC</w:t>
      </w:r>
      <w:r w:rsidRPr="00992199">
        <w:rPr>
          <w:szCs w:val="20"/>
        </w:rPr>
        <w:t xml:space="preserve"> or the regulations promulgated thereunder, a person or legal entity, or different persons or legal entities acting alone or in concert, who, together with the company, own 95% of the securities with voting rights in a public company, are entitled to acquire the totality of the securities with voting rights in that company following a squeeze-out offer. The securities that are not voluntarily tendered in response to such an offer are deemed to be automatically transferred to the bidder at the end of the procedure. At the end of the squeeze-out procedure, the company is no longer deemed a public company, unless bonds issued by the company are still distributed amongst the public. The consideration for the securities must be in cash and must represent the fair value (verified by an independent expert) as to safeguard the interests of the transferring shareholders.</w:t>
      </w:r>
    </w:p>
    <w:p w:rsidR="003F0BC5" w:rsidRPr="00992199" w:rsidRDefault="003F0BC5" w:rsidP="003F0BC5">
      <w:pPr>
        <w:rPr>
          <w:szCs w:val="20"/>
        </w:rPr>
      </w:pPr>
      <w:r w:rsidRPr="00992199">
        <w:rPr>
          <w:szCs w:val="20"/>
        </w:rPr>
        <w:t>A squeeze-out offer is also possible upon completion of a public takeover, provided that the bidder holds 95% of the voting capital and 95% of the voting securities of the public company. In such case, the bidder may require that all remaining shareholders sell their securities to the bidder at the offer price of the takeover bid, provided that, in case of a voluntary takeover offer, the bidder has also acquired 90% of the voting capital to which the offer relates. The shares that are not voluntarily tendered in response to any such offer are deemed to be automatically transferred to the bidder at the end of the procedure. The bidder needs to reopen his/her public takeover offer within three months following the expiration of the offer period.</w:t>
      </w:r>
    </w:p>
    <w:p w:rsidR="003F0BC5" w:rsidRPr="00992199" w:rsidRDefault="003F0BC5" w:rsidP="00353B80">
      <w:pPr>
        <w:pStyle w:val="Firm5L2"/>
        <w:keepNext/>
      </w:pPr>
      <w:bookmarkStart w:id="110" w:name="_Toc420593922"/>
      <w:r w:rsidRPr="00992199">
        <w:t>Sell-out rights</w:t>
      </w:r>
      <w:bookmarkEnd w:id="110"/>
    </w:p>
    <w:p w:rsidR="003F0BC5" w:rsidRPr="00992199" w:rsidRDefault="003F0BC5" w:rsidP="003F0BC5">
      <w:pPr>
        <w:rPr>
          <w:szCs w:val="20"/>
        </w:rPr>
      </w:pPr>
      <w:r w:rsidRPr="00992199">
        <w:rPr>
          <w:szCs w:val="20"/>
        </w:rPr>
        <w:t>Within three months following the expiration of an offer period, holders of voting securities or of securities giving access to voting rights may require the offeror, acting alone or in concert, who owns 95% of the voting capital and 95% of the voting securities in a public company following a takeover bid, to buy its securities from it at the price of the bid, on the condition that, in case of a voluntary takeover offer, the offeror has acquired, through the acceptance of the bid, securities representing at least 90% of the voting capital subject to the takeover bid.</w:t>
      </w:r>
    </w:p>
    <w:p w:rsidR="003F0BC5" w:rsidRPr="00992199" w:rsidRDefault="003F0BC5" w:rsidP="00353B80">
      <w:pPr>
        <w:pStyle w:val="Heading1"/>
        <w:keepNext/>
      </w:pPr>
      <w:bookmarkStart w:id="111" w:name="_Toc420593923"/>
      <w:r w:rsidRPr="00992199">
        <w:t>PART VIII: Related party transactions</w:t>
      </w:r>
      <w:bookmarkEnd w:id="111"/>
    </w:p>
    <w:p w:rsidR="003F0BC5" w:rsidRPr="00992199" w:rsidRDefault="003F0BC5" w:rsidP="00353B80">
      <w:pPr>
        <w:pStyle w:val="Firm5L1"/>
        <w:keepNext/>
        <w:numPr>
          <w:ilvl w:val="0"/>
          <w:numId w:val="11"/>
        </w:numPr>
      </w:pPr>
      <w:bookmarkStart w:id="112" w:name="_Toc420593924"/>
      <w:r w:rsidRPr="00992199">
        <w:t xml:space="preserve">Overview of the links between the </w:t>
      </w:r>
      <w:r w:rsidR="002A1AB1">
        <w:t>Greenyard Foods</w:t>
      </w:r>
      <w:r w:rsidRPr="00992199">
        <w:t xml:space="preserve"> Group and affiliated entities</w:t>
      </w:r>
      <w:bookmarkEnd w:id="112"/>
    </w:p>
    <w:p w:rsidR="003F0BC5" w:rsidRPr="00992199" w:rsidRDefault="00501F53" w:rsidP="003F0BC5">
      <w:pPr>
        <w:rPr>
          <w:szCs w:val="20"/>
        </w:rPr>
      </w:pPr>
      <w:r w:rsidRPr="00992199">
        <w:rPr>
          <w:szCs w:val="20"/>
        </w:rPr>
        <w:t>The</w:t>
      </w:r>
      <w:r>
        <w:rPr>
          <w:szCs w:val="20"/>
        </w:rPr>
        <w:t xml:space="preserve">re are currently no </w:t>
      </w:r>
      <w:r w:rsidRPr="00992199">
        <w:rPr>
          <w:szCs w:val="20"/>
        </w:rPr>
        <w:t xml:space="preserve">significant transactions between </w:t>
      </w:r>
      <w:r>
        <w:rPr>
          <w:szCs w:val="20"/>
        </w:rPr>
        <w:t>Greenyard Foods</w:t>
      </w:r>
      <w:r w:rsidRPr="00992199">
        <w:rPr>
          <w:szCs w:val="20"/>
        </w:rPr>
        <w:t xml:space="preserve"> and its subsidiaries on the one hand and their controlling shareholders or other affili</w:t>
      </w:r>
      <w:r>
        <w:rPr>
          <w:szCs w:val="20"/>
        </w:rPr>
        <w:t>ated entities on the other hand</w:t>
      </w:r>
      <w:r w:rsidR="003F0BC5" w:rsidRPr="00992199">
        <w:rPr>
          <w:szCs w:val="20"/>
        </w:rPr>
        <w:t>.</w:t>
      </w:r>
    </w:p>
    <w:p w:rsidR="003F0BC5" w:rsidRPr="00992199" w:rsidRDefault="003F0BC5" w:rsidP="00353B80">
      <w:pPr>
        <w:pStyle w:val="Firm5L1"/>
        <w:keepNext/>
      </w:pPr>
      <w:bookmarkStart w:id="113" w:name="_Toc420593925"/>
      <w:r w:rsidRPr="00992199">
        <w:t xml:space="preserve">Relationships between </w:t>
      </w:r>
      <w:r w:rsidR="002A1AB1">
        <w:t>Greenyard Foods</w:t>
      </w:r>
      <w:r w:rsidRPr="00992199">
        <w:t xml:space="preserve"> and entities affiliated with </w:t>
      </w:r>
      <w:r w:rsidR="002A1AB1">
        <w:t>Greenyard Foods</w:t>
      </w:r>
      <w:bookmarkEnd w:id="113"/>
    </w:p>
    <w:p w:rsidR="003F0BC5" w:rsidRPr="00992199" w:rsidRDefault="003F0BC5" w:rsidP="00353B80">
      <w:pPr>
        <w:pStyle w:val="Firm5L2"/>
        <w:keepNext/>
      </w:pPr>
      <w:bookmarkStart w:id="114" w:name="_Toc420593926"/>
      <w:r w:rsidRPr="00992199">
        <w:t xml:space="preserve">Related-party transactions relating to </w:t>
      </w:r>
      <w:r w:rsidR="002A1AB1">
        <w:t>Greenyard Foods</w:t>
      </w:r>
      <w:r w:rsidRPr="00992199">
        <w:t xml:space="preserve"> and its existing subsidiaries</w:t>
      </w:r>
      <w:bookmarkEnd w:id="114"/>
    </w:p>
    <w:p w:rsidR="00501F53" w:rsidRDefault="00501F53" w:rsidP="003F0BC5">
      <w:pPr>
        <w:rPr>
          <w:szCs w:val="20"/>
        </w:rPr>
      </w:pPr>
      <w:r>
        <w:rPr>
          <w:szCs w:val="20"/>
        </w:rPr>
        <w:t>T</w:t>
      </w:r>
      <w:r w:rsidRPr="00364931">
        <w:rPr>
          <w:szCs w:val="20"/>
        </w:rPr>
        <w:t xml:space="preserve">he Company has concluded with UFM </w:t>
      </w:r>
      <w:r w:rsidRPr="00276BBE">
        <w:rPr>
          <w:szCs w:val="20"/>
        </w:rPr>
        <w:t xml:space="preserve">two long-term exclusivity agreements </w:t>
      </w:r>
      <w:r>
        <w:rPr>
          <w:szCs w:val="20"/>
        </w:rPr>
        <w:t>in</w:t>
      </w:r>
      <w:r w:rsidRPr="00364931">
        <w:rPr>
          <w:szCs w:val="20"/>
        </w:rPr>
        <w:t xml:space="preserve"> respect of both frozen and fresh vegetables. The price and quantity of the vegetables to be purchased pursuant to the a</w:t>
      </w:r>
      <w:r w:rsidRPr="00D96937">
        <w:rPr>
          <w:szCs w:val="20"/>
        </w:rPr>
        <w:t>forementioned exclusivity agreements are agreed upon between the parties on a case by case basis and based upon both the market price and the demand of each party.</w:t>
      </w:r>
    </w:p>
    <w:p w:rsidR="003F0BC5" w:rsidRPr="00992199" w:rsidRDefault="003F0BC5" w:rsidP="00353B80">
      <w:pPr>
        <w:pStyle w:val="Firm5L1"/>
        <w:keepNext/>
      </w:pPr>
      <w:bookmarkStart w:id="115" w:name="_Toc420593927"/>
      <w:r w:rsidRPr="00992199">
        <w:t>Related-party transactions relating to entities of the Univeg Group</w:t>
      </w:r>
      <w:bookmarkEnd w:id="115"/>
    </w:p>
    <w:p w:rsidR="003F0BC5" w:rsidRPr="00FE0CF2" w:rsidRDefault="003F0BC5" w:rsidP="00A91110">
      <w:pPr>
        <w:pStyle w:val="Firm5L2"/>
        <w:keepNext/>
      </w:pPr>
      <w:bookmarkStart w:id="116" w:name="_Toc420593928"/>
      <w:r w:rsidRPr="00FE0CF2">
        <w:t>The Fruit Farm Group</w:t>
      </w:r>
      <w:bookmarkEnd w:id="116"/>
    </w:p>
    <w:p w:rsidR="003F0BC5" w:rsidRPr="00992199" w:rsidRDefault="003F0BC5" w:rsidP="003F0BC5">
      <w:pPr>
        <w:rPr>
          <w:szCs w:val="20"/>
        </w:rPr>
      </w:pPr>
      <w:r w:rsidRPr="00992199">
        <w:rPr>
          <w:szCs w:val="20"/>
        </w:rPr>
        <w:t>On 17 December 2014, the Univeg Group carved out a number of Univeg Fruitpartners B</w:t>
      </w:r>
      <w:r w:rsidR="003012B0">
        <w:rPr>
          <w:szCs w:val="20"/>
        </w:rPr>
        <w:t>.</w:t>
      </w:r>
      <w:r w:rsidRPr="00992199">
        <w:rPr>
          <w:szCs w:val="20"/>
        </w:rPr>
        <w:t>V</w:t>
      </w:r>
      <w:r w:rsidR="003012B0">
        <w:rPr>
          <w:szCs w:val="20"/>
        </w:rPr>
        <w:t>.</w:t>
      </w:r>
      <w:r w:rsidRPr="00992199">
        <w:rPr>
          <w:szCs w:val="20"/>
        </w:rPr>
        <w:t xml:space="preserve">’s farming subsidiaries in </w:t>
      </w:r>
      <w:smartTag w:uri="urn:schemas-microsoft-com:office:smarttags" w:element="country-region">
        <w:r w:rsidRPr="00992199">
          <w:rPr>
            <w:szCs w:val="20"/>
          </w:rPr>
          <w:t>Turkey</w:t>
        </w:r>
      </w:smartTag>
      <w:r w:rsidRPr="00992199">
        <w:rPr>
          <w:szCs w:val="20"/>
        </w:rPr>
        <w:t xml:space="preserve">, </w:t>
      </w:r>
      <w:smartTag w:uri="urn:schemas-microsoft-com:office:smarttags" w:element="country-region">
        <w:r w:rsidRPr="00992199">
          <w:rPr>
            <w:szCs w:val="20"/>
          </w:rPr>
          <w:t>South Africa</w:t>
        </w:r>
      </w:smartTag>
      <w:r w:rsidRPr="00992199">
        <w:rPr>
          <w:szCs w:val="20"/>
        </w:rPr>
        <w:t xml:space="preserve">, </w:t>
      </w:r>
      <w:smartTag w:uri="urn:schemas-microsoft-com:office:smarttags" w:element="country-region">
        <w:r w:rsidRPr="00992199">
          <w:rPr>
            <w:szCs w:val="20"/>
          </w:rPr>
          <w:t>Brazil</w:t>
        </w:r>
      </w:smartTag>
      <w:r w:rsidRPr="00992199">
        <w:rPr>
          <w:szCs w:val="20"/>
        </w:rPr>
        <w:t xml:space="preserve">, </w:t>
      </w:r>
      <w:smartTag w:uri="urn:schemas-microsoft-com:office:smarttags" w:element="country-region">
        <w:r w:rsidRPr="00992199">
          <w:rPr>
            <w:szCs w:val="20"/>
          </w:rPr>
          <w:t>Suriname</w:t>
        </w:r>
      </w:smartTag>
      <w:r w:rsidRPr="00992199">
        <w:rPr>
          <w:szCs w:val="20"/>
        </w:rPr>
        <w:t xml:space="preserve">, </w:t>
      </w:r>
      <w:smartTag w:uri="urn:schemas-microsoft-com:office:smarttags" w:element="country-region">
        <w:r w:rsidRPr="00992199">
          <w:rPr>
            <w:szCs w:val="20"/>
          </w:rPr>
          <w:t>Uruguay</w:t>
        </w:r>
      </w:smartTag>
      <w:r w:rsidRPr="00992199">
        <w:rPr>
          <w:szCs w:val="20"/>
        </w:rPr>
        <w:t xml:space="preserve"> and </w:t>
      </w:r>
      <w:smartTag w:uri="urn:schemas-microsoft-com:office:smarttags" w:element="country-region">
        <w:smartTag w:uri="urn:schemas-microsoft-com:office:smarttags" w:element="place">
          <w:r w:rsidRPr="00992199">
            <w:rPr>
              <w:szCs w:val="20"/>
            </w:rPr>
            <w:t>Costa Rica</w:t>
          </w:r>
        </w:smartTag>
      </w:smartTag>
      <w:r w:rsidRPr="00992199">
        <w:rPr>
          <w:szCs w:val="20"/>
        </w:rPr>
        <w:t>. Univeg Fruitpartners B</w:t>
      </w:r>
      <w:r w:rsidR="00785C19">
        <w:rPr>
          <w:szCs w:val="20"/>
        </w:rPr>
        <w:t>.</w:t>
      </w:r>
      <w:r w:rsidRPr="00992199">
        <w:rPr>
          <w:szCs w:val="20"/>
        </w:rPr>
        <w:t>V</w:t>
      </w:r>
      <w:r w:rsidR="00785C19">
        <w:rPr>
          <w:szCs w:val="20"/>
        </w:rPr>
        <w:t>.</w:t>
      </w:r>
      <w:r w:rsidRPr="00992199">
        <w:rPr>
          <w:szCs w:val="20"/>
        </w:rPr>
        <w:t xml:space="preserve"> was partially split on 10 December 2014 resulting in the farming subsidiaries being transferred to a new company Global Farms B.V., a fully owned subsidiary of Univeg Holding B</w:t>
      </w:r>
      <w:r w:rsidR="003012B0">
        <w:rPr>
          <w:szCs w:val="20"/>
        </w:rPr>
        <w:t>.</w:t>
      </w:r>
      <w:r w:rsidRPr="00992199">
        <w:rPr>
          <w:szCs w:val="20"/>
        </w:rPr>
        <w:t>V</w:t>
      </w:r>
      <w:r w:rsidR="003012B0">
        <w:rPr>
          <w:szCs w:val="20"/>
        </w:rPr>
        <w:t>.</w:t>
      </w:r>
      <w:r w:rsidRPr="00992199">
        <w:rPr>
          <w:szCs w:val="20"/>
        </w:rPr>
        <w:t xml:space="preserve"> (</w:t>
      </w:r>
      <w:r w:rsidRPr="00992199">
        <w:rPr>
          <w:b/>
          <w:i/>
          <w:szCs w:val="20"/>
        </w:rPr>
        <w:t>Univeg Holding</w:t>
      </w:r>
      <w:r w:rsidRPr="00992199">
        <w:rPr>
          <w:szCs w:val="20"/>
        </w:rPr>
        <w:t>) and sister company of Univeg Fruitpartners B</w:t>
      </w:r>
      <w:r w:rsidR="003012B0">
        <w:rPr>
          <w:szCs w:val="20"/>
        </w:rPr>
        <w:t>.</w:t>
      </w:r>
      <w:r w:rsidRPr="00992199">
        <w:rPr>
          <w:szCs w:val="20"/>
        </w:rPr>
        <w:t>V.</w:t>
      </w:r>
    </w:p>
    <w:p w:rsidR="003F0BC5" w:rsidRPr="00992199" w:rsidRDefault="003F0BC5" w:rsidP="003F0BC5">
      <w:pPr>
        <w:rPr>
          <w:szCs w:val="20"/>
        </w:rPr>
      </w:pPr>
      <w:r w:rsidRPr="00992199">
        <w:rPr>
          <w:szCs w:val="20"/>
        </w:rPr>
        <w:t>On 17 December 2014, all shares of Global Farms B.V. were acquired by TFFG, a directly owned subsidiary of DWB, through a share deal between Univeg Holding as seller and TFFG as purchaser.</w:t>
      </w:r>
    </w:p>
    <w:p w:rsidR="003F0BC5" w:rsidRDefault="003F0BC5" w:rsidP="003F0BC5">
      <w:pPr>
        <w:rPr>
          <w:szCs w:val="20"/>
        </w:rPr>
      </w:pPr>
      <w:r w:rsidRPr="00992199">
        <w:rPr>
          <w:szCs w:val="20"/>
        </w:rPr>
        <w:t xml:space="preserve">The acquisition agreement between Univeg Holding and TFFG for the acquisition of Global Farms B.V.’s shares provided for a share purchase price of </w:t>
      </w:r>
      <w:r w:rsidR="00E53641">
        <w:rPr>
          <w:szCs w:val="20"/>
        </w:rPr>
        <w:t>EUR </w:t>
      </w:r>
      <w:r w:rsidRPr="00992199">
        <w:rPr>
          <w:szCs w:val="20"/>
        </w:rPr>
        <w:t xml:space="preserve">80,000,000. Part of this purchase price was financed with TFFG’s fully paid-up capital (contributed in cash by DWB) amounting to </w:t>
      </w:r>
      <w:r w:rsidR="00E53641">
        <w:rPr>
          <w:szCs w:val="20"/>
        </w:rPr>
        <w:t>EUR </w:t>
      </w:r>
      <w:r w:rsidRPr="00992199">
        <w:rPr>
          <w:szCs w:val="20"/>
        </w:rPr>
        <w:t xml:space="preserve">35,000,000. A further portion of the purchase price was financed with the proceeds from TFFG’s issuance of 5.75% senior secured notes for an aggregate subscription amount of </w:t>
      </w:r>
      <w:r w:rsidR="00E53641">
        <w:rPr>
          <w:szCs w:val="20"/>
        </w:rPr>
        <w:t>EUR </w:t>
      </w:r>
      <w:r w:rsidRPr="00992199">
        <w:rPr>
          <w:szCs w:val="20"/>
        </w:rPr>
        <w:t xml:space="preserve">60,000,000 due 17 December 2019 (the </w:t>
      </w:r>
      <w:r w:rsidRPr="00992199">
        <w:rPr>
          <w:b/>
          <w:i/>
          <w:szCs w:val="20"/>
        </w:rPr>
        <w:t>Notes</w:t>
      </w:r>
      <w:r w:rsidRPr="00992199">
        <w:rPr>
          <w:szCs w:val="20"/>
        </w:rPr>
        <w:t xml:space="preserve">). Univeg Holding subscribed to these notes for an aggregate amount of </w:t>
      </w:r>
      <w:r w:rsidR="00E53641">
        <w:rPr>
          <w:szCs w:val="20"/>
        </w:rPr>
        <w:t>EUR </w:t>
      </w:r>
      <w:r w:rsidRPr="00992199">
        <w:rPr>
          <w:szCs w:val="20"/>
        </w:rPr>
        <w:t xml:space="preserve">25,000,000 but the current outstanding amount under the initial </w:t>
      </w:r>
      <w:r w:rsidR="00E53641">
        <w:rPr>
          <w:szCs w:val="20"/>
        </w:rPr>
        <w:t>EUR </w:t>
      </w:r>
      <w:r w:rsidRPr="00992199">
        <w:rPr>
          <w:szCs w:val="20"/>
        </w:rPr>
        <w:t xml:space="preserve">25,000,000 decreased to </w:t>
      </w:r>
      <w:r w:rsidR="00E53641">
        <w:rPr>
          <w:szCs w:val="20"/>
        </w:rPr>
        <w:t>EUR </w:t>
      </w:r>
      <w:r w:rsidR="00D370A5">
        <w:rPr>
          <w:szCs w:val="20"/>
        </w:rPr>
        <w:t>8,700</w:t>
      </w:r>
      <w:r w:rsidRPr="00992199">
        <w:rPr>
          <w:szCs w:val="20"/>
        </w:rPr>
        <w:t>,000 further to the sale of bonds to third parties. The carve-out of The Fruit Farm Group was done in accordance with the asset sale and affiliate transaction covenants included in the Univeg Group’s 2013 Financing. The Univeg Group is required, under the terms of its 2013 Financing, within 365 days as from 17 December 2017, to use proceeds from the sale of assets to repay certain debt or reinvest in the business, failing which it has to repurchase a portion of the notes issued in its 2013 Financing.</w:t>
      </w:r>
    </w:p>
    <w:p w:rsidR="00A91110" w:rsidRDefault="00A91110" w:rsidP="003F0BC5">
      <w:pPr>
        <w:rPr>
          <w:szCs w:val="20"/>
        </w:rPr>
      </w:pPr>
      <w:r w:rsidRPr="00A91110">
        <w:rPr>
          <w:szCs w:val="20"/>
        </w:rPr>
        <w:t xml:space="preserve">Following the carve-out of The Fruit Farm Group, the Univeg Group continues to source produce from TFFG and its subsidiaries under a five year sale, marketing and distribution agreement with TFFG entered into on 17 December 2014 (the </w:t>
      </w:r>
      <w:smartTag w:uri="urn:schemas-microsoft-com:office:smarttags" w:element="City">
        <w:smartTag w:uri="urn:schemas-microsoft-com:office:smarttags" w:element="place">
          <w:r w:rsidRPr="00A91110">
            <w:rPr>
              <w:b/>
              <w:i/>
              <w:szCs w:val="20"/>
            </w:rPr>
            <w:t>Sale</w:t>
          </w:r>
        </w:smartTag>
      </w:smartTag>
      <w:r w:rsidRPr="00A91110">
        <w:rPr>
          <w:b/>
          <w:i/>
          <w:szCs w:val="20"/>
        </w:rPr>
        <w:t>, Marketing and Distribution Agreement</w:t>
      </w:r>
      <w:r w:rsidRPr="00A91110">
        <w:rPr>
          <w:szCs w:val="20"/>
        </w:rPr>
        <w:t>). Under the Sale, Marketing and Distribution Agreement, TFFG has appointed Univeg as its agent from 17 December 2014 until and including 17 December 2019 to handle, distribute and market in its name and account fresh (sub)tropical and countercyclical fruit on a free consignment basis with a floor price mechanism. Univeg is paid a commission on the final sales price to its customer. Univeg makes pre-season advances available to the TFFG in accordance its grower advance policy. The advances are deducted from the final sales price realised by Univeg, net of expenses, prior to payment to TFFG. In the event that at the end of a season there is a balance due to Univeg, TFFG and Univeg will agree on payment terms.</w:t>
      </w:r>
    </w:p>
    <w:p w:rsidR="003F0BC5" w:rsidRPr="00992199" w:rsidRDefault="00B80FCE" w:rsidP="00A91110">
      <w:pPr>
        <w:pStyle w:val="Firm5L2"/>
        <w:keepNext/>
      </w:pPr>
      <w:bookmarkStart w:id="117" w:name="_Toc420593929"/>
      <w:r>
        <w:t>Argentinean Operations</w:t>
      </w:r>
      <w:bookmarkEnd w:id="117"/>
    </w:p>
    <w:p w:rsidR="003F0BC5" w:rsidRPr="00992199" w:rsidRDefault="003F0BC5" w:rsidP="003F0BC5">
      <w:pPr>
        <w:rPr>
          <w:szCs w:val="20"/>
        </w:rPr>
      </w:pPr>
      <w:r w:rsidRPr="00992199">
        <w:rPr>
          <w:szCs w:val="20"/>
        </w:rPr>
        <w:t xml:space="preserve">In July 2012, Orchard Invest B.V. and its subsidiaries (the </w:t>
      </w:r>
      <w:r w:rsidR="00B80FCE">
        <w:rPr>
          <w:b/>
          <w:i/>
          <w:szCs w:val="20"/>
        </w:rPr>
        <w:t>Argentinean Operations</w:t>
      </w:r>
      <w:r w:rsidRPr="00992199">
        <w:rPr>
          <w:szCs w:val="20"/>
        </w:rPr>
        <w:t>) were ring-fenced and moved outside the Univeg Group’s operations and became directly owned by DWB.</w:t>
      </w:r>
    </w:p>
    <w:p w:rsidR="003F0BC5" w:rsidRPr="00992199" w:rsidRDefault="003F0BC5" w:rsidP="003F0BC5">
      <w:pPr>
        <w:rPr>
          <w:szCs w:val="20"/>
        </w:rPr>
      </w:pPr>
      <w:r w:rsidRPr="00992199">
        <w:rPr>
          <w:szCs w:val="20"/>
        </w:rPr>
        <w:t xml:space="preserve">Following the carve-out of the </w:t>
      </w:r>
      <w:r w:rsidR="00B80FCE">
        <w:rPr>
          <w:szCs w:val="20"/>
        </w:rPr>
        <w:t>Argentinean Operations</w:t>
      </w:r>
      <w:r w:rsidRPr="00992199">
        <w:rPr>
          <w:szCs w:val="20"/>
        </w:rPr>
        <w:t xml:space="preserve">, the Univeg Group continues to source produce – approximately </w:t>
      </w:r>
      <w:r w:rsidR="00D370A5">
        <w:rPr>
          <w:szCs w:val="20"/>
        </w:rPr>
        <w:t>25</w:t>
      </w:r>
      <w:r w:rsidRPr="00992199">
        <w:rPr>
          <w:szCs w:val="20"/>
        </w:rPr>
        <w:t xml:space="preserve">,000 tonnes per year – from the </w:t>
      </w:r>
      <w:r w:rsidR="00B80FCE">
        <w:rPr>
          <w:szCs w:val="20"/>
        </w:rPr>
        <w:t>Argentinean Operations</w:t>
      </w:r>
      <w:r w:rsidRPr="00992199">
        <w:rPr>
          <w:szCs w:val="20"/>
        </w:rPr>
        <w:t xml:space="preserve"> under a five-year marketing and agency agreement with Hillken</w:t>
      </w:r>
      <w:r w:rsidR="00D370A5">
        <w:rPr>
          <w:szCs w:val="20"/>
        </w:rPr>
        <w:t xml:space="preserve"> (a subsidiary of Orchard Invest B.V.)</w:t>
      </w:r>
      <w:r w:rsidRPr="00992199">
        <w:rPr>
          <w:szCs w:val="20"/>
        </w:rPr>
        <w:t xml:space="preserve"> entered into on 19 July 2012 (the </w:t>
      </w:r>
      <w:r w:rsidRPr="00992199">
        <w:rPr>
          <w:b/>
          <w:i/>
          <w:szCs w:val="20"/>
        </w:rPr>
        <w:t>Marketing and Agency Agreement</w:t>
      </w:r>
      <w:r w:rsidRPr="00992199">
        <w:rPr>
          <w:szCs w:val="20"/>
        </w:rPr>
        <w:t xml:space="preserve">). Under the Marketing and Agency Agreement, Hillken has appointed </w:t>
      </w:r>
      <w:r w:rsidR="0082672E">
        <w:rPr>
          <w:szCs w:val="20"/>
        </w:rPr>
        <w:t>Univeg</w:t>
      </w:r>
      <w:r w:rsidRPr="00992199">
        <w:rPr>
          <w:szCs w:val="20"/>
        </w:rPr>
        <w:t xml:space="preserve"> as its exclusive agent from 1 January 2012 until 30 June 2017 to handle, distribute and market fruit and vegetables on a free consignment basis in </w:t>
      </w:r>
      <w:smartTag w:uri="urn:schemas-microsoft-com:office:smarttags" w:element="country-region">
        <w:r w:rsidRPr="00992199">
          <w:rPr>
            <w:szCs w:val="20"/>
          </w:rPr>
          <w:t>Belgium</w:t>
        </w:r>
      </w:smartTag>
      <w:r w:rsidRPr="00992199">
        <w:rPr>
          <w:szCs w:val="20"/>
        </w:rPr>
        <w:t xml:space="preserve">, The Netherlands, </w:t>
      </w:r>
      <w:smartTag w:uri="urn:schemas-microsoft-com:office:smarttags" w:element="country-region">
        <w:r w:rsidRPr="00992199">
          <w:rPr>
            <w:szCs w:val="20"/>
          </w:rPr>
          <w:t>Germany</w:t>
        </w:r>
      </w:smartTag>
      <w:r w:rsidRPr="00992199">
        <w:rPr>
          <w:szCs w:val="20"/>
        </w:rPr>
        <w:t xml:space="preserve">, </w:t>
      </w:r>
      <w:smartTag w:uri="urn:schemas-microsoft-com:office:smarttags" w:element="country-region">
        <w:r w:rsidRPr="00992199">
          <w:rPr>
            <w:szCs w:val="20"/>
          </w:rPr>
          <w:t>France</w:t>
        </w:r>
      </w:smartTag>
      <w:r w:rsidRPr="00992199">
        <w:rPr>
          <w:szCs w:val="20"/>
        </w:rPr>
        <w:t xml:space="preserve">, the </w:t>
      </w:r>
      <w:smartTag w:uri="urn:schemas-microsoft-com:office:smarttags" w:element="country-region">
        <w:r w:rsidRPr="00992199">
          <w:rPr>
            <w:szCs w:val="20"/>
          </w:rPr>
          <w:t>United Kingdom</w:t>
        </w:r>
      </w:smartTag>
      <w:r w:rsidRPr="00992199">
        <w:rPr>
          <w:szCs w:val="20"/>
        </w:rPr>
        <w:t xml:space="preserve">, </w:t>
      </w:r>
      <w:smartTag w:uri="urn:schemas-microsoft-com:office:smarttags" w:element="country-region">
        <w:r w:rsidRPr="00992199">
          <w:rPr>
            <w:szCs w:val="20"/>
          </w:rPr>
          <w:t>Italy</w:t>
        </w:r>
      </w:smartTag>
      <w:r w:rsidRPr="00992199">
        <w:rPr>
          <w:szCs w:val="20"/>
        </w:rPr>
        <w:t xml:space="preserve">, </w:t>
      </w:r>
      <w:smartTag w:uri="urn:schemas-microsoft-com:office:smarttags" w:element="country-region">
        <w:r w:rsidRPr="00992199">
          <w:rPr>
            <w:szCs w:val="20"/>
          </w:rPr>
          <w:t>Austria</w:t>
        </w:r>
      </w:smartTag>
      <w:r w:rsidRPr="00992199">
        <w:rPr>
          <w:szCs w:val="20"/>
        </w:rPr>
        <w:t xml:space="preserve"> and </w:t>
      </w:r>
      <w:smartTag w:uri="urn:schemas-microsoft-com:office:smarttags" w:element="country-region">
        <w:smartTag w:uri="urn:schemas-microsoft-com:office:smarttags" w:element="place">
          <w:r w:rsidRPr="00992199">
            <w:rPr>
              <w:szCs w:val="20"/>
            </w:rPr>
            <w:t>Spain</w:t>
          </w:r>
        </w:smartTag>
      </w:smartTag>
      <w:r w:rsidRPr="00992199">
        <w:rPr>
          <w:szCs w:val="20"/>
        </w:rPr>
        <w:t xml:space="preserve">, as well as to certain core </w:t>
      </w:r>
      <w:r w:rsidR="00A07615">
        <w:rPr>
          <w:szCs w:val="20"/>
        </w:rPr>
        <w:t xml:space="preserve">customers. </w:t>
      </w:r>
      <w:r w:rsidR="0082672E">
        <w:rPr>
          <w:szCs w:val="20"/>
        </w:rPr>
        <w:t>Univeg</w:t>
      </w:r>
      <w:r w:rsidRPr="00992199">
        <w:rPr>
          <w:szCs w:val="20"/>
        </w:rPr>
        <w:t xml:space="preserve"> is paid a commission on the final sales price to its customers. The goods are transported by Hillken to the port of destination on a CIF basis whereby expenses, custom duties and risks are born by Hillken. </w:t>
      </w:r>
      <w:r w:rsidR="0082672E">
        <w:rPr>
          <w:szCs w:val="20"/>
        </w:rPr>
        <w:t>Univeg</w:t>
      </w:r>
      <w:r w:rsidRPr="00992199">
        <w:rPr>
          <w:szCs w:val="20"/>
        </w:rPr>
        <w:t xml:space="preserve"> makes pre-season advances available to Hillken in accordance with </w:t>
      </w:r>
      <w:r w:rsidR="0082672E">
        <w:rPr>
          <w:szCs w:val="20"/>
        </w:rPr>
        <w:t>Univeg</w:t>
      </w:r>
      <w:r w:rsidRPr="00992199">
        <w:rPr>
          <w:szCs w:val="20"/>
        </w:rPr>
        <w:t xml:space="preserve">’s </w:t>
      </w:r>
      <w:r w:rsidR="00D370A5" w:rsidRPr="00992199">
        <w:rPr>
          <w:szCs w:val="20"/>
        </w:rPr>
        <w:t xml:space="preserve">Grower </w:t>
      </w:r>
      <w:r w:rsidR="00D370A5" w:rsidRPr="00D370A5">
        <w:rPr>
          <w:szCs w:val="20"/>
        </w:rPr>
        <w:t xml:space="preserve">Advance </w:t>
      </w:r>
      <w:r w:rsidR="00D370A5" w:rsidRPr="00992199">
        <w:rPr>
          <w:szCs w:val="20"/>
        </w:rPr>
        <w:t>Policy</w:t>
      </w:r>
      <w:r w:rsidRPr="00992199">
        <w:rPr>
          <w:szCs w:val="20"/>
        </w:rPr>
        <w:t xml:space="preserve">. The advances are deducted from the final sales price realised by </w:t>
      </w:r>
      <w:r w:rsidR="0082672E">
        <w:rPr>
          <w:szCs w:val="20"/>
        </w:rPr>
        <w:t>Univeg</w:t>
      </w:r>
      <w:r w:rsidRPr="00992199">
        <w:rPr>
          <w:szCs w:val="20"/>
        </w:rPr>
        <w:t xml:space="preserve">, net of expenses, prior to payment to Hillken. In the event that there is a balance due to </w:t>
      </w:r>
      <w:r w:rsidR="0082672E">
        <w:rPr>
          <w:szCs w:val="20"/>
        </w:rPr>
        <w:t>Univeg</w:t>
      </w:r>
      <w:r w:rsidRPr="00992199">
        <w:rPr>
          <w:szCs w:val="20"/>
        </w:rPr>
        <w:t xml:space="preserve">, Hillken and </w:t>
      </w:r>
      <w:r w:rsidR="0082672E">
        <w:rPr>
          <w:szCs w:val="20"/>
        </w:rPr>
        <w:t>Univeg</w:t>
      </w:r>
      <w:r w:rsidRPr="00992199">
        <w:rPr>
          <w:szCs w:val="20"/>
        </w:rPr>
        <w:t xml:space="preserve"> will agree on payment terms.</w:t>
      </w:r>
      <w:r w:rsidR="00D370A5" w:rsidRPr="00D370A5">
        <w:t xml:space="preserve"> </w:t>
      </w:r>
      <w:r w:rsidR="00D370A5">
        <w:t>The current working methodology has changed towards a direct relationship between the Argentinean export organisation and the Univeg Group whereas Hillken no longer serves as service provider for logistic and follow up services.</w:t>
      </w:r>
    </w:p>
    <w:p w:rsidR="003F0BC5" w:rsidRPr="00992199" w:rsidRDefault="003F0BC5" w:rsidP="003F0BC5">
      <w:pPr>
        <w:rPr>
          <w:szCs w:val="20"/>
        </w:rPr>
      </w:pPr>
      <w:r w:rsidRPr="00992199">
        <w:rPr>
          <w:szCs w:val="20"/>
        </w:rPr>
        <w:t>In addition, the agreement of 19 July 2012 (and its annexes) entered into by Dutch Holdco ARG B</w:t>
      </w:r>
      <w:r w:rsidR="003012B0">
        <w:rPr>
          <w:szCs w:val="20"/>
        </w:rPr>
        <w:t>.</w:t>
      </w:r>
      <w:r w:rsidRPr="00992199">
        <w:rPr>
          <w:szCs w:val="20"/>
        </w:rPr>
        <w:t>V</w:t>
      </w:r>
      <w:r w:rsidR="003012B0">
        <w:rPr>
          <w:szCs w:val="20"/>
        </w:rPr>
        <w:t>.</w:t>
      </w:r>
      <w:r w:rsidRPr="00992199">
        <w:rPr>
          <w:szCs w:val="20"/>
        </w:rPr>
        <w:t xml:space="preserve"> as seller, Orchards Invest B.V., as the company, Baysing S.à.R.L. as the purchaser, Sunshining Invest NV and Univeg </w:t>
      </w:r>
      <w:smartTag w:uri="urn:schemas-microsoft-com:office:smarttags" w:element="country-region">
        <w:smartTag w:uri="urn:schemas-microsoft-com:office:smarttags" w:element="place">
          <w:r w:rsidRPr="00992199">
            <w:rPr>
              <w:szCs w:val="20"/>
            </w:rPr>
            <w:t>Belgium</w:t>
          </w:r>
        </w:smartTag>
      </w:smartTag>
      <w:r w:rsidRPr="00992199">
        <w:rPr>
          <w:szCs w:val="20"/>
        </w:rPr>
        <w:t xml:space="preserve"> (the </w:t>
      </w:r>
      <w:r w:rsidRPr="00992199">
        <w:rPr>
          <w:b/>
          <w:i/>
          <w:szCs w:val="20"/>
        </w:rPr>
        <w:t>Working Capital Financing Agreement</w:t>
      </w:r>
      <w:r w:rsidRPr="00992199">
        <w:rPr>
          <w:szCs w:val="20"/>
        </w:rPr>
        <w:t>), organises and finances the working capital needs of Orchards Invest B.V. and its subsidiaries. Outstanding balances are not secured and not guaranteed. At the date hereof, there is an outstanding balance due under the Working Capital Financing Agreement</w:t>
      </w:r>
    </w:p>
    <w:p w:rsidR="003F0BC5" w:rsidRPr="00992199" w:rsidRDefault="003F0BC5" w:rsidP="00B94F0A">
      <w:pPr>
        <w:pStyle w:val="BulletsL1"/>
      </w:pPr>
      <w:r w:rsidRPr="00992199">
        <w:t xml:space="preserve">by Orchards Invest Services B.V. towards Univeg </w:t>
      </w:r>
      <w:smartTag w:uri="urn:schemas-microsoft-com:office:smarttags" w:element="place">
        <w:smartTag w:uri="urn:schemas-microsoft-com:office:smarttags" w:element="country-region">
          <w:r w:rsidRPr="00992199">
            <w:t>Belgium</w:t>
          </w:r>
        </w:smartTag>
      </w:smartTag>
      <w:r w:rsidRPr="00992199">
        <w:t xml:space="preserve"> in the amount of </w:t>
      </w:r>
      <w:r w:rsidR="00E53641">
        <w:t>EUR </w:t>
      </w:r>
      <w:r w:rsidRPr="00992199">
        <w:t xml:space="preserve">7,803,431.58. This balance is due 1 December 2019 and accrues interest determined as the sum of (i) the applicable EURIBOR rate, (ii) a margin derived from the cost of funding and (iii) a margin of 0.05%. At the date hereof this is 5.5749% (period 1/12/2014 – 01/07/2015); </w:t>
      </w:r>
    </w:p>
    <w:p w:rsidR="003F0BC5" w:rsidRDefault="003F0BC5" w:rsidP="00B94F0A">
      <w:pPr>
        <w:pStyle w:val="BulletsL1"/>
      </w:pPr>
      <w:r w:rsidRPr="00992199">
        <w:t xml:space="preserve">by DWB towards </w:t>
      </w:r>
      <w:r w:rsidR="0082672E">
        <w:t>Univeg</w:t>
      </w:r>
      <w:r w:rsidRPr="00992199">
        <w:t xml:space="preserve"> in the amount of </w:t>
      </w:r>
      <w:r w:rsidR="00E53641">
        <w:t>EUR </w:t>
      </w:r>
      <w:r w:rsidRPr="00992199">
        <w:t xml:space="preserve">2,436,901.81 (USD 3,041,984). This balance needs to be repaid as follows: USD 182,519.07 on 1 December 2015, USD 182,519.07 on 1 December 2016 and USD 2,676,946.39 on 1 December 2017 and accrues interest determined as the sum of (i) the applicable EURIBOR rate, (ii) a margin derived from the cost of funding and (iii) a margin of 0.05%. At the date hereof this is 5.5749% (period 1/12/2014 – 01/07/2015). This balance will be demerged to </w:t>
      </w:r>
      <w:r w:rsidR="002A1AB1">
        <w:t>Greenyard Foods</w:t>
      </w:r>
      <w:r w:rsidRPr="00992199">
        <w:t xml:space="preserve"> in the context of the DWB Dem</w:t>
      </w:r>
      <w:r w:rsidR="00D370A5">
        <w:t xml:space="preserve">erger as per the </w:t>
      </w:r>
      <w:r w:rsidR="00334917">
        <w:t>Joint Demerger Proposal</w:t>
      </w:r>
      <w:r w:rsidR="00D370A5">
        <w:t>; and</w:t>
      </w:r>
    </w:p>
    <w:p w:rsidR="00D370A5" w:rsidRPr="00992199" w:rsidRDefault="00D370A5" w:rsidP="00D370A5">
      <w:pPr>
        <w:pStyle w:val="BulletsL1"/>
      </w:pPr>
      <w:r>
        <w:t>o</w:t>
      </w:r>
      <w:r w:rsidRPr="00D370A5">
        <w:t>ther amounts outst</w:t>
      </w:r>
      <w:r>
        <w:t>anding between the Argentinean O</w:t>
      </w:r>
      <w:r w:rsidRPr="00D370A5">
        <w:t>perations and the Univeg Group relate to the ongoing seasons crop financing.</w:t>
      </w:r>
    </w:p>
    <w:p w:rsidR="003F0BC5" w:rsidRPr="00992199" w:rsidRDefault="003F0BC5" w:rsidP="00A91110">
      <w:pPr>
        <w:pStyle w:val="Firm5L2"/>
        <w:keepNext/>
      </w:pPr>
      <w:bookmarkStart w:id="118" w:name="_Toc420593930"/>
      <w:r w:rsidRPr="00992199">
        <w:t xml:space="preserve">Subordinated </w:t>
      </w:r>
      <w:r w:rsidR="000508AB">
        <w:t xml:space="preserve">shareholder </w:t>
      </w:r>
      <w:r w:rsidRPr="00992199">
        <w:t>loan agreement</w:t>
      </w:r>
      <w:bookmarkEnd w:id="118"/>
    </w:p>
    <w:p w:rsidR="003F0BC5" w:rsidRPr="00992199" w:rsidRDefault="003F0BC5" w:rsidP="003F0BC5">
      <w:pPr>
        <w:rPr>
          <w:szCs w:val="20"/>
        </w:rPr>
      </w:pPr>
      <w:r w:rsidRPr="00992199">
        <w:rPr>
          <w:szCs w:val="20"/>
        </w:rPr>
        <w:t xml:space="preserve">Univeg Belgium as lender, TFFG as borrower and Food and Agriculture Industries NV, Expofrut Brazil Importadora e Exportadora Ltda, Monte La Providencia SA, Forbel SA, Univeg South Africa (Pty) Ltd and Univeg South Africa Holdings (Pty) Ltd as parties entered into a subordinated shareholder loan agreement as of 17 December 2014 enabling the borrower to finance, among others, capex and working capital needs of its subsidiaries (the </w:t>
      </w:r>
      <w:r w:rsidRPr="00992199">
        <w:rPr>
          <w:b/>
          <w:i/>
          <w:szCs w:val="20"/>
        </w:rPr>
        <w:t>Subordinated Shareholder Loan Agreement</w:t>
      </w:r>
      <w:r w:rsidRPr="00992199">
        <w:rPr>
          <w:szCs w:val="20"/>
        </w:rPr>
        <w:t xml:space="preserve">) in the amount of </w:t>
      </w:r>
      <w:r w:rsidR="00E53641">
        <w:rPr>
          <w:szCs w:val="20"/>
        </w:rPr>
        <w:t>EUR </w:t>
      </w:r>
      <w:r w:rsidRPr="00992199">
        <w:rPr>
          <w:szCs w:val="20"/>
        </w:rPr>
        <w:t xml:space="preserve">9,646,342.44 (the </w:t>
      </w:r>
      <w:r w:rsidRPr="00992199">
        <w:rPr>
          <w:b/>
          <w:i/>
          <w:szCs w:val="20"/>
        </w:rPr>
        <w:t>Subordinated Shareholder Loan</w:t>
      </w:r>
      <w:r w:rsidRPr="00992199">
        <w:rPr>
          <w:szCs w:val="20"/>
        </w:rPr>
        <w:t>). The interest rate payable on the outstanding principal amount is equal to 5.37% per annum and accrues daily (on the basis of actual days elapsed and a year of 360 days) at the interest rate from (and including) the date of the agreement until the date on which the Subordinated Shareholder Loan is repaid in full. Interest capitalises and is added to and forms part of the outstanding principal amount of the Subordinated Shareholder Loan on the day of each interest period. Upon capitalisation, this interest is treated for all purposes as part of the Subordinated Shareholder Loan and bears interest. The Subordinated Shareholder Loan plus accrued interest is to be repaid by TFFG on the termination date of the Subordinated Shareholder Loan being 17 February 2019. The Subordinated Shareholder Loan Agreement also provides that Univeg Belgium cannot accelerate, place on demand or exercise any remedies or take any enforcement action under the agreement prior to the maturity date defined in the offering circular relating to the Notes.</w:t>
      </w:r>
    </w:p>
    <w:p w:rsidR="003F0BC5" w:rsidRPr="00992199" w:rsidRDefault="003F0BC5" w:rsidP="00A91110">
      <w:pPr>
        <w:pStyle w:val="Firm5L2"/>
        <w:keepNext/>
      </w:pPr>
      <w:bookmarkStart w:id="119" w:name="_Toc420593931"/>
      <w:r w:rsidRPr="00992199">
        <w:t xml:space="preserve">Lease in </w:t>
      </w:r>
      <w:smartTag w:uri="urn:schemas-microsoft-com:office:smarttags" w:element="country-region">
        <w:smartTag w:uri="urn:schemas-microsoft-com:office:smarttags" w:element="place">
          <w:r w:rsidRPr="00992199">
            <w:t>Poland</w:t>
          </w:r>
        </w:smartTag>
      </w:smartTag>
      <w:bookmarkEnd w:id="119"/>
    </w:p>
    <w:p w:rsidR="003F0BC5" w:rsidRPr="00992199" w:rsidRDefault="00871002" w:rsidP="003F0BC5">
      <w:pPr>
        <w:rPr>
          <w:szCs w:val="20"/>
        </w:rPr>
      </w:pPr>
      <w:r>
        <w:rPr>
          <w:szCs w:val="20"/>
        </w:rPr>
        <w:t>A lease a</w:t>
      </w:r>
      <w:r w:rsidR="003F0BC5" w:rsidRPr="00992199">
        <w:rPr>
          <w:szCs w:val="20"/>
        </w:rPr>
        <w:t xml:space="preserve">greement </w:t>
      </w:r>
      <w:r w:rsidRPr="00871002">
        <w:rPr>
          <w:szCs w:val="20"/>
        </w:rPr>
        <w:t>relating to a property (land and buildings</w:t>
      </w:r>
      <w:r w:rsidRPr="00871002">
        <w:t xml:space="preserve"> </w:t>
      </w:r>
      <w:r w:rsidRPr="00871002">
        <w:rPr>
          <w:szCs w:val="20"/>
        </w:rPr>
        <w:t xml:space="preserve">comprising offices and refrigerated warehouses) located in Zabia Wola, Poland </w:t>
      </w:r>
      <w:r w:rsidR="003F0BC5" w:rsidRPr="00992199">
        <w:rPr>
          <w:szCs w:val="20"/>
        </w:rPr>
        <w:t>has been entered</w:t>
      </w:r>
      <w:r>
        <w:rPr>
          <w:szCs w:val="20"/>
        </w:rPr>
        <w:t xml:space="preserve"> i</w:t>
      </w:r>
      <w:r w:rsidRPr="00871002">
        <w:rPr>
          <w:szCs w:val="20"/>
        </w:rPr>
        <w:t>nto</w:t>
      </w:r>
      <w:r>
        <w:rPr>
          <w:szCs w:val="20"/>
        </w:rPr>
        <w:t xml:space="preserve">, as </w:t>
      </w:r>
      <w:r w:rsidR="006235C9">
        <w:rPr>
          <w:szCs w:val="20"/>
        </w:rPr>
        <w:t xml:space="preserve">assigned and </w:t>
      </w:r>
      <w:r>
        <w:rPr>
          <w:szCs w:val="20"/>
        </w:rPr>
        <w:t>amended, between</w:t>
      </w:r>
      <w:r w:rsidRPr="00871002">
        <w:rPr>
          <w:szCs w:val="20"/>
        </w:rPr>
        <w:t xml:space="preserve"> </w:t>
      </w:r>
      <w:r>
        <w:rPr>
          <w:szCs w:val="20"/>
        </w:rPr>
        <w:t xml:space="preserve">ING Lease (Polska) sp. z o.o. </w:t>
      </w:r>
      <w:r w:rsidRPr="00871002">
        <w:rPr>
          <w:szCs w:val="20"/>
        </w:rPr>
        <w:t>and De Weide Blik Poland sp. z o.o.</w:t>
      </w:r>
      <w:r>
        <w:rPr>
          <w:szCs w:val="20"/>
        </w:rPr>
        <w:t>,</w:t>
      </w:r>
      <w:r w:rsidRPr="00871002">
        <w:rPr>
          <w:szCs w:val="20"/>
        </w:rPr>
        <w:t xml:space="preserve"> a subsidiary of DWB</w:t>
      </w:r>
      <w:r>
        <w:rPr>
          <w:szCs w:val="20"/>
        </w:rPr>
        <w:t>,</w:t>
      </w:r>
      <w:r w:rsidRPr="00871002">
        <w:rPr>
          <w:szCs w:val="20"/>
        </w:rPr>
        <w:t xml:space="preserve"> </w:t>
      </w:r>
      <w:r w:rsidR="003F0BC5" w:rsidRPr="00992199">
        <w:rPr>
          <w:szCs w:val="20"/>
        </w:rPr>
        <w:t>for a</w:t>
      </w:r>
      <w:r>
        <w:rPr>
          <w:szCs w:val="20"/>
        </w:rPr>
        <w:t xml:space="preserve"> term of 15 years</w:t>
      </w:r>
      <w:r w:rsidR="003F0BC5" w:rsidRPr="00992199">
        <w:rPr>
          <w:szCs w:val="20"/>
        </w:rPr>
        <w:t xml:space="preserve"> expiring on </w:t>
      </w:r>
      <w:r>
        <w:rPr>
          <w:szCs w:val="20"/>
        </w:rPr>
        <w:t>26 August 2024</w:t>
      </w:r>
      <w:r w:rsidR="003F0BC5" w:rsidRPr="00992199">
        <w:rPr>
          <w:szCs w:val="20"/>
        </w:rPr>
        <w:t>, with an option for De Weide Blik Poland sp. z o.o. to purchase the property at such date</w:t>
      </w:r>
      <w:r>
        <w:rPr>
          <w:szCs w:val="20"/>
        </w:rPr>
        <w:t xml:space="preserve"> (the </w:t>
      </w:r>
      <w:r>
        <w:rPr>
          <w:b/>
          <w:i/>
          <w:szCs w:val="20"/>
        </w:rPr>
        <w:t>Lease Agreement</w:t>
      </w:r>
      <w:r>
        <w:rPr>
          <w:szCs w:val="20"/>
        </w:rPr>
        <w:t>)</w:t>
      </w:r>
      <w:r w:rsidR="003F0BC5" w:rsidRPr="00992199">
        <w:rPr>
          <w:szCs w:val="20"/>
        </w:rPr>
        <w:t xml:space="preserve">. </w:t>
      </w:r>
      <w:r>
        <w:rPr>
          <w:szCs w:val="20"/>
        </w:rPr>
        <w:t xml:space="preserve">An </w:t>
      </w:r>
      <w:r w:rsidRPr="00871002">
        <w:rPr>
          <w:szCs w:val="20"/>
        </w:rPr>
        <w:t xml:space="preserve">agreement to sublease the property </w:t>
      </w:r>
      <w:r w:rsidR="006235C9">
        <w:rPr>
          <w:szCs w:val="20"/>
        </w:rPr>
        <w:t>has been entered into between</w:t>
      </w:r>
      <w:r w:rsidRPr="00871002">
        <w:rPr>
          <w:szCs w:val="20"/>
        </w:rPr>
        <w:t xml:space="preserve"> De Weide Blik Poland sp. z o.o as lessor </w:t>
      </w:r>
      <w:r w:rsidR="006235C9">
        <w:rPr>
          <w:szCs w:val="20"/>
        </w:rPr>
        <w:t>and</w:t>
      </w:r>
      <w:r w:rsidRPr="00871002">
        <w:rPr>
          <w:szCs w:val="20"/>
        </w:rPr>
        <w:t xml:space="preserve"> </w:t>
      </w:r>
      <w:r w:rsidRPr="00992199">
        <w:rPr>
          <w:szCs w:val="20"/>
        </w:rPr>
        <w:t>Univeg Logistics Poland sp. z o.o. (</w:t>
      </w:r>
      <w:r w:rsidRPr="00992199">
        <w:rPr>
          <w:b/>
          <w:i/>
          <w:szCs w:val="20"/>
        </w:rPr>
        <w:t>Univeg Logistics Poland</w:t>
      </w:r>
      <w:r w:rsidRPr="00992199">
        <w:rPr>
          <w:szCs w:val="20"/>
        </w:rPr>
        <w:t>)</w:t>
      </w:r>
      <w:r>
        <w:rPr>
          <w:szCs w:val="20"/>
        </w:rPr>
        <w:t xml:space="preserve"> </w:t>
      </w:r>
      <w:r w:rsidRPr="00871002">
        <w:rPr>
          <w:szCs w:val="20"/>
        </w:rPr>
        <w:t>as lessee</w:t>
      </w:r>
      <w:r w:rsidR="006235C9">
        <w:rPr>
          <w:szCs w:val="20"/>
        </w:rPr>
        <w:t>,</w:t>
      </w:r>
      <w:r w:rsidR="003F0BC5" w:rsidRPr="00992199">
        <w:rPr>
          <w:szCs w:val="20"/>
        </w:rPr>
        <w:t xml:space="preserve"> for a renewable term of </w:t>
      </w:r>
      <w:r>
        <w:rPr>
          <w:szCs w:val="20"/>
        </w:rPr>
        <w:t>ten</w:t>
      </w:r>
      <w:r w:rsidR="003F0BC5" w:rsidRPr="00992199">
        <w:rPr>
          <w:szCs w:val="20"/>
        </w:rPr>
        <w:t xml:space="preserve"> years expiring on 23 September 2024, which initial term will be automatically renewed with successive nine year periods</w:t>
      </w:r>
      <w:r>
        <w:rPr>
          <w:szCs w:val="20"/>
        </w:rPr>
        <w:t xml:space="preserve"> (the </w:t>
      </w:r>
      <w:r w:rsidRPr="00992199">
        <w:rPr>
          <w:b/>
          <w:i/>
          <w:szCs w:val="20"/>
        </w:rPr>
        <w:t>Subsequent Lease Agreement</w:t>
      </w:r>
      <w:r w:rsidRPr="00992199">
        <w:rPr>
          <w:szCs w:val="20"/>
        </w:rPr>
        <w:t>).</w:t>
      </w:r>
      <w:r w:rsidR="003F0BC5" w:rsidRPr="00992199">
        <w:rPr>
          <w:szCs w:val="20"/>
        </w:rPr>
        <w:t xml:space="preserve"> The Subsequent Lease Agreement can be terminated at the expiry of the initial term or each subsequent renewal term by giving 24 months’ prior written notice.</w:t>
      </w:r>
      <w:r w:rsidRPr="00871002">
        <w:t xml:space="preserve"> </w:t>
      </w:r>
      <w:r w:rsidRPr="00871002">
        <w:rPr>
          <w:szCs w:val="20"/>
        </w:rPr>
        <w:t xml:space="preserve">De Weide Blik Poland sp. z o.o. thereafter assigned all its rights as lessor under the Subsequent Lease Agreement to ING Lease (Polska) sp. z o.o. The aggregate fees charged by De Weide Blik </w:t>
      </w:r>
      <w:smartTag w:uri="urn:schemas-microsoft-com:office:smarttags" w:element="country-region">
        <w:r w:rsidRPr="00871002">
          <w:rPr>
            <w:szCs w:val="20"/>
          </w:rPr>
          <w:t>Poland</w:t>
        </w:r>
      </w:smartTag>
      <w:r w:rsidRPr="00871002">
        <w:rPr>
          <w:szCs w:val="20"/>
        </w:rPr>
        <w:t xml:space="preserve"> sp. z o.o. to Univeg Logistics Poland under the Subsequent Lease Agreement are 4.68% higher than the aggregate fees charged by ING Lease (Polska) sp. z o.o. to De Weide Blik </w:t>
      </w:r>
      <w:smartTag w:uri="urn:schemas-microsoft-com:office:smarttags" w:element="country-region">
        <w:smartTag w:uri="urn:schemas-microsoft-com:office:smarttags" w:element="place">
          <w:r w:rsidRPr="00871002">
            <w:rPr>
              <w:szCs w:val="20"/>
            </w:rPr>
            <w:t>Poland</w:t>
          </w:r>
        </w:smartTag>
      </w:smartTag>
      <w:r w:rsidRPr="00871002">
        <w:rPr>
          <w:szCs w:val="20"/>
        </w:rPr>
        <w:t xml:space="preserve"> sp. z o.o. under the Amended Initial Lease Agreement.</w:t>
      </w:r>
    </w:p>
    <w:p w:rsidR="003F0BC5" w:rsidRPr="00992199" w:rsidRDefault="003F0BC5" w:rsidP="00A91110">
      <w:pPr>
        <w:pStyle w:val="Firm5L2"/>
        <w:keepNext/>
        <w:rPr>
          <w:i/>
        </w:rPr>
      </w:pPr>
      <w:bookmarkStart w:id="120" w:name="_Toc420593932"/>
      <w:r w:rsidRPr="00992199">
        <w:t>Contemplated divestments</w:t>
      </w:r>
      <w:bookmarkEnd w:id="120"/>
    </w:p>
    <w:p w:rsidR="006734E3" w:rsidRDefault="006734E3" w:rsidP="006734E3">
      <w:r w:rsidRPr="00655220">
        <w:t xml:space="preserve">As per March 2015, the Univeg Group and The Fruit Farm Group have entered into </w:t>
      </w:r>
      <w:r>
        <w:t>a share purchase agreement</w:t>
      </w:r>
      <w:r w:rsidRPr="00655220">
        <w:t xml:space="preserve"> for the sale</w:t>
      </w:r>
      <w:r>
        <w:t xml:space="preserve"> of </w:t>
      </w:r>
      <w:r w:rsidRPr="00655220">
        <w:t xml:space="preserve">its minority </w:t>
      </w:r>
      <w:r w:rsidR="006A094C">
        <w:t>stake</w:t>
      </w:r>
      <w:r w:rsidRPr="00655220">
        <w:t xml:space="preserve"> of 22.9% in Agro Vicces SA, a Costa Rican pineapple farm</w:t>
      </w:r>
      <w:r>
        <w:t xml:space="preserve"> for a consideration of </w:t>
      </w:r>
      <w:r w:rsidR="00E53641">
        <w:t>EUR </w:t>
      </w:r>
      <w:r>
        <w:t>811,000. This transaction has been completed</w:t>
      </w:r>
      <w:r w:rsidRPr="00655220">
        <w:t xml:space="preserve">. </w:t>
      </w:r>
      <w:r>
        <w:t xml:space="preserve">The Univeg Group’s Costa Rican trading organisation solely works for Agro Vicces SA and Monte La Providencia, owned by TFFG, therefore the Univeg Group has decided to sell this shareholding for </w:t>
      </w:r>
      <w:r w:rsidR="00E53641">
        <w:t>EUR </w:t>
      </w:r>
      <w:r>
        <w:t>56,000 to TFFG.</w:t>
      </w:r>
    </w:p>
    <w:p w:rsidR="006734E3" w:rsidRDefault="006734E3" w:rsidP="006734E3">
      <w:r w:rsidRPr="00655220">
        <w:t xml:space="preserve">Other companies involved in growing operations were divested to </w:t>
      </w:r>
      <w:r>
        <w:t>DWB</w:t>
      </w:r>
      <w:r w:rsidRPr="00655220">
        <w:t xml:space="preserve"> for a total consideration of </w:t>
      </w:r>
      <w:r w:rsidR="00E53641">
        <w:t>EUR </w:t>
      </w:r>
      <w:r w:rsidRPr="00655220">
        <w:t>5</w:t>
      </w:r>
      <w:r>
        <w:t>,</w:t>
      </w:r>
      <w:r w:rsidRPr="00655220">
        <w:t>8</w:t>
      </w:r>
      <w:r>
        <w:t>00,000</w:t>
      </w:r>
      <w:r w:rsidRPr="00655220">
        <w:t xml:space="preserve">. These divestments include </w:t>
      </w:r>
      <w:r>
        <w:t xml:space="preserve">(i) </w:t>
      </w:r>
      <w:r w:rsidRPr="006734E3">
        <w:t xml:space="preserve">the </w:t>
      </w:r>
      <w:r w:rsidRPr="00655220">
        <w:t xml:space="preserve">44.65% shareholding are Mouton Citrus Proprieraty Ltd, a citrus grower in South Africa, for an amount of </w:t>
      </w:r>
      <w:r w:rsidR="00E53641">
        <w:t>EUR </w:t>
      </w:r>
      <w:r w:rsidRPr="00655220">
        <w:t>3</w:t>
      </w:r>
      <w:r>
        <w:t>,</w:t>
      </w:r>
      <w:r w:rsidRPr="00655220">
        <w:t>8</w:t>
      </w:r>
      <w:r>
        <w:t>00,000</w:t>
      </w:r>
      <w:r w:rsidRPr="00655220">
        <w:t xml:space="preserve">, </w:t>
      </w:r>
      <w:r>
        <w:t xml:space="preserve">(ii) </w:t>
      </w:r>
      <w:r w:rsidRPr="00655220">
        <w:t xml:space="preserve">the 55.0% shareholding in Frutas Del Guardiana S.A. and Novafruta Del Guardiana S.A., a multiple product growing company in Spain for an amount of </w:t>
      </w:r>
      <w:r w:rsidR="00E53641">
        <w:t>EUR </w:t>
      </w:r>
      <w:r w:rsidRPr="00655220">
        <w:t>1</w:t>
      </w:r>
      <w:r>
        <w:t>,</w:t>
      </w:r>
      <w:r w:rsidRPr="00655220">
        <w:t>2</w:t>
      </w:r>
      <w:r>
        <w:t>00,000, (iii)</w:t>
      </w:r>
      <w:r w:rsidRPr="00655220">
        <w:t xml:space="preserve"> the 99% shareholding in Univeg Agricola Ltda, a company owing a land plot in Brazil for a zero value considering the debt position of the company fully offset the land value and </w:t>
      </w:r>
      <w:r>
        <w:t xml:space="preserve">(v) </w:t>
      </w:r>
      <w:r w:rsidRPr="00655220">
        <w:t xml:space="preserve">a landplot in </w:t>
      </w:r>
      <w:r>
        <w:t>T</w:t>
      </w:r>
      <w:r w:rsidRPr="00655220">
        <w:t xml:space="preserve">he Netherlands for </w:t>
      </w:r>
      <w:r w:rsidR="00E53641">
        <w:t>EUR </w:t>
      </w:r>
      <w:r>
        <w:t>700,000</w:t>
      </w:r>
      <w:r w:rsidRPr="00655220">
        <w:t>.</w:t>
      </w:r>
      <w:r>
        <w:t xml:space="preserve"> </w:t>
      </w:r>
    </w:p>
    <w:p w:rsidR="00A91110" w:rsidRPr="00A91110" w:rsidRDefault="00A91110" w:rsidP="00A91110">
      <w:pPr>
        <w:pStyle w:val="Firm5L2"/>
        <w:keepNext/>
      </w:pPr>
      <w:bookmarkStart w:id="121" w:name="_Toc420593933"/>
      <w:r w:rsidRPr="00A91110">
        <w:t>Lincsflora</w:t>
      </w:r>
      <w:bookmarkEnd w:id="121"/>
    </w:p>
    <w:p w:rsidR="00A91110" w:rsidRPr="00A91110" w:rsidRDefault="00A91110" w:rsidP="00A91110">
      <w:r w:rsidRPr="00A91110">
        <w:t xml:space="preserve">The Univeg Group decided, on 31 December 2014, to hive down and sell the </w:t>
      </w:r>
      <w:smartTag w:uri="urn:schemas-microsoft-com:office:smarttags" w:element="City">
        <w:smartTag w:uri="urn:schemas-microsoft-com:office:smarttags" w:element="place">
          <w:r w:rsidRPr="00A91110">
            <w:t>Lincolnshire</w:t>
          </w:r>
        </w:smartTag>
      </w:smartTag>
      <w:r w:rsidRPr="00A91110">
        <w:t xml:space="preserve"> activities to an affiliate of DWB in December 2014. As part of the agreement, Winchester Growers Ltd will be supplying raw materials (other than daffodils) and packing materials to LincsFlora Ltd. All related fixed assets were included in the hive down following which the transaction was structured as a share transactions where DWB acquired the shares of Lincsflora for £1.</w:t>
      </w:r>
    </w:p>
    <w:p w:rsidR="00A91110" w:rsidRPr="00A91110" w:rsidRDefault="00A91110" w:rsidP="00A91110">
      <w:pPr>
        <w:pStyle w:val="Firm5L2"/>
        <w:keepNext/>
      </w:pPr>
      <w:bookmarkStart w:id="122" w:name="_Toc420593934"/>
      <w:r w:rsidRPr="00A91110">
        <w:t>Services agreement</w:t>
      </w:r>
      <w:bookmarkEnd w:id="122"/>
    </w:p>
    <w:p w:rsidR="00A91110" w:rsidRPr="00A91110" w:rsidRDefault="00A91110" w:rsidP="00A91110">
      <w:r w:rsidRPr="00A91110">
        <w:t>Univeg has entered into services agreements with certain directors of DWB, being Deprez Invest NV (represented by Mr Hein Deprez), Management Deprez BVBA (represented by Ms Veerle Deprez), Bonem BVBA (represented by Mr Marc Ooms) and Beacon Rock Corporate Services (Pty) Ltd (represented by Mr Tom Borman).</w:t>
      </w:r>
    </w:p>
    <w:p w:rsidR="00A91110" w:rsidRPr="00A91110" w:rsidRDefault="00A91110" w:rsidP="00A91110">
      <w:pPr>
        <w:rPr>
          <w:szCs w:val="20"/>
        </w:rPr>
      </w:pPr>
      <w:r w:rsidRPr="00A91110">
        <w:rPr>
          <w:szCs w:val="20"/>
        </w:rPr>
        <w:t>Pursuant to these agreements, Deprez Invest NV, Management Deprez BVBA and Bonem BVBA perform the daily management of Univeg, and Beacon Rock Corporate Services (Pty) Ltd performs services relating to the strategic and project management of the Company. The provision of services is provided against a monthly remuneration of EUR 77,500 (excl. VAT), EUR 10,000 (excl. VAT), EUR 17,500 (excl. VAT) and EUR 25,000 (excl. VAT), respectively. All of the aforementioned agreements, except for the agreement with Beacon Rock Corporate Services (Pty) Ltd foresee a notice period of six months. The agreement with Beacon Rock Corporate Services (Pty) Ltd terminated on [1 July 2014]. The agreement will immediately terminate in case of serious contractual breach or in case a party is involved in a dissolution, bankruptcy or settlement procedure or a party becomes insolvent or renounces all or a substantial part of its assets.</w:t>
      </w:r>
    </w:p>
    <w:p w:rsidR="00A91110" w:rsidRPr="00A91110" w:rsidRDefault="00A91110" w:rsidP="00A91110">
      <w:r w:rsidRPr="00A91110">
        <w:rPr>
          <w:szCs w:val="20"/>
        </w:rPr>
        <w:t>These agreements [have been]/[will have been] terminated before the completion of the Transactions.</w:t>
      </w:r>
    </w:p>
    <w:p w:rsidR="003F0BC5" w:rsidRPr="00992199" w:rsidRDefault="003F0BC5" w:rsidP="00353B80">
      <w:pPr>
        <w:pStyle w:val="Firm5L1"/>
        <w:keepNext/>
      </w:pPr>
      <w:bookmarkStart w:id="123" w:name="_Toc420593935"/>
      <w:r w:rsidRPr="00992199">
        <w:t>Related-party transactions relating to entities of the Peatinvest group</w:t>
      </w:r>
      <w:bookmarkEnd w:id="123"/>
    </w:p>
    <w:p w:rsidR="003F0BC5" w:rsidRPr="00992199" w:rsidRDefault="003F0BC5" w:rsidP="00A91110">
      <w:pPr>
        <w:pStyle w:val="Firm5L2"/>
        <w:keepNext/>
      </w:pPr>
      <w:bookmarkStart w:id="124" w:name="_Toc420593936"/>
      <w:r w:rsidRPr="00992199">
        <w:t>Loan Agreement between Deprez Holding NV (as borrower) and Peatinvest (as lender) dated 29 December 2014.</w:t>
      </w:r>
      <w:bookmarkEnd w:id="124"/>
    </w:p>
    <w:p w:rsidR="003F0BC5" w:rsidRPr="00992199" w:rsidRDefault="003F0BC5" w:rsidP="003F0BC5">
      <w:pPr>
        <w:rPr>
          <w:szCs w:val="20"/>
        </w:rPr>
      </w:pPr>
      <w:r w:rsidRPr="00992199">
        <w:rPr>
          <w:szCs w:val="20"/>
        </w:rPr>
        <w:t xml:space="preserve">Pursuant this loan agreement, Peatinvest granted an interest bearing loan (EURIBOR 6 months + margin of 2% per annum payable on a calendar yearly basis) of an amount of </w:t>
      </w:r>
      <w:r w:rsidR="00E53641">
        <w:rPr>
          <w:szCs w:val="20"/>
        </w:rPr>
        <w:t>EUR </w:t>
      </w:r>
      <w:r w:rsidRPr="00992199">
        <w:rPr>
          <w:szCs w:val="20"/>
        </w:rPr>
        <w:t>1,902,376.36 to Deprez Holding NV. This loan has been granted for an undefined term, starting on 29 December 2014. The borrower is entitled to repay the loan at any time, fully or partially, without any penalty. The lender is also entitled to require the repayment of the loan within a 30 day period after written notice of repayment. This loan has been repaid in full.</w:t>
      </w:r>
    </w:p>
    <w:p w:rsidR="003F0BC5" w:rsidRPr="00992199" w:rsidRDefault="003F0BC5" w:rsidP="00A91110">
      <w:pPr>
        <w:pStyle w:val="Firm5L2"/>
        <w:keepNext/>
      </w:pPr>
      <w:bookmarkStart w:id="125" w:name="_Toc420593937"/>
      <w:r w:rsidRPr="00992199">
        <w:t>Services agreement</w:t>
      </w:r>
      <w:bookmarkEnd w:id="125"/>
    </w:p>
    <w:p w:rsidR="003F0BC5" w:rsidRPr="00992199" w:rsidRDefault="003F0BC5" w:rsidP="003F0BC5">
      <w:pPr>
        <w:rPr>
          <w:szCs w:val="20"/>
        </w:rPr>
      </w:pPr>
      <w:smartTag w:uri="urn:schemas-microsoft-com:office:smarttags" w:element="place">
        <w:smartTag w:uri="urn:schemas-microsoft-com:office:smarttags" w:element="City">
          <w:r w:rsidRPr="00992199">
            <w:rPr>
              <w:szCs w:val="20"/>
            </w:rPr>
            <w:t>Peltracom</w:t>
          </w:r>
        </w:smartTag>
        <w:r w:rsidRPr="00992199">
          <w:rPr>
            <w:szCs w:val="20"/>
          </w:rPr>
          <w:t xml:space="preserve"> </w:t>
        </w:r>
        <w:smartTag w:uri="urn:schemas-microsoft-com:office:smarttags" w:element="State">
          <w:r w:rsidRPr="00992199">
            <w:rPr>
              <w:szCs w:val="20"/>
            </w:rPr>
            <w:t>NV</w:t>
          </w:r>
        </w:smartTag>
      </w:smartTag>
      <w:r w:rsidRPr="00992199">
        <w:rPr>
          <w:szCs w:val="20"/>
        </w:rPr>
        <w:t>, one of Peatinvest’s subsidia</w:t>
      </w:r>
      <w:r w:rsidR="00A07615">
        <w:rPr>
          <w:szCs w:val="20"/>
        </w:rPr>
        <w:t>ri</w:t>
      </w:r>
      <w:r w:rsidRPr="00992199">
        <w:rPr>
          <w:szCs w:val="20"/>
        </w:rPr>
        <w:t>es entered into a management and marketing services agreement with one of its directors, Deprez Invest NV on 1 January 2010.</w:t>
      </w:r>
    </w:p>
    <w:p w:rsidR="003F0BC5" w:rsidRPr="00992199" w:rsidRDefault="003F0BC5" w:rsidP="003F0BC5">
      <w:pPr>
        <w:rPr>
          <w:szCs w:val="20"/>
        </w:rPr>
      </w:pPr>
      <w:r w:rsidRPr="00992199">
        <w:rPr>
          <w:szCs w:val="20"/>
        </w:rPr>
        <w:t xml:space="preserve">Pursuant to this agreement, Deprez Invest NV will provide consultancy services for the organisation, direction, marketing and commercialisation of </w:t>
      </w:r>
      <w:smartTag w:uri="urn:schemas-microsoft-com:office:smarttags" w:element="City">
        <w:r w:rsidRPr="00992199">
          <w:rPr>
            <w:szCs w:val="20"/>
          </w:rPr>
          <w:t>Peltracom</w:t>
        </w:r>
      </w:smartTag>
      <w:r w:rsidRPr="00992199">
        <w:rPr>
          <w:szCs w:val="20"/>
        </w:rPr>
        <w:t xml:space="preserve"> </w:t>
      </w:r>
      <w:smartTag w:uri="urn:schemas-microsoft-com:office:smarttags" w:element="State">
        <w:r w:rsidRPr="00992199">
          <w:rPr>
            <w:szCs w:val="20"/>
          </w:rPr>
          <w:t>NV</w:t>
        </w:r>
      </w:smartTag>
      <w:r w:rsidRPr="00992199">
        <w:rPr>
          <w:szCs w:val="20"/>
        </w:rPr>
        <w:t xml:space="preserve">’s activities and the activities of </w:t>
      </w:r>
      <w:smartTag w:uri="urn:schemas-microsoft-com:office:smarttags" w:element="place">
        <w:smartTag w:uri="urn:schemas-microsoft-com:office:smarttags" w:element="City">
          <w:r w:rsidRPr="00992199">
            <w:rPr>
              <w:szCs w:val="20"/>
            </w:rPr>
            <w:t>Peltracom</w:t>
          </w:r>
        </w:smartTag>
        <w:r w:rsidRPr="00992199">
          <w:rPr>
            <w:szCs w:val="20"/>
          </w:rPr>
          <w:t xml:space="preserve"> </w:t>
        </w:r>
        <w:smartTag w:uri="urn:schemas-microsoft-com:office:smarttags" w:element="State">
          <w:r w:rsidRPr="00992199">
            <w:rPr>
              <w:szCs w:val="20"/>
            </w:rPr>
            <w:t>NV</w:t>
          </w:r>
        </w:smartTag>
      </w:smartTag>
      <w:r w:rsidRPr="00992199">
        <w:rPr>
          <w:szCs w:val="20"/>
        </w:rPr>
        <w:t xml:space="preserve">’s branches or subsidiaries. The provision of services shall be provided on a full time basis against a monthly remuneration of </w:t>
      </w:r>
      <w:r w:rsidR="00E53641">
        <w:rPr>
          <w:szCs w:val="20"/>
        </w:rPr>
        <w:t>EUR </w:t>
      </w:r>
      <w:r w:rsidRPr="00992199">
        <w:rPr>
          <w:szCs w:val="20"/>
        </w:rPr>
        <w:t>20,000 (excl. VAT). Additional remuneration to be agreed upon between the parties can be granted to Deprez Invest NV in case the latter performs exceptional services. The agreement is entered into for a duration of</w:t>
      </w:r>
      <w:r w:rsidR="006042CC">
        <w:rPr>
          <w:szCs w:val="20"/>
        </w:rPr>
        <w:t xml:space="preserve"> ten </w:t>
      </w:r>
      <w:r w:rsidRPr="00992199">
        <w:rPr>
          <w:szCs w:val="20"/>
        </w:rPr>
        <w:t xml:space="preserve">years starting on 1 January 2010. If the agreement is not terminated with a three months prior notice before 31 December 2020, the agreement will be deemed concluded for an unlimited duration. The agreement will immediately terminate in case Deprez Invest NV acts on behalf of </w:t>
      </w:r>
      <w:smartTag w:uri="urn:schemas-microsoft-com:office:smarttags" w:element="City">
        <w:r w:rsidRPr="00992199">
          <w:rPr>
            <w:szCs w:val="20"/>
          </w:rPr>
          <w:t>Peltracom</w:t>
        </w:r>
      </w:smartTag>
      <w:r w:rsidRPr="00992199">
        <w:rPr>
          <w:szCs w:val="20"/>
        </w:rPr>
        <w:t xml:space="preserve"> </w:t>
      </w:r>
      <w:smartTag w:uri="urn:schemas-microsoft-com:office:smarttags" w:element="State">
        <w:r w:rsidRPr="00992199">
          <w:rPr>
            <w:szCs w:val="20"/>
          </w:rPr>
          <w:t>NV</w:t>
        </w:r>
      </w:smartTag>
      <w:r w:rsidRPr="00992199">
        <w:rPr>
          <w:szCs w:val="20"/>
        </w:rPr>
        <w:t xml:space="preserve"> without </w:t>
      </w:r>
      <w:smartTag w:uri="urn:schemas-microsoft-com:office:smarttags" w:element="place">
        <w:smartTag w:uri="urn:schemas-microsoft-com:office:smarttags" w:element="City">
          <w:r w:rsidRPr="00992199">
            <w:rPr>
              <w:szCs w:val="20"/>
            </w:rPr>
            <w:t>Peltracom</w:t>
          </w:r>
        </w:smartTag>
        <w:r w:rsidRPr="00992199">
          <w:rPr>
            <w:szCs w:val="20"/>
          </w:rPr>
          <w:t xml:space="preserve"> </w:t>
        </w:r>
        <w:smartTag w:uri="urn:schemas-microsoft-com:office:smarttags" w:element="State">
          <w:r w:rsidRPr="00992199">
            <w:rPr>
              <w:szCs w:val="20"/>
            </w:rPr>
            <w:t>NV</w:t>
          </w:r>
        </w:smartTag>
      </w:smartTag>
      <w:r w:rsidRPr="00992199">
        <w:rPr>
          <w:szCs w:val="20"/>
        </w:rPr>
        <w:t>’s prior approval or in case Deprez Invest NV asks for deferred payment, is in bankruptcy or liquidation.</w:t>
      </w:r>
    </w:p>
    <w:p w:rsidR="003F0BC5" w:rsidRPr="00992199" w:rsidRDefault="003F0BC5" w:rsidP="003F0BC5">
      <w:pPr>
        <w:rPr>
          <w:szCs w:val="20"/>
        </w:rPr>
      </w:pPr>
      <w:r w:rsidRPr="00992199">
        <w:rPr>
          <w:szCs w:val="20"/>
        </w:rPr>
        <w:t>This agreement [has been]/[will have been] terminated before the completion of the Transactions.</w:t>
      </w:r>
    </w:p>
    <w:p w:rsidR="003F0BC5" w:rsidRPr="00992199" w:rsidRDefault="003F0BC5" w:rsidP="00A91110">
      <w:pPr>
        <w:pStyle w:val="Firm5L2"/>
        <w:keepNext/>
      </w:pPr>
      <w:bookmarkStart w:id="126" w:name="_Toc420593938"/>
      <w:r w:rsidRPr="00992199">
        <w:t>Loan Agreement between Deprez Holding NV (as borrower) and Peatinvest (as lender) dated 22 May 2012.</w:t>
      </w:r>
      <w:bookmarkEnd w:id="126"/>
    </w:p>
    <w:p w:rsidR="003F0BC5" w:rsidRPr="00992199" w:rsidRDefault="003F0BC5" w:rsidP="003F0BC5">
      <w:pPr>
        <w:rPr>
          <w:szCs w:val="20"/>
        </w:rPr>
      </w:pPr>
      <w:r w:rsidRPr="00992199">
        <w:rPr>
          <w:szCs w:val="20"/>
        </w:rPr>
        <w:t xml:space="preserve">Pursuant this loan agreement, Peatinvest granted an interest bearing loan (EURIBOR 6 months + margin of 2% per annum payable on a calendar yearly basis) of an amount of </w:t>
      </w:r>
      <w:r w:rsidR="00E53641">
        <w:rPr>
          <w:szCs w:val="20"/>
        </w:rPr>
        <w:t>EUR </w:t>
      </w:r>
      <w:r w:rsidRPr="00992199">
        <w:rPr>
          <w:szCs w:val="20"/>
        </w:rPr>
        <w:t>500,000 to Deprez Holding NV. This loan has been granted for an undefined term, starting on 22 May 2012. The borrower is entitled to repay the loan at any time, fully or partially, without any penalty. The lender is also entitled to require the repayment of the loan within a 30 day period after written notice of repayment.</w:t>
      </w:r>
    </w:p>
    <w:p w:rsidR="003F0BC5" w:rsidRPr="00992199" w:rsidRDefault="003F0BC5" w:rsidP="00B94F0A"/>
    <w:p w:rsidR="003F0BC5" w:rsidRPr="00992199" w:rsidRDefault="003F0BC5" w:rsidP="00353B80">
      <w:pPr>
        <w:pStyle w:val="Heading1"/>
        <w:keepNext/>
      </w:pPr>
      <w:bookmarkStart w:id="127" w:name="_Toc420593939"/>
      <w:r w:rsidRPr="00992199">
        <w:t>PART IX: TAXATION</w:t>
      </w:r>
      <w:bookmarkEnd w:id="127"/>
    </w:p>
    <w:p w:rsidR="003F0BC5" w:rsidRPr="00992199" w:rsidRDefault="003F0BC5" w:rsidP="003F0BC5">
      <w:pPr>
        <w:rPr>
          <w:szCs w:val="20"/>
        </w:rPr>
      </w:pPr>
      <w:r w:rsidRPr="00992199">
        <w:rPr>
          <w:szCs w:val="20"/>
        </w:rPr>
        <w:t xml:space="preserve">The following is a summary of the principal Belgian tax consequences for investors relating to the acquisition, the ownership and disposal of the Shares. This summary is based on the Company’s understanding of the applicable laws, treaties and regulatory interpretations as in effect in </w:t>
      </w:r>
      <w:smartTag w:uri="urn:schemas-microsoft-com:office:smarttags" w:element="country-region">
        <w:smartTag w:uri="urn:schemas-microsoft-com:office:smarttags" w:element="place">
          <w:r w:rsidRPr="00992199">
            <w:rPr>
              <w:szCs w:val="20"/>
            </w:rPr>
            <w:t>Belgium</w:t>
          </w:r>
        </w:smartTag>
      </w:smartTag>
      <w:r w:rsidRPr="00992199">
        <w:rPr>
          <w:szCs w:val="20"/>
        </w:rPr>
        <w:t xml:space="preserve"> on the date of this Prospectus, all of which are subject to change, including changes that could have a retroactive effect.</w:t>
      </w:r>
    </w:p>
    <w:p w:rsidR="003F0BC5" w:rsidRPr="00992199" w:rsidRDefault="003F0BC5" w:rsidP="003F0BC5">
      <w:pPr>
        <w:rPr>
          <w:szCs w:val="20"/>
        </w:rPr>
      </w:pPr>
      <w:r w:rsidRPr="00992199">
        <w:rPr>
          <w:szCs w:val="20"/>
        </w:rPr>
        <w:t xml:space="preserve">This summary does not purport to address all tax consequences associated with the acquisition, ownership and disposal of the Shares, and does not take into account the specific circumstances of any particular investor or the tax laws of any country other than </w:t>
      </w:r>
      <w:smartTag w:uri="urn:schemas-microsoft-com:office:smarttags" w:element="country-region">
        <w:smartTag w:uri="urn:schemas-microsoft-com:office:smarttags" w:element="place">
          <w:r w:rsidRPr="00992199">
            <w:rPr>
              <w:szCs w:val="20"/>
            </w:rPr>
            <w:t>Belgium</w:t>
          </w:r>
        </w:smartTag>
      </w:smartTag>
      <w:r w:rsidRPr="00992199">
        <w:rPr>
          <w:szCs w:val="20"/>
        </w:rPr>
        <w:t>. Moreover, it does not address specific rules, such as Belgian federal or regional estate and gift tax, nor the tax treatment of investors who are subject to special rules, such as financial institutions, insurance companies, collective investment undertakings, dealers in securities or currencies or persons who hold the shares as a position in a straddle, share-repurchase transactions, conversion transactions, a synthetic security or other integrated financial transaction. This summary does not address the local taxes that may be due in connection with an investment in Shares, other than Belgian local surcharges which generally vary from 0% to 9% of the investor’s income tax liability.</w:t>
      </w:r>
    </w:p>
    <w:p w:rsidR="003F0BC5" w:rsidRPr="00992199" w:rsidRDefault="003F0BC5" w:rsidP="003F0BC5">
      <w:pPr>
        <w:rPr>
          <w:szCs w:val="20"/>
        </w:rPr>
      </w:pPr>
      <w:r w:rsidRPr="00992199">
        <w:rPr>
          <w:szCs w:val="20"/>
        </w:rPr>
        <w:t>For the purposes of this summary, a resident investor is:</w:t>
      </w:r>
    </w:p>
    <w:p w:rsidR="003F0BC5" w:rsidRPr="00992199" w:rsidRDefault="003F0BC5" w:rsidP="00AE5DCF">
      <w:pPr>
        <w:pStyle w:val="BulletsL1"/>
      </w:pPr>
      <w:r w:rsidRPr="00992199">
        <w:t xml:space="preserve">an individual subject to Belgian personal income tax, </w:t>
      </w:r>
      <w:r w:rsidRPr="00992199">
        <w:rPr>
          <w:i/>
        </w:rPr>
        <w:t>i.e.</w:t>
      </w:r>
      <w:r w:rsidRPr="00992199">
        <w:t xml:space="preserve">, an individual having its domicile or seat of wealth in </w:t>
      </w:r>
      <w:smartTag w:uri="urn:schemas-microsoft-com:office:smarttags" w:element="country-region">
        <w:smartTag w:uri="urn:schemas-microsoft-com:office:smarttags" w:element="place">
          <w:r w:rsidRPr="00992199">
            <w:t>Belgium</w:t>
          </w:r>
        </w:smartTag>
      </w:smartTag>
      <w:r w:rsidRPr="00992199">
        <w:t xml:space="preserve"> or assimilated individuals for purposes of Belgian tax law;</w:t>
      </w:r>
    </w:p>
    <w:p w:rsidR="003F0BC5" w:rsidRPr="00992199" w:rsidRDefault="003F0BC5" w:rsidP="00AE5DCF">
      <w:pPr>
        <w:pStyle w:val="BulletsL1"/>
      </w:pPr>
      <w:r w:rsidRPr="00992199">
        <w:t xml:space="preserve">a company (as defined by Belgian tax law) subject to Belgian corporate income tax, </w:t>
      </w:r>
      <w:r w:rsidRPr="00992199">
        <w:rPr>
          <w:i/>
        </w:rPr>
        <w:t>i.e.</w:t>
      </w:r>
      <w:r w:rsidRPr="00992199">
        <w:t xml:space="preserve">, a company having its registered seat, principal establishment, administrative seat or effective place of management in </w:t>
      </w:r>
      <w:smartTag w:uri="urn:schemas-microsoft-com:office:smarttags" w:element="country-region">
        <w:smartTag w:uri="urn:schemas-microsoft-com:office:smarttags" w:element="place">
          <w:r w:rsidRPr="00992199">
            <w:t>Belgium</w:t>
          </w:r>
        </w:smartTag>
      </w:smartTag>
      <w:r w:rsidRPr="00992199">
        <w:t>; or</w:t>
      </w:r>
    </w:p>
    <w:p w:rsidR="003F0BC5" w:rsidRPr="00992199" w:rsidRDefault="003F0BC5" w:rsidP="00AE5DCF">
      <w:pPr>
        <w:pStyle w:val="BulletsL1"/>
      </w:pPr>
      <w:r w:rsidRPr="00992199">
        <w:t xml:space="preserve">a legal entity subject to the Belgian tax on legal entities, </w:t>
      </w:r>
      <w:r w:rsidRPr="00992199">
        <w:rPr>
          <w:i/>
        </w:rPr>
        <w:t>i.e.</w:t>
      </w:r>
      <w:r w:rsidRPr="00992199">
        <w:t xml:space="preserve">, a legal entity other than a company subject to Belgian corporate income tax having its registered seat, principal establishment, administrative seat or effective place of management in </w:t>
      </w:r>
      <w:smartTag w:uri="urn:schemas-microsoft-com:office:smarttags" w:element="place">
        <w:smartTag w:uri="urn:schemas-microsoft-com:office:smarttags" w:element="country-region">
          <w:r w:rsidRPr="00992199">
            <w:t>Belgium</w:t>
          </w:r>
        </w:smartTag>
      </w:smartTag>
      <w:r w:rsidRPr="00992199">
        <w:t>.</w:t>
      </w:r>
    </w:p>
    <w:p w:rsidR="003F0BC5" w:rsidRPr="00992199" w:rsidRDefault="003F0BC5" w:rsidP="003F0BC5">
      <w:pPr>
        <w:rPr>
          <w:szCs w:val="20"/>
        </w:rPr>
      </w:pPr>
      <w:r w:rsidRPr="00992199">
        <w:rPr>
          <w:szCs w:val="20"/>
        </w:rPr>
        <w:t>A non-resident investor is any individual, company or legal entity that does not fall in any of the three previous classes.</w:t>
      </w:r>
    </w:p>
    <w:p w:rsidR="003F0BC5" w:rsidRPr="00992199" w:rsidRDefault="003F0BC5" w:rsidP="003F0BC5">
      <w:pPr>
        <w:rPr>
          <w:szCs w:val="20"/>
        </w:rPr>
      </w:pPr>
      <w:r w:rsidRPr="00992199">
        <w:rPr>
          <w:szCs w:val="20"/>
        </w:rPr>
        <w:t xml:space="preserve">This summary does not address the tax regime applicable to Shares held by Belgian tax residents through a fixed basis or a permanent establishment situated outside </w:t>
      </w:r>
      <w:smartTag w:uri="urn:schemas-microsoft-com:office:smarttags" w:element="country-region">
        <w:smartTag w:uri="urn:schemas-microsoft-com:office:smarttags" w:element="place">
          <w:r w:rsidRPr="00992199">
            <w:rPr>
              <w:szCs w:val="20"/>
            </w:rPr>
            <w:t>Belgium</w:t>
          </w:r>
        </w:smartTag>
      </w:smartTag>
      <w:r w:rsidRPr="00992199">
        <w:rPr>
          <w:szCs w:val="20"/>
        </w:rPr>
        <w:t>.</w:t>
      </w:r>
    </w:p>
    <w:p w:rsidR="003F0BC5" w:rsidRPr="00992199" w:rsidRDefault="003F0BC5" w:rsidP="003F0BC5">
      <w:pPr>
        <w:rPr>
          <w:szCs w:val="20"/>
        </w:rPr>
      </w:pPr>
      <w:r w:rsidRPr="00992199">
        <w:rPr>
          <w:szCs w:val="20"/>
        </w:rPr>
        <w:t>Investors should consult their own advisers regarding the tax consequences of an investment in the Shares in light of their particular situation, including the effect of any state, local or other national laws, treaties and regulatory interpretations thereof.</w:t>
      </w:r>
    </w:p>
    <w:p w:rsidR="003F0BC5" w:rsidRPr="00992199" w:rsidRDefault="003F0BC5" w:rsidP="00353B80">
      <w:pPr>
        <w:pStyle w:val="Firm5L1"/>
        <w:keepNext/>
        <w:numPr>
          <w:ilvl w:val="0"/>
          <w:numId w:val="15"/>
        </w:numPr>
      </w:pPr>
      <w:bookmarkStart w:id="128" w:name="_Toc420593940"/>
      <w:r w:rsidRPr="00992199">
        <w:t>Dividends</w:t>
      </w:r>
      <w:bookmarkEnd w:id="128"/>
    </w:p>
    <w:p w:rsidR="003F0BC5" w:rsidRPr="00992199" w:rsidRDefault="003F0BC5" w:rsidP="003F0BC5">
      <w:pPr>
        <w:rPr>
          <w:szCs w:val="20"/>
        </w:rPr>
      </w:pPr>
      <w:r w:rsidRPr="00992199">
        <w:rPr>
          <w:szCs w:val="20"/>
        </w:rPr>
        <w:t>For Belgian income tax purposes, the gross amount of all benefits paid on or attributed to the Shares is generally treated as a dividend distribution. By way of exception, the repayment of capital carried out in accordance with the Belgian Companies Code is not treated as a dividend distribution to the extent that such repayment is imputed to fiscal capital. Generally, fiscal capital includes paid-up statutory capital and, subject to certain conditions, paid-up share premiums and the amounts subscribed to at the time of the issuance of profit participating certificates.</w:t>
      </w:r>
    </w:p>
    <w:p w:rsidR="003F0BC5" w:rsidRPr="00992199" w:rsidRDefault="003F0BC5" w:rsidP="003F0BC5">
      <w:pPr>
        <w:rPr>
          <w:szCs w:val="20"/>
        </w:rPr>
      </w:pPr>
      <w:r w:rsidRPr="00992199">
        <w:rPr>
          <w:szCs w:val="20"/>
        </w:rPr>
        <w:t>Belgian withholding tax of 25% is normally levied on dividends, subject to such relief as may be available under applicable domestic or tax treaty provisions.</w:t>
      </w:r>
    </w:p>
    <w:p w:rsidR="003F0BC5" w:rsidRPr="00992199" w:rsidRDefault="003F0BC5" w:rsidP="003F0BC5">
      <w:pPr>
        <w:rPr>
          <w:szCs w:val="20"/>
        </w:rPr>
      </w:pPr>
      <w:r w:rsidRPr="00992199">
        <w:rPr>
          <w:szCs w:val="20"/>
        </w:rPr>
        <w:t>In the case of a redemption of the Shares, the redemption distribution (after deduction of the part of the fiscal capital represented by the redeemed Shares) will be treated as a dividend subject to a Belgian withholding tax of 25%, subject to such relief as may be available under applicable domestic or tax treaty provisions. No withholding tax will be triggered if this redemption is carried out on a stock exchange and meets certain conditions.</w:t>
      </w:r>
    </w:p>
    <w:p w:rsidR="003F0BC5" w:rsidRPr="00992199" w:rsidRDefault="003F0BC5" w:rsidP="003F0BC5">
      <w:pPr>
        <w:rPr>
          <w:szCs w:val="20"/>
        </w:rPr>
      </w:pPr>
      <w:r w:rsidRPr="00992199">
        <w:rPr>
          <w:szCs w:val="20"/>
        </w:rPr>
        <w:t>In case of liquidation of the Company, any amounts distributed in excess of the fiscal share capital will in principle be subject to the 25% withholding tax.</w:t>
      </w:r>
    </w:p>
    <w:p w:rsidR="003F0BC5" w:rsidRPr="00992199" w:rsidRDefault="003F0BC5" w:rsidP="00353B80">
      <w:pPr>
        <w:pStyle w:val="Firm5L2"/>
        <w:keepNext/>
      </w:pPr>
      <w:bookmarkStart w:id="129" w:name="_Toc420593941"/>
      <w:r w:rsidRPr="00992199">
        <w:t>Resident individuals</w:t>
      </w:r>
      <w:bookmarkEnd w:id="129"/>
    </w:p>
    <w:p w:rsidR="003F0BC5" w:rsidRPr="00992199" w:rsidRDefault="003F0BC5" w:rsidP="003F0BC5">
      <w:pPr>
        <w:rPr>
          <w:szCs w:val="20"/>
        </w:rPr>
      </w:pPr>
      <w:r w:rsidRPr="00992199">
        <w:rPr>
          <w:szCs w:val="20"/>
        </w:rPr>
        <w:t xml:space="preserve">For resident individuals who acquire and hold the Shares as a private investment, the Belgian withholding tax fully discharges their personal income tax liability. This means that they do not have to declare the dividends in their personal income tax return and that the Belgian withholding tax constitutes a final tax. Nevertheless, these resident individuals may elect to declare the dividends in their personal income tax return. Dividends that are declared this way will in principle be taxed at a flat rate of 25% (or at the relevant progressive personal income tax rate(s) taking into account the taxpayer’s other declared income, whichever is more beneficial) and no local surcharges will be due. In addition, if the dividends are declared, the Belgian withholding tax levied at source may be credited against the personal income tax due and is reimbursable to the extent it exceeds the personal income tax due, provided that the dividend distribution does not result in a reduction in value of, or a capital loss on, the </w:t>
      </w:r>
      <w:r w:rsidR="005E2A8D">
        <w:rPr>
          <w:szCs w:val="20"/>
        </w:rPr>
        <w:t>Shares</w:t>
      </w:r>
      <w:r w:rsidRPr="00992199">
        <w:rPr>
          <w:szCs w:val="20"/>
        </w:rPr>
        <w:t xml:space="preserve">. This condition is not applicable if the investor demonstrates that he has held the </w:t>
      </w:r>
      <w:r w:rsidR="005E2A8D">
        <w:rPr>
          <w:szCs w:val="20"/>
        </w:rPr>
        <w:t>Shares</w:t>
      </w:r>
      <w:r w:rsidRPr="00992199">
        <w:rPr>
          <w:szCs w:val="20"/>
        </w:rPr>
        <w:t xml:space="preserve"> in full legal ownership during an uninterrupted period of 12 months prior to the payment or attribution of the dividends.</w:t>
      </w:r>
    </w:p>
    <w:p w:rsidR="003F0BC5" w:rsidRPr="00992199" w:rsidRDefault="003F0BC5" w:rsidP="003F0BC5">
      <w:pPr>
        <w:rPr>
          <w:szCs w:val="20"/>
        </w:rPr>
      </w:pPr>
      <w:r w:rsidRPr="00992199">
        <w:rPr>
          <w:szCs w:val="20"/>
        </w:rPr>
        <w:t xml:space="preserve">For resident individuals who acquire and hold the Shares for professional purposes, the Belgian withholding tax does not fully discharge their income tax liability. Dividends received must be declared by the investor and will, in such a case, be taxable at the investor’s progressive personal income tax rates (of up to 50%, plus local surcharges). The Belgian withholding tax levied at source may be credited against the personal income tax due and is reimbursable to the extent that it exceeds the income tax due, subject to two conditions: (i) the investor must have held full legal ownership of the </w:t>
      </w:r>
      <w:r w:rsidR="005E2A8D">
        <w:rPr>
          <w:szCs w:val="20"/>
        </w:rPr>
        <w:t>Shares</w:t>
      </w:r>
      <w:r w:rsidRPr="00992199">
        <w:rPr>
          <w:szCs w:val="20"/>
        </w:rPr>
        <w:t xml:space="preserve"> at the time of payment or attribution of the dividends and (ii) the dividend distribution may not result in a reduction in value of, or a capital loss on, the </w:t>
      </w:r>
      <w:r w:rsidR="005E2A8D">
        <w:rPr>
          <w:szCs w:val="20"/>
        </w:rPr>
        <w:t>Shares</w:t>
      </w:r>
      <w:r w:rsidRPr="00992199">
        <w:rPr>
          <w:szCs w:val="20"/>
        </w:rPr>
        <w:t xml:space="preserve">. The latter condition is not applicable if the investor demonstrates that he has held full legal ownership of the </w:t>
      </w:r>
      <w:r w:rsidR="005E2A8D">
        <w:rPr>
          <w:szCs w:val="20"/>
        </w:rPr>
        <w:t>Shares</w:t>
      </w:r>
      <w:r w:rsidRPr="00992199">
        <w:rPr>
          <w:szCs w:val="20"/>
        </w:rPr>
        <w:t xml:space="preserve"> during an uninterrupted period of 12 months prior to the payment or attribution of the dividends.</w:t>
      </w:r>
    </w:p>
    <w:p w:rsidR="003F0BC5" w:rsidRPr="00992199" w:rsidRDefault="003F0BC5" w:rsidP="00353B80">
      <w:pPr>
        <w:pStyle w:val="Firm5L2"/>
        <w:keepNext/>
      </w:pPr>
      <w:bookmarkStart w:id="130" w:name="_Toc420593942"/>
      <w:r w:rsidRPr="00992199">
        <w:t>Resident companies</w:t>
      </w:r>
      <w:bookmarkEnd w:id="130"/>
    </w:p>
    <w:p w:rsidR="003F0BC5" w:rsidRPr="00992199" w:rsidRDefault="003F0BC5" w:rsidP="00353B80">
      <w:pPr>
        <w:pStyle w:val="Firm5L3"/>
        <w:keepNext/>
      </w:pPr>
      <w:r w:rsidRPr="00992199">
        <w:t>Corporate income tax</w:t>
      </w:r>
    </w:p>
    <w:p w:rsidR="003F0BC5" w:rsidRPr="00992199" w:rsidRDefault="003F0BC5" w:rsidP="003F0BC5">
      <w:pPr>
        <w:rPr>
          <w:szCs w:val="20"/>
        </w:rPr>
      </w:pPr>
      <w:r w:rsidRPr="00992199">
        <w:rPr>
          <w:szCs w:val="20"/>
        </w:rPr>
        <w:t>For resident companies, the gross dividend income (including the withholding tax levied) must be declared in the corporate income tax return and will generally be taxable at the standard corporate income tax rate of 33.99% (unless the reduced corporate income tax rates for small and medium sized enterprises apply).</w:t>
      </w:r>
    </w:p>
    <w:p w:rsidR="003F0BC5" w:rsidRPr="00992199" w:rsidRDefault="003F0BC5" w:rsidP="003F0BC5">
      <w:pPr>
        <w:rPr>
          <w:szCs w:val="20"/>
        </w:rPr>
      </w:pPr>
      <w:r w:rsidRPr="00992199">
        <w:rPr>
          <w:szCs w:val="20"/>
        </w:rPr>
        <w:t xml:space="preserve">However, resident companies can generally (although subject to certain limitations) deduct up to 95% of the gross dividends received from its taxable income (the </w:t>
      </w:r>
      <w:r w:rsidRPr="00992199">
        <w:rPr>
          <w:b/>
          <w:i/>
          <w:szCs w:val="20"/>
        </w:rPr>
        <w:t>Dividend Received Deduction</w:t>
      </w:r>
      <w:r w:rsidRPr="00992199">
        <w:rPr>
          <w:szCs w:val="20"/>
        </w:rPr>
        <w:t xml:space="preserve">), provided that at the time of attribution or payment of the dividends: (i) the Belgian resident company holds the </w:t>
      </w:r>
      <w:r w:rsidR="005E2A8D">
        <w:rPr>
          <w:szCs w:val="20"/>
        </w:rPr>
        <w:t>Shares</w:t>
      </w:r>
      <w:r w:rsidRPr="00992199">
        <w:rPr>
          <w:szCs w:val="20"/>
        </w:rPr>
        <w:t xml:space="preserve"> representing at least 10% of the share capital of the Company or a participation in the Company with an acquisition value of at least </w:t>
      </w:r>
      <w:r w:rsidR="00E53641">
        <w:rPr>
          <w:szCs w:val="20"/>
        </w:rPr>
        <w:t>EUR </w:t>
      </w:r>
      <w:r w:rsidRPr="00992199">
        <w:rPr>
          <w:szCs w:val="20"/>
        </w:rPr>
        <w:t xml:space="preserve">2,500,000, (ii) the </w:t>
      </w:r>
      <w:r w:rsidR="005E2A8D">
        <w:rPr>
          <w:szCs w:val="20"/>
        </w:rPr>
        <w:t>Shares</w:t>
      </w:r>
      <w:r w:rsidRPr="00992199">
        <w:rPr>
          <w:szCs w:val="20"/>
        </w:rPr>
        <w:t xml:space="preserve"> have been held or will be held in full ownership for an uninterrupted period of at least one year, and (iii) the conditions relating to the taxation of the underlying distributed income, as described in article 203 of the BITC (the </w:t>
      </w:r>
      <w:r w:rsidRPr="00992199">
        <w:rPr>
          <w:b/>
          <w:i/>
          <w:szCs w:val="20"/>
        </w:rPr>
        <w:t>Article 203 BITC Taxation Conditions</w:t>
      </w:r>
      <w:r w:rsidRPr="00992199">
        <w:rPr>
          <w:szCs w:val="20"/>
        </w:rPr>
        <w:t xml:space="preserve">) are met (together, the </w:t>
      </w:r>
      <w:r w:rsidRPr="00992199">
        <w:rPr>
          <w:b/>
          <w:i/>
          <w:szCs w:val="20"/>
        </w:rPr>
        <w:t>Conditions for the application of the Dividend Received Deduction regime</w:t>
      </w:r>
      <w:r w:rsidRPr="00992199">
        <w:rPr>
          <w:szCs w:val="20"/>
        </w:rPr>
        <w:t>). The Conditions for the application of the Dividend Received Deduction regime depend on a factual analysis and for this reason the availability of this regime should be verified upon each dividend distribution.</w:t>
      </w:r>
    </w:p>
    <w:p w:rsidR="003F0BC5" w:rsidRPr="00992199" w:rsidRDefault="003F0BC5" w:rsidP="003F0BC5">
      <w:pPr>
        <w:rPr>
          <w:szCs w:val="20"/>
        </w:rPr>
      </w:pPr>
      <w:r w:rsidRPr="00992199">
        <w:rPr>
          <w:szCs w:val="20"/>
        </w:rPr>
        <w:t xml:space="preserve">Any Belgian dividend withholding tax levied at source may, in principle, be credited against the corporate income tax due and is reimbursable to the extent that it exceeds the investor’s corporate income tax due, subject to two conditions: (i) the investor must have held the full legal ownership of the Shares at the time of payment or attribution of the dividends, and (ii) the dividend distribution may not result in a reduction in value of, or a capital loss on, the </w:t>
      </w:r>
      <w:r w:rsidR="005E2A8D">
        <w:rPr>
          <w:szCs w:val="20"/>
        </w:rPr>
        <w:t>Shares</w:t>
      </w:r>
      <w:r w:rsidRPr="00992199">
        <w:rPr>
          <w:szCs w:val="20"/>
        </w:rPr>
        <w:t xml:space="preserve">. The latter condition is not applicable (A) if the investor demonstrates that it has held the </w:t>
      </w:r>
      <w:r w:rsidR="005E2A8D">
        <w:rPr>
          <w:szCs w:val="20"/>
        </w:rPr>
        <w:t>Shares</w:t>
      </w:r>
      <w:r w:rsidRPr="00992199">
        <w:rPr>
          <w:szCs w:val="20"/>
        </w:rPr>
        <w:t xml:space="preserve"> in full legal ownership during an uninterrupted period of 12 months prior to the payment or attribution of the dividends or (B) if, during that period, the </w:t>
      </w:r>
      <w:r w:rsidR="005E2A8D">
        <w:rPr>
          <w:szCs w:val="20"/>
        </w:rPr>
        <w:t>Shares</w:t>
      </w:r>
      <w:r w:rsidRPr="00992199">
        <w:rPr>
          <w:szCs w:val="20"/>
        </w:rPr>
        <w:t xml:space="preserve"> never belonged to a taxpayer other than a resident company or a non-resident company that held the </w:t>
      </w:r>
      <w:r w:rsidR="005E2A8D">
        <w:rPr>
          <w:szCs w:val="20"/>
        </w:rPr>
        <w:t>Shares</w:t>
      </w:r>
      <w:r w:rsidRPr="00992199">
        <w:rPr>
          <w:szCs w:val="20"/>
        </w:rPr>
        <w:t xml:space="preserve"> in an uninterrupted manner through a permanent establishment in Belgium.</w:t>
      </w:r>
    </w:p>
    <w:p w:rsidR="003F0BC5" w:rsidRPr="00992199" w:rsidRDefault="003F0BC5" w:rsidP="00353B80">
      <w:pPr>
        <w:pStyle w:val="Firm5L3"/>
        <w:keepNext/>
      </w:pPr>
      <w:r w:rsidRPr="00992199">
        <w:t>Withholding tax</w:t>
      </w:r>
    </w:p>
    <w:p w:rsidR="003F0BC5" w:rsidRPr="00992199" w:rsidRDefault="003F0BC5" w:rsidP="003F0BC5">
      <w:pPr>
        <w:rPr>
          <w:szCs w:val="20"/>
        </w:rPr>
      </w:pPr>
      <w:r w:rsidRPr="00992199">
        <w:rPr>
          <w:szCs w:val="20"/>
        </w:rPr>
        <w:t>Dividends distributed to a resident company will be exempt from Belgian withholding tax provided that the Belgian resident company holds, upon payment or attribution of the dividends, at least 10% of the Company’s share capital and such minimum participation is held or will be held during an uninterrupted period of at least one year.</w:t>
      </w:r>
    </w:p>
    <w:p w:rsidR="003F0BC5" w:rsidRPr="00992199" w:rsidRDefault="003F0BC5" w:rsidP="003F0BC5">
      <w:pPr>
        <w:rPr>
          <w:szCs w:val="20"/>
        </w:rPr>
      </w:pPr>
      <w:r w:rsidRPr="00992199">
        <w:rPr>
          <w:szCs w:val="20"/>
        </w:rPr>
        <w:t>In order to benefit from this exemption, the investor must provide the Company or its paying agent with a certificate confirming its qualifying status and the fact that it meets the two required conditions. If the investor holds a minimum participation for less than one year, at the time the dividends are paid on or attributed</w:t>
      </w:r>
      <w:r w:rsidR="00893552">
        <w:rPr>
          <w:szCs w:val="20"/>
        </w:rPr>
        <w:t xml:space="preserve"> to the Shares</w:t>
      </w:r>
      <w:r w:rsidRPr="00992199">
        <w:rPr>
          <w:szCs w:val="20"/>
        </w:rPr>
        <w:t>, the Company will levy the withholding tax but will not transfer it to the Belgian Treasury provided that the investor certifies its qualifying status, the date from which it has held such minimum participation, its commitment to hold the minimum participation for an uninterrupted period of at least one year and its commitment to immediately notify to the Company or its paying agent a reduction of its shareholding below such threshold prior to the end of the one-year holding period. Upon satisfying the one-year shareholding requirement, the levied dividend withholding tax will be passed on to the investor.</w:t>
      </w:r>
    </w:p>
    <w:p w:rsidR="003F0BC5" w:rsidRPr="00992199" w:rsidRDefault="003F0BC5" w:rsidP="00353B80">
      <w:pPr>
        <w:pStyle w:val="Firm5L2"/>
        <w:keepNext/>
      </w:pPr>
      <w:bookmarkStart w:id="131" w:name="_Toc420593943"/>
      <w:r w:rsidRPr="00992199">
        <w:t>Organisations for Financing Pensions</w:t>
      </w:r>
      <w:bookmarkEnd w:id="131"/>
    </w:p>
    <w:p w:rsidR="003F0BC5" w:rsidRPr="00992199" w:rsidRDefault="003F0BC5" w:rsidP="003F0BC5">
      <w:pPr>
        <w:rPr>
          <w:szCs w:val="20"/>
        </w:rPr>
      </w:pPr>
      <w:r w:rsidRPr="00992199">
        <w:rPr>
          <w:szCs w:val="20"/>
        </w:rPr>
        <w:t>For organisations for financing of pensions (</w:t>
      </w:r>
      <w:r w:rsidRPr="00992199">
        <w:rPr>
          <w:b/>
          <w:i/>
          <w:szCs w:val="20"/>
        </w:rPr>
        <w:t>OFPs</w:t>
      </w:r>
      <w:r w:rsidRPr="00992199">
        <w:rPr>
          <w:szCs w:val="20"/>
        </w:rPr>
        <w:t xml:space="preserve">), </w:t>
      </w:r>
      <w:r w:rsidRPr="00992199">
        <w:rPr>
          <w:i/>
          <w:szCs w:val="20"/>
        </w:rPr>
        <w:t>i.e.</w:t>
      </w:r>
      <w:r w:rsidRPr="00992199">
        <w:rPr>
          <w:szCs w:val="20"/>
        </w:rPr>
        <w:t>, Belgian pension funds incorporated under the form of an OFP (</w:t>
      </w:r>
      <w:r w:rsidRPr="00992199">
        <w:rPr>
          <w:i/>
          <w:szCs w:val="20"/>
        </w:rPr>
        <w:t>organismen voor de financiering van pensioenen / organismes de financement de pensions</w:t>
      </w:r>
      <w:r w:rsidRPr="00992199">
        <w:rPr>
          <w:szCs w:val="20"/>
        </w:rPr>
        <w:t>) within the meaning of article 8 of the Belgian Law of 27 October 2006, dividend income is generally tax exempt. Subject to certain limitations, any Belgian withholding tax levied at source may be credited against the final income tax due and is reimbursable to the extent that it exceeds the investor’s income tax due.</w:t>
      </w:r>
    </w:p>
    <w:p w:rsidR="003F0BC5" w:rsidRPr="00992199" w:rsidRDefault="003F0BC5" w:rsidP="00353B80">
      <w:pPr>
        <w:pStyle w:val="Firm5L2"/>
        <w:keepNext/>
      </w:pPr>
      <w:bookmarkStart w:id="132" w:name="_Toc420593944"/>
      <w:r w:rsidRPr="00992199">
        <w:t>Resident legal entities</w:t>
      </w:r>
      <w:bookmarkEnd w:id="132"/>
    </w:p>
    <w:p w:rsidR="003F0BC5" w:rsidRPr="00992199" w:rsidRDefault="003F0BC5" w:rsidP="003F0BC5">
      <w:pPr>
        <w:rPr>
          <w:szCs w:val="20"/>
        </w:rPr>
      </w:pPr>
      <w:r w:rsidRPr="00992199">
        <w:rPr>
          <w:szCs w:val="20"/>
        </w:rPr>
        <w:t>For resident legal entities, the Belgian withholding tax levied at source generally constitutes their final tax liability.</w:t>
      </w:r>
    </w:p>
    <w:p w:rsidR="003F0BC5" w:rsidRPr="00992199" w:rsidRDefault="003F0BC5" w:rsidP="00353B80">
      <w:pPr>
        <w:pStyle w:val="Firm5L2"/>
        <w:keepNext/>
      </w:pPr>
      <w:bookmarkStart w:id="133" w:name="_Toc420593945"/>
      <w:r w:rsidRPr="00992199">
        <w:t>Non-residents</w:t>
      </w:r>
      <w:bookmarkEnd w:id="133"/>
    </w:p>
    <w:p w:rsidR="003F0BC5" w:rsidRPr="00992199" w:rsidRDefault="003F0BC5" w:rsidP="00353B80">
      <w:pPr>
        <w:pStyle w:val="Firm5L3"/>
        <w:keepNext/>
      </w:pPr>
      <w:r w:rsidRPr="00992199">
        <w:t>Withholding tax</w:t>
      </w:r>
    </w:p>
    <w:p w:rsidR="003F0BC5" w:rsidRPr="00992199" w:rsidRDefault="003F0BC5" w:rsidP="003F0BC5">
      <w:pPr>
        <w:rPr>
          <w:szCs w:val="20"/>
        </w:rPr>
      </w:pPr>
      <w:r w:rsidRPr="00992199">
        <w:rPr>
          <w:szCs w:val="20"/>
        </w:rPr>
        <w:t xml:space="preserve">For non-resident individuals, corporations or other legal entities the withholding tax levied at source will be the only tax on dividends in </w:t>
      </w:r>
      <w:smartTag w:uri="urn:schemas-microsoft-com:office:smarttags" w:element="country-region">
        <w:r w:rsidRPr="00992199">
          <w:rPr>
            <w:szCs w:val="20"/>
          </w:rPr>
          <w:t>Belgium</w:t>
        </w:r>
      </w:smartTag>
      <w:r w:rsidRPr="00992199">
        <w:rPr>
          <w:szCs w:val="20"/>
        </w:rPr>
        <w:t xml:space="preserve">, unless the non-resident holds </w:t>
      </w:r>
      <w:r w:rsidR="005E2A8D">
        <w:rPr>
          <w:szCs w:val="20"/>
        </w:rPr>
        <w:t>the Shares</w:t>
      </w:r>
      <w:r w:rsidRPr="00992199">
        <w:rPr>
          <w:szCs w:val="20"/>
        </w:rPr>
        <w:t xml:space="preserve"> in connection with a business conducted in </w:t>
      </w:r>
      <w:smartTag w:uri="urn:schemas-microsoft-com:office:smarttags" w:element="country-region">
        <w:r w:rsidRPr="00992199">
          <w:rPr>
            <w:szCs w:val="20"/>
          </w:rPr>
          <w:t>Belgium</w:t>
        </w:r>
      </w:smartTag>
      <w:r w:rsidRPr="00992199">
        <w:rPr>
          <w:szCs w:val="20"/>
        </w:rPr>
        <w:t xml:space="preserve"> through a fixed base in </w:t>
      </w:r>
      <w:smartTag w:uri="urn:schemas-microsoft-com:office:smarttags" w:element="country-region">
        <w:r w:rsidRPr="00992199">
          <w:rPr>
            <w:szCs w:val="20"/>
          </w:rPr>
          <w:t>Belgium</w:t>
        </w:r>
      </w:smartTag>
      <w:r w:rsidRPr="00992199">
        <w:rPr>
          <w:szCs w:val="20"/>
        </w:rPr>
        <w:t xml:space="preserve"> or a permanent establishment in </w:t>
      </w:r>
      <w:smartTag w:uri="urn:schemas-microsoft-com:office:smarttags" w:element="country-region">
        <w:smartTag w:uri="urn:schemas-microsoft-com:office:smarttags" w:element="place">
          <w:r w:rsidRPr="00992199">
            <w:rPr>
              <w:szCs w:val="20"/>
            </w:rPr>
            <w:t>Belgium</w:t>
          </w:r>
        </w:smartTag>
      </w:smartTag>
      <w:r w:rsidRPr="00992199">
        <w:rPr>
          <w:szCs w:val="20"/>
        </w:rPr>
        <w:t>.</w:t>
      </w:r>
    </w:p>
    <w:p w:rsidR="003F0BC5" w:rsidRPr="00992199" w:rsidRDefault="003F0BC5" w:rsidP="003F0BC5">
      <w:pPr>
        <w:rPr>
          <w:szCs w:val="20"/>
        </w:rPr>
      </w:pPr>
      <w:r w:rsidRPr="00992199">
        <w:rPr>
          <w:szCs w:val="20"/>
        </w:rPr>
        <w:t xml:space="preserve">If the Shares are acquired or held by a non-resident in connection with a business conducted in Belgium through a fixed base in Belgium or a permanent establishment in Belgium, the investor must report any dividends received in its Belgian income tax return and the dividends will be taxable at the applicable non-resident individual or corporate income tax rate, as appropriate. Withholding tax levied at source may then be credited against non-resident individual or corporate income tax and is reimbursable to the extent that it exceeds the income tax due, subject to two conditions: (i) the investor must have held full legal ownership of the Shares at the time of payment or attribution of the dividends and (ii) the dividend distribution may not result in a reduction in value of, or a capital loss on, the Shares. The latter condition is not applicable if (i) the non-resident individual or the non-resident company demonstrates that the </w:t>
      </w:r>
      <w:r w:rsidR="005E2A8D">
        <w:rPr>
          <w:szCs w:val="20"/>
        </w:rPr>
        <w:t>Shares</w:t>
      </w:r>
      <w:r w:rsidRPr="00992199">
        <w:rPr>
          <w:szCs w:val="20"/>
        </w:rPr>
        <w:t xml:space="preserve"> were held in full legal ownership for an uninterrupted period of 12 months prior to the payment or attribution of the dividends or (ii) with regard to non-resident companies only, if, during the said period, the </w:t>
      </w:r>
      <w:r w:rsidR="005E2A8D">
        <w:rPr>
          <w:szCs w:val="20"/>
        </w:rPr>
        <w:t>Shares</w:t>
      </w:r>
      <w:r w:rsidRPr="00992199">
        <w:rPr>
          <w:szCs w:val="20"/>
        </w:rPr>
        <w:t xml:space="preserve"> have not belonged to a taxpayer other than a resident company or a non-resident company that held the </w:t>
      </w:r>
      <w:r w:rsidR="005E2A8D">
        <w:rPr>
          <w:szCs w:val="20"/>
        </w:rPr>
        <w:t>Shares</w:t>
      </w:r>
      <w:r w:rsidRPr="00992199">
        <w:rPr>
          <w:szCs w:val="20"/>
        </w:rPr>
        <w:t xml:space="preserve"> in an uninterrupted manner through a permanent establishment in Belgium.</w:t>
      </w:r>
    </w:p>
    <w:p w:rsidR="003F0BC5" w:rsidRPr="00992199" w:rsidRDefault="003F0BC5" w:rsidP="003F0BC5">
      <w:pPr>
        <w:rPr>
          <w:szCs w:val="20"/>
        </w:rPr>
      </w:pPr>
      <w:r w:rsidRPr="00992199">
        <w:rPr>
          <w:szCs w:val="20"/>
        </w:rPr>
        <w:t xml:space="preserve">Non-resident companies whose </w:t>
      </w:r>
      <w:r w:rsidR="005E2A8D">
        <w:rPr>
          <w:szCs w:val="20"/>
        </w:rPr>
        <w:t>Shares</w:t>
      </w:r>
      <w:r w:rsidRPr="00992199">
        <w:rPr>
          <w:szCs w:val="20"/>
        </w:rPr>
        <w:t xml:space="preserve"> are invested in a permanent establishment may deduct up to 95% of the gross dividends included in their taxable profits if, at the date dividends are paid or attributed, the Conditions for the application of the Dividend Received Deduction regime are met. Application of the Dividend Received Deduction regime depends, however, on a factual analysis to be made upon each distribution and its availability should be verified upon each distribution.</w:t>
      </w:r>
    </w:p>
    <w:p w:rsidR="003F0BC5" w:rsidRPr="00992199" w:rsidRDefault="003F0BC5" w:rsidP="00353B80">
      <w:pPr>
        <w:pStyle w:val="Firm5L3"/>
        <w:keepNext/>
      </w:pPr>
      <w:r w:rsidRPr="00992199">
        <w:t>Belgian dividend withholding tax relief for non-residents</w:t>
      </w:r>
    </w:p>
    <w:p w:rsidR="003F0BC5" w:rsidRPr="00992199" w:rsidRDefault="003F0BC5" w:rsidP="003F0BC5">
      <w:pPr>
        <w:rPr>
          <w:szCs w:val="20"/>
        </w:rPr>
      </w:pPr>
      <w:r w:rsidRPr="00992199">
        <w:rPr>
          <w:szCs w:val="20"/>
        </w:rPr>
        <w:t xml:space="preserve">Dividends distributed to non-resident companies established in a Member State of the EU or in a country with which Belgium has concluded a double tax treaty that includes a qualifying exchange of information clause and qualifying as a parent company, will be exempt from Belgian withholding tax provided that </w:t>
      </w:r>
      <w:r w:rsidR="005E2A8D">
        <w:rPr>
          <w:szCs w:val="20"/>
        </w:rPr>
        <w:t>Shares</w:t>
      </w:r>
      <w:r w:rsidRPr="00992199">
        <w:rPr>
          <w:szCs w:val="20"/>
        </w:rPr>
        <w:t xml:space="preserve"> held by the non-resident company, upon payment or attribution of the dividends, amount to at least 10% of the Company’s share capital and such minimum participation is held or will be held during an uninterrupted period of at least one year. A company qualifies as a parent company provided that (i) for companies established in a Member State of the EU, it has a legal form as listed in the annex to the EU Parent-Subsidiary Directive of July 23, 1990 (90/435/EC), as amended by Directive 2003/123/EC of 22 December 2003, or, for companies established in a country with which Belgium has concluded a qualifying double tax treaty it has a legal form similar to the ones listed in such annex, (ii) it is considered to be a tax resident according to the tax laws of the country where it is established and the double tax treaties concluded between such country and third countries, and (iii) it is subject to corporate income tax or a similar tax without benefiting from a tax regime that derogates from the ordinary tax regime.</w:t>
      </w:r>
    </w:p>
    <w:p w:rsidR="003F0BC5" w:rsidRPr="00992199" w:rsidRDefault="003F0BC5" w:rsidP="003F0BC5">
      <w:pPr>
        <w:rPr>
          <w:szCs w:val="20"/>
        </w:rPr>
      </w:pPr>
      <w:r w:rsidRPr="00992199">
        <w:rPr>
          <w:szCs w:val="20"/>
        </w:rPr>
        <w:t>In order to benefit from this exemption, the investor must provide the Company or its paying agent with a certificate confirming its qualifying status and the fact that it meets the three abovementioned conditions.</w:t>
      </w:r>
    </w:p>
    <w:p w:rsidR="003F0BC5" w:rsidRPr="00992199" w:rsidRDefault="003F0BC5" w:rsidP="003F0BC5">
      <w:pPr>
        <w:rPr>
          <w:szCs w:val="20"/>
        </w:rPr>
      </w:pPr>
      <w:r w:rsidRPr="00992199">
        <w:rPr>
          <w:szCs w:val="20"/>
        </w:rPr>
        <w:t xml:space="preserve">If the investor holds a minimum participation for less than one year, at the time the dividends are paid on or attributed to the </w:t>
      </w:r>
      <w:r w:rsidR="005E2A8D">
        <w:rPr>
          <w:szCs w:val="20"/>
        </w:rPr>
        <w:t>Shares</w:t>
      </w:r>
      <w:r w:rsidRPr="00992199">
        <w:rPr>
          <w:szCs w:val="20"/>
        </w:rPr>
        <w:t>, the Company or the paying agent will levy the withholding tax but will not transfer it to the Belgian Treasury provided that the investor certifies its qualifying status, the date from which the investor has held such minimum participation, its commitment to hold the minimum participation for an uninterrupted period of at least one year and its commitment to immediately notify the Company of a reduction of its shareholding below such threshold prior to the end of the one-year holding period. Upon satisfying the one-year shareholding requirement, the levied dividend withholding tax will be passed on to the investor.</w:t>
      </w:r>
    </w:p>
    <w:p w:rsidR="003F0BC5" w:rsidRPr="00992199" w:rsidRDefault="003F0BC5" w:rsidP="003F0BC5">
      <w:pPr>
        <w:rPr>
          <w:szCs w:val="20"/>
        </w:rPr>
      </w:pPr>
      <w:r w:rsidRPr="00992199">
        <w:rPr>
          <w:szCs w:val="20"/>
        </w:rPr>
        <w:t xml:space="preserve">Under Belgian tax law, withholding tax is also not due on dividends paid to a non-resident pension fund which satisfies the following conditions: (i) to be a legal entity with fiscal residence outside of Belgium, (ii) whose corporate purpose consists solely in managing and investing funds collected in order to serve legal or complementary pension schemes, (iii) whose activity is limited to the investment of funds collected in the exercise of its statutory mission, without any profit making aim, (iv) which is exempt from income tax in its country of residence, and (v) provided that it is not contractually obligated to remit or transfer the dividends received to any ultimate beneficiary of such dividends for whom it would manage the Shares, nor obligated to pay a manufactured dividend with respect to the Shares under a securities borrowing transaction. The exemption will only apply if the non-resident pension fund provides a certificate confirming that it is the full legal owner or usufruct holder of the </w:t>
      </w:r>
      <w:r w:rsidR="005E2A8D">
        <w:rPr>
          <w:szCs w:val="20"/>
        </w:rPr>
        <w:t>Shares</w:t>
      </w:r>
      <w:r w:rsidRPr="00992199">
        <w:rPr>
          <w:szCs w:val="20"/>
        </w:rPr>
        <w:t xml:space="preserve"> and that the above conditions are satisfied.</w:t>
      </w:r>
    </w:p>
    <w:p w:rsidR="003F0BC5" w:rsidRPr="00992199" w:rsidRDefault="003F0BC5" w:rsidP="003F0BC5">
      <w:pPr>
        <w:rPr>
          <w:szCs w:val="20"/>
        </w:rPr>
      </w:pPr>
      <w:r w:rsidRPr="00992199">
        <w:rPr>
          <w:szCs w:val="20"/>
        </w:rPr>
        <w:t xml:space="preserve">If there is no exemption available under Belgian domestic law, the Belgian withholding tax can potentially be reduced for non-resident investors pursuant to the bilateral tax treaty concluded between </w:t>
      </w:r>
      <w:smartTag w:uri="urn:schemas-microsoft-com:office:smarttags" w:element="country-region">
        <w:smartTag w:uri="urn:schemas-microsoft-com:office:smarttags" w:element="place">
          <w:r w:rsidRPr="00992199">
            <w:rPr>
              <w:szCs w:val="20"/>
            </w:rPr>
            <w:t>Belgium</w:t>
          </w:r>
        </w:smartTag>
      </w:smartTag>
      <w:r w:rsidRPr="00992199">
        <w:rPr>
          <w:szCs w:val="20"/>
        </w:rPr>
        <w:t xml:space="preserve"> and the state of residence of the investor. </w:t>
      </w:r>
      <w:smartTag w:uri="urn:schemas-microsoft-com:office:smarttags" w:element="country-region">
        <w:smartTag w:uri="urn:schemas-microsoft-com:office:smarttags" w:element="place">
          <w:r w:rsidRPr="00992199">
            <w:rPr>
              <w:szCs w:val="20"/>
            </w:rPr>
            <w:t>Belgium</w:t>
          </w:r>
        </w:smartTag>
      </w:smartTag>
      <w:r w:rsidRPr="00992199">
        <w:rPr>
          <w:szCs w:val="20"/>
        </w:rPr>
        <w:t xml:space="preserve"> has concluded tax treaties with over 95 countries, reducing the dividend withholding tax rate to 20%, 15%, 10%, 5% or 0% for residents of such countries, subject to conditions relating, amongst others, to the size of the shareholding and certain identification formalities. Such reduction may be obtained either directly at source or through a refund of taxes withheld in excess of the applicable tax treaty rate.</w:t>
      </w:r>
    </w:p>
    <w:p w:rsidR="003F0BC5" w:rsidRPr="00992199" w:rsidRDefault="003F0BC5" w:rsidP="003F0BC5">
      <w:pPr>
        <w:rPr>
          <w:szCs w:val="20"/>
        </w:rPr>
      </w:pPr>
      <w:r w:rsidRPr="00992199">
        <w:rPr>
          <w:szCs w:val="20"/>
        </w:rPr>
        <w:t>Prospective investors should consult their own tax advisors as to whether they qualify for a reduction of, or exemption from, Belgian withholding tax upon payment or attribution of dividends, and as to the procedural requirements for obtaining such a reduction or exemption.</w:t>
      </w:r>
    </w:p>
    <w:p w:rsidR="003F0BC5" w:rsidRPr="00992199" w:rsidRDefault="003F0BC5" w:rsidP="00353B80">
      <w:pPr>
        <w:pStyle w:val="Firm5L1"/>
        <w:keepNext/>
        <w:numPr>
          <w:ilvl w:val="0"/>
          <w:numId w:val="11"/>
        </w:numPr>
      </w:pPr>
      <w:bookmarkStart w:id="134" w:name="_Toc420593946"/>
      <w:r w:rsidRPr="00992199">
        <w:t>Capital gains and losses</w:t>
      </w:r>
      <w:bookmarkEnd w:id="134"/>
    </w:p>
    <w:p w:rsidR="003F0BC5" w:rsidRPr="00992199" w:rsidRDefault="003F0BC5" w:rsidP="00353B80">
      <w:pPr>
        <w:pStyle w:val="Firm5L2"/>
        <w:keepNext/>
      </w:pPr>
      <w:bookmarkStart w:id="135" w:name="_Toc420593947"/>
      <w:r w:rsidRPr="00992199">
        <w:t>Resident individuals</w:t>
      </w:r>
      <w:bookmarkEnd w:id="135"/>
    </w:p>
    <w:p w:rsidR="003F0BC5" w:rsidRPr="00992199" w:rsidRDefault="003F0BC5" w:rsidP="003F0BC5">
      <w:pPr>
        <w:rPr>
          <w:szCs w:val="20"/>
        </w:rPr>
      </w:pPr>
      <w:r w:rsidRPr="00992199">
        <w:rPr>
          <w:szCs w:val="20"/>
        </w:rPr>
        <w:t xml:space="preserve">For resident individuals acquiring and holding the </w:t>
      </w:r>
      <w:r w:rsidR="005E2A8D">
        <w:rPr>
          <w:szCs w:val="20"/>
        </w:rPr>
        <w:t>Shares</w:t>
      </w:r>
      <w:r w:rsidRPr="00992199">
        <w:rPr>
          <w:szCs w:val="20"/>
        </w:rPr>
        <w:t xml:space="preserve"> as a private investment, capital gains realised upon the transfer of the Shares are generally not subject to Belgian income tax. However, resident individuals may be subject to a 33% income tax (to be increased with local surcharges) if the capital gain on the Shares is deemed to be speculative or realised outside the scope of the normal management of their private estate. Moreover, capital gains realised by Belgian resident individuals on the disposal of the </w:t>
      </w:r>
      <w:r w:rsidR="005E2A8D">
        <w:rPr>
          <w:szCs w:val="20"/>
        </w:rPr>
        <w:t>Shares</w:t>
      </w:r>
      <w:r w:rsidRPr="00992199">
        <w:rPr>
          <w:szCs w:val="20"/>
        </w:rPr>
        <w:t xml:space="preserve"> for consideration, outside the exercise of a professional activity, to a legal person that has its registered office, its principal establishment, or place of management outside the European Economic Area, are in principle taxable at a rate of 16.5% (plus local surcharges) if, at any time during the five years preceding the sale, the Belgian resident individual has owned directly or indirectly, alone or with his/her spouse or with certain relatives, a substantial shareholding in the Company (</w:t>
      </w:r>
      <w:r w:rsidRPr="00992199">
        <w:rPr>
          <w:i/>
          <w:szCs w:val="20"/>
        </w:rPr>
        <w:t>i.e.</w:t>
      </w:r>
      <w:r w:rsidRPr="00992199">
        <w:rPr>
          <w:szCs w:val="20"/>
        </w:rPr>
        <w:t>, a shareholding of more than 25% in the Company). Capital losses arising from such transactions are, however, not tax deductible.</w:t>
      </w:r>
    </w:p>
    <w:p w:rsidR="003F0BC5" w:rsidRPr="00992199" w:rsidRDefault="003F0BC5" w:rsidP="003F0BC5">
      <w:pPr>
        <w:rPr>
          <w:szCs w:val="20"/>
        </w:rPr>
      </w:pPr>
      <w:r w:rsidRPr="00992199">
        <w:rPr>
          <w:szCs w:val="20"/>
        </w:rPr>
        <w:t xml:space="preserve">For resident individuals holding the </w:t>
      </w:r>
      <w:r w:rsidR="005E2A8D">
        <w:rPr>
          <w:szCs w:val="20"/>
        </w:rPr>
        <w:t>Shares</w:t>
      </w:r>
      <w:r w:rsidRPr="00992199">
        <w:rPr>
          <w:szCs w:val="20"/>
        </w:rPr>
        <w:t xml:space="preserve"> for professional purposes, capital gains realised upon transfer of Shares shall be taxable at the normal progressive personal income tax rates (which are currently in the range of 25% to 50%, plus local surcharges), except for </w:t>
      </w:r>
      <w:r w:rsidR="005E2A8D">
        <w:rPr>
          <w:szCs w:val="20"/>
        </w:rPr>
        <w:t>Shares</w:t>
      </w:r>
      <w:r w:rsidRPr="00992199">
        <w:rPr>
          <w:szCs w:val="20"/>
        </w:rPr>
        <w:t xml:space="preserve"> held for more than five years, which are taxable at a separate rate of 16.5% (plus local surcharges). Capital losses on the </w:t>
      </w:r>
      <w:r w:rsidR="005E2A8D">
        <w:rPr>
          <w:szCs w:val="20"/>
        </w:rPr>
        <w:t>Shares</w:t>
      </w:r>
      <w:r w:rsidRPr="00992199">
        <w:rPr>
          <w:szCs w:val="20"/>
        </w:rPr>
        <w:t xml:space="preserve"> incurred by resident individuals holding the Shares for professional purposes are in principle tax deductible.</w:t>
      </w:r>
    </w:p>
    <w:p w:rsidR="003F0BC5" w:rsidRPr="00992199" w:rsidRDefault="003F0BC5" w:rsidP="003F0BC5">
      <w:pPr>
        <w:rPr>
          <w:szCs w:val="20"/>
        </w:rPr>
      </w:pPr>
      <w:r w:rsidRPr="00992199">
        <w:rPr>
          <w:szCs w:val="20"/>
        </w:rPr>
        <w:t xml:space="preserve">Capital gains realised by resident individuals upon redemption of the </w:t>
      </w:r>
      <w:r w:rsidR="005E2A8D">
        <w:rPr>
          <w:szCs w:val="20"/>
        </w:rPr>
        <w:t>Shares</w:t>
      </w:r>
      <w:r w:rsidRPr="00992199">
        <w:rPr>
          <w:szCs w:val="20"/>
        </w:rPr>
        <w:t xml:space="preserve"> or upon liquidation of the Company will in principle be taxed as dividend income (see above).</w:t>
      </w:r>
    </w:p>
    <w:p w:rsidR="003F0BC5" w:rsidRPr="00992199" w:rsidRDefault="003F0BC5" w:rsidP="00353B80">
      <w:pPr>
        <w:pStyle w:val="Firm5L2"/>
        <w:keepNext/>
      </w:pPr>
      <w:bookmarkStart w:id="136" w:name="_Toc420593948"/>
      <w:r w:rsidRPr="00992199">
        <w:t>Resident companies</w:t>
      </w:r>
      <w:bookmarkEnd w:id="136"/>
    </w:p>
    <w:p w:rsidR="003F0BC5" w:rsidRPr="00992199" w:rsidRDefault="003F0BC5" w:rsidP="003F0BC5">
      <w:pPr>
        <w:rPr>
          <w:szCs w:val="20"/>
        </w:rPr>
      </w:pPr>
      <w:r w:rsidRPr="00992199">
        <w:rPr>
          <w:szCs w:val="20"/>
        </w:rPr>
        <w:t xml:space="preserve">Resident companies (not being small or medium sized enterprises within the meaning of article 15 of the Belgian Companies Code, SMEs) are subject to Belgian capital gains taxation at a separate rate of 0.412% on gains realised upon the disposal of </w:t>
      </w:r>
      <w:r w:rsidR="005E2A8D">
        <w:rPr>
          <w:szCs w:val="20"/>
        </w:rPr>
        <w:t>Shares</w:t>
      </w:r>
      <w:r w:rsidRPr="00992199">
        <w:rPr>
          <w:szCs w:val="20"/>
        </w:rPr>
        <w:t xml:space="preserve"> provided that (i) the Article 203 BITC Taxation Conditions are met and (ii) the </w:t>
      </w:r>
      <w:r w:rsidR="005E2A8D">
        <w:rPr>
          <w:szCs w:val="20"/>
        </w:rPr>
        <w:t>Shares</w:t>
      </w:r>
      <w:r w:rsidRPr="00992199">
        <w:rPr>
          <w:szCs w:val="20"/>
        </w:rPr>
        <w:t xml:space="preserve"> have been held in full legal ownership for an uninterrupted period of at least one year. The 0.412% separate capital gains tax rate cannot be off-set by any tax assets (such as </w:t>
      </w:r>
      <w:r w:rsidR="00A431F0" w:rsidRPr="00A431F0">
        <w:rPr>
          <w:i/>
          <w:szCs w:val="20"/>
        </w:rPr>
        <w:t>e.g.,</w:t>
      </w:r>
      <w:r w:rsidR="00A431F0">
        <w:rPr>
          <w:szCs w:val="20"/>
        </w:rPr>
        <w:t xml:space="preserve"> </w:t>
      </w:r>
      <w:r w:rsidRPr="00992199">
        <w:rPr>
          <w:szCs w:val="20"/>
        </w:rPr>
        <w:t>tax losses) or any tax credits.</w:t>
      </w:r>
    </w:p>
    <w:p w:rsidR="003F0BC5" w:rsidRPr="00992199" w:rsidRDefault="003F0BC5" w:rsidP="003F0BC5">
      <w:pPr>
        <w:rPr>
          <w:szCs w:val="20"/>
        </w:rPr>
      </w:pPr>
      <w:r w:rsidRPr="00992199">
        <w:rPr>
          <w:szCs w:val="20"/>
        </w:rPr>
        <w:t xml:space="preserve">Resident corporations qualifying as SMEs are normally not subject to Belgian capital gains taxation on gains realised upon the disposal of </w:t>
      </w:r>
      <w:r w:rsidR="005E2A8D">
        <w:rPr>
          <w:szCs w:val="20"/>
        </w:rPr>
        <w:t>Shares</w:t>
      </w:r>
      <w:r w:rsidRPr="00992199">
        <w:rPr>
          <w:szCs w:val="20"/>
        </w:rPr>
        <w:t xml:space="preserve"> provided that (i) the Article 203 BITC Taxation Conditions are met and (ii) the </w:t>
      </w:r>
      <w:r w:rsidR="005E2A8D">
        <w:rPr>
          <w:szCs w:val="20"/>
        </w:rPr>
        <w:t>Shares</w:t>
      </w:r>
      <w:r w:rsidRPr="00992199">
        <w:rPr>
          <w:szCs w:val="20"/>
        </w:rPr>
        <w:t xml:space="preserve"> have been held in full legal ownership for an uninterrupted period of at least one year.</w:t>
      </w:r>
    </w:p>
    <w:p w:rsidR="003F0BC5" w:rsidRPr="00992199" w:rsidRDefault="003F0BC5" w:rsidP="003F0BC5">
      <w:pPr>
        <w:rPr>
          <w:szCs w:val="20"/>
        </w:rPr>
      </w:pPr>
      <w:r w:rsidRPr="00992199">
        <w:rPr>
          <w:szCs w:val="20"/>
        </w:rPr>
        <w:t xml:space="preserve">If the one-year minimum holding period condition is not met (but the Article 203 BITC Taxation Conditions are met), the capital gains realised upon the disposal of </w:t>
      </w:r>
      <w:r w:rsidR="005E2A8D">
        <w:rPr>
          <w:szCs w:val="20"/>
        </w:rPr>
        <w:t>Shares</w:t>
      </w:r>
      <w:r w:rsidRPr="00992199">
        <w:rPr>
          <w:szCs w:val="20"/>
        </w:rPr>
        <w:t xml:space="preserve"> by resident companies (both non-SMEs and SMEs) will be taxable at a separate corporate income tax rate of 25.75%.</w:t>
      </w:r>
    </w:p>
    <w:p w:rsidR="003F0BC5" w:rsidRPr="00992199" w:rsidRDefault="003F0BC5" w:rsidP="003F0BC5">
      <w:pPr>
        <w:rPr>
          <w:szCs w:val="20"/>
        </w:rPr>
      </w:pPr>
      <w:r w:rsidRPr="00992199">
        <w:rPr>
          <w:szCs w:val="20"/>
        </w:rPr>
        <w:t>Capital losses on Shares incurred by resident companies (both non-SMEs and SMEs) are as a general rule not tax deductible.</w:t>
      </w:r>
    </w:p>
    <w:p w:rsidR="003F0BC5" w:rsidRPr="00992199" w:rsidRDefault="003F0BC5" w:rsidP="003F0BC5">
      <w:pPr>
        <w:rPr>
          <w:szCs w:val="20"/>
        </w:rPr>
      </w:pPr>
      <w:r w:rsidRPr="00992199">
        <w:rPr>
          <w:szCs w:val="20"/>
        </w:rPr>
        <w:t>Capital gains realised upon redemption of the Shares or upon liquidation of the Company will in principle be taxed as dividend income (see above).</w:t>
      </w:r>
    </w:p>
    <w:p w:rsidR="003F0BC5" w:rsidRPr="00992199" w:rsidRDefault="003F0BC5" w:rsidP="003F0BC5">
      <w:pPr>
        <w:rPr>
          <w:szCs w:val="20"/>
        </w:rPr>
      </w:pPr>
      <w:r w:rsidRPr="00992199">
        <w:rPr>
          <w:szCs w:val="20"/>
        </w:rPr>
        <w:t xml:space="preserve">If the </w:t>
      </w:r>
      <w:r w:rsidR="005E2A8D">
        <w:rPr>
          <w:szCs w:val="20"/>
        </w:rPr>
        <w:t>Shares</w:t>
      </w:r>
      <w:r w:rsidRPr="00992199">
        <w:rPr>
          <w:szCs w:val="20"/>
        </w:rPr>
        <w:t xml:space="preserve"> form part of the trading portfolio (</w:t>
      </w:r>
      <w:r w:rsidRPr="00992199">
        <w:rPr>
          <w:i/>
          <w:szCs w:val="20"/>
        </w:rPr>
        <w:t>handelsportefeuille / portefeuille commercial</w:t>
      </w:r>
      <w:r w:rsidRPr="00992199">
        <w:rPr>
          <w:szCs w:val="20"/>
        </w:rPr>
        <w:t>) of companies which are subject to the Royal Decree of 23 September 1992 on the annual accounts of credit institutions, investment firms and management companies of collective investment institutions (</w:t>
      </w:r>
      <w:r w:rsidRPr="00992199">
        <w:rPr>
          <w:i/>
          <w:szCs w:val="20"/>
        </w:rPr>
        <w:t>jaarrekening van de kredietinstellingen, de beleggingsondernemingen en de beheervennootschappen van instellingen voor collectieve belegging / comptes annuels des établissements de crédit, des entreprises d’investissement et des sociétés de gestion d’organismes de placement collectif</w:t>
      </w:r>
      <w:r w:rsidRPr="00992199">
        <w:rPr>
          <w:szCs w:val="20"/>
        </w:rPr>
        <w:t>), the capital gains realised upon the disposal of Shares will be subject to corporate income tax at the standard rates, and capital losses will be tax deductible.</w:t>
      </w:r>
    </w:p>
    <w:p w:rsidR="003F0BC5" w:rsidRPr="00992199" w:rsidRDefault="003F0BC5" w:rsidP="00353B80">
      <w:pPr>
        <w:pStyle w:val="Firm5L2"/>
        <w:keepNext/>
      </w:pPr>
      <w:bookmarkStart w:id="137" w:name="_Toc420593949"/>
      <w:r w:rsidRPr="00992199">
        <w:t>Organisation for Financing Pensions</w:t>
      </w:r>
      <w:bookmarkEnd w:id="137"/>
    </w:p>
    <w:p w:rsidR="003F0BC5" w:rsidRPr="00992199" w:rsidRDefault="003F0BC5" w:rsidP="003F0BC5">
      <w:pPr>
        <w:rPr>
          <w:szCs w:val="20"/>
        </w:rPr>
      </w:pPr>
      <w:r w:rsidRPr="00992199">
        <w:rPr>
          <w:szCs w:val="20"/>
        </w:rPr>
        <w:t xml:space="preserve">OFPs are, in principle, not subject to Belgian capital gains taxation realised upon the disposal of the </w:t>
      </w:r>
      <w:r w:rsidR="005E2A8D">
        <w:rPr>
          <w:szCs w:val="20"/>
        </w:rPr>
        <w:t>Shares</w:t>
      </w:r>
      <w:r w:rsidRPr="00992199">
        <w:rPr>
          <w:szCs w:val="20"/>
        </w:rPr>
        <w:t>, and capital losses are not tax deductible.</w:t>
      </w:r>
    </w:p>
    <w:p w:rsidR="003F0BC5" w:rsidRPr="00992199" w:rsidRDefault="003F0BC5" w:rsidP="00353B80">
      <w:pPr>
        <w:pStyle w:val="Firm5L2"/>
        <w:keepNext/>
      </w:pPr>
      <w:bookmarkStart w:id="138" w:name="_Toc420593950"/>
      <w:r w:rsidRPr="00992199">
        <w:t>Other resident legal entities</w:t>
      </w:r>
      <w:bookmarkEnd w:id="138"/>
    </w:p>
    <w:p w:rsidR="003F0BC5" w:rsidRPr="00992199" w:rsidRDefault="003F0BC5" w:rsidP="003F0BC5">
      <w:pPr>
        <w:rPr>
          <w:szCs w:val="20"/>
        </w:rPr>
      </w:pPr>
      <w:r w:rsidRPr="00992199">
        <w:rPr>
          <w:szCs w:val="20"/>
        </w:rPr>
        <w:t xml:space="preserve">Capital gains realised upon transfer of the </w:t>
      </w:r>
      <w:r w:rsidR="005E2A8D">
        <w:rPr>
          <w:szCs w:val="20"/>
        </w:rPr>
        <w:t>Shares</w:t>
      </w:r>
      <w:r w:rsidRPr="00992199">
        <w:rPr>
          <w:szCs w:val="20"/>
        </w:rPr>
        <w:t xml:space="preserve"> by resident legal entities are generally not subject to income tax, safe in case of a sale of </w:t>
      </w:r>
      <w:r w:rsidR="005E2A8D">
        <w:rPr>
          <w:szCs w:val="20"/>
        </w:rPr>
        <w:t>Shares</w:t>
      </w:r>
      <w:r w:rsidRPr="00992199">
        <w:rPr>
          <w:szCs w:val="20"/>
        </w:rPr>
        <w:t xml:space="preserve"> which are directly or indirectly part of a stake representing more than 25% of the share capital in the Company which may, under certain conditions, give rise to a 16.5% tax (plus local surcharges). Capital losses on the </w:t>
      </w:r>
      <w:r w:rsidR="005E2A8D">
        <w:rPr>
          <w:szCs w:val="20"/>
        </w:rPr>
        <w:t>Shares</w:t>
      </w:r>
      <w:r w:rsidRPr="00992199">
        <w:rPr>
          <w:szCs w:val="20"/>
        </w:rPr>
        <w:t xml:space="preserve"> incurred by Belgian resident legal entities are not tax deductible.</w:t>
      </w:r>
    </w:p>
    <w:p w:rsidR="003F0BC5" w:rsidRPr="00992199" w:rsidRDefault="003F0BC5" w:rsidP="003F0BC5">
      <w:pPr>
        <w:rPr>
          <w:szCs w:val="20"/>
        </w:rPr>
      </w:pPr>
      <w:r w:rsidRPr="00992199">
        <w:rPr>
          <w:szCs w:val="20"/>
        </w:rPr>
        <w:t xml:space="preserve">Capital gains realised by Belgian resident legal entities upon the redemption of the </w:t>
      </w:r>
      <w:r w:rsidR="005E2A8D">
        <w:rPr>
          <w:szCs w:val="20"/>
        </w:rPr>
        <w:t>Shares</w:t>
      </w:r>
      <w:r w:rsidRPr="00992199">
        <w:rPr>
          <w:szCs w:val="20"/>
        </w:rPr>
        <w:t xml:space="preserve"> or upon the liquidation of the Company will in principle be taxed as dividends.</w:t>
      </w:r>
    </w:p>
    <w:p w:rsidR="003F0BC5" w:rsidRPr="00992199" w:rsidRDefault="003F0BC5" w:rsidP="00353B80">
      <w:pPr>
        <w:pStyle w:val="Firm5L2"/>
        <w:keepNext/>
      </w:pPr>
      <w:bookmarkStart w:id="139" w:name="_Toc420593951"/>
      <w:r w:rsidRPr="00992199">
        <w:t>Non-residents</w:t>
      </w:r>
      <w:bookmarkEnd w:id="139"/>
    </w:p>
    <w:p w:rsidR="003F0BC5" w:rsidRPr="00992199" w:rsidRDefault="003F0BC5" w:rsidP="00353B80">
      <w:pPr>
        <w:pStyle w:val="Firm5L3"/>
        <w:keepNext/>
      </w:pPr>
      <w:r w:rsidRPr="00992199">
        <w:t>Non-resident individuals</w:t>
      </w:r>
    </w:p>
    <w:p w:rsidR="003F0BC5" w:rsidRPr="00992199" w:rsidRDefault="003F0BC5" w:rsidP="003F0BC5">
      <w:pPr>
        <w:rPr>
          <w:szCs w:val="20"/>
        </w:rPr>
      </w:pPr>
      <w:r w:rsidRPr="00992199">
        <w:rPr>
          <w:szCs w:val="20"/>
        </w:rPr>
        <w:t xml:space="preserve">Capital gains realised on the </w:t>
      </w:r>
      <w:r w:rsidR="005E2A8D">
        <w:rPr>
          <w:szCs w:val="20"/>
        </w:rPr>
        <w:t>Shares</w:t>
      </w:r>
      <w:r w:rsidRPr="00992199">
        <w:rPr>
          <w:szCs w:val="20"/>
        </w:rPr>
        <w:t xml:space="preserve"> by a non-resident individual that has not acquired the Shares in connection with a business conducted in Belgium through a fixed base in Belgium are in principle not subject to taxation, unless the gain is deemed to be realised outside the scope of the normal management of the individual’s private estate (article 90, 1° of the BITC or article 90, 9°, first indent of the BITC). In such case, if the gain is taxable under article 90, 1° of the BITC and article 228, §2, 9°, a) of the BITC, it is subject to a final professional withholding tax of 30.28% (to the extent that article 248 of the BITC is applicable). If the gain is taxable under article 90, 9°, first indent of the BITC and article 228, § 2, 9°, h) of the BITC, it must be reported in a non-resident tax return for the income year during which the gain has been realised, in which case the capital gain will be taxable at the rate of 35.31% (33% plus local surcharges of currently 7%). Moreover, non-resident individuals may be subject to the 16.5% income tax described above (resulting in a tax rate of 17.66%, </w:t>
      </w:r>
      <w:r w:rsidRPr="00992199">
        <w:rPr>
          <w:i/>
          <w:szCs w:val="20"/>
        </w:rPr>
        <w:t>i.e.</w:t>
      </w:r>
      <w:r w:rsidRPr="00992199">
        <w:rPr>
          <w:szCs w:val="20"/>
        </w:rPr>
        <w:t>, 16.5% plus local surcharges of currently 7%) if they held a participation of more than 25% in the capital</w:t>
      </w:r>
      <w:r w:rsidR="00DC6C49">
        <w:rPr>
          <w:szCs w:val="20"/>
        </w:rPr>
        <w:t xml:space="preserve"> of the Company (See Section 2</w:t>
      </w:r>
      <w:r w:rsidRPr="00992199">
        <w:rPr>
          <w:szCs w:val="20"/>
        </w:rPr>
        <w:t xml:space="preserve">.1 above). However, </w:t>
      </w:r>
      <w:smartTag w:uri="urn:schemas-microsoft-com:office:smarttags" w:element="country-region">
        <w:smartTag w:uri="urn:schemas-microsoft-com:office:smarttags" w:element="place">
          <w:r w:rsidRPr="00992199">
            <w:rPr>
              <w:szCs w:val="20"/>
            </w:rPr>
            <w:t>Belgium</w:t>
          </w:r>
        </w:smartTag>
      </w:smartTag>
      <w:r w:rsidRPr="00992199">
        <w:rPr>
          <w:szCs w:val="20"/>
        </w:rPr>
        <w:t xml:space="preserve"> has concluded tax treaties with more than 95 countries which generally provide for a full exemption from Belgian capital gains taxation on such gains realised by residents of those countries. Capital losses are generally not tax deductible.</w:t>
      </w:r>
    </w:p>
    <w:p w:rsidR="003F0BC5" w:rsidRPr="00992199" w:rsidRDefault="003F0BC5" w:rsidP="003F0BC5">
      <w:pPr>
        <w:rPr>
          <w:szCs w:val="20"/>
        </w:rPr>
      </w:pPr>
      <w:r w:rsidRPr="00992199">
        <w:rPr>
          <w:szCs w:val="20"/>
        </w:rPr>
        <w:t xml:space="preserve">Capital gains will be taxable at the ordinary progressive income tax rates and capital losses will be tax deductible, if those gains or losses are realised on </w:t>
      </w:r>
      <w:r w:rsidR="005E2A8D">
        <w:rPr>
          <w:szCs w:val="20"/>
        </w:rPr>
        <w:t>Shares</w:t>
      </w:r>
      <w:r w:rsidRPr="00992199">
        <w:rPr>
          <w:szCs w:val="20"/>
        </w:rPr>
        <w:t xml:space="preserve"> by a non-resident individual that holds the </w:t>
      </w:r>
      <w:r w:rsidR="005E2A8D">
        <w:rPr>
          <w:szCs w:val="20"/>
        </w:rPr>
        <w:t>Shares</w:t>
      </w:r>
      <w:r w:rsidRPr="00992199">
        <w:rPr>
          <w:szCs w:val="20"/>
        </w:rPr>
        <w:t xml:space="preserve"> in connection with a business conducted in </w:t>
      </w:r>
      <w:smartTag w:uri="urn:schemas-microsoft-com:office:smarttags" w:element="country-region">
        <w:r w:rsidRPr="00992199">
          <w:rPr>
            <w:szCs w:val="20"/>
          </w:rPr>
          <w:t>Belgium</w:t>
        </w:r>
      </w:smartTag>
      <w:r w:rsidRPr="00992199">
        <w:rPr>
          <w:szCs w:val="20"/>
        </w:rPr>
        <w:t xml:space="preserve"> through a fixed base in </w:t>
      </w:r>
      <w:smartTag w:uri="urn:schemas-microsoft-com:office:smarttags" w:element="country-region">
        <w:smartTag w:uri="urn:schemas-microsoft-com:office:smarttags" w:element="place">
          <w:r w:rsidRPr="00992199">
            <w:rPr>
              <w:szCs w:val="20"/>
            </w:rPr>
            <w:t>Belgium</w:t>
          </w:r>
        </w:smartTag>
      </w:smartTag>
      <w:r w:rsidRPr="00992199">
        <w:rPr>
          <w:szCs w:val="20"/>
        </w:rPr>
        <w:t>.</w:t>
      </w:r>
    </w:p>
    <w:p w:rsidR="003F0BC5" w:rsidRPr="00992199" w:rsidRDefault="003F0BC5" w:rsidP="003F0BC5">
      <w:pPr>
        <w:rPr>
          <w:szCs w:val="20"/>
        </w:rPr>
      </w:pPr>
      <w:r w:rsidRPr="00992199">
        <w:rPr>
          <w:szCs w:val="20"/>
        </w:rPr>
        <w:t xml:space="preserve">Capital gains realised by Belgian non-resident individuals upon the redemption of </w:t>
      </w:r>
      <w:r w:rsidR="005E2A8D">
        <w:rPr>
          <w:szCs w:val="20"/>
        </w:rPr>
        <w:t>Shares</w:t>
      </w:r>
      <w:r w:rsidRPr="00992199">
        <w:rPr>
          <w:szCs w:val="20"/>
        </w:rPr>
        <w:t xml:space="preserve"> or upon the liquidation of the Company will generally be taxable as a dividend (see above).</w:t>
      </w:r>
    </w:p>
    <w:p w:rsidR="003F0BC5" w:rsidRPr="00992199" w:rsidRDefault="003F0BC5" w:rsidP="00353B80">
      <w:pPr>
        <w:pStyle w:val="Firm5L3"/>
        <w:keepNext/>
      </w:pPr>
      <w:r w:rsidRPr="00992199">
        <w:t>Non-resident companies</w:t>
      </w:r>
    </w:p>
    <w:p w:rsidR="003F0BC5" w:rsidRPr="00992199" w:rsidRDefault="003F0BC5" w:rsidP="003F0BC5">
      <w:pPr>
        <w:rPr>
          <w:szCs w:val="20"/>
        </w:rPr>
      </w:pPr>
      <w:r w:rsidRPr="00992199">
        <w:rPr>
          <w:szCs w:val="20"/>
        </w:rPr>
        <w:t xml:space="preserve">Non-resident companies that have not acquired the Company’s </w:t>
      </w:r>
      <w:r w:rsidR="00DC6C49">
        <w:rPr>
          <w:szCs w:val="20"/>
        </w:rPr>
        <w:t>Shares</w:t>
      </w:r>
      <w:r w:rsidRPr="00992199">
        <w:rPr>
          <w:szCs w:val="20"/>
        </w:rPr>
        <w:t xml:space="preserve"> in connection with a business conducted in </w:t>
      </w:r>
      <w:smartTag w:uri="urn:schemas-microsoft-com:office:smarttags" w:element="country-region">
        <w:r w:rsidRPr="00992199">
          <w:rPr>
            <w:szCs w:val="20"/>
          </w:rPr>
          <w:t>Belgium</w:t>
        </w:r>
      </w:smartTag>
      <w:r w:rsidRPr="00992199">
        <w:rPr>
          <w:szCs w:val="20"/>
        </w:rPr>
        <w:t xml:space="preserve"> through a Belgian establishment are generally not subject to taxation in </w:t>
      </w:r>
      <w:smartTag w:uri="urn:schemas-microsoft-com:office:smarttags" w:element="country-region">
        <w:smartTag w:uri="urn:schemas-microsoft-com:office:smarttags" w:element="place">
          <w:r w:rsidRPr="00992199">
            <w:rPr>
              <w:szCs w:val="20"/>
            </w:rPr>
            <w:t>Belgium</w:t>
          </w:r>
        </w:smartTag>
      </w:smartTag>
      <w:r w:rsidRPr="00992199">
        <w:rPr>
          <w:szCs w:val="20"/>
        </w:rPr>
        <w:t xml:space="preserve"> on capital gains on those </w:t>
      </w:r>
      <w:r w:rsidR="00DC6C49">
        <w:rPr>
          <w:szCs w:val="20"/>
        </w:rPr>
        <w:t>Shares</w:t>
      </w:r>
      <w:r w:rsidRPr="00992199">
        <w:rPr>
          <w:szCs w:val="20"/>
        </w:rPr>
        <w:t>.</w:t>
      </w:r>
    </w:p>
    <w:p w:rsidR="003F0BC5" w:rsidRPr="00992199" w:rsidRDefault="003F0BC5" w:rsidP="003F0BC5">
      <w:pPr>
        <w:rPr>
          <w:szCs w:val="20"/>
        </w:rPr>
      </w:pPr>
      <w:r w:rsidRPr="00992199">
        <w:rPr>
          <w:szCs w:val="20"/>
        </w:rPr>
        <w:t xml:space="preserve">Non-resident companies that hold the </w:t>
      </w:r>
      <w:r w:rsidR="00DC6C49">
        <w:rPr>
          <w:szCs w:val="20"/>
        </w:rPr>
        <w:t>Shares</w:t>
      </w:r>
      <w:r w:rsidRPr="00992199">
        <w:rPr>
          <w:szCs w:val="20"/>
        </w:rPr>
        <w:t xml:space="preserve"> in connection with a business conducted in </w:t>
      </w:r>
      <w:smartTag w:uri="urn:schemas-microsoft-com:office:smarttags" w:element="country-region">
        <w:smartTag w:uri="urn:schemas-microsoft-com:office:smarttags" w:element="place">
          <w:r w:rsidRPr="00992199">
            <w:rPr>
              <w:szCs w:val="20"/>
            </w:rPr>
            <w:t>Belgium</w:t>
          </w:r>
        </w:smartTag>
      </w:smartTag>
      <w:r w:rsidRPr="00992199">
        <w:rPr>
          <w:szCs w:val="20"/>
        </w:rPr>
        <w:t xml:space="preserve"> through a Belgian establishment will generally be taxable in the same way as resident companies (see Section 2.2 above).</w:t>
      </w:r>
    </w:p>
    <w:p w:rsidR="003F0BC5" w:rsidRPr="00992199" w:rsidRDefault="003F0BC5" w:rsidP="003F0BC5">
      <w:pPr>
        <w:rPr>
          <w:szCs w:val="20"/>
        </w:rPr>
      </w:pPr>
      <w:r w:rsidRPr="00992199">
        <w:rPr>
          <w:szCs w:val="20"/>
        </w:rPr>
        <w:t xml:space="preserve">Capital gains realised by non-resident companies upon redemption of the </w:t>
      </w:r>
      <w:r w:rsidR="00DC6C49">
        <w:rPr>
          <w:szCs w:val="20"/>
        </w:rPr>
        <w:t>Shares</w:t>
      </w:r>
      <w:r w:rsidRPr="00992199">
        <w:rPr>
          <w:szCs w:val="20"/>
        </w:rPr>
        <w:t xml:space="preserve"> or upon liquidation of the Company will in principle be taxed as dividend income (see above).</w:t>
      </w:r>
    </w:p>
    <w:p w:rsidR="003F0BC5" w:rsidRPr="00992199" w:rsidRDefault="003F0BC5" w:rsidP="00353B80">
      <w:pPr>
        <w:pStyle w:val="Firm5L1"/>
        <w:keepNext/>
        <w:numPr>
          <w:ilvl w:val="0"/>
          <w:numId w:val="11"/>
        </w:numPr>
      </w:pPr>
      <w:bookmarkStart w:id="140" w:name="_Toc420593952"/>
      <w:r w:rsidRPr="00992199">
        <w:t>Tax on stock exchange transactions</w:t>
      </w:r>
      <w:bookmarkEnd w:id="140"/>
    </w:p>
    <w:p w:rsidR="003F0BC5" w:rsidRPr="00992199" w:rsidRDefault="003F0BC5" w:rsidP="003F0BC5">
      <w:pPr>
        <w:rPr>
          <w:szCs w:val="20"/>
        </w:rPr>
      </w:pPr>
      <w:r w:rsidRPr="00992199">
        <w:rPr>
          <w:szCs w:val="20"/>
        </w:rPr>
        <w:t xml:space="preserve">The purchase and sale or any other acquisition or transfer for consideration of existing Company’s </w:t>
      </w:r>
      <w:r w:rsidR="00DC6C49">
        <w:rPr>
          <w:szCs w:val="20"/>
        </w:rPr>
        <w:t>Shares</w:t>
      </w:r>
      <w:r w:rsidRPr="00992199">
        <w:rPr>
          <w:szCs w:val="20"/>
        </w:rPr>
        <w:t xml:space="preserve"> (secondary market) in </w:t>
      </w:r>
      <w:smartTag w:uri="urn:schemas-microsoft-com:office:smarttags" w:element="country-region">
        <w:smartTag w:uri="urn:schemas-microsoft-com:office:smarttags" w:element="place">
          <w:r w:rsidRPr="00992199">
            <w:rPr>
              <w:szCs w:val="20"/>
            </w:rPr>
            <w:t>Belgium</w:t>
          </w:r>
        </w:smartTag>
      </w:smartTag>
      <w:r w:rsidRPr="00992199">
        <w:rPr>
          <w:szCs w:val="20"/>
        </w:rPr>
        <w:t xml:space="preserve"> through a professional intermediary is subject to the tax on stock exchange transactions (</w:t>
      </w:r>
      <w:r w:rsidRPr="00992199">
        <w:rPr>
          <w:i/>
          <w:szCs w:val="20"/>
        </w:rPr>
        <w:t>taks op de beursverrichtingen / taxe sur les opérations de bourse</w:t>
      </w:r>
      <w:r w:rsidRPr="00992199">
        <w:rPr>
          <w:szCs w:val="20"/>
        </w:rPr>
        <w:t xml:space="preserve">) currently at a rate of 0.27%, capped at </w:t>
      </w:r>
      <w:r w:rsidR="00E53641">
        <w:rPr>
          <w:szCs w:val="20"/>
        </w:rPr>
        <w:t>EUR </w:t>
      </w:r>
      <w:r w:rsidRPr="00992199">
        <w:rPr>
          <w:szCs w:val="20"/>
        </w:rPr>
        <w:t>800 per taxable transaction. A separate tax is due from each party to the transaction, both collected by the professional intermediary.</w:t>
      </w:r>
    </w:p>
    <w:p w:rsidR="003F0BC5" w:rsidRPr="00992199" w:rsidRDefault="003F0BC5" w:rsidP="003F0BC5">
      <w:pPr>
        <w:rPr>
          <w:szCs w:val="20"/>
        </w:rPr>
      </w:pPr>
      <w:r w:rsidRPr="00992199">
        <w:rPr>
          <w:szCs w:val="20"/>
        </w:rPr>
        <w:t>Upon the issue of the new shares (primary market), no tax on stock exchange transactions is due.</w:t>
      </w:r>
    </w:p>
    <w:p w:rsidR="003F0BC5" w:rsidRPr="00992199" w:rsidRDefault="003F0BC5" w:rsidP="003F0BC5">
      <w:pPr>
        <w:rPr>
          <w:szCs w:val="20"/>
        </w:rPr>
      </w:pPr>
      <w:r w:rsidRPr="00992199">
        <w:rPr>
          <w:szCs w:val="20"/>
        </w:rPr>
        <w:t>Furthermore, no tax on stock exchange transactions is due on transactions entered into by the following parties, provided they are acting for their own account:</w:t>
      </w:r>
    </w:p>
    <w:p w:rsidR="003F0BC5" w:rsidRPr="00992199" w:rsidRDefault="003F0BC5" w:rsidP="00033353">
      <w:pPr>
        <w:pStyle w:val="BulletsL1"/>
      </w:pPr>
      <w:r w:rsidRPr="00992199">
        <w:t>professional intermediaries described in articles 2, 9° and 10° of the Belgian Law of 2 August 2002 on the supervision of the financial sector and financial services;</w:t>
      </w:r>
    </w:p>
    <w:p w:rsidR="003F0BC5" w:rsidRPr="00992199" w:rsidRDefault="003F0BC5" w:rsidP="00033353">
      <w:pPr>
        <w:pStyle w:val="BulletsL1"/>
      </w:pPr>
      <w:r w:rsidRPr="00992199">
        <w:t>insurance companies described in article 2, §1 of the Belgian Act of 9 July 1975 on the supervision of insurance companies;</w:t>
      </w:r>
    </w:p>
    <w:p w:rsidR="003F0BC5" w:rsidRPr="00992199" w:rsidRDefault="003F0BC5" w:rsidP="00033353">
      <w:pPr>
        <w:pStyle w:val="BulletsL1"/>
      </w:pPr>
      <w:r w:rsidRPr="00992199">
        <w:t>pension institutions described in article 2, 1° of the Belgian Act of 27 October 2006 on the supervision of pension institutions;</w:t>
      </w:r>
    </w:p>
    <w:p w:rsidR="003F0BC5" w:rsidRPr="00992199" w:rsidRDefault="003F0BC5" w:rsidP="00033353">
      <w:pPr>
        <w:pStyle w:val="BulletsL1"/>
      </w:pPr>
      <w:r w:rsidRPr="00992199">
        <w:t>collective investment undertakings; and</w:t>
      </w:r>
    </w:p>
    <w:p w:rsidR="003F0BC5" w:rsidRPr="00992199" w:rsidRDefault="003F0BC5" w:rsidP="00033353">
      <w:pPr>
        <w:pStyle w:val="BulletsL1"/>
      </w:pPr>
      <w:r w:rsidRPr="00992199">
        <w:t xml:space="preserve">non-residents (provided that they deliver a certificate to the professional intermediary in </w:t>
      </w:r>
      <w:smartTag w:uri="urn:schemas-microsoft-com:office:smarttags" w:element="place">
        <w:smartTag w:uri="urn:schemas-microsoft-com:office:smarttags" w:element="country-region">
          <w:r w:rsidRPr="00992199">
            <w:t>Belgium</w:t>
          </w:r>
        </w:smartTag>
      </w:smartTag>
      <w:r w:rsidRPr="00992199">
        <w:t xml:space="preserve"> confirming their non-resident status).</w:t>
      </w:r>
    </w:p>
    <w:p w:rsidR="003F0BC5" w:rsidRPr="00992199" w:rsidRDefault="003F0BC5" w:rsidP="003F0BC5">
      <w:pPr>
        <w:spacing w:after="600"/>
        <w:rPr>
          <w:szCs w:val="20"/>
        </w:rPr>
      </w:pPr>
      <w:r w:rsidRPr="00992199">
        <w:rPr>
          <w:szCs w:val="20"/>
        </w:rPr>
        <w:t xml:space="preserve">As stated above, the EU Commission adopted on 14 February 2013 the draft directive on the </w:t>
      </w:r>
      <w:r w:rsidR="005E2A8D">
        <w:rPr>
          <w:szCs w:val="20"/>
        </w:rPr>
        <w:t>Financial Transaction Tax. The d</w:t>
      </w:r>
      <w:r w:rsidRPr="00992199">
        <w:rPr>
          <w:szCs w:val="20"/>
        </w:rPr>
        <w:t xml:space="preserve">raft </w:t>
      </w:r>
      <w:r w:rsidR="005E2A8D">
        <w:rPr>
          <w:szCs w:val="20"/>
        </w:rPr>
        <w:t>d</w:t>
      </w:r>
      <w:r w:rsidRPr="00992199">
        <w:rPr>
          <w:szCs w:val="20"/>
        </w:rPr>
        <w:t xml:space="preserve">irective currently stipulates that once the Financial Transaction Tax enters into force, the participating Member States shall not maintain or introduce taxes on financial transactions other than the Financial Transaction Tax (or VAT as provided in the Council Directive 2006/112/EC of 28 November 2006 on the common system of value added tax). For </w:t>
      </w:r>
      <w:smartTag w:uri="urn:schemas-microsoft-com:office:smarttags" w:element="country-region">
        <w:smartTag w:uri="urn:schemas-microsoft-com:office:smarttags" w:element="place">
          <w:r w:rsidRPr="00992199">
            <w:rPr>
              <w:szCs w:val="20"/>
            </w:rPr>
            <w:t>Belgium</w:t>
          </w:r>
        </w:smartTag>
      </w:smartTag>
      <w:r w:rsidRPr="00992199">
        <w:rPr>
          <w:szCs w:val="20"/>
        </w:rPr>
        <w:t>, the tax on stock exchange transactions should thus be abolished once the Financial Transaction Tax enters into force. The draft directive on the Financial Transaction Tax is still subject to negotiation between the participating Member States and therefore may be changed at any time.</w:t>
      </w:r>
    </w:p>
    <w:p w:rsidR="003F0BC5" w:rsidRPr="00992199" w:rsidRDefault="003F0BC5" w:rsidP="00353B80">
      <w:pPr>
        <w:pStyle w:val="Heading1"/>
        <w:keepNext/>
      </w:pPr>
      <w:bookmarkStart w:id="141" w:name="_Toc420593953"/>
      <w:r w:rsidRPr="00992199">
        <w:t>PART X: INDEPENDENT AUDITORS</w:t>
      </w:r>
      <w:bookmarkEnd w:id="141"/>
    </w:p>
    <w:p w:rsidR="003F0BC5" w:rsidRPr="00992199" w:rsidRDefault="003F0BC5" w:rsidP="00353B80">
      <w:pPr>
        <w:pStyle w:val="Firm5L1"/>
        <w:keepNext/>
        <w:numPr>
          <w:ilvl w:val="0"/>
          <w:numId w:val="12"/>
        </w:numPr>
      </w:pPr>
      <w:bookmarkStart w:id="142" w:name="_Toc420593954"/>
      <w:r w:rsidRPr="00992199">
        <w:t>Audit of financial information</w:t>
      </w:r>
      <w:bookmarkEnd w:id="142"/>
    </w:p>
    <w:p w:rsidR="003F0BC5" w:rsidRPr="00992199" w:rsidRDefault="003F0BC5" w:rsidP="003F0BC5">
      <w:pPr>
        <w:rPr>
          <w:szCs w:val="20"/>
        </w:rPr>
      </w:pPr>
      <w:r w:rsidRPr="00992199">
        <w:rPr>
          <w:szCs w:val="20"/>
        </w:rPr>
        <w:t>The financial information of the companies involved in the Contributions and included in this Prospectus has been audited as follows:</w:t>
      </w:r>
    </w:p>
    <w:p w:rsidR="003F0BC5" w:rsidRPr="00992199" w:rsidRDefault="003F0BC5" w:rsidP="003F0BC5">
      <w:pPr>
        <w:rPr>
          <w:b/>
          <w:i/>
          <w:szCs w:val="20"/>
        </w:rPr>
      </w:pPr>
      <w:r w:rsidRPr="00992199">
        <w:rPr>
          <w:b/>
          <w:i/>
          <w:szCs w:val="20"/>
        </w:rPr>
        <w:t>The Company</w:t>
      </w:r>
    </w:p>
    <w:p w:rsidR="003F0BC5" w:rsidRPr="00992199" w:rsidRDefault="003F0BC5" w:rsidP="003F0BC5">
      <w:pPr>
        <w:rPr>
          <w:szCs w:val="20"/>
        </w:rPr>
      </w:pPr>
      <w:r w:rsidRPr="00992199">
        <w:rPr>
          <w:szCs w:val="20"/>
        </w:rPr>
        <w:t>The financial information of the Company has been audited by the statutory auditor of the Company mentioned under Section 2 below, who rendered an unqualified audit report on these financial statements which should be read in conjunction with the Company’s consolidated financial statements and its report of the Board Of Directors relating to that period.</w:t>
      </w:r>
    </w:p>
    <w:p w:rsidR="003F0BC5" w:rsidRPr="00992199" w:rsidRDefault="0082672E" w:rsidP="003F0BC5">
      <w:pPr>
        <w:rPr>
          <w:b/>
          <w:i/>
          <w:szCs w:val="20"/>
        </w:rPr>
      </w:pPr>
      <w:r>
        <w:rPr>
          <w:b/>
          <w:i/>
          <w:szCs w:val="20"/>
        </w:rPr>
        <w:t>Univeg</w:t>
      </w:r>
    </w:p>
    <w:p w:rsidR="003F0BC5" w:rsidRPr="00992199" w:rsidRDefault="0082672E" w:rsidP="003F0BC5">
      <w:pPr>
        <w:rPr>
          <w:szCs w:val="20"/>
        </w:rPr>
      </w:pPr>
      <w:r>
        <w:rPr>
          <w:szCs w:val="20"/>
        </w:rPr>
        <w:t>Univeg</w:t>
      </w:r>
      <w:r w:rsidR="003F0BC5" w:rsidRPr="00992199">
        <w:rPr>
          <w:szCs w:val="20"/>
        </w:rPr>
        <w:t xml:space="preserve">’s consolidated financial statements as of and for the period between 23 July 2012 and 31 December 2013 and </w:t>
      </w:r>
      <w:r w:rsidR="00ED1BE9">
        <w:rPr>
          <w:szCs w:val="20"/>
        </w:rPr>
        <w:t>for the financial year ended 31 December</w:t>
      </w:r>
      <w:r w:rsidR="003F0BC5" w:rsidRPr="00992199">
        <w:rPr>
          <w:szCs w:val="20"/>
        </w:rPr>
        <w:t xml:space="preserve"> 2014 have been audited by Ernst &amp; Young Bedrijfsrevisoren BV ovve CVBA, with registered office at De Kleetlaan 2, 1831 Diegem, Belgium, represented by Marc Guns, auditor, who rendered an unqualified audit report (which report includes an emphasis of matter paragraph for the </w:t>
      </w:r>
      <w:r w:rsidR="00ED1BE9">
        <w:rPr>
          <w:szCs w:val="20"/>
        </w:rPr>
        <w:t>financial year</w:t>
      </w:r>
      <w:r w:rsidR="003F0BC5" w:rsidRPr="00992199">
        <w:rPr>
          <w:szCs w:val="20"/>
        </w:rPr>
        <w:t xml:space="preserve"> ended 31 December 2013 regarding the justification by the board of directors of </w:t>
      </w:r>
      <w:r>
        <w:rPr>
          <w:szCs w:val="20"/>
        </w:rPr>
        <w:t>Univeg</w:t>
      </w:r>
      <w:r w:rsidR="003F0BC5" w:rsidRPr="00992199">
        <w:rPr>
          <w:szCs w:val="20"/>
        </w:rPr>
        <w:t xml:space="preserve"> for the application of the va</w:t>
      </w:r>
      <w:r w:rsidR="005E2A8D">
        <w:rPr>
          <w:szCs w:val="20"/>
        </w:rPr>
        <w:t>luation rules in going concern)</w:t>
      </w:r>
      <w:r w:rsidR="003F0BC5" w:rsidRPr="00992199">
        <w:rPr>
          <w:szCs w:val="20"/>
        </w:rPr>
        <w:t xml:space="preserve"> on these financial statements which should be read in conjunction with </w:t>
      </w:r>
      <w:r>
        <w:rPr>
          <w:szCs w:val="20"/>
        </w:rPr>
        <w:t>Univeg</w:t>
      </w:r>
      <w:r w:rsidR="003F0BC5" w:rsidRPr="00992199">
        <w:rPr>
          <w:szCs w:val="20"/>
        </w:rPr>
        <w:t xml:space="preserve">’s consolidated financial statements and the report of the board of directors of </w:t>
      </w:r>
      <w:r>
        <w:rPr>
          <w:szCs w:val="20"/>
        </w:rPr>
        <w:t>Univeg</w:t>
      </w:r>
      <w:r w:rsidR="003F0BC5" w:rsidRPr="00992199">
        <w:rPr>
          <w:szCs w:val="20"/>
        </w:rPr>
        <w:t xml:space="preserve"> relating to that period. Ernst &amp; Young Bedrijfsrevisoren BV ovve CVBA was appointed at the incorporation of </w:t>
      </w:r>
      <w:r>
        <w:rPr>
          <w:szCs w:val="20"/>
        </w:rPr>
        <w:t>Univeg</w:t>
      </w:r>
      <w:r w:rsidR="003F0BC5" w:rsidRPr="00992199">
        <w:rPr>
          <w:szCs w:val="20"/>
        </w:rPr>
        <w:t xml:space="preserve"> on 23 July 2012 as </w:t>
      </w:r>
      <w:r>
        <w:rPr>
          <w:szCs w:val="20"/>
        </w:rPr>
        <w:t>Univeg</w:t>
      </w:r>
      <w:r w:rsidR="003F0BC5" w:rsidRPr="00992199">
        <w:rPr>
          <w:szCs w:val="20"/>
        </w:rPr>
        <w:t xml:space="preserve">’s statutory auditor for a term of three years ending immediately after the annual </w:t>
      </w:r>
      <w:r w:rsidR="00AA3763">
        <w:rPr>
          <w:szCs w:val="20"/>
        </w:rPr>
        <w:t>general shareholders’ meeting</w:t>
      </w:r>
      <w:r w:rsidR="003F0BC5" w:rsidRPr="00992199">
        <w:rPr>
          <w:szCs w:val="20"/>
        </w:rPr>
        <w:t xml:space="preserve"> of the </w:t>
      </w:r>
      <w:r>
        <w:rPr>
          <w:szCs w:val="20"/>
        </w:rPr>
        <w:t>Univeg</w:t>
      </w:r>
      <w:r w:rsidR="003F0BC5" w:rsidRPr="00992199">
        <w:rPr>
          <w:szCs w:val="20"/>
        </w:rPr>
        <w:t xml:space="preserve"> to be held in 2016, that will resolve upon the financial statements for the financial year ended on 31 December 2015.</w:t>
      </w:r>
    </w:p>
    <w:p w:rsidR="003F0BC5" w:rsidRPr="00992199" w:rsidRDefault="003F0BC5" w:rsidP="003F0BC5">
      <w:pPr>
        <w:rPr>
          <w:b/>
          <w:i/>
          <w:szCs w:val="20"/>
        </w:rPr>
      </w:pPr>
      <w:r w:rsidRPr="00992199">
        <w:rPr>
          <w:b/>
          <w:i/>
          <w:szCs w:val="20"/>
        </w:rPr>
        <w:t>Peatinvest</w:t>
      </w:r>
    </w:p>
    <w:p w:rsidR="003F0BC5" w:rsidRPr="00992199" w:rsidRDefault="003F0BC5" w:rsidP="003F0BC5">
      <w:pPr>
        <w:rPr>
          <w:szCs w:val="20"/>
        </w:rPr>
      </w:pPr>
      <w:r w:rsidRPr="00992199">
        <w:rPr>
          <w:szCs w:val="20"/>
        </w:rPr>
        <w:t xml:space="preserve">Peatinvest’s consolidated financial statements as of and for the </w:t>
      </w:r>
      <w:r w:rsidR="00470C99">
        <w:rPr>
          <w:szCs w:val="20"/>
        </w:rPr>
        <w:t xml:space="preserve">financial </w:t>
      </w:r>
      <w:r w:rsidRPr="00992199">
        <w:rPr>
          <w:szCs w:val="20"/>
        </w:rPr>
        <w:t>years ended 30 September 2014 and 2013 have been audited by Deloitte Bedrijfsrevisoren BV ovve CVBA, with registered office at Berkenlaan 8B, 1831 Diegem, Belgium, represented by Kurt Dehoorne, auditor, with office at President Kennedypark 8A, 8500 Kortrijk, who rendered an</w:t>
      </w:r>
      <w:r w:rsidRPr="00992199" w:rsidDel="004B159D">
        <w:rPr>
          <w:szCs w:val="20"/>
        </w:rPr>
        <w:t xml:space="preserve"> </w:t>
      </w:r>
      <w:r w:rsidRPr="00992199">
        <w:rPr>
          <w:szCs w:val="20"/>
        </w:rPr>
        <w:t xml:space="preserve">unqualified audit report on these financial statements which should be read in conjunction with Peatinvest’s consolidated financial statements and the report of the board of directors of Peatinvest relating to that period. Deloitte Bedrijfsrevisoren BV ovve CVBA was appointed at the annual </w:t>
      </w:r>
      <w:r w:rsidR="00AA3763">
        <w:rPr>
          <w:szCs w:val="20"/>
        </w:rPr>
        <w:t>general shareholders’ meeting</w:t>
      </w:r>
      <w:r w:rsidRPr="00992199">
        <w:rPr>
          <w:szCs w:val="20"/>
        </w:rPr>
        <w:t xml:space="preserve"> of Peatinvest held on 15 February 2013 as Peatinvest’s statutory auditor for a term of three years ending immediately after the annual </w:t>
      </w:r>
      <w:r w:rsidR="00AA3763">
        <w:rPr>
          <w:szCs w:val="20"/>
        </w:rPr>
        <w:t>general shareholders’ meeting</w:t>
      </w:r>
      <w:r w:rsidRPr="00992199">
        <w:rPr>
          <w:szCs w:val="20"/>
        </w:rPr>
        <w:t xml:space="preserve"> of the Peatinvest to be held in 2016, that will resolve upon the financial statements for the financial year ended on 30 September 2016. Peatinvest’s consolidated financial statements as of and </w:t>
      </w:r>
      <w:r w:rsidR="005971A0">
        <w:rPr>
          <w:szCs w:val="20"/>
        </w:rPr>
        <w:t>for the financial year ended 30 September</w:t>
      </w:r>
      <w:r w:rsidRPr="00992199">
        <w:rPr>
          <w:szCs w:val="20"/>
        </w:rPr>
        <w:t xml:space="preserve"> 2012 have been audited by Ernst &amp; Young Lippens &amp; Rabaey BV ovve CVBA, with registered office at Moutstraat 54, 9000 Ghent, Belgium, represented by Leen Defoer, auditor, who rendered an</w:t>
      </w:r>
      <w:r w:rsidRPr="00992199" w:rsidDel="004B159D">
        <w:rPr>
          <w:szCs w:val="20"/>
        </w:rPr>
        <w:t xml:space="preserve"> </w:t>
      </w:r>
      <w:r w:rsidRPr="00992199">
        <w:rPr>
          <w:szCs w:val="20"/>
        </w:rPr>
        <w:t>unqualified audit report on these financial statements which should be read in conjunction with Peatinvest’s consolidated financial statements and the report of the board of directors relating to that period.</w:t>
      </w:r>
    </w:p>
    <w:p w:rsidR="003F0BC5" w:rsidRPr="00992199" w:rsidRDefault="003F0BC5" w:rsidP="00353B80">
      <w:pPr>
        <w:pStyle w:val="Firm5L1"/>
        <w:keepNext/>
      </w:pPr>
      <w:bookmarkStart w:id="143" w:name="_Toc420593955"/>
      <w:r w:rsidRPr="00992199">
        <w:t>Statutory auditors of the Company</w:t>
      </w:r>
      <w:bookmarkEnd w:id="143"/>
    </w:p>
    <w:p w:rsidR="003F0BC5" w:rsidRPr="00992199" w:rsidRDefault="003F0BC5" w:rsidP="003F0BC5">
      <w:pPr>
        <w:rPr>
          <w:szCs w:val="20"/>
        </w:rPr>
      </w:pPr>
      <w:r w:rsidRPr="00992199">
        <w:rPr>
          <w:szCs w:val="20"/>
        </w:rPr>
        <w:t>The statutory auditor of the Company is Deloitte Bedrijfsrevisoren BV ovve CVBA, with registered office at Berkenlaan 8B, 1831 Die</w:t>
      </w:r>
      <w:r w:rsidR="00E34880">
        <w:rPr>
          <w:szCs w:val="20"/>
        </w:rPr>
        <w:t>gem, Belgium, represented by Mr</w:t>
      </w:r>
      <w:r w:rsidRPr="00992199">
        <w:rPr>
          <w:szCs w:val="20"/>
        </w:rPr>
        <w:t xml:space="preserve"> Kurt Dehoorne, auditor, with office at President Kenne</w:t>
      </w:r>
      <w:r w:rsidR="00E34880">
        <w:rPr>
          <w:szCs w:val="20"/>
        </w:rPr>
        <w:t>dypark 8A, 8500 Kortrijk and Mr</w:t>
      </w:r>
      <w:r w:rsidRPr="00992199">
        <w:rPr>
          <w:szCs w:val="20"/>
        </w:rPr>
        <w:t xml:space="preserve"> Mario Dekeyser, auditor, with office at President Kennedypark 8A, 8500 Kortrijk. Deloitte Bedrijfsrevisoren BV ovve CVBA was appointed at the annual </w:t>
      </w:r>
      <w:r w:rsidR="00AA3763">
        <w:rPr>
          <w:szCs w:val="20"/>
        </w:rPr>
        <w:t>general shareholders’ meeting</w:t>
      </w:r>
      <w:r w:rsidRPr="00992199">
        <w:rPr>
          <w:szCs w:val="20"/>
        </w:rPr>
        <w:t xml:space="preserve"> of the Company held on 21 September 2012 as the Company’s statutory auditor for a term of three years ending immediately after the annual </w:t>
      </w:r>
      <w:r w:rsidR="00AA3763">
        <w:rPr>
          <w:szCs w:val="20"/>
        </w:rPr>
        <w:t>general shareholders’ meeting</w:t>
      </w:r>
      <w:r w:rsidRPr="00992199">
        <w:rPr>
          <w:szCs w:val="20"/>
        </w:rPr>
        <w:t xml:space="preserve"> of the Company to be held in 2015, that will resolve upon the financial statements for the financial year ended on 31 March 2015.</w:t>
      </w:r>
    </w:p>
    <w:p w:rsidR="003F0BC5" w:rsidRPr="00992199" w:rsidRDefault="003F0BC5" w:rsidP="003F0BC5">
      <w:pPr>
        <w:rPr>
          <w:b/>
          <w:szCs w:val="20"/>
        </w:rPr>
      </w:pPr>
    </w:p>
    <w:p w:rsidR="003F0BC5" w:rsidRPr="00992199" w:rsidRDefault="003F0BC5" w:rsidP="00353B80">
      <w:pPr>
        <w:pStyle w:val="Heading1"/>
        <w:keepNext/>
      </w:pPr>
      <w:bookmarkStart w:id="144" w:name="_Toc420593956"/>
      <w:r w:rsidRPr="00992199">
        <w:t>PART XI: Legal Matters</w:t>
      </w:r>
      <w:bookmarkEnd w:id="144"/>
    </w:p>
    <w:p w:rsidR="003F0BC5" w:rsidRPr="00992199" w:rsidRDefault="003F0BC5" w:rsidP="003F0BC5">
      <w:pPr>
        <w:rPr>
          <w:szCs w:val="20"/>
        </w:rPr>
      </w:pPr>
      <w:r w:rsidRPr="00992199">
        <w:rPr>
          <w:szCs w:val="20"/>
        </w:rPr>
        <w:t xml:space="preserve">Certain legal matters in connection with the Transactions will be passed upon with respect to the laws of </w:t>
      </w:r>
      <w:smartTag w:uri="urn:schemas-microsoft-com:office:smarttags" w:element="country-region">
        <w:smartTag w:uri="urn:schemas-microsoft-com:office:smarttags" w:element="place">
          <w:r w:rsidRPr="00992199">
            <w:rPr>
              <w:szCs w:val="20"/>
            </w:rPr>
            <w:t>Belgium</w:t>
          </w:r>
        </w:smartTag>
      </w:smartTag>
      <w:r w:rsidRPr="00992199">
        <w:rPr>
          <w:szCs w:val="20"/>
        </w:rPr>
        <w:t xml:space="preserve"> by Laga BV CVBA for </w:t>
      </w:r>
      <w:r w:rsidR="002A1AB1">
        <w:rPr>
          <w:szCs w:val="20"/>
        </w:rPr>
        <w:t>Greenyard Foods</w:t>
      </w:r>
      <w:r w:rsidRPr="00992199">
        <w:rPr>
          <w:szCs w:val="20"/>
        </w:rPr>
        <w:t xml:space="preserve"> and by Freshfields Bruckhaus Deringer LLP for </w:t>
      </w:r>
      <w:r w:rsidR="0082672E">
        <w:rPr>
          <w:szCs w:val="20"/>
        </w:rPr>
        <w:t>Univeg</w:t>
      </w:r>
      <w:r w:rsidRPr="00992199">
        <w:rPr>
          <w:szCs w:val="20"/>
        </w:rPr>
        <w:t xml:space="preserve"> and Peatinvest.</w:t>
      </w:r>
    </w:p>
    <w:p w:rsidR="003F0BC5" w:rsidRPr="00992199" w:rsidRDefault="003F0BC5" w:rsidP="00353B80">
      <w:pPr>
        <w:pStyle w:val="Heading1"/>
        <w:keepNext/>
      </w:pPr>
      <w:bookmarkStart w:id="145" w:name="_Toc420593957"/>
      <w:r w:rsidRPr="00992199">
        <w:t>PART XiI: Glossary of selected terms</w:t>
      </w:r>
      <w:bookmarkEnd w:id="145"/>
    </w:p>
    <w:p w:rsidR="003F0BC5" w:rsidRPr="00992199" w:rsidRDefault="003F0BC5" w:rsidP="003F0BC5">
      <w:pPr>
        <w:rPr>
          <w:szCs w:val="20"/>
        </w:rPr>
      </w:pPr>
      <w:r w:rsidRPr="00992199">
        <w:rPr>
          <w:szCs w:val="20"/>
        </w:rPr>
        <w:t xml:space="preserve">The following explanations are intended to assist the general reader to understand certain terms used in this Prospectus. The definitions set out below apply throughout this Prospectus, unless </w:t>
      </w:r>
      <w:r w:rsidR="006722A9">
        <w:rPr>
          <w:szCs w:val="20"/>
        </w:rPr>
        <w:t>the context requires otherwise.</w:t>
      </w:r>
    </w:p>
    <w:tbl>
      <w:tblPr>
        <w:tblW w:w="0" w:type="auto"/>
        <w:tblLayout w:type="fixed"/>
        <w:tblLook w:val="01E0" w:firstRow="1" w:lastRow="1" w:firstColumn="1" w:lastColumn="1" w:noHBand="0" w:noVBand="0"/>
      </w:tblPr>
      <w:tblGrid>
        <w:gridCol w:w="3613"/>
        <w:gridCol w:w="5632"/>
      </w:tblGrid>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2013 Financing</w:t>
            </w:r>
          </w:p>
        </w:tc>
        <w:tc>
          <w:tcPr>
            <w:tcW w:w="5632" w:type="dxa"/>
            <w:shd w:val="clear" w:color="auto" w:fill="auto"/>
          </w:tcPr>
          <w:p w:rsidR="002E1586" w:rsidRPr="00992199" w:rsidRDefault="002E1586" w:rsidP="00BB0F52">
            <w:pPr>
              <w:rPr>
                <w:szCs w:val="20"/>
              </w:rPr>
            </w:pPr>
            <w:r>
              <w:rPr>
                <w:szCs w:val="20"/>
              </w:rPr>
              <w:t>the financing contractual documentation entered into in 2013 by the Univeg Group</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AIF</w:t>
            </w:r>
          </w:p>
        </w:tc>
        <w:tc>
          <w:tcPr>
            <w:tcW w:w="5632" w:type="dxa"/>
            <w:shd w:val="clear" w:color="auto" w:fill="auto"/>
          </w:tcPr>
          <w:p w:rsidR="002E1586" w:rsidRPr="00992199" w:rsidRDefault="002E1586" w:rsidP="00BB0F52">
            <w:pPr>
              <w:rPr>
                <w:szCs w:val="20"/>
              </w:rPr>
            </w:pPr>
            <w:r w:rsidRPr="00992199">
              <w:rPr>
                <w:szCs w:val="20"/>
              </w:rPr>
              <w:t>Agri Investment Fund CVBA</w:t>
            </w:r>
          </w:p>
        </w:tc>
      </w:tr>
      <w:tr w:rsidR="002E1586" w:rsidRPr="00992199" w:rsidTr="000E6B03">
        <w:tc>
          <w:tcPr>
            <w:tcW w:w="3613" w:type="dxa"/>
            <w:shd w:val="clear" w:color="auto" w:fill="auto"/>
          </w:tcPr>
          <w:p w:rsidR="002E1586" w:rsidRPr="00992199" w:rsidRDefault="002E1586" w:rsidP="00BB0F52">
            <w:pPr>
              <w:rPr>
                <w:b/>
                <w:szCs w:val="20"/>
              </w:rPr>
            </w:pPr>
            <w:r>
              <w:rPr>
                <w:b/>
                <w:szCs w:val="20"/>
              </w:rPr>
              <w:t>Argentinean Operations</w:t>
            </w:r>
          </w:p>
        </w:tc>
        <w:tc>
          <w:tcPr>
            <w:tcW w:w="5632" w:type="dxa"/>
            <w:shd w:val="clear" w:color="auto" w:fill="auto"/>
          </w:tcPr>
          <w:p w:rsidR="002E1586" w:rsidRPr="00992199" w:rsidRDefault="002E1586" w:rsidP="00BB0F52">
            <w:pPr>
              <w:rPr>
                <w:szCs w:val="20"/>
              </w:rPr>
            </w:pPr>
            <w:r w:rsidRPr="00992199">
              <w:rPr>
                <w:szCs w:val="20"/>
              </w:rPr>
              <w:t>Orchards Invest B</w:t>
            </w:r>
            <w:r>
              <w:rPr>
                <w:szCs w:val="20"/>
              </w:rPr>
              <w:t>.</w:t>
            </w:r>
            <w:r w:rsidRPr="00992199">
              <w:rPr>
                <w:szCs w:val="20"/>
              </w:rPr>
              <w:t>V</w:t>
            </w:r>
            <w:r>
              <w:rPr>
                <w:szCs w:val="20"/>
              </w:rPr>
              <w:t>.</w:t>
            </w:r>
            <w:r w:rsidRPr="00992199">
              <w:rPr>
                <w:szCs w:val="20"/>
              </w:rPr>
              <w:t xml:space="preserve"> and its subsidiaries</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Article 203 BITC Taxation Conditions</w:t>
            </w:r>
          </w:p>
        </w:tc>
        <w:tc>
          <w:tcPr>
            <w:tcW w:w="5632" w:type="dxa"/>
            <w:shd w:val="clear" w:color="auto" w:fill="auto"/>
          </w:tcPr>
          <w:p w:rsidR="002E1586" w:rsidRPr="00992199" w:rsidRDefault="002E1586" w:rsidP="00BB0F52">
            <w:pPr>
              <w:rPr>
                <w:szCs w:val="20"/>
              </w:rPr>
            </w:pPr>
            <w:r w:rsidRPr="00992199">
              <w:rPr>
                <w:szCs w:val="20"/>
              </w:rPr>
              <w:t>the conditions relating to the taxation of the underlying distributed income, as described in article 203 of the BITC</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Articles of Association</w:t>
            </w:r>
          </w:p>
        </w:tc>
        <w:tc>
          <w:tcPr>
            <w:tcW w:w="5632" w:type="dxa"/>
            <w:shd w:val="clear" w:color="auto" w:fill="auto"/>
          </w:tcPr>
          <w:p w:rsidR="002E1586" w:rsidRPr="00992199" w:rsidRDefault="002E1586" w:rsidP="00BB0F52">
            <w:pPr>
              <w:rPr>
                <w:szCs w:val="20"/>
              </w:rPr>
            </w:pPr>
            <w:r w:rsidRPr="00992199">
              <w:rPr>
                <w:szCs w:val="20"/>
              </w:rPr>
              <w:t>the articles of association of the Company</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Audit Committee</w:t>
            </w:r>
          </w:p>
        </w:tc>
        <w:tc>
          <w:tcPr>
            <w:tcW w:w="5632" w:type="dxa"/>
            <w:shd w:val="clear" w:color="auto" w:fill="auto"/>
          </w:tcPr>
          <w:p w:rsidR="002E1586" w:rsidRPr="00992199" w:rsidRDefault="002E1586" w:rsidP="00BB0F52">
            <w:pPr>
              <w:rPr>
                <w:szCs w:val="20"/>
              </w:rPr>
            </w:pPr>
            <w:r w:rsidRPr="00992199">
              <w:rPr>
                <w:szCs w:val="20"/>
              </w:rPr>
              <w:t>the audit committee of the Company from time to time appointed by the Board of Directors in accordance with the Articles of Association</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BCC</w:t>
            </w:r>
          </w:p>
        </w:tc>
        <w:tc>
          <w:tcPr>
            <w:tcW w:w="5632" w:type="dxa"/>
            <w:shd w:val="clear" w:color="auto" w:fill="auto"/>
          </w:tcPr>
          <w:p w:rsidR="002E1586" w:rsidRPr="00992199" w:rsidRDefault="002E1586" w:rsidP="00BB0F52">
            <w:pPr>
              <w:rPr>
                <w:szCs w:val="20"/>
              </w:rPr>
            </w:pPr>
            <w:r w:rsidRPr="00992199">
              <w:rPr>
                <w:szCs w:val="20"/>
              </w:rPr>
              <w:t>the Belgian Companies Code</w:t>
            </w:r>
          </w:p>
        </w:tc>
      </w:tr>
      <w:tr w:rsidR="002E1586" w:rsidRPr="00992199" w:rsidTr="000E6B03">
        <w:tc>
          <w:tcPr>
            <w:tcW w:w="3613" w:type="dxa"/>
            <w:shd w:val="clear" w:color="auto" w:fill="auto"/>
          </w:tcPr>
          <w:p w:rsidR="002E1586" w:rsidRDefault="002E1586" w:rsidP="00BB0F52">
            <w:pPr>
              <w:rPr>
                <w:b/>
                <w:szCs w:val="20"/>
              </w:rPr>
            </w:pPr>
            <w:r>
              <w:rPr>
                <w:b/>
                <w:szCs w:val="20"/>
              </w:rPr>
              <w:t>Belgian GAAP</w:t>
            </w:r>
          </w:p>
        </w:tc>
        <w:tc>
          <w:tcPr>
            <w:tcW w:w="5632" w:type="dxa"/>
            <w:shd w:val="clear" w:color="auto" w:fill="auto"/>
          </w:tcPr>
          <w:p w:rsidR="002E1586" w:rsidRDefault="002E1586" w:rsidP="005F4ABF">
            <w:pPr>
              <w:rPr>
                <w:szCs w:val="20"/>
              </w:rPr>
            </w:pPr>
            <w:r>
              <w:rPr>
                <w:szCs w:val="20"/>
              </w:rPr>
              <w:t xml:space="preserve">generally applicable accounting rules and principles in </w:t>
            </w:r>
            <w:smartTag w:uri="urn:schemas-microsoft-com:office:smarttags" w:element="country-region">
              <w:smartTag w:uri="urn:schemas-microsoft-com:office:smarttags" w:element="place">
                <w:r>
                  <w:rPr>
                    <w:szCs w:val="20"/>
                  </w:rPr>
                  <w:t>Belgium</w:t>
                </w:r>
              </w:smartTag>
            </w:smartTag>
          </w:p>
        </w:tc>
      </w:tr>
      <w:tr w:rsidR="002E1586" w:rsidRPr="00992199" w:rsidTr="000E6B03">
        <w:tc>
          <w:tcPr>
            <w:tcW w:w="3613" w:type="dxa"/>
            <w:shd w:val="clear" w:color="auto" w:fill="auto"/>
          </w:tcPr>
          <w:p w:rsidR="002E1586" w:rsidRPr="00992199" w:rsidRDefault="002E1586" w:rsidP="00BB0F52">
            <w:pPr>
              <w:rPr>
                <w:szCs w:val="20"/>
              </w:rPr>
            </w:pPr>
            <w:r w:rsidRPr="00992199">
              <w:rPr>
                <w:b/>
                <w:szCs w:val="20"/>
              </w:rPr>
              <w:t>BITC</w:t>
            </w:r>
          </w:p>
        </w:tc>
        <w:tc>
          <w:tcPr>
            <w:tcW w:w="5632" w:type="dxa"/>
            <w:shd w:val="clear" w:color="auto" w:fill="auto"/>
          </w:tcPr>
          <w:p w:rsidR="002E1586" w:rsidRPr="00992199" w:rsidRDefault="002E1586" w:rsidP="00BB0F52">
            <w:pPr>
              <w:rPr>
                <w:szCs w:val="20"/>
              </w:rPr>
            </w:pPr>
            <w:r w:rsidRPr="00992199">
              <w:rPr>
                <w:szCs w:val="20"/>
              </w:rPr>
              <w:t>the Belgian Income Tax Code</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 xml:space="preserve">Board of Directors </w:t>
            </w:r>
            <w:r w:rsidRPr="00992199">
              <w:rPr>
                <w:szCs w:val="20"/>
              </w:rPr>
              <w:t xml:space="preserve">or </w:t>
            </w:r>
            <w:r w:rsidRPr="00992199">
              <w:rPr>
                <w:b/>
                <w:szCs w:val="20"/>
              </w:rPr>
              <w:t>Board</w:t>
            </w:r>
          </w:p>
        </w:tc>
        <w:tc>
          <w:tcPr>
            <w:tcW w:w="5632" w:type="dxa"/>
            <w:shd w:val="clear" w:color="auto" w:fill="auto"/>
          </w:tcPr>
          <w:p w:rsidR="002E1586" w:rsidRPr="00992199" w:rsidRDefault="002E1586" w:rsidP="00BB0F52">
            <w:pPr>
              <w:rPr>
                <w:szCs w:val="20"/>
              </w:rPr>
            </w:pPr>
            <w:r w:rsidRPr="00992199">
              <w:rPr>
                <w:szCs w:val="20"/>
              </w:rPr>
              <w:t>the board of directors of the Company from time to time appointed in accordance with the Articles of Association</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Bonds</w:t>
            </w:r>
          </w:p>
        </w:tc>
        <w:tc>
          <w:tcPr>
            <w:tcW w:w="5632" w:type="dxa"/>
            <w:shd w:val="clear" w:color="auto" w:fill="auto"/>
          </w:tcPr>
          <w:p w:rsidR="002E1586" w:rsidRPr="00992199" w:rsidRDefault="002E1586" w:rsidP="009859A6">
            <w:pPr>
              <w:rPr>
                <w:szCs w:val="20"/>
              </w:rPr>
            </w:pPr>
            <w:r w:rsidRPr="00992199">
              <w:rPr>
                <w:szCs w:val="20"/>
              </w:rPr>
              <w:t xml:space="preserve">the </w:t>
            </w:r>
            <w:r>
              <w:rPr>
                <w:szCs w:val="20"/>
              </w:rPr>
              <w:t>EUR 150,000,000</w:t>
            </w:r>
            <w:r w:rsidRPr="00992199">
              <w:rPr>
                <w:szCs w:val="20"/>
              </w:rPr>
              <w:t xml:space="preserve"> bonds issued by </w:t>
            </w:r>
            <w:r>
              <w:rPr>
                <w:szCs w:val="20"/>
              </w:rPr>
              <w:t>Greenyard Foods</w:t>
            </w:r>
            <w:r w:rsidRPr="00992199">
              <w:rPr>
                <w:szCs w:val="20"/>
              </w:rPr>
              <w:t xml:space="preserve"> on 5 July 2013</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Canning Division</w:t>
            </w:r>
          </w:p>
        </w:tc>
        <w:tc>
          <w:tcPr>
            <w:tcW w:w="5632" w:type="dxa"/>
            <w:shd w:val="clear" w:color="auto" w:fill="auto"/>
          </w:tcPr>
          <w:p w:rsidR="002E1586" w:rsidRPr="00992199" w:rsidRDefault="002E1586" w:rsidP="00BB0F52">
            <w:pPr>
              <w:rPr>
                <w:szCs w:val="20"/>
              </w:rPr>
            </w:pPr>
            <w:r w:rsidRPr="00992199">
              <w:rPr>
                <w:szCs w:val="20"/>
              </w:rPr>
              <w:t xml:space="preserve">the division of </w:t>
            </w:r>
            <w:r>
              <w:rPr>
                <w:szCs w:val="20"/>
              </w:rPr>
              <w:t>Greenyard Foods</w:t>
            </w:r>
            <w:r w:rsidRPr="00992199">
              <w:rPr>
                <w:szCs w:val="20"/>
              </w:rPr>
              <w:t xml:space="preserve"> that is specialised in the production of vegetables, ready-meals such as soups, sauces, dips and pasta dishes in jars and tins and is known as </w:t>
            </w:r>
            <w:r>
              <w:rPr>
                <w:szCs w:val="20"/>
              </w:rPr>
              <w:t>“</w:t>
            </w:r>
            <w:r w:rsidRPr="00992199">
              <w:rPr>
                <w:szCs w:val="20"/>
              </w:rPr>
              <w:t>Noliko</w:t>
            </w:r>
            <w:r>
              <w:rPr>
                <w:szCs w:val="20"/>
              </w:rPr>
              <w:t>”</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Closing Date</w:t>
            </w:r>
          </w:p>
        </w:tc>
        <w:tc>
          <w:tcPr>
            <w:tcW w:w="5632" w:type="dxa"/>
            <w:shd w:val="clear" w:color="auto" w:fill="auto"/>
          </w:tcPr>
          <w:p w:rsidR="002E1586" w:rsidRPr="00992199" w:rsidRDefault="002E1586" w:rsidP="00BB0F52">
            <w:pPr>
              <w:rPr>
                <w:szCs w:val="20"/>
              </w:rPr>
            </w:pPr>
            <w:r>
              <w:rPr>
                <w:szCs w:val="20"/>
              </w:rPr>
              <w:t>[19]</w:t>
            </w:r>
            <w:r w:rsidRPr="00992199">
              <w:rPr>
                <w:szCs w:val="20"/>
              </w:rPr>
              <w:t> June 2015</w:t>
            </w:r>
          </w:p>
        </w:tc>
      </w:tr>
      <w:tr w:rsidR="002E1586" w:rsidRPr="00992199" w:rsidTr="000E6B03">
        <w:tc>
          <w:tcPr>
            <w:tcW w:w="3613" w:type="dxa"/>
            <w:shd w:val="clear" w:color="auto" w:fill="auto"/>
          </w:tcPr>
          <w:p w:rsidR="002E1586" w:rsidRDefault="002E1586" w:rsidP="00BB0F52">
            <w:pPr>
              <w:rPr>
                <w:b/>
                <w:szCs w:val="20"/>
              </w:rPr>
            </w:pPr>
            <w:r>
              <w:rPr>
                <w:b/>
                <w:szCs w:val="20"/>
              </w:rPr>
              <w:t>Combined Greenyard Foods Group</w:t>
            </w:r>
          </w:p>
        </w:tc>
        <w:tc>
          <w:tcPr>
            <w:tcW w:w="5632" w:type="dxa"/>
            <w:shd w:val="clear" w:color="auto" w:fill="auto"/>
          </w:tcPr>
          <w:p w:rsidR="002E1586" w:rsidRPr="00992199" w:rsidRDefault="002E1586" w:rsidP="004A165C">
            <w:pPr>
              <w:rPr>
                <w:szCs w:val="20"/>
              </w:rPr>
            </w:pPr>
            <w:r w:rsidRPr="00992199">
              <w:rPr>
                <w:szCs w:val="20"/>
              </w:rPr>
              <w:t xml:space="preserve">the Company and its subsidiaries </w:t>
            </w:r>
            <w:r>
              <w:rPr>
                <w:szCs w:val="20"/>
              </w:rPr>
              <w:t>upon</w:t>
            </w:r>
            <w:r w:rsidRPr="00992199">
              <w:rPr>
                <w:szCs w:val="20"/>
              </w:rPr>
              <w:t xml:space="preserve"> completion of the C</w:t>
            </w:r>
            <w:r>
              <w:rPr>
                <w:szCs w:val="20"/>
              </w:rPr>
              <w:t>ontributions</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 xml:space="preserve">Company or </w:t>
            </w:r>
            <w:r>
              <w:rPr>
                <w:b/>
                <w:szCs w:val="20"/>
              </w:rPr>
              <w:t>Greenyard Foods</w:t>
            </w:r>
          </w:p>
        </w:tc>
        <w:tc>
          <w:tcPr>
            <w:tcW w:w="5632" w:type="dxa"/>
            <w:shd w:val="clear" w:color="auto" w:fill="auto"/>
          </w:tcPr>
          <w:p w:rsidR="002E1586" w:rsidRPr="00992199" w:rsidRDefault="002E1586" w:rsidP="00BB0F52">
            <w:pPr>
              <w:rPr>
                <w:szCs w:val="20"/>
              </w:rPr>
            </w:pPr>
            <w:r>
              <w:rPr>
                <w:szCs w:val="20"/>
              </w:rPr>
              <w:t>Greenyard Foods</w:t>
            </w:r>
            <w:r w:rsidRPr="00992199">
              <w:rPr>
                <w:szCs w:val="20"/>
              </w:rPr>
              <w:t xml:space="preserve"> NV</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Conditions for the application of the Dividend Received Deduction regime</w:t>
            </w:r>
          </w:p>
        </w:tc>
        <w:tc>
          <w:tcPr>
            <w:tcW w:w="5632" w:type="dxa"/>
            <w:shd w:val="clear" w:color="auto" w:fill="auto"/>
          </w:tcPr>
          <w:p w:rsidR="002E1586" w:rsidRPr="00992199" w:rsidRDefault="002E1586" w:rsidP="00BB0F52">
            <w:pPr>
              <w:rPr>
                <w:szCs w:val="20"/>
              </w:rPr>
            </w:pPr>
            <w:r w:rsidRPr="00992199">
              <w:rPr>
                <w:szCs w:val="20"/>
              </w:rPr>
              <w:t>the conditions for the application of the Dividend Received Deduction regime</w:t>
            </w:r>
          </w:p>
        </w:tc>
      </w:tr>
      <w:tr w:rsidR="002E1586" w:rsidRPr="00992199" w:rsidTr="002E1586">
        <w:tc>
          <w:tcPr>
            <w:tcW w:w="3613" w:type="dxa"/>
            <w:shd w:val="clear" w:color="auto" w:fill="auto"/>
          </w:tcPr>
          <w:p w:rsidR="002E1586" w:rsidRPr="00992199" w:rsidRDefault="002E1586" w:rsidP="002E1586">
            <w:pPr>
              <w:rPr>
                <w:b/>
                <w:szCs w:val="20"/>
              </w:rPr>
            </w:pPr>
            <w:r>
              <w:rPr>
                <w:b/>
                <w:szCs w:val="20"/>
              </w:rPr>
              <w:t>Consultation Period</w:t>
            </w:r>
          </w:p>
        </w:tc>
        <w:tc>
          <w:tcPr>
            <w:tcW w:w="5632" w:type="dxa"/>
            <w:shd w:val="clear" w:color="auto" w:fill="auto"/>
          </w:tcPr>
          <w:p w:rsidR="002E1586" w:rsidRPr="00992199" w:rsidRDefault="002E1586" w:rsidP="002E1586">
            <w:pPr>
              <w:rPr>
                <w:szCs w:val="20"/>
              </w:rPr>
            </w:pPr>
            <w:r>
              <w:rPr>
                <w:szCs w:val="20"/>
              </w:rPr>
              <w:t>the 30-day consultation period triggered by the issuance of the enforcement instructions under the Intercreditor Agreement</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Contributions</w:t>
            </w:r>
          </w:p>
        </w:tc>
        <w:tc>
          <w:tcPr>
            <w:tcW w:w="5632" w:type="dxa"/>
            <w:shd w:val="clear" w:color="auto" w:fill="auto"/>
          </w:tcPr>
          <w:p w:rsidR="002E1586" w:rsidRPr="00992199" w:rsidRDefault="002E1586" w:rsidP="00BB0F52">
            <w:pPr>
              <w:rPr>
                <w:szCs w:val="20"/>
              </w:rPr>
            </w:pPr>
            <w:r w:rsidRPr="00992199">
              <w:rPr>
                <w:szCs w:val="20"/>
              </w:rPr>
              <w:t xml:space="preserve">the DWB Demerger, the </w:t>
            </w:r>
            <w:r>
              <w:rPr>
                <w:szCs w:val="20"/>
              </w:rPr>
              <w:t>Univeg</w:t>
            </w:r>
            <w:r w:rsidRPr="00992199">
              <w:rPr>
                <w:szCs w:val="20"/>
              </w:rPr>
              <w:t xml:space="preserve"> Contribution and the Peatinvest Contribution</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Corporate Governance Charter</w:t>
            </w:r>
          </w:p>
        </w:tc>
        <w:tc>
          <w:tcPr>
            <w:tcW w:w="5632" w:type="dxa"/>
            <w:shd w:val="clear" w:color="auto" w:fill="auto"/>
          </w:tcPr>
          <w:p w:rsidR="002E1586" w:rsidRPr="00992199" w:rsidRDefault="002E1586" w:rsidP="00BB0F52">
            <w:pPr>
              <w:rPr>
                <w:szCs w:val="20"/>
              </w:rPr>
            </w:pPr>
            <w:r w:rsidRPr="00992199">
              <w:rPr>
                <w:szCs w:val="20"/>
              </w:rPr>
              <w:t>the corporate governance charter of the Company approved by its Board of Directors</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Deprez Holding</w:t>
            </w:r>
          </w:p>
        </w:tc>
        <w:tc>
          <w:tcPr>
            <w:tcW w:w="5632" w:type="dxa"/>
            <w:shd w:val="clear" w:color="auto" w:fill="auto"/>
          </w:tcPr>
          <w:p w:rsidR="002E1586" w:rsidRPr="00992199" w:rsidRDefault="002E1586" w:rsidP="00BB0F52">
            <w:pPr>
              <w:rPr>
                <w:szCs w:val="20"/>
              </w:rPr>
            </w:pPr>
            <w:r w:rsidRPr="00992199">
              <w:rPr>
                <w:szCs w:val="20"/>
              </w:rPr>
              <w:t>Deprez Holding NV</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Dividend Received Deduction</w:t>
            </w:r>
          </w:p>
        </w:tc>
        <w:tc>
          <w:tcPr>
            <w:tcW w:w="5632" w:type="dxa"/>
            <w:shd w:val="clear" w:color="auto" w:fill="auto"/>
          </w:tcPr>
          <w:p w:rsidR="002E1586" w:rsidRPr="00992199" w:rsidRDefault="002E1586" w:rsidP="00BB0F52">
            <w:pPr>
              <w:rPr>
                <w:szCs w:val="20"/>
              </w:rPr>
            </w:pPr>
            <w:r w:rsidRPr="00992199">
              <w:rPr>
                <w:szCs w:val="20"/>
              </w:rPr>
              <w:t>the deduction of deduct up to 95% of the gross dividends received from one’s taxable income</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DWB</w:t>
            </w:r>
          </w:p>
        </w:tc>
        <w:tc>
          <w:tcPr>
            <w:tcW w:w="5632" w:type="dxa"/>
            <w:shd w:val="clear" w:color="auto" w:fill="auto"/>
          </w:tcPr>
          <w:p w:rsidR="002E1586" w:rsidRPr="00992199" w:rsidRDefault="002E1586" w:rsidP="00BB0F52">
            <w:pPr>
              <w:rPr>
                <w:szCs w:val="20"/>
              </w:rPr>
            </w:pPr>
            <w:r w:rsidRPr="00992199">
              <w:rPr>
                <w:szCs w:val="20"/>
              </w:rPr>
              <w:t xml:space="preserve">De Weide </w:t>
            </w:r>
            <w:smartTag w:uri="urn:schemas-microsoft-com:office:smarttags" w:element="place">
              <w:smartTag w:uri="urn:schemas-microsoft-com:office:smarttags" w:element="City">
                <w:r w:rsidRPr="00992199">
                  <w:rPr>
                    <w:szCs w:val="20"/>
                  </w:rPr>
                  <w:t>Blik</w:t>
                </w:r>
              </w:smartTag>
              <w:r w:rsidRPr="00992199">
                <w:rPr>
                  <w:szCs w:val="20"/>
                </w:rPr>
                <w:t xml:space="preserve"> </w:t>
              </w:r>
              <w:smartTag w:uri="urn:schemas-microsoft-com:office:smarttags" w:element="State">
                <w:r w:rsidRPr="00992199">
                  <w:rPr>
                    <w:szCs w:val="20"/>
                  </w:rPr>
                  <w:t>NV</w:t>
                </w:r>
              </w:smartTag>
            </w:smartTag>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DWB Demerger</w:t>
            </w:r>
          </w:p>
        </w:tc>
        <w:tc>
          <w:tcPr>
            <w:tcW w:w="5632" w:type="dxa"/>
            <w:shd w:val="clear" w:color="auto" w:fill="auto"/>
          </w:tcPr>
          <w:p w:rsidR="002E1586" w:rsidRPr="00992199" w:rsidRDefault="002E1586" w:rsidP="00BB0F52">
            <w:pPr>
              <w:rPr>
                <w:szCs w:val="20"/>
              </w:rPr>
            </w:pPr>
            <w:r w:rsidRPr="00992199">
              <w:rPr>
                <w:szCs w:val="20"/>
              </w:rPr>
              <w:t xml:space="preserve">the partial demerger of DWB whereby all shares of </w:t>
            </w:r>
            <w:r>
              <w:rPr>
                <w:szCs w:val="20"/>
              </w:rPr>
              <w:t>Univeg</w:t>
            </w:r>
            <w:r w:rsidRPr="00992199">
              <w:rPr>
                <w:szCs w:val="20"/>
              </w:rPr>
              <w:t xml:space="preserve"> held by DWB will be transferred to </w:t>
            </w:r>
            <w:r>
              <w:rPr>
                <w:szCs w:val="20"/>
              </w:rPr>
              <w:t>Greenyard Foods</w:t>
            </w:r>
            <w:r w:rsidRPr="00992199">
              <w:rPr>
                <w:szCs w:val="20"/>
              </w:rPr>
              <w:t xml:space="preserve"> and </w:t>
            </w:r>
            <w:r>
              <w:rPr>
                <w:szCs w:val="20"/>
              </w:rPr>
              <w:t>Greenyard Foods</w:t>
            </w:r>
            <w:r w:rsidRPr="00992199">
              <w:rPr>
                <w:szCs w:val="20"/>
              </w:rPr>
              <w:t xml:space="preserve"> will issue New Shares to the shareholders of DWB</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EBITDA</w:t>
            </w:r>
          </w:p>
        </w:tc>
        <w:tc>
          <w:tcPr>
            <w:tcW w:w="5632" w:type="dxa"/>
            <w:shd w:val="clear" w:color="auto" w:fill="auto"/>
          </w:tcPr>
          <w:p w:rsidR="002E1586" w:rsidRPr="00992199" w:rsidRDefault="002E1586" w:rsidP="00BB0F52">
            <w:pPr>
              <w:rPr>
                <w:szCs w:val="20"/>
              </w:rPr>
            </w:pPr>
            <w:r w:rsidRPr="00992199">
              <w:rPr>
                <w:szCs w:val="20"/>
              </w:rPr>
              <w:t>Earnings Before Interest, Taxes, Depreciation and Amortisation</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EEA</w:t>
            </w:r>
          </w:p>
        </w:tc>
        <w:tc>
          <w:tcPr>
            <w:tcW w:w="5632" w:type="dxa"/>
            <w:shd w:val="clear" w:color="auto" w:fill="auto"/>
          </w:tcPr>
          <w:p w:rsidR="002E1586" w:rsidRPr="00992199" w:rsidRDefault="002E1586" w:rsidP="00BB0F52">
            <w:pPr>
              <w:rPr>
                <w:szCs w:val="20"/>
              </w:rPr>
            </w:pPr>
            <w:r w:rsidRPr="00992199">
              <w:rPr>
                <w:szCs w:val="20"/>
              </w:rPr>
              <w:t>the European Economic Area</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EWT</w:t>
            </w:r>
          </w:p>
        </w:tc>
        <w:tc>
          <w:tcPr>
            <w:tcW w:w="5632" w:type="dxa"/>
            <w:shd w:val="clear" w:color="auto" w:fill="auto"/>
          </w:tcPr>
          <w:p w:rsidR="002E1586" w:rsidRPr="00992199" w:rsidRDefault="002E1586" w:rsidP="00BB0F52">
            <w:pPr>
              <w:rPr>
                <w:szCs w:val="20"/>
              </w:rPr>
            </w:pPr>
            <w:r w:rsidRPr="00992199">
              <w:rPr>
                <w:szCs w:val="20"/>
              </w:rPr>
              <w:t>Empire World Trade Group Ltd</w:t>
            </w:r>
          </w:p>
        </w:tc>
      </w:tr>
      <w:tr w:rsidR="002E1586" w:rsidRPr="00992199" w:rsidTr="000E6B03">
        <w:tc>
          <w:tcPr>
            <w:tcW w:w="3613" w:type="dxa"/>
            <w:shd w:val="clear" w:color="auto" w:fill="auto"/>
          </w:tcPr>
          <w:p w:rsidR="002E1586" w:rsidRPr="00992199" w:rsidRDefault="002E1586" w:rsidP="00BB0F52">
            <w:pPr>
              <w:rPr>
                <w:b/>
                <w:szCs w:val="20"/>
              </w:rPr>
            </w:pPr>
            <w:r>
              <w:rPr>
                <w:b/>
                <w:szCs w:val="20"/>
              </w:rPr>
              <w:t>Executive Committee</w:t>
            </w:r>
          </w:p>
        </w:tc>
        <w:tc>
          <w:tcPr>
            <w:tcW w:w="5632" w:type="dxa"/>
            <w:shd w:val="clear" w:color="auto" w:fill="auto"/>
          </w:tcPr>
          <w:p w:rsidR="002E1586" w:rsidRPr="00992199" w:rsidRDefault="002E1586" w:rsidP="00BB0F52">
            <w:pPr>
              <w:rPr>
                <w:szCs w:val="20"/>
              </w:rPr>
            </w:pPr>
            <w:r>
              <w:rPr>
                <w:szCs w:val="20"/>
              </w:rPr>
              <w:t xml:space="preserve">the executive committee of Greenyard Foods, which </w:t>
            </w:r>
            <w:r w:rsidRPr="00992199">
              <w:rPr>
                <w:szCs w:val="20"/>
              </w:rPr>
              <w:t>does not qualify as an executive committee</w:t>
            </w:r>
            <w:r>
              <w:rPr>
                <w:szCs w:val="20"/>
              </w:rPr>
              <w:t xml:space="preserve"> (</w:t>
            </w:r>
            <w:r>
              <w:rPr>
                <w:i/>
                <w:szCs w:val="20"/>
              </w:rPr>
              <w:t>directiecomité / comité de direction</w:t>
            </w:r>
            <w:r>
              <w:rPr>
                <w:szCs w:val="20"/>
              </w:rPr>
              <w:t>)</w:t>
            </w:r>
            <w:r w:rsidRPr="00992199">
              <w:rPr>
                <w:szCs w:val="20"/>
              </w:rPr>
              <w:t xml:space="preserve"> in the sense of article 524bis </w:t>
            </w:r>
            <w:r>
              <w:rPr>
                <w:szCs w:val="20"/>
              </w:rPr>
              <w:t>BCC</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FAI</w:t>
            </w:r>
          </w:p>
        </w:tc>
        <w:tc>
          <w:tcPr>
            <w:tcW w:w="5632" w:type="dxa"/>
            <w:shd w:val="clear" w:color="auto" w:fill="auto"/>
          </w:tcPr>
          <w:p w:rsidR="002E1586" w:rsidRPr="00992199" w:rsidRDefault="002E1586" w:rsidP="00BB0F52">
            <w:pPr>
              <w:rPr>
                <w:szCs w:val="20"/>
              </w:rPr>
            </w:pPr>
            <w:r w:rsidRPr="00992199">
              <w:rPr>
                <w:szCs w:val="20"/>
              </w:rPr>
              <w:t>Food and Agriculture Industries N.V.</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Financial Transaction Tax</w:t>
            </w:r>
          </w:p>
        </w:tc>
        <w:tc>
          <w:tcPr>
            <w:tcW w:w="5632" w:type="dxa"/>
            <w:shd w:val="clear" w:color="auto" w:fill="auto"/>
          </w:tcPr>
          <w:p w:rsidR="002E1586" w:rsidRPr="00992199" w:rsidRDefault="002E1586" w:rsidP="00BB0F52">
            <w:pPr>
              <w:rPr>
                <w:szCs w:val="20"/>
              </w:rPr>
            </w:pPr>
            <w:r w:rsidRPr="00992199">
              <w:rPr>
                <w:szCs w:val="20"/>
              </w:rPr>
              <w:t>the common financial transaction tax set out in the proposal for a directive on a common transaction tax adopted by the EU Commission on 14 February 2013</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Food Invest International</w:t>
            </w:r>
          </w:p>
        </w:tc>
        <w:tc>
          <w:tcPr>
            <w:tcW w:w="5632" w:type="dxa"/>
            <w:shd w:val="clear" w:color="auto" w:fill="auto"/>
          </w:tcPr>
          <w:p w:rsidR="002E1586" w:rsidRPr="00992199" w:rsidRDefault="002E1586" w:rsidP="00BB0F52">
            <w:pPr>
              <w:rPr>
                <w:szCs w:val="20"/>
              </w:rPr>
            </w:pPr>
            <w:r w:rsidRPr="00992199">
              <w:rPr>
                <w:szCs w:val="20"/>
              </w:rPr>
              <w:t>Food Invest International NV</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Frozen Division</w:t>
            </w:r>
          </w:p>
        </w:tc>
        <w:tc>
          <w:tcPr>
            <w:tcW w:w="5632" w:type="dxa"/>
            <w:shd w:val="clear" w:color="auto" w:fill="auto"/>
          </w:tcPr>
          <w:p w:rsidR="002E1586" w:rsidRPr="00992199" w:rsidRDefault="002E1586" w:rsidP="00BB0F52">
            <w:pPr>
              <w:rPr>
                <w:szCs w:val="20"/>
              </w:rPr>
            </w:pPr>
            <w:r w:rsidRPr="00992199">
              <w:rPr>
                <w:szCs w:val="20"/>
              </w:rPr>
              <w:t xml:space="preserve">the division of </w:t>
            </w:r>
            <w:r>
              <w:rPr>
                <w:szCs w:val="20"/>
              </w:rPr>
              <w:t>the Greenyard Foods</w:t>
            </w:r>
            <w:r w:rsidRPr="00992199">
              <w:rPr>
                <w:szCs w:val="20"/>
              </w:rPr>
              <w:t xml:space="preserve"> </w:t>
            </w:r>
            <w:r>
              <w:rPr>
                <w:szCs w:val="20"/>
              </w:rPr>
              <w:t xml:space="preserve">Group </w:t>
            </w:r>
            <w:r w:rsidRPr="00992199">
              <w:rPr>
                <w:szCs w:val="20"/>
              </w:rPr>
              <w:t xml:space="preserve">that is specialised in the production of frozen vegetables and ready-to-use vegetable preparations and is known as </w:t>
            </w:r>
            <w:r>
              <w:rPr>
                <w:szCs w:val="20"/>
              </w:rPr>
              <w:t>“</w:t>
            </w:r>
            <w:r w:rsidRPr="00992199">
              <w:rPr>
                <w:szCs w:val="20"/>
              </w:rPr>
              <w:t>Pinguin</w:t>
            </w:r>
            <w:r>
              <w:rPr>
                <w:szCs w:val="20"/>
              </w:rPr>
              <w:t>”</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FSMA</w:t>
            </w:r>
          </w:p>
        </w:tc>
        <w:tc>
          <w:tcPr>
            <w:tcW w:w="5632" w:type="dxa"/>
            <w:shd w:val="clear" w:color="auto" w:fill="auto"/>
          </w:tcPr>
          <w:p w:rsidR="002E1586" w:rsidRPr="00992199" w:rsidRDefault="002E1586" w:rsidP="00BB0F52">
            <w:pPr>
              <w:rPr>
                <w:szCs w:val="20"/>
              </w:rPr>
            </w:pPr>
            <w:r w:rsidRPr="00992199">
              <w:rPr>
                <w:szCs w:val="20"/>
              </w:rPr>
              <w:t>Financial Services and Market Authority, which succeeded the Belgian Banking, Finance and Insurance Commission as the financial regulatory agency for Belgium on 1 April 2011</w:t>
            </w:r>
          </w:p>
        </w:tc>
      </w:tr>
      <w:tr w:rsidR="002E1586" w:rsidRPr="00992199" w:rsidTr="000E6B03">
        <w:tc>
          <w:tcPr>
            <w:tcW w:w="3613" w:type="dxa"/>
            <w:shd w:val="clear" w:color="auto" w:fill="auto"/>
          </w:tcPr>
          <w:p w:rsidR="002E1586" w:rsidRPr="00992199" w:rsidRDefault="002E1586" w:rsidP="00BB0F52">
            <w:pPr>
              <w:rPr>
                <w:b/>
                <w:szCs w:val="20"/>
              </w:rPr>
            </w:pPr>
            <w:r>
              <w:rPr>
                <w:b/>
                <w:szCs w:val="20"/>
              </w:rPr>
              <w:t>GAAP</w:t>
            </w:r>
          </w:p>
        </w:tc>
        <w:tc>
          <w:tcPr>
            <w:tcW w:w="5632" w:type="dxa"/>
            <w:shd w:val="clear" w:color="auto" w:fill="auto"/>
          </w:tcPr>
          <w:p w:rsidR="002E1586" w:rsidRPr="00992199" w:rsidRDefault="002E1586" w:rsidP="00BB0F52">
            <w:pPr>
              <w:rPr>
                <w:szCs w:val="20"/>
              </w:rPr>
            </w:pPr>
            <w:r>
              <w:rPr>
                <w:szCs w:val="20"/>
              </w:rPr>
              <w:t>IFRS and Belgian GAAP</w:t>
            </w:r>
            <w:r w:rsidR="000A4128">
              <w:rPr>
                <w:szCs w:val="20"/>
              </w:rPr>
              <w:t>, as the case may be</w:t>
            </w:r>
          </w:p>
        </w:tc>
      </w:tr>
      <w:tr w:rsidR="002E1586" w:rsidRPr="00992199" w:rsidTr="000E6B03">
        <w:tc>
          <w:tcPr>
            <w:tcW w:w="3613" w:type="dxa"/>
            <w:shd w:val="clear" w:color="auto" w:fill="auto"/>
          </w:tcPr>
          <w:p w:rsidR="002E1586" w:rsidRPr="00992199" w:rsidRDefault="002E1586" w:rsidP="00703C66">
            <w:pPr>
              <w:rPr>
                <w:b/>
                <w:szCs w:val="20"/>
              </w:rPr>
            </w:pPr>
            <w:r>
              <w:rPr>
                <w:b/>
                <w:szCs w:val="20"/>
              </w:rPr>
              <w:t xml:space="preserve">Gimv </w:t>
            </w:r>
            <w:r w:rsidRPr="00992199">
              <w:rPr>
                <w:b/>
                <w:szCs w:val="20"/>
              </w:rPr>
              <w:t>Subordinated Loan</w:t>
            </w:r>
          </w:p>
        </w:tc>
        <w:tc>
          <w:tcPr>
            <w:tcW w:w="5632" w:type="dxa"/>
            <w:shd w:val="clear" w:color="auto" w:fill="auto"/>
          </w:tcPr>
          <w:p w:rsidR="002E1586" w:rsidRPr="00992199" w:rsidRDefault="002E1586" w:rsidP="00E53641">
            <w:pPr>
              <w:rPr>
                <w:szCs w:val="20"/>
              </w:rPr>
            </w:pPr>
            <w:r w:rsidRPr="00992199">
              <w:rPr>
                <w:szCs w:val="20"/>
              </w:rPr>
              <w:t>the subordinated loan of 19 July 2011 entered into between the Company and Gimv-XL</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Gimv Warrant Exercise</w:t>
            </w:r>
          </w:p>
        </w:tc>
        <w:tc>
          <w:tcPr>
            <w:tcW w:w="5632" w:type="dxa"/>
            <w:shd w:val="clear" w:color="auto" w:fill="auto"/>
          </w:tcPr>
          <w:p w:rsidR="002E1586" w:rsidRPr="00992199" w:rsidRDefault="002E1586" w:rsidP="00BB0F52">
            <w:pPr>
              <w:rPr>
                <w:szCs w:val="20"/>
              </w:rPr>
            </w:pPr>
            <w:r w:rsidRPr="00992199">
              <w:rPr>
                <w:szCs w:val="20"/>
              </w:rPr>
              <w:t>the exercise by Gimv</w:t>
            </w:r>
            <w:r>
              <w:rPr>
                <w:szCs w:val="20"/>
              </w:rPr>
              <w:t>-XL</w:t>
            </w:r>
            <w:r w:rsidRPr="00992199">
              <w:rPr>
                <w:szCs w:val="20"/>
              </w:rPr>
              <w:t xml:space="preserve"> of 2,400,000 warrants issued by </w:t>
            </w:r>
            <w:r>
              <w:rPr>
                <w:szCs w:val="20"/>
              </w:rPr>
              <w:t>Greenyard Foods</w:t>
            </w:r>
          </w:p>
        </w:tc>
      </w:tr>
      <w:tr w:rsidR="002E1586" w:rsidRPr="000F478D" w:rsidTr="000E6B03">
        <w:tc>
          <w:tcPr>
            <w:tcW w:w="3613" w:type="dxa"/>
            <w:shd w:val="clear" w:color="auto" w:fill="auto"/>
          </w:tcPr>
          <w:p w:rsidR="002E1586" w:rsidRPr="00992199" w:rsidRDefault="002E1586" w:rsidP="00BB0F52">
            <w:pPr>
              <w:rPr>
                <w:b/>
                <w:szCs w:val="20"/>
              </w:rPr>
            </w:pPr>
            <w:r w:rsidRPr="00992199">
              <w:rPr>
                <w:b/>
                <w:szCs w:val="20"/>
              </w:rPr>
              <w:t>Gimv-XL</w:t>
            </w:r>
          </w:p>
        </w:tc>
        <w:tc>
          <w:tcPr>
            <w:tcW w:w="5632" w:type="dxa"/>
            <w:shd w:val="clear" w:color="auto" w:fill="auto"/>
          </w:tcPr>
          <w:p w:rsidR="002E1586" w:rsidRPr="000F478D" w:rsidRDefault="002E1586" w:rsidP="000F478D">
            <w:pPr>
              <w:rPr>
                <w:szCs w:val="20"/>
              </w:rPr>
            </w:pPr>
            <w:smartTag w:uri="urn:schemas-microsoft-com:office:smarttags" w:element="place">
              <w:smartTag w:uri="urn:schemas-microsoft-com:office:smarttags" w:element="City">
                <w:r w:rsidRPr="00992199">
                  <w:rPr>
                    <w:szCs w:val="20"/>
                  </w:rPr>
                  <w:t>Gimv</w:t>
                </w:r>
              </w:smartTag>
              <w:r w:rsidRPr="00992199">
                <w:rPr>
                  <w:szCs w:val="20"/>
                </w:rPr>
                <w:t xml:space="preserve"> </w:t>
              </w:r>
              <w:smartTag w:uri="urn:schemas-microsoft-com:office:smarttags" w:element="State">
                <w:r w:rsidRPr="00992199">
                  <w:rPr>
                    <w:szCs w:val="20"/>
                  </w:rPr>
                  <w:t>NV</w:t>
                </w:r>
              </w:smartTag>
            </w:smartTag>
            <w:r w:rsidRPr="00992199">
              <w:rPr>
                <w:szCs w:val="20"/>
              </w:rPr>
              <w:t xml:space="preserve">, Gimv-XL Partners Invest Comm. </w:t>
            </w:r>
            <w:r w:rsidRPr="000F478D">
              <w:rPr>
                <w:szCs w:val="20"/>
              </w:rPr>
              <w:t>V. and Adviesbeheer Gimv-XL NV</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Gimv-XL Partners</w:t>
            </w:r>
          </w:p>
        </w:tc>
        <w:tc>
          <w:tcPr>
            <w:tcW w:w="5632" w:type="dxa"/>
            <w:shd w:val="clear" w:color="auto" w:fill="auto"/>
          </w:tcPr>
          <w:p w:rsidR="002E1586" w:rsidRPr="00992199" w:rsidRDefault="002E1586" w:rsidP="000F478D">
            <w:pPr>
              <w:rPr>
                <w:szCs w:val="20"/>
              </w:rPr>
            </w:pPr>
            <w:r w:rsidRPr="000F478D">
              <w:rPr>
                <w:szCs w:val="20"/>
              </w:rPr>
              <w:t>Gimv-XL Partners Invest Comm. V.</w:t>
            </w:r>
          </w:p>
        </w:tc>
      </w:tr>
      <w:tr w:rsidR="002E1586" w:rsidRPr="00992199" w:rsidTr="000E6B03">
        <w:tc>
          <w:tcPr>
            <w:tcW w:w="3613" w:type="dxa"/>
            <w:shd w:val="clear" w:color="auto" w:fill="auto"/>
          </w:tcPr>
          <w:p w:rsidR="002E1586" w:rsidRPr="00992199" w:rsidRDefault="002E1586" w:rsidP="00BB0F52">
            <w:pPr>
              <w:rPr>
                <w:b/>
                <w:szCs w:val="20"/>
              </w:rPr>
            </w:pPr>
            <w:r>
              <w:rPr>
                <w:b/>
                <w:szCs w:val="20"/>
              </w:rPr>
              <w:t>Greenyard Foods</w:t>
            </w:r>
            <w:r w:rsidRPr="00992199">
              <w:rPr>
                <w:b/>
                <w:szCs w:val="20"/>
              </w:rPr>
              <w:t xml:space="preserve"> Group</w:t>
            </w:r>
          </w:p>
        </w:tc>
        <w:tc>
          <w:tcPr>
            <w:tcW w:w="5632" w:type="dxa"/>
            <w:shd w:val="clear" w:color="auto" w:fill="auto"/>
          </w:tcPr>
          <w:p w:rsidR="002E1586" w:rsidRPr="00992199" w:rsidRDefault="002E1586" w:rsidP="004A165C">
            <w:pPr>
              <w:rPr>
                <w:szCs w:val="20"/>
              </w:rPr>
            </w:pPr>
            <w:r w:rsidRPr="00992199">
              <w:rPr>
                <w:szCs w:val="20"/>
              </w:rPr>
              <w:t>the Company and its subsidiaries before completion of the C</w:t>
            </w:r>
            <w:r>
              <w:rPr>
                <w:szCs w:val="20"/>
              </w:rPr>
              <w:t>ontributions</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Grower Advance Policy</w:t>
            </w:r>
          </w:p>
        </w:tc>
        <w:tc>
          <w:tcPr>
            <w:tcW w:w="5632" w:type="dxa"/>
            <w:shd w:val="clear" w:color="auto" w:fill="auto"/>
          </w:tcPr>
          <w:p w:rsidR="002E1586" w:rsidRPr="00992199" w:rsidRDefault="002E1586" w:rsidP="00BB0F52">
            <w:pPr>
              <w:rPr>
                <w:szCs w:val="20"/>
              </w:rPr>
            </w:pPr>
            <w:r w:rsidRPr="00992199">
              <w:rPr>
                <w:szCs w:val="20"/>
              </w:rPr>
              <w:t>the guidelines on approval requirements with respect to advances provided to growers/suppliers put in place by the Univeg Group</w:t>
            </w:r>
          </w:p>
        </w:tc>
      </w:tr>
      <w:tr w:rsidR="002E1586" w:rsidRPr="00992199" w:rsidTr="000E6B03">
        <w:tc>
          <w:tcPr>
            <w:tcW w:w="3613" w:type="dxa"/>
            <w:shd w:val="clear" w:color="auto" w:fill="auto"/>
          </w:tcPr>
          <w:p w:rsidR="002E1586" w:rsidRPr="00992199" w:rsidRDefault="002E1586" w:rsidP="00BB0F52">
            <w:pPr>
              <w:rPr>
                <w:b/>
                <w:szCs w:val="20"/>
              </w:rPr>
            </w:pPr>
            <w:r>
              <w:rPr>
                <w:b/>
                <w:szCs w:val="20"/>
              </w:rPr>
              <w:t>Guarantor</w:t>
            </w:r>
          </w:p>
        </w:tc>
        <w:tc>
          <w:tcPr>
            <w:tcW w:w="5632" w:type="dxa"/>
            <w:shd w:val="clear" w:color="auto" w:fill="auto"/>
          </w:tcPr>
          <w:p w:rsidR="002E1586" w:rsidRPr="00992199" w:rsidRDefault="002E1586" w:rsidP="00BB0F52">
            <w:pPr>
              <w:rPr>
                <w:szCs w:val="20"/>
              </w:rPr>
            </w:pPr>
            <w:r>
              <w:rPr>
                <w:szCs w:val="20"/>
              </w:rPr>
              <w:t>Univeg and the Subsidiary Guarantors, as guarantors under the Indenture</w:t>
            </w:r>
          </w:p>
        </w:tc>
      </w:tr>
      <w:tr w:rsidR="002E1586" w:rsidTr="002E1586">
        <w:tc>
          <w:tcPr>
            <w:tcW w:w="3613" w:type="dxa"/>
            <w:shd w:val="clear" w:color="auto" w:fill="auto"/>
          </w:tcPr>
          <w:p w:rsidR="002E1586" w:rsidRDefault="002E1586" w:rsidP="002E1586">
            <w:pPr>
              <w:rPr>
                <w:b/>
                <w:szCs w:val="20"/>
              </w:rPr>
            </w:pPr>
            <w:r>
              <w:rPr>
                <w:b/>
                <w:szCs w:val="20"/>
              </w:rPr>
              <w:t>Hedge Counterparties</w:t>
            </w:r>
          </w:p>
        </w:tc>
        <w:tc>
          <w:tcPr>
            <w:tcW w:w="5632" w:type="dxa"/>
            <w:shd w:val="clear" w:color="auto" w:fill="auto"/>
          </w:tcPr>
          <w:p w:rsidR="002E1586" w:rsidRDefault="002E1586" w:rsidP="002E1586">
            <w:pPr>
              <w:rPr>
                <w:szCs w:val="20"/>
              </w:rPr>
            </w:pPr>
            <w:r>
              <w:rPr>
                <w:szCs w:val="20"/>
              </w:rPr>
              <w:t>the hedge counterparties under certain hedging arrangements with respect to the Intercreditor Agreement</w:t>
            </w:r>
          </w:p>
        </w:tc>
      </w:tr>
      <w:tr w:rsidR="002E1586" w:rsidTr="002E1586">
        <w:tc>
          <w:tcPr>
            <w:tcW w:w="3613" w:type="dxa"/>
            <w:shd w:val="clear" w:color="auto" w:fill="auto"/>
          </w:tcPr>
          <w:p w:rsidR="002E1586" w:rsidRDefault="002E1586" w:rsidP="002E1586">
            <w:pPr>
              <w:rPr>
                <w:b/>
                <w:szCs w:val="20"/>
              </w:rPr>
            </w:pPr>
            <w:r>
              <w:rPr>
                <w:b/>
                <w:szCs w:val="20"/>
              </w:rPr>
              <w:t>Hedging Liabilities</w:t>
            </w:r>
          </w:p>
        </w:tc>
        <w:tc>
          <w:tcPr>
            <w:tcW w:w="5632" w:type="dxa"/>
            <w:shd w:val="clear" w:color="auto" w:fill="auto"/>
          </w:tcPr>
          <w:p w:rsidR="002E1586" w:rsidRDefault="002E1586" w:rsidP="002E1586">
            <w:pPr>
              <w:rPr>
                <w:szCs w:val="20"/>
              </w:rPr>
            </w:pPr>
            <w:r>
              <w:rPr>
                <w:szCs w:val="20"/>
              </w:rPr>
              <w:t>all present and future liabilities and obligations with respect to the hedging agreements entered with a Hedge Counterparty</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IAS</w:t>
            </w:r>
          </w:p>
        </w:tc>
        <w:tc>
          <w:tcPr>
            <w:tcW w:w="5632" w:type="dxa"/>
            <w:shd w:val="clear" w:color="auto" w:fill="auto"/>
          </w:tcPr>
          <w:p w:rsidR="002E1586" w:rsidRPr="00992199" w:rsidRDefault="002E1586" w:rsidP="00BB0F52">
            <w:pPr>
              <w:rPr>
                <w:szCs w:val="20"/>
              </w:rPr>
            </w:pPr>
            <w:r w:rsidRPr="00992199">
              <w:rPr>
                <w:szCs w:val="20"/>
              </w:rPr>
              <w:t>International Accounting Standards</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IFRS</w:t>
            </w:r>
          </w:p>
        </w:tc>
        <w:tc>
          <w:tcPr>
            <w:tcW w:w="5632" w:type="dxa"/>
            <w:shd w:val="clear" w:color="auto" w:fill="auto"/>
          </w:tcPr>
          <w:p w:rsidR="002E1586" w:rsidRPr="00992199" w:rsidRDefault="002E1586" w:rsidP="00BB0F52">
            <w:pPr>
              <w:rPr>
                <w:szCs w:val="20"/>
              </w:rPr>
            </w:pPr>
            <w:r w:rsidRPr="00992199">
              <w:rPr>
                <w:szCs w:val="20"/>
              </w:rPr>
              <w:t>International Financing Reporting Standards, as adopted by the EU</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Indenture</w:t>
            </w:r>
          </w:p>
        </w:tc>
        <w:tc>
          <w:tcPr>
            <w:tcW w:w="5632" w:type="dxa"/>
            <w:shd w:val="clear" w:color="auto" w:fill="auto"/>
          </w:tcPr>
          <w:p w:rsidR="002E1586" w:rsidRPr="00992199" w:rsidRDefault="002E1586" w:rsidP="00BB0F52">
            <w:pPr>
              <w:rPr>
                <w:szCs w:val="20"/>
              </w:rPr>
            </w:pPr>
            <w:r w:rsidRPr="00B00545">
              <w:rPr>
                <w:szCs w:val="20"/>
              </w:rPr>
              <w:t>an indenture among Univeg Holding, Univeg, the guarantors party thereto, Citibank, N.A., London Branch, as trustee, principal paying agent and transfer agent, Citigroup Global Markets Deutschland AG, as registrar and ING Bank NV, as security agent</w:t>
            </w:r>
            <w:r>
              <w:rPr>
                <w:szCs w:val="20"/>
              </w:rPr>
              <w:t>,</w:t>
            </w:r>
            <w:r w:rsidRPr="00B00545">
              <w:rPr>
                <w:szCs w:val="20"/>
              </w:rPr>
              <w:t xml:space="preserve"> </w:t>
            </w:r>
            <w:r>
              <w:rPr>
                <w:szCs w:val="20"/>
              </w:rPr>
              <w:t>relating to the Notes</w:t>
            </w:r>
          </w:p>
        </w:tc>
      </w:tr>
      <w:tr w:rsidR="002E1586" w:rsidRPr="00992199" w:rsidTr="002E1586">
        <w:tc>
          <w:tcPr>
            <w:tcW w:w="3613" w:type="dxa"/>
            <w:shd w:val="clear" w:color="auto" w:fill="auto"/>
          </w:tcPr>
          <w:p w:rsidR="002E1586" w:rsidRPr="00992199" w:rsidRDefault="002E1586" w:rsidP="002E1586">
            <w:pPr>
              <w:rPr>
                <w:b/>
                <w:szCs w:val="20"/>
              </w:rPr>
            </w:pPr>
            <w:r>
              <w:rPr>
                <w:b/>
                <w:szCs w:val="20"/>
              </w:rPr>
              <w:t>Intercreditor Agreement</w:t>
            </w:r>
          </w:p>
        </w:tc>
        <w:tc>
          <w:tcPr>
            <w:tcW w:w="5632" w:type="dxa"/>
            <w:shd w:val="clear" w:color="auto" w:fill="auto"/>
          </w:tcPr>
          <w:p w:rsidR="002E1586" w:rsidRPr="00B00545" w:rsidRDefault="002E1586" w:rsidP="002E1586">
            <w:pPr>
              <w:rPr>
                <w:szCs w:val="20"/>
              </w:rPr>
            </w:pPr>
            <w:r>
              <w:rPr>
                <w:szCs w:val="20"/>
              </w:rPr>
              <w:t>the intercreditor agreement entered into on 15 May 2013 between Univeg Holding, the Guarantors, the lenders under the Revolving Credit Facility, the trustee on behalf of itself and the holders of the Notes, the hedge counterparties under certain hedging arrangements and ING Bank NV as security agent</w:t>
            </w:r>
          </w:p>
        </w:tc>
      </w:tr>
      <w:tr w:rsidR="002E1586" w:rsidRPr="00992199" w:rsidTr="000E6B03">
        <w:tc>
          <w:tcPr>
            <w:tcW w:w="3613" w:type="dxa"/>
            <w:shd w:val="clear" w:color="auto" w:fill="auto"/>
          </w:tcPr>
          <w:p w:rsidR="002E1586" w:rsidRPr="00992199" w:rsidRDefault="002E1586" w:rsidP="00BB0F52">
            <w:pPr>
              <w:rPr>
                <w:b/>
                <w:szCs w:val="20"/>
              </w:rPr>
            </w:pPr>
            <w:r>
              <w:rPr>
                <w:b/>
                <w:szCs w:val="20"/>
              </w:rPr>
              <w:t>Joint Demerger Proposal</w:t>
            </w:r>
          </w:p>
        </w:tc>
        <w:tc>
          <w:tcPr>
            <w:tcW w:w="5632" w:type="dxa"/>
            <w:shd w:val="clear" w:color="auto" w:fill="auto"/>
          </w:tcPr>
          <w:p w:rsidR="002E1586" w:rsidRPr="00992199" w:rsidRDefault="002E1586" w:rsidP="000508AB">
            <w:pPr>
              <w:rPr>
                <w:szCs w:val="20"/>
              </w:rPr>
            </w:pPr>
            <w:r w:rsidRPr="00992199">
              <w:rPr>
                <w:szCs w:val="20"/>
              </w:rPr>
              <w:t xml:space="preserve">the </w:t>
            </w:r>
            <w:r>
              <w:rPr>
                <w:szCs w:val="20"/>
              </w:rPr>
              <w:t>joint demerger proposal</w:t>
            </w:r>
            <w:r w:rsidRPr="00992199">
              <w:rPr>
                <w:szCs w:val="20"/>
              </w:rPr>
              <w:t xml:space="preserve"> relating to the DWB Demerger filed with the commercial registries of </w:t>
            </w:r>
            <w:smartTag w:uri="urn:schemas-microsoft-com:office:smarttags" w:element="City">
              <w:r w:rsidRPr="00992199">
                <w:rPr>
                  <w:szCs w:val="20"/>
                </w:rPr>
                <w:t>Ghent</w:t>
              </w:r>
            </w:smartTag>
            <w:r w:rsidRPr="00992199">
              <w:rPr>
                <w:szCs w:val="20"/>
              </w:rPr>
              <w:t xml:space="preserve"> and </w:t>
            </w:r>
            <w:smartTag w:uri="urn:schemas-microsoft-com:office:smarttags" w:element="City">
              <w:smartTag w:uri="urn:schemas-microsoft-com:office:smarttags" w:element="place">
                <w:r w:rsidRPr="00992199">
                  <w:rPr>
                    <w:szCs w:val="20"/>
                  </w:rPr>
                  <w:t>Antwerp</w:t>
                </w:r>
              </w:smartTag>
            </w:smartTag>
            <w:r w:rsidRPr="00992199">
              <w:rPr>
                <w:szCs w:val="20"/>
              </w:rPr>
              <w:t xml:space="preserve"> on 23 April 2015 </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Lease Agreement</w:t>
            </w:r>
          </w:p>
        </w:tc>
        <w:tc>
          <w:tcPr>
            <w:tcW w:w="5632" w:type="dxa"/>
            <w:shd w:val="clear" w:color="auto" w:fill="auto"/>
          </w:tcPr>
          <w:p w:rsidR="002E1586" w:rsidRPr="00992199" w:rsidRDefault="002E1586" w:rsidP="00BB0F52">
            <w:pPr>
              <w:rPr>
                <w:szCs w:val="20"/>
              </w:rPr>
            </w:pPr>
            <w:r>
              <w:rPr>
                <w:szCs w:val="20"/>
              </w:rPr>
              <w:t>a</w:t>
            </w:r>
            <w:r w:rsidRPr="005E2A8D">
              <w:rPr>
                <w:szCs w:val="20"/>
              </w:rPr>
              <w:t xml:space="preserve"> lease agreement relating to a property (land and buildings comprising offices and refrigerated warehouses) located in Zabia Wola, Poland has been entered into, as assigned and amended, between ING Lease (Polska) sp. z o.o. and De Weide Blik Poland sp. z o.o.</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Listing Agent</w:t>
            </w:r>
          </w:p>
        </w:tc>
        <w:tc>
          <w:tcPr>
            <w:tcW w:w="5632" w:type="dxa"/>
            <w:shd w:val="clear" w:color="auto" w:fill="auto"/>
          </w:tcPr>
          <w:p w:rsidR="002E1586" w:rsidRPr="00992199" w:rsidRDefault="002E1586" w:rsidP="00BB0F52">
            <w:pPr>
              <w:rPr>
                <w:szCs w:val="20"/>
              </w:rPr>
            </w:pPr>
            <w:r w:rsidRPr="00992199">
              <w:rPr>
                <w:szCs w:val="20"/>
              </w:rPr>
              <w:t>[•]</w:t>
            </w:r>
          </w:p>
        </w:tc>
      </w:tr>
      <w:tr w:rsidR="002E1586" w:rsidRPr="00992199" w:rsidTr="002E1586">
        <w:tc>
          <w:tcPr>
            <w:tcW w:w="3613" w:type="dxa"/>
            <w:shd w:val="clear" w:color="auto" w:fill="auto"/>
          </w:tcPr>
          <w:p w:rsidR="002E1586" w:rsidRPr="00992199" w:rsidRDefault="002E1586" w:rsidP="002E1586">
            <w:pPr>
              <w:rPr>
                <w:b/>
                <w:szCs w:val="20"/>
              </w:rPr>
            </w:pPr>
            <w:r>
              <w:rPr>
                <w:b/>
                <w:szCs w:val="20"/>
              </w:rPr>
              <w:t>Majority Senior Secured Creditors</w:t>
            </w:r>
          </w:p>
        </w:tc>
        <w:tc>
          <w:tcPr>
            <w:tcW w:w="5632" w:type="dxa"/>
            <w:shd w:val="clear" w:color="auto" w:fill="auto"/>
          </w:tcPr>
          <w:p w:rsidR="002E1586" w:rsidRPr="00992199" w:rsidRDefault="002E1586" w:rsidP="002E1586">
            <w:pPr>
              <w:rPr>
                <w:szCs w:val="20"/>
              </w:rPr>
            </w:pPr>
            <w:r>
              <w:rPr>
                <w:szCs w:val="20"/>
              </w:rPr>
              <w:t>the Senior Secured Creditors holding more than 50% of the aggregate (a) principal amoun to fNotes outstanding at that time, (b) aggregate drawn and undrawn commitments in respect of Pari Passu Indebtedness, and (c) certain non-priority hedging</w:t>
            </w:r>
          </w:p>
        </w:tc>
      </w:tr>
      <w:tr w:rsidR="002E1586" w:rsidRPr="00992199" w:rsidTr="002E1586">
        <w:tc>
          <w:tcPr>
            <w:tcW w:w="3613" w:type="dxa"/>
            <w:shd w:val="clear" w:color="auto" w:fill="auto"/>
          </w:tcPr>
          <w:p w:rsidR="002E1586" w:rsidRDefault="002E1586" w:rsidP="002E1586">
            <w:pPr>
              <w:rPr>
                <w:b/>
                <w:szCs w:val="20"/>
              </w:rPr>
            </w:pPr>
            <w:r>
              <w:rPr>
                <w:b/>
                <w:szCs w:val="20"/>
              </w:rPr>
              <w:t>Majority Super Senior Creditors</w:t>
            </w:r>
          </w:p>
        </w:tc>
        <w:tc>
          <w:tcPr>
            <w:tcW w:w="5632" w:type="dxa"/>
            <w:shd w:val="clear" w:color="auto" w:fill="auto"/>
          </w:tcPr>
          <w:p w:rsidR="002E1586" w:rsidRDefault="002E1586" w:rsidP="002E1586">
            <w:pPr>
              <w:rPr>
                <w:szCs w:val="20"/>
              </w:rPr>
            </w:pPr>
            <w:r>
              <w:rPr>
                <w:szCs w:val="20"/>
              </w:rPr>
              <w:t>the Super Senior Creditors holding more than 66 2/3 % of the aggregate (a) commitments under the Revolving Credit Facility, and (b) certain priority hedging</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Marketing and Agency Agreement</w:t>
            </w:r>
          </w:p>
        </w:tc>
        <w:tc>
          <w:tcPr>
            <w:tcW w:w="5632" w:type="dxa"/>
            <w:shd w:val="clear" w:color="auto" w:fill="auto"/>
          </w:tcPr>
          <w:p w:rsidR="002E1586" w:rsidRPr="00992199" w:rsidRDefault="002E1586" w:rsidP="00BB0F52">
            <w:pPr>
              <w:rPr>
                <w:szCs w:val="20"/>
              </w:rPr>
            </w:pPr>
            <w:r w:rsidRPr="00992199">
              <w:rPr>
                <w:szCs w:val="20"/>
              </w:rPr>
              <w:t xml:space="preserve">the five-year marketing and agency agreement entered into between the Univeg Group and Hillken on 19 July 2012 for the sourcing of produce from the </w:t>
            </w:r>
            <w:r>
              <w:rPr>
                <w:szCs w:val="20"/>
              </w:rPr>
              <w:t>Argentinean Operations</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 xml:space="preserve">New </w:t>
            </w:r>
            <w:r>
              <w:rPr>
                <w:b/>
                <w:szCs w:val="20"/>
              </w:rPr>
              <w:t>Shareholders’ agreement</w:t>
            </w:r>
          </w:p>
        </w:tc>
        <w:tc>
          <w:tcPr>
            <w:tcW w:w="5632" w:type="dxa"/>
            <w:shd w:val="clear" w:color="auto" w:fill="auto"/>
          </w:tcPr>
          <w:p w:rsidR="002E1586" w:rsidRPr="00992199" w:rsidRDefault="002E1586" w:rsidP="00BB0F52">
            <w:pPr>
              <w:rPr>
                <w:szCs w:val="20"/>
              </w:rPr>
            </w:pPr>
            <w:r w:rsidRPr="00992199">
              <w:rPr>
                <w:szCs w:val="20"/>
              </w:rPr>
              <w:t xml:space="preserve">the </w:t>
            </w:r>
            <w:r>
              <w:rPr>
                <w:szCs w:val="20"/>
              </w:rPr>
              <w:t>shareholders’ agreement</w:t>
            </w:r>
            <w:r w:rsidRPr="00992199">
              <w:rPr>
                <w:szCs w:val="20"/>
              </w:rPr>
              <w:t xml:space="preserve"> to be entered into between Deprez Holding, </w:t>
            </w:r>
            <w:r>
              <w:rPr>
                <w:szCs w:val="20"/>
              </w:rPr>
              <w:t>Mr Hein Deprez</w:t>
            </w:r>
            <w:r w:rsidRPr="00992199">
              <w:rPr>
                <w:szCs w:val="20"/>
              </w:rPr>
              <w:t xml:space="preserve">, Food Invest International, Gimv-XL and AIF with respect to </w:t>
            </w:r>
            <w:r>
              <w:rPr>
                <w:szCs w:val="20"/>
              </w:rPr>
              <w:t>Greenyard Foods</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New Shares</w:t>
            </w:r>
          </w:p>
        </w:tc>
        <w:tc>
          <w:tcPr>
            <w:tcW w:w="5632" w:type="dxa"/>
            <w:shd w:val="clear" w:color="auto" w:fill="auto"/>
          </w:tcPr>
          <w:p w:rsidR="002E1586" w:rsidRPr="00992199" w:rsidRDefault="002E1586" w:rsidP="00BB0F52">
            <w:pPr>
              <w:rPr>
                <w:szCs w:val="20"/>
              </w:rPr>
            </w:pPr>
            <w:r w:rsidRPr="00992199">
              <w:rPr>
                <w:szCs w:val="20"/>
              </w:rPr>
              <w:t>the new ordinary shares of the Company to be issued in the context of the Transactions</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Notes</w:t>
            </w:r>
          </w:p>
        </w:tc>
        <w:tc>
          <w:tcPr>
            <w:tcW w:w="5632" w:type="dxa"/>
            <w:shd w:val="clear" w:color="auto" w:fill="auto"/>
          </w:tcPr>
          <w:p w:rsidR="002E1586" w:rsidRPr="00992199" w:rsidRDefault="002E1586" w:rsidP="00BB0F52">
            <w:pPr>
              <w:rPr>
                <w:szCs w:val="20"/>
              </w:rPr>
            </w:pPr>
            <w:r>
              <w:rPr>
                <w:szCs w:val="20"/>
              </w:rPr>
              <w:t>Univeg Holding B.V. EUR 285,000,000 7.875% senior secured notes due 2020</w:t>
            </w:r>
          </w:p>
        </w:tc>
      </w:tr>
      <w:tr w:rsidR="002E1586" w:rsidRPr="00992199" w:rsidTr="002E1586">
        <w:tc>
          <w:tcPr>
            <w:tcW w:w="3613" w:type="dxa"/>
            <w:shd w:val="clear" w:color="auto" w:fill="auto"/>
          </w:tcPr>
          <w:p w:rsidR="002E1586" w:rsidRPr="00992199" w:rsidRDefault="002E1586" w:rsidP="002E1586">
            <w:pPr>
              <w:rPr>
                <w:b/>
                <w:szCs w:val="20"/>
              </w:rPr>
            </w:pPr>
            <w:r>
              <w:rPr>
                <w:b/>
                <w:szCs w:val="20"/>
              </w:rPr>
              <w:t>Notes Liabilities</w:t>
            </w:r>
          </w:p>
        </w:tc>
        <w:tc>
          <w:tcPr>
            <w:tcW w:w="5632" w:type="dxa"/>
            <w:shd w:val="clear" w:color="auto" w:fill="auto"/>
          </w:tcPr>
          <w:p w:rsidR="002E1586" w:rsidRDefault="002E1586" w:rsidP="002E1586">
            <w:pPr>
              <w:rPr>
                <w:szCs w:val="20"/>
              </w:rPr>
            </w:pPr>
            <w:r>
              <w:rPr>
                <w:szCs w:val="20"/>
              </w:rPr>
              <w:t>all present and future liabilities and obligations with respect to the Notes</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OFPs</w:t>
            </w:r>
          </w:p>
        </w:tc>
        <w:tc>
          <w:tcPr>
            <w:tcW w:w="5632" w:type="dxa"/>
            <w:shd w:val="clear" w:color="auto" w:fill="auto"/>
          </w:tcPr>
          <w:p w:rsidR="002E1586" w:rsidRPr="00992199" w:rsidRDefault="002E1586" w:rsidP="00BB0F52">
            <w:pPr>
              <w:rPr>
                <w:szCs w:val="20"/>
              </w:rPr>
            </w:pPr>
            <w:r w:rsidRPr="00992199">
              <w:rPr>
                <w:szCs w:val="20"/>
              </w:rPr>
              <w:t xml:space="preserve">organisations for financing of pensions, </w:t>
            </w:r>
            <w:r w:rsidRPr="00992199">
              <w:rPr>
                <w:i/>
                <w:szCs w:val="20"/>
              </w:rPr>
              <w:t>i.e.</w:t>
            </w:r>
            <w:r w:rsidRPr="00992199">
              <w:rPr>
                <w:szCs w:val="20"/>
              </w:rPr>
              <w:t>, Belgian pension funds incorporated under the form of an OFP (</w:t>
            </w:r>
            <w:r w:rsidRPr="00992199">
              <w:rPr>
                <w:i/>
                <w:szCs w:val="20"/>
              </w:rPr>
              <w:t>organismen voor de financiering van pensioenen / organismes de financement de pensions</w:t>
            </w:r>
            <w:r w:rsidRPr="00992199">
              <w:rPr>
                <w:szCs w:val="20"/>
              </w:rPr>
              <w:t>) within the meaning of article 8 of the Belgian Law of 27 October 2006</w:t>
            </w:r>
          </w:p>
        </w:tc>
      </w:tr>
      <w:tr w:rsidR="002E1586" w:rsidRPr="00992199" w:rsidTr="002E1586">
        <w:tc>
          <w:tcPr>
            <w:tcW w:w="3613" w:type="dxa"/>
            <w:shd w:val="clear" w:color="auto" w:fill="auto"/>
          </w:tcPr>
          <w:p w:rsidR="002E1586" w:rsidRPr="00992199" w:rsidRDefault="002E1586" w:rsidP="002E1586">
            <w:pPr>
              <w:rPr>
                <w:b/>
                <w:szCs w:val="20"/>
              </w:rPr>
            </w:pPr>
            <w:r>
              <w:rPr>
                <w:b/>
                <w:szCs w:val="20"/>
              </w:rPr>
              <w:t>Pari Passu Indebtedness</w:t>
            </w:r>
          </w:p>
        </w:tc>
        <w:tc>
          <w:tcPr>
            <w:tcW w:w="5632" w:type="dxa"/>
            <w:shd w:val="clear" w:color="auto" w:fill="auto"/>
          </w:tcPr>
          <w:p w:rsidR="002E1586" w:rsidRPr="00992199" w:rsidRDefault="002E1586" w:rsidP="002E1586">
            <w:pPr>
              <w:rPr>
                <w:szCs w:val="20"/>
              </w:rPr>
            </w:pPr>
            <w:r>
              <w:rPr>
                <w:szCs w:val="20"/>
              </w:rPr>
              <w:t>future pari passu indebtedness under the Intercreditor Agreement</w:t>
            </w:r>
          </w:p>
        </w:tc>
      </w:tr>
      <w:tr w:rsidR="002E1586" w:rsidRPr="00992199" w:rsidTr="002E1586">
        <w:tc>
          <w:tcPr>
            <w:tcW w:w="3613" w:type="dxa"/>
            <w:shd w:val="clear" w:color="auto" w:fill="auto"/>
          </w:tcPr>
          <w:p w:rsidR="002E1586" w:rsidRDefault="002E1586" w:rsidP="002E1586">
            <w:pPr>
              <w:rPr>
                <w:b/>
                <w:szCs w:val="20"/>
              </w:rPr>
            </w:pPr>
            <w:r>
              <w:rPr>
                <w:b/>
                <w:szCs w:val="20"/>
              </w:rPr>
              <w:t>Pari Passu Liabilities</w:t>
            </w:r>
          </w:p>
        </w:tc>
        <w:tc>
          <w:tcPr>
            <w:tcW w:w="5632" w:type="dxa"/>
            <w:shd w:val="clear" w:color="auto" w:fill="auto"/>
          </w:tcPr>
          <w:p w:rsidR="002E1586" w:rsidRDefault="002E1586" w:rsidP="002E1586">
            <w:pPr>
              <w:rPr>
                <w:szCs w:val="20"/>
              </w:rPr>
            </w:pPr>
            <w:r>
              <w:rPr>
                <w:szCs w:val="20"/>
              </w:rPr>
              <w:t>all present and future liabilities and obligations with respect to the documents evidencing Pari Passu Indebtedness</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Partial Demerger and Contribution Agreement</w:t>
            </w:r>
          </w:p>
        </w:tc>
        <w:tc>
          <w:tcPr>
            <w:tcW w:w="5632" w:type="dxa"/>
            <w:shd w:val="clear" w:color="auto" w:fill="auto"/>
          </w:tcPr>
          <w:p w:rsidR="002E1586" w:rsidRPr="00992199" w:rsidRDefault="002E1586" w:rsidP="00BB0F52">
            <w:pPr>
              <w:rPr>
                <w:szCs w:val="20"/>
              </w:rPr>
            </w:pPr>
            <w:r w:rsidRPr="00992199">
              <w:rPr>
                <w:szCs w:val="20"/>
              </w:rPr>
              <w:t xml:space="preserve">the agreement relating to the DWB Demerger, the </w:t>
            </w:r>
            <w:r>
              <w:rPr>
                <w:szCs w:val="20"/>
              </w:rPr>
              <w:t>Univeg</w:t>
            </w:r>
            <w:r w:rsidRPr="00992199">
              <w:rPr>
                <w:szCs w:val="20"/>
              </w:rPr>
              <w:t xml:space="preserve"> Contribution and the Peatinvest Contribution entered into on [•] May 2015</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Peatinvest</w:t>
            </w:r>
          </w:p>
        </w:tc>
        <w:tc>
          <w:tcPr>
            <w:tcW w:w="5632" w:type="dxa"/>
            <w:shd w:val="clear" w:color="auto" w:fill="auto"/>
          </w:tcPr>
          <w:p w:rsidR="002E1586" w:rsidRPr="00992199" w:rsidRDefault="002E1586" w:rsidP="00BB0F52">
            <w:pPr>
              <w:rPr>
                <w:szCs w:val="20"/>
              </w:rPr>
            </w:pPr>
            <w:smartTag w:uri="urn:schemas-microsoft-com:office:smarttags" w:element="place">
              <w:smartTag w:uri="urn:schemas-microsoft-com:office:smarttags" w:element="City">
                <w:r w:rsidRPr="00992199">
                  <w:rPr>
                    <w:szCs w:val="20"/>
                  </w:rPr>
                  <w:t>Peatinvest</w:t>
                </w:r>
              </w:smartTag>
              <w:r w:rsidRPr="00992199">
                <w:rPr>
                  <w:szCs w:val="20"/>
                </w:rPr>
                <w:t xml:space="preserve"> </w:t>
              </w:r>
              <w:smartTag w:uri="urn:schemas-microsoft-com:office:smarttags" w:element="State">
                <w:r w:rsidRPr="00992199">
                  <w:rPr>
                    <w:szCs w:val="20"/>
                  </w:rPr>
                  <w:t>NV</w:t>
                </w:r>
              </w:smartTag>
            </w:smartTag>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Peatinvest Contribution</w:t>
            </w:r>
          </w:p>
        </w:tc>
        <w:tc>
          <w:tcPr>
            <w:tcW w:w="5632" w:type="dxa"/>
            <w:shd w:val="clear" w:color="auto" w:fill="auto"/>
          </w:tcPr>
          <w:p w:rsidR="002E1586" w:rsidRPr="00992199" w:rsidRDefault="002E1586" w:rsidP="00BB0F52">
            <w:pPr>
              <w:rPr>
                <w:szCs w:val="20"/>
              </w:rPr>
            </w:pPr>
            <w:r w:rsidRPr="00992199">
              <w:rPr>
                <w:szCs w:val="20"/>
              </w:rPr>
              <w:t xml:space="preserve">the contribution in kind by all Peatinvest shareholders of the entire share capital of Peatinvest to </w:t>
            </w:r>
            <w:r>
              <w:rPr>
                <w:szCs w:val="20"/>
              </w:rPr>
              <w:t>Greenyard Foods</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Peatinvest Group</w:t>
            </w:r>
          </w:p>
        </w:tc>
        <w:tc>
          <w:tcPr>
            <w:tcW w:w="5632" w:type="dxa"/>
            <w:shd w:val="clear" w:color="auto" w:fill="auto"/>
          </w:tcPr>
          <w:p w:rsidR="002E1586" w:rsidRPr="00992199" w:rsidRDefault="002E1586" w:rsidP="00BB0F52">
            <w:pPr>
              <w:rPr>
                <w:szCs w:val="20"/>
              </w:rPr>
            </w:pPr>
            <w:r w:rsidRPr="00992199">
              <w:rPr>
                <w:szCs w:val="20"/>
              </w:rPr>
              <w:t>Peatinvest and its subsidiaries</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Project Roots</w:t>
            </w:r>
          </w:p>
        </w:tc>
        <w:tc>
          <w:tcPr>
            <w:tcW w:w="5632" w:type="dxa"/>
            <w:shd w:val="clear" w:color="auto" w:fill="auto"/>
          </w:tcPr>
          <w:p w:rsidR="002E1586" w:rsidRPr="00992199" w:rsidRDefault="002E1586" w:rsidP="00A07615">
            <w:pPr>
              <w:rPr>
                <w:szCs w:val="20"/>
              </w:rPr>
            </w:pPr>
            <w:r w:rsidRPr="00992199">
              <w:rPr>
                <w:szCs w:val="20"/>
              </w:rPr>
              <w:t>a</w:t>
            </w:r>
            <w:r w:rsidRPr="00A07615">
              <w:rPr>
                <w:szCs w:val="20"/>
              </w:rPr>
              <w:t xml:space="preserve"> reorganisation</w:t>
            </w:r>
            <w:r>
              <w:rPr>
                <w:szCs w:val="20"/>
              </w:rPr>
              <w:t xml:space="preserve"> </w:t>
            </w:r>
            <w:r w:rsidRPr="00992199">
              <w:rPr>
                <w:szCs w:val="20"/>
              </w:rPr>
              <w:t>plan of the Univeg Group the ultimate purpose of which was to accelerate recovery and prepare the Univeg Group for future growth</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Prospectus</w:t>
            </w:r>
          </w:p>
        </w:tc>
        <w:tc>
          <w:tcPr>
            <w:tcW w:w="5632" w:type="dxa"/>
            <w:shd w:val="clear" w:color="auto" w:fill="auto"/>
          </w:tcPr>
          <w:p w:rsidR="002E1586" w:rsidRPr="00992199" w:rsidRDefault="002E1586" w:rsidP="00BB0F52">
            <w:pPr>
              <w:rPr>
                <w:szCs w:val="20"/>
              </w:rPr>
            </w:pPr>
            <w:r w:rsidRPr="00992199">
              <w:rPr>
                <w:szCs w:val="20"/>
              </w:rPr>
              <w:t>this prospectus for the listing of the New Shares approved by the FSMA on [16] June 2015</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Prospectus Directive</w:t>
            </w:r>
          </w:p>
        </w:tc>
        <w:tc>
          <w:tcPr>
            <w:tcW w:w="5632" w:type="dxa"/>
            <w:shd w:val="clear" w:color="auto" w:fill="auto"/>
          </w:tcPr>
          <w:p w:rsidR="002E1586" w:rsidRPr="00992199" w:rsidRDefault="002E1586" w:rsidP="00BB0F52">
            <w:pPr>
              <w:rPr>
                <w:szCs w:val="20"/>
              </w:rPr>
            </w:pPr>
            <w:r w:rsidRPr="00992199">
              <w:rPr>
                <w:szCs w:val="20"/>
              </w:rPr>
              <w:t>Directive 2003/71/EC of the European Parliament and of the Council of the European Union (as amended, including Directive 2010/73/EU)</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Prospectus Law</w:t>
            </w:r>
          </w:p>
        </w:tc>
        <w:tc>
          <w:tcPr>
            <w:tcW w:w="5632" w:type="dxa"/>
            <w:shd w:val="clear" w:color="auto" w:fill="auto"/>
          </w:tcPr>
          <w:p w:rsidR="002E1586" w:rsidRPr="00992199" w:rsidRDefault="002E1586" w:rsidP="00BB0F52">
            <w:pPr>
              <w:rPr>
                <w:szCs w:val="20"/>
              </w:rPr>
            </w:pPr>
            <w:r w:rsidRPr="00992199">
              <w:rPr>
                <w:szCs w:val="20"/>
              </w:rPr>
              <w:t>the law of 16 June 2006 on the public offering of securities and the admission of securities to trading on a regulated market as amended</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QMCU</w:t>
            </w:r>
          </w:p>
        </w:tc>
        <w:tc>
          <w:tcPr>
            <w:tcW w:w="5632" w:type="dxa"/>
            <w:shd w:val="clear" w:color="auto" w:fill="auto"/>
          </w:tcPr>
          <w:p w:rsidR="002E1586" w:rsidRPr="00992199" w:rsidRDefault="002E1586" w:rsidP="00BB0F52">
            <w:pPr>
              <w:rPr>
                <w:szCs w:val="20"/>
              </w:rPr>
            </w:pPr>
            <w:r w:rsidRPr="00992199">
              <w:rPr>
                <w:szCs w:val="20"/>
              </w:rPr>
              <w:t>the quality management coordination unit of the Univeg Group</w:t>
            </w:r>
          </w:p>
        </w:tc>
      </w:tr>
      <w:tr w:rsidR="002E1586" w:rsidRPr="00992199" w:rsidTr="000E6B03">
        <w:tc>
          <w:tcPr>
            <w:tcW w:w="3613" w:type="dxa"/>
            <w:shd w:val="clear" w:color="auto" w:fill="auto"/>
          </w:tcPr>
          <w:p w:rsidR="002E1586" w:rsidRPr="00992199" w:rsidRDefault="002E1586" w:rsidP="00837AA6">
            <w:pPr>
              <w:rPr>
                <w:b/>
                <w:szCs w:val="20"/>
              </w:rPr>
            </w:pPr>
            <w:r w:rsidRPr="00992199">
              <w:rPr>
                <w:b/>
                <w:szCs w:val="20"/>
              </w:rPr>
              <w:t>Remuneration and Nomination Committee</w:t>
            </w:r>
          </w:p>
        </w:tc>
        <w:tc>
          <w:tcPr>
            <w:tcW w:w="5632" w:type="dxa"/>
            <w:shd w:val="clear" w:color="auto" w:fill="auto"/>
          </w:tcPr>
          <w:p w:rsidR="002E1586" w:rsidRPr="00992199" w:rsidRDefault="002E1586" w:rsidP="00837AA6">
            <w:pPr>
              <w:rPr>
                <w:szCs w:val="20"/>
              </w:rPr>
            </w:pPr>
            <w:r w:rsidRPr="00992199">
              <w:rPr>
                <w:szCs w:val="20"/>
              </w:rPr>
              <w:t>the remuneration and nomination committee of the Company from time to time appointed by the Board of Directors in accordance with the Articles of Association</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Revolving Credit Facility</w:t>
            </w:r>
          </w:p>
        </w:tc>
        <w:tc>
          <w:tcPr>
            <w:tcW w:w="5632" w:type="dxa"/>
            <w:shd w:val="clear" w:color="auto" w:fill="auto"/>
          </w:tcPr>
          <w:p w:rsidR="002E1586" w:rsidRPr="00992199" w:rsidRDefault="002E1586" w:rsidP="00723DC7">
            <w:pPr>
              <w:rPr>
                <w:szCs w:val="20"/>
              </w:rPr>
            </w:pPr>
            <w:r w:rsidRPr="009875CA">
              <w:rPr>
                <w:szCs w:val="20"/>
              </w:rPr>
              <w:t xml:space="preserve">a </w:t>
            </w:r>
            <w:r>
              <w:rPr>
                <w:szCs w:val="20"/>
              </w:rPr>
              <w:t>EUR </w:t>
            </w:r>
            <w:r w:rsidRPr="009875CA">
              <w:rPr>
                <w:szCs w:val="20"/>
              </w:rPr>
              <w:t>90,000,000 super senior multicurrency revolving facility agreement</w:t>
            </w:r>
            <w:r>
              <w:rPr>
                <w:szCs w:val="20"/>
              </w:rPr>
              <w:t xml:space="preserve"> entered into by the Univeg Group</w:t>
            </w:r>
          </w:p>
        </w:tc>
      </w:tr>
      <w:tr w:rsidR="002E1586" w:rsidRPr="00992199" w:rsidTr="002E1586">
        <w:tc>
          <w:tcPr>
            <w:tcW w:w="3613" w:type="dxa"/>
            <w:shd w:val="clear" w:color="auto" w:fill="auto"/>
          </w:tcPr>
          <w:p w:rsidR="002E1586" w:rsidRPr="00992199" w:rsidRDefault="002E1586" w:rsidP="002E1586">
            <w:pPr>
              <w:rPr>
                <w:b/>
                <w:szCs w:val="20"/>
              </w:rPr>
            </w:pPr>
            <w:r>
              <w:rPr>
                <w:b/>
                <w:szCs w:val="20"/>
              </w:rPr>
              <w:t>Revolving Facilities Liabilities</w:t>
            </w:r>
          </w:p>
        </w:tc>
        <w:tc>
          <w:tcPr>
            <w:tcW w:w="5632" w:type="dxa"/>
            <w:shd w:val="clear" w:color="auto" w:fill="auto"/>
          </w:tcPr>
          <w:p w:rsidR="002E1586" w:rsidRPr="009875CA" w:rsidRDefault="002E1586" w:rsidP="002E1586">
            <w:pPr>
              <w:rPr>
                <w:szCs w:val="20"/>
              </w:rPr>
            </w:pPr>
            <w:r>
              <w:rPr>
                <w:szCs w:val="20"/>
              </w:rPr>
              <w:t>the right and priority of payment of all present and future liabilities and obligations with respect to the Revolving Credit Facility</w:t>
            </w:r>
          </w:p>
        </w:tc>
      </w:tr>
      <w:tr w:rsidR="002E1586" w:rsidRPr="00992199" w:rsidTr="000E6B03">
        <w:tc>
          <w:tcPr>
            <w:tcW w:w="3613" w:type="dxa"/>
            <w:shd w:val="clear" w:color="auto" w:fill="auto"/>
          </w:tcPr>
          <w:p w:rsidR="002E1586" w:rsidRPr="00992199" w:rsidRDefault="002E1586" w:rsidP="00BB0F52">
            <w:pPr>
              <w:rPr>
                <w:b/>
                <w:szCs w:val="20"/>
              </w:rPr>
            </w:pPr>
            <w:smartTag w:uri="urn:schemas-microsoft-com:office:smarttags" w:element="City">
              <w:smartTag w:uri="urn:schemas-microsoft-com:office:smarttags" w:element="place">
                <w:r w:rsidRPr="00992199">
                  <w:rPr>
                    <w:b/>
                    <w:szCs w:val="20"/>
                  </w:rPr>
                  <w:t>Sale</w:t>
                </w:r>
              </w:smartTag>
            </w:smartTag>
            <w:r w:rsidRPr="00992199">
              <w:rPr>
                <w:b/>
                <w:szCs w:val="20"/>
              </w:rPr>
              <w:t>, Marketing and Distribution Agreement</w:t>
            </w:r>
          </w:p>
        </w:tc>
        <w:tc>
          <w:tcPr>
            <w:tcW w:w="5632" w:type="dxa"/>
            <w:shd w:val="clear" w:color="auto" w:fill="auto"/>
          </w:tcPr>
          <w:p w:rsidR="002E1586" w:rsidRPr="00992199" w:rsidRDefault="002E1586" w:rsidP="00BB0F52">
            <w:pPr>
              <w:rPr>
                <w:szCs w:val="20"/>
              </w:rPr>
            </w:pPr>
            <w:r w:rsidRPr="00992199">
              <w:rPr>
                <w:szCs w:val="20"/>
              </w:rPr>
              <w:t>the five year sale, marketing and distribution agreement between the Univeg Group and TFFG entered into on 17 December 2014</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 xml:space="preserve">Secondary </w:t>
            </w:r>
            <w:smartTag w:uri="urn:schemas-microsoft-com:office:smarttags" w:element="City">
              <w:smartTag w:uri="urn:schemas-microsoft-com:office:smarttags" w:element="place">
                <w:r w:rsidRPr="00992199">
                  <w:rPr>
                    <w:b/>
                    <w:szCs w:val="20"/>
                  </w:rPr>
                  <w:t>Sale</w:t>
                </w:r>
              </w:smartTag>
            </w:smartTag>
          </w:p>
        </w:tc>
        <w:tc>
          <w:tcPr>
            <w:tcW w:w="5632" w:type="dxa"/>
            <w:shd w:val="clear" w:color="auto" w:fill="auto"/>
          </w:tcPr>
          <w:p w:rsidR="002E1586" w:rsidRPr="00992199" w:rsidRDefault="002E1586" w:rsidP="00BB0F52">
            <w:pPr>
              <w:rPr>
                <w:szCs w:val="20"/>
              </w:rPr>
            </w:pPr>
            <w:r w:rsidRPr="00992199">
              <w:rPr>
                <w:szCs w:val="20"/>
              </w:rPr>
              <w:t>the sale of Shares by Gimv</w:t>
            </w:r>
            <w:r>
              <w:rPr>
                <w:szCs w:val="20"/>
              </w:rPr>
              <w:t>-XL</w:t>
            </w:r>
            <w:r w:rsidRPr="00992199">
              <w:rPr>
                <w:szCs w:val="20"/>
              </w:rPr>
              <w:t xml:space="preserve"> and Deprez Holding by way of private placement to qualified investors in the EEA, expected to be launched after the completion of the Contributions</w:t>
            </w:r>
          </w:p>
        </w:tc>
      </w:tr>
      <w:tr w:rsidR="002E1586" w:rsidRPr="00992199" w:rsidTr="002E1586">
        <w:tc>
          <w:tcPr>
            <w:tcW w:w="3613" w:type="dxa"/>
            <w:shd w:val="clear" w:color="auto" w:fill="auto"/>
          </w:tcPr>
          <w:p w:rsidR="002E1586" w:rsidRPr="00992199" w:rsidRDefault="002E1586" w:rsidP="002E1586">
            <w:pPr>
              <w:rPr>
                <w:b/>
                <w:szCs w:val="20"/>
              </w:rPr>
            </w:pPr>
            <w:r>
              <w:rPr>
                <w:b/>
                <w:szCs w:val="20"/>
              </w:rPr>
              <w:t>Secured Creditors</w:t>
            </w:r>
          </w:p>
        </w:tc>
        <w:tc>
          <w:tcPr>
            <w:tcW w:w="5632" w:type="dxa"/>
            <w:shd w:val="clear" w:color="auto" w:fill="auto"/>
          </w:tcPr>
          <w:p w:rsidR="002E1586" w:rsidRPr="00992199" w:rsidRDefault="002E1586" w:rsidP="002E1586">
            <w:pPr>
              <w:rPr>
                <w:szCs w:val="20"/>
              </w:rPr>
            </w:pPr>
            <w:r>
              <w:rPr>
                <w:szCs w:val="20"/>
              </w:rPr>
              <w:t>Senior Secured Creditors and Super Senior Creditors</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Securities Act</w:t>
            </w:r>
          </w:p>
        </w:tc>
        <w:tc>
          <w:tcPr>
            <w:tcW w:w="5632" w:type="dxa"/>
            <w:shd w:val="clear" w:color="auto" w:fill="auto"/>
          </w:tcPr>
          <w:p w:rsidR="002E1586" w:rsidRPr="00992199" w:rsidRDefault="002E1586" w:rsidP="00BB0F52">
            <w:pPr>
              <w:rPr>
                <w:szCs w:val="20"/>
              </w:rPr>
            </w:pPr>
            <w:r w:rsidRPr="00992199">
              <w:rPr>
                <w:szCs w:val="20"/>
              </w:rPr>
              <w:t>the United States Securities Act of 1933, as amended</w:t>
            </w:r>
          </w:p>
        </w:tc>
      </w:tr>
      <w:tr w:rsidR="002E1586" w:rsidRPr="00992199" w:rsidTr="002E1586">
        <w:tc>
          <w:tcPr>
            <w:tcW w:w="3613" w:type="dxa"/>
            <w:shd w:val="clear" w:color="auto" w:fill="auto"/>
          </w:tcPr>
          <w:p w:rsidR="002E1586" w:rsidRPr="00992199" w:rsidRDefault="002E1586" w:rsidP="002E1586">
            <w:pPr>
              <w:rPr>
                <w:b/>
                <w:szCs w:val="20"/>
              </w:rPr>
            </w:pPr>
            <w:r>
              <w:rPr>
                <w:b/>
                <w:szCs w:val="20"/>
              </w:rPr>
              <w:t>Senior Secured Creditors</w:t>
            </w:r>
          </w:p>
        </w:tc>
        <w:tc>
          <w:tcPr>
            <w:tcW w:w="5632" w:type="dxa"/>
            <w:shd w:val="clear" w:color="auto" w:fill="auto"/>
          </w:tcPr>
          <w:p w:rsidR="002E1586" w:rsidRPr="00992199" w:rsidRDefault="002E1586" w:rsidP="002E1586">
            <w:pPr>
              <w:rPr>
                <w:szCs w:val="20"/>
              </w:rPr>
            </w:pPr>
            <w:r>
              <w:rPr>
                <w:szCs w:val="20"/>
              </w:rPr>
              <w:t>holders of the Notes and lenders or holders of Pari Passu Indebtedness and certain non-priority Hedge Counterparties under the Intercreditor Agreement</w:t>
            </w:r>
          </w:p>
        </w:tc>
      </w:tr>
      <w:tr w:rsidR="002E1586" w:rsidRPr="00992199" w:rsidTr="002E1586">
        <w:tc>
          <w:tcPr>
            <w:tcW w:w="3613" w:type="dxa"/>
            <w:shd w:val="clear" w:color="auto" w:fill="auto"/>
          </w:tcPr>
          <w:p w:rsidR="002E1586" w:rsidRDefault="002E1586" w:rsidP="002E1586">
            <w:pPr>
              <w:rPr>
                <w:b/>
                <w:szCs w:val="20"/>
              </w:rPr>
            </w:pPr>
            <w:r>
              <w:rPr>
                <w:b/>
                <w:szCs w:val="20"/>
              </w:rPr>
              <w:t>Settlement Agreement</w:t>
            </w:r>
          </w:p>
        </w:tc>
        <w:tc>
          <w:tcPr>
            <w:tcW w:w="5632" w:type="dxa"/>
            <w:shd w:val="clear" w:color="auto" w:fill="auto"/>
          </w:tcPr>
          <w:p w:rsidR="002E1586" w:rsidRDefault="002E1586" w:rsidP="002E1586">
            <w:pPr>
              <w:rPr>
                <w:szCs w:val="20"/>
              </w:rPr>
            </w:pPr>
            <w:r>
              <w:rPr>
                <w:szCs w:val="20"/>
              </w:rPr>
              <w:t xml:space="preserve">the settlement agreement entered into between Chiquita Deutschland GmbH and </w:t>
            </w:r>
            <w:smartTag w:uri="urn:schemas-microsoft-com:office:smarttags" w:element="Street">
              <w:smartTag w:uri="urn:schemas-microsoft-com:office:smarttags" w:element="address">
                <w:r>
                  <w:rPr>
                    <w:szCs w:val="20"/>
                  </w:rPr>
                  <w:t>Univeg BV</w:t>
                </w:r>
              </w:smartTag>
            </w:smartTag>
            <w:r>
              <w:rPr>
                <w:szCs w:val="20"/>
              </w:rPr>
              <w:t xml:space="preserve"> in February 2013</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Shares</w:t>
            </w:r>
          </w:p>
        </w:tc>
        <w:tc>
          <w:tcPr>
            <w:tcW w:w="5632" w:type="dxa"/>
            <w:shd w:val="clear" w:color="auto" w:fill="auto"/>
          </w:tcPr>
          <w:p w:rsidR="002E1586" w:rsidRPr="00992199" w:rsidRDefault="002E1586" w:rsidP="00BB0F52">
            <w:pPr>
              <w:rPr>
                <w:szCs w:val="20"/>
              </w:rPr>
            </w:pPr>
            <w:r w:rsidRPr="00992199">
              <w:rPr>
                <w:szCs w:val="20"/>
              </w:rPr>
              <w:t>the shares of the Company</w:t>
            </w:r>
          </w:p>
        </w:tc>
      </w:tr>
      <w:tr w:rsidR="002E1586" w:rsidRPr="00992199" w:rsidTr="000E6B03">
        <w:tc>
          <w:tcPr>
            <w:tcW w:w="3613" w:type="dxa"/>
            <w:shd w:val="clear" w:color="auto" w:fill="auto"/>
          </w:tcPr>
          <w:p w:rsidR="002E1586" w:rsidRPr="00992199" w:rsidRDefault="002E1586" w:rsidP="00BB0F52">
            <w:pPr>
              <w:rPr>
                <w:b/>
                <w:szCs w:val="20"/>
              </w:rPr>
            </w:pPr>
            <w:r>
              <w:rPr>
                <w:b/>
                <w:szCs w:val="20"/>
              </w:rPr>
              <w:t>STAK FieldLink</w:t>
            </w:r>
          </w:p>
        </w:tc>
        <w:tc>
          <w:tcPr>
            <w:tcW w:w="5632" w:type="dxa"/>
            <w:shd w:val="clear" w:color="auto" w:fill="auto"/>
          </w:tcPr>
          <w:p w:rsidR="002E1586" w:rsidRPr="00992199" w:rsidRDefault="002E1586" w:rsidP="00404820">
            <w:pPr>
              <w:rPr>
                <w:szCs w:val="20"/>
              </w:rPr>
            </w:pPr>
            <w:r w:rsidRPr="00992199">
              <w:rPr>
                <w:szCs w:val="20"/>
              </w:rPr>
              <w:t xml:space="preserve">Stichting Administratiekantoor </w:t>
            </w:r>
            <w:r w:rsidR="00404820">
              <w:rPr>
                <w:szCs w:val="20"/>
              </w:rPr>
              <w:t>FieldLink</w:t>
            </w:r>
          </w:p>
        </w:tc>
      </w:tr>
      <w:tr w:rsidR="002E1586" w:rsidRPr="00992199" w:rsidTr="000E6B03">
        <w:tc>
          <w:tcPr>
            <w:tcW w:w="3613" w:type="dxa"/>
            <w:shd w:val="clear" w:color="auto" w:fill="auto"/>
          </w:tcPr>
          <w:p w:rsidR="002E1586" w:rsidRPr="00992199" w:rsidRDefault="002E1586" w:rsidP="00BB0F52">
            <w:pPr>
              <w:rPr>
                <w:b/>
                <w:szCs w:val="20"/>
              </w:rPr>
            </w:pPr>
            <w:r>
              <w:rPr>
                <w:b/>
                <w:szCs w:val="20"/>
              </w:rPr>
              <w:t>Strategic Committee</w:t>
            </w:r>
          </w:p>
        </w:tc>
        <w:tc>
          <w:tcPr>
            <w:tcW w:w="5632" w:type="dxa"/>
            <w:shd w:val="clear" w:color="auto" w:fill="auto"/>
          </w:tcPr>
          <w:p w:rsidR="002E1586" w:rsidRPr="00992199" w:rsidRDefault="002E1586" w:rsidP="00BB0F52">
            <w:pPr>
              <w:rPr>
                <w:szCs w:val="20"/>
              </w:rPr>
            </w:pPr>
            <w:r>
              <w:rPr>
                <w:szCs w:val="20"/>
              </w:rPr>
              <w:t>The strategic committee set up by the board of directors of Greenyard Foods</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Subordinated Shareholder Loan</w:t>
            </w:r>
          </w:p>
        </w:tc>
        <w:tc>
          <w:tcPr>
            <w:tcW w:w="5632" w:type="dxa"/>
            <w:shd w:val="clear" w:color="auto" w:fill="auto"/>
          </w:tcPr>
          <w:p w:rsidR="002E1586" w:rsidRPr="00992199" w:rsidRDefault="002E1586" w:rsidP="00BB0F52">
            <w:pPr>
              <w:rPr>
                <w:szCs w:val="20"/>
              </w:rPr>
            </w:pPr>
            <w:r w:rsidRPr="00992199">
              <w:rPr>
                <w:szCs w:val="20"/>
              </w:rPr>
              <w:t xml:space="preserve">the loan granted by Univeg </w:t>
            </w:r>
            <w:smartTag w:uri="urn:schemas-microsoft-com:office:smarttags" w:element="country-region">
              <w:smartTag w:uri="urn:schemas-microsoft-com:office:smarttags" w:element="place">
                <w:r w:rsidRPr="00992199">
                  <w:rPr>
                    <w:szCs w:val="20"/>
                  </w:rPr>
                  <w:t>Belgium</w:t>
                </w:r>
              </w:smartTag>
            </w:smartTag>
            <w:r w:rsidRPr="00992199">
              <w:rPr>
                <w:szCs w:val="20"/>
              </w:rPr>
              <w:t xml:space="preserve"> to TFFG in the amount of </w:t>
            </w:r>
            <w:r>
              <w:rPr>
                <w:szCs w:val="20"/>
              </w:rPr>
              <w:t>EUR </w:t>
            </w:r>
            <w:r w:rsidRPr="00992199">
              <w:rPr>
                <w:szCs w:val="20"/>
              </w:rPr>
              <w:t>9,646,342.44 pursuant to the Subordinated Shareholder Loan Agreement</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Subordinated Shareholder Loan Agreement</w:t>
            </w:r>
          </w:p>
        </w:tc>
        <w:tc>
          <w:tcPr>
            <w:tcW w:w="5632" w:type="dxa"/>
            <w:shd w:val="clear" w:color="auto" w:fill="auto"/>
          </w:tcPr>
          <w:p w:rsidR="002E1586" w:rsidRPr="00992199" w:rsidRDefault="002E1586" w:rsidP="00BB0F52">
            <w:pPr>
              <w:rPr>
                <w:szCs w:val="20"/>
              </w:rPr>
            </w:pPr>
            <w:r w:rsidRPr="00992199">
              <w:rPr>
                <w:szCs w:val="20"/>
              </w:rPr>
              <w:t xml:space="preserve">the subordinated shareholder loan agreement entered into by Univeg </w:t>
            </w:r>
            <w:smartTag w:uri="urn:schemas-microsoft-com:office:smarttags" w:element="country-region">
              <w:r w:rsidRPr="00992199">
                <w:rPr>
                  <w:szCs w:val="20"/>
                </w:rPr>
                <w:t>Belgium</w:t>
              </w:r>
            </w:smartTag>
            <w:r w:rsidRPr="00992199">
              <w:rPr>
                <w:szCs w:val="20"/>
              </w:rPr>
              <w:t xml:space="preserve">, TFFG, Food and Agriculture Industries NV, Expofrut Brazil Importadora e Exportadora Ltda, Monte La Providencia SA, Forbel SA, Univeg South </w:t>
            </w:r>
            <w:smartTag w:uri="urn:schemas-microsoft-com:office:smarttags" w:element="place">
              <w:r w:rsidRPr="00992199">
                <w:rPr>
                  <w:szCs w:val="20"/>
                </w:rPr>
                <w:t>Africa</w:t>
              </w:r>
            </w:smartTag>
            <w:r w:rsidRPr="00992199">
              <w:rPr>
                <w:szCs w:val="20"/>
              </w:rPr>
              <w:t xml:space="preserve"> (Pty) Ltd and Univeg South Africa Holdings (Pty) Ltd as of 17 December 2014</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Subsequent Lease Agreement</w:t>
            </w:r>
          </w:p>
        </w:tc>
        <w:tc>
          <w:tcPr>
            <w:tcW w:w="5632" w:type="dxa"/>
            <w:shd w:val="clear" w:color="auto" w:fill="auto"/>
          </w:tcPr>
          <w:p w:rsidR="002E1586" w:rsidRPr="00992199" w:rsidRDefault="002E1586" w:rsidP="00BB0F52">
            <w:pPr>
              <w:rPr>
                <w:szCs w:val="20"/>
              </w:rPr>
            </w:pPr>
            <w:r w:rsidRPr="00992199">
              <w:rPr>
                <w:szCs w:val="20"/>
              </w:rPr>
              <w:t xml:space="preserve">a sublease agreement entered into between De Weide Blik </w:t>
            </w:r>
            <w:smartTag w:uri="urn:schemas-microsoft-com:office:smarttags" w:element="country-region">
              <w:smartTag w:uri="urn:schemas-microsoft-com:office:smarttags" w:element="place">
                <w:r w:rsidRPr="00992199">
                  <w:rPr>
                    <w:szCs w:val="20"/>
                  </w:rPr>
                  <w:t>Poland</w:t>
                </w:r>
              </w:smartTag>
            </w:smartTag>
            <w:r w:rsidRPr="00992199">
              <w:rPr>
                <w:szCs w:val="20"/>
              </w:rPr>
              <w:t xml:space="preserve"> sp. z o.o and Univeg Logistics Poland on 23 September 2014</w:t>
            </w:r>
          </w:p>
        </w:tc>
      </w:tr>
      <w:tr w:rsidR="002E1586" w:rsidRPr="00992199" w:rsidTr="000E6B03">
        <w:tc>
          <w:tcPr>
            <w:tcW w:w="3613" w:type="dxa"/>
            <w:shd w:val="clear" w:color="auto" w:fill="auto"/>
          </w:tcPr>
          <w:p w:rsidR="002E1586" w:rsidRPr="00992199" w:rsidRDefault="002E1586" w:rsidP="00BB0F52">
            <w:pPr>
              <w:rPr>
                <w:b/>
                <w:szCs w:val="20"/>
              </w:rPr>
            </w:pPr>
            <w:r>
              <w:rPr>
                <w:b/>
                <w:szCs w:val="20"/>
              </w:rPr>
              <w:t>Subsidiary Guarantor</w:t>
            </w:r>
          </w:p>
        </w:tc>
        <w:tc>
          <w:tcPr>
            <w:tcW w:w="5632" w:type="dxa"/>
            <w:shd w:val="clear" w:color="auto" w:fill="auto"/>
          </w:tcPr>
          <w:p w:rsidR="002E1586" w:rsidRPr="00992199" w:rsidRDefault="002E1586" w:rsidP="00BB0F52">
            <w:pPr>
              <w:rPr>
                <w:szCs w:val="20"/>
              </w:rPr>
            </w:pPr>
            <w:r>
              <w:rPr>
                <w:szCs w:val="20"/>
              </w:rPr>
              <w:t>subsidiary guarantors under the Indenture</w:t>
            </w:r>
          </w:p>
        </w:tc>
      </w:tr>
      <w:tr w:rsidR="002E1586" w:rsidRPr="00992199" w:rsidTr="002E1586">
        <w:tc>
          <w:tcPr>
            <w:tcW w:w="3613" w:type="dxa"/>
            <w:shd w:val="clear" w:color="auto" w:fill="auto"/>
          </w:tcPr>
          <w:p w:rsidR="002E1586" w:rsidRDefault="002E1586" w:rsidP="002E1586">
            <w:pPr>
              <w:rPr>
                <w:b/>
                <w:szCs w:val="20"/>
              </w:rPr>
            </w:pPr>
            <w:r>
              <w:rPr>
                <w:b/>
                <w:szCs w:val="20"/>
              </w:rPr>
              <w:t>Super Senior Creditors</w:t>
            </w:r>
          </w:p>
        </w:tc>
        <w:tc>
          <w:tcPr>
            <w:tcW w:w="5632" w:type="dxa"/>
            <w:shd w:val="clear" w:color="auto" w:fill="auto"/>
          </w:tcPr>
          <w:p w:rsidR="002E1586" w:rsidRDefault="002E1586" w:rsidP="002E1586">
            <w:pPr>
              <w:rPr>
                <w:szCs w:val="20"/>
              </w:rPr>
            </w:pPr>
            <w:r>
              <w:rPr>
                <w:szCs w:val="20"/>
              </w:rPr>
              <w:t>the lenders under the Revolving Credit Facility and certain priority Hedge Counterparties (namely Hedge Counterparties in relation to interest rate hedging agreements) under the Intercreditor Agreement</w:t>
            </w:r>
          </w:p>
        </w:tc>
      </w:tr>
      <w:tr w:rsidR="002E1586" w:rsidRPr="00992199" w:rsidTr="000E6B03">
        <w:tc>
          <w:tcPr>
            <w:tcW w:w="3613" w:type="dxa"/>
            <w:shd w:val="clear" w:color="auto" w:fill="auto"/>
          </w:tcPr>
          <w:p w:rsidR="002E1586" w:rsidRPr="00992199" w:rsidRDefault="002E1586" w:rsidP="00BB0F52">
            <w:pPr>
              <w:rPr>
                <w:b/>
                <w:szCs w:val="20"/>
              </w:rPr>
            </w:pPr>
            <w:r w:rsidRPr="00723DC7">
              <w:rPr>
                <w:b/>
                <w:szCs w:val="20"/>
              </w:rPr>
              <w:t>Syndicated Factoring Agreement</w:t>
            </w:r>
          </w:p>
        </w:tc>
        <w:tc>
          <w:tcPr>
            <w:tcW w:w="5632" w:type="dxa"/>
            <w:shd w:val="clear" w:color="auto" w:fill="auto"/>
          </w:tcPr>
          <w:p w:rsidR="002E1586" w:rsidRPr="00992199" w:rsidRDefault="002E1586" w:rsidP="00BB0F52">
            <w:pPr>
              <w:rPr>
                <w:szCs w:val="20"/>
              </w:rPr>
            </w:pPr>
            <w:r w:rsidRPr="00723DC7">
              <w:rPr>
                <w:szCs w:val="20"/>
              </w:rPr>
              <w:t>a multi-country syndicated factoring agreement</w:t>
            </w:r>
            <w:r>
              <w:rPr>
                <w:szCs w:val="20"/>
              </w:rPr>
              <w:t xml:space="preserve"> entered into by the Univeg Group in 2014</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Takeover Law</w:t>
            </w:r>
          </w:p>
        </w:tc>
        <w:tc>
          <w:tcPr>
            <w:tcW w:w="5632" w:type="dxa"/>
            <w:shd w:val="clear" w:color="auto" w:fill="auto"/>
          </w:tcPr>
          <w:p w:rsidR="002E1586" w:rsidRPr="00992199" w:rsidRDefault="002E1586" w:rsidP="00BB0F52">
            <w:pPr>
              <w:rPr>
                <w:szCs w:val="20"/>
              </w:rPr>
            </w:pPr>
            <w:r w:rsidRPr="00992199">
              <w:rPr>
                <w:szCs w:val="20"/>
              </w:rPr>
              <w:t>Belgian Law of 1 April 2007 on public takeover bids (</w:t>
            </w:r>
            <w:r w:rsidRPr="00992199">
              <w:rPr>
                <w:i/>
                <w:szCs w:val="20"/>
              </w:rPr>
              <w:t>Wet op de openbare overnamebiedingen / Loi sur les offres publiques d’acquisition</w:t>
            </w:r>
            <w:r w:rsidRPr="00992199">
              <w:rPr>
                <w:szCs w:val="20"/>
              </w:rPr>
              <w:t>)</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Takeover Royal Decree</w:t>
            </w:r>
          </w:p>
        </w:tc>
        <w:tc>
          <w:tcPr>
            <w:tcW w:w="5632" w:type="dxa"/>
            <w:shd w:val="clear" w:color="auto" w:fill="auto"/>
          </w:tcPr>
          <w:p w:rsidR="002E1586" w:rsidRPr="00992199" w:rsidRDefault="002E1586" w:rsidP="00BB0F52">
            <w:pPr>
              <w:rPr>
                <w:szCs w:val="20"/>
              </w:rPr>
            </w:pPr>
            <w:r w:rsidRPr="00992199">
              <w:rPr>
                <w:szCs w:val="20"/>
              </w:rPr>
              <w:t>the Belgian Royal Decree of 27 April 2007 on public takeover bids (</w:t>
            </w:r>
            <w:r w:rsidRPr="00992199">
              <w:rPr>
                <w:i/>
                <w:szCs w:val="20"/>
              </w:rPr>
              <w:t>Koninklijk besluit op de openbare overnamebiedingen / Arrêté royal sur les offres publiques d’acquisition</w:t>
            </w:r>
            <w:r w:rsidRPr="00992199">
              <w:rPr>
                <w:szCs w:val="20"/>
              </w:rPr>
              <w:t>)</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The Fruit Farm Group or TFFG</w:t>
            </w:r>
          </w:p>
        </w:tc>
        <w:tc>
          <w:tcPr>
            <w:tcW w:w="5632" w:type="dxa"/>
            <w:shd w:val="clear" w:color="auto" w:fill="auto"/>
          </w:tcPr>
          <w:p w:rsidR="002E1586" w:rsidRPr="00992199" w:rsidRDefault="002E1586" w:rsidP="00BB0F52">
            <w:pPr>
              <w:rPr>
                <w:szCs w:val="20"/>
              </w:rPr>
            </w:pPr>
            <w:r w:rsidRPr="00992199">
              <w:rPr>
                <w:szCs w:val="20"/>
              </w:rPr>
              <w:t>The Fruit Farm Group B</w:t>
            </w:r>
            <w:r>
              <w:rPr>
                <w:szCs w:val="20"/>
              </w:rPr>
              <w:t>.</w:t>
            </w:r>
            <w:r w:rsidRPr="00992199">
              <w:rPr>
                <w:szCs w:val="20"/>
              </w:rPr>
              <w:t>V</w:t>
            </w:r>
            <w:r>
              <w:rPr>
                <w:szCs w:val="20"/>
              </w:rPr>
              <w:t>.</w:t>
            </w:r>
          </w:p>
        </w:tc>
      </w:tr>
      <w:tr w:rsidR="002E1586" w:rsidRPr="00992199" w:rsidTr="002E1586">
        <w:tc>
          <w:tcPr>
            <w:tcW w:w="3613" w:type="dxa"/>
            <w:shd w:val="clear" w:color="auto" w:fill="auto"/>
          </w:tcPr>
          <w:p w:rsidR="002E1586" w:rsidRPr="00992199" w:rsidRDefault="002E1586" w:rsidP="002E1586">
            <w:pPr>
              <w:rPr>
                <w:b/>
                <w:szCs w:val="20"/>
              </w:rPr>
            </w:pPr>
            <w:r>
              <w:rPr>
                <w:b/>
                <w:szCs w:val="20"/>
              </w:rPr>
              <w:t>Transaction Security</w:t>
            </w:r>
          </w:p>
        </w:tc>
        <w:tc>
          <w:tcPr>
            <w:tcW w:w="5632" w:type="dxa"/>
            <w:shd w:val="clear" w:color="auto" w:fill="auto"/>
          </w:tcPr>
          <w:p w:rsidR="002E1586" w:rsidRPr="00992199" w:rsidRDefault="002E1586" w:rsidP="002E1586">
            <w:pPr>
              <w:rPr>
                <w:szCs w:val="20"/>
              </w:rPr>
            </w:pPr>
            <w:r>
              <w:rPr>
                <w:szCs w:val="20"/>
              </w:rPr>
              <w:t>[the common guarantees and] the common security package benefiting to the Secured Creditors</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Transactions</w:t>
            </w:r>
          </w:p>
        </w:tc>
        <w:tc>
          <w:tcPr>
            <w:tcW w:w="5632" w:type="dxa"/>
            <w:shd w:val="clear" w:color="auto" w:fill="auto"/>
          </w:tcPr>
          <w:p w:rsidR="002E1586" w:rsidRPr="00992199" w:rsidRDefault="002E1586" w:rsidP="00BB0F52">
            <w:pPr>
              <w:rPr>
                <w:szCs w:val="20"/>
              </w:rPr>
            </w:pPr>
            <w:r w:rsidRPr="00992199">
              <w:rPr>
                <w:szCs w:val="20"/>
              </w:rPr>
              <w:t>the Contributions and the Gimv Warrant Exercise</w:t>
            </w:r>
          </w:p>
        </w:tc>
      </w:tr>
      <w:tr w:rsidR="002E1586" w:rsidRPr="00703C66" w:rsidTr="000E6B03">
        <w:tc>
          <w:tcPr>
            <w:tcW w:w="3613" w:type="dxa"/>
            <w:shd w:val="clear" w:color="auto" w:fill="auto"/>
          </w:tcPr>
          <w:p w:rsidR="002E1586" w:rsidRPr="00992199" w:rsidRDefault="002E1586" w:rsidP="00BB0F52">
            <w:pPr>
              <w:rPr>
                <w:b/>
                <w:szCs w:val="20"/>
              </w:rPr>
            </w:pPr>
            <w:r w:rsidRPr="00992199">
              <w:rPr>
                <w:b/>
                <w:szCs w:val="20"/>
              </w:rPr>
              <w:t>Transparency Law</w:t>
            </w:r>
          </w:p>
        </w:tc>
        <w:tc>
          <w:tcPr>
            <w:tcW w:w="5632" w:type="dxa"/>
            <w:shd w:val="clear" w:color="auto" w:fill="auto"/>
          </w:tcPr>
          <w:p w:rsidR="002E1586" w:rsidRPr="00703C66" w:rsidRDefault="002E1586" w:rsidP="00703C66">
            <w:pPr>
              <w:rPr>
                <w:szCs w:val="20"/>
              </w:rPr>
            </w:pPr>
            <w:r w:rsidRPr="00703C66">
              <w:rPr>
                <w:szCs w:val="20"/>
              </w:rPr>
              <w:t>the law of 2 May 2007 on the disclosure of significant shareholdings in issuers whose securities are admitted to trading on a regulated market (</w:t>
            </w:r>
            <w:r>
              <w:rPr>
                <w:i/>
                <w:szCs w:val="20"/>
              </w:rPr>
              <w:t>W</w:t>
            </w:r>
            <w:r w:rsidRPr="00703C66">
              <w:rPr>
                <w:i/>
                <w:szCs w:val="20"/>
              </w:rPr>
              <w:t>et van 2 mei 2007 op de openbaarmaking van belangrijke deelnemingen in emittenten waarvan aandelen zijn toegelaten tot de verhandeling op een gereglementeerde markt en houdende diverse bepalingen /</w:t>
            </w:r>
            <w:r>
              <w:rPr>
                <w:szCs w:val="20"/>
              </w:rPr>
              <w:t xml:space="preserve"> </w:t>
            </w:r>
            <w:r>
              <w:rPr>
                <w:i/>
                <w:szCs w:val="20"/>
              </w:rPr>
              <w:t>L</w:t>
            </w:r>
            <w:r w:rsidRPr="00703C66">
              <w:rPr>
                <w:i/>
                <w:szCs w:val="20"/>
              </w:rPr>
              <w:t>oi du 2 mai 2007 relative à la publicité des participations importantes dans des émetteurs dont les actions sont admises à la négociation sur un marché réglementé et portant des dispositions diverses</w:t>
            </w:r>
            <w:r w:rsidRPr="00703C66">
              <w:rPr>
                <w:szCs w:val="20"/>
              </w:rPr>
              <w:t>)</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UFM</w:t>
            </w:r>
          </w:p>
        </w:tc>
        <w:tc>
          <w:tcPr>
            <w:tcW w:w="5632" w:type="dxa"/>
            <w:shd w:val="clear" w:color="auto" w:fill="auto"/>
          </w:tcPr>
          <w:p w:rsidR="002E1586" w:rsidRPr="00992199" w:rsidRDefault="002E1586" w:rsidP="00BB0F52">
            <w:pPr>
              <w:rPr>
                <w:szCs w:val="20"/>
              </w:rPr>
            </w:pPr>
            <w:r w:rsidRPr="00992199">
              <w:rPr>
                <w:szCs w:val="20"/>
              </w:rPr>
              <w:t>Union Fermière Morbihannaise SCA</w:t>
            </w:r>
          </w:p>
        </w:tc>
      </w:tr>
      <w:tr w:rsidR="002E1586" w:rsidRPr="00992199" w:rsidTr="000E6B03">
        <w:tc>
          <w:tcPr>
            <w:tcW w:w="3613" w:type="dxa"/>
            <w:shd w:val="clear" w:color="auto" w:fill="auto"/>
          </w:tcPr>
          <w:p w:rsidR="002E1586" w:rsidRPr="00992199" w:rsidRDefault="002E1586" w:rsidP="00BB0F52">
            <w:pPr>
              <w:rPr>
                <w:b/>
                <w:szCs w:val="20"/>
              </w:rPr>
            </w:pPr>
            <w:r>
              <w:rPr>
                <w:b/>
                <w:szCs w:val="20"/>
              </w:rPr>
              <w:t>Univeg</w:t>
            </w:r>
          </w:p>
        </w:tc>
        <w:tc>
          <w:tcPr>
            <w:tcW w:w="5632" w:type="dxa"/>
            <w:shd w:val="clear" w:color="auto" w:fill="auto"/>
          </w:tcPr>
          <w:p w:rsidR="002E1586" w:rsidRPr="00992199" w:rsidRDefault="002E1586" w:rsidP="00BB0F52">
            <w:pPr>
              <w:rPr>
                <w:szCs w:val="20"/>
              </w:rPr>
            </w:pPr>
            <w:smartTag w:uri="urn:schemas-microsoft-com:office:smarttags" w:element="place">
              <w:smartTag w:uri="urn:schemas-microsoft-com:office:smarttags" w:element="City">
                <w:r>
                  <w:rPr>
                    <w:szCs w:val="20"/>
                  </w:rPr>
                  <w:t>FieldLink</w:t>
                </w:r>
              </w:smartTag>
              <w:r>
                <w:rPr>
                  <w:szCs w:val="20"/>
                </w:rPr>
                <w:t xml:space="preserve"> </w:t>
              </w:r>
              <w:smartTag w:uri="urn:schemas-microsoft-com:office:smarttags" w:element="State">
                <w:r>
                  <w:rPr>
                    <w:szCs w:val="20"/>
                  </w:rPr>
                  <w:t>NV</w:t>
                </w:r>
              </w:smartTag>
            </w:smartTag>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 xml:space="preserve">Univeg </w:t>
            </w:r>
            <w:smartTag w:uri="urn:schemas-microsoft-com:office:smarttags" w:element="country-region">
              <w:smartTag w:uri="urn:schemas-microsoft-com:office:smarttags" w:element="place">
                <w:r w:rsidRPr="00992199">
                  <w:rPr>
                    <w:b/>
                    <w:szCs w:val="20"/>
                  </w:rPr>
                  <w:t>Belgium</w:t>
                </w:r>
              </w:smartTag>
            </w:smartTag>
          </w:p>
        </w:tc>
        <w:tc>
          <w:tcPr>
            <w:tcW w:w="5632" w:type="dxa"/>
            <w:shd w:val="clear" w:color="auto" w:fill="auto"/>
          </w:tcPr>
          <w:p w:rsidR="002E1586" w:rsidRPr="00992199" w:rsidRDefault="002E1586" w:rsidP="00BB0F52">
            <w:pPr>
              <w:rPr>
                <w:szCs w:val="20"/>
              </w:rPr>
            </w:pPr>
            <w:r w:rsidRPr="00992199">
              <w:rPr>
                <w:szCs w:val="20"/>
              </w:rPr>
              <w:t xml:space="preserve">Univeg </w:t>
            </w:r>
            <w:smartTag w:uri="urn:schemas-microsoft-com:office:smarttags" w:element="country-region">
              <w:smartTag w:uri="urn:schemas-microsoft-com:office:smarttags" w:element="place">
                <w:r w:rsidRPr="00992199">
                  <w:rPr>
                    <w:szCs w:val="20"/>
                  </w:rPr>
                  <w:t>Belgium</w:t>
                </w:r>
              </w:smartTag>
            </w:smartTag>
            <w:r w:rsidRPr="00992199">
              <w:rPr>
                <w:szCs w:val="20"/>
              </w:rPr>
              <w:t xml:space="preserve"> NV</w:t>
            </w:r>
          </w:p>
        </w:tc>
      </w:tr>
      <w:tr w:rsidR="002E1586" w:rsidRPr="00992199" w:rsidTr="000E6B03">
        <w:tc>
          <w:tcPr>
            <w:tcW w:w="3613" w:type="dxa"/>
            <w:shd w:val="clear" w:color="auto" w:fill="auto"/>
          </w:tcPr>
          <w:p w:rsidR="002E1586" w:rsidRPr="00992199" w:rsidRDefault="002E1586" w:rsidP="00BB0F52">
            <w:pPr>
              <w:rPr>
                <w:b/>
                <w:szCs w:val="20"/>
              </w:rPr>
            </w:pPr>
            <w:r>
              <w:rPr>
                <w:b/>
                <w:szCs w:val="20"/>
              </w:rPr>
              <w:t>Univeg</w:t>
            </w:r>
            <w:r w:rsidRPr="00992199">
              <w:rPr>
                <w:b/>
                <w:szCs w:val="20"/>
              </w:rPr>
              <w:t xml:space="preserve"> Contribution</w:t>
            </w:r>
          </w:p>
        </w:tc>
        <w:tc>
          <w:tcPr>
            <w:tcW w:w="5632" w:type="dxa"/>
            <w:shd w:val="clear" w:color="auto" w:fill="auto"/>
          </w:tcPr>
          <w:p w:rsidR="002E1586" w:rsidRPr="00992199" w:rsidRDefault="002E1586" w:rsidP="00BB0F52">
            <w:pPr>
              <w:rPr>
                <w:szCs w:val="20"/>
              </w:rPr>
            </w:pPr>
            <w:r w:rsidRPr="00992199">
              <w:rPr>
                <w:szCs w:val="20"/>
              </w:rPr>
              <w:t xml:space="preserve">the contribution in kind by </w:t>
            </w:r>
            <w:r>
              <w:rPr>
                <w:szCs w:val="20"/>
              </w:rPr>
              <w:t>STAK FieldLink</w:t>
            </w:r>
            <w:r w:rsidRPr="00992199">
              <w:rPr>
                <w:szCs w:val="20"/>
              </w:rPr>
              <w:t xml:space="preserve"> of all shares it holds in </w:t>
            </w:r>
            <w:r>
              <w:rPr>
                <w:szCs w:val="20"/>
              </w:rPr>
              <w:t>Univeg</w:t>
            </w:r>
            <w:r w:rsidRPr="00992199">
              <w:rPr>
                <w:szCs w:val="20"/>
              </w:rPr>
              <w:t xml:space="preserve"> to </w:t>
            </w:r>
            <w:r>
              <w:rPr>
                <w:szCs w:val="20"/>
              </w:rPr>
              <w:t>Greenyard Foods</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Univeg Group</w:t>
            </w:r>
          </w:p>
        </w:tc>
        <w:tc>
          <w:tcPr>
            <w:tcW w:w="5632" w:type="dxa"/>
            <w:shd w:val="clear" w:color="auto" w:fill="auto"/>
          </w:tcPr>
          <w:p w:rsidR="002E1586" w:rsidRPr="00992199" w:rsidRDefault="002E1586" w:rsidP="00BB0F52">
            <w:pPr>
              <w:rPr>
                <w:szCs w:val="20"/>
              </w:rPr>
            </w:pPr>
            <w:r>
              <w:rPr>
                <w:szCs w:val="20"/>
              </w:rPr>
              <w:t>Univeg</w:t>
            </w:r>
            <w:r w:rsidRPr="00992199">
              <w:rPr>
                <w:szCs w:val="20"/>
              </w:rPr>
              <w:t xml:space="preserve"> and its subsidiaries</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Univeg Holding</w:t>
            </w:r>
          </w:p>
        </w:tc>
        <w:tc>
          <w:tcPr>
            <w:tcW w:w="5632" w:type="dxa"/>
            <w:shd w:val="clear" w:color="auto" w:fill="auto"/>
          </w:tcPr>
          <w:p w:rsidR="002E1586" w:rsidRPr="00992199" w:rsidRDefault="002E1586" w:rsidP="00BB0F52">
            <w:pPr>
              <w:rPr>
                <w:szCs w:val="20"/>
              </w:rPr>
            </w:pPr>
            <w:r w:rsidRPr="00992199">
              <w:rPr>
                <w:szCs w:val="20"/>
              </w:rPr>
              <w:t>Univeg Holding B.V.</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 xml:space="preserve">Univeg Logistics </w:t>
            </w:r>
            <w:smartTag w:uri="urn:schemas-microsoft-com:office:smarttags" w:element="country-region">
              <w:smartTag w:uri="urn:schemas-microsoft-com:office:smarttags" w:element="place">
                <w:r w:rsidRPr="00992199">
                  <w:rPr>
                    <w:b/>
                    <w:szCs w:val="20"/>
                  </w:rPr>
                  <w:t>Poland</w:t>
                </w:r>
              </w:smartTag>
            </w:smartTag>
          </w:p>
        </w:tc>
        <w:tc>
          <w:tcPr>
            <w:tcW w:w="5632" w:type="dxa"/>
            <w:shd w:val="clear" w:color="auto" w:fill="auto"/>
          </w:tcPr>
          <w:p w:rsidR="002E1586" w:rsidRPr="00992199" w:rsidRDefault="002E1586" w:rsidP="00BB0F52">
            <w:pPr>
              <w:rPr>
                <w:szCs w:val="20"/>
              </w:rPr>
            </w:pPr>
            <w:r w:rsidRPr="00992199">
              <w:rPr>
                <w:szCs w:val="20"/>
              </w:rPr>
              <w:t>Univeg Logistics Poland sp. z o.o.</w:t>
            </w:r>
          </w:p>
        </w:tc>
      </w:tr>
      <w:tr w:rsidR="002E1586" w:rsidRPr="00992199" w:rsidTr="000E6B03">
        <w:tc>
          <w:tcPr>
            <w:tcW w:w="3613" w:type="dxa"/>
            <w:shd w:val="clear" w:color="auto" w:fill="auto"/>
          </w:tcPr>
          <w:p w:rsidR="002E1586" w:rsidRPr="00992199" w:rsidRDefault="002E1586" w:rsidP="00BB0F52">
            <w:pPr>
              <w:rPr>
                <w:b/>
                <w:szCs w:val="20"/>
              </w:rPr>
            </w:pPr>
            <w:r w:rsidRPr="00992199">
              <w:rPr>
                <w:b/>
                <w:szCs w:val="20"/>
              </w:rPr>
              <w:t>Working Capital Financing Agreement</w:t>
            </w:r>
          </w:p>
        </w:tc>
        <w:tc>
          <w:tcPr>
            <w:tcW w:w="5632" w:type="dxa"/>
            <w:shd w:val="clear" w:color="auto" w:fill="auto"/>
          </w:tcPr>
          <w:p w:rsidR="002E1586" w:rsidRPr="00992199" w:rsidRDefault="002E1586" w:rsidP="00BB0F52">
            <w:pPr>
              <w:rPr>
                <w:szCs w:val="20"/>
              </w:rPr>
            </w:pPr>
            <w:r w:rsidRPr="00992199">
              <w:rPr>
                <w:szCs w:val="20"/>
              </w:rPr>
              <w:t>the agreement (and its annexes) entered into by Dutch Holdco ARG B</w:t>
            </w:r>
            <w:r>
              <w:rPr>
                <w:szCs w:val="20"/>
              </w:rPr>
              <w:t>.</w:t>
            </w:r>
            <w:r w:rsidRPr="00992199">
              <w:rPr>
                <w:szCs w:val="20"/>
              </w:rPr>
              <w:t>V</w:t>
            </w:r>
            <w:r>
              <w:rPr>
                <w:szCs w:val="20"/>
              </w:rPr>
              <w:t>.</w:t>
            </w:r>
            <w:r w:rsidRPr="00992199">
              <w:rPr>
                <w:szCs w:val="20"/>
              </w:rPr>
              <w:t>, Orchards Invest B</w:t>
            </w:r>
            <w:r>
              <w:rPr>
                <w:szCs w:val="20"/>
              </w:rPr>
              <w:t>.</w:t>
            </w:r>
            <w:r w:rsidRPr="00992199">
              <w:rPr>
                <w:szCs w:val="20"/>
              </w:rPr>
              <w:t>V</w:t>
            </w:r>
            <w:r>
              <w:rPr>
                <w:szCs w:val="20"/>
              </w:rPr>
              <w:t>.</w:t>
            </w:r>
            <w:r w:rsidRPr="00992199">
              <w:rPr>
                <w:szCs w:val="20"/>
              </w:rPr>
              <w:t xml:space="preserve">, Baysing S.à.R.L., Sunshining </w:t>
            </w:r>
            <w:smartTag w:uri="urn:schemas-microsoft-com:office:smarttags" w:element="City">
              <w:r w:rsidRPr="00992199">
                <w:rPr>
                  <w:szCs w:val="20"/>
                </w:rPr>
                <w:t>Invest</w:t>
              </w:r>
            </w:smartTag>
            <w:r w:rsidRPr="00992199">
              <w:rPr>
                <w:szCs w:val="20"/>
              </w:rPr>
              <w:t xml:space="preserve"> </w:t>
            </w:r>
            <w:smartTag w:uri="urn:schemas-microsoft-com:office:smarttags" w:element="State">
              <w:r w:rsidRPr="00992199">
                <w:rPr>
                  <w:szCs w:val="20"/>
                </w:rPr>
                <w:t>NV</w:t>
              </w:r>
            </w:smartTag>
            <w:r w:rsidRPr="00992199">
              <w:rPr>
                <w:szCs w:val="20"/>
              </w:rPr>
              <w:t xml:space="preserve"> and Univeg </w:t>
            </w:r>
            <w:smartTag w:uri="urn:schemas-microsoft-com:office:smarttags" w:element="country-region">
              <w:smartTag w:uri="urn:schemas-microsoft-com:office:smarttags" w:element="place">
                <w:r w:rsidRPr="00992199">
                  <w:rPr>
                    <w:szCs w:val="20"/>
                  </w:rPr>
                  <w:t>Belgium</w:t>
                </w:r>
              </w:smartTag>
            </w:smartTag>
            <w:r w:rsidRPr="00992199">
              <w:rPr>
                <w:szCs w:val="20"/>
              </w:rPr>
              <w:t xml:space="preserve"> on 19 July 2012</w:t>
            </w:r>
          </w:p>
        </w:tc>
      </w:tr>
    </w:tbl>
    <w:p w:rsidR="003F0BC5" w:rsidRPr="00992199" w:rsidRDefault="003F0BC5" w:rsidP="00353B80">
      <w:pPr>
        <w:pStyle w:val="Heading1"/>
        <w:keepNext/>
      </w:pPr>
      <w:bookmarkStart w:id="146" w:name="_Toc420593958"/>
      <w:r w:rsidRPr="00992199">
        <w:t>PART XiII: DOCUMENTS INCORPORATED BY REFERENCE</w:t>
      </w:r>
      <w:bookmarkEnd w:id="146"/>
    </w:p>
    <w:p w:rsidR="003F0BC5" w:rsidRPr="00992199" w:rsidRDefault="003F0BC5" w:rsidP="00353B80">
      <w:pPr>
        <w:pStyle w:val="Heading3"/>
      </w:pPr>
      <w:bookmarkStart w:id="147" w:name="_Toc420593959"/>
      <w:r w:rsidRPr="00992199">
        <w:t>ANNEX 1: HISTORICAL FINANCIAL INFORMATION</w:t>
      </w:r>
      <w:bookmarkEnd w:id="147"/>
    </w:p>
    <w:p w:rsidR="00703C66" w:rsidRDefault="003F0BC5" w:rsidP="00353B80">
      <w:pPr>
        <w:pStyle w:val="Firm5L1"/>
        <w:keepNext/>
        <w:numPr>
          <w:ilvl w:val="0"/>
          <w:numId w:val="13"/>
        </w:numPr>
      </w:pPr>
      <w:bookmarkStart w:id="148" w:name="_Toc420593960"/>
      <w:r w:rsidRPr="00992199">
        <w:t xml:space="preserve">Audited financial information of </w:t>
      </w:r>
      <w:r w:rsidR="002A1AB1">
        <w:t>Greenyard Foods</w:t>
      </w:r>
      <w:r w:rsidRPr="00992199">
        <w:t xml:space="preserve"> for last three years (the last two years presented and prepared in a form consistent with IFRS)</w:t>
      </w:r>
      <w:bookmarkEnd w:id="148"/>
      <w:r w:rsidRPr="00992199">
        <w:t xml:space="preserve"> </w:t>
      </w:r>
    </w:p>
    <w:p w:rsidR="003F0BC5" w:rsidRPr="00462E99" w:rsidRDefault="003F0BC5" w:rsidP="003F0BC5">
      <w:pPr>
        <w:tabs>
          <w:tab w:val="left" w:pos="397"/>
          <w:tab w:val="left" w:pos="720"/>
        </w:tabs>
        <w:rPr>
          <w:szCs w:val="20"/>
        </w:rPr>
      </w:pPr>
      <w:r w:rsidRPr="00462E99">
        <w:rPr>
          <w:szCs w:val="20"/>
        </w:rPr>
        <w:t>1.1</w:t>
      </w:r>
      <w:r w:rsidRPr="00462E99">
        <w:rPr>
          <w:szCs w:val="20"/>
        </w:rPr>
        <w:tab/>
        <w:t>1 April 2012 – 31 March 2013</w:t>
      </w:r>
    </w:p>
    <w:p w:rsidR="003F0BC5" w:rsidRPr="00462E99" w:rsidRDefault="003F0BC5" w:rsidP="003F0BC5">
      <w:pPr>
        <w:tabs>
          <w:tab w:val="left" w:pos="397"/>
          <w:tab w:val="left" w:pos="720"/>
        </w:tabs>
        <w:rPr>
          <w:szCs w:val="20"/>
        </w:rPr>
      </w:pPr>
      <w:r w:rsidRPr="00462E99">
        <w:rPr>
          <w:szCs w:val="20"/>
        </w:rPr>
        <w:t>1.2</w:t>
      </w:r>
      <w:r w:rsidRPr="00462E99">
        <w:rPr>
          <w:szCs w:val="20"/>
        </w:rPr>
        <w:tab/>
        <w:t>1 April 2013 - 31 March 2014</w:t>
      </w:r>
    </w:p>
    <w:p w:rsidR="003F0BC5" w:rsidRPr="00462E99" w:rsidRDefault="003F0BC5" w:rsidP="003F0BC5">
      <w:pPr>
        <w:tabs>
          <w:tab w:val="left" w:pos="397"/>
          <w:tab w:val="left" w:pos="720"/>
        </w:tabs>
        <w:rPr>
          <w:szCs w:val="20"/>
        </w:rPr>
      </w:pPr>
      <w:r w:rsidRPr="00462E99">
        <w:rPr>
          <w:szCs w:val="20"/>
        </w:rPr>
        <w:t>1.3</w:t>
      </w:r>
      <w:r w:rsidRPr="00462E99">
        <w:rPr>
          <w:szCs w:val="20"/>
        </w:rPr>
        <w:tab/>
        <w:t>1 April 2013 - 31 March 2015</w:t>
      </w:r>
    </w:p>
    <w:p w:rsidR="00703C66" w:rsidRDefault="003F0BC5" w:rsidP="00353B80">
      <w:pPr>
        <w:pStyle w:val="Firm5L1"/>
        <w:keepNext/>
      </w:pPr>
      <w:bookmarkStart w:id="149" w:name="_Toc420593961"/>
      <w:r w:rsidRPr="00992199">
        <w:t xml:space="preserve">Audited financial information of </w:t>
      </w:r>
      <w:r w:rsidR="0082672E">
        <w:t>Univeg</w:t>
      </w:r>
      <w:r w:rsidRPr="00992199">
        <w:t xml:space="preserve"> for last three years (the last two years presented and prepared in a form consistent with IFRS)</w:t>
      </w:r>
      <w:bookmarkEnd w:id="149"/>
      <w:r w:rsidRPr="00992199">
        <w:t xml:space="preserve"> </w:t>
      </w:r>
    </w:p>
    <w:p w:rsidR="003F0BC5" w:rsidRPr="00462E99" w:rsidRDefault="003F0BC5" w:rsidP="003F0BC5">
      <w:pPr>
        <w:tabs>
          <w:tab w:val="left" w:pos="397"/>
          <w:tab w:val="left" w:pos="720"/>
        </w:tabs>
        <w:rPr>
          <w:szCs w:val="20"/>
        </w:rPr>
      </w:pPr>
      <w:r w:rsidRPr="00462E99">
        <w:rPr>
          <w:szCs w:val="20"/>
        </w:rPr>
        <w:t>2.1</w:t>
      </w:r>
      <w:r w:rsidRPr="00462E99">
        <w:rPr>
          <w:szCs w:val="20"/>
        </w:rPr>
        <w:tab/>
        <w:t>1 July 2012 – 31 December 2013</w:t>
      </w:r>
    </w:p>
    <w:p w:rsidR="003F0BC5" w:rsidRPr="00462E99" w:rsidRDefault="003F0BC5" w:rsidP="003F0BC5">
      <w:pPr>
        <w:tabs>
          <w:tab w:val="left" w:pos="397"/>
          <w:tab w:val="left" w:pos="720"/>
        </w:tabs>
        <w:rPr>
          <w:szCs w:val="20"/>
        </w:rPr>
      </w:pPr>
      <w:r w:rsidRPr="00462E99">
        <w:rPr>
          <w:szCs w:val="20"/>
        </w:rPr>
        <w:t>2.2</w:t>
      </w:r>
      <w:r w:rsidRPr="00462E99">
        <w:rPr>
          <w:szCs w:val="20"/>
        </w:rPr>
        <w:tab/>
        <w:t>1 1 January 2014 – 31 December 2014</w:t>
      </w:r>
    </w:p>
    <w:p w:rsidR="00703C66" w:rsidRDefault="003F0BC5" w:rsidP="00353B80">
      <w:pPr>
        <w:pStyle w:val="Firm5L1"/>
        <w:keepNext/>
      </w:pPr>
      <w:bookmarkStart w:id="150" w:name="_Toc420593962"/>
      <w:r w:rsidRPr="00992199">
        <w:t xml:space="preserve">Audited financial information of Peatinvest for last three years (the last two years presented and prepared in a form consistent with </w:t>
      </w:r>
      <w:r w:rsidR="00527C1E">
        <w:t>Belgian GAAP</w:t>
      </w:r>
      <w:r w:rsidRPr="00992199">
        <w:t>)</w:t>
      </w:r>
      <w:bookmarkEnd w:id="150"/>
      <w:r w:rsidRPr="00992199">
        <w:t xml:space="preserve"> </w:t>
      </w:r>
    </w:p>
    <w:p w:rsidR="003F0BC5" w:rsidRPr="00462E99" w:rsidRDefault="003F0BC5" w:rsidP="003F0BC5">
      <w:pPr>
        <w:tabs>
          <w:tab w:val="left" w:pos="397"/>
          <w:tab w:val="left" w:pos="720"/>
        </w:tabs>
        <w:rPr>
          <w:szCs w:val="20"/>
        </w:rPr>
      </w:pPr>
      <w:r w:rsidRPr="00462E99">
        <w:rPr>
          <w:szCs w:val="20"/>
        </w:rPr>
        <w:t>3.1</w:t>
      </w:r>
      <w:r w:rsidRPr="00462E99">
        <w:rPr>
          <w:szCs w:val="20"/>
        </w:rPr>
        <w:tab/>
        <w:t>1 October 2011 – 30 September 2012</w:t>
      </w:r>
    </w:p>
    <w:p w:rsidR="003F0BC5" w:rsidRPr="00462E99" w:rsidRDefault="003F0BC5" w:rsidP="003F0BC5">
      <w:pPr>
        <w:tabs>
          <w:tab w:val="left" w:pos="397"/>
          <w:tab w:val="left" w:pos="720"/>
        </w:tabs>
        <w:rPr>
          <w:szCs w:val="20"/>
        </w:rPr>
      </w:pPr>
      <w:r w:rsidRPr="00462E99">
        <w:rPr>
          <w:szCs w:val="20"/>
        </w:rPr>
        <w:t>3.2</w:t>
      </w:r>
      <w:r w:rsidRPr="00462E99">
        <w:rPr>
          <w:szCs w:val="20"/>
        </w:rPr>
        <w:tab/>
        <w:t>1 October 2012 – 30 September 2013</w:t>
      </w:r>
    </w:p>
    <w:p w:rsidR="003F0BC5" w:rsidRPr="00462E99" w:rsidRDefault="003F0BC5" w:rsidP="003F0BC5">
      <w:pPr>
        <w:tabs>
          <w:tab w:val="left" w:pos="397"/>
          <w:tab w:val="left" w:pos="720"/>
        </w:tabs>
        <w:rPr>
          <w:szCs w:val="20"/>
        </w:rPr>
      </w:pPr>
      <w:r w:rsidRPr="00462E99">
        <w:rPr>
          <w:szCs w:val="20"/>
        </w:rPr>
        <w:t>3.3</w:t>
      </w:r>
      <w:r w:rsidRPr="00462E99">
        <w:rPr>
          <w:szCs w:val="20"/>
        </w:rPr>
        <w:tab/>
        <w:t>1 October 2013 – 30 September 2014</w:t>
      </w:r>
    </w:p>
    <w:p w:rsidR="003F0BC5" w:rsidRPr="00992199" w:rsidRDefault="003F0BC5" w:rsidP="003F0BC5">
      <w:pPr>
        <w:rPr>
          <w:b/>
          <w:szCs w:val="20"/>
        </w:rPr>
      </w:pPr>
    </w:p>
    <w:p w:rsidR="003F0BC5" w:rsidRPr="00992199" w:rsidRDefault="003F0BC5" w:rsidP="00353B80">
      <w:pPr>
        <w:pStyle w:val="Heading3"/>
        <w:pageBreakBefore/>
      </w:pPr>
      <w:bookmarkStart w:id="151" w:name="_Toc420593963"/>
      <w:r w:rsidRPr="00992199">
        <w:t>ANNEX II: PRO FORMA FINANCIAL INFORMATION</w:t>
      </w:r>
      <w:bookmarkEnd w:id="151"/>
    </w:p>
    <w:p w:rsidR="003F0BC5" w:rsidRPr="00992199" w:rsidRDefault="003F0BC5" w:rsidP="003F0BC5">
      <w:pPr>
        <w:rPr>
          <w:szCs w:val="20"/>
        </w:rPr>
      </w:pPr>
      <w:r w:rsidRPr="00992199">
        <w:rPr>
          <w:szCs w:val="20"/>
        </w:rPr>
        <w:t xml:space="preserve">Description of how the Contributions might have affected the assets and liabilities and earnings of </w:t>
      </w:r>
      <w:r w:rsidR="002A1AB1">
        <w:rPr>
          <w:szCs w:val="20"/>
        </w:rPr>
        <w:t>Greenyard Foods</w:t>
      </w:r>
      <w:r w:rsidRPr="00992199">
        <w:rPr>
          <w:szCs w:val="20"/>
        </w:rPr>
        <w:t>, had the transaction been undertaken at the commencement of the period being reported on or at the date reported.</w:t>
      </w:r>
    </w:p>
    <w:p w:rsidR="003F0BC5" w:rsidRPr="00992199" w:rsidRDefault="003F0BC5" w:rsidP="003F0BC5">
      <w:pPr>
        <w:rPr>
          <w:szCs w:val="20"/>
        </w:rPr>
      </w:pPr>
      <w:r w:rsidRPr="00992199">
        <w:rPr>
          <w:szCs w:val="20"/>
        </w:rPr>
        <w:t xml:space="preserve">Pro forma financial information and report of </w:t>
      </w:r>
      <w:r w:rsidR="002A1AB1">
        <w:rPr>
          <w:szCs w:val="20"/>
        </w:rPr>
        <w:t>Greenyard Foods</w:t>
      </w:r>
      <w:r w:rsidRPr="00992199">
        <w:rPr>
          <w:szCs w:val="20"/>
        </w:rPr>
        <w:t xml:space="preserve"> statutory auditor.</w:t>
      </w:r>
    </w:p>
    <w:p w:rsidR="003F0BC5" w:rsidRPr="00992199" w:rsidRDefault="003F0BC5" w:rsidP="003F0BC5">
      <w:pPr>
        <w:spacing w:after="1080"/>
        <w:rPr>
          <w:b/>
          <w:i/>
          <w:szCs w:val="20"/>
        </w:rPr>
      </w:pPr>
      <w:r w:rsidRPr="00992199">
        <w:rPr>
          <w:b/>
          <w:i/>
          <w:szCs w:val="20"/>
        </w:rPr>
        <w:t>[Note: Scope and extent of pro forma information to be discussed based on FSMA’s feedback]</w:t>
      </w:r>
    </w:p>
    <w:p w:rsidR="003F0BC5" w:rsidRPr="00992199" w:rsidRDefault="003F0BC5" w:rsidP="003520AF">
      <w:pPr>
        <w:pageBreakBefore/>
        <w:jc w:val="center"/>
        <w:rPr>
          <w:b/>
          <w:szCs w:val="20"/>
        </w:rPr>
      </w:pPr>
      <w:r w:rsidRPr="00992199">
        <w:rPr>
          <w:b/>
          <w:szCs w:val="20"/>
          <w:lang w:eastAsia="en-GB"/>
        </w:rPr>
        <w:t>THE COMPANY</w:t>
      </w:r>
    </w:p>
    <w:p w:rsidR="003F0BC5" w:rsidRPr="00992199" w:rsidRDefault="002A1AB1" w:rsidP="003520AF">
      <w:pPr>
        <w:jc w:val="center"/>
        <w:rPr>
          <w:szCs w:val="20"/>
        </w:rPr>
      </w:pPr>
      <w:r>
        <w:rPr>
          <w:b/>
          <w:szCs w:val="20"/>
          <w:lang w:eastAsia="en-GB"/>
        </w:rPr>
        <w:t>Greenyard Foods</w:t>
      </w:r>
      <w:r w:rsidR="003F0BC5" w:rsidRPr="00992199">
        <w:rPr>
          <w:b/>
          <w:szCs w:val="20"/>
          <w:lang w:eastAsia="en-GB"/>
        </w:rPr>
        <w:t xml:space="preserve"> NV</w:t>
      </w:r>
      <w:r w:rsidR="003F0BC5" w:rsidRPr="00992199">
        <w:rPr>
          <w:b/>
          <w:szCs w:val="20"/>
          <w:lang w:eastAsia="en-GB"/>
        </w:rPr>
        <w:br/>
      </w:r>
      <w:r w:rsidR="003520AF" w:rsidRPr="00992199">
        <w:rPr>
          <w:szCs w:val="20"/>
          <w:lang w:eastAsia="en-GB"/>
        </w:rPr>
        <w:t>[</w:t>
      </w:r>
      <w:r w:rsidR="003520AF">
        <w:rPr>
          <w:szCs w:val="20"/>
          <w:lang w:eastAsia="en-GB"/>
        </w:rPr>
        <w:t>●</w:t>
      </w:r>
      <w:r w:rsidR="003520AF" w:rsidRPr="00992199">
        <w:rPr>
          <w:szCs w:val="20"/>
          <w:lang w:eastAsia="en-GB"/>
        </w:rPr>
        <w:t>]</w:t>
      </w:r>
    </w:p>
    <w:p w:rsidR="003520AF" w:rsidRDefault="003520AF" w:rsidP="003520AF">
      <w:pPr>
        <w:jc w:val="center"/>
        <w:rPr>
          <w:b/>
          <w:szCs w:val="20"/>
          <w:lang w:eastAsia="en-GB"/>
        </w:rPr>
      </w:pPr>
    </w:p>
    <w:p w:rsidR="003F0BC5" w:rsidRDefault="003F0BC5" w:rsidP="003520AF">
      <w:pPr>
        <w:jc w:val="center"/>
        <w:rPr>
          <w:szCs w:val="20"/>
          <w:lang w:eastAsia="en-GB"/>
        </w:rPr>
      </w:pPr>
      <w:r w:rsidRPr="00992199">
        <w:rPr>
          <w:b/>
          <w:szCs w:val="20"/>
          <w:lang w:eastAsia="en-GB"/>
        </w:rPr>
        <w:t>LEGAL ADVISERS</w:t>
      </w:r>
      <w:r w:rsidRPr="00992199">
        <w:rPr>
          <w:b/>
          <w:szCs w:val="20"/>
          <w:lang w:eastAsia="en-GB"/>
        </w:rPr>
        <w:br/>
      </w:r>
      <w:r w:rsidR="003520AF" w:rsidRPr="00992199">
        <w:rPr>
          <w:szCs w:val="20"/>
          <w:lang w:eastAsia="en-GB"/>
        </w:rPr>
        <w:t>[</w:t>
      </w:r>
      <w:r w:rsidR="003520AF">
        <w:rPr>
          <w:szCs w:val="20"/>
          <w:lang w:eastAsia="en-GB"/>
        </w:rPr>
        <w:t>●</w:t>
      </w:r>
      <w:r w:rsidR="003520AF" w:rsidRPr="00992199">
        <w:rPr>
          <w:szCs w:val="20"/>
          <w:lang w:eastAsia="en-GB"/>
        </w:rPr>
        <w:t>]</w:t>
      </w:r>
    </w:p>
    <w:p w:rsidR="003520AF" w:rsidRPr="003520AF" w:rsidRDefault="003520AF" w:rsidP="003520AF">
      <w:pPr>
        <w:jc w:val="center"/>
        <w:rPr>
          <w:b/>
          <w:szCs w:val="20"/>
          <w:lang w:eastAsia="en-GB"/>
        </w:rPr>
      </w:pPr>
    </w:p>
    <w:p w:rsidR="003F0BC5" w:rsidRDefault="003F0BC5" w:rsidP="003520AF">
      <w:pPr>
        <w:jc w:val="center"/>
        <w:rPr>
          <w:szCs w:val="20"/>
          <w:lang w:eastAsia="en-GB"/>
        </w:rPr>
      </w:pPr>
      <w:r w:rsidRPr="00992199">
        <w:rPr>
          <w:b/>
          <w:szCs w:val="20"/>
          <w:lang w:eastAsia="en-GB"/>
        </w:rPr>
        <w:t>INDEPENDENT AUDITOR</w:t>
      </w:r>
      <w:r w:rsidRPr="00992199">
        <w:rPr>
          <w:b/>
          <w:szCs w:val="20"/>
          <w:lang w:eastAsia="en-GB"/>
        </w:rPr>
        <w:br/>
      </w:r>
      <w:r w:rsidR="003520AF" w:rsidRPr="00992199">
        <w:rPr>
          <w:szCs w:val="20"/>
          <w:lang w:eastAsia="en-GB"/>
        </w:rPr>
        <w:t>[</w:t>
      </w:r>
      <w:r w:rsidR="003520AF">
        <w:rPr>
          <w:szCs w:val="20"/>
          <w:lang w:eastAsia="en-GB"/>
        </w:rPr>
        <w:t>●</w:t>
      </w:r>
      <w:r w:rsidR="003520AF" w:rsidRPr="00992199">
        <w:rPr>
          <w:szCs w:val="20"/>
          <w:lang w:eastAsia="en-GB"/>
        </w:rPr>
        <w:t>]</w:t>
      </w:r>
    </w:p>
    <w:p w:rsidR="003520AF" w:rsidRPr="00992199" w:rsidRDefault="003520AF" w:rsidP="003520AF">
      <w:pPr>
        <w:jc w:val="center"/>
        <w:rPr>
          <w:szCs w:val="20"/>
        </w:rPr>
      </w:pPr>
    </w:p>
    <w:p w:rsidR="003F0BC5" w:rsidRDefault="003F0BC5" w:rsidP="003520AF">
      <w:pPr>
        <w:jc w:val="center"/>
        <w:rPr>
          <w:szCs w:val="20"/>
          <w:lang w:eastAsia="en-GB"/>
        </w:rPr>
      </w:pPr>
      <w:r w:rsidRPr="00992199">
        <w:rPr>
          <w:b/>
          <w:szCs w:val="20"/>
          <w:lang w:eastAsia="en-GB"/>
        </w:rPr>
        <w:t>ACCOUNTING EXPERT</w:t>
      </w:r>
      <w:r w:rsidRPr="00992199">
        <w:rPr>
          <w:b/>
          <w:szCs w:val="20"/>
          <w:lang w:eastAsia="en-GB"/>
        </w:rPr>
        <w:br/>
      </w:r>
      <w:r w:rsidR="003520AF" w:rsidRPr="00992199">
        <w:rPr>
          <w:szCs w:val="20"/>
          <w:lang w:eastAsia="en-GB"/>
        </w:rPr>
        <w:t>[</w:t>
      </w:r>
      <w:r w:rsidR="003520AF">
        <w:rPr>
          <w:szCs w:val="20"/>
          <w:lang w:eastAsia="en-GB"/>
        </w:rPr>
        <w:t>●</w:t>
      </w:r>
      <w:r w:rsidR="003520AF" w:rsidRPr="00992199">
        <w:rPr>
          <w:szCs w:val="20"/>
          <w:lang w:eastAsia="en-GB"/>
        </w:rPr>
        <w:t>]</w:t>
      </w:r>
    </w:p>
    <w:p w:rsidR="003520AF" w:rsidRPr="00992199" w:rsidRDefault="003520AF" w:rsidP="003520AF">
      <w:pPr>
        <w:jc w:val="center"/>
        <w:rPr>
          <w:szCs w:val="20"/>
        </w:rPr>
      </w:pPr>
    </w:p>
    <w:p w:rsidR="003F0BC5" w:rsidRPr="00992199" w:rsidRDefault="003F0BC5" w:rsidP="003520AF">
      <w:pPr>
        <w:jc w:val="center"/>
        <w:rPr>
          <w:szCs w:val="20"/>
        </w:rPr>
      </w:pPr>
      <w:r w:rsidRPr="00992199">
        <w:rPr>
          <w:b/>
          <w:szCs w:val="20"/>
        </w:rPr>
        <w:t>LISTING AGENT</w:t>
      </w:r>
      <w:r w:rsidR="003520AF">
        <w:rPr>
          <w:b/>
          <w:szCs w:val="20"/>
        </w:rPr>
        <w:br/>
      </w:r>
      <w:r w:rsidRPr="00992199">
        <w:rPr>
          <w:szCs w:val="20"/>
          <w:lang w:eastAsia="en-GB"/>
        </w:rPr>
        <w:t>[</w:t>
      </w:r>
      <w:r w:rsidR="003520AF">
        <w:rPr>
          <w:szCs w:val="20"/>
          <w:lang w:eastAsia="en-GB"/>
        </w:rPr>
        <w:t>●</w:t>
      </w:r>
      <w:r w:rsidRPr="00992199">
        <w:rPr>
          <w:szCs w:val="20"/>
          <w:lang w:eastAsia="en-GB"/>
        </w:rPr>
        <w:t>]</w:t>
      </w:r>
    </w:p>
    <w:p w:rsidR="003F0BC5" w:rsidRPr="003F0BC5" w:rsidRDefault="003F0BC5" w:rsidP="00387FE9">
      <w:pPr>
        <w:pStyle w:val="BodyText"/>
      </w:pPr>
    </w:p>
    <w:sectPr w:rsidR="003F0BC5" w:rsidRPr="003F0BC5" w:rsidSect="003F0BC5">
      <w:footerReference w:type="default" r:id="rId25"/>
      <w:footerReference w:type="first" r:id="rId26"/>
      <w:pgSz w:w="11909" w:h="16834" w:code="9"/>
      <w:pgMar w:top="1440" w:right="1440" w:bottom="1440" w:left="1440"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EA5" w:rsidRDefault="00323EA5" w:rsidP="00F2487C">
      <w:r>
        <w:separator/>
      </w:r>
    </w:p>
  </w:endnote>
  <w:endnote w:type="continuationSeparator" w:id="0">
    <w:p w:rsidR="00323EA5" w:rsidRDefault="00323EA5" w:rsidP="00F24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Arial Black">
    <w:panose1 w:val="020B0A04020102020204"/>
    <w:charset w:val="CC"/>
    <w:family w:val="swiss"/>
    <w:pitch w:val="variable"/>
    <w:sig w:usb0="A00002AF" w:usb1="400078FB"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Times New Roman Bold">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etaOT-Book">
    <w:altName w:val="Calibri"/>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7A1" w:rsidRDefault="00D257A1">
    <w:pPr>
      <w:pStyle w:val="Footer"/>
    </w:pPr>
    <w:r>
      <w:tab/>
      <w:t> </w:t>
    </w:r>
    <w:r>
      <w:fldChar w:fldCharType="begin"/>
    </w:r>
    <w:r>
      <w:instrText xml:space="preserve"> PAGE  \* MERGEFORMAT </w:instrText>
    </w:r>
    <w:r>
      <w:fldChar w:fldCharType="separate"/>
    </w:r>
    <w:r w:rsidR="00D85485">
      <w:rPr>
        <w:noProof/>
      </w:rPr>
      <w:t>11</w:t>
    </w:r>
    <w:r>
      <w:fldChar w:fldCharType="end"/>
    </w:r>
  </w:p>
  <w:p w:rsidR="00D257A1" w:rsidRDefault="00816A67">
    <w:pPr>
      <w:pStyle w:val="Footer"/>
      <w:spacing w:line="20" w:lineRule="exact"/>
    </w:pPr>
    <w:r>
      <w:rPr>
        <w:noProof/>
        <w:lang w:val="en-US" w:eastAsia="zh-CN"/>
      </w:rPr>
      <mc:AlternateContent>
        <mc:Choice Requires="wps">
          <w:drawing>
            <wp:anchor distT="0" distB="0" distL="114300" distR="114300" simplePos="0" relativeHeight="251656192" behindDoc="1" locked="0" layoutInCell="1" allowOverlap="1">
              <wp:simplePos x="0" y="0"/>
              <wp:positionH relativeFrom="margin">
                <wp:posOffset>0</wp:posOffset>
              </wp:positionH>
              <wp:positionV relativeFrom="paragraph">
                <wp:posOffset>-126365</wp:posOffset>
              </wp:positionV>
              <wp:extent cx="2560320" cy="2559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57A1" w:rsidRDefault="00D257A1">
                          <w:pPr>
                            <w:pStyle w:val="MacPacTrailer"/>
                          </w:pPr>
                          <w:fldSimple w:instr=" DOCPROPERTY  docId ">
                            <w:r>
                              <w:t>BRU6726539</w:t>
                            </w:r>
                          </w:fldSimple>
                          <w:r>
                            <w:fldChar w:fldCharType="begin"/>
                          </w:r>
                          <w:r>
                            <w:instrText xml:space="preserve"> IF </w:instrText>
                          </w:r>
                          <w:fldSimple w:instr=" DOCPROPERTY  docIncludeVersion ">
                            <w:r>
                              <w:instrText>true</w:instrText>
                            </w:r>
                          </w:fldSimple>
                          <w:r>
                            <w:instrText xml:space="preserve"> = true "/</w:instrText>
                          </w:r>
                          <w:fldSimple w:instr=" DOCPROPERTY  docVersion ">
                            <w:r>
                              <w:instrText>4</w:instrText>
                            </w:r>
                          </w:fldSimple>
                          <w:r>
                            <w:instrText>"</w:instrText>
                          </w:r>
                          <w:r>
                            <w:fldChar w:fldCharType="separate"/>
                          </w:r>
                          <w:r>
                            <w:rPr>
                              <w:noProof/>
                            </w:rPr>
                            <w:t>/4</w:t>
                          </w:r>
                          <w:r>
                            <w:fldChar w:fldCharType="end"/>
                          </w:r>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165306-0001</w:instrText>
                            </w:r>
                          </w:fldSimple>
                          <w:r>
                            <w:instrText xml:space="preserve">  </w:instrText>
                          </w:r>
                          <w:r>
                            <w:fldChar w:fldCharType="separate"/>
                          </w:r>
                          <w:r>
                            <w:rPr>
                              <w:noProof/>
                            </w:rPr>
                            <w:t>165306-0001</w:t>
                          </w:r>
                          <w:r>
                            <w:fldChar w:fldCharType="end"/>
                          </w:r>
                        </w:p>
                        <w:p w:rsidR="00D257A1" w:rsidRDefault="00D257A1">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9.95pt;width:201.6pt;height:20.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PskrAIAAKk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I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" filled="f" stroked="f">
              <v:textbox inset="0,0,0,0">
                <w:txbxContent>
                  <w:p w:rsidR="00D257A1" w:rsidRDefault="00D257A1">
                    <w:pPr>
                      <w:pStyle w:val="MacPacTrailer"/>
                    </w:pPr>
                    <w:fldSimple w:instr=" DOCPROPERTY  docId ">
                      <w:r>
                        <w:t>BRU6726539</w:t>
                      </w:r>
                    </w:fldSimple>
                    <w:r>
                      <w:fldChar w:fldCharType="begin"/>
                    </w:r>
                    <w:r>
                      <w:instrText xml:space="preserve"> IF </w:instrText>
                    </w:r>
                    <w:fldSimple w:instr=" DOCPROPERTY  docIncludeVersion ">
                      <w:r>
                        <w:instrText>true</w:instrText>
                      </w:r>
                    </w:fldSimple>
                    <w:r>
                      <w:instrText xml:space="preserve"> = true "/</w:instrText>
                    </w:r>
                    <w:fldSimple w:instr=" DOCPROPERTY  docVersion ">
                      <w:r>
                        <w:instrText>4</w:instrText>
                      </w:r>
                    </w:fldSimple>
                    <w:r>
                      <w:instrText>"</w:instrText>
                    </w:r>
                    <w:r>
                      <w:fldChar w:fldCharType="separate"/>
                    </w:r>
                    <w:r>
                      <w:rPr>
                        <w:noProof/>
                      </w:rPr>
                      <w:t>/4</w:t>
                    </w:r>
                    <w:r>
                      <w:fldChar w:fldCharType="end"/>
                    </w:r>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165306-0001</w:instrText>
                      </w:r>
                    </w:fldSimple>
                    <w:r>
                      <w:instrText xml:space="preserve">  </w:instrText>
                    </w:r>
                    <w:r>
                      <w:fldChar w:fldCharType="separate"/>
                    </w:r>
                    <w:r>
                      <w:rPr>
                        <w:noProof/>
                      </w:rPr>
                      <w:t>165306-0001</w:t>
                    </w:r>
                    <w:r>
                      <w:fldChar w:fldCharType="end"/>
                    </w:r>
                  </w:p>
                  <w:p w:rsidR="00D257A1" w:rsidRDefault="00D257A1">
                    <w:pPr>
                      <w:pStyle w:val="MacPacTraile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7A1" w:rsidRDefault="00D257A1">
    <w:pPr>
      <w:pStyle w:val="Footer"/>
    </w:pPr>
    <w:r>
      <w:tab/>
    </w:r>
  </w:p>
  <w:p w:rsidR="00D257A1" w:rsidRDefault="00816A67">
    <w:pPr>
      <w:pStyle w:val="Footer"/>
      <w:spacing w:line="20" w:lineRule="exact"/>
    </w:pPr>
    <w:r>
      <w:rPr>
        <w:noProof/>
        <w:lang w:val="en-US" w:eastAsia="zh-CN"/>
      </w:rPr>
      <mc:AlternateContent>
        <mc:Choice Requires="wps">
          <w:drawing>
            <wp:anchor distT="0" distB="0" distL="114300" distR="114300" simplePos="0" relativeHeight="251657216" behindDoc="1" locked="0" layoutInCell="1" allowOverlap="1">
              <wp:simplePos x="0" y="0"/>
              <wp:positionH relativeFrom="margin">
                <wp:posOffset>0</wp:posOffset>
              </wp:positionH>
              <wp:positionV relativeFrom="paragraph">
                <wp:posOffset>-126365</wp:posOffset>
              </wp:positionV>
              <wp:extent cx="2560320" cy="25590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57A1" w:rsidRDefault="00D257A1">
                          <w:pPr>
                            <w:pStyle w:val="MacPacTrailer"/>
                          </w:pPr>
                          <w:fldSimple w:instr=" DOCPROPERTY  docId ">
                            <w:r>
                              <w:t>BRU6726539</w:t>
                            </w:r>
                          </w:fldSimple>
                          <w:r>
                            <w:fldChar w:fldCharType="begin"/>
                          </w:r>
                          <w:r>
                            <w:instrText xml:space="preserve"> IF </w:instrText>
                          </w:r>
                          <w:fldSimple w:instr=" DOCPROPERTY  docIncludeVersion ">
                            <w:r>
                              <w:instrText>true</w:instrText>
                            </w:r>
                          </w:fldSimple>
                          <w:r>
                            <w:instrText xml:space="preserve"> = true "/</w:instrText>
                          </w:r>
                          <w:fldSimple w:instr=" DOCPROPERTY  docVersion ">
                            <w:r>
                              <w:instrText>4</w:instrText>
                            </w:r>
                          </w:fldSimple>
                          <w:r>
                            <w:instrText>"</w:instrText>
                          </w:r>
                          <w:r>
                            <w:fldChar w:fldCharType="separate"/>
                          </w:r>
                          <w:r>
                            <w:rPr>
                              <w:noProof/>
                            </w:rPr>
                            <w:t>/4</w:t>
                          </w:r>
                          <w:r>
                            <w:fldChar w:fldCharType="end"/>
                          </w:r>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165306-0001</w:instrText>
                            </w:r>
                          </w:fldSimple>
                          <w:r>
                            <w:instrText xml:space="preserve">  </w:instrText>
                          </w:r>
                          <w:r>
                            <w:fldChar w:fldCharType="separate"/>
                          </w:r>
                          <w:r>
                            <w:rPr>
                              <w:noProof/>
                            </w:rPr>
                            <w:t>165306-0001</w:t>
                          </w:r>
                          <w:r>
                            <w:fldChar w:fldCharType="end"/>
                          </w:r>
                        </w:p>
                        <w:p w:rsidR="00D257A1" w:rsidRDefault="00D257A1">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0;margin-top:-9.95pt;width:201.6pt;height:20.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" filled="f" stroked="f">
              <v:textbox inset="0,0,0,0">
                <w:txbxContent>
                  <w:p w:rsidR="00D257A1" w:rsidRDefault="00D257A1">
                    <w:pPr>
                      <w:pStyle w:val="MacPacTrailer"/>
                    </w:pPr>
                    <w:fldSimple w:instr=" DOCPROPERTY  docId ">
                      <w:r>
                        <w:t>BRU6726539</w:t>
                      </w:r>
                    </w:fldSimple>
                    <w:r>
                      <w:fldChar w:fldCharType="begin"/>
                    </w:r>
                    <w:r>
                      <w:instrText xml:space="preserve"> IF </w:instrText>
                    </w:r>
                    <w:fldSimple w:instr=" DOCPROPERTY  docIncludeVersion ">
                      <w:r>
                        <w:instrText>true</w:instrText>
                      </w:r>
                    </w:fldSimple>
                    <w:r>
                      <w:instrText xml:space="preserve"> = true "/</w:instrText>
                    </w:r>
                    <w:fldSimple w:instr=" DOCPROPERTY  docVersion ">
                      <w:r>
                        <w:instrText>4</w:instrText>
                      </w:r>
                    </w:fldSimple>
                    <w:r>
                      <w:instrText>"</w:instrText>
                    </w:r>
                    <w:r>
                      <w:fldChar w:fldCharType="separate"/>
                    </w:r>
                    <w:r>
                      <w:rPr>
                        <w:noProof/>
                      </w:rPr>
                      <w:t>/4</w:t>
                    </w:r>
                    <w:r>
                      <w:fldChar w:fldCharType="end"/>
                    </w:r>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165306-0001</w:instrText>
                      </w:r>
                    </w:fldSimple>
                    <w:r>
                      <w:instrText xml:space="preserve">  </w:instrText>
                    </w:r>
                    <w:r>
                      <w:fldChar w:fldCharType="separate"/>
                    </w:r>
                    <w:r>
                      <w:rPr>
                        <w:noProof/>
                      </w:rPr>
                      <w:t>165306-0001</w:t>
                    </w:r>
                    <w:r>
                      <w:fldChar w:fldCharType="end"/>
                    </w:r>
                  </w:p>
                  <w:p w:rsidR="00D257A1" w:rsidRDefault="00D257A1">
                    <w:pPr>
                      <w:pStyle w:val="MacPacTraile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7A1" w:rsidRDefault="00D257A1" w:rsidP="00C46688">
    <w:pPr>
      <w:pStyle w:val="Footer"/>
      <w:tabs>
        <w:tab w:val="clear" w:pos="8280"/>
        <w:tab w:val="right" w:pos="9015"/>
      </w:tabs>
    </w:pPr>
    <w:r>
      <w:tab/>
    </w:r>
    <w:bookmarkStart w:id="152" w:name="PageLabel"/>
    <w:bookmarkEnd w:id="152"/>
    <w:r>
      <w:t> </w:t>
    </w:r>
    <w:r>
      <w:fldChar w:fldCharType="begin"/>
    </w:r>
    <w:r>
      <w:instrText xml:space="preserve"> PAGE  \* MERGEFORMAT </w:instrText>
    </w:r>
    <w:r>
      <w:fldChar w:fldCharType="separate"/>
    </w:r>
    <w:r w:rsidR="00D85485">
      <w:rPr>
        <w:noProof/>
      </w:rPr>
      <w:t>118</w:t>
    </w:r>
    <w:r>
      <w:fldChar w:fldCharType="end"/>
    </w:r>
  </w:p>
  <w:p w:rsidR="00D257A1" w:rsidRDefault="00816A67">
    <w:pPr>
      <w:pStyle w:val="Footer"/>
      <w:spacing w:line="20" w:lineRule="exact"/>
    </w:pPr>
    <w:r>
      <w:rPr>
        <w:noProof/>
        <w:lang w:val="en-US" w:eastAsia="zh-CN"/>
      </w:rPr>
      <mc:AlternateContent>
        <mc:Choice Requires="wps">
          <w:drawing>
            <wp:anchor distT="0" distB="0" distL="114300" distR="114300" simplePos="0" relativeHeight="251658240" behindDoc="1" locked="0" layoutInCell="1" allowOverlap="1">
              <wp:simplePos x="0" y="0"/>
              <wp:positionH relativeFrom="margin">
                <wp:posOffset>0</wp:posOffset>
              </wp:positionH>
              <wp:positionV relativeFrom="paragraph">
                <wp:posOffset>-126365</wp:posOffset>
              </wp:positionV>
              <wp:extent cx="2560320" cy="2559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57A1" w:rsidRDefault="00D257A1">
                          <w:pPr>
                            <w:pStyle w:val="MacPacTrailer"/>
                          </w:pPr>
                          <w:fldSimple w:instr=" DOCPROPERTY  docId ">
                            <w:r>
                              <w:t>BRU6726539</w:t>
                            </w:r>
                          </w:fldSimple>
                          <w:r>
                            <w:fldChar w:fldCharType="begin"/>
                          </w:r>
                          <w:r>
                            <w:instrText xml:space="preserve"> IF </w:instrText>
                          </w:r>
                          <w:fldSimple w:instr=" DOCPROPERTY  docIncludeVersion ">
                            <w:r>
                              <w:instrText>true</w:instrText>
                            </w:r>
                          </w:fldSimple>
                          <w:r>
                            <w:instrText xml:space="preserve"> = true "/</w:instrText>
                          </w:r>
                          <w:fldSimple w:instr=" DOCPROPERTY  docVersion ">
                            <w:r>
                              <w:instrText>4</w:instrText>
                            </w:r>
                          </w:fldSimple>
                          <w:r>
                            <w:instrText>"</w:instrText>
                          </w:r>
                          <w:r>
                            <w:fldChar w:fldCharType="separate"/>
                          </w:r>
                          <w:r>
                            <w:rPr>
                              <w:noProof/>
                            </w:rPr>
                            <w:t>/4</w:t>
                          </w:r>
                          <w:r>
                            <w:fldChar w:fldCharType="end"/>
                          </w:r>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165306-0001</w:instrText>
                            </w:r>
                          </w:fldSimple>
                          <w:r>
                            <w:instrText xml:space="preserve">  </w:instrText>
                          </w:r>
                          <w:r>
                            <w:fldChar w:fldCharType="separate"/>
                          </w:r>
                          <w:r>
                            <w:rPr>
                              <w:noProof/>
                            </w:rPr>
                            <w:t>165306-0001</w:t>
                          </w:r>
                          <w:r>
                            <w:fldChar w:fldCharType="end"/>
                          </w:r>
                        </w:p>
                        <w:p w:rsidR="00D257A1" w:rsidRDefault="00D257A1">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0;margin-top:-9.95pt;width:201.6pt;height:20.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Hv7rwIAALA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A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" filled="f" stroked="f">
              <v:textbox inset="0,0,0,0">
                <w:txbxContent>
                  <w:p w:rsidR="00D257A1" w:rsidRDefault="00D257A1">
                    <w:pPr>
                      <w:pStyle w:val="MacPacTrailer"/>
                    </w:pPr>
                    <w:fldSimple w:instr=" DOCPROPERTY  docId ">
                      <w:r>
                        <w:t>BRU6726539</w:t>
                      </w:r>
                    </w:fldSimple>
                    <w:r>
                      <w:fldChar w:fldCharType="begin"/>
                    </w:r>
                    <w:r>
                      <w:instrText xml:space="preserve"> IF </w:instrText>
                    </w:r>
                    <w:fldSimple w:instr=" DOCPROPERTY  docIncludeVersion ">
                      <w:r>
                        <w:instrText>true</w:instrText>
                      </w:r>
                    </w:fldSimple>
                    <w:r>
                      <w:instrText xml:space="preserve"> = true "/</w:instrText>
                    </w:r>
                    <w:fldSimple w:instr=" DOCPROPERTY  docVersion ">
                      <w:r>
                        <w:instrText>4</w:instrText>
                      </w:r>
                    </w:fldSimple>
                    <w:r>
                      <w:instrText>"</w:instrText>
                    </w:r>
                    <w:r>
                      <w:fldChar w:fldCharType="separate"/>
                    </w:r>
                    <w:r>
                      <w:rPr>
                        <w:noProof/>
                      </w:rPr>
                      <w:t>/4</w:t>
                    </w:r>
                    <w:r>
                      <w:fldChar w:fldCharType="end"/>
                    </w:r>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165306-0001</w:instrText>
                      </w:r>
                    </w:fldSimple>
                    <w:r>
                      <w:instrText xml:space="preserve">  </w:instrText>
                    </w:r>
                    <w:r>
                      <w:fldChar w:fldCharType="separate"/>
                    </w:r>
                    <w:r>
                      <w:rPr>
                        <w:noProof/>
                      </w:rPr>
                      <w:t>165306-0001</w:t>
                    </w:r>
                    <w:r>
                      <w:fldChar w:fldCharType="end"/>
                    </w:r>
                  </w:p>
                  <w:p w:rsidR="00D257A1" w:rsidRDefault="00D257A1">
                    <w:pPr>
                      <w:pStyle w:val="MacPacTrailer"/>
                    </w:pP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7A1" w:rsidRDefault="00D257A1">
    <w:pPr>
      <w:pStyle w:val="Footer"/>
    </w:pPr>
    <w:r>
      <w:tab/>
    </w:r>
  </w:p>
  <w:p w:rsidR="00D257A1" w:rsidRDefault="00816A67">
    <w:pPr>
      <w:pStyle w:val="Footer"/>
      <w:spacing w:line="20" w:lineRule="exact"/>
    </w:pPr>
    <w:r>
      <w:rPr>
        <w:noProof/>
        <w:lang w:val="en-US" w:eastAsia="zh-CN"/>
      </w:rPr>
      <mc:AlternateContent>
        <mc:Choice Requires="wps">
          <w:drawing>
            <wp:anchor distT="0" distB="0" distL="114300" distR="114300" simplePos="0" relativeHeight="251659264" behindDoc="1" locked="0" layoutInCell="1" allowOverlap="1">
              <wp:simplePos x="0" y="0"/>
              <wp:positionH relativeFrom="margin">
                <wp:posOffset>0</wp:posOffset>
              </wp:positionH>
              <wp:positionV relativeFrom="paragraph">
                <wp:posOffset>-126365</wp:posOffset>
              </wp:positionV>
              <wp:extent cx="2560320" cy="2559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57A1" w:rsidRDefault="00D257A1">
                          <w:pPr>
                            <w:pStyle w:val="MacPacTrailer"/>
                          </w:pPr>
                          <w:fldSimple w:instr=" DOCPROPERTY  docId ">
                            <w:r>
                              <w:t>BRU6726539</w:t>
                            </w:r>
                          </w:fldSimple>
                          <w:r>
                            <w:fldChar w:fldCharType="begin"/>
                          </w:r>
                          <w:r>
                            <w:instrText xml:space="preserve"> IF </w:instrText>
                          </w:r>
                          <w:fldSimple w:instr=" DOCPROPERTY  docIncludeVersion ">
                            <w:r>
                              <w:instrText>true</w:instrText>
                            </w:r>
                          </w:fldSimple>
                          <w:r>
                            <w:instrText xml:space="preserve"> = true "/</w:instrText>
                          </w:r>
                          <w:fldSimple w:instr=" DOCPROPERTY  docVersion ">
                            <w:r>
                              <w:instrText>4</w:instrText>
                            </w:r>
                          </w:fldSimple>
                          <w:r>
                            <w:instrText>"</w:instrText>
                          </w:r>
                          <w:r>
                            <w:fldChar w:fldCharType="separate"/>
                          </w:r>
                          <w:r>
                            <w:rPr>
                              <w:noProof/>
                            </w:rPr>
                            <w:t>/4</w:t>
                          </w:r>
                          <w:r>
                            <w:fldChar w:fldCharType="end"/>
                          </w:r>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165306-0001</w:instrText>
                            </w:r>
                          </w:fldSimple>
                          <w:r>
                            <w:instrText xml:space="preserve">  </w:instrText>
                          </w:r>
                          <w:r>
                            <w:fldChar w:fldCharType="separate"/>
                          </w:r>
                          <w:r>
                            <w:rPr>
                              <w:noProof/>
                            </w:rPr>
                            <w:t>165306-0001</w:t>
                          </w:r>
                          <w:r>
                            <w:fldChar w:fldCharType="end"/>
                          </w:r>
                        </w:p>
                        <w:p w:rsidR="00D257A1" w:rsidRDefault="00D257A1">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0;margin-top:-9.95pt;width:201.6pt;height:20.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" filled="f" stroked="f">
              <v:textbox inset="0,0,0,0">
                <w:txbxContent>
                  <w:p w:rsidR="00D257A1" w:rsidRDefault="00D257A1">
                    <w:pPr>
                      <w:pStyle w:val="MacPacTrailer"/>
                    </w:pPr>
                    <w:fldSimple w:instr=" DOCPROPERTY  docId ">
                      <w:r>
                        <w:t>BRU6726539</w:t>
                      </w:r>
                    </w:fldSimple>
                    <w:r>
                      <w:fldChar w:fldCharType="begin"/>
                    </w:r>
                    <w:r>
                      <w:instrText xml:space="preserve"> IF </w:instrText>
                    </w:r>
                    <w:fldSimple w:instr=" DOCPROPERTY  docIncludeVersion ">
                      <w:r>
                        <w:instrText>true</w:instrText>
                      </w:r>
                    </w:fldSimple>
                    <w:r>
                      <w:instrText xml:space="preserve"> = true "/</w:instrText>
                    </w:r>
                    <w:fldSimple w:instr=" DOCPROPERTY  docVersion ">
                      <w:r>
                        <w:instrText>4</w:instrText>
                      </w:r>
                    </w:fldSimple>
                    <w:r>
                      <w:instrText>"</w:instrText>
                    </w:r>
                    <w:r>
                      <w:fldChar w:fldCharType="separate"/>
                    </w:r>
                    <w:r>
                      <w:rPr>
                        <w:noProof/>
                      </w:rPr>
                      <w:t>/4</w:t>
                    </w:r>
                    <w:r>
                      <w:fldChar w:fldCharType="end"/>
                    </w:r>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165306-0001</w:instrText>
                      </w:r>
                    </w:fldSimple>
                    <w:r>
                      <w:instrText xml:space="preserve">  </w:instrText>
                    </w:r>
                    <w:r>
                      <w:fldChar w:fldCharType="separate"/>
                    </w:r>
                    <w:r>
                      <w:rPr>
                        <w:noProof/>
                      </w:rPr>
                      <w:t>165306-0001</w:t>
                    </w:r>
                    <w:r>
                      <w:fldChar w:fldCharType="end"/>
                    </w:r>
                  </w:p>
                  <w:p w:rsidR="00D257A1" w:rsidRDefault="00D257A1">
                    <w:pPr>
                      <w:pStyle w:val="MacPacTrail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EA5" w:rsidRDefault="00323EA5" w:rsidP="00F2487C">
      <w:r>
        <w:separator/>
      </w:r>
    </w:p>
  </w:footnote>
  <w:footnote w:type="continuationSeparator" w:id="0">
    <w:p w:rsidR="00323EA5" w:rsidRDefault="00323EA5" w:rsidP="00F2487C">
      <w:r>
        <w:continuationSeparator/>
      </w:r>
    </w:p>
  </w:footnote>
  <w:footnote w:id="1">
    <w:p w:rsidR="00D257A1" w:rsidRPr="00F33B98" w:rsidRDefault="00D257A1" w:rsidP="00F33B98">
      <w:pPr>
        <w:pStyle w:val="FootnoteText"/>
        <w:spacing w:before="0" w:after="0"/>
        <w:rPr>
          <w:sz w:val="16"/>
          <w:szCs w:val="16"/>
        </w:rPr>
      </w:pPr>
      <w:r>
        <w:rPr>
          <w:rStyle w:val="FootnoteReference"/>
        </w:rPr>
        <w:footnoteRef/>
      </w:r>
      <w:r>
        <w:t xml:space="preserve"> </w:t>
      </w:r>
      <w:r w:rsidRPr="00F33B98">
        <w:rPr>
          <w:sz w:val="16"/>
          <w:szCs w:val="16"/>
        </w:rPr>
        <w:t xml:space="preserve">Joint Food and Agriculture Organisation/ World Health Organisation Workshop on Fruit &amp; Vegetables for Health, September 2004, </w:t>
      </w:r>
      <w:smartTag w:uri="urn:schemas-microsoft-com:office:smarttags" w:element="place">
        <w:smartTag w:uri="urn:schemas-microsoft-com:office:smarttags" w:element="City">
          <w:r w:rsidRPr="00F33B98">
            <w:rPr>
              <w:sz w:val="16"/>
              <w:szCs w:val="16"/>
            </w:rPr>
            <w:t>Kobe</w:t>
          </w:r>
        </w:smartTag>
        <w:r w:rsidRPr="00F33B98">
          <w:rPr>
            <w:sz w:val="16"/>
            <w:szCs w:val="16"/>
          </w:rPr>
          <w:t xml:space="preserve">, </w:t>
        </w:r>
        <w:smartTag w:uri="urn:schemas-microsoft-com:office:smarttags" w:element="country-region">
          <w:r w:rsidRPr="00F33B98">
            <w:rPr>
              <w:sz w:val="16"/>
              <w:szCs w:val="16"/>
            </w:rPr>
            <w:t>Japan</w:t>
          </w:r>
        </w:smartTag>
      </w:smartTag>
      <w:r w:rsidRPr="00F33B98">
        <w:rPr>
          <w:sz w:val="16"/>
          <w:szCs w:val="16"/>
        </w:rPr>
        <w:t>.</w:t>
      </w:r>
    </w:p>
  </w:footnote>
  <w:footnote w:id="2">
    <w:p w:rsidR="00D257A1" w:rsidRPr="00F33B98" w:rsidRDefault="00D257A1" w:rsidP="00F33B98">
      <w:pPr>
        <w:widowControl w:val="0"/>
        <w:autoSpaceDE w:val="0"/>
        <w:autoSpaceDN w:val="0"/>
        <w:adjustRightInd w:val="0"/>
        <w:spacing w:before="0" w:after="0"/>
        <w:rPr>
          <w:sz w:val="16"/>
          <w:szCs w:val="16"/>
          <w:lang w:val="nl-BE"/>
        </w:rPr>
      </w:pPr>
      <w:r w:rsidRPr="00F33B98">
        <w:rPr>
          <w:rStyle w:val="FootnoteReference"/>
          <w:sz w:val="16"/>
          <w:szCs w:val="16"/>
        </w:rPr>
        <w:footnoteRef/>
      </w:r>
      <w:r w:rsidRPr="00F33B98">
        <w:rPr>
          <w:sz w:val="16"/>
          <w:szCs w:val="16"/>
          <w:lang w:val="nl-BE"/>
        </w:rPr>
        <w:t xml:space="preserve"> Flemish Government, September 2008: Ontwerp van actieplan voeding en beweging 2008-2015.</w:t>
      </w:r>
    </w:p>
  </w:footnote>
  <w:footnote w:id="3">
    <w:p w:rsidR="00D257A1" w:rsidRPr="00F33B98" w:rsidRDefault="00D257A1" w:rsidP="00F33B98">
      <w:pPr>
        <w:pStyle w:val="FootnoteText"/>
        <w:spacing w:before="0" w:after="0"/>
        <w:rPr>
          <w:sz w:val="16"/>
          <w:szCs w:val="16"/>
        </w:rPr>
      </w:pPr>
      <w:r w:rsidRPr="00F33B98">
        <w:rPr>
          <w:sz w:val="16"/>
          <w:szCs w:val="16"/>
          <w:lang w:val="fr-BE"/>
        </w:rPr>
        <w:footnoteRef/>
      </w:r>
      <w:r w:rsidRPr="00F33B98">
        <w:rPr>
          <w:sz w:val="16"/>
          <w:szCs w:val="16"/>
        </w:rPr>
        <w:t xml:space="preserve"> Based on EU gross supply, equalling production + imports – exports. Source: Freshfel Consumption Monitor 2014</w:t>
      </w:r>
      <w:r>
        <w:rPr>
          <w:sz w:val="16"/>
          <w:szCs w:val="16"/>
        </w:rPr>
        <w:t>.</w:t>
      </w:r>
    </w:p>
  </w:footnote>
  <w:footnote w:id="4">
    <w:p w:rsidR="00D257A1" w:rsidRPr="005455CA" w:rsidRDefault="00D257A1" w:rsidP="005455CA">
      <w:pPr>
        <w:ind w:left="357" w:hanging="357"/>
        <w:rPr>
          <w:rStyle w:val="FootnoteTextChar"/>
        </w:rPr>
      </w:pPr>
      <w:r w:rsidRPr="0050049A">
        <w:rPr>
          <w:rStyle w:val="FootnoteReference"/>
          <w:szCs w:val="16"/>
        </w:rPr>
        <w:footnoteRef/>
      </w:r>
      <w:r>
        <w:rPr>
          <w:szCs w:val="16"/>
        </w:rPr>
        <w:tab/>
      </w:r>
      <w:r w:rsidRPr="00D51F51">
        <w:rPr>
          <w:rStyle w:val="FootnoteTextChar"/>
          <w:sz w:val="16"/>
          <w:szCs w:val="16"/>
        </w:rPr>
        <w:t xml:space="preserve">This information is based on a study of 2008, by Co-Concept for the European Peat and Growing Media Industry and relating to the year 2005. Peatinvest considers that the EU market has not significantly changed since 2005. This volume excluded </w:t>
      </w:r>
      <w:smartTag w:uri="urn:schemas-microsoft-com:office:smarttags" w:element="country-region">
        <w:r w:rsidRPr="00D51F51">
          <w:rPr>
            <w:rStyle w:val="FootnoteTextChar"/>
            <w:sz w:val="16"/>
            <w:szCs w:val="16"/>
          </w:rPr>
          <w:t>Poland</w:t>
        </w:r>
      </w:smartTag>
      <w:r w:rsidRPr="00D51F51">
        <w:rPr>
          <w:rStyle w:val="FootnoteTextChar"/>
          <w:sz w:val="16"/>
          <w:szCs w:val="16"/>
        </w:rPr>
        <w:t xml:space="preserve">, </w:t>
      </w:r>
      <w:smartTag w:uri="urn:schemas-microsoft-com:office:smarttags" w:element="country-region">
        <w:smartTag w:uri="urn:schemas-microsoft-com:office:smarttags" w:element="place">
          <w:r w:rsidRPr="00D51F51">
            <w:rPr>
              <w:rStyle w:val="FootnoteTextChar"/>
              <w:sz w:val="16"/>
              <w:szCs w:val="16"/>
            </w:rPr>
            <w:t>Estonia</w:t>
          </w:r>
        </w:smartTag>
      </w:smartTag>
      <w:r w:rsidRPr="00D51F51">
        <w:rPr>
          <w:rStyle w:val="FootnoteTextChar"/>
          <w:sz w:val="16"/>
          <w:szCs w:val="16"/>
        </w:rPr>
        <w:t xml:space="preserve"> and other countries with smaller industrial production.</w:t>
      </w:r>
    </w:p>
  </w:footnote>
  <w:footnote w:id="5">
    <w:p w:rsidR="00D257A1" w:rsidRPr="00215A40" w:rsidRDefault="00D257A1" w:rsidP="005455CA">
      <w:pPr>
        <w:ind w:left="357" w:hanging="357"/>
      </w:pPr>
      <w:r>
        <w:rPr>
          <w:rStyle w:val="FootnoteReference"/>
          <w:szCs w:val="20"/>
        </w:rPr>
        <w:footnoteRef/>
      </w:r>
      <w:r>
        <w:rPr>
          <w:szCs w:val="20"/>
        </w:rPr>
        <w:tab/>
      </w:r>
      <w:r w:rsidRPr="00D51F51">
        <w:rPr>
          <w:sz w:val="16"/>
          <w:szCs w:val="16"/>
        </w:rPr>
        <w:t xml:space="preserve">This information is based on a study of 2008, by Co-Concept for the European Peat and Growing Media Industry and relating to the year 2005. Peatinvest considers that the EU market has not significantly changed since 2005. This volume excluded </w:t>
      </w:r>
      <w:smartTag w:uri="urn:schemas-microsoft-com:office:smarttags" w:element="country-region">
        <w:r w:rsidRPr="00D51F51">
          <w:rPr>
            <w:sz w:val="16"/>
            <w:szCs w:val="16"/>
          </w:rPr>
          <w:t>Poland</w:t>
        </w:r>
      </w:smartTag>
      <w:r w:rsidRPr="00D51F51">
        <w:rPr>
          <w:sz w:val="16"/>
          <w:szCs w:val="16"/>
        </w:rPr>
        <w:t xml:space="preserve">, </w:t>
      </w:r>
      <w:smartTag w:uri="urn:schemas-microsoft-com:office:smarttags" w:element="country-region">
        <w:smartTag w:uri="urn:schemas-microsoft-com:office:smarttags" w:element="place">
          <w:r w:rsidRPr="00D51F51">
            <w:rPr>
              <w:sz w:val="16"/>
              <w:szCs w:val="16"/>
            </w:rPr>
            <w:t>Estonia</w:t>
          </w:r>
        </w:smartTag>
      </w:smartTag>
      <w:r w:rsidRPr="00D51F51">
        <w:rPr>
          <w:sz w:val="16"/>
          <w:szCs w:val="16"/>
        </w:rPr>
        <w:t xml:space="preserve"> and other countries with smaller industrial production.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7A1" w:rsidRDefault="00D257A1" w:rsidP="00A07615">
    <w:pPr>
      <w:pStyle w:val="Header"/>
      <w:rPr>
        <w:lang w:val="fr-BE"/>
      </w:rPr>
    </w:pPr>
    <w:r>
      <w:rPr>
        <w:lang w:val="fr-BE"/>
      </w:rPr>
      <w:t>Global Universe</w:t>
    </w:r>
  </w:p>
  <w:p w:rsidR="00D257A1" w:rsidRPr="00A07615" w:rsidRDefault="00D257A1" w:rsidP="00A07615">
    <w:pPr>
      <w:pStyle w:val="Header"/>
      <w:spacing w:before="0"/>
      <w:rPr>
        <w:lang w:val="fr-BE"/>
      </w:rPr>
    </w:pPr>
    <w:r>
      <w:rPr>
        <w:lang w:val="fr-BE"/>
      </w:rPr>
      <w:t xml:space="preserve">Draft prospectus </w:t>
    </w:r>
    <w:r>
      <w:rPr>
        <w:lang w:val="fr-BE"/>
      </w:rPr>
      <w:fldChar w:fldCharType="begin"/>
    </w:r>
    <w:r>
      <w:instrText xml:space="preserve"> DATE \@ "dd MMMM yyyy" </w:instrText>
    </w:r>
    <w:r>
      <w:rPr>
        <w:lang w:val="fr-BE"/>
      </w:rPr>
      <w:fldChar w:fldCharType="separate"/>
    </w:r>
    <w:r w:rsidR="00816A67">
      <w:rPr>
        <w:noProof/>
      </w:rPr>
      <w:t>04 September 2018</w:t>
    </w:r>
    <w:r>
      <w:rPr>
        <w:lang w:val="fr-B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17D8"/>
    <w:multiLevelType w:val="multilevel"/>
    <w:tmpl w:val="466C18CE"/>
    <w:name w:val="zzmpFWBanking1||FW Banking1|2|3|0|1|0|41||1|0|33||1|0|32||1|0|32||1|0|32||1|0|32||1|0|32||1|0|32||mpNA||"/>
    <w:lvl w:ilvl="0">
      <w:start w:val="1"/>
      <w:numFmt w:val="decimal"/>
      <w:pStyle w:val="FWBanking1L1"/>
      <w:lvlText w:val="%1."/>
      <w:lvlJc w:val="left"/>
      <w:pPr>
        <w:tabs>
          <w:tab w:val="num" w:pos="720"/>
        </w:tabs>
        <w:ind w:left="0" w:firstLine="0"/>
      </w:pPr>
      <w:rPr>
        <w:rFonts w:ascii="Times New Roman" w:hAnsi="Times New Roman" w:cs="Times New Roman"/>
        <w:b/>
        <w:i w:val="0"/>
        <w:caps w:val="0"/>
        <w:color w:val="auto"/>
        <w:sz w:val="22"/>
        <w:u w:val="none"/>
      </w:rPr>
    </w:lvl>
    <w:lvl w:ilvl="1">
      <w:start w:val="1"/>
      <w:numFmt w:val="decimal"/>
      <w:pStyle w:val="FWBanking1L2"/>
      <w:lvlText w:val="%1.%2"/>
      <w:lvlJc w:val="left"/>
      <w:pPr>
        <w:tabs>
          <w:tab w:val="num" w:pos="720"/>
        </w:tabs>
        <w:ind w:left="0" w:firstLine="0"/>
      </w:pPr>
      <w:rPr>
        <w:rFonts w:ascii="Times New Roman" w:hAnsi="Times New Roman" w:cs="Times New Roman"/>
        <w:b/>
        <w:i w:val="0"/>
        <w:caps w:val="0"/>
        <w:color w:val="auto"/>
        <w:sz w:val="22"/>
        <w:u w:val="none"/>
      </w:rPr>
    </w:lvl>
    <w:lvl w:ilvl="2">
      <w:start w:val="1"/>
      <w:numFmt w:val="lowerLetter"/>
      <w:pStyle w:val="FWBanking1L3"/>
      <w:lvlText w:val="(%3)"/>
      <w:lvlJc w:val="left"/>
      <w:pPr>
        <w:tabs>
          <w:tab w:val="num" w:pos="720"/>
        </w:tabs>
        <w:ind w:left="720" w:hanging="720"/>
      </w:pPr>
      <w:rPr>
        <w:rFonts w:ascii="Times New Roman" w:hAnsi="Times New Roman" w:cs="Times New Roman"/>
        <w:b w:val="0"/>
        <w:i w:val="0"/>
        <w:caps w:val="0"/>
        <w:color w:val="auto"/>
        <w:sz w:val="22"/>
        <w:u w:val="none"/>
      </w:rPr>
    </w:lvl>
    <w:lvl w:ilvl="3">
      <w:start w:val="1"/>
      <w:numFmt w:val="lowerRoman"/>
      <w:pStyle w:val="FWBanking1L4"/>
      <w:lvlText w:val="(%4)"/>
      <w:lvlJc w:val="left"/>
      <w:pPr>
        <w:tabs>
          <w:tab w:val="num" w:pos="1440"/>
        </w:tabs>
        <w:ind w:left="1440" w:hanging="720"/>
      </w:pPr>
      <w:rPr>
        <w:rFonts w:ascii="Times New Roman" w:hAnsi="Times New Roman" w:cs="Times New Roman"/>
        <w:b w:val="0"/>
        <w:i w:val="0"/>
        <w:caps w:val="0"/>
        <w:color w:val="auto"/>
        <w:sz w:val="22"/>
        <w:u w:val="none"/>
      </w:rPr>
    </w:lvl>
    <w:lvl w:ilvl="4">
      <w:start w:val="1"/>
      <w:numFmt w:val="upperLetter"/>
      <w:pStyle w:val="FWBanking1L5"/>
      <w:lvlText w:val="(%5)"/>
      <w:lvlJc w:val="left"/>
      <w:pPr>
        <w:tabs>
          <w:tab w:val="num" w:pos="2160"/>
        </w:tabs>
        <w:ind w:left="2160" w:hanging="720"/>
      </w:pPr>
      <w:rPr>
        <w:rFonts w:ascii="Times New Roman" w:hAnsi="Times New Roman" w:cs="Times New Roman"/>
        <w:b w:val="0"/>
        <w:i w:val="0"/>
        <w:caps w:val="0"/>
        <w:color w:val="auto"/>
        <w:sz w:val="22"/>
        <w:u w:val="none"/>
      </w:rPr>
    </w:lvl>
    <w:lvl w:ilvl="5">
      <w:start w:val="1"/>
      <w:numFmt w:val="upperRoman"/>
      <w:pStyle w:val="FWBanking1L6"/>
      <w:lvlText w:val="(%6)"/>
      <w:lvlJc w:val="left"/>
      <w:pPr>
        <w:tabs>
          <w:tab w:val="num" w:pos="2880"/>
        </w:tabs>
        <w:ind w:left="2880" w:hanging="720"/>
      </w:pPr>
      <w:rPr>
        <w:rFonts w:ascii="Times New Roman" w:hAnsi="Times New Roman" w:cs="Times New Roman"/>
        <w:b w:val="0"/>
        <w:i w:val="0"/>
        <w:caps w:val="0"/>
        <w:color w:val="auto"/>
        <w:sz w:val="22"/>
        <w:u w:val="none"/>
      </w:rPr>
    </w:lvl>
    <w:lvl w:ilvl="6">
      <w:start w:val="27"/>
      <w:numFmt w:val="lowerLetter"/>
      <w:pStyle w:val="FWBanking1L7"/>
      <w:lvlText w:val="(%7)"/>
      <w:lvlJc w:val="left"/>
      <w:pPr>
        <w:tabs>
          <w:tab w:val="num" w:pos="3600"/>
        </w:tabs>
        <w:ind w:left="3600" w:hanging="720"/>
      </w:pPr>
      <w:rPr>
        <w:rFonts w:ascii="Times New Roman" w:hAnsi="Times New Roman" w:cs="Times New Roman"/>
        <w:b w:val="0"/>
        <w:i w:val="0"/>
        <w:caps w:val="0"/>
        <w:color w:val="auto"/>
        <w:sz w:val="22"/>
        <w:u w:val="none"/>
      </w:rPr>
    </w:lvl>
    <w:lvl w:ilvl="7">
      <w:start w:val="1"/>
      <w:numFmt w:val="decimal"/>
      <w:pStyle w:val="FWBanking1L8"/>
      <w:lvlText w:val="(%8)"/>
      <w:lvlJc w:val="left"/>
      <w:pPr>
        <w:tabs>
          <w:tab w:val="num" w:pos="4320"/>
        </w:tabs>
        <w:ind w:left="4320" w:hanging="720"/>
      </w:pPr>
      <w:rPr>
        <w:rFonts w:ascii="Times New Roman" w:hAnsi="Times New Roman" w:cs="Times New Roman"/>
        <w:b w:val="0"/>
        <w:i w:val="0"/>
        <w:caps w:val="0"/>
        <w:color w:val="auto"/>
        <w:sz w:val="22"/>
        <w:u w:val="none"/>
      </w:rPr>
    </w:lvl>
    <w:lvl w:ilvl="8">
      <w:start w:val="1"/>
      <w:numFmt w:val="lowerRoman"/>
      <w:lvlText w:val="%9."/>
      <w:lvlJc w:val="left"/>
      <w:pPr>
        <w:tabs>
          <w:tab w:val="num" w:pos="3240"/>
        </w:tabs>
        <w:ind w:left="3240" w:hanging="360"/>
      </w:pPr>
    </w:lvl>
  </w:abstractNum>
  <w:abstractNum w:abstractNumId="1" w15:restartNumberingAfterBreak="0">
    <w:nsid w:val="01ED13DE"/>
    <w:multiLevelType w:val="multilevel"/>
    <w:tmpl w:val="CD6404BA"/>
    <w:lvl w:ilvl="0">
      <w:start w:val="1"/>
      <w:numFmt w:val="decimal"/>
      <w:pStyle w:val="FWParties"/>
      <w:lvlText w:val="(%1)"/>
      <w:lvlJc w:val="left"/>
      <w:pPr>
        <w:ind w:left="720" w:hanging="720"/>
      </w:pPr>
      <w:rPr>
        <w:rFonts w:hint="default"/>
      </w:rPr>
    </w:lvl>
    <w:lvl w:ilvl="1">
      <w:start w:val="1"/>
      <w:numFmt w:val="none"/>
      <w:lvlText w:val="%2."/>
      <w:lvlJc w:val="left"/>
      <w:pPr>
        <w:ind w:left="720" w:hanging="720"/>
      </w:pPr>
      <w:rPr>
        <w:rFonts w:hint="default"/>
      </w:rPr>
    </w:lvl>
    <w:lvl w:ilvl="2">
      <w:start w:val="1"/>
      <w:numFmt w:val="none"/>
      <w:lvlText w:val="%3."/>
      <w:lvlJc w:val="right"/>
      <w:pPr>
        <w:ind w:left="720" w:hanging="720"/>
      </w:pPr>
      <w:rPr>
        <w:rFonts w:hint="default"/>
      </w:rPr>
    </w:lvl>
    <w:lvl w:ilvl="3">
      <w:start w:val="1"/>
      <w:numFmt w:val="none"/>
      <w:lvlText w:val="%4."/>
      <w:lvlJc w:val="left"/>
      <w:pPr>
        <w:ind w:left="720" w:hanging="720"/>
      </w:pPr>
      <w:rPr>
        <w:rFonts w:hint="default"/>
      </w:rPr>
    </w:lvl>
    <w:lvl w:ilvl="4">
      <w:start w:val="1"/>
      <w:numFmt w:val="none"/>
      <w:lvlText w:val="%5."/>
      <w:lvlJc w:val="left"/>
      <w:pPr>
        <w:ind w:left="720" w:hanging="720"/>
      </w:pPr>
      <w:rPr>
        <w:rFonts w:hint="default"/>
      </w:rPr>
    </w:lvl>
    <w:lvl w:ilvl="5">
      <w:start w:val="1"/>
      <w:numFmt w:val="none"/>
      <w:lvlText w:val="%6."/>
      <w:lvlJc w:val="right"/>
      <w:pPr>
        <w:ind w:left="720" w:hanging="720"/>
      </w:pPr>
      <w:rPr>
        <w:rFonts w:hint="default"/>
      </w:rPr>
    </w:lvl>
    <w:lvl w:ilvl="6">
      <w:start w:val="1"/>
      <w:numFmt w:val="none"/>
      <w:lvlText w:val="%7."/>
      <w:lvlJc w:val="left"/>
      <w:pPr>
        <w:ind w:left="720" w:hanging="720"/>
      </w:pPr>
      <w:rPr>
        <w:rFonts w:hint="default"/>
      </w:rPr>
    </w:lvl>
    <w:lvl w:ilvl="7">
      <w:start w:val="1"/>
      <w:numFmt w:val="none"/>
      <w:lvlText w:val="%8."/>
      <w:lvlJc w:val="left"/>
      <w:pPr>
        <w:ind w:left="720" w:hanging="720"/>
      </w:pPr>
      <w:rPr>
        <w:rFonts w:hint="default"/>
      </w:rPr>
    </w:lvl>
    <w:lvl w:ilvl="8">
      <w:start w:val="1"/>
      <w:numFmt w:val="none"/>
      <w:lvlText w:val="%9."/>
      <w:lvlJc w:val="right"/>
      <w:pPr>
        <w:ind w:left="720" w:hanging="720"/>
      </w:pPr>
      <w:rPr>
        <w:rFonts w:hint="default"/>
      </w:rPr>
    </w:lvl>
  </w:abstractNum>
  <w:abstractNum w:abstractNumId="2" w15:restartNumberingAfterBreak="0">
    <w:nsid w:val="118F4AD6"/>
    <w:multiLevelType w:val="hybridMultilevel"/>
    <w:tmpl w:val="5E82F55A"/>
    <w:lvl w:ilvl="0" w:tplc="F182BB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67F01"/>
    <w:multiLevelType w:val="multilevel"/>
    <w:tmpl w:val="0B2CDF40"/>
    <w:lvl w:ilvl="0">
      <w:start w:val="1"/>
      <w:numFmt w:val="upperLetter"/>
      <w:pStyle w:val="FWRecitals"/>
      <w:lvlText w:val="(%1)"/>
      <w:lvlJc w:val="left"/>
      <w:pPr>
        <w:tabs>
          <w:tab w:val="num" w:pos="720"/>
        </w:tabs>
        <w:ind w:left="720" w:hanging="720"/>
      </w:pPr>
      <w:rPr>
        <w:b w:val="0"/>
        <w:i w:val="0"/>
        <w:caps w:val="0"/>
        <w:u w:val="none"/>
      </w:rPr>
    </w:lvl>
    <w:lvl w:ilvl="1">
      <w:start w:val="1"/>
      <w:numFmt w:val="none"/>
      <w:suff w:val="nothing"/>
      <w:lvlText w:val=""/>
      <w:lvlJc w:val="left"/>
      <w:pPr>
        <w:tabs>
          <w:tab w:val="num" w:pos="720"/>
        </w:tabs>
        <w:ind w:left="0" w:firstLine="0"/>
      </w:pPr>
      <w:rPr>
        <w:b w:val="0"/>
        <w:i w:val="0"/>
        <w:caps w:val="0"/>
        <w:color w:val="auto"/>
        <w:u w:val="none"/>
      </w:rPr>
    </w:lvl>
    <w:lvl w:ilvl="2">
      <w:start w:val="1"/>
      <w:numFmt w:val="none"/>
      <w:suff w:val="nothing"/>
      <w:lvlText w:val=""/>
      <w:lvlJc w:val="left"/>
      <w:pPr>
        <w:tabs>
          <w:tab w:val="num" w:pos="720"/>
        </w:tabs>
        <w:ind w:left="0" w:firstLine="0"/>
      </w:pPr>
      <w:rPr>
        <w:b w:val="0"/>
        <w:i w:val="0"/>
        <w:caps w:val="0"/>
        <w:color w:val="auto"/>
        <w:u w:val="none"/>
      </w:rPr>
    </w:lvl>
    <w:lvl w:ilvl="3">
      <w:start w:val="1"/>
      <w:numFmt w:val="none"/>
      <w:suff w:val="nothing"/>
      <w:lvlText w:val=""/>
      <w:lvlJc w:val="left"/>
      <w:pPr>
        <w:tabs>
          <w:tab w:val="num" w:pos="720"/>
        </w:tabs>
        <w:ind w:left="0" w:firstLine="0"/>
      </w:pPr>
      <w:rPr>
        <w:b w:val="0"/>
        <w:i w:val="0"/>
        <w:caps w:val="0"/>
        <w:color w:val="auto"/>
        <w:u w:val="none"/>
      </w:rPr>
    </w:lvl>
    <w:lvl w:ilvl="4">
      <w:start w:val="1"/>
      <w:numFmt w:val="none"/>
      <w:suff w:val="nothing"/>
      <w:lvlText w:val=""/>
      <w:lvlJc w:val="left"/>
      <w:pPr>
        <w:tabs>
          <w:tab w:val="num" w:pos="720"/>
        </w:tabs>
        <w:ind w:left="0" w:firstLine="0"/>
      </w:pPr>
      <w:rPr>
        <w:rFonts w:ascii="Symbol" w:hAnsi="Symbol" w:hint="default"/>
        <w:b w:val="0"/>
        <w:i w:val="0"/>
        <w:caps w:val="0"/>
        <w:color w:val="auto"/>
        <w:u w:val="none"/>
      </w:rPr>
    </w:lvl>
    <w:lvl w:ilvl="5">
      <w:start w:val="1"/>
      <w:numFmt w:val="none"/>
      <w:suff w:val="nothing"/>
      <w:lvlText w:val=""/>
      <w:lvlJc w:val="left"/>
      <w:pPr>
        <w:tabs>
          <w:tab w:val="num" w:pos="720"/>
        </w:tabs>
        <w:ind w:left="0" w:firstLine="0"/>
      </w:pPr>
      <w:rPr>
        <w:rFonts w:ascii="Symbol" w:hAnsi="Symbol" w:hint="default"/>
        <w:b w:val="0"/>
        <w:i w:val="0"/>
        <w:caps w:val="0"/>
        <w:color w:val="auto"/>
        <w:u w:val="none"/>
      </w:rPr>
    </w:lvl>
    <w:lvl w:ilvl="6">
      <w:start w:val="1"/>
      <w:numFmt w:val="none"/>
      <w:suff w:val="nothing"/>
      <w:lvlText w:val=""/>
      <w:lvlJc w:val="left"/>
      <w:pPr>
        <w:tabs>
          <w:tab w:val="num" w:pos="720"/>
        </w:tabs>
        <w:ind w:left="0" w:firstLine="0"/>
      </w:pPr>
      <w:rPr>
        <w:rFonts w:ascii="Symbol" w:hAnsi="Symbol" w:hint="default"/>
        <w:b w:val="0"/>
        <w:i w:val="0"/>
        <w:caps w:val="0"/>
        <w:color w:val="auto"/>
        <w:u w:val="none"/>
      </w:rPr>
    </w:lvl>
    <w:lvl w:ilvl="7">
      <w:start w:val="1"/>
      <w:numFmt w:val="none"/>
      <w:suff w:val="nothing"/>
      <w:lvlText w:val=""/>
      <w:lvlJc w:val="left"/>
      <w:pPr>
        <w:tabs>
          <w:tab w:val="num" w:pos="720"/>
        </w:tabs>
        <w:ind w:left="0" w:firstLine="0"/>
      </w:pPr>
      <w:rPr>
        <w:rFonts w:ascii="Symbol" w:hAnsi="Symbol" w:hint="default"/>
        <w:b w:val="0"/>
        <w:i w:val="0"/>
        <w:caps w:val="0"/>
        <w:color w:val="auto"/>
        <w:u w:val="none"/>
      </w:rPr>
    </w:lvl>
    <w:lvl w:ilvl="8">
      <w:start w:val="1"/>
      <w:numFmt w:val="none"/>
      <w:suff w:val="nothing"/>
      <w:lvlText w:val=""/>
      <w:lvlJc w:val="left"/>
      <w:pPr>
        <w:tabs>
          <w:tab w:val="num" w:pos="720"/>
        </w:tabs>
        <w:ind w:left="0" w:firstLine="0"/>
      </w:pPr>
      <w:rPr>
        <w:rFonts w:ascii="Symbol" w:hAnsi="Symbol" w:hint="default"/>
        <w:b w:val="0"/>
        <w:i w:val="0"/>
        <w:caps w:val="0"/>
        <w:color w:val="auto"/>
        <w:u w:val="none"/>
      </w:rPr>
    </w:lvl>
  </w:abstractNum>
  <w:abstractNum w:abstractNumId="4" w15:restartNumberingAfterBreak="0">
    <w:nsid w:val="1E8F7C68"/>
    <w:multiLevelType w:val="multilevel"/>
    <w:tmpl w:val="0130E650"/>
    <w:lvl w:ilvl="0">
      <w:start w:val="1"/>
      <w:numFmt w:val="decimal"/>
      <w:pStyle w:val="MarginNo"/>
      <w:lvlText w:val="%1."/>
      <w:lvlJc w:val="left"/>
      <w:pPr>
        <w:ind w:left="720" w:hanging="720"/>
      </w:pPr>
      <w:rPr>
        <w:rFonts w:hint="default"/>
      </w:rPr>
    </w:lvl>
    <w:lvl w:ilvl="1">
      <w:start w:val="1"/>
      <w:numFmt w:val="none"/>
      <w:lvlText w:val="%2"/>
      <w:lvlJc w:val="left"/>
      <w:pPr>
        <w:ind w:left="720" w:hanging="720"/>
      </w:pPr>
      <w:rPr>
        <w:rFonts w:hint="default"/>
      </w:rPr>
    </w:lvl>
    <w:lvl w:ilvl="2">
      <w:start w:val="1"/>
      <w:numFmt w:val="none"/>
      <w:lvlText w:val="%3"/>
      <w:lvlJc w:val="right"/>
      <w:pPr>
        <w:ind w:left="720" w:hanging="720"/>
      </w:pPr>
      <w:rPr>
        <w:rFonts w:hint="default"/>
      </w:rPr>
    </w:lvl>
    <w:lvl w:ilvl="3">
      <w:start w:val="1"/>
      <w:numFmt w:val="none"/>
      <w:lvlText w:val="%4"/>
      <w:lvlJc w:val="left"/>
      <w:pPr>
        <w:ind w:left="720" w:hanging="720"/>
      </w:pPr>
      <w:rPr>
        <w:rFonts w:hint="default"/>
      </w:rPr>
    </w:lvl>
    <w:lvl w:ilvl="4">
      <w:start w:val="1"/>
      <w:numFmt w:val="none"/>
      <w:lvlText w:val="%5"/>
      <w:lvlJc w:val="left"/>
      <w:pPr>
        <w:ind w:left="720" w:hanging="720"/>
      </w:pPr>
      <w:rPr>
        <w:rFonts w:hint="default"/>
      </w:rPr>
    </w:lvl>
    <w:lvl w:ilvl="5">
      <w:start w:val="1"/>
      <w:numFmt w:val="none"/>
      <w:lvlText w:val="%6"/>
      <w:lvlJc w:val="right"/>
      <w:pPr>
        <w:ind w:left="720" w:hanging="720"/>
      </w:pPr>
      <w:rPr>
        <w:rFonts w:hint="default"/>
      </w:rPr>
    </w:lvl>
    <w:lvl w:ilvl="6">
      <w:start w:val="1"/>
      <w:numFmt w:val="none"/>
      <w:lvlText w:val="%7"/>
      <w:lvlJc w:val="left"/>
      <w:pPr>
        <w:ind w:left="720" w:hanging="720"/>
      </w:pPr>
      <w:rPr>
        <w:rFonts w:hint="default"/>
      </w:rPr>
    </w:lvl>
    <w:lvl w:ilvl="7">
      <w:start w:val="1"/>
      <w:numFmt w:val="none"/>
      <w:lvlText w:val="%8"/>
      <w:lvlJc w:val="left"/>
      <w:pPr>
        <w:ind w:left="720" w:hanging="720"/>
      </w:pPr>
      <w:rPr>
        <w:rFonts w:hint="default"/>
      </w:rPr>
    </w:lvl>
    <w:lvl w:ilvl="8">
      <w:start w:val="1"/>
      <w:numFmt w:val="none"/>
      <w:lvlText w:val="%9"/>
      <w:lvlJc w:val="right"/>
      <w:pPr>
        <w:ind w:left="720" w:hanging="720"/>
      </w:pPr>
      <w:rPr>
        <w:rFonts w:hint="default"/>
      </w:rPr>
    </w:lvl>
  </w:abstractNum>
  <w:abstractNum w:abstractNumId="5" w15:restartNumberingAfterBreak="0">
    <w:nsid w:val="30AD0CD5"/>
    <w:multiLevelType w:val="multilevel"/>
    <w:tmpl w:val="AB74168A"/>
    <w:name w:val="zzmpBullets||z_Bullets|2|5|1|1|0|32||1|0|32||1|2|32||1|0|32||1|0|32||1|0|32||1|0|32||1|0|32||1|0|32||"/>
    <w:lvl w:ilvl="0">
      <w:start w:val="1"/>
      <w:numFmt w:val="bullet"/>
      <w:pStyle w:val="BulletsL1"/>
      <w:lvlText w:val=""/>
      <w:lvlJc w:val="left"/>
      <w:pPr>
        <w:tabs>
          <w:tab w:val="num" w:pos="720"/>
        </w:tabs>
        <w:ind w:left="720" w:hanging="720"/>
      </w:pPr>
      <w:rPr>
        <w:rFonts w:ascii="Symbol" w:hAnsi="Symbol" w:hint="default"/>
        <w:b/>
        <w:i w:val="0"/>
        <w:caps w:val="0"/>
        <w:color w:val="auto"/>
        <w:u w:val="none"/>
      </w:rPr>
    </w:lvl>
    <w:lvl w:ilvl="1">
      <w:start w:val="1"/>
      <w:numFmt w:val="bullet"/>
      <w:lvlRestart w:val="0"/>
      <w:pStyle w:val="BulletsL2"/>
      <w:lvlText w:val=""/>
      <w:lvlJc w:val="left"/>
      <w:pPr>
        <w:tabs>
          <w:tab w:val="num" w:pos="1440"/>
        </w:tabs>
        <w:ind w:left="1440" w:hanging="720"/>
      </w:pPr>
      <w:rPr>
        <w:rFonts w:ascii="Symbol" w:hAnsi="Symbol" w:hint="default"/>
        <w:b/>
        <w:i w:val="0"/>
        <w:caps w:val="0"/>
        <w:color w:val="auto"/>
        <w:sz w:val="20"/>
        <w:u w:val="none"/>
      </w:rPr>
    </w:lvl>
    <w:lvl w:ilvl="2">
      <w:start w:val="1"/>
      <w:numFmt w:val="bullet"/>
      <w:lvlRestart w:val="0"/>
      <w:pStyle w:val="BulletsL3"/>
      <w:lvlText w:val="·"/>
      <w:lvlJc w:val="left"/>
      <w:pPr>
        <w:tabs>
          <w:tab w:val="num" w:pos="2160"/>
        </w:tabs>
        <w:ind w:left="2160" w:hanging="720"/>
      </w:pPr>
      <w:rPr>
        <w:rFonts w:ascii="Symbol" w:hAnsi="Symbol" w:hint="default"/>
        <w:b/>
        <w:i w:val="0"/>
        <w:caps w:val="0"/>
        <w:color w:val="auto"/>
        <w:sz w:val="24"/>
        <w:u w:val="none"/>
      </w:rPr>
    </w:lvl>
    <w:lvl w:ilvl="3">
      <w:start w:val="1"/>
      <w:numFmt w:val="bullet"/>
      <w:lvlRestart w:val="0"/>
      <w:pStyle w:val="BulletsL4"/>
      <w:lvlText w:val="·"/>
      <w:lvlJc w:val="left"/>
      <w:pPr>
        <w:tabs>
          <w:tab w:val="num" w:pos="2880"/>
        </w:tabs>
        <w:ind w:left="2880" w:hanging="720"/>
      </w:pPr>
      <w:rPr>
        <w:rFonts w:ascii="Symbol" w:hAnsi="Symbol" w:hint="default"/>
        <w:b/>
        <w:i w:val="0"/>
        <w:caps w:val="0"/>
        <w:color w:val="auto"/>
        <w:sz w:val="24"/>
        <w:u w:val="none"/>
      </w:rPr>
    </w:lvl>
    <w:lvl w:ilvl="4">
      <w:start w:val="1"/>
      <w:numFmt w:val="bullet"/>
      <w:lvlRestart w:val="0"/>
      <w:pStyle w:val="BulletsL5"/>
      <w:lvlText w:val="·"/>
      <w:lvlJc w:val="left"/>
      <w:pPr>
        <w:tabs>
          <w:tab w:val="num" w:pos="3600"/>
        </w:tabs>
        <w:ind w:left="3600" w:hanging="720"/>
      </w:pPr>
      <w:rPr>
        <w:rFonts w:ascii="Symbol" w:hAnsi="Symbol" w:hint="default"/>
        <w:b w:val="0"/>
        <w:i w:val="0"/>
        <w:caps w:val="0"/>
        <w:color w:val="auto"/>
        <w:sz w:val="24"/>
        <w:u w:val="none"/>
      </w:rPr>
    </w:lvl>
    <w:lvl w:ilvl="5">
      <w:start w:val="1"/>
      <w:numFmt w:val="bullet"/>
      <w:lvlRestart w:val="0"/>
      <w:pStyle w:val="BulletsL6"/>
      <w:lvlText w:val="·"/>
      <w:lvlJc w:val="left"/>
      <w:pPr>
        <w:tabs>
          <w:tab w:val="num" w:pos="4320"/>
        </w:tabs>
        <w:ind w:left="4320" w:hanging="720"/>
      </w:pPr>
      <w:rPr>
        <w:rFonts w:ascii="Symbol" w:hAnsi="Symbol" w:hint="default"/>
        <w:b w:val="0"/>
        <w:i w:val="0"/>
        <w:caps w:val="0"/>
        <w:color w:val="auto"/>
        <w:sz w:val="24"/>
        <w:u w:val="none"/>
      </w:rPr>
    </w:lvl>
    <w:lvl w:ilvl="6">
      <w:start w:val="1"/>
      <w:numFmt w:val="bullet"/>
      <w:lvlRestart w:val="0"/>
      <w:pStyle w:val="BulletsL7"/>
      <w:lvlText w:val="·"/>
      <w:lvlJc w:val="left"/>
      <w:pPr>
        <w:tabs>
          <w:tab w:val="num" w:pos="5040"/>
        </w:tabs>
        <w:ind w:left="5040" w:hanging="720"/>
      </w:pPr>
      <w:rPr>
        <w:rFonts w:ascii="Symbol" w:hAnsi="Symbol" w:hint="default"/>
        <w:b w:val="0"/>
        <w:i w:val="0"/>
        <w:caps w:val="0"/>
        <w:color w:val="auto"/>
        <w:sz w:val="24"/>
        <w:u w:val="none"/>
      </w:rPr>
    </w:lvl>
    <w:lvl w:ilvl="7">
      <w:start w:val="1"/>
      <w:numFmt w:val="bullet"/>
      <w:lvlRestart w:val="0"/>
      <w:pStyle w:val="BulletsL8"/>
      <w:lvlText w:val="·"/>
      <w:lvlJc w:val="left"/>
      <w:pPr>
        <w:tabs>
          <w:tab w:val="num" w:pos="5760"/>
        </w:tabs>
        <w:ind w:left="5760" w:hanging="720"/>
      </w:pPr>
      <w:rPr>
        <w:rFonts w:ascii="Symbol" w:hAnsi="Symbol" w:hint="default"/>
        <w:b w:val="0"/>
        <w:i w:val="0"/>
        <w:caps w:val="0"/>
        <w:color w:val="auto"/>
        <w:sz w:val="24"/>
        <w:u w:val="none"/>
      </w:rPr>
    </w:lvl>
    <w:lvl w:ilvl="8">
      <w:start w:val="1"/>
      <w:numFmt w:val="bullet"/>
      <w:lvlRestart w:val="0"/>
      <w:pStyle w:val="BulletsL9"/>
      <w:lvlText w:val="·"/>
      <w:lvlJc w:val="left"/>
      <w:pPr>
        <w:tabs>
          <w:tab w:val="num" w:pos="6480"/>
        </w:tabs>
        <w:ind w:left="6480" w:hanging="720"/>
      </w:pPr>
      <w:rPr>
        <w:rFonts w:ascii="Symbol" w:hAnsi="Symbol" w:cs="Times New Roman" w:hint="default"/>
        <w:b w:val="0"/>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32575E59"/>
    <w:multiLevelType w:val="multilevel"/>
    <w:tmpl w:val="837CA1F0"/>
    <w:lvl w:ilvl="0">
      <w:start w:val="1"/>
      <w:numFmt w:val="decimal"/>
      <w:pStyle w:val="REBL1"/>
      <w:lvlText w:val="%1."/>
      <w:lvlJc w:val="left"/>
      <w:pPr>
        <w:tabs>
          <w:tab w:val="num" w:pos="397"/>
        </w:tabs>
        <w:ind w:left="0" w:firstLine="0"/>
      </w:pPr>
      <w:rPr>
        <w:rFonts w:ascii="Times New Roman" w:hAnsi="Times New Roman" w:cs="Times New Roman"/>
        <w:b/>
        <w:i w:val="0"/>
        <w:caps w:val="0"/>
        <w:color w:val="auto"/>
        <w:u w:val="none"/>
      </w:rPr>
    </w:lvl>
    <w:lvl w:ilvl="1">
      <w:start w:val="1"/>
      <w:numFmt w:val="decimal"/>
      <w:pStyle w:val="REBL2"/>
      <w:lvlText w:val="%1.%2"/>
      <w:lvlJc w:val="left"/>
      <w:pPr>
        <w:tabs>
          <w:tab w:val="num" w:pos="397"/>
        </w:tabs>
        <w:ind w:left="0" w:firstLine="0"/>
      </w:pPr>
      <w:rPr>
        <w:rFonts w:ascii="Times New Roman" w:hAnsi="Times New Roman" w:cs="Times New Roman"/>
        <w:b/>
        <w:i w:val="0"/>
        <w:caps w:val="0"/>
        <w:color w:val="auto"/>
        <w:u w:val="none"/>
      </w:rPr>
    </w:lvl>
    <w:lvl w:ilvl="2">
      <w:start w:val="1"/>
      <w:numFmt w:val="decimal"/>
      <w:pStyle w:val="REBL3"/>
      <w:lvlText w:val="%1.%2.%3"/>
      <w:lvlJc w:val="left"/>
      <w:pPr>
        <w:tabs>
          <w:tab w:val="num" w:pos="397"/>
        </w:tabs>
        <w:ind w:left="0" w:firstLine="0"/>
      </w:pPr>
      <w:rPr>
        <w:rFonts w:ascii="Times New Roman" w:hAnsi="Times New Roman" w:cs="Times New Roman"/>
        <w:b/>
        <w:i w:val="0"/>
        <w:caps w:val="0"/>
        <w:color w:val="auto"/>
        <w:u w:val="none"/>
      </w:rPr>
    </w:lvl>
    <w:lvl w:ilvl="3">
      <w:start w:val="1"/>
      <w:numFmt w:val="decimal"/>
      <w:pStyle w:val="REBL4"/>
      <w:lvlText w:val="%1.%2.%3.%4"/>
      <w:lvlJc w:val="left"/>
      <w:pPr>
        <w:tabs>
          <w:tab w:val="num" w:pos="397"/>
        </w:tabs>
        <w:ind w:left="720" w:hanging="720"/>
      </w:pPr>
      <w:rPr>
        <w:rFonts w:ascii="Times New Roman" w:hAnsi="Times New Roman" w:cs="Times New Roman"/>
        <w:b w:val="0"/>
        <w:i w:val="0"/>
        <w:caps w:val="0"/>
        <w:color w:val="auto"/>
        <w:u w:val="none"/>
      </w:rPr>
    </w:lvl>
    <w:lvl w:ilvl="4">
      <w:start w:val="1"/>
      <w:numFmt w:val="lowerRoman"/>
      <w:pStyle w:val="REBL5"/>
      <w:lvlText w:val="(%5)"/>
      <w:lvlJc w:val="right"/>
      <w:pPr>
        <w:tabs>
          <w:tab w:val="num" w:pos="499"/>
        </w:tabs>
        <w:ind w:left="1440" w:hanging="1157"/>
      </w:pPr>
      <w:rPr>
        <w:rFonts w:ascii="Times New Roman" w:hAnsi="Times New Roman" w:cs="Times New Roman"/>
        <w:b w:val="0"/>
        <w:i/>
        <w:caps w:val="0"/>
        <w:color w:val="auto"/>
        <w:u w:val="none"/>
      </w:rPr>
    </w:lvl>
    <w:lvl w:ilvl="5">
      <w:start w:val="1"/>
      <w:numFmt w:val="upperLetter"/>
      <w:pStyle w:val="REBL6"/>
      <w:lvlText w:val="(%6)"/>
      <w:lvlJc w:val="left"/>
      <w:pPr>
        <w:tabs>
          <w:tab w:val="num" w:pos="720"/>
        </w:tabs>
        <w:ind w:left="2160" w:hanging="2160"/>
      </w:pPr>
      <w:rPr>
        <w:rFonts w:ascii="Times New Roman" w:hAnsi="Times New Roman" w:cs="Times New Roman"/>
        <w:b w:val="0"/>
        <w:i w:val="0"/>
        <w:caps w:val="0"/>
        <w:color w:val="auto"/>
        <w:u w:val="none"/>
      </w:rPr>
    </w:lvl>
    <w:lvl w:ilvl="6">
      <w:start w:val="1"/>
      <w:numFmt w:val="upperRoman"/>
      <w:pStyle w:val="REBL7"/>
      <w:lvlText w:val="(%7)"/>
      <w:lvlJc w:val="right"/>
      <w:pPr>
        <w:tabs>
          <w:tab w:val="num" w:pos="499"/>
        </w:tabs>
        <w:ind w:left="2880" w:hanging="2597"/>
      </w:pPr>
      <w:rPr>
        <w:rFonts w:ascii="Times New Roman" w:hAnsi="Times New Roman" w:cs="Times New Roman"/>
        <w:b w:val="0"/>
        <w:i w:val="0"/>
        <w:caps w:val="0"/>
        <w:color w:val="auto"/>
        <w:u w:val="none"/>
      </w:rPr>
    </w:lvl>
    <w:lvl w:ilvl="7">
      <w:start w:val="27"/>
      <w:numFmt w:val="lowerLetter"/>
      <w:pStyle w:val="REBL8"/>
      <w:lvlText w:val="(%8)"/>
      <w:lvlJc w:val="left"/>
      <w:pPr>
        <w:tabs>
          <w:tab w:val="num" w:pos="720"/>
        </w:tabs>
        <w:ind w:left="3600" w:hanging="3600"/>
      </w:pPr>
      <w:rPr>
        <w:rFonts w:ascii="Times New Roman" w:hAnsi="Times New Roman" w:cs="Times New Roman"/>
        <w:b w:val="0"/>
        <w:i w:val="0"/>
        <w:caps w:val="0"/>
        <w:color w:val="auto"/>
        <w:u w:val="none"/>
      </w:rPr>
    </w:lvl>
    <w:lvl w:ilvl="8">
      <w:start w:val="1"/>
      <w:numFmt w:val="decimal"/>
      <w:pStyle w:val="REBL9"/>
      <w:lvlText w:val="(%9)"/>
      <w:lvlJc w:val="left"/>
      <w:pPr>
        <w:tabs>
          <w:tab w:val="num" w:pos="4320"/>
        </w:tabs>
        <w:ind w:left="4320" w:hanging="720"/>
      </w:pPr>
      <w:rPr>
        <w:rFonts w:ascii="Times New Roman" w:hAnsi="Times New Roman" w:cs="Times New Roman"/>
        <w:b w:val="0"/>
        <w:i w:val="0"/>
        <w:caps w:val="0"/>
        <w:color w:val="auto"/>
        <w:u w:val="none"/>
      </w:rPr>
    </w:lvl>
  </w:abstractNum>
  <w:abstractNum w:abstractNumId="7" w15:restartNumberingAfterBreak="0">
    <w:nsid w:val="43304C7B"/>
    <w:multiLevelType w:val="hybridMultilevel"/>
    <w:tmpl w:val="1464B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A96B24"/>
    <w:multiLevelType w:val="multilevel"/>
    <w:tmpl w:val="691241E2"/>
    <w:lvl w:ilvl="0">
      <w:start w:val="1"/>
      <w:numFmt w:val="bullet"/>
      <w:pStyle w:val="ListBullet"/>
      <w:lvlText w:val=""/>
      <w:lvlJc w:val="left"/>
      <w:pPr>
        <w:ind w:left="720" w:hanging="720"/>
      </w:pPr>
      <w:rPr>
        <w:rFonts w:ascii="Symbol" w:hAnsi="Symbol" w:hint="default"/>
      </w:rPr>
    </w:lvl>
    <w:lvl w:ilvl="1">
      <w:start w:val="1"/>
      <w:numFmt w:val="bullet"/>
      <w:pStyle w:val="ListBullet2"/>
      <w:lvlText w:val=""/>
      <w:lvlJc w:val="left"/>
      <w:pPr>
        <w:ind w:left="1440" w:hanging="720"/>
      </w:pPr>
      <w:rPr>
        <w:rFonts w:ascii="Symbol" w:hAnsi="Symbol" w:hint="default"/>
        <w:color w:val="auto"/>
      </w:rPr>
    </w:lvl>
    <w:lvl w:ilvl="2">
      <w:start w:val="1"/>
      <w:numFmt w:val="bullet"/>
      <w:pStyle w:val="ListBullet3"/>
      <w:lvlText w:val=""/>
      <w:lvlJc w:val="left"/>
      <w:pPr>
        <w:ind w:left="2160" w:hanging="720"/>
      </w:pPr>
      <w:rPr>
        <w:rFonts w:ascii="Symbol" w:hAnsi="Symbol" w:hint="default"/>
        <w:color w:val="auto"/>
      </w:rPr>
    </w:lvl>
    <w:lvl w:ilvl="3">
      <w:start w:val="1"/>
      <w:numFmt w:val="bullet"/>
      <w:pStyle w:val="ListBullet4"/>
      <w:lvlText w:val=""/>
      <w:lvlJc w:val="left"/>
      <w:pPr>
        <w:ind w:left="2880" w:hanging="720"/>
      </w:pPr>
      <w:rPr>
        <w:rFonts w:ascii="Symbol" w:hAnsi="Symbol" w:hint="default"/>
        <w:color w:val="auto"/>
      </w:rPr>
    </w:lvl>
    <w:lvl w:ilvl="4">
      <w:start w:val="1"/>
      <w:numFmt w:val="bullet"/>
      <w:pStyle w:val="ListBullet5"/>
      <w:lvlText w:val=""/>
      <w:lvlJc w:val="left"/>
      <w:pPr>
        <w:ind w:left="3600" w:hanging="720"/>
      </w:pPr>
      <w:rPr>
        <w:rFonts w:ascii="Symbol" w:hAnsi="Symbol" w:hint="default"/>
        <w:color w:val="auto"/>
      </w:rPr>
    </w:lvl>
    <w:lvl w:ilvl="5">
      <w:start w:val="1"/>
      <w:numFmt w:val="bullet"/>
      <w:pStyle w:val="ListBullet6"/>
      <w:lvlText w:val=""/>
      <w:lvlJc w:val="left"/>
      <w:pPr>
        <w:ind w:left="4320" w:hanging="720"/>
      </w:pPr>
      <w:rPr>
        <w:rFonts w:ascii="Wingdings" w:hAnsi="Wingdings" w:hint="default"/>
      </w:rPr>
    </w:lvl>
    <w:lvl w:ilvl="6">
      <w:start w:val="1"/>
      <w:numFmt w:val="bullet"/>
      <w:pStyle w:val="ListBullet7"/>
      <w:lvlText w:val=""/>
      <w:lvlJc w:val="left"/>
      <w:pPr>
        <w:ind w:left="5040" w:hanging="720"/>
      </w:pPr>
      <w:rPr>
        <w:rFonts w:ascii="Symbol" w:hAnsi="Symbol" w:hint="default"/>
      </w:rPr>
    </w:lvl>
    <w:lvl w:ilvl="7">
      <w:start w:val="1"/>
      <w:numFmt w:val="bullet"/>
      <w:pStyle w:val="ListBullet8"/>
      <w:lvlText w:val="o"/>
      <w:lvlJc w:val="left"/>
      <w:pPr>
        <w:ind w:left="5760" w:hanging="720"/>
      </w:pPr>
      <w:rPr>
        <w:rFonts w:ascii="Courier New" w:hAnsi="Courier New" w:hint="default"/>
      </w:rPr>
    </w:lvl>
    <w:lvl w:ilvl="8">
      <w:start w:val="1"/>
      <w:numFmt w:val="bullet"/>
      <w:pStyle w:val="ListBullet9"/>
      <w:lvlText w:val=""/>
      <w:lvlJc w:val="left"/>
      <w:pPr>
        <w:ind w:left="6480" w:hanging="720"/>
      </w:pPr>
      <w:rPr>
        <w:rFonts w:ascii="Wingdings" w:hAnsi="Wingdings" w:hint="default"/>
      </w:rPr>
    </w:lvl>
  </w:abstractNum>
  <w:abstractNum w:abstractNumId="9" w15:restartNumberingAfterBreak="0">
    <w:nsid w:val="52F837BD"/>
    <w:multiLevelType w:val="multilevel"/>
    <w:tmpl w:val="C9FED34A"/>
    <w:lvl w:ilvl="0">
      <w:start w:val="1"/>
      <w:numFmt w:val="decimal"/>
      <w:pStyle w:val="Randziffer"/>
      <w:lvlText w:val="(%1)"/>
      <w:lvlJc w:val="left"/>
      <w:pPr>
        <w:ind w:left="720" w:hanging="720"/>
      </w:pPr>
      <w:rPr>
        <w:rFonts w:hint="default"/>
      </w:rPr>
    </w:lvl>
    <w:lvl w:ilvl="1">
      <w:start w:val="1"/>
      <w:numFmt w:val="none"/>
      <w:lvlText w:val="%2"/>
      <w:lvlJc w:val="left"/>
      <w:pPr>
        <w:ind w:left="720" w:hanging="720"/>
      </w:pPr>
      <w:rPr>
        <w:rFonts w:hint="default"/>
      </w:rPr>
    </w:lvl>
    <w:lvl w:ilvl="2">
      <w:start w:val="1"/>
      <w:numFmt w:val="none"/>
      <w:lvlText w:val="%3"/>
      <w:lvlJc w:val="left"/>
      <w:pPr>
        <w:ind w:left="720" w:hanging="720"/>
      </w:pPr>
      <w:rPr>
        <w:rFonts w:hint="default"/>
      </w:rPr>
    </w:lvl>
    <w:lvl w:ilvl="3">
      <w:start w:val="1"/>
      <w:numFmt w:val="none"/>
      <w:lvlText w:val=""/>
      <w:lvlJc w:val="left"/>
      <w:pPr>
        <w:ind w:left="720" w:hanging="720"/>
      </w:pPr>
      <w:rPr>
        <w:rFonts w:hint="default"/>
      </w:rPr>
    </w:lvl>
    <w:lvl w:ilvl="4">
      <w:start w:val="1"/>
      <w:numFmt w:val="none"/>
      <w:lvlText w:val=""/>
      <w:lvlJc w:val="left"/>
      <w:pPr>
        <w:ind w:left="720" w:hanging="720"/>
      </w:pPr>
      <w:rPr>
        <w:rFonts w:hint="default"/>
      </w:rPr>
    </w:lvl>
    <w:lvl w:ilvl="5">
      <w:start w:val="1"/>
      <w:numFmt w:val="none"/>
      <w:lvlText w:val=""/>
      <w:lvlJc w:val="left"/>
      <w:pPr>
        <w:ind w:left="720" w:hanging="720"/>
      </w:pPr>
      <w:rPr>
        <w:rFonts w:hint="default"/>
      </w:rPr>
    </w:lvl>
    <w:lvl w:ilvl="6">
      <w:start w:val="1"/>
      <w:numFmt w:val="none"/>
      <w:lvlText w:val=""/>
      <w:lvlJc w:val="left"/>
      <w:pPr>
        <w:ind w:left="720" w:hanging="720"/>
      </w:pPr>
      <w:rPr>
        <w:rFonts w:hint="default"/>
      </w:rPr>
    </w:lvl>
    <w:lvl w:ilvl="7">
      <w:start w:val="1"/>
      <w:numFmt w:val="none"/>
      <w:lvlText w:val=""/>
      <w:lvlJc w:val="left"/>
      <w:pPr>
        <w:ind w:left="720" w:hanging="720"/>
      </w:pPr>
      <w:rPr>
        <w:rFonts w:hint="default"/>
      </w:rPr>
    </w:lvl>
    <w:lvl w:ilvl="8">
      <w:start w:val="1"/>
      <w:numFmt w:val="none"/>
      <w:lvlText w:val=""/>
      <w:lvlJc w:val="left"/>
      <w:pPr>
        <w:ind w:left="720" w:hanging="720"/>
      </w:pPr>
      <w:rPr>
        <w:rFonts w:hint="default"/>
      </w:rPr>
    </w:lvl>
  </w:abstractNum>
  <w:abstractNum w:abstractNumId="10" w15:restartNumberingAfterBreak="0">
    <w:nsid w:val="5E583177"/>
    <w:multiLevelType w:val="multilevel"/>
    <w:tmpl w:val="6FA2FA90"/>
    <w:name w:val="zzmpFirm5||Firm5|2|3|1|1|2|49||1|2|33||1|2|33||1|2|32||1|2|32||1|2|32||1|2|32||1|2|32||1|2|32||"/>
    <w:lvl w:ilvl="0">
      <w:start w:val="1"/>
      <w:numFmt w:val="decimal"/>
      <w:pStyle w:val="Firm5L1"/>
      <w:lvlText w:val="%1."/>
      <w:lvlJc w:val="left"/>
      <w:pPr>
        <w:tabs>
          <w:tab w:val="num" w:pos="720"/>
        </w:tabs>
        <w:ind w:left="720" w:hanging="720"/>
      </w:pPr>
      <w:rPr>
        <w:b/>
        <w:i w:val="0"/>
        <w:caps w:val="0"/>
        <w:u w:val="none"/>
      </w:rPr>
    </w:lvl>
    <w:lvl w:ilvl="1">
      <w:start w:val="1"/>
      <w:numFmt w:val="decimal"/>
      <w:pStyle w:val="Firm5L2"/>
      <w:lvlText w:val="%1.%2"/>
      <w:lvlJc w:val="left"/>
      <w:pPr>
        <w:tabs>
          <w:tab w:val="num" w:pos="720"/>
        </w:tabs>
        <w:ind w:left="720" w:hanging="720"/>
      </w:pPr>
      <w:rPr>
        <w:b/>
        <w:i w:val="0"/>
        <w:caps w:val="0"/>
        <w:u w:val="none"/>
      </w:rPr>
    </w:lvl>
    <w:lvl w:ilvl="2">
      <w:start w:val="1"/>
      <w:numFmt w:val="decimal"/>
      <w:pStyle w:val="Firm5L3"/>
      <w:lvlText w:val="%1.%2.%3"/>
      <w:lvlJc w:val="left"/>
      <w:pPr>
        <w:tabs>
          <w:tab w:val="num" w:pos="720"/>
        </w:tabs>
        <w:ind w:left="720" w:hanging="720"/>
      </w:pPr>
      <w:rPr>
        <w:b/>
        <w:i w:val="0"/>
        <w:caps w:val="0"/>
        <w:u w:val="none"/>
      </w:rPr>
    </w:lvl>
    <w:lvl w:ilvl="3">
      <w:start w:val="1"/>
      <w:numFmt w:val="decimal"/>
      <w:pStyle w:val="Firm5L4"/>
      <w:lvlText w:val="%1.%2.%3.%4"/>
      <w:lvlJc w:val="left"/>
      <w:pPr>
        <w:tabs>
          <w:tab w:val="num" w:pos="720"/>
        </w:tabs>
        <w:ind w:left="720" w:hanging="720"/>
      </w:pPr>
      <w:rPr>
        <w:b w:val="0"/>
        <w:i w:val="0"/>
        <w:caps w:val="0"/>
        <w:u w:val="none"/>
      </w:rPr>
    </w:lvl>
    <w:lvl w:ilvl="4">
      <w:start w:val="1"/>
      <w:numFmt w:val="lowerLetter"/>
      <w:pStyle w:val="Firm5L5"/>
      <w:lvlText w:val="(%5)"/>
      <w:lvlJc w:val="left"/>
      <w:pPr>
        <w:tabs>
          <w:tab w:val="num" w:pos="2160"/>
        </w:tabs>
        <w:ind w:left="2160" w:hanging="720"/>
      </w:pPr>
      <w:rPr>
        <w:b w:val="0"/>
        <w:i w:val="0"/>
        <w:caps w:val="0"/>
        <w:u w:val="none"/>
      </w:rPr>
    </w:lvl>
    <w:lvl w:ilvl="5">
      <w:start w:val="1"/>
      <w:numFmt w:val="lowerRoman"/>
      <w:pStyle w:val="Firm5L6"/>
      <w:lvlText w:val="(%6)"/>
      <w:lvlJc w:val="left"/>
      <w:pPr>
        <w:tabs>
          <w:tab w:val="num" w:pos="2880"/>
        </w:tabs>
        <w:ind w:left="2880" w:hanging="720"/>
      </w:pPr>
      <w:rPr>
        <w:b w:val="0"/>
        <w:i w:val="0"/>
        <w:caps w:val="0"/>
        <w:u w:val="none"/>
      </w:rPr>
    </w:lvl>
    <w:lvl w:ilvl="6">
      <w:start w:val="1"/>
      <w:numFmt w:val="upperLetter"/>
      <w:pStyle w:val="Firm5L7"/>
      <w:lvlText w:val="(%7)"/>
      <w:lvlJc w:val="left"/>
      <w:pPr>
        <w:tabs>
          <w:tab w:val="num" w:pos="3600"/>
        </w:tabs>
        <w:ind w:left="3600" w:hanging="720"/>
      </w:pPr>
      <w:rPr>
        <w:b w:val="0"/>
        <w:i w:val="0"/>
        <w:caps w:val="0"/>
        <w:u w:val="none"/>
      </w:rPr>
    </w:lvl>
    <w:lvl w:ilvl="7">
      <w:start w:val="1"/>
      <w:numFmt w:val="upperRoman"/>
      <w:pStyle w:val="Firm5L8"/>
      <w:lvlText w:val="(%8)"/>
      <w:lvlJc w:val="left"/>
      <w:pPr>
        <w:tabs>
          <w:tab w:val="num" w:pos="4320"/>
        </w:tabs>
        <w:ind w:left="4320" w:hanging="720"/>
      </w:pPr>
      <w:rPr>
        <w:rFonts w:ascii="Times New Roman" w:hAnsi="Times New Roman" w:cs="Times New Roman"/>
        <w:b w:val="0"/>
        <w:i w:val="0"/>
        <w:caps w:val="0"/>
        <w:u w:val="none"/>
      </w:rPr>
    </w:lvl>
    <w:lvl w:ilvl="8">
      <w:start w:val="1"/>
      <w:numFmt w:val="lowerLetter"/>
      <w:pStyle w:val="Firm5L9"/>
      <w:lvlText w:val="(%9)"/>
      <w:lvlJc w:val="left"/>
      <w:pPr>
        <w:tabs>
          <w:tab w:val="num" w:pos="5040"/>
        </w:tabs>
        <w:ind w:left="5040" w:hanging="720"/>
      </w:pPr>
      <w:rPr>
        <w:rFonts w:ascii="Times New Roman" w:hAnsi="Times New Roman" w:cs="Times New Roman"/>
        <w:b w:val="0"/>
        <w:i w:val="0"/>
        <w:caps w:val="0"/>
        <w:u w:val="none"/>
      </w:rPr>
    </w:lvl>
  </w:abstractNum>
  <w:abstractNum w:abstractNumId="11" w15:restartNumberingAfterBreak="0">
    <w:nsid w:val="7D2D0E0F"/>
    <w:multiLevelType w:val="hybridMultilevel"/>
    <w:tmpl w:val="077A3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8"/>
  </w:num>
  <w:num w:numId="5">
    <w:abstractNumId w:val="9"/>
  </w:num>
  <w:num w:numId="6">
    <w:abstractNumId w:val="5"/>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7"/>
  </w:num>
  <w:num w:numId="18">
    <w:abstractNumId w:val="11"/>
  </w:num>
  <w:num w:numId="19">
    <w:abstractNumId w:val="10"/>
  </w:num>
  <w:num w:numId="20">
    <w:abstractNumId w:val="10"/>
  </w:num>
  <w:num w:numId="21">
    <w:abstractNumId w:val="10"/>
  </w:num>
  <w:num w:numId="22">
    <w:abstractNumId w:val="1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zzmp10LastTrailerInserted" w:val="^`~#mp!@.(b#X┘┭:=?|ŜmƁf⌔Æ9⌚•È«p( 0¹ũð§1⌏ÅÇ!⌟ãƛ⌚k⌏‾ç°ëû@4!ÿI⌚³…P.7Äc⌡´kVEOƅ{çõmB⌛íB⌕{å±⌅¨¬é%¨⌜ô­Á⌃Eþq^=~d⌜⌛Jˤ0⌄Cµ‥&amp;⌑¼Ó?T³Ũť;í⌐ßñż°Þè⌆W¬«¼%ÖÄÓJSqO-C⌈æ!‧=?ç&quot;S¡⌐sÇeª⌊⌛1BDD5?SLW011"/>
    <w:docVar w:name="zzmp10LastTrailerInserted_2832" w:val="^`~#mp!@.(b#X┘┭:=?|ŜmƁf⌔Æ9⌚•È«p( 0¹ũð§1⌏ÅÇ!⌟ãƛ⌚k⌏‾ç°ëû@4!ÿI⌚³…P.7Äc⌡´kVEOƅ{çõmB⌛íB⌕{å±⌅¨¬é%¨⌜ô­Á⌃Eþq^=~d⌜⌛Jˤ0⌄Cµ‥&amp;⌑¼Ó?T³Ũť;í⌐ßñż°Þè⌆W¬«¼%ÖÄÓJSqO-C⌈æ!‧=?ç&quot;S¡⌐sÇeª⌊⌛1BDD5?SLW011"/>
    <w:docVar w:name="zzmp10mSEGsValidated" w:val="1"/>
    <w:docVar w:name="zzmpBullets" w:val="||z_Bullets|2|5|1|1|0|32||1|0|32||1|2|32||1|0|32||1|0|32||1|0|32||1|0|32||1|0|32||1|0|32||"/>
    <w:docVar w:name="zzmpFirm5" w:val="||Firm5|2|3|1|1|2|49||1|2|33||1|2|33||1|2|32||1|2|32||1|2|32||1|2|32||1|2|32||1|2|32||"/>
    <w:docVar w:name="zzmpFixedCurScheme" w:val="Firm5"/>
    <w:docVar w:name="zzmpFixedCurScheme_9.0" w:val="2zzmpFirm5"/>
    <w:docVar w:name="zzmpLegacyTrailerRemoved" w:val="True"/>
    <w:docVar w:name="zzmpLTFontsClean" w:val="True"/>
    <w:docVar w:name="zzmpnSession" w:val="0.861416"/>
  </w:docVars>
  <w:rsids>
    <w:rsidRoot w:val="003F0BC5"/>
    <w:rsid w:val="00007CAE"/>
    <w:rsid w:val="000115E1"/>
    <w:rsid w:val="0001690F"/>
    <w:rsid w:val="00017D1C"/>
    <w:rsid w:val="00017DB5"/>
    <w:rsid w:val="00020EC4"/>
    <w:rsid w:val="000211CF"/>
    <w:rsid w:val="0002282E"/>
    <w:rsid w:val="000270F3"/>
    <w:rsid w:val="00030628"/>
    <w:rsid w:val="0003315D"/>
    <w:rsid w:val="00033353"/>
    <w:rsid w:val="00045AB1"/>
    <w:rsid w:val="00047662"/>
    <w:rsid w:val="000508AB"/>
    <w:rsid w:val="00060755"/>
    <w:rsid w:val="0006129B"/>
    <w:rsid w:val="000703EF"/>
    <w:rsid w:val="0007306E"/>
    <w:rsid w:val="000769F8"/>
    <w:rsid w:val="00077367"/>
    <w:rsid w:val="00095039"/>
    <w:rsid w:val="0009790F"/>
    <w:rsid w:val="000A2D2F"/>
    <w:rsid w:val="000A4128"/>
    <w:rsid w:val="000A5871"/>
    <w:rsid w:val="000A633D"/>
    <w:rsid w:val="000C02D7"/>
    <w:rsid w:val="000C1704"/>
    <w:rsid w:val="000C6D22"/>
    <w:rsid w:val="000D5B09"/>
    <w:rsid w:val="000E0889"/>
    <w:rsid w:val="000E1930"/>
    <w:rsid w:val="000E6B03"/>
    <w:rsid w:val="000F2728"/>
    <w:rsid w:val="000F33CA"/>
    <w:rsid w:val="000F478D"/>
    <w:rsid w:val="000F47CD"/>
    <w:rsid w:val="000F59DA"/>
    <w:rsid w:val="000F6E97"/>
    <w:rsid w:val="00102451"/>
    <w:rsid w:val="00105E1E"/>
    <w:rsid w:val="00106E8B"/>
    <w:rsid w:val="0011039B"/>
    <w:rsid w:val="00110644"/>
    <w:rsid w:val="00112706"/>
    <w:rsid w:val="0011360E"/>
    <w:rsid w:val="00114204"/>
    <w:rsid w:val="00115545"/>
    <w:rsid w:val="001211C1"/>
    <w:rsid w:val="00121655"/>
    <w:rsid w:val="00125565"/>
    <w:rsid w:val="00136CB7"/>
    <w:rsid w:val="00156693"/>
    <w:rsid w:val="001627CC"/>
    <w:rsid w:val="00166162"/>
    <w:rsid w:val="0017154B"/>
    <w:rsid w:val="00184321"/>
    <w:rsid w:val="00195200"/>
    <w:rsid w:val="00196C32"/>
    <w:rsid w:val="001A1700"/>
    <w:rsid w:val="001A2A68"/>
    <w:rsid w:val="001A4262"/>
    <w:rsid w:val="001B0F45"/>
    <w:rsid w:val="001B66EA"/>
    <w:rsid w:val="001B77D1"/>
    <w:rsid w:val="001C136A"/>
    <w:rsid w:val="001C63A3"/>
    <w:rsid w:val="001E0C4D"/>
    <w:rsid w:val="001E2C2D"/>
    <w:rsid w:val="001E3459"/>
    <w:rsid w:val="001F4217"/>
    <w:rsid w:val="001F4D51"/>
    <w:rsid w:val="001F67D5"/>
    <w:rsid w:val="001F6AA7"/>
    <w:rsid w:val="001F6ABD"/>
    <w:rsid w:val="002051AF"/>
    <w:rsid w:val="00206AA2"/>
    <w:rsid w:val="00222C9F"/>
    <w:rsid w:val="0023689E"/>
    <w:rsid w:val="00240F59"/>
    <w:rsid w:val="00243514"/>
    <w:rsid w:val="00246BE0"/>
    <w:rsid w:val="00250267"/>
    <w:rsid w:val="00256AD6"/>
    <w:rsid w:val="00260F9F"/>
    <w:rsid w:val="00264DAB"/>
    <w:rsid w:val="00270E7E"/>
    <w:rsid w:val="00275047"/>
    <w:rsid w:val="00287948"/>
    <w:rsid w:val="00291461"/>
    <w:rsid w:val="00291D2F"/>
    <w:rsid w:val="00292D4F"/>
    <w:rsid w:val="002A1AB1"/>
    <w:rsid w:val="002B70C1"/>
    <w:rsid w:val="002D03CA"/>
    <w:rsid w:val="002D3771"/>
    <w:rsid w:val="002D3BEB"/>
    <w:rsid w:val="002E1586"/>
    <w:rsid w:val="002E4A4B"/>
    <w:rsid w:val="002E58C4"/>
    <w:rsid w:val="002E5C48"/>
    <w:rsid w:val="002E649F"/>
    <w:rsid w:val="00300361"/>
    <w:rsid w:val="003012B0"/>
    <w:rsid w:val="0030457A"/>
    <w:rsid w:val="00304A20"/>
    <w:rsid w:val="00310C65"/>
    <w:rsid w:val="00323EA5"/>
    <w:rsid w:val="0032541E"/>
    <w:rsid w:val="00334917"/>
    <w:rsid w:val="00334BBC"/>
    <w:rsid w:val="0034164C"/>
    <w:rsid w:val="00344ACC"/>
    <w:rsid w:val="00345414"/>
    <w:rsid w:val="0034670F"/>
    <w:rsid w:val="00351F80"/>
    <w:rsid w:val="003520AF"/>
    <w:rsid w:val="00353B80"/>
    <w:rsid w:val="00354D9C"/>
    <w:rsid w:val="003601EC"/>
    <w:rsid w:val="0037288E"/>
    <w:rsid w:val="003752D4"/>
    <w:rsid w:val="003848B3"/>
    <w:rsid w:val="00387FE9"/>
    <w:rsid w:val="0039015B"/>
    <w:rsid w:val="003A5AA7"/>
    <w:rsid w:val="003A6D08"/>
    <w:rsid w:val="003B5C6B"/>
    <w:rsid w:val="003C4399"/>
    <w:rsid w:val="003D1D9A"/>
    <w:rsid w:val="003D6BBA"/>
    <w:rsid w:val="003E14DE"/>
    <w:rsid w:val="003F0BC5"/>
    <w:rsid w:val="003F635D"/>
    <w:rsid w:val="00404820"/>
    <w:rsid w:val="004066A7"/>
    <w:rsid w:val="00411E5B"/>
    <w:rsid w:val="00413C4C"/>
    <w:rsid w:val="004169CA"/>
    <w:rsid w:val="004331B1"/>
    <w:rsid w:val="00435821"/>
    <w:rsid w:val="004362A1"/>
    <w:rsid w:val="00440E94"/>
    <w:rsid w:val="00456203"/>
    <w:rsid w:val="00462A35"/>
    <w:rsid w:val="00462D81"/>
    <w:rsid w:val="00462E99"/>
    <w:rsid w:val="00470C99"/>
    <w:rsid w:val="00474373"/>
    <w:rsid w:val="00475652"/>
    <w:rsid w:val="00482E2F"/>
    <w:rsid w:val="0049238D"/>
    <w:rsid w:val="00494BF3"/>
    <w:rsid w:val="004A165C"/>
    <w:rsid w:val="004B2832"/>
    <w:rsid w:val="004C266C"/>
    <w:rsid w:val="004C39E6"/>
    <w:rsid w:val="004C670F"/>
    <w:rsid w:val="004C7A6A"/>
    <w:rsid w:val="004D1136"/>
    <w:rsid w:val="004D2AF1"/>
    <w:rsid w:val="004E33A5"/>
    <w:rsid w:val="004E7AC7"/>
    <w:rsid w:val="004F6097"/>
    <w:rsid w:val="00501F53"/>
    <w:rsid w:val="00502FCF"/>
    <w:rsid w:val="005051EE"/>
    <w:rsid w:val="00526CA9"/>
    <w:rsid w:val="00527C1E"/>
    <w:rsid w:val="00532FBB"/>
    <w:rsid w:val="005358E8"/>
    <w:rsid w:val="005455CA"/>
    <w:rsid w:val="00550E32"/>
    <w:rsid w:val="005530FB"/>
    <w:rsid w:val="0055687C"/>
    <w:rsid w:val="00563E72"/>
    <w:rsid w:val="005667E1"/>
    <w:rsid w:val="005669B5"/>
    <w:rsid w:val="00567460"/>
    <w:rsid w:val="00574013"/>
    <w:rsid w:val="0057471A"/>
    <w:rsid w:val="005748BF"/>
    <w:rsid w:val="00584210"/>
    <w:rsid w:val="005863F0"/>
    <w:rsid w:val="005926B8"/>
    <w:rsid w:val="00594A9B"/>
    <w:rsid w:val="00596DF6"/>
    <w:rsid w:val="005971A0"/>
    <w:rsid w:val="005B28E9"/>
    <w:rsid w:val="005B6FDE"/>
    <w:rsid w:val="005D7C36"/>
    <w:rsid w:val="005E2A8D"/>
    <w:rsid w:val="005E6CD3"/>
    <w:rsid w:val="005F185A"/>
    <w:rsid w:val="005F4ABF"/>
    <w:rsid w:val="005F5D47"/>
    <w:rsid w:val="006042CC"/>
    <w:rsid w:val="006101E4"/>
    <w:rsid w:val="006234DD"/>
    <w:rsid w:val="006235C9"/>
    <w:rsid w:val="00626780"/>
    <w:rsid w:val="00633FC1"/>
    <w:rsid w:val="00647ED8"/>
    <w:rsid w:val="00651555"/>
    <w:rsid w:val="006546DD"/>
    <w:rsid w:val="00662D50"/>
    <w:rsid w:val="006631BD"/>
    <w:rsid w:val="006722A9"/>
    <w:rsid w:val="006734E3"/>
    <w:rsid w:val="006760CD"/>
    <w:rsid w:val="00694C4C"/>
    <w:rsid w:val="006A094C"/>
    <w:rsid w:val="006A282E"/>
    <w:rsid w:val="006B35E5"/>
    <w:rsid w:val="006B42D1"/>
    <w:rsid w:val="006B5475"/>
    <w:rsid w:val="006B586E"/>
    <w:rsid w:val="006C72A1"/>
    <w:rsid w:val="006C750C"/>
    <w:rsid w:val="006D1BE1"/>
    <w:rsid w:val="006D7D72"/>
    <w:rsid w:val="006E27F1"/>
    <w:rsid w:val="006E4715"/>
    <w:rsid w:val="006F7E56"/>
    <w:rsid w:val="00701306"/>
    <w:rsid w:val="007032EC"/>
    <w:rsid w:val="00703C66"/>
    <w:rsid w:val="00704FD7"/>
    <w:rsid w:val="007055C4"/>
    <w:rsid w:val="00706B27"/>
    <w:rsid w:val="0070723F"/>
    <w:rsid w:val="00715262"/>
    <w:rsid w:val="00723DC7"/>
    <w:rsid w:val="007244CE"/>
    <w:rsid w:val="00725072"/>
    <w:rsid w:val="00730B6F"/>
    <w:rsid w:val="007311C1"/>
    <w:rsid w:val="00732BB5"/>
    <w:rsid w:val="00737172"/>
    <w:rsid w:val="0074141B"/>
    <w:rsid w:val="00750A88"/>
    <w:rsid w:val="00752BC3"/>
    <w:rsid w:val="00755B68"/>
    <w:rsid w:val="00762140"/>
    <w:rsid w:val="00770307"/>
    <w:rsid w:val="0077095A"/>
    <w:rsid w:val="0077504D"/>
    <w:rsid w:val="00785C19"/>
    <w:rsid w:val="00787498"/>
    <w:rsid w:val="007B3512"/>
    <w:rsid w:val="007B5305"/>
    <w:rsid w:val="007B5E70"/>
    <w:rsid w:val="007C45B0"/>
    <w:rsid w:val="007D1829"/>
    <w:rsid w:val="007E7CEE"/>
    <w:rsid w:val="007F2150"/>
    <w:rsid w:val="007F24B1"/>
    <w:rsid w:val="007F4730"/>
    <w:rsid w:val="00805147"/>
    <w:rsid w:val="00816A67"/>
    <w:rsid w:val="008172BD"/>
    <w:rsid w:val="0082672E"/>
    <w:rsid w:val="00833EFD"/>
    <w:rsid w:val="008373D4"/>
    <w:rsid w:val="0083762C"/>
    <w:rsid w:val="00837AA6"/>
    <w:rsid w:val="00843919"/>
    <w:rsid w:val="0084538F"/>
    <w:rsid w:val="00854602"/>
    <w:rsid w:val="00854AAC"/>
    <w:rsid w:val="008561B8"/>
    <w:rsid w:val="00856DCF"/>
    <w:rsid w:val="00864882"/>
    <w:rsid w:val="00871002"/>
    <w:rsid w:val="00873270"/>
    <w:rsid w:val="00873C6B"/>
    <w:rsid w:val="00893552"/>
    <w:rsid w:val="0089383D"/>
    <w:rsid w:val="008961CC"/>
    <w:rsid w:val="00897D66"/>
    <w:rsid w:val="008A0A97"/>
    <w:rsid w:val="008A79E8"/>
    <w:rsid w:val="008C15BB"/>
    <w:rsid w:val="008C35C7"/>
    <w:rsid w:val="008D49ED"/>
    <w:rsid w:val="008D4FB5"/>
    <w:rsid w:val="008D7168"/>
    <w:rsid w:val="008E279D"/>
    <w:rsid w:val="008E5C3F"/>
    <w:rsid w:val="008E7547"/>
    <w:rsid w:val="008E7774"/>
    <w:rsid w:val="008F4906"/>
    <w:rsid w:val="008F7985"/>
    <w:rsid w:val="00900687"/>
    <w:rsid w:val="00914185"/>
    <w:rsid w:val="00916DA0"/>
    <w:rsid w:val="0092220A"/>
    <w:rsid w:val="0092281E"/>
    <w:rsid w:val="009246F3"/>
    <w:rsid w:val="009310EA"/>
    <w:rsid w:val="00934BA4"/>
    <w:rsid w:val="009365CE"/>
    <w:rsid w:val="0094005D"/>
    <w:rsid w:val="00946756"/>
    <w:rsid w:val="00953526"/>
    <w:rsid w:val="0096076E"/>
    <w:rsid w:val="009610B3"/>
    <w:rsid w:val="009647FE"/>
    <w:rsid w:val="00972D9E"/>
    <w:rsid w:val="00980CC9"/>
    <w:rsid w:val="009859A6"/>
    <w:rsid w:val="009875CA"/>
    <w:rsid w:val="00990AC3"/>
    <w:rsid w:val="00997C55"/>
    <w:rsid w:val="009B5511"/>
    <w:rsid w:val="009D174C"/>
    <w:rsid w:val="009E74F8"/>
    <w:rsid w:val="00A00506"/>
    <w:rsid w:val="00A07615"/>
    <w:rsid w:val="00A17A60"/>
    <w:rsid w:val="00A431F0"/>
    <w:rsid w:val="00A440C3"/>
    <w:rsid w:val="00A52BB6"/>
    <w:rsid w:val="00A6132C"/>
    <w:rsid w:val="00A65970"/>
    <w:rsid w:val="00A7127D"/>
    <w:rsid w:val="00A73F0A"/>
    <w:rsid w:val="00A76464"/>
    <w:rsid w:val="00A76DA8"/>
    <w:rsid w:val="00A91110"/>
    <w:rsid w:val="00A93B94"/>
    <w:rsid w:val="00AA3231"/>
    <w:rsid w:val="00AA3763"/>
    <w:rsid w:val="00AA496B"/>
    <w:rsid w:val="00AB16AF"/>
    <w:rsid w:val="00AB62FC"/>
    <w:rsid w:val="00AB65B7"/>
    <w:rsid w:val="00AC1E1B"/>
    <w:rsid w:val="00AC35B7"/>
    <w:rsid w:val="00AC63DF"/>
    <w:rsid w:val="00AC6ED7"/>
    <w:rsid w:val="00AD2433"/>
    <w:rsid w:val="00AD2A95"/>
    <w:rsid w:val="00AE3E1E"/>
    <w:rsid w:val="00AE437F"/>
    <w:rsid w:val="00AE5DCF"/>
    <w:rsid w:val="00AF12F4"/>
    <w:rsid w:val="00AF6ED7"/>
    <w:rsid w:val="00B00545"/>
    <w:rsid w:val="00B0544B"/>
    <w:rsid w:val="00B1213A"/>
    <w:rsid w:val="00B15580"/>
    <w:rsid w:val="00B178C7"/>
    <w:rsid w:val="00B3207C"/>
    <w:rsid w:val="00B42C14"/>
    <w:rsid w:val="00B45F40"/>
    <w:rsid w:val="00B601A2"/>
    <w:rsid w:val="00B60E4D"/>
    <w:rsid w:val="00B631BB"/>
    <w:rsid w:val="00B645EF"/>
    <w:rsid w:val="00B72C09"/>
    <w:rsid w:val="00B75B06"/>
    <w:rsid w:val="00B766BC"/>
    <w:rsid w:val="00B80343"/>
    <w:rsid w:val="00B80FCE"/>
    <w:rsid w:val="00B91DE5"/>
    <w:rsid w:val="00B94F0A"/>
    <w:rsid w:val="00B95C66"/>
    <w:rsid w:val="00BA25F9"/>
    <w:rsid w:val="00BA7632"/>
    <w:rsid w:val="00BB0F52"/>
    <w:rsid w:val="00BB285C"/>
    <w:rsid w:val="00BB4441"/>
    <w:rsid w:val="00BB6E3C"/>
    <w:rsid w:val="00BB7DA5"/>
    <w:rsid w:val="00BC18A5"/>
    <w:rsid w:val="00BC52E0"/>
    <w:rsid w:val="00BC76C6"/>
    <w:rsid w:val="00BD2C9F"/>
    <w:rsid w:val="00BD6CB4"/>
    <w:rsid w:val="00BF29B3"/>
    <w:rsid w:val="00BF553B"/>
    <w:rsid w:val="00C040D5"/>
    <w:rsid w:val="00C11090"/>
    <w:rsid w:val="00C14073"/>
    <w:rsid w:val="00C14169"/>
    <w:rsid w:val="00C14674"/>
    <w:rsid w:val="00C14F9C"/>
    <w:rsid w:val="00C233DF"/>
    <w:rsid w:val="00C257BA"/>
    <w:rsid w:val="00C46688"/>
    <w:rsid w:val="00C50C9E"/>
    <w:rsid w:val="00C51705"/>
    <w:rsid w:val="00C5544C"/>
    <w:rsid w:val="00C56728"/>
    <w:rsid w:val="00C71171"/>
    <w:rsid w:val="00C80106"/>
    <w:rsid w:val="00C8137D"/>
    <w:rsid w:val="00C87D8C"/>
    <w:rsid w:val="00C95087"/>
    <w:rsid w:val="00C953E2"/>
    <w:rsid w:val="00CA0B87"/>
    <w:rsid w:val="00CA4193"/>
    <w:rsid w:val="00CA479A"/>
    <w:rsid w:val="00CA796D"/>
    <w:rsid w:val="00CB5F7C"/>
    <w:rsid w:val="00CB6DCF"/>
    <w:rsid w:val="00CC5E45"/>
    <w:rsid w:val="00CC7EAE"/>
    <w:rsid w:val="00CD1029"/>
    <w:rsid w:val="00CD3BB2"/>
    <w:rsid w:val="00CD6C6D"/>
    <w:rsid w:val="00CE1E62"/>
    <w:rsid w:val="00CE6DC7"/>
    <w:rsid w:val="00D00285"/>
    <w:rsid w:val="00D01B48"/>
    <w:rsid w:val="00D257A1"/>
    <w:rsid w:val="00D370A5"/>
    <w:rsid w:val="00D47467"/>
    <w:rsid w:val="00D51F51"/>
    <w:rsid w:val="00D6137F"/>
    <w:rsid w:val="00D645ED"/>
    <w:rsid w:val="00D70585"/>
    <w:rsid w:val="00D8133B"/>
    <w:rsid w:val="00D85485"/>
    <w:rsid w:val="00D86DC1"/>
    <w:rsid w:val="00D900FF"/>
    <w:rsid w:val="00D92168"/>
    <w:rsid w:val="00D921A5"/>
    <w:rsid w:val="00D92534"/>
    <w:rsid w:val="00DA096F"/>
    <w:rsid w:val="00DB252F"/>
    <w:rsid w:val="00DC0601"/>
    <w:rsid w:val="00DC17CE"/>
    <w:rsid w:val="00DC46D2"/>
    <w:rsid w:val="00DC6C49"/>
    <w:rsid w:val="00DD4FD5"/>
    <w:rsid w:val="00DE2A8E"/>
    <w:rsid w:val="00DE5350"/>
    <w:rsid w:val="00DF01FB"/>
    <w:rsid w:val="00DF5FB5"/>
    <w:rsid w:val="00DF68B8"/>
    <w:rsid w:val="00E0533C"/>
    <w:rsid w:val="00E13084"/>
    <w:rsid w:val="00E3281E"/>
    <w:rsid w:val="00E34880"/>
    <w:rsid w:val="00E412E4"/>
    <w:rsid w:val="00E479F5"/>
    <w:rsid w:val="00E47EB5"/>
    <w:rsid w:val="00E53641"/>
    <w:rsid w:val="00E66117"/>
    <w:rsid w:val="00E81E76"/>
    <w:rsid w:val="00E849C0"/>
    <w:rsid w:val="00E86BC5"/>
    <w:rsid w:val="00E904E6"/>
    <w:rsid w:val="00E90D89"/>
    <w:rsid w:val="00E96EAC"/>
    <w:rsid w:val="00EA279B"/>
    <w:rsid w:val="00EA40E9"/>
    <w:rsid w:val="00EA66F3"/>
    <w:rsid w:val="00EC0415"/>
    <w:rsid w:val="00EC066D"/>
    <w:rsid w:val="00ED02B8"/>
    <w:rsid w:val="00ED1BE9"/>
    <w:rsid w:val="00EE30F6"/>
    <w:rsid w:val="00EE44FC"/>
    <w:rsid w:val="00EF05BA"/>
    <w:rsid w:val="00EF0DC5"/>
    <w:rsid w:val="00EF373B"/>
    <w:rsid w:val="00EF5B8C"/>
    <w:rsid w:val="00F13D58"/>
    <w:rsid w:val="00F1412B"/>
    <w:rsid w:val="00F14298"/>
    <w:rsid w:val="00F2487C"/>
    <w:rsid w:val="00F2529B"/>
    <w:rsid w:val="00F2631B"/>
    <w:rsid w:val="00F276EE"/>
    <w:rsid w:val="00F33B98"/>
    <w:rsid w:val="00F35405"/>
    <w:rsid w:val="00F37DD6"/>
    <w:rsid w:val="00F51551"/>
    <w:rsid w:val="00F740FD"/>
    <w:rsid w:val="00F76A91"/>
    <w:rsid w:val="00F80050"/>
    <w:rsid w:val="00F8534F"/>
    <w:rsid w:val="00F861BE"/>
    <w:rsid w:val="00F917DB"/>
    <w:rsid w:val="00F93900"/>
    <w:rsid w:val="00FA03EA"/>
    <w:rsid w:val="00FA5570"/>
    <w:rsid w:val="00FB41A2"/>
    <w:rsid w:val="00FD6C8D"/>
    <w:rsid w:val="00FD7DC6"/>
    <w:rsid w:val="00FE0802"/>
    <w:rsid w:val="00FE0CF2"/>
    <w:rsid w:val="00FE0FEB"/>
    <w:rsid w:val="00FE2AF5"/>
    <w:rsid w:val="00FE467C"/>
    <w:rsid w:val="00FE5253"/>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place"/>
  <w:smartTagType w:namespaceuri="urn:schemas-microsoft-com:office:smarttags" w:name="City"/>
  <w:smartTagType w:namespaceuri="urn:schemas-microsoft-com:office:smarttags" w:name="State"/>
  <w:shapeDefaults>
    <o:shapedefaults v:ext="edit" spidmax="2049"/>
    <o:shapelayout v:ext="edit">
      <o:idmap v:ext="edit" data="1"/>
    </o:shapelayout>
  </w:shapeDefaults>
  <w:decimalSymbol w:val="."/>
  <w:listSeparator w:val=","/>
  <w15:chartTrackingRefBased/>
  <w15:docId w15:val="{FBD3B992-E073-4D89-BBA9-B7ED2D01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4" w:qFormat="1"/>
    <w:lsdException w:name="heading 1" w:uiPriority="3" w:qFormat="1"/>
    <w:lsdException w:name="heading 2" w:uiPriority="3" w:qFormat="1"/>
    <w:lsdException w:name="heading 3" w:uiPriority="3" w:qFormat="1"/>
    <w:lsdException w:name="heading 4" w:uiPriority="3" w:qFormat="1"/>
    <w:lsdException w:name="heading 5" w:uiPriority="3" w:qFormat="1"/>
    <w:lsdException w:name="heading 6" w:uiPriority="3"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nhideWhenUsed="1"/>
    <w:lsdException w:name="annotation text" w:semiHidden="1"/>
    <w:lsdException w:name="header" w:semiHidden="1" w:uiPriority="0" w:unhideWhenUsed="1"/>
    <w:lsdException w:name="footer" w:semiHidden="1" w:uiPriority="7" w:unhideWhenUsed="1"/>
    <w:lsdException w:name="index heading" w:semiHidden="1" w:uiPriority="0" w:unhideWhenUsed="1"/>
    <w:lsdException w:name="caption"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uiPriority="7" w:unhideWhenUsed="1"/>
    <w:lsdException w:name="endnote reference" w:semiHidden="1"/>
    <w:lsdException w:name="endnote text" w:semiHidden="1"/>
    <w:lsdException w:name="table of authorities" w:semiHidden="1"/>
    <w:lsdException w:name="macro" w:semiHidden="1"/>
    <w:lsdException w:name="toa heading" w:semiHidden="1" w:uiPriority="0" w:unhideWhenUsed="1"/>
    <w:lsdException w:name="List" w:semiHidden="1"/>
    <w:lsdException w:name="List Bullet" w:semiHidden="1" w:uiPriority="0" w:unhideWhenUsed="1"/>
    <w:lsdException w:name="List Number" w:semiHidden="1"/>
    <w:lsdException w:name="List 2" w:semiHidden="1"/>
    <w:lsdException w:name="List 3" w:semiHidden="1"/>
    <w:lsdException w:name="List 4" w:semiHidden="1"/>
    <w:lsdException w:name="List 5" w:semiHidden="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0"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7" w:unhideWhenUsed="1"/>
    <w:lsdException w:name="Date" w:semiHidden="1" w:uiPriority="9" w:unhideWhenUsed="1"/>
    <w:lsdException w:name="Body Text First Indent" w:semiHidden="1" w:uiPriority="0"/>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iPriority="0"/>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4"/>
    <w:qFormat/>
    <w:rsid w:val="00A431F0"/>
    <w:pPr>
      <w:spacing w:before="120" w:after="120"/>
      <w:jc w:val="both"/>
    </w:pPr>
    <w:rPr>
      <w:rFonts w:eastAsia="Times New Roman"/>
      <w:szCs w:val="24"/>
      <w:lang w:val="en-GB"/>
    </w:rPr>
  </w:style>
  <w:style w:type="paragraph" w:styleId="Heading1">
    <w:name w:val="heading 1"/>
    <w:basedOn w:val="BodyText"/>
    <w:next w:val="BodyText"/>
    <w:link w:val="Heading1Char"/>
    <w:uiPriority w:val="3"/>
    <w:qFormat/>
    <w:rsid w:val="00C46688"/>
    <w:pPr>
      <w:pageBreakBefore/>
      <w:jc w:val="center"/>
      <w:outlineLvl w:val="0"/>
    </w:pPr>
    <w:rPr>
      <w:b/>
      <w:caps/>
    </w:rPr>
  </w:style>
  <w:style w:type="paragraph" w:styleId="Heading2">
    <w:name w:val="heading 2"/>
    <w:basedOn w:val="BodyText"/>
    <w:next w:val="BodyText"/>
    <w:link w:val="Heading2Char"/>
    <w:uiPriority w:val="3"/>
    <w:qFormat/>
    <w:rsid w:val="004C670F"/>
    <w:pPr>
      <w:keepNext/>
      <w:keepLines/>
      <w:jc w:val="left"/>
      <w:outlineLvl w:val="1"/>
    </w:pPr>
    <w:rPr>
      <w:b/>
      <w:smallCaps/>
    </w:rPr>
  </w:style>
  <w:style w:type="paragraph" w:styleId="Heading3">
    <w:name w:val="heading 3"/>
    <w:basedOn w:val="BodyText"/>
    <w:next w:val="BodyText"/>
    <w:link w:val="Heading3Char"/>
    <w:uiPriority w:val="3"/>
    <w:qFormat/>
    <w:rsid w:val="004C670F"/>
    <w:pPr>
      <w:keepNext/>
      <w:keepLines/>
      <w:jc w:val="left"/>
      <w:outlineLvl w:val="2"/>
    </w:pPr>
    <w:rPr>
      <w:b/>
    </w:rPr>
  </w:style>
  <w:style w:type="paragraph" w:styleId="Heading4">
    <w:name w:val="heading 4"/>
    <w:basedOn w:val="Heading3"/>
    <w:next w:val="BodyText"/>
    <w:link w:val="Heading4Char"/>
    <w:uiPriority w:val="3"/>
    <w:qFormat/>
    <w:rsid w:val="004C670F"/>
    <w:pPr>
      <w:outlineLvl w:val="3"/>
    </w:pPr>
  </w:style>
  <w:style w:type="paragraph" w:styleId="Heading5">
    <w:name w:val="heading 5"/>
    <w:basedOn w:val="BodyText"/>
    <w:next w:val="BodyText"/>
    <w:link w:val="Heading5Char"/>
    <w:uiPriority w:val="3"/>
    <w:qFormat/>
    <w:rsid w:val="004C670F"/>
    <w:pPr>
      <w:keepNext/>
      <w:keepLines/>
      <w:jc w:val="center"/>
      <w:outlineLvl w:val="4"/>
    </w:pPr>
    <w:rPr>
      <w:b/>
      <w:caps/>
    </w:rPr>
  </w:style>
  <w:style w:type="paragraph" w:styleId="Heading6">
    <w:name w:val="heading 6"/>
    <w:basedOn w:val="BodyText"/>
    <w:next w:val="BodyText"/>
    <w:link w:val="Heading6Char"/>
    <w:uiPriority w:val="3"/>
    <w:qFormat/>
    <w:rsid w:val="004C670F"/>
    <w:pPr>
      <w:keepNext/>
      <w:jc w:val="center"/>
      <w:outlineLvl w:val="5"/>
    </w:pPr>
    <w:rPr>
      <w:b/>
    </w:rPr>
  </w:style>
  <w:style w:type="paragraph" w:styleId="Heading7">
    <w:name w:val="heading 7"/>
    <w:basedOn w:val="BodyText"/>
    <w:next w:val="BodyText"/>
    <w:link w:val="Heading7Char"/>
    <w:qFormat/>
    <w:rsid w:val="004C670F"/>
    <w:pPr>
      <w:keepNext/>
      <w:keepLines/>
      <w:outlineLvl w:val="6"/>
    </w:pPr>
  </w:style>
  <w:style w:type="paragraph" w:styleId="Heading8">
    <w:name w:val="heading 8"/>
    <w:basedOn w:val="BodyText"/>
    <w:next w:val="BodyText"/>
    <w:link w:val="Heading8Char"/>
    <w:qFormat/>
    <w:rsid w:val="004C670F"/>
    <w:pPr>
      <w:jc w:val="left"/>
      <w:outlineLvl w:val="7"/>
    </w:pPr>
  </w:style>
  <w:style w:type="paragraph" w:styleId="Heading9">
    <w:name w:val="heading 9"/>
    <w:basedOn w:val="BodyText"/>
    <w:next w:val="Normal"/>
    <w:link w:val="Heading9Char"/>
    <w:qFormat/>
    <w:rsid w:val="004C670F"/>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B42D1"/>
  </w:style>
  <w:style w:type="character" w:customStyle="1" w:styleId="BodyTextChar">
    <w:name w:val="Body Text Char"/>
    <w:link w:val="BodyText"/>
    <w:rsid w:val="006B42D1"/>
    <w:rPr>
      <w:rFonts w:eastAsia="Times New Roman"/>
      <w:sz w:val="20"/>
      <w:lang w:val="en-GB"/>
    </w:rPr>
  </w:style>
  <w:style w:type="paragraph" w:customStyle="1" w:styleId="Address">
    <w:name w:val="Address"/>
    <w:basedOn w:val="BodyText"/>
    <w:uiPriority w:val="7"/>
    <w:unhideWhenUsed/>
    <w:rsid w:val="004C670F"/>
    <w:pPr>
      <w:spacing w:after="720"/>
    </w:pPr>
    <w:rPr>
      <w:noProof/>
    </w:rPr>
  </w:style>
  <w:style w:type="paragraph" w:styleId="Date">
    <w:name w:val="Date"/>
    <w:basedOn w:val="Normal"/>
    <w:next w:val="Normal"/>
    <w:link w:val="DateChar"/>
    <w:uiPriority w:val="9"/>
    <w:unhideWhenUsed/>
    <w:rsid w:val="004C670F"/>
  </w:style>
  <w:style w:type="character" w:customStyle="1" w:styleId="DateChar">
    <w:name w:val="Date Char"/>
    <w:link w:val="Date"/>
    <w:uiPriority w:val="9"/>
    <w:rsid w:val="00953526"/>
    <w:rPr>
      <w:rFonts w:eastAsia="Times New Roman"/>
      <w:lang w:val="en-GB"/>
    </w:rPr>
  </w:style>
  <w:style w:type="paragraph" w:styleId="Footer">
    <w:name w:val="footer"/>
    <w:basedOn w:val="BodyText"/>
    <w:link w:val="FooterChar"/>
    <w:uiPriority w:val="7"/>
    <w:unhideWhenUsed/>
    <w:rsid w:val="004C670F"/>
    <w:pPr>
      <w:tabs>
        <w:tab w:val="right" w:pos="8280"/>
      </w:tabs>
      <w:spacing w:after="0"/>
    </w:pPr>
    <w:rPr>
      <w:sz w:val="16"/>
    </w:rPr>
  </w:style>
  <w:style w:type="character" w:customStyle="1" w:styleId="FooterChar">
    <w:name w:val="Footer Char"/>
    <w:link w:val="Footer"/>
    <w:uiPriority w:val="7"/>
    <w:rsid w:val="002E5C48"/>
    <w:rPr>
      <w:rFonts w:eastAsia="Times New Roman"/>
      <w:sz w:val="16"/>
      <w:lang w:val="en-GB"/>
    </w:rPr>
  </w:style>
  <w:style w:type="character" w:styleId="FootnoteReference">
    <w:name w:val="footnote reference"/>
    <w:uiPriority w:val="99"/>
    <w:unhideWhenUsed/>
    <w:rsid w:val="002E5C48"/>
    <w:rPr>
      <w:vertAlign w:val="superscript"/>
      <w:lang w:val="en-GB"/>
    </w:rPr>
  </w:style>
  <w:style w:type="paragraph" w:customStyle="1" w:styleId="FootNoteSeparator">
    <w:name w:val="FootNote Separator"/>
    <w:basedOn w:val="Normal"/>
    <w:uiPriority w:val="7"/>
    <w:unhideWhenUsed/>
    <w:rsid w:val="004C670F"/>
    <w:pPr>
      <w:pBdr>
        <w:top w:val="single" w:sz="4" w:space="1" w:color="auto"/>
      </w:pBdr>
    </w:pPr>
  </w:style>
  <w:style w:type="paragraph" w:styleId="FootnoteText">
    <w:name w:val="footnote text"/>
    <w:aliases w:val="F"/>
    <w:basedOn w:val="BodyText"/>
    <w:link w:val="FootnoteTextChar"/>
    <w:uiPriority w:val="99"/>
    <w:rsid w:val="005455CA"/>
    <w:pPr>
      <w:tabs>
        <w:tab w:val="left" w:pos="357"/>
      </w:tabs>
      <w:ind w:left="357" w:hanging="357"/>
    </w:pPr>
    <w:rPr>
      <w:szCs w:val="20"/>
    </w:rPr>
  </w:style>
  <w:style w:type="character" w:customStyle="1" w:styleId="FootnoteTextChar">
    <w:name w:val="Footnote Text Char"/>
    <w:aliases w:val="F Char"/>
    <w:link w:val="FootnoteText"/>
    <w:uiPriority w:val="99"/>
    <w:rsid w:val="005455CA"/>
    <w:rPr>
      <w:rFonts w:eastAsia="Times New Roman"/>
      <w:sz w:val="20"/>
      <w:szCs w:val="20"/>
      <w:lang w:val="en-GB"/>
    </w:rPr>
  </w:style>
  <w:style w:type="paragraph" w:customStyle="1" w:styleId="FsTable">
    <w:name w:val="FsTable"/>
    <w:basedOn w:val="BodyText"/>
    <w:uiPriority w:val="1"/>
    <w:qFormat/>
    <w:rsid w:val="004C670F"/>
    <w:pPr>
      <w:jc w:val="left"/>
    </w:pPr>
  </w:style>
  <w:style w:type="paragraph" w:customStyle="1" w:styleId="FsTableHeading">
    <w:name w:val="FsTableHeading"/>
    <w:basedOn w:val="BodyText"/>
    <w:next w:val="FsTable"/>
    <w:uiPriority w:val="1"/>
    <w:qFormat/>
    <w:rsid w:val="004C670F"/>
    <w:pPr>
      <w:keepNext/>
      <w:keepLines/>
      <w:jc w:val="left"/>
    </w:pPr>
    <w:rPr>
      <w:b/>
    </w:rPr>
  </w:style>
  <w:style w:type="paragraph" w:customStyle="1" w:styleId="FWRecitals">
    <w:name w:val="FWRecitals"/>
    <w:basedOn w:val="Normal"/>
    <w:link w:val="FWRecitalsChar"/>
    <w:qFormat/>
    <w:rsid w:val="001B66EA"/>
    <w:pPr>
      <w:numPr>
        <w:numId w:val="1"/>
      </w:numPr>
      <w:spacing w:after="180" w:line="280" w:lineRule="atLeast"/>
    </w:pPr>
    <w:rPr>
      <w:rFonts w:eastAsia="SimSun"/>
      <w:szCs w:val="20"/>
    </w:rPr>
  </w:style>
  <w:style w:type="paragraph" w:styleId="Header">
    <w:name w:val="header"/>
    <w:basedOn w:val="BodyText"/>
    <w:link w:val="HeaderChar"/>
    <w:semiHidden/>
    <w:rsid w:val="004C670F"/>
    <w:pPr>
      <w:tabs>
        <w:tab w:val="right" w:pos="8280"/>
      </w:tabs>
      <w:spacing w:after="0"/>
      <w:jc w:val="right"/>
    </w:pPr>
    <w:rPr>
      <w:sz w:val="16"/>
    </w:rPr>
  </w:style>
  <w:style w:type="character" w:customStyle="1" w:styleId="HeaderChar">
    <w:name w:val="Header Char"/>
    <w:link w:val="Header"/>
    <w:semiHidden/>
    <w:rsid w:val="00953526"/>
    <w:rPr>
      <w:rFonts w:eastAsia="Times New Roman"/>
      <w:sz w:val="16"/>
      <w:lang w:val="en-GB"/>
    </w:rPr>
  </w:style>
  <w:style w:type="paragraph" w:customStyle="1" w:styleId="HeaderFPCSLogo">
    <w:name w:val="HeaderFPCSLogo"/>
    <w:basedOn w:val="Header"/>
    <w:semiHidden/>
    <w:rsid w:val="004C670F"/>
    <w:pPr>
      <w:tabs>
        <w:tab w:val="clear" w:pos="8280"/>
      </w:tabs>
      <w:jc w:val="center"/>
    </w:pPr>
  </w:style>
  <w:style w:type="paragraph" w:customStyle="1" w:styleId="HeaderCPCSLogo">
    <w:name w:val="HeaderCPCSLogo"/>
    <w:basedOn w:val="HeaderFPCSLogo"/>
    <w:semiHidden/>
    <w:rsid w:val="004C670F"/>
    <w:pPr>
      <w:spacing w:before="360"/>
    </w:pPr>
  </w:style>
  <w:style w:type="paragraph" w:customStyle="1" w:styleId="HeaderCPN">
    <w:name w:val="HeaderCPN"/>
    <w:basedOn w:val="BodyText"/>
    <w:semiHidden/>
    <w:rsid w:val="004C670F"/>
    <w:pPr>
      <w:spacing w:before="360" w:after="0"/>
      <w:jc w:val="right"/>
    </w:pPr>
  </w:style>
  <w:style w:type="paragraph" w:customStyle="1" w:styleId="HeaderFPN">
    <w:name w:val="HeaderFPN"/>
    <w:basedOn w:val="HeaderCPN"/>
    <w:semiHidden/>
    <w:rsid w:val="004C670F"/>
    <w:pPr>
      <w:spacing w:before="0"/>
    </w:pPr>
  </w:style>
  <w:style w:type="character" w:customStyle="1" w:styleId="Heading1Char">
    <w:name w:val="Heading 1 Char"/>
    <w:link w:val="Heading1"/>
    <w:uiPriority w:val="3"/>
    <w:rsid w:val="00C46688"/>
    <w:rPr>
      <w:rFonts w:eastAsia="Times New Roman"/>
      <w:b/>
      <w:caps/>
      <w:sz w:val="20"/>
      <w:lang w:val="en-GB"/>
    </w:rPr>
  </w:style>
  <w:style w:type="character" w:customStyle="1" w:styleId="Heading2Char">
    <w:name w:val="Heading 2 Char"/>
    <w:link w:val="Heading2"/>
    <w:uiPriority w:val="3"/>
    <w:rsid w:val="002E5C48"/>
    <w:rPr>
      <w:rFonts w:eastAsia="Times New Roman"/>
      <w:b/>
      <w:smallCaps/>
      <w:lang w:val="en-GB"/>
    </w:rPr>
  </w:style>
  <w:style w:type="character" w:customStyle="1" w:styleId="Heading3Char">
    <w:name w:val="Heading 3 Char"/>
    <w:link w:val="Heading3"/>
    <w:uiPriority w:val="3"/>
    <w:rsid w:val="002E5C48"/>
    <w:rPr>
      <w:rFonts w:eastAsia="Times New Roman"/>
      <w:b/>
      <w:lang w:val="en-GB"/>
    </w:rPr>
  </w:style>
  <w:style w:type="character" w:customStyle="1" w:styleId="Heading4Char">
    <w:name w:val="Heading 4 Char"/>
    <w:link w:val="Heading4"/>
    <w:uiPriority w:val="3"/>
    <w:rsid w:val="002E5C48"/>
    <w:rPr>
      <w:rFonts w:eastAsia="Times New Roman"/>
      <w:b/>
      <w:lang w:val="en-GB"/>
    </w:rPr>
  </w:style>
  <w:style w:type="character" w:customStyle="1" w:styleId="Heading5Char">
    <w:name w:val="Heading 5 Char"/>
    <w:link w:val="Heading5"/>
    <w:uiPriority w:val="3"/>
    <w:rsid w:val="002E5C48"/>
    <w:rPr>
      <w:rFonts w:eastAsia="Times New Roman"/>
      <w:b/>
      <w:caps/>
      <w:lang w:val="en-GB"/>
    </w:rPr>
  </w:style>
  <w:style w:type="character" w:customStyle="1" w:styleId="Heading6Char">
    <w:name w:val="Heading 6 Char"/>
    <w:link w:val="Heading6"/>
    <w:uiPriority w:val="3"/>
    <w:rsid w:val="002E5C48"/>
    <w:rPr>
      <w:rFonts w:eastAsia="Times New Roman"/>
      <w:b/>
      <w:lang w:val="en-GB"/>
    </w:rPr>
  </w:style>
  <w:style w:type="character" w:customStyle="1" w:styleId="Heading7Char">
    <w:name w:val="Heading 7 Char"/>
    <w:link w:val="Heading7"/>
    <w:semiHidden/>
    <w:rsid w:val="00953526"/>
    <w:rPr>
      <w:rFonts w:eastAsia="Times New Roman"/>
      <w:lang w:val="en-GB"/>
    </w:rPr>
  </w:style>
  <w:style w:type="character" w:customStyle="1" w:styleId="Heading8Char">
    <w:name w:val="Heading 8 Char"/>
    <w:link w:val="Heading8"/>
    <w:semiHidden/>
    <w:rsid w:val="00953526"/>
    <w:rPr>
      <w:rFonts w:eastAsia="Times New Roman"/>
      <w:lang w:val="en-GB"/>
    </w:rPr>
  </w:style>
  <w:style w:type="character" w:customStyle="1" w:styleId="Heading9Char">
    <w:name w:val="Heading 9 Char"/>
    <w:link w:val="Heading9"/>
    <w:semiHidden/>
    <w:rsid w:val="00953526"/>
    <w:rPr>
      <w:rFonts w:eastAsia="Times New Roman" w:cs="Arial"/>
      <w:szCs w:val="22"/>
      <w:lang w:val="en-GB"/>
    </w:rPr>
  </w:style>
  <w:style w:type="paragraph" w:customStyle="1" w:styleId="MarginalNote">
    <w:name w:val="Marginal Note"/>
    <w:basedOn w:val="BodyText"/>
    <w:next w:val="BodyText"/>
    <w:uiPriority w:val="2"/>
    <w:rsid w:val="004C670F"/>
    <w:pPr>
      <w:keepNext/>
      <w:keepLines/>
      <w:framePr w:w="1152" w:hSpace="144" w:wrap="around" w:vAnchor="text" w:hAnchor="page" w:y="1"/>
      <w:spacing w:before="40" w:line="180" w:lineRule="exact"/>
    </w:pPr>
    <w:rPr>
      <w:b/>
      <w:sz w:val="16"/>
    </w:rPr>
  </w:style>
  <w:style w:type="character" w:styleId="PageNumber">
    <w:name w:val="page number"/>
    <w:uiPriority w:val="7"/>
    <w:unhideWhenUsed/>
    <w:rsid w:val="00196C32"/>
    <w:rPr>
      <w:rFonts w:ascii="Times New Roman" w:hAnsi="Times New Roman"/>
      <w:sz w:val="16"/>
      <w:lang w:val="en-GB"/>
    </w:rPr>
  </w:style>
  <w:style w:type="paragraph" w:customStyle="1" w:styleId="ParaHeading">
    <w:name w:val="ParaHeading"/>
    <w:basedOn w:val="BodyText"/>
    <w:next w:val="BodyText"/>
    <w:qFormat/>
    <w:rsid w:val="004C670F"/>
    <w:pPr>
      <w:keepNext/>
      <w:keepLines/>
    </w:pPr>
    <w:rPr>
      <w:b/>
    </w:rPr>
  </w:style>
  <w:style w:type="paragraph" w:styleId="Salutation">
    <w:name w:val="Salutation"/>
    <w:basedOn w:val="BodyText"/>
    <w:next w:val="Normal"/>
    <w:link w:val="SalutationChar"/>
    <w:uiPriority w:val="7"/>
    <w:unhideWhenUsed/>
    <w:rsid w:val="004C670F"/>
  </w:style>
  <w:style w:type="character" w:customStyle="1" w:styleId="SalutationChar">
    <w:name w:val="Salutation Char"/>
    <w:link w:val="Salutation"/>
    <w:uiPriority w:val="7"/>
    <w:rsid w:val="002E5C48"/>
    <w:rPr>
      <w:rFonts w:eastAsia="Times New Roman"/>
      <w:lang w:val="en-GB"/>
    </w:rPr>
  </w:style>
  <w:style w:type="paragraph" w:customStyle="1" w:styleId="Sealing">
    <w:name w:val="Sealing"/>
    <w:basedOn w:val="BodyText"/>
    <w:uiPriority w:val="2"/>
    <w:rsid w:val="004C670F"/>
    <w:pPr>
      <w:keepLines/>
      <w:tabs>
        <w:tab w:val="left" w:pos="1728"/>
        <w:tab w:val="left" w:pos="4320"/>
      </w:tabs>
      <w:spacing w:after="480"/>
    </w:pPr>
  </w:style>
  <w:style w:type="paragraph" w:styleId="TOAHeading">
    <w:name w:val="toa heading"/>
    <w:basedOn w:val="Normal"/>
    <w:next w:val="Normal"/>
    <w:semiHidden/>
    <w:rsid w:val="004C670F"/>
    <w:rPr>
      <w:rFonts w:ascii="Arial" w:hAnsi="Arial" w:cs="Arial"/>
      <w:b/>
      <w:bCs/>
    </w:rPr>
  </w:style>
  <w:style w:type="paragraph" w:styleId="TOC1">
    <w:name w:val="toc 1"/>
    <w:basedOn w:val="BodyText"/>
    <w:next w:val="BodyText"/>
    <w:uiPriority w:val="39"/>
    <w:rsid w:val="004C670F"/>
    <w:pPr>
      <w:keepLines/>
      <w:tabs>
        <w:tab w:val="right" w:leader="dot" w:pos="8309"/>
      </w:tabs>
      <w:spacing w:after="0"/>
      <w:ind w:left="720" w:right="720" w:hanging="720"/>
      <w:jc w:val="left"/>
    </w:pPr>
    <w:rPr>
      <w:caps/>
    </w:rPr>
  </w:style>
  <w:style w:type="paragraph" w:styleId="TOC2">
    <w:name w:val="toc 2"/>
    <w:basedOn w:val="BodyText"/>
    <w:next w:val="BodyText"/>
    <w:uiPriority w:val="39"/>
    <w:rsid w:val="004C670F"/>
    <w:pPr>
      <w:tabs>
        <w:tab w:val="left" w:pos="357"/>
        <w:tab w:val="left" w:pos="720"/>
        <w:tab w:val="right" w:leader="dot" w:pos="8307"/>
      </w:tabs>
      <w:spacing w:after="0"/>
      <w:ind w:left="720" w:right="720" w:hanging="360"/>
      <w:jc w:val="left"/>
    </w:pPr>
    <w:rPr>
      <w:smallCaps/>
      <w:noProof/>
    </w:rPr>
  </w:style>
  <w:style w:type="paragraph" w:styleId="TOC3">
    <w:name w:val="toc 3"/>
    <w:basedOn w:val="BodyText"/>
    <w:next w:val="BodyText"/>
    <w:uiPriority w:val="39"/>
    <w:rsid w:val="004C670F"/>
    <w:pPr>
      <w:tabs>
        <w:tab w:val="right" w:leader="dot" w:pos="8307"/>
      </w:tabs>
      <w:spacing w:after="0"/>
      <w:ind w:left="720" w:right="720"/>
    </w:pPr>
  </w:style>
  <w:style w:type="paragraph" w:styleId="TOC4">
    <w:name w:val="toc 4"/>
    <w:basedOn w:val="BodyText"/>
    <w:next w:val="BodyText"/>
    <w:uiPriority w:val="39"/>
    <w:rsid w:val="004C670F"/>
    <w:pPr>
      <w:tabs>
        <w:tab w:val="right" w:leader="dot" w:pos="8309"/>
      </w:tabs>
      <w:spacing w:after="0"/>
      <w:ind w:left="1440" w:right="720"/>
    </w:pPr>
  </w:style>
  <w:style w:type="paragraph" w:styleId="TOC5">
    <w:name w:val="toc 5"/>
    <w:basedOn w:val="BodyText"/>
    <w:uiPriority w:val="39"/>
    <w:rsid w:val="004C670F"/>
    <w:pPr>
      <w:tabs>
        <w:tab w:val="right" w:leader="dot" w:pos="8309"/>
      </w:tabs>
      <w:ind w:left="720" w:right="720" w:hanging="720"/>
    </w:pPr>
    <w:rPr>
      <w:caps/>
    </w:rPr>
  </w:style>
  <w:style w:type="paragraph" w:styleId="TOC6">
    <w:name w:val="toc 6"/>
    <w:basedOn w:val="BodyText"/>
    <w:uiPriority w:val="39"/>
    <w:rsid w:val="004C670F"/>
    <w:pPr>
      <w:tabs>
        <w:tab w:val="right" w:leader="dot" w:pos="8309"/>
      </w:tabs>
      <w:ind w:left="720" w:right="720"/>
    </w:pPr>
  </w:style>
  <w:style w:type="paragraph" w:styleId="TOC7">
    <w:name w:val="toc 7"/>
    <w:basedOn w:val="BodyText"/>
    <w:uiPriority w:val="39"/>
    <w:rsid w:val="004C670F"/>
    <w:pPr>
      <w:tabs>
        <w:tab w:val="right" w:leader="dot" w:pos="8309"/>
      </w:tabs>
      <w:ind w:left="1080" w:right="720"/>
    </w:pPr>
    <w:rPr>
      <w:i/>
    </w:rPr>
  </w:style>
  <w:style w:type="paragraph" w:styleId="TOC8">
    <w:name w:val="toc 8"/>
    <w:basedOn w:val="BodyText"/>
    <w:uiPriority w:val="39"/>
    <w:rsid w:val="004C670F"/>
    <w:pPr>
      <w:tabs>
        <w:tab w:val="right" w:leader="dot" w:pos="8309"/>
      </w:tabs>
      <w:ind w:left="1440" w:right="720"/>
    </w:pPr>
    <w:rPr>
      <w:i/>
    </w:rPr>
  </w:style>
  <w:style w:type="paragraph" w:styleId="TOC9">
    <w:name w:val="toc 9"/>
    <w:basedOn w:val="BodyText"/>
    <w:next w:val="Normal"/>
    <w:uiPriority w:val="39"/>
    <w:rsid w:val="004C670F"/>
    <w:pPr>
      <w:tabs>
        <w:tab w:val="right" w:leader="dot" w:pos="8309"/>
      </w:tabs>
      <w:ind w:left="1440"/>
    </w:pPr>
    <w:rPr>
      <w:i/>
    </w:rPr>
  </w:style>
  <w:style w:type="character" w:styleId="Emphasis">
    <w:name w:val="Emphasis"/>
    <w:qFormat/>
    <w:rsid w:val="00A93B94"/>
    <w:rPr>
      <w:i/>
      <w:iCs/>
      <w:lang w:val="en-GB"/>
    </w:rPr>
  </w:style>
  <w:style w:type="character" w:customStyle="1" w:styleId="FsHidden">
    <w:name w:val="FsHidden"/>
    <w:uiPriority w:val="1"/>
    <w:rsid w:val="005667E1"/>
    <w:rPr>
      <w:vanish/>
      <w:color w:val="FFC000"/>
      <w:lang w:val="en-GB"/>
    </w:rPr>
  </w:style>
  <w:style w:type="paragraph" w:styleId="NoSpacing">
    <w:name w:val="No Spacing"/>
    <w:uiPriority w:val="2"/>
    <w:qFormat/>
    <w:rsid w:val="005667E1"/>
    <w:rPr>
      <w:rFonts w:eastAsia="Times New Roman"/>
      <w:sz w:val="24"/>
      <w:szCs w:val="24"/>
      <w:lang w:val="en-GB"/>
    </w:rPr>
  </w:style>
  <w:style w:type="table" w:styleId="TableGrid">
    <w:name w:val="Table Grid"/>
    <w:basedOn w:val="TableNormal"/>
    <w:uiPriority w:val="39"/>
    <w:rsid w:val="005667E1"/>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WRecitalsChar">
    <w:name w:val="FWRecitals Char"/>
    <w:link w:val="FWRecitals"/>
    <w:rsid w:val="001B66EA"/>
    <w:rPr>
      <w:rFonts w:eastAsia="SimSun"/>
      <w:sz w:val="20"/>
      <w:szCs w:val="20"/>
      <w:lang w:val="en-GB"/>
    </w:rPr>
  </w:style>
  <w:style w:type="numbering" w:styleId="111111">
    <w:name w:val="Outline List 2"/>
    <w:basedOn w:val="NoList"/>
    <w:uiPriority w:val="99"/>
    <w:semiHidden/>
    <w:unhideWhenUsed/>
    <w:rsid w:val="008F7985"/>
  </w:style>
  <w:style w:type="numbering" w:styleId="1ai">
    <w:name w:val="Outline List 1"/>
    <w:basedOn w:val="NoList"/>
    <w:uiPriority w:val="99"/>
    <w:semiHidden/>
    <w:unhideWhenUsed/>
    <w:rsid w:val="008F7985"/>
  </w:style>
  <w:style w:type="numbering" w:styleId="ArticleSection">
    <w:name w:val="Outline List 3"/>
    <w:basedOn w:val="NoList"/>
    <w:uiPriority w:val="99"/>
    <w:semiHidden/>
    <w:unhideWhenUsed/>
    <w:rsid w:val="008F7985"/>
  </w:style>
  <w:style w:type="paragraph" w:styleId="BalloonText">
    <w:name w:val="Balloon Text"/>
    <w:basedOn w:val="Normal"/>
    <w:link w:val="BalloonTextChar"/>
    <w:uiPriority w:val="99"/>
    <w:semiHidden/>
    <w:rsid w:val="008F7985"/>
    <w:rPr>
      <w:rFonts w:ascii="Tahoma" w:hAnsi="Tahoma" w:cs="Tahoma"/>
      <w:sz w:val="16"/>
      <w:szCs w:val="16"/>
    </w:rPr>
  </w:style>
  <w:style w:type="character" w:customStyle="1" w:styleId="BalloonTextChar">
    <w:name w:val="Balloon Text Char"/>
    <w:link w:val="BalloonText"/>
    <w:uiPriority w:val="99"/>
    <w:semiHidden/>
    <w:rsid w:val="008F7985"/>
    <w:rPr>
      <w:rFonts w:ascii="Tahoma" w:eastAsia="Times New Roman" w:hAnsi="Tahoma" w:cs="Tahoma"/>
      <w:sz w:val="16"/>
      <w:szCs w:val="16"/>
      <w:lang w:val="en-GB"/>
    </w:rPr>
  </w:style>
  <w:style w:type="paragraph" w:styleId="Bibliography">
    <w:name w:val="Bibliography"/>
    <w:basedOn w:val="Normal"/>
    <w:next w:val="Normal"/>
    <w:uiPriority w:val="37"/>
    <w:semiHidden/>
    <w:rsid w:val="008F7985"/>
  </w:style>
  <w:style w:type="paragraph" w:styleId="BlockText">
    <w:name w:val="Block Text"/>
    <w:basedOn w:val="Normal"/>
    <w:uiPriority w:val="99"/>
    <w:semiHidden/>
    <w:rsid w:val="008F7985"/>
    <w:pPr>
      <w:pBdr>
        <w:top w:val="single" w:sz="2" w:space="10" w:color="5B9BD5" w:shadow="1" w:frame="1"/>
        <w:left w:val="single" w:sz="2" w:space="10" w:color="5B9BD5" w:shadow="1" w:frame="1"/>
        <w:bottom w:val="single" w:sz="2" w:space="10" w:color="5B9BD5" w:shadow="1" w:frame="1"/>
        <w:right w:val="single" w:sz="2" w:space="10" w:color="5B9BD5" w:shadow="1" w:frame="1"/>
      </w:pBdr>
      <w:ind w:left="1152" w:right="1152"/>
    </w:pPr>
    <w:rPr>
      <w:rFonts w:ascii="Calibri" w:eastAsia="SimSun" w:hAnsi="Calibri"/>
      <w:i/>
      <w:iCs/>
      <w:color w:val="5B9BD5"/>
    </w:rPr>
  </w:style>
  <w:style w:type="paragraph" w:styleId="BodyText2">
    <w:name w:val="Body Text 2"/>
    <w:basedOn w:val="Normal"/>
    <w:link w:val="BodyText2Char"/>
    <w:uiPriority w:val="99"/>
    <w:semiHidden/>
    <w:rsid w:val="008F7985"/>
    <w:pPr>
      <w:spacing w:line="480" w:lineRule="auto"/>
    </w:pPr>
  </w:style>
  <w:style w:type="character" w:customStyle="1" w:styleId="BodyText2Char">
    <w:name w:val="Body Text 2 Char"/>
    <w:link w:val="BodyText2"/>
    <w:uiPriority w:val="99"/>
    <w:semiHidden/>
    <w:rsid w:val="008F7985"/>
    <w:rPr>
      <w:rFonts w:eastAsia="Times New Roman"/>
      <w:lang w:val="en-GB"/>
    </w:rPr>
  </w:style>
  <w:style w:type="paragraph" w:styleId="BodyText3">
    <w:name w:val="Body Text 3"/>
    <w:basedOn w:val="Normal"/>
    <w:link w:val="BodyText3Char"/>
    <w:uiPriority w:val="99"/>
    <w:semiHidden/>
    <w:rsid w:val="008F7985"/>
    <w:rPr>
      <w:sz w:val="16"/>
      <w:szCs w:val="16"/>
    </w:rPr>
  </w:style>
  <w:style w:type="character" w:customStyle="1" w:styleId="BodyText3Char">
    <w:name w:val="Body Text 3 Char"/>
    <w:link w:val="BodyText3"/>
    <w:uiPriority w:val="99"/>
    <w:semiHidden/>
    <w:rsid w:val="008F7985"/>
    <w:rPr>
      <w:rFonts w:eastAsia="Times New Roman"/>
      <w:sz w:val="16"/>
      <w:szCs w:val="16"/>
      <w:lang w:val="en-GB"/>
    </w:rPr>
  </w:style>
  <w:style w:type="paragraph" w:styleId="BodyTextFirstIndent">
    <w:name w:val="Body Text First Indent"/>
    <w:basedOn w:val="BodyText"/>
    <w:link w:val="BodyTextFirstIndentChar"/>
    <w:semiHidden/>
    <w:rsid w:val="008F7985"/>
    <w:pPr>
      <w:spacing w:after="0"/>
      <w:ind w:firstLine="360"/>
      <w:jc w:val="left"/>
    </w:pPr>
  </w:style>
  <w:style w:type="character" w:customStyle="1" w:styleId="BodyTextFirstIndentChar">
    <w:name w:val="Body Text First Indent Char"/>
    <w:link w:val="BodyTextFirstIndent"/>
    <w:uiPriority w:val="99"/>
    <w:semiHidden/>
    <w:rsid w:val="008F7985"/>
    <w:rPr>
      <w:rFonts w:eastAsia="Times New Roman"/>
      <w:sz w:val="20"/>
      <w:lang w:val="en-GB"/>
    </w:rPr>
  </w:style>
  <w:style w:type="paragraph" w:styleId="BodyTextIndent">
    <w:name w:val="Body Text Indent"/>
    <w:basedOn w:val="Normal"/>
    <w:link w:val="BodyTextIndentChar"/>
    <w:uiPriority w:val="99"/>
    <w:semiHidden/>
    <w:rsid w:val="008F7985"/>
    <w:pPr>
      <w:ind w:left="360"/>
    </w:pPr>
  </w:style>
  <w:style w:type="character" w:customStyle="1" w:styleId="BodyTextIndentChar">
    <w:name w:val="Body Text Indent Char"/>
    <w:link w:val="BodyTextIndent"/>
    <w:uiPriority w:val="99"/>
    <w:semiHidden/>
    <w:rsid w:val="008F7985"/>
    <w:rPr>
      <w:rFonts w:eastAsia="Times New Roman"/>
      <w:lang w:val="en-GB"/>
    </w:rPr>
  </w:style>
  <w:style w:type="paragraph" w:styleId="BodyTextFirstIndent2">
    <w:name w:val="Body Text First Indent 2"/>
    <w:basedOn w:val="BodyTextIndent"/>
    <w:link w:val="BodyTextFirstIndent2Char"/>
    <w:uiPriority w:val="99"/>
    <w:semiHidden/>
    <w:rsid w:val="008F7985"/>
    <w:pPr>
      <w:spacing w:after="0"/>
      <w:ind w:firstLine="360"/>
    </w:pPr>
  </w:style>
  <w:style w:type="character" w:customStyle="1" w:styleId="BodyTextFirstIndent2Char">
    <w:name w:val="Body Text First Indent 2 Char"/>
    <w:link w:val="BodyTextFirstIndent2"/>
    <w:uiPriority w:val="99"/>
    <w:semiHidden/>
    <w:rsid w:val="008F7985"/>
    <w:rPr>
      <w:rFonts w:eastAsia="Times New Roman"/>
      <w:lang w:val="en-GB"/>
    </w:rPr>
  </w:style>
  <w:style w:type="paragraph" w:styleId="BodyTextIndent2">
    <w:name w:val="Body Text Indent 2"/>
    <w:basedOn w:val="Normal"/>
    <w:link w:val="BodyTextIndent2Char"/>
    <w:uiPriority w:val="99"/>
    <w:semiHidden/>
    <w:rsid w:val="008F7985"/>
    <w:pPr>
      <w:spacing w:line="480" w:lineRule="auto"/>
      <w:ind w:left="360"/>
    </w:pPr>
  </w:style>
  <w:style w:type="character" w:customStyle="1" w:styleId="BodyTextIndent2Char">
    <w:name w:val="Body Text Indent 2 Char"/>
    <w:link w:val="BodyTextIndent2"/>
    <w:uiPriority w:val="99"/>
    <w:semiHidden/>
    <w:rsid w:val="008F7985"/>
    <w:rPr>
      <w:rFonts w:eastAsia="Times New Roman"/>
      <w:lang w:val="en-GB"/>
    </w:rPr>
  </w:style>
  <w:style w:type="paragraph" w:styleId="BodyTextIndent3">
    <w:name w:val="Body Text Indent 3"/>
    <w:basedOn w:val="Normal"/>
    <w:link w:val="BodyTextIndent3Char"/>
    <w:uiPriority w:val="99"/>
    <w:semiHidden/>
    <w:rsid w:val="008F7985"/>
    <w:pPr>
      <w:ind w:left="360"/>
    </w:pPr>
    <w:rPr>
      <w:sz w:val="16"/>
      <w:szCs w:val="16"/>
    </w:rPr>
  </w:style>
  <w:style w:type="character" w:customStyle="1" w:styleId="BodyTextIndent3Char">
    <w:name w:val="Body Text Indent 3 Char"/>
    <w:link w:val="BodyTextIndent3"/>
    <w:uiPriority w:val="99"/>
    <w:semiHidden/>
    <w:rsid w:val="008F7985"/>
    <w:rPr>
      <w:rFonts w:eastAsia="Times New Roman"/>
      <w:sz w:val="16"/>
      <w:szCs w:val="16"/>
      <w:lang w:val="en-GB"/>
    </w:rPr>
  </w:style>
  <w:style w:type="character" w:styleId="BookTitle">
    <w:name w:val="Book Title"/>
    <w:uiPriority w:val="33"/>
    <w:qFormat/>
    <w:rsid w:val="008F7985"/>
    <w:rPr>
      <w:b/>
      <w:bCs/>
      <w:smallCaps/>
      <w:spacing w:val="5"/>
      <w:lang w:val="en-GB"/>
    </w:rPr>
  </w:style>
  <w:style w:type="paragraph" w:styleId="Caption">
    <w:name w:val="caption"/>
    <w:basedOn w:val="Normal"/>
    <w:next w:val="Normal"/>
    <w:uiPriority w:val="35"/>
    <w:qFormat/>
    <w:rsid w:val="008F7985"/>
    <w:pPr>
      <w:spacing w:after="200"/>
    </w:pPr>
    <w:rPr>
      <w:b/>
      <w:bCs/>
      <w:color w:val="5B9BD5"/>
      <w:sz w:val="18"/>
      <w:szCs w:val="18"/>
    </w:rPr>
  </w:style>
  <w:style w:type="paragraph" w:styleId="Closing">
    <w:name w:val="Closing"/>
    <w:basedOn w:val="Normal"/>
    <w:link w:val="ClosingChar"/>
    <w:uiPriority w:val="99"/>
    <w:semiHidden/>
    <w:rsid w:val="008F7985"/>
    <w:pPr>
      <w:ind w:left="4320"/>
    </w:pPr>
  </w:style>
  <w:style w:type="character" w:customStyle="1" w:styleId="ClosingChar">
    <w:name w:val="Closing Char"/>
    <w:link w:val="Closing"/>
    <w:uiPriority w:val="99"/>
    <w:semiHidden/>
    <w:rsid w:val="008F7985"/>
    <w:rPr>
      <w:rFonts w:eastAsia="Times New Roman"/>
      <w:lang w:val="en-GB"/>
    </w:rPr>
  </w:style>
  <w:style w:type="table" w:styleId="ColorfulGrid">
    <w:name w:val="Colorful Grid"/>
    <w:basedOn w:val="TableNormal"/>
    <w:uiPriority w:val="73"/>
    <w:rsid w:val="008F7985"/>
    <w:rPr>
      <w:color w:val="000000"/>
      <w:lang w:val="en-GB"/>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8F7985"/>
    <w:rPr>
      <w:color w:val="000000"/>
      <w:lang w:val="en-GB"/>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2">
    <w:name w:val="Colorful Grid Accent 2"/>
    <w:basedOn w:val="TableNormal"/>
    <w:uiPriority w:val="73"/>
    <w:rsid w:val="008F7985"/>
    <w:rPr>
      <w:color w:val="000000"/>
      <w:lang w:val="en-GB"/>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rsid w:val="008F7985"/>
    <w:rPr>
      <w:color w:val="000000"/>
      <w:lang w:val="en-GB"/>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rsid w:val="008F7985"/>
    <w:rPr>
      <w:color w:val="000000"/>
      <w:lang w:val="en-GB"/>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rsid w:val="008F7985"/>
    <w:rPr>
      <w:color w:val="000000"/>
      <w:lang w:val="en-GB"/>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6">
    <w:name w:val="Colorful Grid Accent 6"/>
    <w:basedOn w:val="TableNormal"/>
    <w:uiPriority w:val="73"/>
    <w:rsid w:val="008F7985"/>
    <w:rPr>
      <w:color w:val="000000"/>
      <w:lang w:val="en-GB"/>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rsid w:val="008F7985"/>
    <w:rPr>
      <w:color w:val="000000"/>
      <w:lang w:val="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8F7985"/>
    <w:rPr>
      <w:color w:val="000000"/>
      <w:lang w:val="en-GB"/>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2">
    <w:name w:val="Colorful List Accent 2"/>
    <w:basedOn w:val="TableNormal"/>
    <w:uiPriority w:val="72"/>
    <w:rsid w:val="008F7985"/>
    <w:rPr>
      <w:color w:val="000000"/>
      <w:lang w:val="en-GB"/>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rsid w:val="008F7985"/>
    <w:rPr>
      <w:color w:val="000000"/>
      <w:lang w:val="en-GB"/>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rsid w:val="008F7985"/>
    <w:rPr>
      <w:color w:val="000000"/>
      <w:lang w:val="en-GB"/>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rsid w:val="008F7985"/>
    <w:rPr>
      <w:color w:val="000000"/>
      <w:lang w:val="en-GB"/>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6">
    <w:name w:val="Colorful List Accent 6"/>
    <w:basedOn w:val="TableNormal"/>
    <w:uiPriority w:val="72"/>
    <w:rsid w:val="008F7985"/>
    <w:rPr>
      <w:color w:val="000000"/>
      <w:lang w:val="en-GB"/>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rsid w:val="008F7985"/>
    <w:rPr>
      <w:color w:val="000000"/>
      <w:lang w:val="en-GB"/>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8F7985"/>
    <w:rPr>
      <w:color w:val="000000"/>
      <w:lang w:val="en-GB"/>
    </w:rPr>
    <w:tblPr>
      <w:tblStyleRowBandSize w:val="1"/>
      <w:tblStyleColBandSize w:val="1"/>
      <w:tblBorders>
        <w:top w:val="single" w:sz="24" w:space="0" w:color="ED7D31"/>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8F7985"/>
    <w:rPr>
      <w:color w:val="000000"/>
      <w:lang w:val="en-GB"/>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8F7985"/>
    <w:rPr>
      <w:color w:val="000000"/>
      <w:lang w:val="en-GB"/>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rsid w:val="008F7985"/>
    <w:rPr>
      <w:color w:val="000000"/>
      <w:lang w:val="en-GB"/>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8F7985"/>
    <w:rPr>
      <w:color w:val="000000"/>
      <w:lang w:val="en-GB"/>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8F7985"/>
    <w:rPr>
      <w:color w:val="000000"/>
      <w:lang w:val="en-GB"/>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4472C4"/>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styleId="CommentReference">
    <w:name w:val="annotation reference"/>
    <w:uiPriority w:val="99"/>
    <w:semiHidden/>
    <w:rsid w:val="008F7985"/>
    <w:rPr>
      <w:sz w:val="16"/>
      <w:szCs w:val="16"/>
      <w:lang w:val="en-GB"/>
    </w:rPr>
  </w:style>
  <w:style w:type="paragraph" w:styleId="CommentText">
    <w:name w:val="annotation text"/>
    <w:basedOn w:val="Normal"/>
    <w:link w:val="CommentTextChar"/>
    <w:uiPriority w:val="99"/>
    <w:semiHidden/>
    <w:rsid w:val="008F7985"/>
    <w:rPr>
      <w:szCs w:val="20"/>
    </w:rPr>
  </w:style>
  <w:style w:type="character" w:customStyle="1" w:styleId="CommentTextChar">
    <w:name w:val="Comment Text Char"/>
    <w:link w:val="CommentText"/>
    <w:uiPriority w:val="99"/>
    <w:semiHidden/>
    <w:rsid w:val="008F7985"/>
    <w:rPr>
      <w:rFonts w:eastAsia="Times New Roman"/>
      <w:sz w:val="20"/>
      <w:szCs w:val="20"/>
      <w:lang w:val="en-GB"/>
    </w:rPr>
  </w:style>
  <w:style w:type="paragraph" w:styleId="CommentSubject">
    <w:name w:val="annotation subject"/>
    <w:basedOn w:val="CommentText"/>
    <w:next w:val="CommentText"/>
    <w:link w:val="CommentSubjectChar"/>
    <w:uiPriority w:val="99"/>
    <w:semiHidden/>
    <w:rsid w:val="008F7985"/>
    <w:rPr>
      <w:b/>
      <w:bCs/>
    </w:rPr>
  </w:style>
  <w:style w:type="character" w:customStyle="1" w:styleId="CommentSubjectChar">
    <w:name w:val="Comment Subject Char"/>
    <w:link w:val="CommentSubject"/>
    <w:uiPriority w:val="99"/>
    <w:semiHidden/>
    <w:rsid w:val="008F7985"/>
    <w:rPr>
      <w:rFonts w:eastAsia="Times New Roman"/>
      <w:b/>
      <w:bCs/>
      <w:sz w:val="20"/>
      <w:szCs w:val="20"/>
      <w:lang w:val="en-GB"/>
    </w:rPr>
  </w:style>
  <w:style w:type="table" w:styleId="DarkList">
    <w:name w:val="Dark List"/>
    <w:basedOn w:val="TableNormal"/>
    <w:uiPriority w:val="70"/>
    <w:rsid w:val="008F7985"/>
    <w:rPr>
      <w:color w:val="FFFFFF"/>
      <w:lang w:val="en-GB"/>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8F7985"/>
    <w:rPr>
      <w:color w:val="FFFFFF"/>
      <w:lang w:val="en-GB"/>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2">
    <w:name w:val="Dark List Accent 2"/>
    <w:basedOn w:val="TableNormal"/>
    <w:uiPriority w:val="70"/>
    <w:rsid w:val="008F7985"/>
    <w:rPr>
      <w:color w:val="FFFFFF"/>
      <w:lang w:val="en-GB"/>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rsid w:val="008F7985"/>
    <w:rPr>
      <w:color w:val="FFFFFF"/>
      <w:lang w:val="en-GB"/>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8F7985"/>
    <w:rPr>
      <w:color w:val="FFFFFF"/>
      <w:lang w:val="en-GB"/>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8F7985"/>
    <w:rPr>
      <w:color w:val="FFFFFF"/>
      <w:lang w:val="en-GB"/>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6">
    <w:name w:val="Dark List Accent 6"/>
    <w:basedOn w:val="TableNormal"/>
    <w:uiPriority w:val="70"/>
    <w:rsid w:val="008F7985"/>
    <w:rPr>
      <w:color w:val="FFFFFF"/>
      <w:lang w:val="en-GB"/>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DocumentMap">
    <w:name w:val="Document Map"/>
    <w:basedOn w:val="Normal"/>
    <w:link w:val="DocumentMapChar"/>
    <w:uiPriority w:val="99"/>
    <w:semiHidden/>
    <w:rsid w:val="008F7985"/>
    <w:rPr>
      <w:rFonts w:ascii="Tahoma" w:hAnsi="Tahoma" w:cs="Tahoma"/>
      <w:sz w:val="16"/>
      <w:szCs w:val="16"/>
    </w:rPr>
  </w:style>
  <w:style w:type="character" w:customStyle="1" w:styleId="DocumentMapChar">
    <w:name w:val="Document Map Char"/>
    <w:link w:val="DocumentMap"/>
    <w:uiPriority w:val="99"/>
    <w:semiHidden/>
    <w:rsid w:val="008F7985"/>
    <w:rPr>
      <w:rFonts w:ascii="Tahoma" w:eastAsia="Times New Roman" w:hAnsi="Tahoma" w:cs="Tahoma"/>
      <w:sz w:val="16"/>
      <w:szCs w:val="16"/>
      <w:lang w:val="en-GB"/>
    </w:rPr>
  </w:style>
  <w:style w:type="paragraph" w:styleId="E-mailSignature">
    <w:name w:val="E-mail Signature"/>
    <w:basedOn w:val="Normal"/>
    <w:link w:val="E-mailSignatureChar"/>
    <w:uiPriority w:val="99"/>
    <w:semiHidden/>
    <w:rsid w:val="008F7985"/>
  </w:style>
  <w:style w:type="character" w:customStyle="1" w:styleId="E-mailSignatureChar">
    <w:name w:val="E-mail Signature Char"/>
    <w:link w:val="E-mailSignature"/>
    <w:uiPriority w:val="99"/>
    <w:semiHidden/>
    <w:rsid w:val="008F7985"/>
    <w:rPr>
      <w:rFonts w:eastAsia="Times New Roman"/>
      <w:lang w:val="en-GB"/>
    </w:rPr>
  </w:style>
  <w:style w:type="character" w:styleId="EndnoteReference">
    <w:name w:val="endnote reference"/>
    <w:uiPriority w:val="99"/>
    <w:semiHidden/>
    <w:rsid w:val="008F7985"/>
    <w:rPr>
      <w:vertAlign w:val="superscript"/>
      <w:lang w:val="en-GB"/>
    </w:rPr>
  </w:style>
  <w:style w:type="paragraph" w:styleId="EndnoteText">
    <w:name w:val="endnote text"/>
    <w:basedOn w:val="Normal"/>
    <w:link w:val="EndnoteTextChar"/>
    <w:uiPriority w:val="99"/>
    <w:semiHidden/>
    <w:rsid w:val="008F7985"/>
    <w:rPr>
      <w:szCs w:val="20"/>
    </w:rPr>
  </w:style>
  <w:style w:type="character" w:customStyle="1" w:styleId="EndnoteTextChar">
    <w:name w:val="Endnote Text Char"/>
    <w:link w:val="EndnoteText"/>
    <w:uiPriority w:val="99"/>
    <w:semiHidden/>
    <w:rsid w:val="008F7985"/>
    <w:rPr>
      <w:rFonts w:eastAsia="Times New Roman"/>
      <w:sz w:val="20"/>
      <w:szCs w:val="20"/>
      <w:lang w:val="en-GB"/>
    </w:rPr>
  </w:style>
  <w:style w:type="paragraph" w:styleId="EnvelopeAddress">
    <w:name w:val="envelope address"/>
    <w:basedOn w:val="Normal"/>
    <w:uiPriority w:val="99"/>
    <w:semiHidden/>
    <w:rsid w:val="008F7985"/>
    <w:pPr>
      <w:framePr w:w="7920" w:h="1980" w:hRule="exact" w:hSpace="180" w:wrap="auto" w:hAnchor="page" w:xAlign="center" w:yAlign="bottom"/>
      <w:ind w:left="2880"/>
    </w:pPr>
    <w:rPr>
      <w:rFonts w:ascii="Calibri Light" w:eastAsia="SimSun" w:hAnsi="Calibri Light"/>
    </w:rPr>
  </w:style>
  <w:style w:type="paragraph" w:styleId="EnvelopeReturn">
    <w:name w:val="envelope return"/>
    <w:basedOn w:val="Normal"/>
    <w:uiPriority w:val="99"/>
    <w:semiHidden/>
    <w:rsid w:val="008F7985"/>
    <w:rPr>
      <w:rFonts w:ascii="Calibri Light" w:eastAsia="SimSun" w:hAnsi="Calibri Light"/>
      <w:szCs w:val="20"/>
    </w:rPr>
  </w:style>
  <w:style w:type="character" w:styleId="FollowedHyperlink">
    <w:name w:val="FollowedHyperlink"/>
    <w:uiPriority w:val="99"/>
    <w:semiHidden/>
    <w:rsid w:val="008F7985"/>
    <w:rPr>
      <w:color w:val="954F72"/>
      <w:u w:val="single"/>
      <w:lang w:val="en-GB"/>
    </w:rPr>
  </w:style>
  <w:style w:type="character" w:styleId="HTMLAcronym">
    <w:name w:val="HTML Acronym"/>
    <w:uiPriority w:val="99"/>
    <w:semiHidden/>
    <w:rsid w:val="008F7985"/>
    <w:rPr>
      <w:lang w:val="en-GB"/>
    </w:rPr>
  </w:style>
  <w:style w:type="paragraph" w:styleId="HTMLAddress">
    <w:name w:val="HTML Address"/>
    <w:basedOn w:val="Normal"/>
    <w:link w:val="HTMLAddressChar"/>
    <w:uiPriority w:val="99"/>
    <w:semiHidden/>
    <w:rsid w:val="008F7985"/>
    <w:rPr>
      <w:i/>
      <w:iCs/>
    </w:rPr>
  </w:style>
  <w:style w:type="character" w:customStyle="1" w:styleId="HTMLAddressChar">
    <w:name w:val="HTML Address Char"/>
    <w:link w:val="HTMLAddress"/>
    <w:uiPriority w:val="99"/>
    <w:semiHidden/>
    <w:rsid w:val="008F7985"/>
    <w:rPr>
      <w:rFonts w:eastAsia="Times New Roman"/>
      <w:i/>
      <w:iCs/>
      <w:lang w:val="en-GB"/>
    </w:rPr>
  </w:style>
  <w:style w:type="character" w:styleId="HTMLCite">
    <w:name w:val="HTML Cite"/>
    <w:uiPriority w:val="99"/>
    <w:semiHidden/>
    <w:rsid w:val="008F7985"/>
    <w:rPr>
      <w:i/>
      <w:iCs/>
      <w:lang w:val="en-GB"/>
    </w:rPr>
  </w:style>
  <w:style w:type="character" w:styleId="HTMLCode">
    <w:name w:val="HTML Code"/>
    <w:uiPriority w:val="99"/>
    <w:semiHidden/>
    <w:rsid w:val="008F7985"/>
    <w:rPr>
      <w:rFonts w:ascii="Consolas" w:hAnsi="Consolas" w:cs="Consolas"/>
      <w:sz w:val="20"/>
      <w:szCs w:val="20"/>
      <w:lang w:val="en-GB"/>
    </w:rPr>
  </w:style>
  <w:style w:type="character" w:styleId="HTMLDefinition">
    <w:name w:val="HTML Definition"/>
    <w:uiPriority w:val="99"/>
    <w:semiHidden/>
    <w:rsid w:val="008F7985"/>
    <w:rPr>
      <w:i/>
      <w:iCs/>
      <w:lang w:val="en-GB"/>
    </w:rPr>
  </w:style>
  <w:style w:type="character" w:styleId="HTMLKeyboard">
    <w:name w:val="HTML Keyboard"/>
    <w:uiPriority w:val="99"/>
    <w:semiHidden/>
    <w:rsid w:val="008F7985"/>
    <w:rPr>
      <w:rFonts w:ascii="Consolas" w:hAnsi="Consolas" w:cs="Consolas"/>
      <w:sz w:val="20"/>
      <w:szCs w:val="20"/>
      <w:lang w:val="en-GB"/>
    </w:rPr>
  </w:style>
  <w:style w:type="paragraph" w:styleId="HTMLPreformatted">
    <w:name w:val="HTML Preformatted"/>
    <w:basedOn w:val="Normal"/>
    <w:link w:val="HTMLPreformattedChar"/>
    <w:uiPriority w:val="99"/>
    <w:semiHidden/>
    <w:rsid w:val="008F7985"/>
    <w:rPr>
      <w:rFonts w:ascii="Consolas" w:hAnsi="Consolas" w:cs="Consolas"/>
      <w:szCs w:val="20"/>
    </w:rPr>
  </w:style>
  <w:style w:type="character" w:customStyle="1" w:styleId="HTMLPreformattedChar">
    <w:name w:val="HTML Preformatted Char"/>
    <w:link w:val="HTMLPreformatted"/>
    <w:uiPriority w:val="99"/>
    <w:semiHidden/>
    <w:rsid w:val="008F7985"/>
    <w:rPr>
      <w:rFonts w:ascii="Consolas" w:eastAsia="Times New Roman" w:hAnsi="Consolas" w:cs="Consolas"/>
      <w:sz w:val="20"/>
      <w:szCs w:val="20"/>
      <w:lang w:val="en-GB"/>
    </w:rPr>
  </w:style>
  <w:style w:type="character" w:styleId="HTMLSample">
    <w:name w:val="HTML Sample"/>
    <w:uiPriority w:val="99"/>
    <w:semiHidden/>
    <w:rsid w:val="008F7985"/>
    <w:rPr>
      <w:rFonts w:ascii="Consolas" w:hAnsi="Consolas" w:cs="Consolas"/>
      <w:sz w:val="24"/>
      <w:szCs w:val="24"/>
      <w:lang w:val="en-GB"/>
    </w:rPr>
  </w:style>
  <w:style w:type="character" w:styleId="HTMLTypewriter">
    <w:name w:val="HTML Typewriter"/>
    <w:uiPriority w:val="99"/>
    <w:semiHidden/>
    <w:rsid w:val="008F7985"/>
    <w:rPr>
      <w:rFonts w:ascii="Consolas" w:hAnsi="Consolas" w:cs="Consolas"/>
      <w:sz w:val="20"/>
      <w:szCs w:val="20"/>
      <w:lang w:val="en-GB"/>
    </w:rPr>
  </w:style>
  <w:style w:type="character" w:styleId="HTMLVariable">
    <w:name w:val="HTML Variable"/>
    <w:uiPriority w:val="99"/>
    <w:semiHidden/>
    <w:rsid w:val="008F7985"/>
    <w:rPr>
      <w:i/>
      <w:iCs/>
      <w:lang w:val="en-GB"/>
    </w:rPr>
  </w:style>
  <w:style w:type="character" w:styleId="Hyperlink">
    <w:name w:val="Hyperlink"/>
    <w:uiPriority w:val="99"/>
    <w:rsid w:val="008F7985"/>
    <w:rPr>
      <w:color w:val="0563C1"/>
      <w:u w:val="single"/>
      <w:lang w:val="en-GB"/>
    </w:rPr>
  </w:style>
  <w:style w:type="paragraph" w:styleId="IndexHeading">
    <w:name w:val="index heading"/>
    <w:basedOn w:val="Normal"/>
    <w:next w:val="Normal"/>
    <w:semiHidden/>
    <w:unhideWhenUsed/>
    <w:rsid w:val="008F7985"/>
    <w:rPr>
      <w:rFonts w:ascii="Calibri Light" w:eastAsia="SimSun" w:hAnsi="Calibri Light"/>
      <w:b/>
      <w:bCs/>
    </w:rPr>
  </w:style>
  <w:style w:type="character" w:styleId="IntenseEmphasis">
    <w:name w:val="Intense Emphasis"/>
    <w:uiPriority w:val="21"/>
    <w:qFormat/>
    <w:rsid w:val="008F7985"/>
    <w:rPr>
      <w:b/>
      <w:bCs/>
      <w:i/>
      <w:iCs/>
      <w:color w:val="5B9BD5"/>
      <w:lang w:val="en-GB"/>
    </w:rPr>
  </w:style>
  <w:style w:type="paragraph" w:styleId="IntenseQuote">
    <w:name w:val="Intense Quote"/>
    <w:basedOn w:val="Normal"/>
    <w:next w:val="Normal"/>
    <w:link w:val="IntenseQuoteChar"/>
    <w:uiPriority w:val="30"/>
    <w:qFormat/>
    <w:rsid w:val="008F7985"/>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semiHidden/>
    <w:rsid w:val="008F7985"/>
    <w:rPr>
      <w:rFonts w:eastAsia="Times New Roman"/>
      <w:b/>
      <w:bCs/>
      <w:i/>
      <w:iCs/>
      <w:color w:val="5B9BD5"/>
      <w:lang w:val="en-GB"/>
    </w:rPr>
  </w:style>
  <w:style w:type="character" w:styleId="IntenseReference">
    <w:name w:val="Intense Reference"/>
    <w:uiPriority w:val="32"/>
    <w:qFormat/>
    <w:rsid w:val="008F7985"/>
    <w:rPr>
      <w:b/>
      <w:bCs/>
      <w:smallCaps/>
      <w:color w:val="ED7D31"/>
      <w:spacing w:val="5"/>
      <w:u w:val="single"/>
      <w:lang w:val="en-GB"/>
    </w:rPr>
  </w:style>
  <w:style w:type="table" w:styleId="LightGrid">
    <w:name w:val="Light Grid"/>
    <w:basedOn w:val="TableNormal"/>
    <w:uiPriority w:val="62"/>
    <w:rsid w:val="008F7985"/>
    <w:rPr>
      <w:lang w:val="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Verdana" w:eastAsia="SimSun" w:hAnsi="Verdan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Verdana" w:eastAsia="SimSun" w:hAnsi="Verdan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Verdana" w:eastAsia="SimSun" w:hAnsi="Verdana" w:cs="Times New Roman"/>
        <w:b/>
        <w:bCs/>
      </w:rPr>
    </w:tblStylePr>
    <w:tblStylePr w:type="lastCol">
      <w:rPr>
        <w:rFonts w:ascii="Verdana" w:eastAsia="SimSun" w:hAnsi="Verdan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8F7985"/>
    <w:rPr>
      <w:lang w:val="en-GB"/>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Verdana" w:eastAsia="SimSun" w:hAnsi="Verdana"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Verdana" w:eastAsia="SimSun" w:hAnsi="Verdana"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Verdana" w:eastAsia="SimSun" w:hAnsi="Verdana" w:cs="Times New Roman"/>
        <w:b/>
        <w:bCs/>
      </w:rPr>
    </w:tblStylePr>
    <w:tblStylePr w:type="lastCol">
      <w:rPr>
        <w:rFonts w:ascii="Verdana" w:eastAsia="SimSun" w:hAnsi="Verdana"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2">
    <w:name w:val="Light Grid Accent 2"/>
    <w:basedOn w:val="TableNormal"/>
    <w:uiPriority w:val="62"/>
    <w:rsid w:val="008F7985"/>
    <w:rPr>
      <w:lang w:val="en-GB"/>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Verdana" w:eastAsia="SimSun" w:hAnsi="Verdana"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Verdana" w:eastAsia="SimSun" w:hAnsi="Verdana"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Verdana" w:eastAsia="SimSun" w:hAnsi="Verdana" w:cs="Times New Roman"/>
        <w:b/>
        <w:bCs/>
      </w:rPr>
    </w:tblStylePr>
    <w:tblStylePr w:type="lastCol">
      <w:rPr>
        <w:rFonts w:ascii="Verdana" w:eastAsia="SimSun" w:hAnsi="Verdana"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ghtGrid-Accent3">
    <w:name w:val="Light Grid Accent 3"/>
    <w:basedOn w:val="TableNormal"/>
    <w:uiPriority w:val="62"/>
    <w:rsid w:val="008F7985"/>
    <w:rPr>
      <w:lang w:val="en-GB"/>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Verdana" w:eastAsia="SimSun" w:hAnsi="Verdana"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Verdana" w:eastAsia="SimSun" w:hAnsi="Verdana"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Verdana" w:eastAsia="SimSun" w:hAnsi="Verdana" w:cs="Times New Roman"/>
        <w:b/>
        <w:bCs/>
      </w:rPr>
    </w:tblStylePr>
    <w:tblStylePr w:type="lastCol">
      <w:rPr>
        <w:rFonts w:ascii="Verdana" w:eastAsia="SimSun" w:hAnsi="Verdana"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rsid w:val="008F7985"/>
    <w:rPr>
      <w:lang w:val="en-GB"/>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Verdana" w:eastAsia="SimSun" w:hAnsi="Verdana"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Verdana" w:eastAsia="SimSun" w:hAnsi="Verdana"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Verdana" w:eastAsia="SimSun" w:hAnsi="Verdana" w:cs="Times New Roman"/>
        <w:b/>
        <w:bCs/>
      </w:rPr>
    </w:tblStylePr>
    <w:tblStylePr w:type="lastCol">
      <w:rPr>
        <w:rFonts w:ascii="Verdana" w:eastAsia="SimSun" w:hAnsi="Verdana"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rsid w:val="008F7985"/>
    <w:rPr>
      <w:lang w:val="en-GB"/>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Verdana" w:eastAsia="SimSun" w:hAnsi="Verdana"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Verdana" w:eastAsia="SimSun" w:hAnsi="Verdana"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Verdana" w:eastAsia="SimSun" w:hAnsi="Verdana" w:cs="Times New Roman"/>
        <w:b/>
        <w:bCs/>
      </w:rPr>
    </w:tblStylePr>
    <w:tblStylePr w:type="lastCol">
      <w:rPr>
        <w:rFonts w:ascii="Verdana" w:eastAsia="SimSun" w:hAnsi="Verdana"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6">
    <w:name w:val="Light Grid Accent 6"/>
    <w:basedOn w:val="TableNormal"/>
    <w:uiPriority w:val="62"/>
    <w:rsid w:val="008F7985"/>
    <w:rPr>
      <w:lang w:val="en-GB"/>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Verdana" w:eastAsia="SimSun" w:hAnsi="Verdana"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Verdana" w:eastAsia="SimSun" w:hAnsi="Verdana"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Verdana" w:eastAsia="SimSun" w:hAnsi="Verdana" w:cs="Times New Roman"/>
        <w:b/>
        <w:bCs/>
      </w:rPr>
    </w:tblStylePr>
    <w:tblStylePr w:type="lastCol">
      <w:rPr>
        <w:rFonts w:ascii="Verdana" w:eastAsia="SimSun" w:hAnsi="Verdana"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rsid w:val="008F7985"/>
    <w:rPr>
      <w:lang w:val="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8F7985"/>
    <w:rPr>
      <w:lang w:val="en-GB"/>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2">
    <w:name w:val="Light List Accent 2"/>
    <w:basedOn w:val="TableNormal"/>
    <w:uiPriority w:val="61"/>
    <w:rsid w:val="008F7985"/>
    <w:rPr>
      <w:lang w:val="en-GB"/>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rsid w:val="008F7985"/>
    <w:rPr>
      <w:lang w:val="en-GB"/>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rsid w:val="008F7985"/>
    <w:rPr>
      <w:lang w:val="en-GB"/>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rsid w:val="008F7985"/>
    <w:rPr>
      <w:lang w:val="en-GB"/>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6">
    <w:name w:val="Light List Accent 6"/>
    <w:basedOn w:val="TableNormal"/>
    <w:uiPriority w:val="61"/>
    <w:rsid w:val="008F7985"/>
    <w:rPr>
      <w:lang w:val="en-GB"/>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rsid w:val="008F7985"/>
    <w:rPr>
      <w:color w:val="000000"/>
      <w:lang w:val="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8F7985"/>
    <w:rPr>
      <w:color w:val="2E74B5"/>
      <w:lang w:val="en-GB"/>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2">
    <w:name w:val="Light Shading Accent 2"/>
    <w:basedOn w:val="TableNormal"/>
    <w:uiPriority w:val="60"/>
    <w:rsid w:val="008F7985"/>
    <w:rPr>
      <w:color w:val="C45911"/>
      <w:lang w:val="en-GB"/>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rsid w:val="008F7985"/>
    <w:rPr>
      <w:color w:val="7B7B7B"/>
      <w:lang w:val="en-G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rsid w:val="008F7985"/>
    <w:rPr>
      <w:color w:val="BF8F00"/>
      <w:lang w:val="en-GB"/>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rsid w:val="008F7985"/>
    <w:rPr>
      <w:color w:val="2F5496"/>
      <w:lang w:val="en-GB"/>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6">
    <w:name w:val="Light Shading Accent 6"/>
    <w:basedOn w:val="TableNormal"/>
    <w:uiPriority w:val="60"/>
    <w:rsid w:val="008F7985"/>
    <w:rPr>
      <w:color w:val="538135"/>
      <w:lang w:val="en-GB"/>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character" w:styleId="LineNumber">
    <w:name w:val="line number"/>
    <w:uiPriority w:val="99"/>
    <w:semiHidden/>
    <w:rsid w:val="008F7985"/>
    <w:rPr>
      <w:lang w:val="en-GB"/>
    </w:rPr>
  </w:style>
  <w:style w:type="paragraph" w:styleId="MacroText">
    <w:name w:val="macro"/>
    <w:link w:val="MacroTextChar"/>
    <w:uiPriority w:val="99"/>
    <w:semiHidden/>
    <w:rsid w:val="008F7985"/>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Consolas"/>
      <w:lang w:val="en-GB"/>
    </w:rPr>
  </w:style>
  <w:style w:type="character" w:customStyle="1" w:styleId="MacroTextChar">
    <w:name w:val="Macro Text Char"/>
    <w:link w:val="MacroText"/>
    <w:uiPriority w:val="99"/>
    <w:semiHidden/>
    <w:rsid w:val="008F7985"/>
    <w:rPr>
      <w:rFonts w:ascii="Consolas" w:eastAsia="Times New Roman" w:hAnsi="Consolas" w:cs="Consolas"/>
      <w:sz w:val="20"/>
      <w:szCs w:val="20"/>
      <w:lang w:val="en-GB"/>
    </w:rPr>
  </w:style>
  <w:style w:type="table" w:styleId="MediumGrid1">
    <w:name w:val="Medium Grid 1"/>
    <w:basedOn w:val="TableNormal"/>
    <w:uiPriority w:val="67"/>
    <w:rsid w:val="008F7985"/>
    <w:rPr>
      <w:lang w:val="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8F7985"/>
    <w:rPr>
      <w:lang w:val="en-GB"/>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2">
    <w:name w:val="Medium Grid 1 Accent 2"/>
    <w:basedOn w:val="TableNormal"/>
    <w:uiPriority w:val="67"/>
    <w:rsid w:val="008F7985"/>
    <w:rPr>
      <w:lang w:val="en-GB"/>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rsid w:val="008F7985"/>
    <w:rPr>
      <w:lang w:val="en-GB"/>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rsid w:val="008F7985"/>
    <w:rPr>
      <w:lang w:val="en-GB"/>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rsid w:val="008F7985"/>
    <w:rPr>
      <w:lang w:val="en-GB"/>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6">
    <w:name w:val="Medium Grid 1 Accent 6"/>
    <w:basedOn w:val="TableNormal"/>
    <w:uiPriority w:val="67"/>
    <w:rsid w:val="008F7985"/>
    <w:rPr>
      <w:lang w:val="en-GB"/>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rsid w:val="008F7985"/>
    <w:rPr>
      <w:rFonts w:ascii="Calibri Light" w:eastAsia="SimSun" w:hAnsi="Calibri Light"/>
      <w:color w:val="000000"/>
      <w:lang w:val="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8F7985"/>
    <w:rPr>
      <w:rFonts w:ascii="Calibri Light" w:eastAsia="SimSun" w:hAnsi="Calibri Light"/>
      <w:color w:val="000000"/>
      <w:lang w:val="en-GB"/>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2">
    <w:name w:val="Medium Grid 2 Accent 2"/>
    <w:basedOn w:val="TableNormal"/>
    <w:uiPriority w:val="68"/>
    <w:rsid w:val="008F7985"/>
    <w:rPr>
      <w:rFonts w:ascii="Calibri Light" w:eastAsia="SimSun" w:hAnsi="Calibri Light"/>
      <w:color w:val="000000"/>
      <w:lang w:val="en-GB"/>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rsid w:val="008F7985"/>
    <w:rPr>
      <w:rFonts w:ascii="Calibri Light" w:eastAsia="SimSun" w:hAnsi="Calibri Light"/>
      <w:color w:val="000000"/>
      <w:lang w:val="en-GB"/>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rsid w:val="008F7985"/>
    <w:rPr>
      <w:rFonts w:ascii="Calibri Light" w:eastAsia="SimSun" w:hAnsi="Calibri Light"/>
      <w:color w:val="000000"/>
      <w:lang w:val="en-GB"/>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rsid w:val="008F7985"/>
    <w:rPr>
      <w:rFonts w:ascii="Calibri Light" w:eastAsia="SimSun" w:hAnsi="Calibri Light"/>
      <w:color w:val="000000"/>
      <w:lang w:val="en-GB"/>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6">
    <w:name w:val="Medium Grid 2 Accent 6"/>
    <w:basedOn w:val="TableNormal"/>
    <w:uiPriority w:val="68"/>
    <w:rsid w:val="008F7985"/>
    <w:rPr>
      <w:rFonts w:ascii="Calibri Light" w:eastAsia="SimSun" w:hAnsi="Calibri Light"/>
      <w:color w:val="000000"/>
      <w:lang w:val="en-GB"/>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rsid w:val="008F7985"/>
    <w:rPr>
      <w:lang w:val="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8F7985"/>
    <w:rPr>
      <w:lang w:val="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2">
    <w:name w:val="Medium Grid 3 Accent 2"/>
    <w:basedOn w:val="TableNormal"/>
    <w:uiPriority w:val="69"/>
    <w:rsid w:val="008F7985"/>
    <w:rPr>
      <w:lang w:val="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rsid w:val="008F7985"/>
    <w:rPr>
      <w:lang w:val="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rsid w:val="008F7985"/>
    <w:rPr>
      <w:lang w:val="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rsid w:val="008F7985"/>
    <w:rPr>
      <w:lang w:val="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6">
    <w:name w:val="Medium Grid 3 Accent 6"/>
    <w:basedOn w:val="TableNormal"/>
    <w:uiPriority w:val="69"/>
    <w:rsid w:val="008F7985"/>
    <w:rPr>
      <w:lang w:val="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rsid w:val="008F7985"/>
    <w:rPr>
      <w:color w:val="000000"/>
      <w:lang w:val="en-GB"/>
    </w:rPr>
    <w:tblPr>
      <w:tblStyleRowBandSize w:val="1"/>
      <w:tblStyleColBandSize w:val="1"/>
      <w:tblBorders>
        <w:top w:val="single" w:sz="8" w:space="0" w:color="000000"/>
        <w:bottom w:val="single" w:sz="8" w:space="0" w:color="000000"/>
      </w:tblBorders>
    </w:tblPr>
    <w:tblStylePr w:type="firstRow">
      <w:rPr>
        <w:rFonts w:ascii="Verdana" w:eastAsia="SimSun" w:hAnsi="Verdana"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8F7985"/>
    <w:rPr>
      <w:color w:val="000000"/>
      <w:lang w:val="en-GB"/>
    </w:rPr>
    <w:tblPr>
      <w:tblStyleRowBandSize w:val="1"/>
      <w:tblStyleColBandSize w:val="1"/>
      <w:tblBorders>
        <w:top w:val="single" w:sz="8" w:space="0" w:color="5B9BD5"/>
        <w:bottom w:val="single" w:sz="8" w:space="0" w:color="5B9BD5"/>
      </w:tblBorders>
    </w:tblPr>
    <w:tblStylePr w:type="firstRow">
      <w:rPr>
        <w:rFonts w:ascii="Verdana" w:eastAsia="SimSun" w:hAnsi="Verdana"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2">
    <w:name w:val="Medium List 1 Accent 2"/>
    <w:basedOn w:val="TableNormal"/>
    <w:uiPriority w:val="65"/>
    <w:rsid w:val="008F7985"/>
    <w:rPr>
      <w:color w:val="000000"/>
      <w:lang w:val="en-GB"/>
    </w:rPr>
    <w:tblPr>
      <w:tblStyleRowBandSize w:val="1"/>
      <w:tblStyleColBandSize w:val="1"/>
      <w:tblBorders>
        <w:top w:val="single" w:sz="8" w:space="0" w:color="ED7D31"/>
        <w:bottom w:val="single" w:sz="8" w:space="0" w:color="ED7D31"/>
      </w:tblBorders>
    </w:tblPr>
    <w:tblStylePr w:type="firstRow">
      <w:rPr>
        <w:rFonts w:ascii="Verdana" w:eastAsia="SimSun" w:hAnsi="Verdana"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rsid w:val="008F7985"/>
    <w:rPr>
      <w:color w:val="000000"/>
      <w:lang w:val="en-GB"/>
    </w:rPr>
    <w:tblPr>
      <w:tblStyleRowBandSize w:val="1"/>
      <w:tblStyleColBandSize w:val="1"/>
      <w:tblBorders>
        <w:top w:val="single" w:sz="8" w:space="0" w:color="A5A5A5"/>
        <w:bottom w:val="single" w:sz="8" w:space="0" w:color="A5A5A5"/>
      </w:tblBorders>
    </w:tblPr>
    <w:tblStylePr w:type="firstRow">
      <w:rPr>
        <w:rFonts w:ascii="Verdana" w:eastAsia="SimSun" w:hAnsi="Verdana"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rsid w:val="008F7985"/>
    <w:rPr>
      <w:color w:val="000000"/>
      <w:lang w:val="en-GB"/>
    </w:rPr>
    <w:tblPr>
      <w:tblStyleRowBandSize w:val="1"/>
      <w:tblStyleColBandSize w:val="1"/>
      <w:tblBorders>
        <w:top w:val="single" w:sz="8" w:space="0" w:color="FFC000"/>
        <w:bottom w:val="single" w:sz="8" w:space="0" w:color="FFC000"/>
      </w:tblBorders>
    </w:tblPr>
    <w:tblStylePr w:type="firstRow">
      <w:rPr>
        <w:rFonts w:ascii="Verdana" w:eastAsia="SimSun" w:hAnsi="Verdana"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rsid w:val="008F7985"/>
    <w:rPr>
      <w:color w:val="000000"/>
      <w:lang w:val="en-GB"/>
    </w:rPr>
    <w:tblPr>
      <w:tblStyleRowBandSize w:val="1"/>
      <w:tblStyleColBandSize w:val="1"/>
      <w:tblBorders>
        <w:top w:val="single" w:sz="8" w:space="0" w:color="4472C4"/>
        <w:bottom w:val="single" w:sz="8" w:space="0" w:color="4472C4"/>
      </w:tblBorders>
    </w:tblPr>
    <w:tblStylePr w:type="firstRow">
      <w:rPr>
        <w:rFonts w:ascii="Verdana" w:eastAsia="SimSun" w:hAnsi="Verdana"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6">
    <w:name w:val="Medium List 1 Accent 6"/>
    <w:basedOn w:val="TableNormal"/>
    <w:uiPriority w:val="65"/>
    <w:rsid w:val="008F7985"/>
    <w:rPr>
      <w:color w:val="000000"/>
      <w:lang w:val="en-GB"/>
    </w:rPr>
    <w:tblPr>
      <w:tblStyleRowBandSize w:val="1"/>
      <w:tblStyleColBandSize w:val="1"/>
      <w:tblBorders>
        <w:top w:val="single" w:sz="8" w:space="0" w:color="70AD47"/>
        <w:bottom w:val="single" w:sz="8" w:space="0" w:color="70AD47"/>
      </w:tblBorders>
    </w:tblPr>
    <w:tblStylePr w:type="firstRow">
      <w:rPr>
        <w:rFonts w:ascii="Verdana" w:eastAsia="SimSun" w:hAnsi="Verdana"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rsid w:val="008F7985"/>
    <w:rPr>
      <w:rFonts w:ascii="Calibri Light" w:eastAsia="SimSun" w:hAnsi="Calibri Light"/>
      <w:color w:val="000000"/>
      <w:lang w:val="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8F7985"/>
    <w:rPr>
      <w:rFonts w:ascii="Calibri Light" w:eastAsia="SimSun" w:hAnsi="Calibri Light"/>
      <w:color w:val="000000"/>
      <w:lang w:val="en-GB"/>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8F7985"/>
    <w:rPr>
      <w:rFonts w:ascii="Calibri Light" w:eastAsia="SimSun" w:hAnsi="Calibri Light"/>
      <w:color w:val="000000"/>
      <w:lang w:val="en-GB"/>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8F7985"/>
    <w:rPr>
      <w:rFonts w:ascii="Calibri Light" w:eastAsia="SimSun" w:hAnsi="Calibri Light"/>
      <w:color w:val="000000"/>
      <w:lang w:val="en-GB"/>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8F7985"/>
    <w:rPr>
      <w:rFonts w:ascii="Calibri Light" w:eastAsia="SimSun" w:hAnsi="Calibri Light"/>
      <w:color w:val="000000"/>
      <w:lang w:val="en-GB"/>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8F7985"/>
    <w:rPr>
      <w:rFonts w:ascii="Calibri Light" w:eastAsia="SimSun" w:hAnsi="Calibri Light"/>
      <w:color w:val="000000"/>
      <w:lang w:val="en-GB"/>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8F7985"/>
    <w:rPr>
      <w:rFonts w:ascii="Calibri Light" w:eastAsia="SimSun" w:hAnsi="Calibri Light"/>
      <w:color w:val="000000"/>
      <w:lang w:val="en-GB"/>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8F7985"/>
    <w:rPr>
      <w:lang w:val="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F7985"/>
    <w:rPr>
      <w:lang w:val="en-GB"/>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F7985"/>
    <w:rPr>
      <w:lang w:val="en-GB"/>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F7985"/>
    <w:rPr>
      <w:lang w:val="en-GB"/>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F7985"/>
    <w:rPr>
      <w:lang w:val="en-GB"/>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F7985"/>
    <w:rPr>
      <w:lang w:val="en-GB"/>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F7985"/>
    <w:rPr>
      <w:lang w:val="en-GB"/>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8F7985"/>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SimSun" w:hAnsi="Calibri Light"/>
    </w:rPr>
  </w:style>
  <w:style w:type="character" w:customStyle="1" w:styleId="MessageHeaderChar">
    <w:name w:val="Message Header Char"/>
    <w:link w:val="MessageHeader"/>
    <w:uiPriority w:val="99"/>
    <w:semiHidden/>
    <w:rsid w:val="008F7985"/>
    <w:rPr>
      <w:rFonts w:ascii="Calibri Light" w:eastAsia="SimSun" w:hAnsi="Calibri Light" w:cs="Times New Roman"/>
      <w:shd w:val="pct20" w:color="auto" w:fill="auto"/>
      <w:lang w:val="en-GB"/>
    </w:rPr>
  </w:style>
  <w:style w:type="paragraph" w:styleId="NormalWeb">
    <w:name w:val="Normal (Web)"/>
    <w:basedOn w:val="Normal"/>
    <w:rsid w:val="008F7985"/>
  </w:style>
  <w:style w:type="paragraph" w:styleId="NormalIndent">
    <w:name w:val="Normal Indent"/>
    <w:basedOn w:val="Normal"/>
    <w:uiPriority w:val="99"/>
    <w:semiHidden/>
    <w:rsid w:val="008F7985"/>
    <w:pPr>
      <w:ind w:left="720"/>
    </w:pPr>
  </w:style>
  <w:style w:type="paragraph" w:styleId="NoteHeading">
    <w:name w:val="Note Heading"/>
    <w:basedOn w:val="Normal"/>
    <w:next w:val="Normal"/>
    <w:link w:val="NoteHeadingChar"/>
    <w:uiPriority w:val="99"/>
    <w:semiHidden/>
    <w:rsid w:val="008F7985"/>
  </w:style>
  <w:style w:type="character" w:customStyle="1" w:styleId="NoteHeadingChar">
    <w:name w:val="Note Heading Char"/>
    <w:link w:val="NoteHeading"/>
    <w:uiPriority w:val="99"/>
    <w:semiHidden/>
    <w:rsid w:val="008F7985"/>
    <w:rPr>
      <w:rFonts w:eastAsia="Times New Roman"/>
      <w:lang w:val="en-GB"/>
    </w:rPr>
  </w:style>
  <w:style w:type="character" w:styleId="PlaceholderText">
    <w:name w:val="Placeholder Text"/>
    <w:uiPriority w:val="99"/>
    <w:semiHidden/>
    <w:rsid w:val="008F7985"/>
    <w:rPr>
      <w:color w:val="808080"/>
      <w:lang w:val="en-GB"/>
    </w:rPr>
  </w:style>
  <w:style w:type="paragraph" w:styleId="PlainText">
    <w:name w:val="Plain Text"/>
    <w:basedOn w:val="Normal"/>
    <w:link w:val="PlainTextChar"/>
    <w:uiPriority w:val="99"/>
    <w:semiHidden/>
    <w:rsid w:val="008F7985"/>
    <w:rPr>
      <w:rFonts w:ascii="Consolas" w:hAnsi="Consolas" w:cs="Consolas"/>
      <w:sz w:val="21"/>
      <w:szCs w:val="21"/>
    </w:rPr>
  </w:style>
  <w:style w:type="character" w:customStyle="1" w:styleId="PlainTextChar">
    <w:name w:val="Plain Text Char"/>
    <w:link w:val="PlainText"/>
    <w:uiPriority w:val="99"/>
    <w:semiHidden/>
    <w:rsid w:val="008F7985"/>
    <w:rPr>
      <w:rFonts w:ascii="Consolas" w:eastAsia="Times New Roman" w:hAnsi="Consolas" w:cs="Consolas"/>
      <w:sz w:val="21"/>
      <w:szCs w:val="21"/>
      <w:lang w:val="en-GB"/>
    </w:rPr>
  </w:style>
  <w:style w:type="paragraph" w:styleId="Quote">
    <w:name w:val="Quote"/>
    <w:basedOn w:val="Normal"/>
    <w:next w:val="Normal"/>
    <w:link w:val="QuoteChar"/>
    <w:uiPriority w:val="29"/>
    <w:qFormat/>
    <w:rsid w:val="008F7985"/>
    <w:rPr>
      <w:i/>
      <w:iCs/>
      <w:color w:val="000000"/>
    </w:rPr>
  </w:style>
  <w:style w:type="character" w:customStyle="1" w:styleId="QuoteChar">
    <w:name w:val="Quote Char"/>
    <w:link w:val="Quote"/>
    <w:uiPriority w:val="29"/>
    <w:semiHidden/>
    <w:rsid w:val="008F7985"/>
    <w:rPr>
      <w:rFonts w:eastAsia="Times New Roman"/>
      <w:i/>
      <w:iCs/>
      <w:color w:val="000000"/>
      <w:lang w:val="en-GB"/>
    </w:rPr>
  </w:style>
  <w:style w:type="paragraph" w:styleId="Signature">
    <w:name w:val="Signature"/>
    <w:basedOn w:val="Normal"/>
    <w:link w:val="SignatureChar"/>
    <w:uiPriority w:val="99"/>
    <w:semiHidden/>
    <w:rsid w:val="008F7985"/>
    <w:pPr>
      <w:ind w:left="4320"/>
    </w:pPr>
  </w:style>
  <w:style w:type="character" w:customStyle="1" w:styleId="SignatureChar">
    <w:name w:val="Signature Char"/>
    <w:link w:val="Signature"/>
    <w:uiPriority w:val="99"/>
    <w:semiHidden/>
    <w:rsid w:val="008F7985"/>
    <w:rPr>
      <w:rFonts w:eastAsia="Times New Roman"/>
      <w:lang w:val="en-GB"/>
    </w:rPr>
  </w:style>
  <w:style w:type="character" w:styleId="Strong">
    <w:name w:val="Strong"/>
    <w:uiPriority w:val="22"/>
    <w:qFormat/>
    <w:rsid w:val="008F7985"/>
    <w:rPr>
      <w:b/>
      <w:bCs/>
      <w:lang w:val="en-GB"/>
    </w:rPr>
  </w:style>
  <w:style w:type="paragraph" w:styleId="Subtitle">
    <w:name w:val="Subtitle"/>
    <w:basedOn w:val="Normal"/>
    <w:next w:val="Normal"/>
    <w:link w:val="SubtitleChar"/>
    <w:uiPriority w:val="11"/>
    <w:qFormat/>
    <w:rsid w:val="008F7985"/>
    <w:pPr>
      <w:numPr>
        <w:ilvl w:val="1"/>
      </w:numPr>
    </w:pPr>
    <w:rPr>
      <w:rFonts w:ascii="Calibri Light" w:eastAsia="SimSun" w:hAnsi="Calibri Light"/>
      <w:i/>
      <w:iCs/>
      <w:color w:val="5B9BD5"/>
      <w:spacing w:val="15"/>
    </w:rPr>
  </w:style>
  <w:style w:type="character" w:customStyle="1" w:styleId="SubtitleChar">
    <w:name w:val="Subtitle Char"/>
    <w:link w:val="Subtitle"/>
    <w:uiPriority w:val="11"/>
    <w:semiHidden/>
    <w:rsid w:val="008F7985"/>
    <w:rPr>
      <w:rFonts w:ascii="Calibri Light" w:eastAsia="SimSun" w:hAnsi="Calibri Light" w:cs="Times New Roman"/>
      <w:i/>
      <w:iCs/>
      <w:color w:val="5B9BD5"/>
      <w:spacing w:val="15"/>
      <w:lang w:val="en-GB"/>
    </w:rPr>
  </w:style>
  <w:style w:type="character" w:styleId="SubtleEmphasis">
    <w:name w:val="Subtle Emphasis"/>
    <w:uiPriority w:val="19"/>
    <w:qFormat/>
    <w:rsid w:val="008F7985"/>
    <w:rPr>
      <w:i/>
      <w:iCs/>
      <w:color w:val="808080"/>
      <w:lang w:val="en-GB"/>
    </w:rPr>
  </w:style>
  <w:style w:type="character" w:styleId="SubtleReference">
    <w:name w:val="Subtle Reference"/>
    <w:uiPriority w:val="31"/>
    <w:qFormat/>
    <w:rsid w:val="008F7985"/>
    <w:rPr>
      <w:smallCaps/>
      <w:color w:val="ED7D31"/>
      <w:u w:val="single"/>
      <w:lang w:val="en-GB"/>
    </w:rPr>
  </w:style>
  <w:style w:type="table" w:styleId="Table3Deffects1">
    <w:name w:val="Table 3D effects 1"/>
    <w:basedOn w:val="TableNormal"/>
    <w:uiPriority w:val="99"/>
    <w:semiHidden/>
    <w:unhideWhenUsed/>
    <w:rsid w:val="008F7985"/>
    <w:rPr>
      <w:lang w:val="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F7985"/>
    <w:rPr>
      <w:lang w:val="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F7985"/>
    <w:rPr>
      <w:lang w:val="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F7985"/>
    <w:rPr>
      <w:lang w:val="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F7985"/>
    <w:rPr>
      <w:lang w:val="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F7985"/>
    <w:rPr>
      <w:color w:val="000080"/>
      <w:lang w:val="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F7985"/>
    <w:rPr>
      <w:lang w:val="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F7985"/>
    <w:rPr>
      <w:color w:val="FFFFFF"/>
      <w:lang w:val="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F7985"/>
    <w:rPr>
      <w:lang w:val="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F7985"/>
    <w:rPr>
      <w:lang w:val="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F7985"/>
    <w:rPr>
      <w:b/>
      <w:bCs/>
      <w:lang w:val="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F7985"/>
    <w:rPr>
      <w:b/>
      <w:bCs/>
      <w:lang w:val="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F7985"/>
    <w:rPr>
      <w:b/>
      <w:bCs/>
      <w:lang w:val="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F7985"/>
    <w:rPr>
      <w:lang w:val="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F7985"/>
    <w:rPr>
      <w:lang w:val="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F7985"/>
    <w:rPr>
      <w:lang w:val="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F7985"/>
    <w:rPr>
      <w:lang w:val="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F7985"/>
    <w:rPr>
      <w:lang w:val="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F7985"/>
    <w:rPr>
      <w:lang w:val="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8F7985"/>
    <w:rPr>
      <w:lang w:val="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F7985"/>
    <w:rPr>
      <w:lang w:val="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F7985"/>
    <w:rPr>
      <w:lang w:val="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F7985"/>
    <w:rPr>
      <w:lang w:val="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F7985"/>
    <w:rPr>
      <w:b/>
      <w:bCs/>
      <w:lang w:val="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F7985"/>
    <w:rPr>
      <w:lang w:val="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F7985"/>
    <w:rPr>
      <w:lang w:val="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F7985"/>
    <w:rPr>
      <w:lang w:val="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F7985"/>
    <w:rPr>
      <w:lang w:val="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F7985"/>
    <w:rPr>
      <w:lang w:val="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F7985"/>
    <w:rPr>
      <w:lang w:val="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F7985"/>
    <w:rPr>
      <w:lang w:val="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F7985"/>
    <w:rPr>
      <w:lang w:val="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F7985"/>
    <w:rPr>
      <w:lang w:val="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8F7985"/>
    <w:pPr>
      <w:ind w:left="240" w:hanging="240"/>
    </w:pPr>
  </w:style>
  <w:style w:type="paragraph" w:styleId="TableofFigures">
    <w:name w:val="table of figures"/>
    <w:basedOn w:val="Normal"/>
    <w:next w:val="Normal"/>
    <w:uiPriority w:val="99"/>
    <w:semiHidden/>
    <w:rsid w:val="008F7985"/>
  </w:style>
  <w:style w:type="table" w:styleId="TableProfessional">
    <w:name w:val="Table Professional"/>
    <w:basedOn w:val="TableNormal"/>
    <w:uiPriority w:val="99"/>
    <w:semiHidden/>
    <w:unhideWhenUsed/>
    <w:rsid w:val="008F7985"/>
    <w:rPr>
      <w:lang w:val="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F7985"/>
    <w:rPr>
      <w:lang w:val="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F7985"/>
    <w:rPr>
      <w:lang w:val="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F7985"/>
    <w:rPr>
      <w:lang w:val="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F7985"/>
    <w:rPr>
      <w:lang w:val="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F7985"/>
    <w:rPr>
      <w:lang w:val="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F7985"/>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F7985"/>
    <w:rPr>
      <w:lang w:val="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F7985"/>
    <w:rPr>
      <w:lang w:val="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F7985"/>
    <w:rPr>
      <w:lang w:val="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8F7985"/>
    <w:pPr>
      <w:pBdr>
        <w:bottom w:val="single" w:sz="8" w:space="4" w:color="5B9BD5"/>
      </w:pBdr>
      <w:spacing w:after="300"/>
      <w:contextualSpacing/>
    </w:pPr>
    <w:rPr>
      <w:rFonts w:ascii="Calibri Light" w:eastAsia="SimSun" w:hAnsi="Calibri Light"/>
      <w:color w:val="323E4F"/>
      <w:spacing w:val="5"/>
      <w:kern w:val="28"/>
      <w:sz w:val="52"/>
      <w:szCs w:val="52"/>
    </w:rPr>
  </w:style>
  <w:style w:type="character" w:customStyle="1" w:styleId="TitleChar">
    <w:name w:val="Title Char"/>
    <w:link w:val="Title"/>
    <w:uiPriority w:val="10"/>
    <w:semiHidden/>
    <w:rsid w:val="008F7985"/>
    <w:rPr>
      <w:rFonts w:ascii="Calibri Light" w:eastAsia="SimSun" w:hAnsi="Calibri Light" w:cs="Times New Roman"/>
      <w:color w:val="323E4F"/>
      <w:spacing w:val="5"/>
      <w:kern w:val="28"/>
      <w:sz w:val="52"/>
      <w:szCs w:val="52"/>
      <w:lang w:val="en-GB"/>
    </w:rPr>
  </w:style>
  <w:style w:type="paragraph" w:styleId="TOCHeading">
    <w:name w:val="TOC Heading"/>
    <w:basedOn w:val="Heading1"/>
    <w:next w:val="Normal"/>
    <w:uiPriority w:val="39"/>
    <w:qFormat/>
    <w:rsid w:val="008F7985"/>
    <w:pPr>
      <w:spacing w:before="480" w:after="0"/>
      <w:outlineLvl w:val="9"/>
    </w:pPr>
    <w:rPr>
      <w:rFonts w:ascii="Calibri Light" w:eastAsia="SimSun" w:hAnsi="Calibri Light"/>
      <w:bCs/>
      <w:caps w:val="0"/>
      <w:color w:val="2E74B5"/>
      <w:sz w:val="28"/>
      <w:szCs w:val="28"/>
    </w:rPr>
  </w:style>
  <w:style w:type="character" w:customStyle="1" w:styleId="BoldEmphasis">
    <w:name w:val="Bold Emphasis"/>
    <w:qFormat/>
    <w:rsid w:val="007311C1"/>
    <w:rPr>
      <w:rFonts w:ascii="Times New Roman" w:hAnsi="Times New Roman"/>
      <w:b/>
      <w:i/>
      <w:sz w:val="24"/>
      <w:lang w:val="en-GB"/>
    </w:rPr>
  </w:style>
  <w:style w:type="paragraph" w:customStyle="1" w:styleId="MarginNo">
    <w:name w:val="MarginNo"/>
    <w:basedOn w:val="Normal"/>
    <w:link w:val="MarginNoChar"/>
    <w:qFormat/>
    <w:rsid w:val="00A00506"/>
    <w:pPr>
      <w:numPr>
        <w:numId w:val="3"/>
      </w:numPr>
      <w:spacing w:after="180" w:line="280" w:lineRule="atLeast"/>
    </w:pPr>
    <w:rPr>
      <w:rFonts w:eastAsia="SimSun"/>
      <w:szCs w:val="20"/>
    </w:rPr>
  </w:style>
  <w:style w:type="character" w:customStyle="1" w:styleId="MarginNoChar">
    <w:name w:val="MarginNo Char"/>
    <w:link w:val="MarginNo"/>
    <w:rsid w:val="00A00506"/>
    <w:rPr>
      <w:rFonts w:eastAsia="SimSun"/>
      <w:sz w:val="20"/>
      <w:szCs w:val="20"/>
      <w:lang w:val="en-GB"/>
    </w:rPr>
  </w:style>
  <w:style w:type="paragraph" w:customStyle="1" w:styleId="FWParties">
    <w:name w:val="FWParties"/>
    <w:basedOn w:val="Normal"/>
    <w:link w:val="FWPartiesChar"/>
    <w:qFormat/>
    <w:rsid w:val="00E849C0"/>
    <w:pPr>
      <w:numPr>
        <w:numId w:val="2"/>
      </w:numPr>
      <w:spacing w:after="180" w:line="280" w:lineRule="atLeast"/>
    </w:pPr>
    <w:rPr>
      <w:rFonts w:eastAsia="SimSun"/>
      <w:szCs w:val="20"/>
    </w:rPr>
  </w:style>
  <w:style w:type="character" w:customStyle="1" w:styleId="FWPartiesChar">
    <w:name w:val="FWParties Char"/>
    <w:link w:val="FWParties"/>
    <w:rsid w:val="00E849C0"/>
    <w:rPr>
      <w:rFonts w:eastAsia="SimSun"/>
      <w:sz w:val="20"/>
      <w:szCs w:val="20"/>
      <w:lang w:val="en-GB"/>
    </w:rPr>
  </w:style>
  <w:style w:type="paragraph" w:styleId="ListParagraph">
    <w:name w:val="List Paragraph"/>
    <w:basedOn w:val="Normal"/>
    <w:uiPriority w:val="99"/>
    <w:qFormat/>
    <w:rsid w:val="0003315D"/>
    <w:pPr>
      <w:ind w:left="720"/>
      <w:contextualSpacing/>
    </w:pPr>
  </w:style>
  <w:style w:type="paragraph" w:styleId="ListBullet5">
    <w:name w:val="List Bullet 5"/>
    <w:basedOn w:val="Normal"/>
    <w:unhideWhenUsed/>
    <w:rsid w:val="00CE1E62"/>
    <w:pPr>
      <w:numPr>
        <w:ilvl w:val="4"/>
        <w:numId w:val="4"/>
      </w:numPr>
      <w:contextualSpacing/>
    </w:pPr>
  </w:style>
  <w:style w:type="paragraph" w:styleId="ListBullet2">
    <w:name w:val="List Bullet 2"/>
    <w:basedOn w:val="Normal"/>
    <w:unhideWhenUsed/>
    <w:rsid w:val="00CE1E62"/>
    <w:pPr>
      <w:numPr>
        <w:ilvl w:val="1"/>
        <w:numId w:val="4"/>
      </w:numPr>
      <w:contextualSpacing/>
    </w:pPr>
  </w:style>
  <w:style w:type="paragraph" w:styleId="ListBullet3">
    <w:name w:val="List Bullet 3"/>
    <w:basedOn w:val="Normal"/>
    <w:unhideWhenUsed/>
    <w:rsid w:val="00CE1E62"/>
    <w:pPr>
      <w:numPr>
        <w:ilvl w:val="2"/>
        <w:numId w:val="4"/>
      </w:numPr>
      <w:contextualSpacing/>
    </w:pPr>
  </w:style>
  <w:style w:type="paragraph" w:styleId="ListBullet4">
    <w:name w:val="List Bullet 4"/>
    <w:basedOn w:val="Normal"/>
    <w:unhideWhenUsed/>
    <w:rsid w:val="00CE1E62"/>
    <w:pPr>
      <w:numPr>
        <w:ilvl w:val="3"/>
        <w:numId w:val="4"/>
      </w:numPr>
      <w:contextualSpacing/>
    </w:pPr>
  </w:style>
  <w:style w:type="paragraph" w:customStyle="1" w:styleId="ListBullet6">
    <w:name w:val="List Bullet 6"/>
    <w:basedOn w:val="Normal"/>
    <w:rsid w:val="00CE1E62"/>
    <w:pPr>
      <w:numPr>
        <w:ilvl w:val="5"/>
        <w:numId w:val="4"/>
      </w:numPr>
    </w:pPr>
  </w:style>
  <w:style w:type="paragraph" w:customStyle="1" w:styleId="ListBullet7">
    <w:name w:val="List Bullet 7"/>
    <w:basedOn w:val="Normal"/>
    <w:rsid w:val="00CE1E62"/>
    <w:pPr>
      <w:numPr>
        <w:ilvl w:val="6"/>
        <w:numId w:val="4"/>
      </w:numPr>
    </w:pPr>
  </w:style>
  <w:style w:type="paragraph" w:customStyle="1" w:styleId="ListBullet8">
    <w:name w:val="List Bullet 8"/>
    <w:basedOn w:val="Normal"/>
    <w:rsid w:val="00CE1E62"/>
    <w:pPr>
      <w:numPr>
        <w:ilvl w:val="7"/>
        <w:numId w:val="4"/>
      </w:numPr>
    </w:pPr>
  </w:style>
  <w:style w:type="paragraph" w:customStyle="1" w:styleId="ListBullet9">
    <w:name w:val="List Bullet 9"/>
    <w:basedOn w:val="Normal"/>
    <w:rsid w:val="00CE1E62"/>
    <w:pPr>
      <w:numPr>
        <w:ilvl w:val="8"/>
        <w:numId w:val="4"/>
      </w:numPr>
    </w:pPr>
  </w:style>
  <w:style w:type="paragraph" w:styleId="ListBullet">
    <w:name w:val="List Bullet"/>
    <w:basedOn w:val="Normal"/>
    <w:unhideWhenUsed/>
    <w:rsid w:val="00FA03EA"/>
    <w:pPr>
      <w:numPr>
        <w:numId w:val="4"/>
      </w:numPr>
      <w:contextualSpacing/>
    </w:pPr>
  </w:style>
  <w:style w:type="paragraph" w:customStyle="1" w:styleId="Randziffer">
    <w:name w:val="Randziffer"/>
    <w:basedOn w:val="Normal"/>
    <w:qFormat/>
    <w:rsid w:val="00F2487C"/>
    <w:pPr>
      <w:numPr>
        <w:numId w:val="5"/>
      </w:numPr>
      <w:spacing w:after="180" w:line="280" w:lineRule="atLeast"/>
    </w:pPr>
  </w:style>
  <w:style w:type="paragraph" w:customStyle="1" w:styleId="BulletsCont1">
    <w:name w:val="Bullets Cont 1"/>
    <w:basedOn w:val="Normal"/>
    <w:link w:val="BulletsCont1Char"/>
    <w:rsid w:val="003F0BC5"/>
    <w:pPr>
      <w:spacing w:before="0" w:after="180" w:line="280" w:lineRule="exact"/>
      <w:ind w:left="720"/>
    </w:pPr>
    <w:rPr>
      <w:rFonts w:eastAsia="Calibri"/>
      <w:szCs w:val="22"/>
    </w:rPr>
  </w:style>
  <w:style w:type="character" w:customStyle="1" w:styleId="BulletsCont1Char">
    <w:name w:val="Bullets Cont 1 Char"/>
    <w:link w:val="BulletsCont1"/>
    <w:rsid w:val="003F0BC5"/>
    <w:rPr>
      <w:rFonts w:eastAsia="Calibri"/>
      <w:sz w:val="20"/>
      <w:szCs w:val="22"/>
      <w:lang w:val="en-GB"/>
    </w:rPr>
  </w:style>
  <w:style w:type="paragraph" w:customStyle="1" w:styleId="BulletsCont2">
    <w:name w:val="Bullets Cont 2"/>
    <w:basedOn w:val="BulletsCont1"/>
    <w:link w:val="BulletsCont2Char"/>
    <w:rsid w:val="003F0BC5"/>
    <w:pPr>
      <w:ind w:left="1440"/>
    </w:pPr>
  </w:style>
  <w:style w:type="character" w:customStyle="1" w:styleId="BulletsCont2Char">
    <w:name w:val="Bullets Cont 2 Char"/>
    <w:link w:val="BulletsCont2"/>
    <w:rsid w:val="003F0BC5"/>
    <w:rPr>
      <w:rFonts w:eastAsia="Calibri"/>
      <w:sz w:val="20"/>
      <w:szCs w:val="22"/>
      <w:lang w:val="en-GB"/>
    </w:rPr>
  </w:style>
  <w:style w:type="paragraph" w:customStyle="1" w:styleId="BulletsCont3">
    <w:name w:val="Bullets Cont 3"/>
    <w:basedOn w:val="BulletsCont2"/>
    <w:link w:val="BulletsCont3Char"/>
    <w:rsid w:val="003F0BC5"/>
    <w:pPr>
      <w:ind w:left="2160"/>
    </w:pPr>
  </w:style>
  <w:style w:type="character" w:customStyle="1" w:styleId="BulletsCont3Char">
    <w:name w:val="Bullets Cont 3 Char"/>
    <w:link w:val="BulletsCont3"/>
    <w:rsid w:val="003F0BC5"/>
    <w:rPr>
      <w:rFonts w:eastAsia="Calibri"/>
      <w:sz w:val="20"/>
      <w:szCs w:val="22"/>
      <w:lang w:val="en-GB"/>
    </w:rPr>
  </w:style>
  <w:style w:type="paragraph" w:customStyle="1" w:styleId="BulletsCont4">
    <w:name w:val="Bullets Cont 4"/>
    <w:basedOn w:val="BulletsCont3"/>
    <w:link w:val="BulletsCont4Char"/>
    <w:rsid w:val="003F0BC5"/>
    <w:pPr>
      <w:ind w:left="2880"/>
    </w:pPr>
  </w:style>
  <w:style w:type="character" w:customStyle="1" w:styleId="BulletsCont4Char">
    <w:name w:val="Bullets Cont 4 Char"/>
    <w:link w:val="BulletsCont4"/>
    <w:rsid w:val="003F0BC5"/>
    <w:rPr>
      <w:rFonts w:eastAsia="Calibri"/>
      <w:sz w:val="20"/>
      <w:szCs w:val="22"/>
      <w:lang w:val="en-GB"/>
    </w:rPr>
  </w:style>
  <w:style w:type="paragraph" w:customStyle="1" w:styleId="BulletsCont5">
    <w:name w:val="Bullets Cont 5"/>
    <w:basedOn w:val="BulletsCont4"/>
    <w:link w:val="BulletsCont5Char"/>
    <w:rsid w:val="003F0BC5"/>
    <w:pPr>
      <w:ind w:left="3600"/>
    </w:pPr>
  </w:style>
  <w:style w:type="character" w:customStyle="1" w:styleId="BulletsCont5Char">
    <w:name w:val="Bullets Cont 5 Char"/>
    <w:link w:val="BulletsCont5"/>
    <w:rsid w:val="003F0BC5"/>
    <w:rPr>
      <w:rFonts w:eastAsia="Calibri"/>
      <w:sz w:val="20"/>
      <w:szCs w:val="22"/>
      <w:lang w:val="en-GB"/>
    </w:rPr>
  </w:style>
  <w:style w:type="paragraph" w:customStyle="1" w:styleId="BulletsCont6">
    <w:name w:val="Bullets Cont 6"/>
    <w:basedOn w:val="BulletsCont5"/>
    <w:link w:val="BulletsCont6Char"/>
    <w:rsid w:val="003F0BC5"/>
    <w:pPr>
      <w:ind w:left="4320"/>
    </w:pPr>
  </w:style>
  <w:style w:type="character" w:customStyle="1" w:styleId="BulletsCont6Char">
    <w:name w:val="Bullets Cont 6 Char"/>
    <w:link w:val="BulletsCont6"/>
    <w:rsid w:val="003F0BC5"/>
    <w:rPr>
      <w:rFonts w:eastAsia="Calibri"/>
      <w:sz w:val="20"/>
      <w:szCs w:val="22"/>
      <w:lang w:val="en-GB"/>
    </w:rPr>
  </w:style>
  <w:style w:type="paragraph" w:customStyle="1" w:styleId="BulletsCont7">
    <w:name w:val="Bullets Cont 7"/>
    <w:basedOn w:val="BulletsCont6"/>
    <w:link w:val="BulletsCont7Char"/>
    <w:rsid w:val="003F0BC5"/>
    <w:pPr>
      <w:ind w:left="5040"/>
    </w:pPr>
  </w:style>
  <w:style w:type="character" w:customStyle="1" w:styleId="BulletsCont7Char">
    <w:name w:val="Bullets Cont 7 Char"/>
    <w:link w:val="BulletsCont7"/>
    <w:rsid w:val="003F0BC5"/>
    <w:rPr>
      <w:rFonts w:eastAsia="Calibri"/>
      <w:sz w:val="20"/>
      <w:szCs w:val="22"/>
      <w:lang w:val="en-GB"/>
    </w:rPr>
  </w:style>
  <w:style w:type="paragraph" w:customStyle="1" w:styleId="BulletsCont8">
    <w:name w:val="Bullets Cont 8"/>
    <w:basedOn w:val="BulletsCont7"/>
    <w:link w:val="BulletsCont8Char"/>
    <w:rsid w:val="003F0BC5"/>
    <w:pPr>
      <w:ind w:left="5760"/>
    </w:pPr>
  </w:style>
  <w:style w:type="character" w:customStyle="1" w:styleId="BulletsCont8Char">
    <w:name w:val="Bullets Cont 8 Char"/>
    <w:link w:val="BulletsCont8"/>
    <w:rsid w:val="003F0BC5"/>
    <w:rPr>
      <w:rFonts w:eastAsia="Calibri"/>
      <w:sz w:val="20"/>
      <w:szCs w:val="22"/>
      <w:lang w:val="en-GB"/>
    </w:rPr>
  </w:style>
  <w:style w:type="paragraph" w:customStyle="1" w:styleId="BulletsCont9">
    <w:name w:val="Bullets Cont 9"/>
    <w:basedOn w:val="Normal"/>
    <w:link w:val="BulletsCont9Char"/>
    <w:rsid w:val="003F0BC5"/>
    <w:pPr>
      <w:spacing w:before="0" w:after="180" w:line="280" w:lineRule="exact"/>
      <w:ind w:left="6480"/>
    </w:pPr>
    <w:rPr>
      <w:szCs w:val="20"/>
    </w:rPr>
  </w:style>
  <w:style w:type="character" w:customStyle="1" w:styleId="BulletsCont9Char">
    <w:name w:val="Bullets Cont 9 Char"/>
    <w:link w:val="BulletsCont9"/>
    <w:rsid w:val="003F0BC5"/>
    <w:rPr>
      <w:rFonts w:eastAsia="Times New Roman"/>
      <w:sz w:val="20"/>
      <w:szCs w:val="20"/>
      <w:lang w:val="en-GB"/>
    </w:rPr>
  </w:style>
  <w:style w:type="paragraph" w:customStyle="1" w:styleId="BulletsL1">
    <w:name w:val="Bullets_L1"/>
    <w:basedOn w:val="Normal"/>
    <w:link w:val="BulletsL1Char"/>
    <w:rsid w:val="006B42D1"/>
    <w:pPr>
      <w:numPr>
        <w:numId w:val="6"/>
      </w:numPr>
    </w:pPr>
  </w:style>
  <w:style w:type="character" w:customStyle="1" w:styleId="BulletsL1Char">
    <w:name w:val="Bullets_L1 Char"/>
    <w:link w:val="BulletsL1"/>
    <w:rsid w:val="006B42D1"/>
    <w:rPr>
      <w:rFonts w:eastAsia="Times New Roman"/>
      <w:sz w:val="20"/>
      <w:lang w:val="en-GB"/>
    </w:rPr>
  </w:style>
  <w:style w:type="paragraph" w:customStyle="1" w:styleId="BulletsL2">
    <w:name w:val="Bullets_L2"/>
    <w:basedOn w:val="BulletsL1"/>
    <w:link w:val="BulletsL2Char"/>
    <w:rsid w:val="003F0BC5"/>
    <w:pPr>
      <w:numPr>
        <w:ilvl w:val="1"/>
      </w:numPr>
    </w:pPr>
  </w:style>
  <w:style w:type="character" w:customStyle="1" w:styleId="BulletsL2Char">
    <w:name w:val="Bullets_L2 Char"/>
    <w:link w:val="BulletsL2"/>
    <w:rsid w:val="003F0BC5"/>
    <w:rPr>
      <w:rFonts w:eastAsia="Times New Roman"/>
      <w:sz w:val="20"/>
      <w:lang w:val="en-GB"/>
    </w:rPr>
  </w:style>
  <w:style w:type="paragraph" w:customStyle="1" w:styleId="BulletsL3">
    <w:name w:val="Bullets_L3"/>
    <w:basedOn w:val="BulletsL2"/>
    <w:link w:val="BulletsL3Char"/>
    <w:rsid w:val="003F0BC5"/>
    <w:pPr>
      <w:numPr>
        <w:ilvl w:val="2"/>
      </w:numPr>
    </w:pPr>
  </w:style>
  <w:style w:type="character" w:customStyle="1" w:styleId="BulletsL3Char">
    <w:name w:val="Bullets_L3 Char"/>
    <w:link w:val="BulletsL3"/>
    <w:rsid w:val="003F0BC5"/>
    <w:rPr>
      <w:rFonts w:eastAsia="Times New Roman"/>
      <w:sz w:val="20"/>
      <w:lang w:val="en-GB"/>
    </w:rPr>
  </w:style>
  <w:style w:type="paragraph" w:customStyle="1" w:styleId="BulletsL4">
    <w:name w:val="Bullets_L4"/>
    <w:basedOn w:val="BulletsL3"/>
    <w:link w:val="BulletsL4Char"/>
    <w:rsid w:val="003F0BC5"/>
    <w:pPr>
      <w:numPr>
        <w:ilvl w:val="3"/>
      </w:numPr>
      <w:outlineLvl w:val="3"/>
    </w:pPr>
  </w:style>
  <w:style w:type="character" w:customStyle="1" w:styleId="BulletsL4Char">
    <w:name w:val="Bullets_L4 Char"/>
    <w:link w:val="BulletsL4"/>
    <w:rsid w:val="003F0BC5"/>
    <w:rPr>
      <w:rFonts w:eastAsia="Times New Roman"/>
      <w:sz w:val="20"/>
      <w:lang w:val="en-GB"/>
    </w:rPr>
  </w:style>
  <w:style w:type="paragraph" w:customStyle="1" w:styleId="BulletsL5">
    <w:name w:val="Bullets_L5"/>
    <w:basedOn w:val="BulletsL4"/>
    <w:link w:val="BulletsL5Char"/>
    <w:rsid w:val="003F0BC5"/>
    <w:pPr>
      <w:numPr>
        <w:ilvl w:val="4"/>
      </w:numPr>
      <w:outlineLvl w:val="4"/>
    </w:pPr>
  </w:style>
  <w:style w:type="character" w:customStyle="1" w:styleId="BulletsL5Char">
    <w:name w:val="Bullets_L5 Char"/>
    <w:link w:val="BulletsL5"/>
    <w:rsid w:val="003F0BC5"/>
    <w:rPr>
      <w:rFonts w:eastAsia="Times New Roman"/>
      <w:sz w:val="20"/>
      <w:lang w:val="en-GB"/>
    </w:rPr>
  </w:style>
  <w:style w:type="paragraph" w:customStyle="1" w:styleId="BulletsL6">
    <w:name w:val="Bullets_L6"/>
    <w:basedOn w:val="BulletsL5"/>
    <w:link w:val="BulletsL6Char"/>
    <w:rsid w:val="003F0BC5"/>
    <w:pPr>
      <w:numPr>
        <w:ilvl w:val="5"/>
      </w:numPr>
      <w:outlineLvl w:val="5"/>
    </w:pPr>
  </w:style>
  <w:style w:type="character" w:customStyle="1" w:styleId="BulletsL6Char">
    <w:name w:val="Bullets_L6 Char"/>
    <w:link w:val="BulletsL6"/>
    <w:rsid w:val="003F0BC5"/>
    <w:rPr>
      <w:rFonts w:eastAsia="Times New Roman"/>
      <w:sz w:val="20"/>
      <w:lang w:val="en-GB"/>
    </w:rPr>
  </w:style>
  <w:style w:type="paragraph" w:customStyle="1" w:styleId="BulletsL7">
    <w:name w:val="Bullets_L7"/>
    <w:basedOn w:val="BulletsL6"/>
    <w:link w:val="BulletsL7Char"/>
    <w:rsid w:val="003F0BC5"/>
    <w:pPr>
      <w:numPr>
        <w:ilvl w:val="6"/>
      </w:numPr>
      <w:outlineLvl w:val="6"/>
    </w:pPr>
  </w:style>
  <w:style w:type="character" w:customStyle="1" w:styleId="BulletsL7Char">
    <w:name w:val="Bullets_L7 Char"/>
    <w:link w:val="BulletsL7"/>
    <w:rsid w:val="003F0BC5"/>
    <w:rPr>
      <w:rFonts w:eastAsia="Times New Roman"/>
      <w:sz w:val="20"/>
      <w:lang w:val="en-GB"/>
    </w:rPr>
  </w:style>
  <w:style w:type="paragraph" w:customStyle="1" w:styleId="BulletsL8">
    <w:name w:val="Bullets_L8"/>
    <w:basedOn w:val="BulletsL7"/>
    <w:link w:val="BulletsL8Char"/>
    <w:rsid w:val="003F0BC5"/>
    <w:pPr>
      <w:numPr>
        <w:ilvl w:val="7"/>
      </w:numPr>
      <w:outlineLvl w:val="7"/>
    </w:pPr>
  </w:style>
  <w:style w:type="character" w:customStyle="1" w:styleId="BulletsL8Char">
    <w:name w:val="Bullets_L8 Char"/>
    <w:link w:val="BulletsL8"/>
    <w:rsid w:val="003F0BC5"/>
    <w:rPr>
      <w:rFonts w:eastAsia="Times New Roman"/>
      <w:sz w:val="20"/>
      <w:lang w:val="en-GB"/>
    </w:rPr>
  </w:style>
  <w:style w:type="paragraph" w:customStyle="1" w:styleId="BulletsL9">
    <w:name w:val="Bullets_L9"/>
    <w:basedOn w:val="BulletsL8"/>
    <w:link w:val="BulletsL9Char"/>
    <w:rsid w:val="003F0BC5"/>
    <w:pPr>
      <w:numPr>
        <w:ilvl w:val="8"/>
      </w:numPr>
      <w:outlineLvl w:val="8"/>
    </w:pPr>
  </w:style>
  <w:style w:type="character" w:customStyle="1" w:styleId="BulletsL9Char">
    <w:name w:val="Bullets_L9 Char"/>
    <w:link w:val="BulletsL9"/>
    <w:rsid w:val="003F0BC5"/>
    <w:rPr>
      <w:rFonts w:eastAsia="Times New Roman"/>
      <w:sz w:val="20"/>
      <w:lang w:val="en-GB"/>
    </w:rPr>
  </w:style>
  <w:style w:type="paragraph" w:customStyle="1" w:styleId="Firm5Cont1">
    <w:name w:val="Firm5 Cont 1"/>
    <w:basedOn w:val="Normal"/>
    <w:link w:val="Firm5Cont1Char"/>
    <w:rsid w:val="006F7E56"/>
    <w:pPr>
      <w:ind w:left="720"/>
    </w:pPr>
    <w:rPr>
      <w:rFonts w:eastAsia="SimSun"/>
    </w:rPr>
  </w:style>
  <w:style w:type="character" w:customStyle="1" w:styleId="Firm5Cont1Char">
    <w:name w:val="Firm5 Cont 1 Char"/>
    <w:link w:val="Firm5Cont1"/>
    <w:rsid w:val="006F7E56"/>
    <w:rPr>
      <w:rFonts w:eastAsia="SimSun"/>
      <w:sz w:val="20"/>
      <w:lang w:val="en-GB"/>
    </w:rPr>
  </w:style>
  <w:style w:type="paragraph" w:customStyle="1" w:styleId="Firm5Cont2">
    <w:name w:val="Firm5 Cont 2"/>
    <w:basedOn w:val="Normal"/>
    <w:link w:val="Firm5Cont2Char"/>
    <w:rsid w:val="006F7E56"/>
    <w:pPr>
      <w:ind w:left="720"/>
    </w:pPr>
    <w:rPr>
      <w:rFonts w:eastAsia="SimSun"/>
      <w:szCs w:val="20"/>
    </w:rPr>
  </w:style>
  <w:style w:type="character" w:customStyle="1" w:styleId="Firm5Cont2Char">
    <w:name w:val="Firm5 Cont 2 Char"/>
    <w:link w:val="Firm5Cont2"/>
    <w:rsid w:val="006F7E56"/>
    <w:rPr>
      <w:rFonts w:eastAsia="SimSun"/>
      <w:sz w:val="20"/>
      <w:szCs w:val="20"/>
      <w:lang w:val="en-GB"/>
    </w:rPr>
  </w:style>
  <w:style w:type="paragraph" w:customStyle="1" w:styleId="Firm5Cont3">
    <w:name w:val="Firm5 Cont 3"/>
    <w:basedOn w:val="Firm5Cont2"/>
    <w:link w:val="Firm5Cont3Char"/>
    <w:rsid w:val="006F7E56"/>
  </w:style>
  <w:style w:type="character" w:customStyle="1" w:styleId="Firm5Cont3Char">
    <w:name w:val="Firm5 Cont 3 Char"/>
    <w:link w:val="Firm5Cont3"/>
    <w:rsid w:val="006F7E56"/>
    <w:rPr>
      <w:rFonts w:eastAsia="SimSun"/>
      <w:sz w:val="20"/>
      <w:szCs w:val="20"/>
      <w:lang w:val="en-GB"/>
    </w:rPr>
  </w:style>
  <w:style w:type="paragraph" w:customStyle="1" w:styleId="Firm5Cont4">
    <w:name w:val="Firm5 Cont 4"/>
    <w:basedOn w:val="Firm5Cont3"/>
    <w:link w:val="Firm5Cont4Char"/>
    <w:rsid w:val="006F7E56"/>
    <w:pPr>
      <w:ind w:left="1440"/>
    </w:pPr>
  </w:style>
  <w:style w:type="character" w:customStyle="1" w:styleId="Firm5Cont4Char">
    <w:name w:val="Firm5 Cont 4 Char"/>
    <w:link w:val="Firm5Cont4"/>
    <w:rsid w:val="006F7E56"/>
    <w:rPr>
      <w:rFonts w:eastAsia="SimSun"/>
      <w:sz w:val="20"/>
      <w:szCs w:val="20"/>
      <w:lang w:val="en-GB"/>
    </w:rPr>
  </w:style>
  <w:style w:type="paragraph" w:customStyle="1" w:styleId="Firm5Cont5">
    <w:name w:val="Firm5 Cont 5"/>
    <w:basedOn w:val="Firm5Cont4"/>
    <w:link w:val="Firm5Cont5Char"/>
    <w:rsid w:val="006F7E56"/>
    <w:pPr>
      <w:ind w:left="2160"/>
    </w:pPr>
  </w:style>
  <w:style w:type="character" w:customStyle="1" w:styleId="Firm5Cont5Char">
    <w:name w:val="Firm5 Cont 5 Char"/>
    <w:link w:val="Firm5Cont5"/>
    <w:rsid w:val="006F7E56"/>
    <w:rPr>
      <w:rFonts w:eastAsia="SimSun"/>
      <w:sz w:val="20"/>
      <w:szCs w:val="20"/>
      <w:lang w:val="en-GB"/>
    </w:rPr>
  </w:style>
  <w:style w:type="paragraph" w:customStyle="1" w:styleId="Firm5Cont6">
    <w:name w:val="Firm5 Cont 6"/>
    <w:basedOn w:val="Normal"/>
    <w:link w:val="Firm5Cont6Char"/>
    <w:rsid w:val="006F7E56"/>
    <w:pPr>
      <w:ind w:left="2880"/>
    </w:pPr>
    <w:rPr>
      <w:rFonts w:eastAsia="SimSun"/>
      <w:szCs w:val="20"/>
    </w:rPr>
  </w:style>
  <w:style w:type="character" w:customStyle="1" w:styleId="Firm5Cont6Char">
    <w:name w:val="Firm5 Cont 6 Char"/>
    <w:link w:val="Firm5Cont6"/>
    <w:rsid w:val="006F7E56"/>
    <w:rPr>
      <w:rFonts w:eastAsia="SimSun"/>
      <w:sz w:val="20"/>
      <w:szCs w:val="20"/>
      <w:lang w:val="en-GB"/>
    </w:rPr>
  </w:style>
  <w:style w:type="paragraph" w:customStyle="1" w:styleId="Firm5Cont7">
    <w:name w:val="Firm5 Cont 7"/>
    <w:basedOn w:val="Firm5Cont6"/>
    <w:link w:val="Firm5Cont7Char"/>
    <w:rsid w:val="006F7E56"/>
    <w:pPr>
      <w:ind w:left="3600"/>
    </w:pPr>
  </w:style>
  <w:style w:type="character" w:customStyle="1" w:styleId="Firm5Cont7Char">
    <w:name w:val="Firm5 Cont 7 Char"/>
    <w:link w:val="Firm5Cont7"/>
    <w:rsid w:val="006F7E56"/>
    <w:rPr>
      <w:rFonts w:eastAsia="SimSun"/>
      <w:sz w:val="20"/>
      <w:szCs w:val="20"/>
      <w:lang w:val="en-GB"/>
    </w:rPr>
  </w:style>
  <w:style w:type="paragraph" w:customStyle="1" w:styleId="Firm5Cont8">
    <w:name w:val="Firm5 Cont 8"/>
    <w:basedOn w:val="Firm5Cont7"/>
    <w:link w:val="Firm5Cont8Char"/>
    <w:rsid w:val="006F7E56"/>
    <w:pPr>
      <w:ind w:left="4320"/>
    </w:pPr>
  </w:style>
  <w:style w:type="character" w:customStyle="1" w:styleId="Firm5Cont8Char">
    <w:name w:val="Firm5 Cont 8 Char"/>
    <w:link w:val="Firm5Cont8"/>
    <w:rsid w:val="006F7E56"/>
    <w:rPr>
      <w:rFonts w:eastAsia="SimSun"/>
      <w:sz w:val="20"/>
      <w:szCs w:val="20"/>
      <w:lang w:val="en-GB"/>
    </w:rPr>
  </w:style>
  <w:style w:type="paragraph" w:customStyle="1" w:styleId="Firm5Cont9">
    <w:name w:val="Firm5 Cont 9"/>
    <w:basedOn w:val="Firm5Cont8"/>
    <w:link w:val="Firm5Cont9Char"/>
    <w:rsid w:val="006F7E56"/>
    <w:pPr>
      <w:ind w:left="5040"/>
    </w:pPr>
  </w:style>
  <w:style w:type="character" w:customStyle="1" w:styleId="Firm5Cont9Char">
    <w:name w:val="Firm5 Cont 9 Char"/>
    <w:link w:val="Firm5Cont9"/>
    <w:rsid w:val="006F7E56"/>
    <w:rPr>
      <w:rFonts w:eastAsia="SimSun"/>
      <w:sz w:val="20"/>
      <w:szCs w:val="20"/>
      <w:lang w:val="en-GB"/>
    </w:rPr>
  </w:style>
  <w:style w:type="paragraph" w:customStyle="1" w:styleId="Firm5L1">
    <w:name w:val="Firm5_L1"/>
    <w:basedOn w:val="Normal"/>
    <w:next w:val="Firm5L2"/>
    <w:link w:val="Firm5L1Char"/>
    <w:rsid w:val="001F6AA7"/>
    <w:pPr>
      <w:numPr>
        <w:numId w:val="7"/>
      </w:numPr>
      <w:outlineLvl w:val="0"/>
    </w:pPr>
    <w:rPr>
      <w:rFonts w:eastAsia="SimSun"/>
      <w:b/>
      <w:smallCaps/>
      <w:szCs w:val="20"/>
    </w:rPr>
  </w:style>
  <w:style w:type="character" w:customStyle="1" w:styleId="Firm5L1Char">
    <w:name w:val="Firm5_L1 Char"/>
    <w:link w:val="Firm5L1"/>
    <w:rsid w:val="001F6AA7"/>
    <w:rPr>
      <w:rFonts w:eastAsia="SimSun"/>
      <w:b/>
      <w:smallCaps/>
      <w:sz w:val="20"/>
      <w:szCs w:val="20"/>
      <w:lang w:val="en-GB"/>
    </w:rPr>
  </w:style>
  <w:style w:type="paragraph" w:customStyle="1" w:styleId="Firm5L2">
    <w:name w:val="Firm5_L2"/>
    <w:basedOn w:val="Firm5L1"/>
    <w:next w:val="Firm5L3"/>
    <w:link w:val="Firm5L2Char"/>
    <w:rsid w:val="001F6AA7"/>
    <w:pPr>
      <w:numPr>
        <w:ilvl w:val="1"/>
      </w:numPr>
      <w:outlineLvl w:val="1"/>
    </w:pPr>
    <w:rPr>
      <w:smallCaps w:val="0"/>
    </w:rPr>
  </w:style>
  <w:style w:type="character" w:customStyle="1" w:styleId="Firm5L2Char">
    <w:name w:val="Firm5_L2 Char"/>
    <w:link w:val="Firm5L2"/>
    <w:rsid w:val="001F6AA7"/>
    <w:rPr>
      <w:rFonts w:eastAsia="SimSun"/>
      <w:b/>
      <w:sz w:val="20"/>
      <w:szCs w:val="20"/>
      <w:lang w:val="en-GB"/>
    </w:rPr>
  </w:style>
  <w:style w:type="paragraph" w:customStyle="1" w:styleId="Firm5L3">
    <w:name w:val="Firm5_L3"/>
    <w:basedOn w:val="Firm5L2"/>
    <w:link w:val="Firm5L3Char"/>
    <w:rsid w:val="001F6AA7"/>
    <w:pPr>
      <w:numPr>
        <w:ilvl w:val="2"/>
      </w:numPr>
      <w:outlineLvl w:val="2"/>
    </w:pPr>
  </w:style>
  <w:style w:type="character" w:customStyle="1" w:styleId="Firm5L3Char">
    <w:name w:val="Firm5_L3 Char"/>
    <w:link w:val="Firm5L3"/>
    <w:rsid w:val="001F6AA7"/>
    <w:rPr>
      <w:rFonts w:eastAsia="SimSun"/>
      <w:b/>
      <w:sz w:val="20"/>
      <w:szCs w:val="20"/>
      <w:lang w:val="en-GB"/>
    </w:rPr>
  </w:style>
  <w:style w:type="paragraph" w:customStyle="1" w:styleId="Firm5L4">
    <w:name w:val="Firm5_L4"/>
    <w:basedOn w:val="Firm5L3"/>
    <w:link w:val="Firm5L4Char"/>
    <w:rsid w:val="001F6AA7"/>
    <w:pPr>
      <w:numPr>
        <w:ilvl w:val="3"/>
      </w:numPr>
      <w:outlineLvl w:val="3"/>
    </w:pPr>
    <w:rPr>
      <w:b w:val="0"/>
    </w:rPr>
  </w:style>
  <w:style w:type="character" w:customStyle="1" w:styleId="Firm5L4Char">
    <w:name w:val="Firm5_L4 Char"/>
    <w:link w:val="Firm5L4"/>
    <w:rsid w:val="001F6AA7"/>
    <w:rPr>
      <w:rFonts w:eastAsia="SimSun"/>
      <w:sz w:val="20"/>
      <w:szCs w:val="20"/>
      <w:lang w:val="en-GB"/>
    </w:rPr>
  </w:style>
  <w:style w:type="paragraph" w:customStyle="1" w:styleId="Firm5L5">
    <w:name w:val="Firm5_L5"/>
    <w:basedOn w:val="Firm5L4"/>
    <w:link w:val="Firm5L5Char"/>
    <w:rsid w:val="001F6AA7"/>
    <w:pPr>
      <w:numPr>
        <w:ilvl w:val="4"/>
      </w:numPr>
      <w:outlineLvl w:val="4"/>
    </w:pPr>
  </w:style>
  <w:style w:type="character" w:customStyle="1" w:styleId="Firm5L5Char">
    <w:name w:val="Firm5_L5 Char"/>
    <w:link w:val="Firm5L5"/>
    <w:rsid w:val="001F6AA7"/>
    <w:rPr>
      <w:rFonts w:eastAsia="SimSun"/>
      <w:sz w:val="20"/>
      <w:szCs w:val="20"/>
      <w:lang w:val="en-GB"/>
    </w:rPr>
  </w:style>
  <w:style w:type="paragraph" w:customStyle="1" w:styleId="Firm5L6">
    <w:name w:val="Firm5_L6"/>
    <w:basedOn w:val="Firm5L5"/>
    <w:link w:val="Firm5L6Char"/>
    <w:rsid w:val="001F6AA7"/>
    <w:pPr>
      <w:numPr>
        <w:ilvl w:val="5"/>
      </w:numPr>
      <w:outlineLvl w:val="5"/>
    </w:pPr>
  </w:style>
  <w:style w:type="character" w:customStyle="1" w:styleId="Firm5L6Char">
    <w:name w:val="Firm5_L6 Char"/>
    <w:link w:val="Firm5L6"/>
    <w:rsid w:val="001F6AA7"/>
    <w:rPr>
      <w:rFonts w:eastAsia="SimSun"/>
      <w:sz w:val="20"/>
      <w:szCs w:val="20"/>
      <w:lang w:val="en-GB"/>
    </w:rPr>
  </w:style>
  <w:style w:type="paragraph" w:customStyle="1" w:styleId="Firm5L7">
    <w:name w:val="Firm5_L7"/>
    <w:basedOn w:val="Firm5L6"/>
    <w:link w:val="Firm5L7Char"/>
    <w:rsid w:val="001F6AA7"/>
    <w:pPr>
      <w:numPr>
        <w:ilvl w:val="6"/>
      </w:numPr>
      <w:outlineLvl w:val="6"/>
    </w:pPr>
  </w:style>
  <w:style w:type="character" w:customStyle="1" w:styleId="Firm5L7Char">
    <w:name w:val="Firm5_L7 Char"/>
    <w:link w:val="Firm5L7"/>
    <w:rsid w:val="001F6AA7"/>
    <w:rPr>
      <w:rFonts w:eastAsia="SimSun"/>
      <w:sz w:val="20"/>
      <w:szCs w:val="20"/>
      <w:lang w:val="en-GB"/>
    </w:rPr>
  </w:style>
  <w:style w:type="paragraph" w:customStyle="1" w:styleId="Firm5L8">
    <w:name w:val="Firm5_L8"/>
    <w:basedOn w:val="Firm5L7"/>
    <w:link w:val="Firm5L8Char"/>
    <w:rsid w:val="001F6AA7"/>
    <w:pPr>
      <w:numPr>
        <w:ilvl w:val="7"/>
      </w:numPr>
      <w:outlineLvl w:val="7"/>
    </w:pPr>
  </w:style>
  <w:style w:type="character" w:customStyle="1" w:styleId="Firm5L8Char">
    <w:name w:val="Firm5_L8 Char"/>
    <w:link w:val="Firm5L8"/>
    <w:rsid w:val="001F6AA7"/>
    <w:rPr>
      <w:rFonts w:eastAsia="SimSun"/>
      <w:sz w:val="20"/>
      <w:szCs w:val="20"/>
      <w:lang w:val="en-GB"/>
    </w:rPr>
  </w:style>
  <w:style w:type="paragraph" w:customStyle="1" w:styleId="Firm5L9">
    <w:name w:val="Firm5_L9"/>
    <w:basedOn w:val="Firm5L8"/>
    <w:link w:val="Firm5L9Char"/>
    <w:rsid w:val="001F6AA7"/>
    <w:pPr>
      <w:numPr>
        <w:ilvl w:val="8"/>
      </w:numPr>
      <w:outlineLvl w:val="8"/>
    </w:pPr>
  </w:style>
  <w:style w:type="character" w:customStyle="1" w:styleId="Firm5L9Char">
    <w:name w:val="Firm5_L9 Char"/>
    <w:link w:val="Firm5L9"/>
    <w:rsid w:val="001F6AA7"/>
    <w:rPr>
      <w:rFonts w:eastAsia="SimSun"/>
      <w:sz w:val="20"/>
      <w:szCs w:val="20"/>
      <w:lang w:val="en-GB"/>
    </w:rPr>
  </w:style>
  <w:style w:type="paragraph" w:customStyle="1" w:styleId="MacPacTrailer">
    <w:name w:val="MacPac Trailer"/>
    <w:rsid w:val="002E4A4B"/>
    <w:pPr>
      <w:widowControl w:val="0"/>
      <w:spacing w:line="170" w:lineRule="exact"/>
    </w:pPr>
    <w:rPr>
      <w:rFonts w:eastAsia="Times New Roman"/>
      <w:sz w:val="14"/>
      <w:szCs w:val="22"/>
    </w:rPr>
  </w:style>
  <w:style w:type="paragraph" w:customStyle="1" w:styleId="REBL1">
    <w:name w:val="REB_L1"/>
    <w:basedOn w:val="Normal"/>
    <w:next w:val="REBL2"/>
    <w:rsid w:val="00FA5570"/>
    <w:pPr>
      <w:keepNext/>
      <w:keepLines/>
      <w:numPr>
        <w:numId w:val="14"/>
      </w:numPr>
      <w:tabs>
        <w:tab w:val="left" w:pos="510"/>
      </w:tabs>
      <w:jc w:val="left"/>
      <w:outlineLvl w:val="0"/>
    </w:pPr>
    <w:rPr>
      <w:b/>
      <w:smallCaps/>
      <w:szCs w:val="20"/>
    </w:rPr>
  </w:style>
  <w:style w:type="paragraph" w:customStyle="1" w:styleId="REBL2">
    <w:name w:val="REB_L2"/>
    <w:basedOn w:val="REBL1"/>
    <w:rsid w:val="00FA5570"/>
    <w:pPr>
      <w:keepNext w:val="0"/>
      <w:keepLines w:val="0"/>
      <w:numPr>
        <w:ilvl w:val="1"/>
      </w:numPr>
      <w:jc w:val="both"/>
      <w:outlineLvl w:val="9"/>
    </w:pPr>
    <w:rPr>
      <w:smallCaps w:val="0"/>
    </w:rPr>
  </w:style>
  <w:style w:type="paragraph" w:customStyle="1" w:styleId="REBL3">
    <w:name w:val="REB_L3"/>
    <w:basedOn w:val="REBL2"/>
    <w:rsid w:val="00FA5570"/>
    <w:pPr>
      <w:numPr>
        <w:ilvl w:val="2"/>
      </w:numPr>
    </w:pPr>
  </w:style>
  <w:style w:type="paragraph" w:customStyle="1" w:styleId="REBL4">
    <w:name w:val="REB_L4"/>
    <w:basedOn w:val="REBL3"/>
    <w:rsid w:val="00FA5570"/>
    <w:pPr>
      <w:numPr>
        <w:ilvl w:val="3"/>
      </w:numPr>
    </w:pPr>
  </w:style>
  <w:style w:type="paragraph" w:customStyle="1" w:styleId="REBL5">
    <w:name w:val="REB_L5"/>
    <w:basedOn w:val="REBL4"/>
    <w:rsid w:val="00FA5570"/>
    <w:pPr>
      <w:numPr>
        <w:ilvl w:val="4"/>
      </w:numPr>
    </w:pPr>
    <w:rPr>
      <w:b w:val="0"/>
    </w:rPr>
  </w:style>
  <w:style w:type="paragraph" w:customStyle="1" w:styleId="REBL6">
    <w:name w:val="REB_L6"/>
    <w:basedOn w:val="REBL5"/>
    <w:rsid w:val="00FA5570"/>
    <w:pPr>
      <w:numPr>
        <w:ilvl w:val="5"/>
      </w:numPr>
    </w:pPr>
  </w:style>
  <w:style w:type="paragraph" w:customStyle="1" w:styleId="REBL7">
    <w:name w:val="REB_L7"/>
    <w:basedOn w:val="REBL6"/>
    <w:rsid w:val="00FA5570"/>
    <w:pPr>
      <w:numPr>
        <w:ilvl w:val="6"/>
      </w:numPr>
    </w:pPr>
  </w:style>
  <w:style w:type="paragraph" w:customStyle="1" w:styleId="REBL8">
    <w:name w:val="REB_L8"/>
    <w:basedOn w:val="REBL7"/>
    <w:rsid w:val="00FA5570"/>
    <w:pPr>
      <w:numPr>
        <w:ilvl w:val="7"/>
      </w:numPr>
    </w:pPr>
  </w:style>
  <w:style w:type="paragraph" w:customStyle="1" w:styleId="REBL9">
    <w:name w:val="REB_L9"/>
    <w:basedOn w:val="REBL8"/>
    <w:rsid w:val="00FA5570"/>
    <w:pPr>
      <w:numPr>
        <w:ilvl w:val="8"/>
      </w:numPr>
    </w:pPr>
  </w:style>
  <w:style w:type="paragraph" w:customStyle="1" w:styleId="OMHeadingBI">
    <w:name w:val="OM Heading B&amp;I"/>
    <w:basedOn w:val="Normal"/>
    <w:link w:val="OMHeadingBIChar"/>
    <w:uiPriority w:val="25"/>
    <w:qFormat/>
    <w:rsid w:val="000A2D2F"/>
    <w:pPr>
      <w:keepNext/>
      <w:spacing w:before="0" w:after="240"/>
    </w:pPr>
    <w:rPr>
      <w:rFonts w:eastAsia="SimSun"/>
      <w:b/>
      <w:i/>
      <w:lang w:val="en-US"/>
    </w:rPr>
  </w:style>
  <w:style w:type="character" w:customStyle="1" w:styleId="OMHeadingBIChar">
    <w:name w:val="OM Heading B&amp;I Char"/>
    <w:link w:val="OMHeadingBI"/>
    <w:uiPriority w:val="25"/>
    <w:locked/>
    <w:rsid w:val="000A2D2F"/>
    <w:rPr>
      <w:rFonts w:eastAsia="SimSun"/>
      <w:b/>
      <w:i/>
      <w:sz w:val="20"/>
    </w:rPr>
  </w:style>
  <w:style w:type="paragraph" w:customStyle="1" w:styleId="NormalNoIndent">
    <w:name w:val="Normal No Indent"/>
    <w:basedOn w:val="Normal"/>
    <w:next w:val="Normal"/>
    <w:uiPriority w:val="25"/>
    <w:qFormat/>
    <w:rsid w:val="000A2D2F"/>
    <w:pPr>
      <w:spacing w:before="0" w:after="240"/>
    </w:pPr>
    <w:rPr>
      <w:rFonts w:eastAsia="SimSun"/>
      <w:lang w:val="en-US"/>
    </w:rPr>
  </w:style>
  <w:style w:type="paragraph" w:customStyle="1" w:styleId="Style6">
    <w:name w:val="Style6"/>
    <w:basedOn w:val="Normal"/>
    <w:rsid w:val="00AD2433"/>
    <w:pPr>
      <w:spacing w:before="0" w:after="0" w:line="240" w:lineRule="exact"/>
      <w:jc w:val="left"/>
    </w:pPr>
    <w:rPr>
      <w:lang w:eastAsia="en-GB"/>
    </w:rPr>
  </w:style>
  <w:style w:type="paragraph" w:customStyle="1" w:styleId="PILevel3">
    <w:name w:val="PI Level 3"/>
    <w:basedOn w:val="Normal"/>
    <w:next w:val="Normal"/>
    <w:rsid w:val="00AD2433"/>
    <w:pPr>
      <w:spacing w:before="0" w:after="0"/>
      <w:jc w:val="left"/>
      <w:outlineLvl w:val="2"/>
    </w:pPr>
    <w:rPr>
      <w:b/>
      <w:i/>
      <w:lang w:eastAsia="en-GB"/>
    </w:rPr>
  </w:style>
  <w:style w:type="paragraph" w:customStyle="1" w:styleId="FWBanking1L1">
    <w:name w:val="FWBanking1_L1"/>
    <w:basedOn w:val="Normal"/>
    <w:next w:val="FWBanking1L2"/>
    <w:rsid w:val="00723DC7"/>
    <w:pPr>
      <w:keepNext/>
      <w:keepLines/>
      <w:numPr>
        <w:numId w:val="16"/>
      </w:numPr>
      <w:spacing w:before="0" w:after="240"/>
      <w:jc w:val="left"/>
      <w:outlineLvl w:val="0"/>
    </w:pPr>
    <w:rPr>
      <w:b/>
      <w:caps/>
      <w:sz w:val="22"/>
      <w:szCs w:val="20"/>
    </w:rPr>
  </w:style>
  <w:style w:type="paragraph" w:customStyle="1" w:styleId="FWBanking1L2">
    <w:name w:val="FWBanking1_L2"/>
    <w:basedOn w:val="FWBanking1L1"/>
    <w:next w:val="FWBanking1L3"/>
    <w:rsid w:val="00723DC7"/>
    <w:pPr>
      <w:keepLines w:val="0"/>
      <w:numPr>
        <w:ilvl w:val="1"/>
      </w:numPr>
      <w:outlineLvl w:val="9"/>
    </w:pPr>
    <w:rPr>
      <w:caps w:val="0"/>
    </w:rPr>
  </w:style>
  <w:style w:type="paragraph" w:customStyle="1" w:styleId="FWBanking1L3">
    <w:name w:val="FWBanking1_L3"/>
    <w:basedOn w:val="FWBanking1L2"/>
    <w:rsid w:val="00723DC7"/>
    <w:pPr>
      <w:keepNext w:val="0"/>
      <w:numPr>
        <w:ilvl w:val="2"/>
      </w:numPr>
      <w:jc w:val="both"/>
    </w:pPr>
    <w:rPr>
      <w:b w:val="0"/>
    </w:rPr>
  </w:style>
  <w:style w:type="paragraph" w:customStyle="1" w:styleId="FWBanking1L4">
    <w:name w:val="FWBanking1_L4"/>
    <w:basedOn w:val="FWBanking1L3"/>
    <w:rsid w:val="00723DC7"/>
    <w:pPr>
      <w:numPr>
        <w:ilvl w:val="3"/>
      </w:numPr>
    </w:pPr>
  </w:style>
  <w:style w:type="paragraph" w:customStyle="1" w:styleId="FWBanking1L5">
    <w:name w:val="FWBanking1_L5"/>
    <w:basedOn w:val="FWBanking1L4"/>
    <w:rsid w:val="00723DC7"/>
    <w:pPr>
      <w:numPr>
        <w:ilvl w:val="4"/>
      </w:numPr>
    </w:pPr>
  </w:style>
  <w:style w:type="paragraph" w:customStyle="1" w:styleId="FWBanking1L6">
    <w:name w:val="FWBanking1_L6"/>
    <w:basedOn w:val="FWBanking1L5"/>
    <w:rsid w:val="00723DC7"/>
    <w:pPr>
      <w:numPr>
        <w:ilvl w:val="5"/>
      </w:numPr>
    </w:pPr>
  </w:style>
  <w:style w:type="paragraph" w:customStyle="1" w:styleId="FWBanking1L7">
    <w:name w:val="FWBanking1_L7"/>
    <w:basedOn w:val="FWBanking1L6"/>
    <w:rsid w:val="00723DC7"/>
    <w:pPr>
      <w:numPr>
        <w:ilvl w:val="6"/>
      </w:numPr>
    </w:pPr>
  </w:style>
  <w:style w:type="paragraph" w:customStyle="1" w:styleId="FWBanking1L8">
    <w:name w:val="FWBanking1_L8"/>
    <w:basedOn w:val="FWBanking1L7"/>
    <w:rsid w:val="00723DC7"/>
    <w:pPr>
      <w:numPr>
        <w:ilvl w:val="7"/>
      </w:numPr>
    </w:pPr>
  </w:style>
  <w:style w:type="paragraph" w:customStyle="1" w:styleId="Style36">
    <w:name w:val="Style36"/>
    <w:basedOn w:val="Normal"/>
    <w:rsid w:val="00BF553B"/>
    <w:pPr>
      <w:spacing w:before="0" w:after="0" w:line="230" w:lineRule="exact"/>
    </w:pPr>
    <w:rPr>
      <w:lang w:eastAsia="en-GB"/>
    </w:rPr>
  </w:style>
  <w:style w:type="paragraph" w:customStyle="1" w:styleId="Style43">
    <w:name w:val="Style43"/>
    <w:basedOn w:val="Normal"/>
    <w:rsid w:val="00BF553B"/>
    <w:pPr>
      <w:spacing w:before="0" w:after="0"/>
      <w:jc w:val="left"/>
    </w:pPr>
    <w:rPr>
      <w:lang w:eastAsia="en-GB"/>
    </w:rPr>
  </w:style>
  <w:style w:type="paragraph" w:customStyle="1" w:styleId="Style56">
    <w:name w:val="Style56"/>
    <w:basedOn w:val="Normal"/>
    <w:rsid w:val="00BF553B"/>
    <w:pPr>
      <w:spacing w:before="0" w:after="0"/>
    </w:pPr>
    <w:rPr>
      <w:lang w:eastAsia="en-GB"/>
    </w:rPr>
  </w:style>
  <w:style w:type="paragraph" w:customStyle="1" w:styleId="Style73">
    <w:name w:val="Style73"/>
    <w:basedOn w:val="Normal"/>
    <w:rsid w:val="00BF553B"/>
    <w:pPr>
      <w:spacing w:before="0" w:after="0" w:line="230" w:lineRule="exact"/>
      <w:ind w:hanging="187"/>
      <w:jc w:val="left"/>
    </w:pPr>
    <w:rPr>
      <w:lang w:eastAsia="en-GB"/>
    </w:rPr>
  </w:style>
  <w:style w:type="paragraph" w:customStyle="1" w:styleId="Style79">
    <w:name w:val="Style79"/>
    <w:basedOn w:val="Normal"/>
    <w:rsid w:val="00BF553B"/>
    <w:pPr>
      <w:spacing w:before="0" w:after="0" w:line="230" w:lineRule="exact"/>
      <w:ind w:hanging="547"/>
      <w:jc w:val="left"/>
    </w:pPr>
    <w:rPr>
      <w:lang w:eastAsia="en-GB"/>
    </w:rPr>
  </w:style>
  <w:style w:type="character" w:customStyle="1" w:styleId="FontStyle221">
    <w:name w:val="Font Style221"/>
    <w:rsid w:val="00BF553B"/>
    <w:rPr>
      <w:rFonts w:ascii="Arial Black" w:hAnsi="Arial Black" w:cs="Arial Black"/>
      <w:color w:val="000000"/>
      <w:sz w:val="10"/>
      <w:szCs w:val="10"/>
    </w:rPr>
  </w:style>
  <w:style w:type="paragraph" w:customStyle="1" w:styleId="PILevel2">
    <w:name w:val="PI Level 2"/>
    <w:basedOn w:val="Normal"/>
    <w:next w:val="Normal"/>
    <w:rsid w:val="00BF553B"/>
    <w:pPr>
      <w:spacing w:before="0" w:after="0"/>
      <w:jc w:val="left"/>
      <w:outlineLvl w:val="1"/>
    </w:pPr>
    <w:rPr>
      <w:b/>
      <w:lang w:eastAsia="en-GB"/>
    </w:rPr>
  </w:style>
  <w:style w:type="paragraph" w:customStyle="1" w:styleId="PILevel4">
    <w:name w:val="PI Level 4"/>
    <w:basedOn w:val="Normal"/>
    <w:next w:val="Normal"/>
    <w:rsid w:val="00BF553B"/>
    <w:pPr>
      <w:spacing w:before="0" w:after="0"/>
      <w:jc w:val="left"/>
      <w:outlineLvl w:val="3"/>
    </w:pPr>
    <w:rPr>
      <w:i/>
      <w:lang w:eastAsia="en-GB"/>
    </w:rPr>
  </w:style>
  <w:style w:type="paragraph" w:customStyle="1" w:styleId="la24">
    <w:name w:val="la24"/>
    <w:basedOn w:val="Normal"/>
    <w:next w:val="Normal"/>
    <w:rsid w:val="00DD4FD5"/>
    <w:pPr>
      <w:spacing w:line="40" w:lineRule="exact"/>
    </w:pPr>
    <w:rPr>
      <w:noProof/>
      <w:sz w:val="8"/>
      <w:szCs w:val="8"/>
      <w:lang w:val="en-US"/>
    </w:rPr>
  </w:style>
  <w:style w:type="paragraph" w:customStyle="1" w:styleId="rrdsinglerule4">
    <w:name w:val="rrdsinglerule4"/>
    <w:basedOn w:val="Normal"/>
    <w:next w:val="Normal"/>
    <w:rsid w:val="00DD4FD5"/>
    <w:pPr>
      <w:pBdr>
        <w:top w:val="single" w:sz="8" w:space="1" w:color="auto"/>
      </w:pBdr>
      <w:spacing w:before="20" w:line="20" w:lineRule="exact"/>
      <w:jc w:val="center"/>
    </w:pPr>
    <w:rPr>
      <w:sz w:val="8"/>
      <w:szCs w:val="8"/>
      <w:lang w:val="en-US"/>
    </w:rPr>
  </w:style>
  <w:style w:type="character" w:customStyle="1" w:styleId="Style8pt">
    <w:name w:val="Style 8 pt"/>
    <w:rsid w:val="00DD4FD5"/>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3419">
      <w:bodyDiv w:val="1"/>
      <w:marLeft w:val="0"/>
      <w:marRight w:val="0"/>
      <w:marTop w:val="0"/>
      <w:marBottom w:val="0"/>
      <w:divBdr>
        <w:top w:val="none" w:sz="0" w:space="0" w:color="auto"/>
        <w:left w:val="none" w:sz="0" w:space="0" w:color="auto"/>
        <w:bottom w:val="none" w:sz="0" w:space="0" w:color="auto"/>
        <w:right w:val="none" w:sz="0" w:space="0" w:color="auto"/>
      </w:divBdr>
    </w:div>
    <w:div w:id="163470559">
      <w:bodyDiv w:val="1"/>
      <w:marLeft w:val="0"/>
      <w:marRight w:val="0"/>
      <w:marTop w:val="0"/>
      <w:marBottom w:val="0"/>
      <w:divBdr>
        <w:top w:val="none" w:sz="0" w:space="0" w:color="auto"/>
        <w:left w:val="none" w:sz="0" w:space="0" w:color="auto"/>
        <w:bottom w:val="none" w:sz="0" w:space="0" w:color="auto"/>
        <w:right w:val="none" w:sz="0" w:space="0" w:color="auto"/>
      </w:divBdr>
    </w:div>
    <w:div w:id="257032205">
      <w:bodyDiv w:val="1"/>
      <w:marLeft w:val="0"/>
      <w:marRight w:val="0"/>
      <w:marTop w:val="0"/>
      <w:marBottom w:val="0"/>
      <w:divBdr>
        <w:top w:val="none" w:sz="0" w:space="0" w:color="auto"/>
        <w:left w:val="none" w:sz="0" w:space="0" w:color="auto"/>
        <w:bottom w:val="none" w:sz="0" w:space="0" w:color="auto"/>
        <w:right w:val="none" w:sz="0" w:space="0" w:color="auto"/>
      </w:divBdr>
    </w:div>
    <w:div w:id="410858701">
      <w:bodyDiv w:val="1"/>
      <w:marLeft w:val="0"/>
      <w:marRight w:val="0"/>
      <w:marTop w:val="0"/>
      <w:marBottom w:val="0"/>
      <w:divBdr>
        <w:top w:val="none" w:sz="0" w:space="0" w:color="auto"/>
        <w:left w:val="none" w:sz="0" w:space="0" w:color="auto"/>
        <w:bottom w:val="none" w:sz="0" w:space="0" w:color="auto"/>
        <w:right w:val="none" w:sz="0" w:space="0" w:color="auto"/>
      </w:divBdr>
    </w:div>
    <w:div w:id="633877988">
      <w:bodyDiv w:val="1"/>
      <w:marLeft w:val="0"/>
      <w:marRight w:val="0"/>
      <w:marTop w:val="0"/>
      <w:marBottom w:val="0"/>
      <w:divBdr>
        <w:top w:val="none" w:sz="0" w:space="0" w:color="auto"/>
        <w:left w:val="none" w:sz="0" w:space="0" w:color="auto"/>
        <w:bottom w:val="none" w:sz="0" w:space="0" w:color="auto"/>
        <w:right w:val="none" w:sz="0" w:space="0" w:color="auto"/>
      </w:divBdr>
    </w:div>
    <w:div w:id="718209271">
      <w:bodyDiv w:val="1"/>
      <w:marLeft w:val="0"/>
      <w:marRight w:val="0"/>
      <w:marTop w:val="0"/>
      <w:marBottom w:val="0"/>
      <w:divBdr>
        <w:top w:val="none" w:sz="0" w:space="0" w:color="auto"/>
        <w:left w:val="none" w:sz="0" w:space="0" w:color="auto"/>
        <w:bottom w:val="none" w:sz="0" w:space="0" w:color="auto"/>
        <w:right w:val="none" w:sz="0" w:space="0" w:color="auto"/>
      </w:divBdr>
    </w:div>
    <w:div w:id="736244581">
      <w:bodyDiv w:val="1"/>
      <w:marLeft w:val="0"/>
      <w:marRight w:val="0"/>
      <w:marTop w:val="0"/>
      <w:marBottom w:val="0"/>
      <w:divBdr>
        <w:top w:val="none" w:sz="0" w:space="0" w:color="auto"/>
        <w:left w:val="none" w:sz="0" w:space="0" w:color="auto"/>
        <w:bottom w:val="none" w:sz="0" w:space="0" w:color="auto"/>
        <w:right w:val="none" w:sz="0" w:space="0" w:color="auto"/>
      </w:divBdr>
    </w:div>
    <w:div w:id="809370161">
      <w:bodyDiv w:val="1"/>
      <w:marLeft w:val="0"/>
      <w:marRight w:val="0"/>
      <w:marTop w:val="0"/>
      <w:marBottom w:val="0"/>
      <w:divBdr>
        <w:top w:val="none" w:sz="0" w:space="0" w:color="auto"/>
        <w:left w:val="none" w:sz="0" w:space="0" w:color="auto"/>
        <w:bottom w:val="none" w:sz="0" w:space="0" w:color="auto"/>
        <w:right w:val="none" w:sz="0" w:space="0" w:color="auto"/>
      </w:divBdr>
    </w:div>
    <w:div w:id="981739300">
      <w:bodyDiv w:val="1"/>
      <w:marLeft w:val="0"/>
      <w:marRight w:val="0"/>
      <w:marTop w:val="0"/>
      <w:marBottom w:val="0"/>
      <w:divBdr>
        <w:top w:val="none" w:sz="0" w:space="0" w:color="auto"/>
        <w:left w:val="none" w:sz="0" w:space="0" w:color="auto"/>
        <w:bottom w:val="none" w:sz="0" w:space="0" w:color="auto"/>
        <w:right w:val="none" w:sz="0" w:space="0" w:color="auto"/>
      </w:divBdr>
    </w:div>
    <w:div w:id="1054232006">
      <w:bodyDiv w:val="1"/>
      <w:marLeft w:val="0"/>
      <w:marRight w:val="0"/>
      <w:marTop w:val="0"/>
      <w:marBottom w:val="0"/>
      <w:divBdr>
        <w:top w:val="none" w:sz="0" w:space="0" w:color="auto"/>
        <w:left w:val="none" w:sz="0" w:space="0" w:color="auto"/>
        <w:bottom w:val="none" w:sz="0" w:space="0" w:color="auto"/>
        <w:right w:val="none" w:sz="0" w:space="0" w:color="auto"/>
      </w:divBdr>
    </w:div>
    <w:div w:id="1113481735">
      <w:bodyDiv w:val="1"/>
      <w:marLeft w:val="0"/>
      <w:marRight w:val="0"/>
      <w:marTop w:val="0"/>
      <w:marBottom w:val="0"/>
      <w:divBdr>
        <w:top w:val="none" w:sz="0" w:space="0" w:color="auto"/>
        <w:left w:val="none" w:sz="0" w:space="0" w:color="auto"/>
        <w:bottom w:val="none" w:sz="0" w:space="0" w:color="auto"/>
        <w:right w:val="none" w:sz="0" w:space="0" w:color="auto"/>
      </w:divBdr>
    </w:div>
    <w:div w:id="1430656578">
      <w:bodyDiv w:val="1"/>
      <w:marLeft w:val="0"/>
      <w:marRight w:val="0"/>
      <w:marTop w:val="0"/>
      <w:marBottom w:val="0"/>
      <w:divBdr>
        <w:top w:val="none" w:sz="0" w:space="0" w:color="auto"/>
        <w:left w:val="none" w:sz="0" w:space="0" w:color="auto"/>
        <w:bottom w:val="none" w:sz="0" w:space="0" w:color="auto"/>
        <w:right w:val="none" w:sz="0" w:space="0" w:color="auto"/>
      </w:divBdr>
    </w:div>
    <w:div w:id="1482966013">
      <w:bodyDiv w:val="1"/>
      <w:marLeft w:val="0"/>
      <w:marRight w:val="0"/>
      <w:marTop w:val="0"/>
      <w:marBottom w:val="0"/>
      <w:divBdr>
        <w:top w:val="none" w:sz="0" w:space="0" w:color="auto"/>
        <w:left w:val="none" w:sz="0" w:space="0" w:color="auto"/>
        <w:bottom w:val="none" w:sz="0" w:space="0" w:color="auto"/>
        <w:right w:val="none" w:sz="0" w:space="0" w:color="auto"/>
      </w:divBdr>
    </w:div>
    <w:div w:id="1498418082">
      <w:bodyDiv w:val="1"/>
      <w:marLeft w:val="0"/>
      <w:marRight w:val="0"/>
      <w:marTop w:val="0"/>
      <w:marBottom w:val="0"/>
      <w:divBdr>
        <w:top w:val="none" w:sz="0" w:space="0" w:color="auto"/>
        <w:left w:val="none" w:sz="0" w:space="0" w:color="auto"/>
        <w:bottom w:val="none" w:sz="0" w:space="0" w:color="auto"/>
        <w:right w:val="none" w:sz="0" w:space="0" w:color="auto"/>
      </w:divBdr>
    </w:div>
    <w:div w:id="1508787058">
      <w:bodyDiv w:val="1"/>
      <w:marLeft w:val="0"/>
      <w:marRight w:val="0"/>
      <w:marTop w:val="0"/>
      <w:marBottom w:val="0"/>
      <w:divBdr>
        <w:top w:val="none" w:sz="0" w:space="0" w:color="auto"/>
        <w:left w:val="none" w:sz="0" w:space="0" w:color="auto"/>
        <w:bottom w:val="none" w:sz="0" w:space="0" w:color="auto"/>
        <w:right w:val="none" w:sz="0" w:space="0" w:color="auto"/>
      </w:divBdr>
    </w:div>
    <w:div w:id="1541549914">
      <w:bodyDiv w:val="1"/>
      <w:marLeft w:val="0"/>
      <w:marRight w:val="0"/>
      <w:marTop w:val="0"/>
      <w:marBottom w:val="0"/>
      <w:divBdr>
        <w:top w:val="none" w:sz="0" w:space="0" w:color="auto"/>
        <w:left w:val="none" w:sz="0" w:space="0" w:color="auto"/>
        <w:bottom w:val="none" w:sz="0" w:space="0" w:color="auto"/>
        <w:right w:val="none" w:sz="0" w:space="0" w:color="auto"/>
      </w:divBdr>
    </w:div>
    <w:div w:id="1552811249">
      <w:bodyDiv w:val="1"/>
      <w:marLeft w:val="0"/>
      <w:marRight w:val="0"/>
      <w:marTop w:val="0"/>
      <w:marBottom w:val="0"/>
      <w:divBdr>
        <w:top w:val="none" w:sz="0" w:space="0" w:color="auto"/>
        <w:left w:val="none" w:sz="0" w:space="0" w:color="auto"/>
        <w:bottom w:val="none" w:sz="0" w:space="0" w:color="auto"/>
        <w:right w:val="none" w:sz="0" w:space="0" w:color="auto"/>
      </w:divBdr>
    </w:div>
    <w:div w:id="1798864895">
      <w:bodyDiv w:val="1"/>
      <w:marLeft w:val="0"/>
      <w:marRight w:val="0"/>
      <w:marTop w:val="0"/>
      <w:marBottom w:val="0"/>
      <w:divBdr>
        <w:top w:val="none" w:sz="0" w:space="0" w:color="auto"/>
        <w:left w:val="none" w:sz="0" w:space="0" w:color="auto"/>
        <w:bottom w:val="none" w:sz="0" w:space="0" w:color="auto"/>
        <w:right w:val="none" w:sz="0" w:space="0" w:color="auto"/>
      </w:divBdr>
    </w:div>
    <w:div w:id="2018382059">
      <w:bodyDiv w:val="1"/>
      <w:marLeft w:val="0"/>
      <w:marRight w:val="0"/>
      <w:marTop w:val="0"/>
      <w:marBottom w:val="0"/>
      <w:divBdr>
        <w:top w:val="none" w:sz="0" w:space="0" w:color="auto"/>
        <w:left w:val="none" w:sz="0" w:space="0" w:color="auto"/>
        <w:bottom w:val="none" w:sz="0" w:space="0" w:color="auto"/>
        <w:right w:val="none" w:sz="0" w:space="0" w:color="auto"/>
      </w:divBdr>
    </w:div>
    <w:div w:id="2052463255">
      <w:bodyDiv w:val="1"/>
      <w:marLeft w:val="0"/>
      <w:marRight w:val="0"/>
      <w:marTop w:val="0"/>
      <w:marBottom w:val="0"/>
      <w:divBdr>
        <w:top w:val="none" w:sz="0" w:space="0" w:color="auto"/>
        <w:left w:val="none" w:sz="0" w:space="0" w:color="auto"/>
        <w:bottom w:val="none" w:sz="0" w:space="0" w:color="auto"/>
        <w:right w:val="none" w:sz="0" w:space="0" w:color="auto"/>
      </w:divBdr>
    </w:div>
    <w:div w:id="2054889455">
      <w:bodyDiv w:val="1"/>
      <w:marLeft w:val="0"/>
      <w:marRight w:val="0"/>
      <w:marTop w:val="0"/>
      <w:marBottom w:val="0"/>
      <w:divBdr>
        <w:top w:val="none" w:sz="0" w:space="0" w:color="auto"/>
        <w:left w:val="none" w:sz="0" w:space="0" w:color="auto"/>
        <w:bottom w:val="none" w:sz="0" w:space="0" w:color="auto"/>
        <w:right w:val="none" w:sz="0" w:space="0" w:color="auto"/>
      </w:divBdr>
    </w:div>
    <w:div w:id="208857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greenyardfoods.com" TargetMode="External"/><Relationship Id="rId18" Type="http://schemas.openxmlformats.org/officeDocument/2006/relationships/image" Target="media/image4.emf"/><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image" Target="media/image1.jpeg"/><Relationship Id="rId12" Type="http://schemas.openxmlformats.org/officeDocument/2006/relationships/hyperlink" Target="http://www.greenyardfoods.com" TargetMode="External"/><Relationship Id="rId17" Type="http://schemas.openxmlformats.org/officeDocument/2006/relationships/oleObject" Target="embeddings/oleObject1.bin"/><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reenyardfoods.com" TargetMode="External"/><Relationship Id="rId24" Type="http://schemas.openxmlformats.org/officeDocument/2006/relationships/hyperlink" Target="http://www.fsma"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greenyardfoods.com"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greenyardfoods.com" TargetMode="External"/><Relationship Id="rId22" Type="http://schemas.openxmlformats.org/officeDocument/2006/relationships/hyperlink" Target="http://www.greenyardfoods.co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The%20Sackett%20Group\MacPac\Templates\Blank_A4_Portrai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Blank_A4_Portrait.dotm</Template>
  <TotalTime>0</TotalTime>
  <Pages>1</Pages>
  <Words>110987</Words>
  <Characters>632627</Characters>
  <Application>Microsoft Office Word</Application>
  <DocSecurity>0</DocSecurity>
  <Lines>5271</Lines>
  <Paragraphs>1484</Paragraphs>
  <ScaleCrop>false</ScaleCrop>
  <HeadingPairs>
    <vt:vector size="2" baseType="variant">
      <vt:variant>
        <vt:lpstr>Title</vt:lpstr>
      </vt:variant>
      <vt:variant>
        <vt:i4>1</vt:i4>
      </vt:variant>
    </vt:vector>
  </HeadingPairs>
  <TitlesOfParts>
    <vt:vector size="1" baseType="lpstr">
      <vt:lpstr> </vt:lpstr>
    </vt:vector>
  </TitlesOfParts>
  <Company>Freshfields Bruckhaus Deringer</Company>
  <LinksUpToDate>false</LinksUpToDate>
  <CharactersWithSpaces>742130</CharactersWithSpaces>
  <SharedDoc>false</SharedDoc>
  <HLinks>
    <vt:vector size="864" baseType="variant">
      <vt:variant>
        <vt:i4>983106</vt:i4>
      </vt:variant>
      <vt:variant>
        <vt:i4>858</vt:i4>
      </vt:variant>
      <vt:variant>
        <vt:i4>0</vt:i4>
      </vt:variant>
      <vt:variant>
        <vt:i4>5</vt:i4>
      </vt:variant>
      <vt:variant>
        <vt:lpwstr>http://www.fsma/</vt:lpwstr>
      </vt:variant>
      <vt:variant>
        <vt:lpwstr/>
      </vt:variant>
      <vt:variant>
        <vt:i4>2555960</vt:i4>
      </vt:variant>
      <vt:variant>
        <vt:i4>855</vt:i4>
      </vt:variant>
      <vt:variant>
        <vt:i4>0</vt:i4>
      </vt:variant>
      <vt:variant>
        <vt:i4>5</vt:i4>
      </vt:variant>
      <vt:variant>
        <vt:lpwstr>http://www.greenyardfoods.com/</vt:lpwstr>
      </vt:variant>
      <vt:variant>
        <vt:lpwstr/>
      </vt:variant>
      <vt:variant>
        <vt:i4>2555960</vt:i4>
      </vt:variant>
      <vt:variant>
        <vt:i4>852</vt:i4>
      </vt:variant>
      <vt:variant>
        <vt:i4>0</vt:i4>
      </vt:variant>
      <vt:variant>
        <vt:i4>5</vt:i4>
      </vt:variant>
      <vt:variant>
        <vt:lpwstr>http://www.greenyardfoods.com/</vt:lpwstr>
      </vt:variant>
      <vt:variant>
        <vt:lpwstr/>
      </vt:variant>
      <vt:variant>
        <vt:i4>2555960</vt:i4>
      </vt:variant>
      <vt:variant>
        <vt:i4>843</vt:i4>
      </vt:variant>
      <vt:variant>
        <vt:i4>0</vt:i4>
      </vt:variant>
      <vt:variant>
        <vt:i4>5</vt:i4>
      </vt:variant>
      <vt:variant>
        <vt:lpwstr>http://www.greenyardfoods.com/</vt:lpwstr>
      </vt:variant>
      <vt:variant>
        <vt:lpwstr/>
      </vt:variant>
      <vt:variant>
        <vt:i4>1376308</vt:i4>
      </vt:variant>
      <vt:variant>
        <vt:i4>827</vt:i4>
      </vt:variant>
      <vt:variant>
        <vt:i4>0</vt:i4>
      </vt:variant>
      <vt:variant>
        <vt:i4>5</vt:i4>
      </vt:variant>
      <vt:variant>
        <vt:lpwstr/>
      </vt:variant>
      <vt:variant>
        <vt:lpwstr>_Toc420593963</vt:lpwstr>
      </vt:variant>
      <vt:variant>
        <vt:i4>1376308</vt:i4>
      </vt:variant>
      <vt:variant>
        <vt:i4>821</vt:i4>
      </vt:variant>
      <vt:variant>
        <vt:i4>0</vt:i4>
      </vt:variant>
      <vt:variant>
        <vt:i4>5</vt:i4>
      </vt:variant>
      <vt:variant>
        <vt:lpwstr/>
      </vt:variant>
      <vt:variant>
        <vt:lpwstr>_Toc420593962</vt:lpwstr>
      </vt:variant>
      <vt:variant>
        <vt:i4>1376308</vt:i4>
      </vt:variant>
      <vt:variant>
        <vt:i4>815</vt:i4>
      </vt:variant>
      <vt:variant>
        <vt:i4>0</vt:i4>
      </vt:variant>
      <vt:variant>
        <vt:i4>5</vt:i4>
      </vt:variant>
      <vt:variant>
        <vt:lpwstr/>
      </vt:variant>
      <vt:variant>
        <vt:lpwstr>_Toc420593961</vt:lpwstr>
      </vt:variant>
      <vt:variant>
        <vt:i4>1376308</vt:i4>
      </vt:variant>
      <vt:variant>
        <vt:i4>809</vt:i4>
      </vt:variant>
      <vt:variant>
        <vt:i4>0</vt:i4>
      </vt:variant>
      <vt:variant>
        <vt:i4>5</vt:i4>
      </vt:variant>
      <vt:variant>
        <vt:lpwstr/>
      </vt:variant>
      <vt:variant>
        <vt:lpwstr>_Toc420593960</vt:lpwstr>
      </vt:variant>
      <vt:variant>
        <vt:i4>1441844</vt:i4>
      </vt:variant>
      <vt:variant>
        <vt:i4>803</vt:i4>
      </vt:variant>
      <vt:variant>
        <vt:i4>0</vt:i4>
      </vt:variant>
      <vt:variant>
        <vt:i4>5</vt:i4>
      </vt:variant>
      <vt:variant>
        <vt:lpwstr/>
      </vt:variant>
      <vt:variant>
        <vt:lpwstr>_Toc420593959</vt:lpwstr>
      </vt:variant>
      <vt:variant>
        <vt:i4>1441844</vt:i4>
      </vt:variant>
      <vt:variant>
        <vt:i4>797</vt:i4>
      </vt:variant>
      <vt:variant>
        <vt:i4>0</vt:i4>
      </vt:variant>
      <vt:variant>
        <vt:i4>5</vt:i4>
      </vt:variant>
      <vt:variant>
        <vt:lpwstr/>
      </vt:variant>
      <vt:variant>
        <vt:lpwstr>_Toc420593958</vt:lpwstr>
      </vt:variant>
      <vt:variant>
        <vt:i4>1441844</vt:i4>
      </vt:variant>
      <vt:variant>
        <vt:i4>791</vt:i4>
      </vt:variant>
      <vt:variant>
        <vt:i4>0</vt:i4>
      </vt:variant>
      <vt:variant>
        <vt:i4>5</vt:i4>
      </vt:variant>
      <vt:variant>
        <vt:lpwstr/>
      </vt:variant>
      <vt:variant>
        <vt:lpwstr>_Toc420593957</vt:lpwstr>
      </vt:variant>
      <vt:variant>
        <vt:i4>1441844</vt:i4>
      </vt:variant>
      <vt:variant>
        <vt:i4>785</vt:i4>
      </vt:variant>
      <vt:variant>
        <vt:i4>0</vt:i4>
      </vt:variant>
      <vt:variant>
        <vt:i4>5</vt:i4>
      </vt:variant>
      <vt:variant>
        <vt:lpwstr/>
      </vt:variant>
      <vt:variant>
        <vt:lpwstr>_Toc420593956</vt:lpwstr>
      </vt:variant>
      <vt:variant>
        <vt:i4>1441844</vt:i4>
      </vt:variant>
      <vt:variant>
        <vt:i4>779</vt:i4>
      </vt:variant>
      <vt:variant>
        <vt:i4>0</vt:i4>
      </vt:variant>
      <vt:variant>
        <vt:i4>5</vt:i4>
      </vt:variant>
      <vt:variant>
        <vt:lpwstr/>
      </vt:variant>
      <vt:variant>
        <vt:lpwstr>_Toc420593955</vt:lpwstr>
      </vt:variant>
      <vt:variant>
        <vt:i4>1441844</vt:i4>
      </vt:variant>
      <vt:variant>
        <vt:i4>773</vt:i4>
      </vt:variant>
      <vt:variant>
        <vt:i4>0</vt:i4>
      </vt:variant>
      <vt:variant>
        <vt:i4>5</vt:i4>
      </vt:variant>
      <vt:variant>
        <vt:lpwstr/>
      </vt:variant>
      <vt:variant>
        <vt:lpwstr>_Toc420593954</vt:lpwstr>
      </vt:variant>
      <vt:variant>
        <vt:i4>1441844</vt:i4>
      </vt:variant>
      <vt:variant>
        <vt:i4>767</vt:i4>
      </vt:variant>
      <vt:variant>
        <vt:i4>0</vt:i4>
      </vt:variant>
      <vt:variant>
        <vt:i4>5</vt:i4>
      </vt:variant>
      <vt:variant>
        <vt:lpwstr/>
      </vt:variant>
      <vt:variant>
        <vt:lpwstr>_Toc420593953</vt:lpwstr>
      </vt:variant>
      <vt:variant>
        <vt:i4>1441844</vt:i4>
      </vt:variant>
      <vt:variant>
        <vt:i4>761</vt:i4>
      </vt:variant>
      <vt:variant>
        <vt:i4>0</vt:i4>
      </vt:variant>
      <vt:variant>
        <vt:i4>5</vt:i4>
      </vt:variant>
      <vt:variant>
        <vt:lpwstr/>
      </vt:variant>
      <vt:variant>
        <vt:lpwstr>_Toc420593952</vt:lpwstr>
      </vt:variant>
      <vt:variant>
        <vt:i4>1441844</vt:i4>
      </vt:variant>
      <vt:variant>
        <vt:i4>755</vt:i4>
      </vt:variant>
      <vt:variant>
        <vt:i4>0</vt:i4>
      </vt:variant>
      <vt:variant>
        <vt:i4>5</vt:i4>
      </vt:variant>
      <vt:variant>
        <vt:lpwstr/>
      </vt:variant>
      <vt:variant>
        <vt:lpwstr>_Toc420593951</vt:lpwstr>
      </vt:variant>
      <vt:variant>
        <vt:i4>1441844</vt:i4>
      </vt:variant>
      <vt:variant>
        <vt:i4>749</vt:i4>
      </vt:variant>
      <vt:variant>
        <vt:i4>0</vt:i4>
      </vt:variant>
      <vt:variant>
        <vt:i4>5</vt:i4>
      </vt:variant>
      <vt:variant>
        <vt:lpwstr/>
      </vt:variant>
      <vt:variant>
        <vt:lpwstr>_Toc420593950</vt:lpwstr>
      </vt:variant>
      <vt:variant>
        <vt:i4>1507380</vt:i4>
      </vt:variant>
      <vt:variant>
        <vt:i4>743</vt:i4>
      </vt:variant>
      <vt:variant>
        <vt:i4>0</vt:i4>
      </vt:variant>
      <vt:variant>
        <vt:i4>5</vt:i4>
      </vt:variant>
      <vt:variant>
        <vt:lpwstr/>
      </vt:variant>
      <vt:variant>
        <vt:lpwstr>_Toc420593949</vt:lpwstr>
      </vt:variant>
      <vt:variant>
        <vt:i4>1507380</vt:i4>
      </vt:variant>
      <vt:variant>
        <vt:i4>737</vt:i4>
      </vt:variant>
      <vt:variant>
        <vt:i4>0</vt:i4>
      </vt:variant>
      <vt:variant>
        <vt:i4>5</vt:i4>
      </vt:variant>
      <vt:variant>
        <vt:lpwstr/>
      </vt:variant>
      <vt:variant>
        <vt:lpwstr>_Toc420593948</vt:lpwstr>
      </vt:variant>
      <vt:variant>
        <vt:i4>1507380</vt:i4>
      </vt:variant>
      <vt:variant>
        <vt:i4>731</vt:i4>
      </vt:variant>
      <vt:variant>
        <vt:i4>0</vt:i4>
      </vt:variant>
      <vt:variant>
        <vt:i4>5</vt:i4>
      </vt:variant>
      <vt:variant>
        <vt:lpwstr/>
      </vt:variant>
      <vt:variant>
        <vt:lpwstr>_Toc420593947</vt:lpwstr>
      </vt:variant>
      <vt:variant>
        <vt:i4>1507380</vt:i4>
      </vt:variant>
      <vt:variant>
        <vt:i4>725</vt:i4>
      </vt:variant>
      <vt:variant>
        <vt:i4>0</vt:i4>
      </vt:variant>
      <vt:variant>
        <vt:i4>5</vt:i4>
      </vt:variant>
      <vt:variant>
        <vt:lpwstr/>
      </vt:variant>
      <vt:variant>
        <vt:lpwstr>_Toc420593946</vt:lpwstr>
      </vt:variant>
      <vt:variant>
        <vt:i4>1507380</vt:i4>
      </vt:variant>
      <vt:variant>
        <vt:i4>719</vt:i4>
      </vt:variant>
      <vt:variant>
        <vt:i4>0</vt:i4>
      </vt:variant>
      <vt:variant>
        <vt:i4>5</vt:i4>
      </vt:variant>
      <vt:variant>
        <vt:lpwstr/>
      </vt:variant>
      <vt:variant>
        <vt:lpwstr>_Toc420593945</vt:lpwstr>
      </vt:variant>
      <vt:variant>
        <vt:i4>1507380</vt:i4>
      </vt:variant>
      <vt:variant>
        <vt:i4>713</vt:i4>
      </vt:variant>
      <vt:variant>
        <vt:i4>0</vt:i4>
      </vt:variant>
      <vt:variant>
        <vt:i4>5</vt:i4>
      </vt:variant>
      <vt:variant>
        <vt:lpwstr/>
      </vt:variant>
      <vt:variant>
        <vt:lpwstr>_Toc420593944</vt:lpwstr>
      </vt:variant>
      <vt:variant>
        <vt:i4>1507380</vt:i4>
      </vt:variant>
      <vt:variant>
        <vt:i4>707</vt:i4>
      </vt:variant>
      <vt:variant>
        <vt:i4>0</vt:i4>
      </vt:variant>
      <vt:variant>
        <vt:i4>5</vt:i4>
      </vt:variant>
      <vt:variant>
        <vt:lpwstr/>
      </vt:variant>
      <vt:variant>
        <vt:lpwstr>_Toc420593943</vt:lpwstr>
      </vt:variant>
      <vt:variant>
        <vt:i4>1507380</vt:i4>
      </vt:variant>
      <vt:variant>
        <vt:i4>701</vt:i4>
      </vt:variant>
      <vt:variant>
        <vt:i4>0</vt:i4>
      </vt:variant>
      <vt:variant>
        <vt:i4>5</vt:i4>
      </vt:variant>
      <vt:variant>
        <vt:lpwstr/>
      </vt:variant>
      <vt:variant>
        <vt:lpwstr>_Toc420593942</vt:lpwstr>
      </vt:variant>
      <vt:variant>
        <vt:i4>1507380</vt:i4>
      </vt:variant>
      <vt:variant>
        <vt:i4>695</vt:i4>
      </vt:variant>
      <vt:variant>
        <vt:i4>0</vt:i4>
      </vt:variant>
      <vt:variant>
        <vt:i4>5</vt:i4>
      </vt:variant>
      <vt:variant>
        <vt:lpwstr/>
      </vt:variant>
      <vt:variant>
        <vt:lpwstr>_Toc420593941</vt:lpwstr>
      </vt:variant>
      <vt:variant>
        <vt:i4>1507380</vt:i4>
      </vt:variant>
      <vt:variant>
        <vt:i4>689</vt:i4>
      </vt:variant>
      <vt:variant>
        <vt:i4>0</vt:i4>
      </vt:variant>
      <vt:variant>
        <vt:i4>5</vt:i4>
      </vt:variant>
      <vt:variant>
        <vt:lpwstr/>
      </vt:variant>
      <vt:variant>
        <vt:lpwstr>_Toc420593940</vt:lpwstr>
      </vt:variant>
      <vt:variant>
        <vt:i4>1048628</vt:i4>
      </vt:variant>
      <vt:variant>
        <vt:i4>683</vt:i4>
      </vt:variant>
      <vt:variant>
        <vt:i4>0</vt:i4>
      </vt:variant>
      <vt:variant>
        <vt:i4>5</vt:i4>
      </vt:variant>
      <vt:variant>
        <vt:lpwstr/>
      </vt:variant>
      <vt:variant>
        <vt:lpwstr>_Toc420593939</vt:lpwstr>
      </vt:variant>
      <vt:variant>
        <vt:i4>1048628</vt:i4>
      </vt:variant>
      <vt:variant>
        <vt:i4>677</vt:i4>
      </vt:variant>
      <vt:variant>
        <vt:i4>0</vt:i4>
      </vt:variant>
      <vt:variant>
        <vt:i4>5</vt:i4>
      </vt:variant>
      <vt:variant>
        <vt:lpwstr/>
      </vt:variant>
      <vt:variant>
        <vt:lpwstr>_Toc420593938</vt:lpwstr>
      </vt:variant>
      <vt:variant>
        <vt:i4>1048628</vt:i4>
      </vt:variant>
      <vt:variant>
        <vt:i4>671</vt:i4>
      </vt:variant>
      <vt:variant>
        <vt:i4>0</vt:i4>
      </vt:variant>
      <vt:variant>
        <vt:i4>5</vt:i4>
      </vt:variant>
      <vt:variant>
        <vt:lpwstr/>
      </vt:variant>
      <vt:variant>
        <vt:lpwstr>_Toc420593937</vt:lpwstr>
      </vt:variant>
      <vt:variant>
        <vt:i4>1048628</vt:i4>
      </vt:variant>
      <vt:variant>
        <vt:i4>665</vt:i4>
      </vt:variant>
      <vt:variant>
        <vt:i4>0</vt:i4>
      </vt:variant>
      <vt:variant>
        <vt:i4>5</vt:i4>
      </vt:variant>
      <vt:variant>
        <vt:lpwstr/>
      </vt:variant>
      <vt:variant>
        <vt:lpwstr>_Toc420593936</vt:lpwstr>
      </vt:variant>
      <vt:variant>
        <vt:i4>1048628</vt:i4>
      </vt:variant>
      <vt:variant>
        <vt:i4>659</vt:i4>
      </vt:variant>
      <vt:variant>
        <vt:i4>0</vt:i4>
      </vt:variant>
      <vt:variant>
        <vt:i4>5</vt:i4>
      </vt:variant>
      <vt:variant>
        <vt:lpwstr/>
      </vt:variant>
      <vt:variant>
        <vt:lpwstr>_Toc420593935</vt:lpwstr>
      </vt:variant>
      <vt:variant>
        <vt:i4>1048628</vt:i4>
      </vt:variant>
      <vt:variant>
        <vt:i4>653</vt:i4>
      </vt:variant>
      <vt:variant>
        <vt:i4>0</vt:i4>
      </vt:variant>
      <vt:variant>
        <vt:i4>5</vt:i4>
      </vt:variant>
      <vt:variant>
        <vt:lpwstr/>
      </vt:variant>
      <vt:variant>
        <vt:lpwstr>_Toc420593934</vt:lpwstr>
      </vt:variant>
      <vt:variant>
        <vt:i4>1048628</vt:i4>
      </vt:variant>
      <vt:variant>
        <vt:i4>647</vt:i4>
      </vt:variant>
      <vt:variant>
        <vt:i4>0</vt:i4>
      </vt:variant>
      <vt:variant>
        <vt:i4>5</vt:i4>
      </vt:variant>
      <vt:variant>
        <vt:lpwstr/>
      </vt:variant>
      <vt:variant>
        <vt:lpwstr>_Toc420593933</vt:lpwstr>
      </vt:variant>
      <vt:variant>
        <vt:i4>1048628</vt:i4>
      </vt:variant>
      <vt:variant>
        <vt:i4>641</vt:i4>
      </vt:variant>
      <vt:variant>
        <vt:i4>0</vt:i4>
      </vt:variant>
      <vt:variant>
        <vt:i4>5</vt:i4>
      </vt:variant>
      <vt:variant>
        <vt:lpwstr/>
      </vt:variant>
      <vt:variant>
        <vt:lpwstr>_Toc420593932</vt:lpwstr>
      </vt:variant>
      <vt:variant>
        <vt:i4>1048628</vt:i4>
      </vt:variant>
      <vt:variant>
        <vt:i4>635</vt:i4>
      </vt:variant>
      <vt:variant>
        <vt:i4>0</vt:i4>
      </vt:variant>
      <vt:variant>
        <vt:i4>5</vt:i4>
      </vt:variant>
      <vt:variant>
        <vt:lpwstr/>
      </vt:variant>
      <vt:variant>
        <vt:lpwstr>_Toc420593931</vt:lpwstr>
      </vt:variant>
      <vt:variant>
        <vt:i4>1048628</vt:i4>
      </vt:variant>
      <vt:variant>
        <vt:i4>629</vt:i4>
      </vt:variant>
      <vt:variant>
        <vt:i4>0</vt:i4>
      </vt:variant>
      <vt:variant>
        <vt:i4>5</vt:i4>
      </vt:variant>
      <vt:variant>
        <vt:lpwstr/>
      </vt:variant>
      <vt:variant>
        <vt:lpwstr>_Toc420593930</vt:lpwstr>
      </vt:variant>
      <vt:variant>
        <vt:i4>1114164</vt:i4>
      </vt:variant>
      <vt:variant>
        <vt:i4>623</vt:i4>
      </vt:variant>
      <vt:variant>
        <vt:i4>0</vt:i4>
      </vt:variant>
      <vt:variant>
        <vt:i4>5</vt:i4>
      </vt:variant>
      <vt:variant>
        <vt:lpwstr/>
      </vt:variant>
      <vt:variant>
        <vt:lpwstr>_Toc420593929</vt:lpwstr>
      </vt:variant>
      <vt:variant>
        <vt:i4>1114164</vt:i4>
      </vt:variant>
      <vt:variant>
        <vt:i4>617</vt:i4>
      </vt:variant>
      <vt:variant>
        <vt:i4>0</vt:i4>
      </vt:variant>
      <vt:variant>
        <vt:i4>5</vt:i4>
      </vt:variant>
      <vt:variant>
        <vt:lpwstr/>
      </vt:variant>
      <vt:variant>
        <vt:lpwstr>_Toc420593928</vt:lpwstr>
      </vt:variant>
      <vt:variant>
        <vt:i4>1114164</vt:i4>
      </vt:variant>
      <vt:variant>
        <vt:i4>611</vt:i4>
      </vt:variant>
      <vt:variant>
        <vt:i4>0</vt:i4>
      </vt:variant>
      <vt:variant>
        <vt:i4>5</vt:i4>
      </vt:variant>
      <vt:variant>
        <vt:lpwstr/>
      </vt:variant>
      <vt:variant>
        <vt:lpwstr>_Toc420593927</vt:lpwstr>
      </vt:variant>
      <vt:variant>
        <vt:i4>1114164</vt:i4>
      </vt:variant>
      <vt:variant>
        <vt:i4>605</vt:i4>
      </vt:variant>
      <vt:variant>
        <vt:i4>0</vt:i4>
      </vt:variant>
      <vt:variant>
        <vt:i4>5</vt:i4>
      </vt:variant>
      <vt:variant>
        <vt:lpwstr/>
      </vt:variant>
      <vt:variant>
        <vt:lpwstr>_Toc420593926</vt:lpwstr>
      </vt:variant>
      <vt:variant>
        <vt:i4>1114164</vt:i4>
      </vt:variant>
      <vt:variant>
        <vt:i4>599</vt:i4>
      </vt:variant>
      <vt:variant>
        <vt:i4>0</vt:i4>
      </vt:variant>
      <vt:variant>
        <vt:i4>5</vt:i4>
      </vt:variant>
      <vt:variant>
        <vt:lpwstr/>
      </vt:variant>
      <vt:variant>
        <vt:lpwstr>_Toc420593925</vt:lpwstr>
      </vt:variant>
      <vt:variant>
        <vt:i4>1114164</vt:i4>
      </vt:variant>
      <vt:variant>
        <vt:i4>593</vt:i4>
      </vt:variant>
      <vt:variant>
        <vt:i4>0</vt:i4>
      </vt:variant>
      <vt:variant>
        <vt:i4>5</vt:i4>
      </vt:variant>
      <vt:variant>
        <vt:lpwstr/>
      </vt:variant>
      <vt:variant>
        <vt:lpwstr>_Toc420593924</vt:lpwstr>
      </vt:variant>
      <vt:variant>
        <vt:i4>1114164</vt:i4>
      </vt:variant>
      <vt:variant>
        <vt:i4>587</vt:i4>
      </vt:variant>
      <vt:variant>
        <vt:i4>0</vt:i4>
      </vt:variant>
      <vt:variant>
        <vt:i4>5</vt:i4>
      </vt:variant>
      <vt:variant>
        <vt:lpwstr/>
      </vt:variant>
      <vt:variant>
        <vt:lpwstr>_Toc420593923</vt:lpwstr>
      </vt:variant>
      <vt:variant>
        <vt:i4>1114164</vt:i4>
      </vt:variant>
      <vt:variant>
        <vt:i4>581</vt:i4>
      </vt:variant>
      <vt:variant>
        <vt:i4>0</vt:i4>
      </vt:variant>
      <vt:variant>
        <vt:i4>5</vt:i4>
      </vt:variant>
      <vt:variant>
        <vt:lpwstr/>
      </vt:variant>
      <vt:variant>
        <vt:lpwstr>_Toc420593922</vt:lpwstr>
      </vt:variant>
      <vt:variant>
        <vt:i4>1114164</vt:i4>
      </vt:variant>
      <vt:variant>
        <vt:i4>575</vt:i4>
      </vt:variant>
      <vt:variant>
        <vt:i4>0</vt:i4>
      </vt:variant>
      <vt:variant>
        <vt:i4>5</vt:i4>
      </vt:variant>
      <vt:variant>
        <vt:lpwstr/>
      </vt:variant>
      <vt:variant>
        <vt:lpwstr>_Toc420593921</vt:lpwstr>
      </vt:variant>
      <vt:variant>
        <vt:i4>1114164</vt:i4>
      </vt:variant>
      <vt:variant>
        <vt:i4>569</vt:i4>
      </vt:variant>
      <vt:variant>
        <vt:i4>0</vt:i4>
      </vt:variant>
      <vt:variant>
        <vt:i4>5</vt:i4>
      </vt:variant>
      <vt:variant>
        <vt:lpwstr/>
      </vt:variant>
      <vt:variant>
        <vt:lpwstr>_Toc420593920</vt:lpwstr>
      </vt:variant>
      <vt:variant>
        <vt:i4>1179700</vt:i4>
      </vt:variant>
      <vt:variant>
        <vt:i4>563</vt:i4>
      </vt:variant>
      <vt:variant>
        <vt:i4>0</vt:i4>
      </vt:variant>
      <vt:variant>
        <vt:i4>5</vt:i4>
      </vt:variant>
      <vt:variant>
        <vt:lpwstr/>
      </vt:variant>
      <vt:variant>
        <vt:lpwstr>_Toc420593919</vt:lpwstr>
      </vt:variant>
      <vt:variant>
        <vt:i4>1179700</vt:i4>
      </vt:variant>
      <vt:variant>
        <vt:i4>557</vt:i4>
      </vt:variant>
      <vt:variant>
        <vt:i4>0</vt:i4>
      </vt:variant>
      <vt:variant>
        <vt:i4>5</vt:i4>
      </vt:variant>
      <vt:variant>
        <vt:lpwstr/>
      </vt:variant>
      <vt:variant>
        <vt:lpwstr>_Toc420593918</vt:lpwstr>
      </vt:variant>
      <vt:variant>
        <vt:i4>1179700</vt:i4>
      </vt:variant>
      <vt:variant>
        <vt:i4>551</vt:i4>
      </vt:variant>
      <vt:variant>
        <vt:i4>0</vt:i4>
      </vt:variant>
      <vt:variant>
        <vt:i4>5</vt:i4>
      </vt:variant>
      <vt:variant>
        <vt:lpwstr/>
      </vt:variant>
      <vt:variant>
        <vt:lpwstr>_Toc420593917</vt:lpwstr>
      </vt:variant>
      <vt:variant>
        <vt:i4>1179700</vt:i4>
      </vt:variant>
      <vt:variant>
        <vt:i4>545</vt:i4>
      </vt:variant>
      <vt:variant>
        <vt:i4>0</vt:i4>
      </vt:variant>
      <vt:variant>
        <vt:i4>5</vt:i4>
      </vt:variant>
      <vt:variant>
        <vt:lpwstr/>
      </vt:variant>
      <vt:variant>
        <vt:lpwstr>_Toc420593916</vt:lpwstr>
      </vt:variant>
      <vt:variant>
        <vt:i4>1179700</vt:i4>
      </vt:variant>
      <vt:variant>
        <vt:i4>539</vt:i4>
      </vt:variant>
      <vt:variant>
        <vt:i4>0</vt:i4>
      </vt:variant>
      <vt:variant>
        <vt:i4>5</vt:i4>
      </vt:variant>
      <vt:variant>
        <vt:lpwstr/>
      </vt:variant>
      <vt:variant>
        <vt:lpwstr>_Toc420593915</vt:lpwstr>
      </vt:variant>
      <vt:variant>
        <vt:i4>1179700</vt:i4>
      </vt:variant>
      <vt:variant>
        <vt:i4>533</vt:i4>
      </vt:variant>
      <vt:variant>
        <vt:i4>0</vt:i4>
      </vt:variant>
      <vt:variant>
        <vt:i4>5</vt:i4>
      </vt:variant>
      <vt:variant>
        <vt:lpwstr/>
      </vt:variant>
      <vt:variant>
        <vt:lpwstr>_Toc420593914</vt:lpwstr>
      </vt:variant>
      <vt:variant>
        <vt:i4>1179700</vt:i4>
      </vt:variant>
      <vt:variant>
        <vt:i4>527</vt:i4>
      </vt:variant>
      <vt:variant>
        <vt:i4>0</vt:i4>
      </vt:variant>
      <vt:variant>
        <vt:i4>5</vt:i4>
      </vt:variant>
      <vt:variant>
        <vt:lpwstr/>
      </vt:variant>
      <vt:variant>
        <vt:lpwstr>_Toc420593913</vt:lpwstr>
      </vt:variant>
      <vt:variant>
        <vt:i4>1179700</vt:i4>
      </vt:variant>
      <vt:variant>
        <vt:i4>521</vt:i4>
      </vt:variant>
      <vt:variant>
        <vt:i4>0</vt:i4>
      </vt:variant>
      <vt:variant>
        <vt:i4>5</vt:i4>
      </vt:variant>
      <vt:variant>
        <vt:lpwstr/>
      </vt:variant>
      <vt:variant>
        <vt:lpwstr>_Toc420593912</vt:lpwstr>
      </vt:variant>
      <vt:variant>
        <vt:i4>1179700</vt:i4>
      </vt:variant>
      <vt:variant>
        <vt:i4>515</vt:i4>
      </vt:variant>
      <vt:variant>
        <vt:i4>0</vt:i4>
      </vt:variant>
      <vt:variant>
        <vt:i4>5</vt:i4>
      </vt:variant>
      <vt:variant>
        <vt:lpwstr/>
      </vt:variant>
      <vt:variant>
        <vt:lpwstr>_Toc420593911</vt:lpwstr>
      </vt:variant>
      <vt:variant>
        <vt:i4>1179700</vt:i4>
      </vt:variant>
      <vt:variant>
        <vt:i4>509</vt:i4>
      </vt:variant>
      <vt:variant>
        <vt:i4>0</vt:i4>
      </vt:variant>
      <vt:variant>
        <vt:i4>5</vt:i4>
      </vt:variant>
      <vt:variant>
        <vt:lpwstr/>
      </vt:variant>
      <vt:variant>
        <vt:lpwstr>_Toc420593910</vt:lpwstr>
      </vt:variant>
      <vt:variant>
        <vt:i4>1245236</vt:i4>
      </vt:variant>
      <vt:variant>
        <vt:i4>503</vt:i4>
      </vt:variant>
      <vt:variant>
        <vt:i4>0</vt:i4>
      </vt:variant>
      <vt:variant>
        <vt:i4>5</vt:i4>
      </vt:variant>
      <vt:variant>
        <vt:lpwstr/>
      </vt:variant>
      <vt:variant>
        <vt:lpwstr>_Toc420593909</vt:lpwstr>
      </vt:variant>
      <vt:variant>
        <vt:i4>1245236</vt:i4>
      </vt:variant>
      <vt:variant>
        <vt:i4>497</vt:i4>
      </vt:variant>
      <vt:variant>
        <vt:i4>0</vt:i4>
      </vt:variant>
      <vt:variant>
        <vt:i4>5</vt:i4>
      </vt:variant>
      <vt:variant>
        <vt:lpwstr/>
      </vt:variant>
      <vt:variant>
        <vt:lpwstr>_Toc420593908</vt:lpwstr>
      </vt:variant>
      <vt:variant>
        <vt:i4>1245236</vt:i4>
      </vt:variant>
      <vt:variant>
        <vt:i4>491</vt:i4>
      </vt:variant>
      <vt:variant>
        <vt:i4>0</vt:i4>
      </vt:variant>
      <vt:variant>
        <vt:i4>5</vt:i4>
      </vt:variant>
      <vt:variant>
        <vt:lpwstr/>
      </vt:variant>
      <vt:variant>
        <vt:lpwstr>_Toc420593907</vt:lpwstr>
      </vt:variant>
      <vt:variant>
        <vt:i4>1245236</vt:i4>
      </vt:variant>
      <vt:variant>
        <vt:i4>485</vt:i4>
      </vt:variant>
      <vt:variant>
        <vt:i4>0</vt:i4>
      </vt:variant>
      <vt:variant>
        <vt:i4>5</vt:i4>
      </vt:variant>
      <vt:variant>
        <vt:lpwstr/>
      </vt:variant>
      <vt:variant>
        <vt:lpwstr>_Toc420593906</vt:lpwstr>
      </vt:variant>
      <vt:variant>
        <vt:i4>1245236</vt:i4>
      </vt:variant>
      <vt:variant>
        <vt:i4>479</vt:i4>
      </vt:variant>
      <vt:variant>
        <vt:i4>0</vt:i4>
      </vt:variant>
      <vt:variant>
        <vt:i4>5</vt:i4>
      </vt:variant>
      <vt:variant>
        <vt:lpwstr/>
      </vt:variant>
      <vt:variant>
        <vt:lpwstr>_Toc420593905</vt:lpwstr>
      </vt:variant>
      <vt:variant>
        <vt:i4>1245236</vt:i4>
      </vt:variant>
      <vt:variant>
        <vt:i4>473</vt:i4>
      </vt:variant>
      <vt:variant>
        <vt:i4>0</vt:i4>
      </vt:variant>
      <vt:variant>
        <vt:i4>5</vt:i4>
      </vt:variant>
      <vt:variant>
        <vt:lpwstr/>
      </vt:variant>
      <vt:variant>
        <vt:lpwstr>_Toc420593904</vt:lpwstr>
      </vt:variant>
      <vt:variant>
        <vt:i4>1245236</vt:i4>
      </vt:variant>
      <vt:variant>
        <vt:i4>467</vt:i4>
      </vt:variant>
      <vt:variant>
        <vt:i4>0</vt:i4>
      </vt:variant>
      <vt:variant>
        <vt:i4>5</vt:i4>
      </vt:variant>
      <vt:variant>
        <vt:lpwstr/>
      </vt:variant>
      <vt:variant>
        <vt:lpwstr>_Toc420593903</vt:lpwstr>
      </vt:variant>
      <vt:variant>
        <vt:i4>1245236</vt:i4>
      </vt:variant>
      <vt:variant>
        <vt:i4>461</vt:i4>
      </vt:variant>
      <vt:variant>
        <vt:i4>0</vt:i4>
      </vt:variant>
      <vt:variant>
        <vt:i4>5</vt:i4>
      </vt:variant>
      <vt:variant>
        <vt:lpwstr/>
      </vt:variant>
      <vt:variant>
        <vt:lpwstr>_Toc420593902</vt:lpwstr>
      </vt:variant>
      <vt:variant>
        <vt:i4>1245236</vt:i4>
      </vt:variant>
      <vt:variant>
        <vt:i4>455</vt:i4>
      </vt:variant>
      <vt:variant>
        <vt:i4>0</vt:i4>
      </vt:variant>
      <vt:variant>
        <vt:i4>5</vt:i4>
      </vt:variant>
      <vt:variant>
        <vt:lpwstr/>
      </vt:variant>
      <vt:variant>
        <vt:lpwstr>_Toc420593901</vt:lpwstr>
      </vt:variant>
      <vt:variant>
        <vt:i4>1245236</vt:i4>
      </vt:variant>
      <vt:variant>
        <vt:i4>449</vt:i4>
      </vt:variant>
      <vt:variant>
        <vt:i4>0</vt:i4>
      </vt:variant>
      <vt:variant>
        <vt:i4>5</vt:i4>
      </vt:variant>
      <vt:variant>
        <vt:lpwstr/>
      </vt:variant>
      <vt:variant>
        <vt:lpwstr>_Toc420593900</vt:lpwstr>
      </vt:variant>
      <vt:variant>
        <vt:i4>1703989</vt:i4>
      </vt:variant>
      <vt:variant>
        <vt:i4>443</vt:i4>
      </vt:variant>
      <vt:variant>
        <vt:i4>0</vt:i4>
      </vt:variant>
      <vt:variant>
        <vt:i4>5</vt:i4>
      </vt:variant>
      <vt:variant>
        <vt:lpwstr/>
      </vt:variant>
      <vt:variant>
        <vt:lpwstr>_Toc420593899</vt:lpwstr>
      </vt:variant>
      <vt:variant>
        <vt:i4>1703989</vt:i4>
      </vt:variant>
      <vt:variant>
        <vt:i4>437</vt:i4>
      </vt:variant>
      <vt:variant>
        <vt:i4>0</vt:i4>
      </vt:variant>
      <vt:variant>
        <vt:i4>5</vt:i4>
      </vt:variant>
      <vt:variant>
        <vt:lpwstr/>
      </vt:variant>
      <vt:variant>
        <vt:lpwstr>_Toc420593898</vt:lpwstr>
      </vt:variant>
      <vt:variant>
        <vt:i4>1703989</vt:i4>
      </vt:variant>
      <vt:variant>
        <vt:i4>431</vt:i4>
      </vt:variant>
      <vt:variant>
        <vt:i4>0</vt:i4>
      </vt:variant>
      <vt:variant>
        <vt:i4>5</vt:i4>
      </vt:variant>
      <vt:variant>
        <vt:lpwstr/>
      </vt:variant>
      <vt:variant>
        <vt:lpwstr>_Toc420593897</vt:lpwstr>
      </vt:variant>
      <vt:variant>
        <vt:i4>1703989</vt:i4>
      </vt:variant>
      <vt:variant>
        <vt:i4>425</vt:i4>
      </vt:variant>
      <vt:variant>
        <vt:i4>0</vt:i4>
      </vt:variant>
      <vt:variant>
        <vt:i4>5</vt:i4>
      </vt:variant>
      <vt:variant>
        <vt:lpwstr/>
      </vt:variant>
      <vt:variant>
        <vt:lpwstr>_Toc420593896</vt:lpwstr>
      </vt:variant>
      <vt:variant>
        <vt:i4>1703989</vt:i4>
      </vt:variant>
      <vt:variant>
        <vt:i4>419</vt:i4>
      </vt:variant>
      <vt:variant>
        <vt:i4>0</vt:i4>
      </vt:variant>
      <vt:variant>
        <vt:i4>5</vt:i4>
      </vt:variant>
      <vt:variant>
        <vt:lpwstr/>
      </vt:variant>
      <vt:variant>
        <vt:lpwstr>_Toc420593895</vt:lpwstr>
      </vt:variant>
      <vt:variant>
        <vt:i4>1703989</vt:i4>
      </vt:variant>
      <vt:variant>
        <vt:i4>413</vt:i4>
      </vt:variant>
      <vt:variant>
        <vt:i4>0</vt:i4>
      </vt:variant>
      <vt:variant>
        <vt:i4>5</vt:i4>
      </vt:variant>
      <vt:variant>
        <vt:lpwstr/>
      </vt:variant>
      <vt:variant>
        <vt:lpwstr>_Toc420593894</vt:lpwstr>
      </vt:variant>
      <vt:variant>
        <vt:i4>1703989</vt:i4>
      </vt:variant>
      <vt:variant>
        <vt:i4>407</vt:i4>
      </vt:variant>
      <vt:variant>
        <vt:i4>0</vt:i4>
      </vt:variant>
      <vt:variant>
        <vt:i4>5</vt:i4>
      </vt:variant>
      <vt:variant>
        <vt:lpwstr/>
      </vt:variant>
      <vt:variant>
        <vt:lpwstr>_Toc420593893</vt:lpwstr>
      </vt:variant>
      <vt:variant>
        <vt:i4>1703989</vt:i4>
      </vt:variant>
      <vt:variant>
        <vt:i4>401</vt:i4>
      </vt:variant>
      <vt:variant>
        <vt:i4>0</vt:i4>
      </vt:variant>
      <vt:variant>
        <vt:i4>5</vt:i4>
      </vt:variant>
      <vt:variant>
        <vt:lpwstr/>
      </vt:variant>
      <vt:variant>
        <vt:lpwstr>_Toc420593892</vt:lpwstr>
      </vt:variant>
      <vt:variant>
        <vt:i4>1703989</vt:i4>
      </vt:variant>
      <vt:variant>
        <vt:i4>395</vt:i4>
      </vt:variant>
      <vt:variant>
        <vt:i4>0</vt:i4>
      </vt:variant>
      <vt:variant>
        <vt:i4>5</vt:i4>
      </vt:variant>
      <vt:variant>
        <vt:lpwstr/>
      </vt:variant>
      <vt:variant>
        <vt:lpwstr>_Toc420593891</vt:lpwstr>
      </vt:variant>
      <vt:variant>
        <vt:i4>1703989</vt:i4>
      </vt:variant>
      <vt:variant>
        <vt:i4>389</vt:i4>
      </vt:variant>
      <vt:variant>
        <vt:i4>0</vt:i4>
      </vt:variant>
      <vt:variant>
        <vt:i4>5</vt:i4>
      </vt:variant>
      <vt:variant>
        <vt:lpwstr/>
      </vt:variant>
      <vt:variant>
        <vt:lpwstr>_Toc420593890</vt:lpwstr>
      </vt:variant>
      <vt:variant>
        <vt:i4>1769525</vt:i4>
      </vt:variant>
      <vt:variant>
        <vt:i4>383</vt:i4>
      </vt:variant>
      <vt:variant>
        <vt:i4>0</vt:i4>
      </vt:variant>
      <vt:variant>
        <vt:i4>5</vt:i4>
      </vt:variant>
      <vt:variant>
        <vt:lpwstr/>
      </vt:variant>
      <vt:variant>
        <vt:lpwstr>_Toc420593889</vt:lpwstr>
      </vt:variant>
      <vt:variant>
        <vt:i4>1769525</vt:i4>
      </vt:variant>
      <vt:variant>
        <vt:i4>377</vt:i4>
      </vt:variant>
      <vt:variant>
        <vt:i4>0</vt:i4>
      </vt:variant>
      <vt:variant>
        <vt:i4>5</vt:i4>
      </vt:variant>
      <vt:variant>
        <vt:lpwstr/>
      </vt:variant>
      <vt:variant>
        <vt:lpwstr>_Toc420593888</vt:lpwstr>
      </vt:variant>
      <vt:variant>
        <vt:i4>1769525</vt:i4>
      </vt:variant>
      <vt:variant>
        <vt:i4>371</vt:i4>
      </vt:variant>
      <vt:variant>
        <vt:i4>0</vt:i4>
      </vt:variant>
      <vt:variant>
        <vt:i4>5</vt:i4>
      </vt:variant>
      <vt:variant>
        <vt:lpwstr/>
      </vt:variant>
      <vt:variant>
        <vt:lpwstr>_Toc420593887</vt:lpwstr>
      </vt:variant>
      <vt:variant>
        <vt:i4>1769525</vt:i4>
      </vt:variant>
      <vt:variant>
        <vt:i4>365</vt:i4>
      </vt:variant>
      <vt:variant>
        <vt:i4>0</vt:i4>
      </vt:variant>
      <vt:variant>
        <vt:i4>5</vt:i4>
      </vt:variant>
      <vt:variant>
        <vt:lpwstr/>
      </vt:variant>
      <vt:variant>
        <vt:lpwstr>_Toc420593886</vt:lpwstr>
      </vt:variant>
      <vt:variant>
        <vt:i4>1769525</vt:i4>
      </vt:variant>
      <vt:variant>
        <vt:i4>359</vt:i4>
      </vt:variant>
      <vt:variant>
        <vt:i4>0</vt:i4>
      </vt:variant>
      <vt:variant>
        <vt:i4>5</vt:i4>
      </vt:variant>
      <vt:variant>
        <vt:lpwstr/>
      </vt:variant>
      <vt:variant>
        <vt:lpwstr>_Toc420593885</vt:lpwstr>
      </vt:variant>
      <vt:variant>
        <vt:i4>1769525</vt:i4>
      </vt:variant>
      <vt:variant>
        <vt:i4>353</vt:i4>
      </vt:variant>
      <vt:variant>
        <vt:i4>0</vt:i4>
      </vt:variant>
      <vt:variant>
        <vt:i4>5</vt:i4>
      </vt:variant>
      <vt:variant>
        <vt:lpwstr/>
      </vt:variant>
      <vt:variant>
        <vt:lpwstr>_Toc420593884</vt:lpwstr>
      </vt:variant>
      <vt:variant>
        <vt:i4>1769525</vt:i4>
      </vt:variant>
      <vt:variant>
        <vt:i4>347</vt:i4>
      </vt:variant>
      <vt:variant>
        <vt:i4>0</vt:i4>
      </vt:variant>
      <vt:variant>
        <vt:i4>5</vt:i4>
      </vt:variant>
      <vt:variant>
        <vt:lpwstr/>
      </vt:variant>
      <vt:variant>
        <vt:lpwstr>_Toc420593883</vt:lpwstr>
      </vt:variant>
      <vt:variant>
        <vt:i4>1769525</vt:i4>
      </vt:variant>
      <vt:variant>
        <vt:i4>341</vt:i4>
      </vt:variant>
      <vt:variant>
        <vt:i4>0</vt:i4>
      </vt:variant>
      <vt:variant>
        <vt:i4>5</vt:i4>
      </vt:variant>
      <vt:variant>
        <vt:lpwstr/>
      </vt:variant>
      <vt:variant>
        <vt:lpwstr>_Toc420593882</vt:lpwstr>
      </vt:variant>
      <vt:variant>
        <vt:i4>1769525</vt:i4>
      </vt:variant>
      <vt:variant>
        <vt:i4>335</vt:i4>
      </vt:variant>
      <vt:variant>
        <vt:i4>0</vt:i4>
      </vt:variant>
      <vt:variant>
        <vt:i4>5</vt:i4>
      </vt:variant>
      <vt:variant>
        <vt:lpwstr/>
      </vt:variant>
      <vt:variant>
        <vt:lpwstr>_Toc420593881</vt:lpwstr>
      </vt:variant>
      <vt:variant>
        <vt:i4>1769525</vt:i4>
      </vt:variant>
      <vt:variant>
        <vt:i4>329</vt:i4>
      </vt:variant>
      <vt:variant>
        <vt:i4>0</vt:i4>
      </vt:variant>
      <vt:variant>
        <vt:i4>5</vt:i4>
      </vt:variant>
      <vt:variant>
        <vt:lpwstr/>
      </vt:variant>
      <vt:variant>
        <vt:lpwstr>_Toc420593880</vt:lpwstr>
      </vt:variant>
      <vt:variant>
        <vt:i4>1310773</vt:i4>
      </vt:variant>
      <vt:variant>
        <vt:i4>323</vt:i4>
      </vt:variant>
      <vt:variant>
        <vt:i4>0</vt:i4>
      </vt:variant>
      <vt:variant>
        <vt:i4>5</vt:i4>
      </vt:variant>
      <vt:variant>
        <vt:lpwstr/>
      </vt:variant>
      <vt:variant>
        <vt:lpwstr>_Toc420593879</vt:lpwstr>
      </vt:variant>
      <vt:variant>
        <vt:i4>1310773</vt:i4>
      </vt:variant>
      <vt:variant>
        <vt:i4>317</vt:i4>
      </vt:variant>
      <vt:variant>
        <vt:i4>0</vt:i4>
      </vt:variant>
      <vt:variant>
        <vt:i4>5</vt:i4>
      </vt:variant>
      <vt:variant>
        <vt:lpwstr/>
      </vt:variant>
      <vt:variant>
        <vt:lpwstr>_Toc420593878</vt:lpwstr>
      </vt:variant>
      <vt:variant>
        <vt:i4>1310773</vt:i4>
      </vt:variant>
      <vt:variant>
        <vt:i4>311</vt:i4>
      </vt:variant>
      <vt:variant>
        <vt:i4>0</vt:i4>
      </vt:variant>
      <vt:variant>
        <vt:i4>5</vt:i4>
      </vt:variant>
      <vt:variant>
        <vt:lpwstr/>
      </vt:variant>
      <vt:variant>
        <vt:lpwstr>_Toc420593877</vt:lpwstr>
      </vt:variant>
      <vt:variant>
        <vt:i4>1310773</vt:i4>
      </vt:variant>
      <vt:variant>
        <vt:i4>305</vt:i4>
      </vt:variant>
      <vt:variant>
        <vt:i4>0</vt:i4>
      </vt:variant>
      <vt:variant>
        <vt:i4>5</vt:i4>
      </vt:variant>
      <vt:variant>
        <vt:lpwstr/>
      </vt:variant>
      <vt:variant>
        <vt:lpwstr>_Toc420593876</vt:lpwstr>
      </vt:variant>
      <vt:variant>
        <vt:i4>1310773</vt:i4>
      </vt:variant>
      <vt:variant>
        <vt:i4>299</vt:i4>
      </vt:variant>
      <vt:variant>
        <vt:i4>0</vt:i4>
      </vt:variant>
      <vt:variant>
        <vt:i4>5</vt:i4>
      </vt:variant>
      <vt:variant>
        <vt:lpwstr/>
      </vt:variant>
      <vt:variant>
        <vt:lpwstr>_Toc420593875</vt:lpwstr>
      </vt:variant>
      <vt:variant>
        <vt:i4>1310773</vt:i4>
      </vt:variant>
      <vt:variant>
        <vt:i4>293</vt:i4>
      </vt:variant>
      <vt:variant>
        <vt:i4>0</vt:i4>
      </vt:variant>
      <vt:variant>
        <vt:i4>5</vt:i4>
      </vt:variant>
      <vt:variant>
        <vt:lpwstr/>
      </vt:variant>
      <vt:variant>
        <vt:lpwstr>_Toc420593874</vt:lpwstr>
      </vt:variant>
      <vt:variant>
        <vt:i4>1310773</vt:i4>
      </vt:variant>
      <vt:variant>
        <vt:i4>287</vt:i4>
      </vt:variant>
      <vt:variant>
        <vt:i4>0</vt:i4>
      </vt:variant>
      <vt:variant>
        <vt:i4>5</vt:i4>
      </vt:variant>
      <vt:variant>
        <vt:lpwstr/>
      </vt:variant>
      <vt:variant>
        <vt:lpwstr>_Toc420593873</vt:lpwstr>
      </vt:variant>
      <vt:variant>
        <vt:i4>1310773</vt:i4>
      </vt:variant>
      <vt:variant>
        <vt:i4>281</vt:i4>
      </vt:variant>
      <vt:variant>
        <vt:i4>0</vt:i4>
      </vt:variant>
      <vt:variant>
        <vt:i4>5</vt:i4>
      </vt:variant>
      <vt:variant>
        <vt:lpwstr/>
      </vt:variant>
      <vt:variant>
        <vt:lpwstr>_Toc420593872</vt:lpwstr>
      </vt:variant>
      <vt:variant>
        <vt:i4>1310773</vt:i4>
      </vt:variant>
      <vt:variant>
        <vt:i4>275</vt:i4>
      </vt:variant>
      <vt:variant>
        <vt:i4>0</vt:i4>
      </vt:variant>
      <vt:variant>
        <vt:i4>5</vt:i4>
      </vt:variant>
      <vt:variant>
        <vt:lpwstr/>
      </vt:variant>
      <vt:variant>
        <vt:lpwstr>_Toc420593871</vt:lpwstr>
      </vt:variant>
      <vt:variant>
        <vt:i4>1310773</vt:i4>
      </vt:variant>
      <vt:variant>
        <vt:i4>269</vt:i4>
      </vt:variant>
      <vt:variant>
        <vt:i4>0</vt:i4>
      </vt:variant>
      <vt:variant>
        <vt:i4>5</vt:i4>
      </vt:variant>
      <vt:variant>
        <vt:lpwstr/>
      </vt:variant>
      <vt:variant>
        <vt:lpwstr>_Toc420593870</vt:lpwstr>
      </vt:variant>
      <vt:variant>
        <vt:i4>1376309</vt:i4>
      </vt:variant>
      <vt:variant>
        <vt:i4>263</vt:i4>
      </vt:variant>
      <vt:variant>
        <vt:i4>0</vt:i4>
      </vt:variant>
      <vt:variant>
        <vt:i4>5</vt:i4>
      </vt:variant>
      <vt:variant>
        <vt:lpwstr/>
      </vt:variant>
      <vt:variant>
        <vt:lpwstr>_Toc420593869</vt:lpwstr>
      </vt:variant>
      <vt:variant>
        <vt:i4>1376309</vt:i4>
      </vt:variant>
      <vt:variant>
        <vt:i4>257</vt:i4>
      </vt:variant>
      <vt:variant>
        <vt:i4>0</vt:i4>
      </vt:variant>
      <vt:variant>
        <vt:i4>5</vt:i4>
      </vt:variant>
      <vt:variant>
        <vt:lpwstr/>
      </vt:variant>
      <vt:variant>
        <vt:lpwstr>_Toc420593868</vt:lpwstr>
      </vt:variant>
      <vt:variant>
        <vt:i4>1376309</vt:i4>
      </vt:variant>
      <vt:variant>
        <vt:i4>251</vt:i4>
      </vt:variant>
      <vt:variant>
        <vt:i4>0</vt:i4>
      </vt:variant>
      <vt:variant>
        <vt:i4>5</vt:i4>
      </vt:variant>
      <vt:variant>
        <vt:lpwstr/>
      </vt:variant>
      <vt:variant>
        <vt:lpwstr>_Toc420593867</vt:lpwstr>
      </vt:variant>
      <vt:variant>
        <vt:i4>1376309</vt:i4>
      </vt:variant>
      <vt:variant>
        <vt:i4>245</vt:i4>
      </vt:variant>
      <vt:variant>
        <vt:i4>0</vt:i4>
      </vt:variant>
      <vt:variant>
        <vt:i4>5</vt:i4>
      </vt:variant>
      <vt:variant>
        <vt:lpwstr/>
      </vt:variant>
      <vt:variant>
        <vt:lpwstr>_Toc420593866</vt:lpwstr>
      </vt:variant>
      <vt:variant>
        <vt:i4>1376309</vt:i4>
      </vt:variant>
      <vt:variant>
        <vt:i4>239</vt:i4>
      </vt:variant>
      <vt:variant>
        <vt:i4>0</vt:i4>
      </vt:variant>
      <vt:variant>
        <vt:i4>5</vt:i4>
      </vt:variant>
      <vt:variant>
        <vt:lpwstr/>
      </vt:variant>
      <vt:variant>
        <vt:lpwstr>_Toc420593865</vt:lpwstr>
      </vt:variant>
      <vt:variant>
        <vt:i4>1376309</vt:i4>
      </vt:variant>
      <vt:variant>
        <vt:i4>233</vt:i4>
      </vt:variant>
      <vt:variant>
        <vt:i4>0</vt:i4>
      </vt:variant>
      <vt:variant>
        <vt:i4>5</vt:i4>
      </vt:variant>
      <vt:variant>
        <vt:lpwstr/>
      </vt:variant>
      <vt:variant>
        <vt:lpwstr>_Toc420593864</vt:lpwstr>
      </vt:variant>
      <vt:variant>
        <vt:i4>1376309</vt:i4>
      </vt:variant>
      <vt:variant>
        <vt:i4>227</vt:i4>
      </vt:variant>
      <vt:variant>
        <vt:i4>0</vt:i4>
      </vt:variant>
      <vt:variant>
        <vt:i4>5</vt:i4>
      </vt:variant>
      <vt:variant>
        <vt:lpwstr/>
      </vt:variant>
      <vt:variant>
        <vt:lpwstr>_Toc420593863</vt:lpwstr>
      </vt:variant>
      <vt:variant>
        <vt:i4>1376309</vt:i4>
      </vt:variant>
      <vt:variant>
        <vt:i4>221</vt:i4>
      </vt:variant>
      <vt:variant>
        <vt:i4>0</vt:i4>
      </vt:variant>
      <vt:variant>
        <vt:i4>5</vt:i4>
      </vt:variant>
      <vt:variant>
        <vt:lpwstr/>
      </vt:variant>
      <vt:variant>
        <vt:lpwstr>_Toc420593862</vt:lpwstr>
      </vt:variant>
      <vt:variant>
        <vt:i4>1376309</vt:i4>
      </vt:variant>
      <vt:variant>
        <vt:i4>215</vt:i4>
      </vt:variant>
      <vt:variant>
        <vt:i4>0</vt:i4>
      </vt:variant>
      <vt:variant>
        <vt:i4>5</vt:i4>
      </vt:variant>
      <vt:variant>
        <vt:lpwstr/>
      </vt:variant>
      <vt:variant>
        <vt:lpwstr>_Toc420593861</vt:lpwstr>
      </vt:variant>
      <vt:variant>
        <vt:i4>1376309</vt:i4>
      </vt:variant>
      <vt:variant>
        <vt:i4>209</vt:i4>
      </vt:variant>
      <vt:variant>
        <vt:i4>0</vt:i4>
      </vt:variant>
      <vt:variant>
        <vt:i4>5</vt:i4>
      </vt:variant>
      <vt:variant>
        <vt:lpwstr/>
      </vt:variant>
      <vt:variant>
        <vt:lpwstr>_Toc420593860</vt:lpwstr>
      </vt:variant>
      <vt:variant>
        <vt:i4>1441845</vt:i4>
      </vt:variant>
      <vt:variant>
        <vt:i4>203</vt:i4>
      </vt:variant>
      <vt:variant>
        <vt:i4>0</vt:i4>
      </vt:variant>
      <vt:variant>
        <vt:i4>5</vt:i4>
      </vt:variant>
      <vt:variant>
        <vt:lpwstr/>
      </vt:variant>
      <vt:variant>
        <vt:lpwstr>_Toc420593859</vt:lpwstr>
      </vt:variant>
      <vt:variant>
        <vt:i4>1441845</vt:i4>
      </vt:variant>
      <vt:variant>
        <vt:i4>197</vt:i4>
      </vt:variant>
      <vt:variant>
        <vt:i4>0</vt:i4>
      </vt:variant>
      <vt:variant>
        <vt:i4>5</vt:i4>
      </vt:variant>
      <vt:variant>
        <vt:lpwstr/>
      </vt:variant>
      <vt:variant>
        <vt:lpwstr>_Toc420593858</vt:lpwstr>
      </vt:variant>
      <vt:variant>
        <vt:i4>1441845</vt:i4>
      </vt:variant>
      <vt:variant>
        <vt:i4>191</vt:i4>
      </vt:variant>
      <vt:variant>
        <vt:i4>0</vt:i4>
      </vt:variant>
      <vt:variant>
        <vt:i4>5</vt:i4>
      </vt:variant>
      <vt:variant>
        <vt:lpwstr/>
      </vt:variant>
      <vt:variant>
        <vt:lpwstr>_Toc420593857</vt:lpwstr>
      </vt:variant>
      <vt:variant>
        <vt:i4>1441845</vt:i4>
      </vt:variant>
      <vt:variant>
        <vt:i4>185</vt:i4>
      </vt:variant>
      <vt:variant>
        <vt:i4>0</vt:i4>
      </vt:variant>
      <vt:variant>
        <vt:i4>5</vt:i4>
      </vt:variant>
      <vt:variant>
        <vt:lpwstr/>
      </vt:variant>
      <vt:variant>
        <vt:lpwstr>_Toc420593856</vt:lpwstr>
      </vt:variant>
      <vt:variant>
        <vt:i4>1441845</vt:i4>
      </vt:variant>
      <vt:variant>
        <vt:i4>179</vt:i4>
      </vt:variant>
      <vt:variant>
        <vt:i4>0</vt:i4>
      </vt:variant>
      <vt:variant>
        <vt:i4>5</vt:i4>
      </vt:variant>
      <vt:variant>
        <vt:lpwstr/>
      </vt:variant>
      <vt:variant>
        <vt:lpwstr>_Toc420593855</vt:lpwstr>
      </vt:variant>
      <vt:variant>
        <vt:i4>1441845</vt:i4>
      </vt:variant>
      <vt:variant>
        <vt:i4>173</vt:i4>
      </vt:variant>
      <vt:variant>
        <vt:i4>0</vt:i4>
      </vt:variant>
      <vt:variant>
        <vt:i4>5</vt:i4>
      </vt:variant>
      <vt:variant>
        <vt:lpwstr/>
      </vt:variant>
      <vt:variant>
        <vt:lpwstr>_Toc420593854</vt:lpwstr>
      </vt:variant>
      <vt:variant>
        <vt:i4>1441845</vt:i4>
      </vt:variant>
      <vt:variant>
        <vt:i4>167</vt:i4>
      </vt:variant>
      <vt:variant>
        <vt:i4>0</vt:i4>
      </vt:variant>
      <vt:variant>
        <vt:i4>5</vt:i4>
      </vt:variant>
      <vt:variant>
        <vt:lpwstr/>
      </vt:variant>
      <vt:variant>
        <vt:lpwstr>_Toc420593853</vt:lpwstr>
      </vt:variant>
      <vt:variant>
        <vt:i4>1441845</vt:i4>
      </vt:variant>
      <vt:variant>
        <vt:i4>161</vt:i4>
      </vt:variant>
      <vt:variant>
        <vt:i4>0</vt:i4>
      </vt:variant>
      <vt:variant>
        <vt:i4>5</vt:i4>
      </vt:variant>
      <vt:variant>
        <vt:lpwstr/>
      </vt:variant>
      <vt:variant>
        <vt:lpwstr>_Toc420593852</vt:lpwstr>
      </vt:variant>
      <vt:variant>
        <vt:i4>1441845</vt:i4>
      </vt:variant>
      <vt:variant>
        <vt:i4>155</vt:i4>
      </vt:variant>
      <vt:variant>
        <vt:i4>0</vt:i4>
      </vt:variant>
      <vt:variant>
        <vt:i4>5</vt:i4>
      </vt:variant>
      <vt:variant>
        <vt:lpwstr/>
      </vt:variant>
      <vt:variant>
        <vt:lpwstr>_Toc420593851</vt:lpwstr>
      </vt:variant>
      <vt:variant>
        <vt:i4>1441845</vt:i4>
      </vt:variant>
      <vt:variant>
        <vt:i4>149</vt:i4>
      </vt:variant>
      <vt:variant>
        <vt:i4>0</vt:i4>
      </vt:variant>
      <vt:variant>
        <vt:i4>5</vt:i4>
      </vt:variant>
      <vt:variant>
        <vt:lpwstr/>
      </vt:variant>
      <vt:variant>
        <vt:lpwstr>_Toc420593850</vt:lpwstr>
      </vt:variant>
      <vt:variant>
        <vt:i4>1507381</vt:i4>
      </vt:variant>
      <vt:variant>
        <vt:i4>143</vt:i4>
      </vt:variant>
      <vt:variant>
        <vt:i4>0</vt:i4>
      </vt:variant>
      <vt:variant>
        <vt:i4>5</vt:i4>
      </vt:variant>
      <vt:variant>
        <vt:lpwstr/>
      </vt:variant>
      <vt:variant>
        <vt:lpwstr>_Toc420593849</vt:lpwstr>
      </vt:variant>
      <vt:variant>
        <vt:i4>1507381</vt:i4>
      </vt:variant>
      <vt:variant>
        <vt:i4>137</vt:i4>
      </vt:variant>
      <vt:variant>
        <vt:i4>0</vt:i4>
      </vt:variant>
      <vt:variant>
        <vt:i4>5</vt:i4>
      </vt:variant>
      <vt:variant>
        <vt:lpwstr/>
      </vt:variant>
      <vt:variant>
        <vt:lpwstr>_Toc420593848</vt:lpwstr>
      </vt:variant>
      <vt:variant>
        <vt:i4>1507381</vt:i4>
      </vt:variant>
      <vt:variant>
        <vt:i4>131</vt:i4>
      </vt:variant>
      <vt:variant>
        <vt:i4>0</vt:i4>
      </vt:variant>
      <vt:variant>
        <vt:i4>5</vt:i4>
      </vt:variant>
      <vt:variant>
        <vt:lpwstr/>
      </vt:variant>
      <vt:variant>
        <vt:lpwstr>_Toc420593847</vt:lpwstr>
      </vt:variant>
      <vt:variant>
        <vt:i4>1507381</vt:i4>
      </vt:variant>
      <vt:variant>
        <vt:i4>125</vt:i4>
      </vt:variant>
      <vt:variant>
        <vt:i4>0</vt:i4>
      </vt:variant>
      <vt:variant>
        <vt:i4>5</vt:i4>
      </vt:variant>
      <vt:variant>
        <vt:lpwstr/>
      </vt:variant>
      <vt:variant>
        <vt:lpwstr>_Toc420593846</vt:lpwstr>
      </vt:variant>
      <vt:variant>
        <vt:i4>1507381</vt:i4>
      </vt:variant>
      <vt:variant>
        <vt:i4>119</vt:i4>
      </vt:variant>
      <vt:variant>
        <vt:i4>0</vt:i4>
      </vt:variant>
      <vt:variant>
        <vt:i4>5</vt:i4>
      </vt:variant>
      <vt:variant>
        <vt:lpwstr/>
      </vt:variant>
      <vt:variant>
        <vt:lpwstr>_Toc420593845</vt:lpwstr>
      </vt:variant>
      <vt:variant>
        <vt:i4>1507381</vt:i4>
      </vt:variant>
      <vt:variant>
        <vt:i4>113</vt:i4>
      </vt:variant>
      <vt:variant>
        <vt:i4>0</vt:i4>
      </vt:variant>
      <vt:variant>
        <vt:i4>5</vt:i4>
      </vt:variant>
      <vt:variant>
        <vt:lpwstr/>
      </vt:variant>
      <vt:variant>
        <vt:lpwstr>_Toc420593844</vt:lpwstr>
      </vt:variant>
      <vt:variant>
        <vt:i4>1507381</vt:i4>
      </vt:variant>
      <vt:variant>
        <vt:i4>107</vt:i4>
      </vt:variant>
      <vt:variant>
        <vt:i4>0</vt:i4>
      </vt:variant>
      <vt:variant>
        <vt:i4>5</vt:i4>
      </vt:variant>
      <vt:variant>
        <vt:lpwstr/>
      </vt:variant>
      <vt:variant>
        <vt:lpwstr>_Toc420593843</vt:lpwstr>
      </vt:variant>
      <vt:variant>
        <vt:i4>1507381</vt:i4>
      </vt:variant>
      <vt:variant>
        <vt:i4>101</vt:i4>
      </vt:variant>
      <vt:variant>
        <vt:i4>0</vt:i4>
      </vt:variant>
      <vt:variant>
        <vt:i4>5</vt:i4>
      </vt:variant>
      <vt:variant>
        <vt:lpwstr/>
      </vt:variant>
      <vt:variant>
        <vt:lpwstr>_Toc420593842</vt:lpwstr>
      </vt:variant>
      <vt:variant>
        <vt:i4>1507381</vt:i4>
      </vt:variant>
      <vt:variant>
        <vt:i4>95</vt:i4>
      </vt:variant>
      <vt:variant>
        <vt:i4>0</vt:i4>
      </vt:variant>
      <vt:variant>
        <vt:i4>5</vt:i4>
      </vt:variant>
      <vt:variant>
        <vt:lpwstr/>
      </vt:variant>
      <vt:variant>
        <vt:lpwstr>_Toc420593841</vt:lpwstr>
      </vt:variant>
      <vt:variant>
        <vt:i4>1507381</vt:i4>
      </vt:variant>
      <vt:variant>
        <vt:i4>89</vt:i4>
      </vt:variant>
      <vt:variant>
        <vt:i4>0</vt:i4>
      </vt:variant>
      <vt:variant>
        <vt:i4>5</vt:i4>
      </vt:variant>
      <vt:variant>
        <vt:lpwstr/>
      </vt:variant>
      <vt:variant>
        <vt:lpwstr>_Toc420593840</vt:lpwstr>
      </vt:variant>
      <vt:variant>
        <vt:i4>1048629</vt:i4>
      </vt:variant>
      <vt:variant>
        <vt:i4>83</vt:i4>
      </vt:variant>
      <vt:variant>
        <vt:i4>0</vt:i4>
      </vt:variant>
      <vt:variant>
        <vt:i4>5</vt:i4>
      </vt:variant>
      <vt:variant>
        <vt:lpwstr/>
      </vt:variant>
      <vt:variant>
        <vt:lpwstr>_Toc420593839</vt:lpwstr>
      </vt:variant>
      <vt:variant>
        <vt:i4>1048629</vt:i4>
      </vt:variant>
      <vt:variant>
        <vt:i4>77</vt:i4>
      </vt:variant>
      <vt:variant>
        <vt:i4>0</vt:i4>
      </vt:variant>
      <vt:variant>
        <vt:i4>5</vt:i4>
      </vt:variant>
      <vt:variant>
        <vt:lpwstr/>
      </vt:variant>
      <vt:variant>
        <vt:lpwstr>_Toc420593838</vt:lpwstr>
      </vt:variant>
      <vt:variant>
        <vt:i4>1048629</vt:i4>
      </vt:variant>
      <vt:variant>
        <vt:i4>71</vt:i4>
      </vt:variant>
      <vt:variant>
        <vt:i4>0</vt:i4>
      </vt:variant>
      <vt:variant>
        <vt:i4>5</vt:i4>
      </vt:variant>
      <vt:variant>
        <vt:lpwstr/>
      </vt:variant>
      <vt:variant>
        <vt:lpwstr>_Toc420593837</vt:lpwstr>
      </vt:variant>
      <vt:variant>
        <vt:i4>1048629</vt:i4>
      </vt:variant>
      <vt:variant>
        <vt:i4>65</vt:i4>
      </vt:variant>
      <vt:variant>
        <vt:i4>0</vt:i4>
      </vt:variant>
      <vt:variant>
        <vt:i4>5</vt:i4>
      </vt:variant>
      <vt:variant>
        <vt:lpwstr/>
      </vt:variant>
      <vt:variant>
        <vt:lpwstr>_Toc420593836</vt:lpwstr>
      </vt:variant>
      <vt:variant>
        <vt:i4>1048629</vt:i4>
      </vt:variant>
      <vt:variant>
        <vt:i4>59</vt:i4>
      </vt:variant>
      <vt:variant>
        <vt:i4>0</vt:i4>
      </vt:variant>
      <vt:variant>
        <vt:i4>5</vt:i4>
      </vt:variant>
      <vt:variant>
        <vt:lpwstr/>
      </vt:variant>
      <vt:variant>
        <vt:lpwstr>_Toc420593835</vt:lpwstr>
      </vt:variant>
      <vt:variant>
        <vt:i4>1048629</vt:i4>
      </vt:variant>
      <vt:variant>
        <vt:i4>53</vt:i4>
      </vt:variant>
      <vt:variant>
        <vt:i4>0</vt:i4>
      </vt:variant>
      <vt:variant>
        <vt:i4>5</vt:i4>
      </vt:variant>
      <vt:variant>
        <vt:lpwstr/>
      </vt:variant>
      <vt:variant>
        <vt:lpwstr>_Toc420593834</vt:lpwstr>
      </vt:variant>
      <vt:variant>
        <vt:i4>1048629</vt:i4>
      </vt:variant>
      <vt:variant>
        <vt:i4>47</vt:i4>
      </vt:variant>
      <vt:variant>
        <vt:i4>0</vt:i4>
      </vt:variant>
      <vt:variant>
        <vt:i4>5</vt:i4>
      </vt:variant>
      <vt:variant>
        <vt:lpwstr/>
      </vt:variant>
      <vt:variant>
        <vt:lpwstr>_Toc420593833</vt:lpwstr>
      </vt:variant>
      <vt:variant>
        <vt:i4>1048629</vt:i4>
      </vt:variant>
      <vt:variant>
        <vt:i4>41</vt:i4>
      </vt:variant>
      <vt:variant>
        <vt:i4>0</vt:i4>
      </vt:variant>
      <vt:variant>
        <vt:i4>5</vt:i4>
      </vt:variant>
      <vt:variant>
        <vt:lpwstr/>
      </vt:variant>
      <vt:variant>
        <vt:lpwstr>_Toc420593832</vt:lpwstr>
      </vt:variant>
      <vt:variant>
        <vt:i4>1048629</vt:i4>
      </vt:variant>
      <vt:variant>
        <vt:i4>35</vt:i4>
      </vt:variant>
      <vt:variant>
        <vt:i4>0</vt:i4>
      </vt:variant>
      <vt:variant>
        <vt:i4>5</vt:i4>
      </vt:variant>
      <vt:variant>
        <vt:lpwstr/>
      </vt:variant>
      <vt:variant>
        <vt:lpwstr>_Toc420593831</vt:lpwstr>
      </vt:variant>
      <vt:variant>
        <vt:i4>1048629</vt:i4>
      </vt:variant>
      <vt:variant>
        <vt:i4>29</vt:i4>
      </vt:variant>
      <vt:variant>
        <vt:i4>0</vt:i4>
      </vt:variant>
      <vt:variant>
        <vt:i4>5</vt:i4>
      </vt:variant>
      <vt:variant>
        <vt:lpwstr/>
      </vt:variant>
      <vt:variant>
        <vt:lpwstr>_Toc420593830</vt:lpwstr>
      </vt:variant>
      <vt:variant>
        <vt:i4>1114165</vt:i4>
      </vt:variant>
      <vt:variant>
        <vt:i4>23</vt:i4>
      </vt:variant>
      <vt:variant>
        <vt:i4>0</vt:i4>
      </vt:variant>
      <vt:variant>
        <vt:i4>5</vt:i4>
      </vt:variant>
      <vt:variant>
        <vt:lpwstr/>
      </vt:variant>
      <vt:variant>
        <vt:lpwstr>_Toc420593829</vt:lpwstr>
      </vt:variant>
      <vt:variant>
        <vt:i4>1114165</vt:i4>
      </vt:variant>
      <vt:variant>
        <vt:i4>17</vt:i4>
      </vt:variant>
      <vt:variant>
        <vt:i4>0</vt:i4>
      </vt:variant>
      <vt:variant>
        <vt:i4>5</vt:i4>
      </vt:variant>
      <vt:variant>
        <vt:lpwstr/>
      </vt:variant>
      <vt:variant>
        <vt:lpwstr>_Toc420593828</vt:lpwstr>
      </vt:variant>
      <vt:variant>
        <vt:i4>1114165</vt:i4>
      </vt:variant>
      <vt:variant>
        <vt:i4>11</vt:i4>
      </vt:variant>
      <vt:variant>
        <vt:i4>0</vt:i4>
      </vt:variant>
      <vt:variant>
        <vt:i4>5</vt:i4>
      </vt:variant>
      <vt:variant>
        <vt:lpwstr/>
      </vt:variant>
      <vt:variant>
        <vt:lpwstr>_Toc420593827</vt:lpwstr>
      </vt:variant>
      <vt:variant>
        <vt:i4>2555960</vt:i4>
      </vt:variant>
      <vt:variant>
        <vt:i4>6</vt:i4>
      </vt:variant>
      <vt:variant>
        <vt:i4>0</vt:i4>
      </vt:variant>
      <vt:variant>
        <vt:i4>5</vt:i4>
      </vt:variant>
      <vt:variant>
        <vt:lpwstr>http://www.greenyardfoods.com/</vt:lpwstr>
      </vt:variant>
      <vt:variant>
        <vt:lpwstr/>
      </vt:variant>
      <vt:variant>
        <vt:i4>2555960</vt:i4>
      </vt:variant>
      <vt:variant>
        <vt:i4>3</vt:i4>
      </vt:variant>
      <vt:variant>
        <vt:i4>0</vt:i4>
      </vt:variant>
      <vt:variant>
        <vt:i4>5</vt:i4>
      </vt:variant>
      <vt:variant>
        <vt:lpwstr>http://www.greenyardfoods.com/</vt:lpwstr>
      </vt:variant>
      <vt:variant>
        <vt:lpwstr/>
      </vt:variant>
      <vt:variant>
        <vt:i4>2555960</vt:i4>
      </vt:variant>
      <vt:variant>
        <vt:i4>0</vt:i4>
      </vt:variant>
      <vt:variant>
        <vt:i4>0</vt:i4>
      </vt:variant>
      <vt:variant>
        <vt:i4>5</vt:i4>
      </vt:variant>
      <vt:variant>
        <vt:lpwstr>http://www.greenyardfoods.com/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Freshfields</dc:creator>
  <cp:keywords/>
  <cp:lastModifiedBy>Alexey Andrushkevich</cp:lastModifiedBy>
  <cp:revision>3</cp:revision>
  <cp:lastPrinted>2015-05-03T12:50:00Z</cp:lastPrinted>
  <dcterms:created xsi:type="dcterms:W3CDTF">2018-09-04T08:51:00Z</dcterms:created>
  <dcterms:modified xsi:type="dcterms:W3CDTF">2018-09-04T08:51:00Z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BRU6726539</vt:lpwstr>
  </property>
  <property fmtid="{D5CDD505-2E9C-101B-9397-08002B2CF9AE}" pid="3" name="docVersion">
    <vt:lpwstr>4</vt:lpwstr>
  </property>
  <property fmtid="{D5CDD505-2E9C-101B-9397-08002B2CF9AE}" pid="4" name="docCliMat">
    <vt:lpwstr>165306-0001</vt:lpwstr>
  </property>
  <property fmtid="{D5CDD505-2E9C-101B-9397-08002B2CF9AE}" pid="5" name="docIncludeVersion">
    <vt:lpwstr>true</vt:lpwstr>
  </property>
  <property fmtid="{D5CDD505-2E9C-101B-9397-08002B2CF9AE}" pid="6" name="docIncludeCliMat">
    <vt:lpwstr>true</vt:lpwstr>
  </property>
</Properties>
</file>